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E7694">
      <w:pPr>
        <w:adjustRightInd w:val="0"/>
        <w:spacing w:after="0" w:line="360" w:lineRule="auto"/>
        <w:jc w:val="center"/>
        <w:textAlignment w:val="baseline"/>
        <w:outlineLvl w:val="9"/>
        <w:rPr>
          <w:rFonts w:hint="eastAsia" w:ascii="宋体" w:hAnsi="宋体" w:cs="宋体"/>
          <w:b/>
          <w:bCs/>
          <w:color w:val="auto"/>
          <w:sz w:val="48"/>
          <w:szCs w:val="48"/>
          <w:lang w:eastAsia="zh-CN"/>
        </w:rPr>
      </w:pPr>
      <w:bookmarkStart w:id="0" w:name="_Toc10958"/>
      <w:r>
        <w:rPr>
          <w:color w:val="auto"/>
        </w:rPr>
        <w:br w:type="textWrapping"/>
      </w:r>
      <w:bookmarkEnd w:id="0"/>
      <w:r>
        <w:rPr>
          <w:rFonts w:hint="eastAsia" w:ascii="宋体" w:hAnsi="宋体" w:cs="宋体"/>
          <w:b/>
          <w:bCs/>
          <w:color w:val="auto"/>
          <w:sz w:val="48"/>
          <w:szCs w:val="48"/>
          <w:lang w:eastAsia="zh-CN"/>
        </w:rPr>
        <w:t>南华县人民医院病理科设备</w:t>
      </w:r>
    </w:p>
    <w:p w14:paraId="4739EA19">
      <w:pPr>
        <w:adjustRightInd w:val="0"/>
        <w:spacing w:after="0" w:line="360" w:lineRule="auto"/>
        <w:jc w:val="center"/>
        <w:textAlignment w:val="baseline"/>
        <w:outlineLvl w:val="9"/>
        <w:rPr>
          <w:rFonts w:hint="eastAsia" w:ascii="仿宋" w:hAnsi="仿宋" w:eastAsia="仿宋" w:cs="仿宋"/>
          <w:b/>
          <w:bCs/>
          <w:color w:val="auto"/>
          <w:kern w:val="0"/>
          <w:sz w:val="96"/>
          <w:szCs w:val="96"/>
          <w:lang w:val="zh-CN"/>
        </w:rPr>
      </w:pPr>
      <w:r>
        <w:rPr>
          <w:rFonts w:hint="eastAsia" w:ascii="宋体" w:hAnsi="宋体" w:cs="宋体"/>
          <w:b/>
          <w:bCs/>
          <w:color w:val="auto"/>
          <w:sz w:val="48"/>
          <w:szCs w:val="48"/>
          <w:lang w:eastAsia="zh-CN"/>
        </w:rPr>
        <w:t>采购项目</w:t>
      </w:r>
    </w:p>
    <w:p w14:paraId="3D7BA6F1">
      <w:pPr>
        <w:pStyle w:val="17"/>
        <w:spacing w:line="360" w:lineRule="auto"/>
        <w:ind w:left="0" w:leftChars="0" w:firstLine="0" w:firstLineChars="0"/>
        <w:jc w:val="center"/>
        <w:rPr>
          <w:rFonts w:hint="eastAsia" w:ascii="宋体" w:hAnsi="宋体" w:eastAsia="宋体" w:cs="宋体"/>
          <w:b/>
          <w:bCs/>
          <w:color w:val="auto"/>
          <w:kern w:val="0"/>
          <w:sz w:val="72"/>
          <w:szCs w:val="72"/>
        </w:rPr>
      </w:pPr>
      <w:r>
        <w:rPr>
          <w:rFonts w:hint="eastAsia" w:ascii="仿宋" w:hAnsi="仿宋" w:eastAsia="仿宋" w:cs="仿宋"/>
          <w:b/>
          <w:bCs/>
          <w:color w:val="auto"/>
          <w:kern w:val="0"/>
          <w:sz w:val="96"/>
          <w:szCs w:val="96"/>
          <w:lang w:val="zh-CN"/>
        </w:rPr>
        <w:drawing>
          <wp:inline distT="0" distB="0" distL="114300" distR="114300">
            <wp:extent cx="1323975" cy="1397000"/>
            <wp:effectExtent l="0" t="0" r="9525" b="12700"/>
            <wp:docPr id="5" name="图片 2" descr="c7a198f5f1e8adcbc0600d71c91d2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c7a198f5f1e8adcbc0600d71c91d2ea"/>
                    <pic:cNvPicPr>
                      <a:picLocks noChangeAspect="1"/>
                    </pic:cNvPicPr>
                  </pic:nvPicPr>
                  <pic:blipFill>
                    <a:blip r:embed="rId10"/>
                    <a:stretch>
                      <a:fillRect/>
                    </a:stretch>
                  </pic:blipFill>
                  <pic:spPr>
                    <a:xfrm>
                      <a:off x="0" y="0"/>
                      <a:ext cx="1323975" cy="1397000"/>
                    </a:xfrm>
                    <a:prstGeom prst="rect">
                      <a:avLst/>
                    </a:prstGeom>
                    <a:noFill/>
                    <a:ln>
                      <a:noFill/>
                    </a:ln>
                  </pic:spPr>
                </pic:pic>
              </a:graphicData>
            </a:graphic>
          </wp:inline>
        </w:drawing>
      </w:r>
    </w:p>
    <w:p w14:paraId="443038F2">
      <w:pPr>
        <w:pStyle w:val="17"/>
        <w:spacing w:line="360" w:lineRule="auto"/>
        <w:ind w:left="0" w:leftChars="0" w:firstLine="0" w:firstLineChars="0"/>
        <w:jc w:val="center"/>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72"/>
          <w:szCs w:val="72"/>
        </w:rPr>
        <w:t>招标文件</w:t>
      </w:r>
      <w:r>
        <w:rPr>
          <w:rFonts w:hint="eastAsia" w:ascii="宋体" w:hAnsi="宋体" w:eastAsia="宋体" w:cs="宋体"/>
          <w:b/>
          <w:bCs/>
          <w:color w:val="auto"/>
          <w:kern w:val="0"/>
          <w:sz w:val="72"/>
          <w:szCs w:val="72"/>
        </w:rPr>
        <w:br w:type="textWrapping"/>
      </w:r>
      <w:r>
        <w:rPr>
          <w:rFonts w:hint="eastAsia" w:ascii="宋体" w:hAnsi="宋体" w:cs="宋体"/>
          <w:b/>
          <w:bCs/>
          <w:color w:val="auto"/>
          <w:kern w:val="0"/>
          <w:sz w:val="72"/>
          <w:szCs w:val="72"/>
          <w:lang w:eastAsia="zh-CN"/>
        </w:rPr>
        <w:t>（</w:t>
      </w:r>
      <w:r>
        <w:rPr>
          <w:rFonts w:hint="eastAsia" w:ascii="宋体" w:hAnsi="宋体" w:cs="宋体"/>
          <w:b/>
          <w:bCs/>
          <w:i w:val="0"/>
          <w:iCs w:val="0"/>
          <w:color w:val="auto"/>
          <w:kern w:val="0"/>
          <w:sz w:val="72"/>
          <w:szCs w:val="72"/>
          <w:lang w:val="en-US" w:eastAsia="zh-CN"/>
        </w:rPr>
        <w:t>货物类</w:t>
      </w:r>
      <w:r>
        <w:rPr>
          <w:rFonts w:hint="eastAsia" w:ascii="宋体" w:hAnsi="宋体" w:cs="宋体"/>
          <w:b/>
          <w:bCs/>
          <w:color w:val="auto"/>
          <w:kern w:val="0"/>
          <w:sz w:val="72"/>
          <w:szCs w:val="72"/>
          <w:lang w:eastAsia="zh-CN"/>
        </w:rPr>
        <w:t>）</w:t>
      </w:r>
    </w:p>
    <w:p w14:paraId="365ADF86">
      <w:pPr>
        <w:pStyle w:val="17"/>
        <w:spacing w:line="360" w:lineRule="auto"/>
        <w:ind w:firstLine="2530" w:firstLineChars="900"/>
        <w:jc w:val="left"/>
        <w:rPr>
          <w:rFonts w:hint="eastAsia" w:ascii="宋体" w:hAnsi="宋体" w:eastAsia="宋体" w:cs="宋体"/>
          <w:b/>
          <w:bCs/>
          <w:color w:val="auto"/>
          <w:kern w:val="0"/>
          <w:sz w:val="28"/>
          <w:szCs w:val="28"/>
          <w:lang w:val="en-US" w:eastAsia="zh-CN" w:bidi="ar-SA"/>
        </w:rPr>
      </w:pPr>
    </w:p>
    <w:p w14:paraId="3274CB79">
      <w:pPr>
        <w:pStyle w:val="17"/>
        <w:spacing w:line="360" w:lineRule="auto"/>
        <w:ind w:firstLine="2530" w:firstLineChars="900"/>
        <w:jc w:val="left"/>
        <w:rPr>
          <w:rFonts w:hint="eastAsia" w:ascii="宋体" w:hAnsi="宋体" w:cs="宋体"/>
          <w:b/>
          <w:bCs/>
          <w:color w:val="auto"/>
          <w:kern w:val="0"/>
          <w:sz w:val="28"/>
          <w:szCs w:val="28"/>
          <w:lang w:val="en-US" w:eastAsia="zh-CN" w:bidi="ar-SA"/>
        </w:rPr>
      </w:pPr>
      <w:r>
        <w:rPr>
          <w:rFonts w:hint="eastAsia" w:ascii="宋体" w:hAnsi="宋体" w:eastAsia="宋体" w:cs="宋体"/>
          <w:b/>
          <w:bCs/>
          <w:color w:val="auto"/>
          <w:kern w:val="0"/>
          <w:sz w:val="28"/>
          <w:szCs w:val="28"/>
          <w:lang w:val="en-US" w:eastAsia="zh-CN" w:bidi="ar-SA"/>
        </w:rPr>
        <w:t>项目编号：</w:t>
      </w:r>
      <w:r>
        <w:rPr>
          <w:rFonts w:hint="eastAsia" w:ascii="宋体" w:hAnsi="宋体" w:cs="宋体"/>
          <w:b/>
          <w:bCs/>
          <w:color w:val="auto"/>
          <w:kern w:val="0"/>
          <w:sz w:val="28"/>
          <w:szCs w:val="28"/>
          <w:lang w:val="en-US" w:eastAsia="zh-CN" w:bidi="ar-SA"/>
        </w:rPr>
        <w:t>CXZC2025-G1-00260-TKZB-0003</w:t>
      </w:r>
    </w:p>
    <w:p w14:paraId="31743810">
      <w:pPr>
        <w:rPr>
          <w:rFonts w:hint="eastAsia"/>
          <w:color w:val="auto"/>
          <w:lang w:val="en-US" w:eastAsia="zh-CN"/>
        </w:rPr>
      </w:pPr>
    </w:p>
    <w:p w14:paraId="4E610614">
      <w:pPr>
        <w:adjustRightInd w:val="0"/>
        <w:spacing w:after="0" w:line="360" w:lineRule="auto"/>
        <w:ind w:firstLine="2530" w:firstLineChars="900"/>
        <w:jc w:val="both"/>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28"/>
          <w:szCs w:val="28"/>
          <w:lang w:val="en-US" w:eastAsia="zh-CN"/>
        </w:rPr>
        <w:t>政府采购计划编号</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u w:val="none"/>
          <w:lang w:val="en-US" w:eastAsia="zh-CN"/>
        </w:rPr>
        <w:t>4532324JH202500185</w:t>
      </w:r>
    </w:p>
    <w:p w14:paraId="15E76891">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p>
    <w:p w14:paraId="4395CB18">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采购人</w:t>
      </w:r>
      <w:r>
        <w:rPr>
          <w:rFonts w:hint="eastAsia" w:ascii="宋体" w:hAnsi="宋体" w:eastAsia="宋体" w:cs="宋体"/>
          <w:b/>
          <w:bCs/>
          <w:color w:val="auto"/>
          <w:sz w:val="32"/>
          <w:szCs w:val="32"/>
        </w:rPr>
        <w:t>：</w:t>
      </w:r>
      <w:r>
        <w:rPr>
          <w:rFonts w:hint="eastAsia" w:ascii="宋体" w:hAnsi="宋体" w:cs="宋体"/>
          <w:b/>
          <w:bCs/>
          <w:color w:val="auto"/>
          <w:sz w:val="32"/>
          <w:szCs w:val="32"/>
          <w:lang w:eastAsia="zh-CN"/>
        </w:rPr>
        <w:t>南华县人民医院</w:t>
      </w:r>
    </w:p>
    <w:p w14:paraId="207EF233">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90" w:firstLineChars="526"/>
        <w:textAlignment w:val="baseline"/>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采购代理机构</w:t>
      </w:r>
      <w:r>
        <w:rPr>
          <w:rFonts w:hint="eastAsia" w:ascii="宋体" w:hAnsi="宋体" w:eastAsia="宋体" w:cs="宋体"/>
          <w:b/>
          <w:bCs/>
          <w:color w:val="auto"/>
          <w:sz w:val="32"/>
          <w:szCs w:val="32"/>
        </w:rPr>
        <w:t>：</w:t>
      </w:r>
      <w:r>
        <w:rPr>
          <w:rFonts w:hint="eastAsia" w:ascii="宋体" w:hAnsi="宋体" w:cs="宋体"/>
          <w:b/>
          <w:bCs/>
          <w:color w:val="auto"/>
          <w:sz w:val="32"/>
          <w:szCs w:val="32"/>
          <w:u w:val="none"/>
          <w:lang w:val="en-US" w:eastAsia="zh-CN"/>
        </w:rPr>
        <w:t xml:space="preserve">楚雄腾凯工程项目管理有限公司 </w:t>
      </w:r>
      <w:r>
        <w:rPr>
          <w:rFonts w:hint="eastAsia" w:ascii="宋体" w:hAnsi="宋体" w:eastAsia="宋体" w:cs="宋体"/>
          <w:b/>
          <w:bCs/>
          <w:color w:val="auto"/>
          <w:sz w:val="32"/>
          <w:szCs w:val="32"/>
          <w:u w:val="none"/>
          <w:lang w:eastAsia="zh-CN"/>
        </w:rPr>
        <w:t xml:space="preserve"> </w:t>
      </w:r>
    </w:p>
    <w:p w14:paraId="4171F1F3">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宋体" w:hAnsi="宋体" w:eastAsia="宋体" w:cs="宋体"/>
          <w:b/>
          <w:bCs/>
          <w:color w:val="auto"/>
          <w:sz w:val="32"/>
          <w:szCs w:val="32"/>
        </w:rPr>
      </w:pPr>
      <w:r>
        <w:rPr>
          <w:rFonts w:hint="eastAsia" w:ascii="宋体" w:hAnsi="宋体" w:eastAsia="宋体" w:cs="宋体"/>
          <w:b/>
          <w:bCs/>
          <w:color w:val="auto"/>
          <w:sz w:val="32"/>
          <w:szCs w:val="32"/>
        </w:rPr>
        <w:t>二〇二</w:t>
      </w:r>
      <w:r>
        <w:rPr>
          <w:rFonts w:hint="eastAsia" w:ascii="宋体" w:hAnsi="宋体" w:cs="宋体"/>
          <w:b/>
          <w:bCs/>
          <w:color w:val="auto"/>
          <w:sz w:val="32"/>
          <w:szCs w:val="32"/>
          <w:lang w:eastAsia="zh-CN"/>
        </w:rPr>
        <w:t>五</w:t>
      </w:r>
      <w:r>
        <w:rPr>
          <w:rFonts w:hint="eastAsia" w:ascii="宋体" w:hAnsi="宋体" w:eastAsia="宋体" w:cs="宋体"/>
          <w:b/>
          <w:bCs/>
          <w:color w:val="auto"/>
          <w:sz w:val="32"/>
          <w:szCs w:val="32"/>
        </w:rPr>
        <w:t>年</w:t>
      </w:r>
      <w:r>
        <w:rPr>
          <w:rFonts w:hint="eastAsia" w:ascii="宋体" w:hAnsi="宋体" w:cs="宋体"/>
          <w:b/>
          <w:bCs/>
          <w:color w:val="auto"/>
          <w:sz w:val="32"/>
          <w:szCs w:val="32"/>
          <w:lang w:eastAsia="zh-CN"/>
        </w:rPr>
        <w:t>五</w:t>
      </w:r>
      <w:r>
        <w:rPr>
          <w:rFonts w:hint="eastAsia" w:ascii="宋体" w:hAnsi="宋体" w:eastAsia="宋体" w:cs="宋体"/>
          <w:b/>
          <w:bCs/>
          <w:color w:val="auto"/>
          <w:sz w:val="32"/>
          <w:szCs w:val="32"/>
        </w:rPr>
        <w:t>月</w:t>
      </w:r>
    </w:p>
    <w:p w14:paraId="59B383F5">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sectPr>
          <w:pgSz w:w="11906" w:h="16838"/>
          <w:pgMar w:top="1220" w:right="1080" w:bottom="1440" w:left="1080" w:header="709" w:footer="737" w:gutter="0"/>
          <w:pgNumType w:fmt="decimal" w:start="1"/>
          <w:cols w:space="720" w:num="1"/>
          <w:titlePg/>
          <w:rtlGutter w:val="0"/>
          <w:docGrid w:linePitch="299" w:charSpace="0"/>
        </w:sectPr>
      </w:pPr>
    </w:p>
    <w:p w14:paraId="4D070A9A">
      <w:pPr>
        <w:keepNext w:val="0"/>
        <w:keepLines w:val="0"/>
        <w:pageBreakBefore w:val="0"/>
        <w:widowControl w:val="0"/>
        <w:tabs>
          <w:tab w:val="left" w:pos="561"/>
        </w:tabs>
        <w:kinsoku/>
        <w:wordWrap w:val="0"/>
        <w:overflowPunct/>
        <w:topLinePunct/>
        <w:autoSpaceDE/>
        <w:autoSpaceDN/>
        <w:bidi w:val="0"/>
        <w:adjustRightInd/>
        <w:snapToGrid/>
        <w:ind w:left="0" w:leftChars="0" w:right="0"/>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目</w:t>
      </w:r>
      <w:r>
        <w:rPr>
          <w:rFonts w:hint="eastAsia" w:ascii="宋体" w:hAnsi="宋体" w:eastAsia="宋体" w:cs="宋体"/>
          <w:b/>
          <w:bCs/>
          <w:color w:val="auto"/>
          <w:sz w:val="44"/>
          <w:szCs w:val="44"/>
          <w:lang w:eastAsia="zh-CN"/>
        </w:rPr>
        <w:tab/>
      </w:r>
      <w:r>
        <w:rPr>
          <w:rFonts w:hint="eastAsia" w:ascii="宋体" w:hAnsi="宋体" w:eastAsia="宋体" w:cs="宋体"/>
          <w:b/>
          <w:bCs/>
          <w:color w:val="auto"/>
          <w:sz w:val="44"/>
          <w:szCs w:val="44"/>
          <w:lang w:eastAsia="zh-CN"/>
        </w:rPr>
        <w:t>录</w:t>
      </w:r>
    </w:p>
    <w:p w14:paraId="2F888DC8">
      <w:pPr>
        <w:pStyle w:val="46"/>
        <w:tabs>
          <w:tab w:val="right" w:leader="dot" w:pos="9746"/>
        </w:tabs>
        <w:rPr>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TOC \o "1-3" \h \z \u </w:instrText>
      </w:r>
      <w:r>
        <w:rPr>
          <w:rFonts w:hint="eastAsia" w:ascii="宋体" w:hAnsi="宋体" w:eastAsia="宋体" w:cs="宋体"/>
          <w:color w:val="auto"/>
          <w:sz w:val="24"/>
          <w:szCs w:val="24"/>
        </w:rPr>
        <w:fldChar w:fldCharType="separate"/>
      </w:r>
    </w:p>
    <w:p w14:paraId="26EBDF54">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_Toc18173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第一章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招标公告</w:t>
      </w:r>
      <w:r>
        <w:rPr>
          <w:color w:val="auto"/>
          <w:sz w:val="24"/>
          <w:szCs w:val="24"/>
        </w:rPr>
        <w:tab/>
      </w:r>
      <w:r>
        <w:rPr>
          <w:color w:val="auto"/>
          <w:sz w:val="24"/>
          <w:szCs w:val="24"/>
        </w:rPr>
        <w:fldChar w:fldCharType="begin"/>
      </w:r>
      <w:r>
        <w:rPr>
          <w:color w:val="auto"/>
          <w:sz w:val="24"/>
          <w:szCs w:val="24"/>
        </w:rPr>
        <w:instrText xml:space="preserve"> PAGEREF _Toc18173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73D9704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_Toc24458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一、项目基本情况</w:t>
      </w:r>
      <w:r>
        <w:rPr>
          <w:color w:val="auto"/>
          <w:sz w:val="24"/>
          <w:szCs w:val="24"/>
        </w:rPr>
        <w:tab/>
      </w:r>
      <w:r>
        <w:rPr>
          <w:color w:val="auto"/>
          <w:sz w:val="24"/>
          <w:szCs w:val="24"/>
        </w:rPr>
        <w:fldChar w:fldCharType="begin"/>
      </w:r>
      <w:r>
        <w:rPr>
          <w:color w:val="auto"/>
          <w:sz w:val="24"/>
          <w:szCs w:val="24"/>
        </w:rPr>
        <w:instrText xml:space="preserve"> PAGEREF _Toc24458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594FCD8D">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_Toc11941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r>
        <w:rPr>
          <w:color w:val="auto"/>
          <w:sz w:val="24"/>
          <w:szCs w:val="24"/>
        </w:rPr>
        <w:tab/>
      </w:r>
      <w:r>
        <w:rPr>
          <w:color w:val="auto"/>
          <w:sz w:val="24"/>
          <w:szCs w:val="24"/>
        </w:rPr>
        <w:fldChar w:fldCharType="begin"/>
      </w:r>
      <w:r>
        <w:rPr>
          <w:color w:val="auto"/>
          <w:sz w:val="24"/>
          <w:szCs w:val="24"/>
        </w:rPr>
        <w:instrText xml:space="preserve"> PAGEREF _Toc11941 \h </w:instrText>
      </w:r>
      <w:r>
        <w:rPr>
          <w:color w:val="auto"/>
          <w:sz w:val="24"/>
          <w:szCs w:val="24"/>
        </w:rPr>
        <w:fldChar w:fldCharType="separate"/>
      </w:r>
      <w:r>
        <w:rPr>
          <w:color w:val="auto"/>
          <w:sz w:val="24"/>
          <w:szCs w:val="24"/>
        </w:rPr>
        <w:t>1</w:t>
      </w:r>
      <w:r>
        <w:rPr>
          <w:color w:val="auto"/>
          <w:sz w:val="24"/>
          <w:szCs w:val="24"/>
        </w:rPr>
        <w:fldChar w:fldCharType="end"/>
      </w:r>
      <w:r>
        <w:rPr>
          <w:rFonts w:hint="eastAsia" w:ascii="宋体" w:hAnsi="宋体" w:eastAsia="宋体" w:cs="宋体"/>
          <w:color w:val="auto"/>
          <w:sz w:val="24"/>
          <w:szCs w:val="24"/>
          <w:lang w:eastAsia="zh-CN"/>
        </w:rPr>
        <w:fldChar w:fldCharType="end"/>
      </w:r>
    </w:p>
    <w:p w14:paraId="221ACDC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_Toc23563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三、获取招标文件</w:t>
      </w:r>
      <w:r>
        <w:rPr>
          <w:color w:val="auto"/>
          <w:sz w:val="24"/>
          <w:szCs w:val="24"/>
        </w:rPr>
        <w:tab/>
      </w:r>
      <w:r>
        <w:rPr>
          <w:color w:val="auto"/>
          <w:sz w:val="24"/>
          <w:szCs w:val="24"/>
        </w:rPr>
        <w:fldChar w:fldCharType="begin"/>
      </w:r>
      <w:r>
        <w:rPr>
          <w:color w:val="auto"/>
          <w:sz w:val="24"/>
          <w:szCs w:val="24"/>
        </w:rPr>
        <w:instrText xml:space="preserve"> PAGEREF _Toc23563 \h </w:instrText>
      </w:r>
      <w:r>
        <w:rPr>
          <w:color w:val="auto"/>
          <w:sz w:val="24"/>
          <w:szCs w:val="24"/>
        </w:rPr>
        <w:fldChar w:fldCharType="separate"/>
      </w:r>
      <w:r>
        <w:rPr>
          <w:color w:val="auto"/>
          <w:sz w:val="24"/>
          <w:szCs w:val="24"/>
        </w:rPr>
        <w:t>2</w:t>
      </w:r>
      <w:r>
        <w:rPr>
          <w:color w:val="auto"/>
          <w:sz w:val="24"/>
          <w:szCs w:val="24"/>
        </w:rPr>
        <w:fldChar w:fldCharType="end"/>
      </w:r>
      <w:r>
        <w:rPr>
          <w:rFonts w:hint="eastAsia" w:ascii="宋体" w:hAnsi="宋体" w:eastAsia="宋体" w:cs="宋体"/>
          <w:color w:val="auto"/>
          <w:sz w:val="24"/>
          <w:szCs w:val="24"/>
          <w:lang w:eastAsia="zh-CN"/>
        </w:rPr>
        <w:fldChar w:fldCharType="end"/>
      </w:r>
    </w:p>
    <w:p w14:paraId="0050B9BF">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_Toc1864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四、提交投标文件截止时间、开标时间和地点</w:t>
      </w:r>
      <w:r>
        <w:rPr>
          <w:color w:val="auto"/>
          <w:sz w:val="24"/>
          <w:szCs w:val="24"/>
        </w:rPr>
        <w:tab/>
      </w:r>
      <w:r>
        <w:rPr>
          <w:color w:val="auto"/>
          <w:sz w:val="24"/>
          <w:szCs w:val="24"/>
        </w:rPr>
        <w:fldChar w:fldCharType="begin"/>
      </w:r>
      <w:r>
        <w:rPr>
          <w:color w:val="auto"/>
          <w:sz w:val="24"/>
          <w:szCs w:val="24"/>
        </w:rPr>
        <w:instrText xml:space="preserve"> PAGEREF _Toc1864 \h </w:instrText>
      </w:r>
      <w:r>
        <w:rPr>
          <w:color w:val="auto"/>
          <w:sz w:val="24"/>
          <w:szCs w:val="24"/>
        </w:rPr>
        <w:fldChar w:fldCharType="separate"/>
      </w:r>
      <w:r>
        <w:rPr>
          <w:color w:val="auto"/>
          <w:sz w:val="24"/>
          <w:szCs w:val="24"/>
        </w:rPr>
        <w:t>3</w:t>
      </w:r>
      <w:r>
        <w:rPr>
          <w:color w:val="auto"/>
          <w:sz w:val="24"/>
          <w:szCs w:val="24"/>
        </w:rPr>
        <w:fldChar w:fldCharType="end"/>
      </w:r>
      <w:r>
        <w:rPr>
          <w:rFonts w:hint="eastAsia" w:ascii="宋体" w:hAnsi="宋体" w:eastAsia="宋体" w:cs="宋体"/>
          <w:color w:val="auto"/>
          <w:sz w:val="24"/>
          <w:szCs w:val="24"/>
          <w:lang w:eastAsia="zh-CN"/>
        </w:rPr>
        <w:fldChar w:fldCharType="end"/>
      </w:r>
    </w:p>
    <w:p w14:paraId="7B8876A1">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_Toc6133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五、公告期限</w:t>
      </w:r>
      <w:r>
        <w:rPr>
          <w:color w:val="auto"/>
          <w:sz w:val="24"/>
          <w:szCs w:val="24"/>
        </w:rPr>
        <w:tab/>
      </w:r>
      <w:r>
        <w:rPr>
          <w:color w:val="auto"/>
          <w:sz w:val="24"/>
          <w:szCs w:val="24"/>
        </w:rPr>
        <w:fldChar w:fldCharType="begin"/>
      </w:r>
      <w:r>
        <w:rPr>
          <w:color w:val="auto"/>
          <w:sz w:val="24"/>
          <w:szCs w:val="24"/>
        </w:rPr>
        <w:instrText xml:space="preserve"> PAGEREF _Toc6133 \h </w:instrText>
      </w:r>
      <w:r>
        <w:rPr>
          <w:color w:val="auto"/>
          <w:sz w:val="24"/>
          <w:szCs w:val="24"/>
        </w:rPr>
        <w:fldChar w:fldCharType="separate"/>
      </w:r>
      <w:r>
        <w:rPr>
          <w:color w:val="auto"/>
          <w:sz w:val="24"/>
          <w:szCs w:val="24"/>
        </w:rPr>
        <w:t>3</w:t>
      </w:r>
      <w:r>
        <w:rPr>
          <w:color w:val="auto"/>
          <w:sz w:val="24"/>
          <w:szCs w:val="24"/>
        </w:rPr>
        <w:fldChar w:fldCharType="end"/>
      </w:r>
      <w:r>
        <w:rPr>
          <w:rFonts w:hint="eastAsia" w:ascii="宋体" w:hAnsi="宋体" w:eastAsia="宋体" w:cs="宋体"/>
          <w:color w:val="auto"/>
          <w:sz w:val="24"/>
          <w:szCs w:val="24"/>
          <w:lang w:eastAsia="zh-CN"/>
        </w:rPr>
        <w:fldChar w:fldCharType="end"/>
      </w:r>
    </w:p>
    <w:p w14:paraId="294640FF">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_Toc5362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六、其他补充事宜</w:t>
      </w:r>
      <w:r>
        <w:rPr>
          <w:color w:val="auto"/>
          <w:sz w:val="24"/>
          <w:szCs w:val="24"/>
        </w:rPr>
        <w:tab/>
      </w:r>
      <w:r>
        <w:rPr>
          <w:color w:val="auto"/>
          <w:sz w:val="24"/>
          <w:szCs w:val="24"/>
        </w:rPr>
        <w:fldChar w:fldCharType="begin"/>
      </w:r>
      <w:r>
        <w:rPr>
          <w:color w:val="auto"/>
          <w:sz w:val="24"/>
          <w:szCs w:val="24"/>
        </w:rPr>
        <w:instrText xml:space="preserve"> PAGEREF _Toc5362 \h </w:instrText>
      </w:r>
      <w:r>
        <w:rPr>
          <w:color w:val="auto"/>
          <w:sz w:val="24"/>
          <w:szCs w:val="24"/>
        </w:rPr>
        <w:fldChar w:fldCharType="separate"/>
      </w:r>
      <w:r>
        <w:rPr>
          <w:color w:val="auto"/>
          <w:sz w:val="24"/>
          <w:szCs w:val="24"/>
        </w:rPr>
        <w:t>3</w:t>
      </w:r>
      <w:r>
        <w:rPr>
          <w:color w:val="auto"/>
          <w:sz w:val="24"/>
          <w:szCs w:val="24"/>
        </w:rPr>
        <w:fldChar w:fldCharType="end"/>
      </w:r>
      <w:r>
        <w:rPr>
          <w:rFonts w:hint="eastAsia" w:ascii="宋体" w:hAnsi="宋体" w:eastAsia="宋体" w:cs="宋体"/>
          <w:color w:val="auto"/>
          <w:sz w:val="24"/>
          <w:szCs w:val="24"/>
          <w:lang w:eastAsia="zh-CN"/>
        </w:rPr>
        <w:fldChar w:fldCharType="end"/>
      </w:r>
    </w:p>
    <w:p w14:paraId="68ED77F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_Toc6306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r>
        <w:rPr>
          <w:color w:val="auto"/>
          <w:sz w:val="24"/>
          <w:szCs w:val="24"/>
        </w:rPr>
        <w:tab/>
      </w:r>
      <w:r>
        <w:rPr>
          <w:color w:val="auto"/>
          <w:sz w:val="24"/>
          <w:szCs w:val="24"/>
        </w:rPr>
        <w:fldChar w:fldCharType="begin"/>
      </w:r>
      <w:r>
        <w:rPr>
          <w:color w:val="auto"/>
          <w:sz w:val="24"/>
          <w:szCs w:val="24"/>
        </w:rPr>
        <w:instrText xml:space="preserve"> PAGEREF _Toc6306 \h </w:instrText>
      </w:r>
      <w:r>
        <w:rPr>
          <w:color w:val="auto"/>
          <w:sz w:val="24"/>
          <w:szCs w:val="24"/>
        </w:rPr>
        <w:fldChar w:fldCharType="separate"/>
      </w:r>
      <w:r>
        <w:rPr>
          <w:color w:val="auto"/>
          <w:sz w:val="24"/>
          <w:szCs w:val="24"/>
        </w:rPr>
        <w:t>4</w:t>
      </w:r>
      <w:r>
        <w:rPr>
          <w:color w:val="auto"/>
          <w:sz w:val="24"/>
          <w:szCs w:val="24"/>
        </w:rPr>
        <w:fldChar w:fldCharType="end"/>
      </w:r>
      <w:r>
        <w:rPr>
          <w:rFonts w:hint="eastAsia" w:ascii="宋体" w:hAnsi="宋体" w:eastAsia="宋体" w:cs="宋体"/>
          <w:color w:val="auto"/>
          <w:sz w:val="24"/>
          <w:szCs w:val="24"/>
          <w:lang w:eastAsia="zh-CN"/>
        </w:rPr>
        <w:fldChar w:fldCharType="end"/>
      </w:r>
    </w:p>
    <w:p w14:paraId="740E113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_Toc25845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第二章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供应商须知</w:t>
      </w:r>
      <w:r>
        <w:rPr>
          <w:color w:val="auto"/>
          <w:sz w:val="24"/>
          <w:szCs w:val="24"/>
        </w:rPr>
        <w:tab/>
      </w:r>
      <w:r>
        <w:rPr>
          <w:color w:val="auto"/>
          <w:sz w:val="24"/>
          <w:szCs w:val="24"/>
        </w:rPr>
        <w:fldChar w:fldCharType="begin"/>
      </w:r>
      <w:r>
        <w:rPr>
          <w:color w:val="auto"/>
          <w:sz w:val="24"/>
          <w:szCs w:val="24"/>
        </w:rPr>
        <w:instrText xml:space="preserve"> PAGEREF _Toc25845 \h </w:instrText>
      </w:r>
      <w:r>
        <w:rPr>
          <w:color w:val="auto"/>
          <w:sz w:val="24"/>
          <w:szCs w:val="24"/>
        </w:rPr>
        <w:fldChar w:fldCharType="separate"/>
      </w:r>
      <w:r>
        <w:rPr>
          <w:color w:val="auto"/>
          <w:sz w:val="24"/>
          <w:szCs w:val="24"/>
        </w:rPr>
        <w:t>5</w:t>
      </w:r>
      <w:r>
        <w:rPr>
          <w:color w:val="auto"/>
          <w:sz w:val="24"/>
          <w:szCs w:val="24"/>
        </w:rPr>
        <w:fldChar w:fldCharType="end"/>
      </w:r>
      <w:r>
        <w:rPr>
          <w:rFonts w:hint="eastAsia" w:ascii="宋体" w:hAnsi="宋体" w:eastAsia="宋体" w:cs="宋体"/>
          <w:color w:val="auto"/>
          <w:sz w:val="24"/>
          <w:szCs w:val="24"/>
          <w:lang w:eastAsia="zh-CN"/>
        </w:rPr>
        <w:fldChar w:fldCharType="end"/>
      </w:r>
    </w:p>
    <w:p w14:paraId="52B8406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_Toc23461 </w:instrText>
      </w:r>
      <w:r>
        <w:rPr>
          <w:rFonts w:hint="eastAsia" w:ascii="宋体" w:hAnsi="宋体" w:eastAsia="宋体" w:cs="宋体"/>
          <w:color w:val="auto"/>
          <w:sz w:val="24"/>
          <w:szCs w:val="24"/>
          <w:lang w:eastAsia="zh-CN"/>
        </w:rPr>
        <w:fldChar w:fldCharType="separate"/>
      </w:r>
      <w:r>
        <w:rPr>
          <w:rFonts w:hint="eastAsia" w:cs="宋体"/>
          <w:color w:val="auto"/>
          <w:sz w:val="24"/>
          <w:szCs w:val="24"/>
          <w:lang w:eastAsia="zh-CN"/>
        </w:rPr>
        <w:t>供应商</w:t>
      </w:r>
      <w:r>
        <w:rPr>
          <w:rFonts w:hint="eastAsia" w:ascii="宋体" w:hAnsi="宋体" w:eastAsia="宋体" w:cs="宋体"/>
          <w:color w:val="auto"/>
          <w:sz w:val="24"/>
          <w:szCs w:val="24"/>
          <w:lang w:eastAsia="zh-CN"/>
        </w:rPr>
        <w:t>须知前附表</w:t>
      </w:r>
      <w:r>
        <w:rPr>
          <w:color w:val="auto"/>
          <w:sz w:val="24"/>
          <w:szCs w:val="24"/>
        </w:rPr>
        <w:tab/>
      </w:r>
      <w:r>
        <w:rPr>
          <w:color w:val="auto"/>
          <w:sz w:val="24"/>
          <w:szCs w:val="24"/>
        </w:rPr>
        <w:fldChar w:fldCharType="begin"/>
      </w:r>
      <w:r>
        <w:rPr>
          <w:color w:val="auto"/>
          <w:sz w:val="24"/>
          <w:szCs w:val="24"/>
        </w:rPr>
        <w:instrText xml:space="preserve"> PAGEREF _Toc23461 \h </w:instrText>
      </w:r>
      <w:r>
        <w:rPr>
          <w:color w:val="auto"/>
          <w:sz w:val="24"/>
          <w:szCs w:val="24"/>
        </w:rPr>
        <w:fldChar w:fldCharType="separate"/>
      </w:r>
      <w:r>
        <w:rPr>
          <w:color w:val="auto"/>
          <w:sz w:val="24"/>
          <w:szCs w:val="24"/>
        </w:rPr>
        <w:t>5</w:t>
      </w:r>
      <w:r>
        <w:rPr>
          <w:color w:val="auto"/>
          <w:sz w:val="24"/>
          <w:szCs w:val="24"/>
        </w:rPr>
        <w:fldChar w:fldCharType="end"/>
      </w:r>
      <w:r>
        <w:rPr>
          <w:rFonts w:hint="eastAsia" w:ascii="宋体" w:hAnsi="宋体" w:eastAsia="宋体" w:cs="宋体"/>
          <w:color w:val="auto"/>
          <w:sz w:val="24"/>
          <w:szCs w:val="24"/>
          <w:lang w:eastAsia="zh-CN"/>
        </w:rPr>
        <w:fldChar w:fldCharType="end"/>
      </w:r>
    </w:p>
    <w:p w14:paraId="719EEA67">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_Toc7736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1.总则</w:t>
      </w:r>
      <w:r>
        <w:rPr>
          <w:color w:val="auto"/>
          <w:sz w:val="24"/>
          <w:szCs w:val="24"/>
        </w:rPr>
        <w:tab/>
      </w:r>
      <w:r>
        <w:rPr>
          <w:color w:val="auto"/>
          <w:sz w:val="24"/>
          <w:szCs w:val="24"/>
        </w:rPr>
        <w:fldChar w:fldCharType="begin"/>
      </w:r>
      <w:r>
        <w:rPr>
          <w:color w:val="auto"/>
          <w:sz w:val="24"/>
          <w:szCs w:val="24"/>
        </w:rPr>
        <w:instrText xml:space="preserve"> PAGEREF _Toc7736 \h </w:instrText>
      </w:r>
      <w:r>
        <w:rPr>
          <w:color w:val="auto"/>
          <w:sz w:val="24"/>
          <w:szCs w:val="24"/>
        </w:rPr>
        <w:fldChar w:fldCharType="separate"/>
      </w:r>
      <w:r>
        <w:rPr>
          <w:color w:val="auto"/>
          <w:sz w:val="24"/>
          <w:szCs w:val="24"/>
        </w:rPr>
        <w:t>19</w:t>
      </w:r>
      <w:r>
        <w:rPr>
          <w:color w:val="auto"/>
          <w:sz w:val="24"/>
          <w:szCs w:val="24"/>
        </w:rPr>
        <w:fldChar w:fldCharType="end"/>
      </w:r>
      <w:r>
        <w:rPr>
          <w:rFonts w:hint="eastAsia" w:ascii="宋体" w:hAnsi="宋体" w:eastAsia="宋体" w:cs="宋体"/>
          <w:color w:val="auto"/>
          <w:sz w:val="24"/>
          <w:szCs w:val="24"/>
          <w:lang w:eastAsia="zh-CN"/>
        </w:rPr>
        <w:fldChar w:fldCharType="end"/>
      </w:r>
    </w:p>
    <w:p w14:paraId="1AE4C6D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_Toc28699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2.招标文件</w:t>
      </w:r>
      <w:r>
        <w:rPr>
          <w:color w:val="auto"/>
          <w:sz w:val="24"/>
          <w:szCs w:val="24"/>
        </w:rPr>
        <w:tab/>
      </w:r>
      <w:r>
        <w:rPr>
          <w:color w:val="auto"/>
          <w:sz w:val="24"/>
          <w:szCs w:val="24"/>
        </w:rPr>
        <w:fldChar w:fldCharType="begin"/>
      </w:r>
      <w:r>
        <w:rPr>
          <w:color w:val="auto"/>
          <w:sz w:val="24"/>
          <w:szCs w:val="24"/>
        </w:rPr>
        <w:instrText xml:space="preserve"> PAGEREF _Toc28699 \h </w:instrText>
      </w:r>
      <w:r>
        <w:rPr>
          <w:color w:val="auto"/>
          <w:sz w:val="24"/>
          <w:szCs w:val="24"/>
        </w:rPr>
        <w:fldChar w:fldCharType="separate"/>
      </w:r>
      <w:r>
        <w:rPr>
          <w:color w:val="auto"/>
          <w:sz w:val="24"/>
          <w:szCs w:val="24"/>
        </w:rPr>
        <w:t>22</w:t>
      </w:r>
      <w:r>
        <w:rPr>
          <w:color w:val="auto"/>
          <w:sz w:val="24"/>
          <w:szCs w:val="24"/>
        </w:rPr>
        <w:fldChar w:fldCharType="end"/>
      </w:r>
      <w:r>
        <w:rPr>
          <w:rFonts w:hint="eastAsia" w:ascii="宋体" w:hAnsi="宋体" w:eastAsia="宋体" w:cs="宋体"/>
          <w:color w:val="auto"/>
          <w:sz w:val="24"/>
          <w:szCs w:val="24"/>
          <w:lang w:eastAsia="zh-CN"/>
        </w:rPr>
        <w:fldChar w:fldCharType="end"/>
      </w:r>
    </w:p>
    <w:p w14:paraId="7936515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_Toc30700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3.投标文件</w:t>
      </w:r>
      <w:r>
        <w:rPr>
          <w:color w:val="auto"/>
          <w:sz w:val="24"/>
          <w:szCs w:val="24"/>
        </w:rPr>
        <w:tab/>
      </w:r>
      <w:r>
        <w:rPr>
          <w:color w:val="auto"/>
          <w:sz w:val="24"/>
          <w:szCs w:val="24"/>
        </w:rPr>
        <w:fldChar w:fldCharType="begin"/>
      </w:r>
      <w:r>
        <w:rPr>
          <w:color w:val="auto"/>
          <w:sz w:val="24"/>
          <w:szCs w:val="24"/>
        </w:rPr>
        <w:instrText xml:space="preserve"> PAGEREF _Toc30700 \h </w:instrText>
      </w:r>
      <w:r>
        <w:rPr>
          <w:color w:val="auto"/>
          <w:sz w:val="24"/>
          <w:szCs w:val="24"/>
        </w:rPr>
        <w:fldChar w:fldCharType="separate"/>
      </w:r>
      <w:r>
        <w:rPr>
          <w:color w:val="auto"/>
          <w:sz w:val="24"/>
          <w:szCs w:val="24"/>
        </w:rPr>
        <w:t>23</w:t>
      </w:r>
      <w:r>
        <w:rPr>
          <w:color w:val="auto"/>
          <w:sz w:val="24"/>
          <w:szCs w:val="24"/>
        </w:rPr>
        <w:fldChar w:fldCharType="end"/>
      </w:r>
      <w:r>
        <w:rPr>
          <w:rFonts w:hint="eastAsia" w:ascii="宋体" w:hAnsi="宋体" w:eastAsia="宋体" w:cs="宋体"/>
          <w:color w:val="auto"/>
          <w:sz w:val="24"/>
          <w:szCs w:val="24"/>
          <w:lang w:eastAsia="zh-CN"/>
        </w:rPr>
        <w:fldChar w:fldCharType="end"/>
      </w:r>
    </w:p>
    <w:p w14:paraId="07898B4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_Toc22942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4.投标</w:t>
      </w:r>
      <w:r>
        <w:rPr>
          <w:color w:val="auto"/>
          <w:sz w:val="24"/>
          <w:szCs w:val="24"/>
        </w:rPr>
        <w:tab/>
      </w:r>
      <w:r>
        <w:rPr>
          <w:color w:val="auto"/>
          <w:sz w:val="24"/>
          <w:szCs w:val="24"/>
        </w:rPr>
        <w:fldChar w:fldCharType="begin"/>
      </w:r>
      <w:r>
        <w:rPr>
          <w:color w:val="auto"/>
          <w:sz w:val="24"/>
          <w:szCs w:val="24"/>
        </w:rPr>
        <w:instrText xml:space="preserve"> PAGEREF _Toc22942 \h </w:instrText>
      </w:r>
      <w:r>
        <w:rPr>
          <w:color w:val="auto"/>
          <w:sz w:val="24"/>
          <w:szCs w:val="24"/>
        </w:rPr>
        <w:fldChar w:fldCharType="separate"/>
      </w:r>
      <w:r>
        <w:rPr>
          <w:color w:val="auto"/>
          <w:sz w:val="24"/>
          <w:szCs w:val="24"/>
        </w:rPr>
        <w:t>25</w:t>
      </w:r>
      <w:r>
        <w:rPr>
          <w:color w:val="auto"/>
          <w:sz w:val="24"/>
          <w:szCs w:val="24"/>
        </w:rPr>
        <w:fldChar w:fldCharType="end"/>
      </w:r>
      <w:r>
        <w:rPr>
          <w:rFonts w:hint="eastAsia" w:ascii="宋体" w:hAnsi="宋体" w:eastAsia="宋体" w:cs="宋体"/>
          <w:color w:val="auto"/>
          <w:sz w:val="24"/>
          <w:szCs w:val="24"/>
          <w:lang w:eastAsia="zh-CN"/>
        </w:rPr>
        <w:fldChar w:fldCharType="end"/>
      </w:r>
    </w:p>
    <w:p w14:paraId="142C876B">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_Toc5226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5.开标</w:t>
      </w:r>
      <w:r>
        <w:rPr>
          <w:color w:val="auto"/>
          <w:sz w:val="24"/>
          <w:szCs w:val="24"/>
        </w:rPr>
        <w:tab/>
      </w:r>
      <w:r>
        <w:rPr>
          <w:color w:val="auto"/>
          <w:sz w:val="24"/>
          <w:szCs w:val="24"/>
        </w:rPr>
        <w:fldChar w:fldCharType="begin"/>
      </w:r>
      <w:r>
        <w:rPr>
          <w:color w:val="auto"/>
          <w:sz w:val="24"/>
          <w:szCs w:val="24"/>
        </w:rPr>
        <w:instrText xml:space="preserve"> PAGEREF _Toc5226 \h </w:instrText>
      </w:r>
      <w:r>
        <w:rPr>
          <w:color w:val="auto"/>
          <w:sz w:val="24"/>
          <w:szCs w:val="24"/>
        </w:rPr>
        <w:fldChar w:fldCharType="separate"/>
      </w:r>
      <w:r>
        <w:rPr>
          <w:color w:val="auto"/>
          <w:sz w:val="24"/>
          <w:szCs w:val="24"/>
        </w:rPr>
        <w:t>26</w:t>
      </w:r>
      <w:r>
        <w:rPr>
          <w:color w:val="auto"/>
          <w:sz w:val="24"/>
          <w:szCs w:val="24"/>
        </w:rPr>
        <w:fldChar w:fldCharType="end"/>
      </w:r>
      <w:r>
        <w:rPr>
          <w:rFonts w:hint="eastAsia" w:ascii="宋体" w:hAnsi="宋体" w:eastAsia="宋体" w:cs="宋体"/>
          <w:color w:val="auto"/>
          <w:sz w:val="24"/>
          <w:szCs w:val="24"/>
          <w:lang w:eastAsia="zh-CN"/>
        </w:rPr>
        <w:fldChar w:fldCharType="end"/>
      </w:r>
    </w:p>
    <w:p w14:paraId="22CE90F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_Toc32048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6.资格审查</w:t>
      </w:r>
      <w:r>
        <w:rPr>
          <w:color w:val="auto"/>
          <w:sz w:val="24"/>
          <w:szCs w:val="24"/>
        </w:rPr>
        <w:tab/>
      </w:r>
      <w:r>
        <w:rPr>
          <w:color w:val="auto"/>
          <w:sz w:val="24"/>
          <w:szCs w:val="24"/>
        </w:rPr>
        <w:fldChar w:fldCharType="begin"/>
      </w:r>
      <w:r>
        <w:rPr>
          <w:color w:val="auto"/>
          <w:sz w:val="24"/>
          <w:szCs w:val="24"/>
        </w:rPr>
        <w:instrText xml:space="preserve"> PAGEREF _Toc32048 \h </w:instrText>
      </w:r>
      <w:r>
        <w:rPr>
          <w:color w:val="auto"/>
          <w:sz w:val="24"/>
          <w:szCs w:val="24"/>
        </w:rPr>
        <w:fldChar w:fldCharType="separate"/>
      </w:r>
      <w:r>
        <w:rPr>
          <w:color w:val="auto"/>
          <w:sz w:val="24"/>
          <w:szCs w:val="24"/>
        </w:rPr>
        <w:t>26</w:t>
      </w:r>
      <w:r>
        <w:rPr>
          <w:color w:val="auto"/>
          <w:sz w:val="24"/>
          <w:szCs w:val="24"/>
        </w:rPr>
        <w:fldChar w:fldCharType="end"/>
      </w:r>
      <w:r>
        <w:rPr>
          <w:rFonts w:hint="eastAsia" w:ascii="宋体" w:hAnsi="宋体" w:eastAsia="宋体" w:cs="宋体"/>
          <w:color w:val="auto"/>
          <w:sz w:val="24"/>
          <w:szCs w:val="24"/>
          <w:lang w:eastAsia="zh-CN"/>
        </w:rPr>
        <w:fldChar w:fldCharType="end"/>
      </w:r>
    </w:p>
    <w:p w14:paraId="0D69E45C">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_Toc27587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7.</w:t>
      </w:r>
      <w:r>
        <w:rPr>
          <w:rFonts w:hint="eastAsia" w:cs="宋体"/>
          <w:color w:val="auto"/>
          <w:sz w:val="24"/>
          <w:szCs w:val="24"/>
          <w:lang w:eastAsia="zh-CN"/>
        </w:rPr>
        <w:t>评审</w:t>
      </w:r>
      <w:r>
        <w:rPr>
          <w:color w:val="auto"/>
          <w:sz w:val="24"/>
          <w:szCs w:val="24"/>
        </w:rPr>
        <w:tab/>
      </w:r>
      <w:r>
        <w:rPr>
          <w:color w:val="auto"/>
          <w:sz w:val="24"/>
          <w:szCs w:val="24"/>
        </w:rPr>
        <w:fldChar w:fldCharType="begin"/>
      </w:r>
      <w:r>
        <w:rPr>
          <w:color w:val="auto"/>
          <w:sz w:val="24"/>
          <w:szCs w:val="24"/>
        </w:rPr>
        <w:instrText xml:space="preserve"> PAGEREF _Toc27587 \h </w:instrText>
      </w:r>
      <w:r>
        <w:rPr>
          <w:color w:val="auto"/>
          <w:sz w:val="24"/>
          <w:szCs w:val="24"/>
        </w:rPr>
        <w:fldChar w:fldCharType="separate"/>
      </w:r>
      <w:r>
        <w:rPr>
          <w:color w:val="auto"/>
          <w:sz w:val="24"/>
          <w:szCs w:val="24"/>
        </w:rPr>
        <w:t>26</w:t>
      </w:r>
      <w:r>
        <w:rPr>
          <w:color w:val="auto"/>
          <w:sz w:val="24"/>
          <w:szCs w:val="24"/>
        </w:rPr>
        <w:fldChar w:fldCharType="end"/>
      </w:r>
      <w:r>
        <w:rPr>
          <w:rFonts w:hint="eastAsia" w:ascii="宋体" w:hAnsi="宋体" w:eastAsia="宋体" w:cs="宋体"/>
          <w:color w:val="auto"/>
          <w:sz w:val="24"/>
          <w:szCs w:val="24"/>
          <w:lang w:eastAsia="zh-CN"/>
        </w:rPr>
        <w:fldChar w:fldCharType="end"/>
      </w:r>
    </w:p>
    <w:p w14:paraId="1BA6A6F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_Toc8589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8.中标和合同</w:t>
      </w:r>
      <w:r>
        <w:rPr>
          <w:color w:val="auto"/>
          <w:sz w:val="24"/>
          <w:szCs w:val="24"/>
        </w:rPr>
        <w:tab/>
      </w:r>
      <w:r>
        <w:rPr>
          <w:color w:val="auto"/>
          <w:sz w:val="24"/>
          <w:szCs w:val="24"/>
        </w:rPr>
        <w:fldChar w:fldCharType="begin"/>
      </w:r>
      <w:r>
        <w:rPr>
          <w:color w:val="auto"/>
          <w:sz w:val="24"/>
          <w:szCs w:val="24"/>
        </w:rPr>
        <w:instrText xml:space="preserve"> PAGEREF _Toc8589 \h </w:instrText>
      </w:r>
      <w:r>
        <w:rPr>
          <w:color w:val="auto"/>
          <w:sz w:val="24"/>
          <w:szCs w:val="24"/>
        </w:rPr>
        <w:fldChar w:fldCharType="separate"/>
      </w:r>
      <w:r>
        <w:rPr>
          <w:color w:val="auto"/>
          <w:sz w:val="24"/>
          <w:szCs w:val="24"/>
        </w:rPr>
        <w:t>28</w:t>
      </w:r>
      <w:r>
        <w:rPr>
          <w:color w:val="auto"/>
          <w:sz w:val="24"/>
          <w:szCs w:val="24"/>
        </w:rPr>
        <w:fldChar w:fldCharType="end"/>
      </w:r>
      <w:r>
        <w:rPr>
          <w:rFonts w:hint="eastAsia" w:ascii="宋体" w:hAnsi="宋体" w:eastAsia="宋体" w:cs="宋体"/>
          <w:color w:val="auto"/>
          <w:sz w:val="24"/>
          <w:szCs w:val="24"/>
          <w:lang w:eastAsia="zh-CN"/>
        </w:rPr>
        <w:fldChar w:fldCharType="end"/>
      </w:r>
    </w:p>
    <w:p w14:paraId="648D570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_Toc20952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9.需要补充的其他内容</w:t>
      </w:r>
      <w:r>
        <w:rPr>
          <w:color w:val="auto"/>
          <w:sz w:val="24"/>
          <w:szCs w:val="24"/>
        </w:rPr>
        <w:tab/>
      </w:r>
      <w:r>
        <w:rPr>
          <w:color w:val="auto"/>
          <w:sz w:val="24"/>
          <w:szCs w:val="24"/>
        </w:rPr>
        <w:fldChar w:fldCharType="begin"/>
      </w:r>
      <w:r>
        <w:rPr>
          <w:color w:val="auto"/>
          <w:sz w:val="24"/>
          <w:szCs w:val="24"/>
        </w:rPr>
        <w:instrText xml:space="preserve"> PAGEREF _Toc20952 \h </w:instrText>
      </w:r>
      <w:r>
        <w:rPr>
          <w:color w:val="auto"/>
          <w:sz w:val="24"/>
          <w:szCs w:val="24"/>
        </w:rPr>
        <w:fldChar w:fldCharType="separate"/>
      </w:r>
      <w:r>
        <w:rPr>
          <w:color w:val="auto"/>
          <w:sz w:val="24"/>
          <w:szCs w:val="24"/>
        </w:rPr>
        <w:t>29</w:t>
      </w:r>
      <w:r>
        <w:rPr>
          <w:color w:val="auto"/>
          <w:sz w:val="24"/>
          <w:szCs w:val="24"/>
        </w:rPr>
        <w:fldChar w:fldCharType="end"/>
      </w:r>
      <w:r>
        <w:rPr>
          <w:rFonts w:hint="eastAsia" w:ascii="宋体" w:hAnsi="宋体" w:eastAsia="宋体" w:cs="宋体"/>
          <w:color w:val="auto"/>
          <w:sz w:val="24"/>
          <w:szCs w:val="24"/>
          <w:lang w:eastAsia="zh-CN"/>
        </w:rPr>
        <w:fldChar w:fldCharType="end"/>
      </w:r>
    </w:p>
    <w:p w14:paraId="76B06D13">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_Toc4039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10.政府采购政策</w:t>
      </w:r>
      <w:r>
        <w:rPr>
          <w:color w:val="auto"/>
          <w:sz w:val="24"/>
          <w:szCs w:val="24"/>
        </w:rPr>
        <w:tab/>
      </w:r>
      <w:r>
        <w:rPr>
          <w:color w:val="auto"/>
          <w:sz w:val="24"/>
          <w:szCs w:val="24"/>
        </w:rPr>
        <w:fldChar w:fldCharType="begin"/>
      </w:r>
      <w:r>
        <w:rPr>
          <w:color w:val="auto"/>
          <w:sz w:val="24"/>
          <w:szCs w:val="24"/>
        </w:rPr>
        <w:instrText xml:space="preserve"> PAGEREF _Toc4039 \h </w:instrText>
      </w:r>
      <w:r>
        <w:rPr>
          <w:color w:val="auto"/>
          <w:sz w:val="24"/>
          <w:szCs w:val="24"/>
        </w:rPr>
        <w:fldChar w:fldCharType="separate"/>
      </w:r>
      <w:r>
        <w:rPr>
          <w:color w:val="auto"/>
          <w:sz w:val="24"/>
          <w:szCs w:val="24"/>
        </w:rPr>
        <w:t>29</w:t>
      </w:r>
      <w:r>
        <w:rPr>
          <w:color w:val="auto"/>
          <w:sz w:val="24"/>
          <w:szCs w:val="24"/>
        </w:rPr>
        <w:fldChar w:fldCharType="end"/>
      </w:r>
      <w:r>
        <w:rPr>
          <w:rFonts w:hint="eastAsia" w:ascii="宋体" w:hAnsi="宋体" w:eastAsia="宋体" w:cs="宋体"/>
          <w:color w:val="auto"/>
          <w:sz w:val="24"/>
          <w:szCs w:val="24"/>
          <w:lang w:eastAsia="zh-CN"/>
        </w:rPr>
        <w:fldChar w:fldCharType="end"/>
      </w:r>
    </w:p>
    <w:p w14:paraId="23782A0B">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_Toc31717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r>
        <w:rPr>
          <w:color w:val="auto"/>
          <w:sz w:val="24"/>
          <w:szCs w:val="24"/>
        </w:rPr>
        <w:tab/>
      </w:r>
      <w:r>
        <w:rPr>
          <w:color w:val="auto"/>
          <w:sz w:val="24"/>
          <w:szCs w:val="24"/>
        </w:rPr>
        <w:fldChar w:fldCharType="begin"/>
      </w:r>
      <w:r>
        <w:rPr>
          <w:color w:val="auto"/>
          <w:sz w:val="24"/>
          <w:szCs w:val="24"/>
        </w:rPr>
        <w:instrText xml:space="preserve"> PAGEREF _Toc31717 \h </w:instrText>
      </w:r>
      <w:r>
        <w:rPr>
          <w:color w:val="auto"/>
          <w:sz w:val="24"/>
          <w:szCs w:val="24"/>
        </w:rPr>
        <w:fldChar w:fldCharType="separate"/>
      </w:r>
      <w:r>
        <w:rPr>
          <w:color w:val="auto"/>
          <w:sz w:val="24"/>
          <w:szCs w:val="24"/>
        </w:rPr>
        <w:t>32</w:t>
      </w:r>
      <w:r>
        <w:rPr>
          <w:color w:val="auto"/>
          <w:sz w:val="24"/>
          <w:szCs w:val="24"/>
        </w:rPr>
        <w:fldChar w:fldCharType="end"/>
      </w:r>
      <w:r>
        <w:rPr>
          <w:rFonts w:hint="eastAsia" w:ascii="宋体" w:hAnsi="宋体" w:eastAsia="宋体" w:cs="宋体"/>
          <w:color w:val="auto"/>
          <w:sz w:val="24"/>
          <w:szCs w:val="24"/>
          <w:lang w:eastAsia="zh-CN"/>
        </w:rPr>
        <w:fldChar w:fldCharType="end"/>
      </w:r>
    </w:p>
    <w:p w14:paraId="6BD9AAF2">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_Toc29024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第三章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评</w:t>
      </w:r>
      <w:r>
        <w:rPr>
          <w:rFonts w:hint="eastAsia" w:ascii="宋体" w:hAnsi="宋体" w:eastAsia="宋体" w:cs="宋体"/>
          <w:b/>
          <w:bCs/>
          <w:color w:val="auto"/>
          <w:sz w:val="24"/>
          <w:szCs w:val="24"/>
          <w:lang w:val="en-US" w:eastAsia="zh-CN"/>
        </w:rPr>
        <w:t>审</w:t>
      </w:r>
      <w:r>
        <w:rPr>
          <w:rFonts w:hint="eastAsia" w:ascii="宋体" w:hAnsi="宋体" w:eastAsia="宋体" w:cs="宋体"/>
          <w:b/>
          <w:bCs/>
          <w:color w:val="auto"/>
          <w:sz w:val="24"/>
          <w:szCs w:val="24"/>
          <w:lang w:eastAsia="zh-CN"/>
        </w:rPr>
        <w:t>办法（综合评分法）</w:t>
      </w:r>
      <w:r>
        <w:rPr>
          <w:color w:val="auto"/>
          <w:sz w:val="24"/>
          <w:szCs w:val="24"/>
        </w:rPr>
        <w:tab/>
      </w:r>
      <w:r>
        <w:rPr>
          <w:color w:val="auto"/>
          <w:sz w:val="24"/>
          <w:szCs w:val="24"/>
        </w:rPr>
        <w:fldChar w:fldCharType="begin"/>
      </w:r>
      <w:r>
        <w:rPr>
          <w:color w:val="auto"/>
          <w:sz w:val="24"/>
          <w:szCs w:val="24"/>
        </w:rPr>
        <w:instrText xml:space="preserve"> PAGEREF _Toc29024 \h </w:instrText>
      </w:r>
      <w:r>
        <w:rPr>
          <w:color w:val="auto"/>
          <w:sz w:val="24"/>
          <w:szCs w:val="24"/>
        </w:rPr>
        <w:fldChar w:fldCharType="separate"/>
      </w:r>
      <w:r>
        <w:rPr>
          <w:color w:val="auto"/>
          <w:sz w:val="24"/>
          <w:szCs w:val="24"/>
        </w:rPr>
        <w:t>39</w:t>
      </w:r>
      <w:r>
        <w:rPr>
          <w:color w:val="auto"/>
          <w:sz w:val="24"/>
          <w:szCs w:val="24"/>
        </w:rPr>
        <w:fldChar w:fldCharType="end"/>
      </w:r>
      <w:r>
        <w:rPr>
          <w:rFonts w:hint="eastAsia" w:ascii="宋体" w:hAnsi="宋体" w:eastAsia="宋体" w:cs="宋体"/>
          <w:color w:val="auto"/>
          <w:sz w:val="24"/>
          <w:szCs w:val="24"/>
          <w:lang w:eastAsia="zh-CN"/>
        </w:rPr>
        <w:fldChar w:fldCharType="end"/>
      </w:r>
    </w:p>
    <w:p w14:paraId="50F8A1D2">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_Toc10154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评审标准前附表</w:t>
      </w:r>
      <w:r>
        <w:rPr>
          <w:color w:val="auto"/>
          <w:sz w:val="24"/>
          <w:szCs w:val="24"/>
        </w:rPr>
        <w:tab/>
      </w:r>
      <w:r>
        <w:rPr>
          <w:color w:val="auto"/>
          <w:sz w:val="24"/>
          <w:szCs w:val="24"/>
        </w:rPr>
        <w:fldChar w:fldCharType="begin"/>
      </w:r>
      <w:r>
        <w:rPr>
          <w:color w:val="auto"/>
          <w:sz w:val="24"/>
          <w:szCs w:val="24"/>
        </w:rPr>
        <w:instrText xml:space="preserve"> PAGEREF _Toc10154 \h </w:instrText>
      </w:r>
      <w:r>
        <w:rPr>
          <w:color w:val="auto"/>
          <w:sz w:val="24"/>
          <w:szCs w:val="24"/>
        </w:rPr>
        <w:fldChar w:fldCharType="separate"/>
      </w:r>
      <w:r>
        <w:rPr>
          <w:color w:val="auto"/>
          <w:sz w:val="24"/>
          <w:szCs w:val="24"/>
        </w:rPr>
        <w:t>39</w:t>
      </w:r>
      <w:r>
        <w:rPr>
          <w:color w:val="auto"/>
          <w:sz w:val="24"/>
          <w:szCs w:val="24"/>
        </w:rPr>
        <w:fldChar w:fldCharType="end"/>
      </w:r>
      <w:r>
        <w:rPr>
          <w:rFonts w:hint="eastAsia" w:ascii="宋体" w:hAnsi="宋体" w:eastAsia="宋体" w:cs="宋体"/>
          <w:color w:val="auto"/>
          <w:sz w:val="24"/>
          <w:szCs w:val="24"/>
          <w:lang w:eastAsia="zh-CN"/>
        </w:rPr>
        <w:fldChar w:fldCharType="end"/>
      </w:r>
    </w:p>
    <w:p w14:paraId="27F3D430">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_Toc6983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w:t>
      </w:r>
      <w:r>
        <w:rPr>
          <w:color w:val="auto"/>
          <w:sz w:val="24"/>
          <w:szCs w:val="24"/>
        </w:rPr>
        <w:tab/>
      </w:r>
      <w:r>
        <w:rPr>
          <w:color w:val="auto"/>
          <w:sz w:val="24"/>
          <w:szCs w:val="24"/>
        </w:rPr>
        <w:fldChar w:fldCharType="begin"/>
      </w:r>
      <w:r>
        <w:rPr>
          <w:color w:val="auto"/>
          <w:sz w:val="24"/>
          <w:szCs w:val="24"/>
        </w:rPr>
        <w:instrText xml:space="preserve"> PAGEREF _Toc6983 \h </w:instrText>
      </w:r>
      <w:r>
        <w:rPr>
          <w:color w:val="auto"/>
          <w:sz w:val="24"/>
          <w:szCs w:val="24"/>
        </w:rPr>
        <w:fldChar w:fldCharType="separate"/>
      </w:r>
      <w:r>
        <w:rPr>
          <w:color w:val="auto"/>
          <w:sz w:val="24"/>
          <w:szCs w:val="24"/>
        </w:rPr>
        <w:t>43</w:t>
      </w:r>
      <w:r>
        <w:rPr>
          <w:color w:val="auto"/>
          <w:sz w:val="24"/>
          <w:szCs w:val="24"/>
        </w:rPr>
        <w:fldChar w:fldCharType="end"/>
      </w:r>
      <w:r>
        <w:rPr>
          <w:rFonts w:hint="eastAsia" w:ascii="宋体" w:hAnsi="宋体" w:eastAsia="宋体" w:cs="宋体"/>
          <w:color w:val="auto"/>
          <w:sz w:val="24"/>
          <w:szCs w:val="24"/>
          <w:lang w:eastAsia="zh-CN"/>
        </w:rPr>
        <w:fldChar w:fldCharType="end"/>
      </w:r>
    </w:p>
    <w:p w14:paraId="11EA8EBE">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_Toc28162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程序及标准</w:t>
      </w:r>
      <w:r>
        <w:rPr>
          <w:color w:val="auto"/>
          <w:sz w:val="24"/>
          <w:szCs w:val="24"/>
        </w:rPr>
        <w:tab/>
      </w:r>
      <w:r>
        <w:rPr>
          <w:color w:val="auto"/>
          <w:sz w:val="24"/>
          <w:szCs w:val="24"/>
        </w:rPr>
        <w:fldChar w:fldCharType="begin"/>
      </w:r>
      <w:r>
        <w:rPr>
          <w:color w:val="auto"/>
          <w:sz w:val="24"/>
          <w:szCs w:val="24"/>
        </w:rPr>
        <w:instrText xml:space="preserve"> PAGEREF _Toc28162 \h </w:instrText>
      </w:r>
      <w:r>
        <w:rPr>
          <w:color w:val="auto"/>
          <w:sz w:val="24"/>
          <w:szCs w:val="24"/>
        </w:rPr>
        <w:fldChar w:fldCharType="separate"/>
      </w:r>
      <w:r>
        <w:rPr>
          <w:color w:val="auto"/>
          <w:sz w:val="24"/>
          <w:szCs w:val="24"/>
        </w:rPr>
        <w:t>46</w:t>
      </w:r>
      <w:r>
        <w:rPr>
          <w:color w:val="auto"/>
          <w:sz w:val="24"/>
          <w:szCs w:val="24"/>
        </w:rPr>
        <w:fldChar w:fldCharType="end"/>
      </w:r>
      <w:r>
        <w:rPr>
          <w:rFonts w:hint="eastAsia" w:ascii="宋体" w:hAnsi="宋体" w:eastAsia="宋体" w:cs="宋体"/>
          <w:color w:val="auto"/>
          <w:sz w:val="24"/>
          <w:szCs w:val="24"/>
          <w:lang w:eastAsia="zh-CN"/>
        </w:rPr>
        <w:fldChar w:fldCharType="end"/>
      </w:r>
    </w:p>
    <w:p w14:paraId="2366068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_Toc9202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详细评审</w:t>
      </w:r>
      <w:r>
        <w:rPr>
          <w:color w:val="auto"/>
          <w:sz w:val="24"/>
          <w:szCs w:val="24"/>
        </w:rPr>
        <w:tab/>
      </w:r>
      <w:r>
        <w:rPr>
          <w:color w:val="auto"/>
          <w:sz w:val="24"/>
          <w:szCs w:val="24"/>
        </w:rPr>
        <w:fldChar w:fldCharType="begin"/>
      </w:r>
      <w:r>
        <w:rPr>
          <w:color w:val="auto"/>
          <w:sz w:val="24"/>
          <w:szCs w:val="24"/>
        </w:rPr>
        <w:instrText xml:space="preserve"> PAGEREF _Toc9202 \h </w:instrText>
      </w:r>
      <w:r>
        <w:rPr>
          <w:color w:val="auto"/>
          <w:sz w:val="24"/>
          <w:szCs w:val="24"/>
        </w:rPr>
        <w:fldChar w:fldCharType="separate"/>
      </w:r>
      <w:r>
        <w:rPr>
          <w:color w:val="auto"/>
          <w:sz w:val="24"/>
          <w:szCs w:val="24"/>
        </w:rPr>
        <w:t>46</w:t>
      </w:r>
      <w:r>
        <w:rPr>
          <w:color w:val="auto"/>
          <w:sz w:val="24"/>
          <w:szCs w:val="24"/>
        </w:rPr>
        <w:fldChar w:fldCharType="end"/>
      </w:r>
      <w:r>
        <w:rPr>
          <w:rFonts w:hint="eastAsia" w:ascii="宋体" w:hAnsi="宋体" w:eastAsia="宋体" w:cs="宋体"/>
          <w:color w:val="auto"/>
          <w:sz w:val="24"/>
          <w:szCs w:val="24"/>
          <w:lang w:eastAsia="zh-CN"/>
        </w:rPr>
        <w:fldChar w:fldCharType="end"/>
      </w:r>
    </w:p>
    <w:p w14:paraId="245D3D15">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_Toc26669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r>
        <w:rPr>
          <w:color w:val="auto"/>
          <w:sz w:val="24"/>
          <w:szCs w:val="24"/>
        </w:rPr>
        <w:tab/>
      </w:r>
      <w:r>
        <w:rPr>
          <w:color w:val="auto"/>
          <w:sz w:val="24"/>
          <w:szCs w:val="24"/>
        </w:rPr>
        <w:fldChar w:fldCharType="begin"/>
      </w:r>
      <w:r>
        <w:rPr>
          <w:color w:val="auto"/>
          <w:sz w:val="24"/>
          <w:szCs w:val="24"/>
        </w:rPr>
        <w:instrText xml:space="preserve"> PAGEREF _Toc26669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宋体" w:hAnsi="宋体" w:eastAsia="宋体" w:cs="宋体"/>
          <w:color w:val="auto"/>
          <w:sz w:val="24"/>
          <w:szCs w:val="24"/>
          <w:lang w:eastAsia="zh-CN"/>
        </w:rPr>
        <w:fldChar w:fldCharType="end"/>
      </w:r>
    </w:p>
    <w:p w14:paraId="33850CEA">
      <w:pPr>
        <w:pStyle w:val="5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_Toc22536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结果</w:t>
      </w:r>
      <w:r>
        <w:rPr>
          <w:color w:val="auto"/>
          <w:sz w:val="24"/>
          <w:szCs w:val="24"/>
        </w:rPr>
        <w:tab/>
      </w:r>
      <w:r>
        <w:rPr>
          <w:color w:val="auto"/>
          <w:sz w:val="24"/>
          <w:szCs w:val="24"/>
        </w:rPr>
        <w:fldChar w:fldCharType="begin"/>
      </w:r>
      <w:r>
        <w:rPr>
          <w:color w:val="auto"/>
          <w:sz w:val="24"/>
          <w:szCs w:val="24"/>
        </w:rPr>
        <w:instrText xml:space="preserve"> PAGEREF _Toc22536 \h </w:instrText>
      </w:r>
      <w:r>
        <w:rPr>
          <w:color w:val="auto"/>
          <w:sz w:val="24"/>
          <w:szCs w:val="24"/>
        </w:rPr>
        <w:fldChar w:fldCharType="separate"/>
      </w:r>
      <w:r>
        <w:rPr>
          <w:color w:val="auto"/>
          <w:sz w:val="24"/>
          <w:szCs w:val="24"/>
        </w:rPr>
        <w:t>47</w:t>
      </w:r>
      <w:r>
        <w:rPr>
          <w:color w:val="auto"/>
          <w:sz w:val="24"/>
          <w:szCs w:val="24"/>
        </w:rPr>
        <w:fldChar w:fldCharType="end"/>
      </w:r>
      <w:r>
        <w:rPr>
          <w:rFonts w:hint="eastAsia" w:ascii="宋体" w:hAnsi="宋体" w:eastAsia="宋体" w:cs="宋体"/>
          <w:color w:val="auto"/>
          <w:sz w:val="24"/>
          <w:szCs w:val="24"/>
          <w:lang w:eastAsia="zh-CN"/>
        </w:rPr>
        <w:fldChar w:fldCharType="end"/>
      </w:r>
    </w:p>
    <w:p w14:paraId="4C8E03CA">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_Toc18113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color w:val="auto"/>
          <w:sz w:val="24"/>
          <w:szCs w:val="24"/>
        </w:rPr>
        <w:tab/>
      </w:r>
      <w:r>
        <w:rPr>
          <w:color w:val="auto"/>
          <w:sz w:val="24"/>
          <w:szCs w:val="24"/>
        </w:rPr>
        <w:fldChar w:fldCharType="begin"/>
      </w:r>
      <w:r>
        <w:rPr>
          <w:color w:val="auto"/>
          <w:sz w:val="24"/>
          <w:szCs w:val="24"/>
        </w:rPr>
        <w:instrText xml:space="preserve"> PAGEREF _Toc18113 \h </w:instrText>
      </w:r>
      <w:r>
        <w:rPr>
          <w:color w:val="auto"/>
          <w:sz w:val="24"/>
          <w:szCs w:val="24"/>
        </w:rPr>
        <w:fldChar w:fldCharType="separate"/>
      </w:r>
      <w:r>
        <w:rPr>
          <w:color w:val="auto"/>
          <w:sz w:val="24"/>
          <w:szCs w:val="24"/>
        </w:rPr>
        <w:t>48</w:t>
      </w:r>
      <w:r>
        <w:rPr>
          <w:color w:val="auto"/>
          <w:sz w:val="24"/>
          <w:szCs w:val="24"/>
        </w:rPr>
        <w:fldChar w:fldCharType="end"/>
      </w:r>
      <w:r>
        <w:rPr>
          <w:rFonts w:hint="eastAsia" w:ascii="宋体" w:hAnsi="宋体" w:eastAsia="宋体" w:cs="宋体"/>
          <w:color w:val="auto"/>
          <w:sz w:val="24"/>
          <w:szCs w:val="24"/>
          <w:lang w:eastAsia="zh-CN"/>
        </w:rPr>
        <w:fldChar w:fldCharType="end"/>
      </w:r>
    </w:p>
    <w:p w14:paraId="08FC6A81">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_Toc9190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一、特别说明与规定</w:t>
      </w:r>
      <w:r>
        <w:rPr>
          <w:color w:val="auto"/>
          <w:sz w:val="24"/>
          <w:szCs w:val="24"/>
        </w:rPr>
        <w:tab/>
      </w:r>
      <w:r>
        <w:rPr>
          <w:color w:val="auto"/>
          <w:sz w:val="24"/>
          <w:szCs w:val="24"/>
        </w:rPr>
        <w:fldChar w:fldCharType="begin"/>
      </w:r>
      <w:r>
        <w:rPr>
          <w:color w:val="auto"/>
          <w:sz w:val="24"/>
          <w:szCs w:val="24"/>
        </w:rPr>
        <w:instrText xml:space="preserve"> PAGEREF _Toc9190 \h </w:instrText>
      </w:r>
      <w:r>
        <w:rPr>
          <w:color w:val="auto"/>
          <w:sz w:val="24"/>
          <w:szCs w:val="24"/>
        </w:rPr>
        <w:fldChar w:fldCharType="separate"/>
      </w:r>
      <w:r>
        <w:rPr>
          <w:color w:val="auto"/>
          <w:sz w:val="24"/>
          <w:szCs w:val="24"/>
        </w:rPr>
        <w:t>48</w:t>
      </w:r>
      <w:r>
        <w:rPr>
          <w:color w:val="auto"/>
          <w:sz w:val="24"/>
          <w:szCs w:val="24"/>
        </w:rPr>
        <w:fldChar w:fldCharType="end"/>
      </w:r>
      <w:r>
        <w:rPr>
          <w:rFonts w:hint="eastAsia" w:ascii="宋体" w:hAnsi="宋体" w:eastAsia="宋体" w:cs="宋体"/>
          <w:color w:val="auto"/>
          <w:sz w:val="24"/>
          <w:szCs w:val="24"/>
          <w:lang w:eastAsia="zh-CN"/>
        </w:rPr>
        <w:fldChar w:fldCharType="end"/>
      </w:r>
    </w:p>
    <w:p w14:paraId="411203C7">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_Toc9213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二、技术要求</w:t>
      </w:r>
      <w:r>
        <w:rPr>
          <w:color w:val="auto"/>
          <w:sz w:val="24"/>
          <w:szCs w:val="24"/>
        </w:rPr>
        <w:tab/>
      </w:r>
      <w:r>
        <w:rPr>
          <w:color w:val="auto"/>
          <w:sz w:val="24"/>
          <w:szCs w:val="24"/>
        </w:rPr>
        <w:fldChar w:fldCharType="begin"/>
      </w:r>
      <w:r>
        <w:rPr>
          <w:color w:val="auto"/>
          <w:sz w:val="24"/>
          <w:szCs w:val="24"/>
        </w:rPr>
        <w:instrText xml:space="preserve"> PAGEREF _Toc9213 \h </w:instrText>
      </w:r>
      <w:r>
        <w:rPr>
          <w:color w:val="auto"/>
          <w:sz w:val="24"/>
          <w:szCs w:val="24"/>
        </w:rPr>
        <w:fldChar w:fldCharType="separate"/>
      </w:r>
      <w:r>
        <w:rPr>
          <w:color w:val="auto"/>
          <w:sz w:val="24"/>
          <w:szCs w:val="24"/>
        </w:rPr>
        <w:t>50</w:t>
      </w:r>
      <w:r>
        <w:rPr>
          <w:color w:val="auto"/>
          <w:sz w:val="24"/>
          <w:szCs w:val="24"/>
        </w:rPr>
        <w:fldChar w:fldCharType="end"/>
      </w:r>
      <w:r>
        <w:rPr>
          <w:rFonts w:hint="eastAsia" w:ascii="宋体" w:hAnsi="宋体" w:eastAsia="宋体" w:cs="宋体"/>
          <w:color w:val="auto"/>
          <w:sz w:val="24"/>
          <w:szCs w:val="24"/>
          <w:lang w:eastAsia="zh-CN"/>
        </w:rPr>
        <w:fldChar w:fldCharType="end"/>
      </w:r>
    </w:p>
    <w:p w14:paraId="7A95E8F7">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_Toc1546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三、其他商务要求</w:t>
      </w:r>
      <w:r>
        <w:rPr>
          <w:color w:val="auto"/>
          <w:sz w:val="24"/>
          <w:szCs w:val="24"/>
        </w:rPr>
        <w:tab/>
      </w:r>
      <w:r>
        <w:rPr>
          <w:color w:val="auto"/>
          <w:sz w:val="24"/>
          <w:szCs w:val="24"/>
        </w:rPr>
        <w:fldChar w:fldCharType="begin"/>
      </w:r>
      <w:r>
        <w:rPr>
          <w:color w:val="auto"/>
          <w:sz w:val="24"/>
          <w:szCs w:val="24"/>
        </w:rPr>
        <w:instrText xml:space="preserve"> PAGEREF _Toc1546 \h </w:instrText>
      </w:r>
      <w:r>
        <w:rPr>
          <w:color w:val="auto"/>
          <w:sz w:val="24"/>
          <w:szCs w:val="24"/>
        </w:rPr>
        <w:fldChar w:fldCharType="separate"/>
      </w:r>
      <w:r>
        <w:rPr>
          <w:color w:val="auto"/>
          <w:sz w:val="24"/>
          <w:szCs w:val="24"/>
        </w:rPr>
        <w:t>50</w:t>
      </w:r>
      <w:r>
        <w:rPr>
          <w:color w:val="auto"/>
          <w:sz w:val="24"/>
          <w:szCs w:val="24"/>
        </w:rPr>
        <w:fldChar w:fldCharType="end"/>
      </w:r>
      <w:r>
        <w:rPr>
          <w:rFonts w:hint="eastAsia" w:ascii="宋体" w:hAnsi="宋体" w:eastAsia="宋体" w:cs="宋体"/>
          <w:color w:val="auto"/>
          <w:sz w:val="24"/>
          <w:szCs w:val="24"/>
          <w:lang w:eastAsia="zh-CN"/>
        </w:rPr>
        <w:fldChar w:fldCharType="end"/>
      </w:r>
    </w:p>
    <w:p w14:paraId="7E7742DD">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_Toc27474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合同条款及格式</w:t>
      </w:r>
      <w:r>
        <w:rPr>
          <w:color w:val="auto"/>
          <w:sz w:val="24"/>
          <w:szCs w:val="24"/>
        </w:rPr>
        <w:tab/>
      </w:r>
      <w:r>
        <w:rPr>
          <w:color w:val="auto"/>
          <w:sz w:val="24"/>
          <w:szCs w:val="24"/>
        </w:rPr>
        <w:fldChar w:fldCharType="begin"/>
      </w:r>
      <w:r>
        <w:rPr>
          <w:color w:val="auto"/>
          <w:sz w:val="24"/>
          <w:szCs w:val="24"/>
        </w:rPr>
        <w:instrText xml:space="preserve"> PAGEREF _Toc27474 \h </w:instrText>
      </w:r>
      <w:r>
        <w:rPr>
          <w:color w:val="auto"/>
          <w:sz w:val="24"/>
          <w:szCs w:val="24"/>
        </w:rPr>
        <w:fldChar w:fldCharType="separate"/>
      </w:r>
      <w:r>
        <w:rPr>
          <w:color w:val="auto"/>
          <w:sz w:val="24"/>
          <w:szCs w:val="24"/>
        </w:rPr>
        <w:t>62</w:t>
      </w:r>
      <w:r>
        <w:rPr>
          <w:color w:val="auto"/>
          <w:sz w:val="24"/>
          <w:szCs w:val="24"/>
        </w:rPr>
        <w:fldChar w:fldCharType="end"/>
      </w:r>
      <w:r>
        <w:rPr>
          <w:rFonts w:hint="eastAsia" w:ascii="宋体" w:hAnsi="宋体" w:eastAsia="宋体" w:cs="宋体"/>
          <w:color w:val="auto"/>
          <w:sz w:val="24"/>
          <w:szCs w:val="24"/>
          <w:lang w:eastAsia="zh-CN"/>
        </w:rPr>
        <w:fldChar w:fldCharType="end"/>
      </w:r>
    </w:p>
    <w:p w14:paraId="5E7C644E">
      <w:pPr>
        <w:pStyle w:val="46"/>
        <w:tabs>
          <w:tab w:val="right" w:leader="dot" w:pos="9746"/>
        </w:tabs>
        <w:spacing w:line="360" w:lineRule="auto"/>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_Toc3828 </w:instrText>
      </w:r>
      <w:r>
        <w:rPr>
          <w:rFonts w:hint="eastAsia" w:ascii="宋体" w:hAnsi="宋体" w:eastAsia="宋体" w:cs="宋体"/>
          <w:color w:val="auto"/>
          <w:sz w:val="24"/>
          <w:szCs w:val="24"/>
          <w:lang w:eastAsia="zh-CN"/>
        </w:rPr>
        <w:fldChar w:fldCharType="separate"/>
      </w:r>
      <w:r>
        <w:rPr>
          <w:rFonts w:hint="eastAsia" w:ascii="宋体" w:hAnsi="宋体" w:eastAsia="宋体" w:cs="宋体"/>
          <w:b/>
          <w:bCs/>
          <w:color w:val="auto"/>
          <w:sz w:val="24"/>
          <w:szCs w:val="24"/>
          <w:lang w:eastAsia="zh-CN"/>
        </w:rPr>
        <w:t>第六章</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投标文件格式</w:t>
      </w:r>
      <w:r>
        <w:rPr>
          <w:color w:val="auto"/>
          <w:sz w:val="24"/>
          <w:szCs w:val="24"/>
        </w:rPr>
        <w:tab/>
      </w:r>
      <w:r>
        <w:rPr>
          <w:color w:val="auto"/>
          <w:sz w:val="24"/>
          <w:szCs w:val="24"/>
        </w:rPr>
        <w:fldChar w:fldCharType="begin"/>
      </w:r>
      <w:r>
        <w:rPr>
          <w:color w:val="auto"/>
          <w:sz w:val="24"/>
          <w:szCs w:val="24"/>
        </w:rPr>
        <w:instrText xml:space="preserve"> PAGEREF _Toc3828 \h </w:instrText>
      </w:r>
      <w:r>
        <w:rPr>
          <w:color w:val="auto"/>
          <w:sz w:val="24"/>
          <w:szCs w:val="24"/>
        </w:rPr>
        <w:fldChar w:fldCharType="separate"/>
      </w:r>
      <w:r>
        <w:rPr>
          <w:color w:val="auto"/>
          <w:sz w:val="24"/>
          <w:szCs w:val="24"/>
        </w:rPr>
        <w:t>91</w:t>
      </w:r>
      <w:r>
        <w:rPr>
          <w:color w:val="auto"/>
          <w:sz w:val="24"/>
          <w:szCs w:val="24"/>
        </w:rPr>
        <w:fldChar w:fldCharType="end"/>
      </w:r>
      <w:r>
        <w:rPr>
          <w:rFonts w:hint="eastAsia" w:ascii="宋体" w:hAnsi="宋体" w:eastAsia="宋体" w:cs="宋体"/>
          <w:color w:val="auto"/>
          <w:sz w:val="24"/>
          <w:szCs w:val="24"/>
          <w:lang w:eastAsia="zh-CN"/>
        </w:rPr>
        <w:fldChar w:fldCharType="end"/>
      </w:r>
    </w:p>
    <w:p w14:paraId="156B10D6">
      <w:pPr>
        <w:pStyle w:val="56"/>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_Toc9744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资格审查部分</w:t>
      </w:r>
      <w:r>
        <w:rPr>
          <w:color w:val="auto"/>
          <w:sz w:val="24"/>
          <w:szCs w:val="24"/>
        </w:rPr>
        <w:tab/>
      </w:r>
      <w:r>
        <w:rPr>
          <w:color w:val="auto"/>
          <w:sz w:val="24"/>
          <w:szCs w:val="24"/>
        </w:rPr>
        <w:fldChar w:fldCharType="begin"/>
      </w:r>
      <w:r>
        <w:rPr>
          <w:color w:val="auto"/>
          <w:sz w:val="24"/>
          <w:szCs w:val="24"/>
        </w:rPr>
        <w:instrText xml:space="preserve"> PAGEREF _Toc9744 \h </w:instrText>
      </w:r>
      <w:r>
        <w:rPr>
          <w:color w:val="auto"/>
          <w:sz w:val="24"/>
          <w:szCs w:val="24"/>
        </w:rPr>
        <w:fldChar w:fldCharType="separate"/>
      </w:r>
      <w:r>
        <w:rPr>
          <w:color w:val="auto"/>
          <w:sz w:val="24"/>
          <w:szCs w:val="24"/>
        </w:rPr>
        <w:t>93</w:t>
      </w:r>
      <w:r>
        <w:rPr>
          <w:color w:val="auto"/>
          <w:sz w:val="24"/>
          <w:szCs w:val="24"/>
        </w:rPr>
        <w:fldChar w:fldCharType="end"/>
      </w:r>
      <w:r>
        <w:rPr>
          <w:rFonts w:hint="eastAsia" w:ascii="宋体" w:hAnsi="宋体" w:eastAsia="宋体" w:cs="宋体"/>
          <w:color w:val="auto"/>
          <w:sz w:val="24"/>
          <w:szCs w:val="24"/>
          <w:lang w:eastAsia="zh-CN"/>
        </w:rPr>
        <w:fldChar w:fldCharType="end"/>
      </w:r>
    </w:p>
    <w:p w14:paraId="05FBD3FC">
      <w:pPr>
        <w:pStyle w:val="35"/>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_Toc28031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w:t>
      </w:r>
      <w:r>
        <w:rPr>
          <w:color w:val="auto"/>
          <w:sz w:val="24"/>
          <w:szCs w:val="24"/>
        </w:rPr>
        <w:tab/>
      </w:r>
      <w:r>
        <w:rPr>
          <w:color w:val="auto"/>
          <w:sz w:val="24"/>
          <w:szCs w:val="24"/>
        </w:rPr>
        <w:fldChar w:fldCharType="begin"/>
      </w:r>
      <w:r>
        <w:rPr>
          <w:color w:val="auto"/>
          <w:sz w:val="24"/>
          <w:szCs w:val="24"/>
        </w:rPr>
        <w:instrText xml:space="preserve"> PAGEREF _Toc28031 \h </w:instrText>
      </w:r>
      <w:r>
        <w:rPr>
          <w:color w:val="auto"/>
          <w:sz w:val="24"/>
          <w:szCs w:val="24"/>
        </w:rPr>
        <w:fldChar w:fldCharType="separate"/>
      </w:r>
      <w:r>
        <w:rPr>
          <w:color w:val="auto"/>
          <w:sz w:val="24"/>
          <w:szCs w:val="24"/>
        </w:rPr>
        <w:t>107</w:t>
      </w:r>
      <w:r>
        <w:rPr>
          <w:color w:val="auto"/>
          <w:sz w:val="24"/>
          <w:szCs w:val="24"/>
        </w:rPr>
        <w:fldChar w:fldCharType="end"/>
      </w:r>
      <w:r>
        <w:rPr>
          <w:rFonts w:hint="eastAsia" w:ascii="宋体" w:hAnsi="宋体" w:eastAsia="宋体" w:cs="宋体"/>
          <w:color w:val="auto"/>
          <w:sz w:val="24"/>
          <w:szCs w:val="24"/>
          <w:lang w:eastAsia="zh-CN"/>
        </w:rPr>
        <w:fldChar w:fldCharType="end"/>
      </w:r>
    </w:p>
    <w:p w14:paraId="4E192C36">
      <w:pPr>
        <w:pStyle w:val="56"/>
        <w:tabs>
          <w:tab w:val="right" w:leader="dot" w:pos="9746"/>
        </w:tabs>
        <w:spacing w:line="360" w:lineRule="auto"/>
        <w:ind w:left="0" w:leftChars="0" w:firstLine="0" w:firstLineChars="0"/>
        <w:rPr>
          <w:color w:val="auto"/>
          <w:sz w:val="24"/>
          <w:szCs w:val="24"/>
        </w:rPr>
      </w:pP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\l _Toc16520 </w:instrText>
      </w:r>
      <w:r>
        <w:rPr>
          <w:rFonts w:hint="eastAsia" w:ascii="宋体" w:hAnsi="宋体" w:eastAsia="宋体" w:cs="宋体"/>
          <w:color w:val="auto"/>
          <w:sz w:val="24"/>
          <w:szCs w:val="24"/>
          <w:lang w:eastAsia="zh-CN"/>
        </w:rPr>
        <w:fldChar w:fldCharType="separate"/>
      </w:r>
      <w:r>
        <w:rPr>
          <w:rFonts w:hint="eastAsia"/>
          <w:color w:val="auto"/>
          <w:sz w:val="24"/>
          <w:szCs w:val="24"/>
          <w:lang w:eastAsia="zh-CN"/>
        </w:rPr>
        <w:t>技术、</w:t>
      </w:r>
      <w:r>
        <w:rPr>
          <w:rFonts w:hint="eastAsia"/>
          <w:color w:val="auto"/>
          <w:sz w:val="24"/>
          <w:szCs w:val="24"/>
          <w:lang w:val="en-US" w:eastAsia="zh-CN"/>
        </w:rPr>
        <w:t>商务</w:t>
      </w:r>
      <w:r>
        <w:rPr>
          <w:rFonts w:hint="eastAsia"/>
          <w:color w:val="auto"/>
          <w:sz w:val="24"/>
          <w:szCs w:val="24"/>
          <w:lang w:eastAsia="zh-CN"/>
        </w:rPr>
        <w:t>部分</w:t>
      </w:r>
      <w:r>
        <w:rPr>
          <w:color w:val="auto"/>
          <w:sz w:val="24"/>
          <w:szCs w:val="24"/>
        </w:rPr>
        <w:tab/>
      </w:r>
      <w:r>
        <w:rPr>
          <w:color w:val="auto"/>
          <w:sz w:val="24"/>
          <w:szCs w:val="24"/>
        </w:rPr>
        <w:fldChar w:fldCharType="begin"/>
      </w:r>
      <w:r>
        <w:rPr>
          <w:color w:val="auto"/>
          <w:sz w:val="24"/>
          <w:szCs w:val="24"/>
        </w:rPr>
        <w:instrText xml:space="preserve"> PAGEREF _Toc16520 \h </w:instrText>
      </w:r>
      <w:r>
        <w:rPr>
          <w:color w:val="auto"/>
          <w:sz w:val="24"/>
          <w:szCs w:val="24"/>
        </w:rPr>
        <w:fldChar w:fldCharType="separate"/>
      </w:r>
      <w:r>
        <w:rPr>
          <w:color w:val="auto"/>
          <w:sz w:val="24"/>
          <w:szCs w:val="24"/>
        </w:rPr>
        <w:t>114</w:t>
      </w:r>
      <w:r>
        <w:rPr>
          <w:color w:val="auto"/>
          <w:sz w:val="24"/>
          <w:szCs w:val="24"/>
        </w:rPr>
        <w:fldChar w:fldCharType="end"/>
      </w:r>
      <w:r>
        <w:rPr>
          <w:rFonts w:hint="eastAsia" w:ascii="宋体" w:hAnsi="宋体" w:eastAsia="宋体" w:cs="宋体"/>
          <w:color w:val="auto"/>
          <w:sz w:val="24"/>
          <w:szCs w:val="24"/>
          <w:lang w:eastAsia="zh-CN"/>
        </w:rPr>
        <w:fldChar w:fldCharType="end"/>
      </w:r>
    </w:p>
    <w:p w14:paraId="6E0569CC">
      <w:pPr>
        <w:pStyle w:val="35"/>
        <w:keepNext w:val="0"/>
        <w:keepLines w:val="0"/>
        <w:pageBreakBefore w:val="0"/>
        <w:widowControl w:val="0"/>
        <w:tabs>
          <w:tab w:val="right" w:leader="dot" w:pos="8736"/>
        </w:tabs>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fldChar w:fldCharType="end"/>
      </w:r>
    </w:p>
    <w:p w14:paraId="74FBE52E">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bookmarkStart w:id="1" w:name="_Toc497486315"/>
      <w:bookmarkStart w:id="2" w:name="_Toc18173"/>
    </w:p>
    <w:p w14:paraId="046053A6">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3696903C">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4D8C038E">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6451C921">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1314A8D1">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75E0BFF6">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04667657">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53D9D2FC">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1E45AD4C">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1B30C157">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3519382C">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74EE37A0">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441258A8">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28FBFE6E">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25612818">
      <w:pPr>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outlineLvl w:val="9"/>
        <w:rPr>
          <w:rStyle w:val="89"/>
          <w:rFonts w:hint="eastAsia" w:ascii="宋体" w:hAnsi="宋体" w:eastAsia="宋体" w:cs="宋体"/>
          <w:b/>
          <w:color w:val="auto"/>
          <w:lang w:eastAsia="zh-CN"/>
        </w:rPr>
      </w:pPr>
    </w:p>
    <w:p w14:paraId="00C9299F">
      <w:pPr>
        <w:pStyle w:val="3"/>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rPr>
          <w:rStyle w:val="89"/>
          <w:rFonts w:hint="eastAsia" w:ascii="宋体" w:hAnsi="宋体" w:eastAsia="宋体" w:cs="宋体"/>
          <w:b/>
          <w:color w:val="auto"/>
          <w:lang w:eastAsia="zh-CN"/>
        </w:rPr>
        <w:sectPr>
          <w:footerReference r:id="rId4" w:type="first"/>
          <w:footerReference r:id="rId3" w:type="default"/>
          <w:pgSz w:w="11906" w:h="16838"/>
          <w:pgMar w:top="1440" w:right="1080" w:bottom="1440" w:left="1080" w:header="709" w:footer="737" w:gutter="0"/>
          <w:pgNumType w:fmt="decimal" w:start="1"/>
          <w:cols w:space="720" w:num="1"/>
          <w:titlePg/>
          <w:rtlGutter w:val="0"/>
          <w:docGrid w:linePitch="299" w:charSpace="0"/>
        </w:sectPr>
      </w:pPr>
    </w:p>
    <w:p w14:paraId="7C0E9D60">
      <w:pPr>
        <w:pStyle w:val="3"/>
        <w:keepNext w:val="0"/>
        <w:keepLines w:val="0"/>
        <w:pageBreakBefore w:val="0"/>
        <w:widowControl w:val="0"/>
        <w:kinsoku/>
        <w:wordWrap w:val="0"/>
        <w:overflowPunct/>
        <w:topLinePunct/>
        <w:autoSpaceDE/>
        <w:autoSpaceDN/>
        <w:bidi w:val="0"/>
        <w:adjustRightInd/>
        <w:snapToGrid/>
        <w:spacing w:before="0" w:after="0" w:line="240" w:lineRule="auto"/>
        <w:ind w:left="0" w:leftChars="0" w:right="0"/>
        <w:textAlignment w:val="auto"/>
        <w:rPr>
          <w:rFonts w:hint="eastAsia" w:ascii="宋体" w:hAnsi="宋体" w:eastAsia="宋体" w:cs="宋体"/>
          <w:color w:val="auto"/>
          <w:sz w:val="40"/>
          <w:lang w:eastAsia="zh-CN"/>
        </w:rPr>
      </w:pPr>
      <w:r>
        <w:rPr>
          <w:rStyle w:val="89"/>
          <w:rFonts w:hint="eastAsia" w:ascii="宋体" w:hAnsi="宋体" w:eastAsia="宋体" w:cs="宋体"/>
          <w:b/>
          <w:color w:val="auto"/>
          <w:lang w:eastAsia="zh-CN"/>
        </w:rPr>
        <w:t>第一章</w:t>
      </w:r>
      <w:bookmarkEnd w:id="1"/>
      <w:bookmarkStart w:id="3" w:name="_Hlk145057294"/>
      <w:r>
        <w:rPr>
          <w:rStyle w:val="89"/>
          <w:rFonts w:hint="eastAsia" w:ascii="宋体" w:hAnsi="宋体" w:eastAsia="宋体" w:cs="宋体"/>
          <w:b/>
          <w:color w:val="auto"/>
          <w:lang w:val="en-US" w:eastAsia="zh-CN"/>
        </w:rPr>
        <w:t xml:space="preserve"> </w:t>
      </w:r>
      <w:r>
        <w:rPr>
          <w:rStyle w:val="89"/>
          <w:rFonts w:hint="eastAsia" w:ascii="宋体" w:hAnsi="宋体" w:eastAsia="宋体" w:cs="宋体"/>
          <w:b/>
          <w:color w:val="auto"/>
          <w:lang w:eastAsia="zh-CN"/>
        </w:rPr>
        <w:t>招标公告</w:t>
      </w:r>
      <w:bookmarkEnd w:id="2"/>
    </w:p>
    <w:bookmarkEnd w:id="3"/>
    <w:p w14:paraId="14310A4F">
      <w:pPr>
        <w:keepNext w:val="0"/>
        <w:keepLines w:val="0"/>
        <w:pageBreakBefore w:val="0"/>
        <w:widowControl w:val="0"/>
        <w:kinsoku/>
        <w:overflowPunct/>
        <w:autoSpaceDE/>
        <w:autoSpaceDN/>
        <w:bidi w:val="0"/>
        <w:adjustRightInd/>
        <w:snapToGrid/>
        <w:spacing w:before="0" w:after="0" w:line="360" w:lineRule="auto"/>
        <w:ind w:left="0" w:firstLine="480" w:firstLineChars="200"/>
        <w:jc w:val="left"/>
        <w:textAlignment w:val="auto"/>
        <w:outlineLvl w:val="9"/>
        <w:rPr>
          <w:rFonts w:hint="eastAsia" w:ascii="宋体" w:hAnsi="宋体" w:eastAsia="宋体" w:cs="宋体"/>
          <w:color w:val="auto"/>
          <w:sz w:val="24"/>
          <w:szCs w:val="24"/>
          <w:lang w:eastAsia="zh-CN"/>
        </w:rPr>
      </w:pPr>
      <w:bookmarkStart w:id="4" w:name="_Toc145067542"/>
      <w:bookmarkStart w:id="5" w:name="_Toc88646720"/>
      <w:bookmarkStart w:id="6" w:name="_Toc144646644"/>
      <w:bookmarkStart w:id="7" w:name="_Toc5641"/>
      <w:bookmarkStart w:id="8" w:name="_Toc88638735"/>
      <w:bookmarkStart w:id="9" w:name="_Toc9329733"/>
      <w:bookmarkStart w:id="10" w:name="_Hlk66894590"/>
      <w:bookmarkStart w:id="11" w:name="_Hlk149487957"/>
      <w:bookmarkStart w:id="12" w:name="_Hlk102052857"/>
      <w:r>
        <w:rPr>
          <w:rFonts w:hint="eastAsia" w:ascii="宋体" w:hAnsi="宋体" w:eastAsia="宋体" w:cs="宋体"/>
          <w:color w:val="auto"/>
          <w:sz w:val="24"/>
          <w:szCs w:val="24"/>
          <w:lang w:eastAsia="zh-CN"/>
        </w:rPr>
        <w:t>项目概况</w:t>
      </w:r>
      <w:bookmarkEnd w:id="4"/>
      <w:bookmarkEnd w:id="5"/>
      <w:bookmarkEnd w:id="6"/>
      <w:bookmarkEnd w:id="7"/>
      <w:bookmarkEnd w:id="8"/>
    </w:p>
    <w:p w14:paraId="0EB5A79F">
      <w:pPr>
        <w:keepNext w:val="0"/>
        <w:keepLines w:val="0"/>
        <w:pageBreakBefore w:val="0"/>
        <w:widowControl w:val="0"/>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u w:val="none"/>
          <w:lang w:val="en-US" w:eastAsia="zh-CN"/>
        </w:rPr>
        <w:t>南华县人民医院病理科设备采购项目</w:t>
      </w:r>
      <w:r>
        <w:rPr>
          <w:rFonts w:hint="eastAsia" w:ascii="宋体" w:hAnsi="宋体" w:eastAsia="宋体" w:cs="宋体"/>
          <w:color w:val="auto"/>
          <w:sz w:val="24"/>
          <w:szCs w:val="24"/>
          <w:lang w:eastAsia="zh-CN"/>
        </w:rPr>
        <w:t>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w:t>
      </w:r>
      <w:r>
        <w:rPr>
          <w:rFonts w:hint="eastAsia" w:ascii="宋体" w:hAnsi="宋体" w:eastAsia="宋体" w:cs="宋体"/>
          <w:color w:val="auto"/>
          <w:sz w:val="24"/>
          <w:szCs w:val="24"/>
          <w:lang w:val="en-US" w:eastAsia="zh-CN"/>
        </w:rPr>
        <w:t>政府采购云平台（https://www.zcygov.cn/）获取招标文件</w:t>
      </w:r>
      <w:r>
        <w:rPr>
          <w:rFonts w:hint="eastAsia" w:ascii="宋体" w:hAnsi="宋体" w:eastAsia="宋体" w:cs="宋体"/>
          <w:color w:val="auto"/>
          <w:sz w:val="24"/>
          <w:szCs w:val="24"/>
          <w:lang w:eastAsia="zh-CN"/>
        </w:rPr>
        <w:t>，并于</w:t>
      </w:r>
      <w:bookmarkStart w:id="13" w:name="_Hlk146221035"/>
      <w:r>
        <w:rPr>
          <w:rFonts w:hint="eastAsia" w:ascii="宋体" w:hAnsi="宋体" w:eastAsia="宋体" w:cs="宋体"/>
          <w:color w:val="auto"/>
          <w:sz w:val="24"/>
          <w:szCs w:val="24"/>
          <w:u w:val="none"/>
          <w:lang w:eastAsia="zh-CN"/>
        </w:rPr>
        <w:t>202</w:t>
      </w:r>
      <w:r>
        <w:rPr>
          <w:rFonts w:hint="eastAsia" w:ascii="宋体" w:hAnsi="宋体" w:cs="宋体"/>
          <w:color w:val="auto"/>
          <w:sz w:val="24"/>
          <w:szCs w:val="24"/>
          <w:u w:val="none"/>
          <w:lang w:val="en-US" w:eastAsia="zh-CN"/>
        </w:rPr>
        <w:t>5</w:t>
      </w:r>
      <w:r>
        <w:rPr>
          <w:rFonts w:hint="eastAsia" w:ascii="宋体" w:hAnsi="宋体" w:eastAsia="宋体" w:cs="宋体"/>
          <w:color w:val="auto"/>
          <w:sz w:val="24"/>
          <w:szCs w:val="24"/>
          <w:u w:val="none"/>
          <w:lang w:eastAsia="zh-CN"/>
        </w:rPr>
        <w:t>年</w:t>
      </w:r>
      <w:r>
        <w:rPr>
          <w:rFonts w:hint="eastAsia" w:ascii="宋体" w:hAnsi="宋体" w:cs="宋体"/>
          <w:color w:val="auto"/>
          <w:sz w:val="24"/>
          <w:szCs w:val="24"/>
          <w:u w:val="none"/>
          <w:lang w:val="en-US" w:eastAsia="zh-CN"/>
        </w:rPr>
        <w:t>06</w:t>
      </w:r>
      <w:r>
        <w:rPr>
          <w:rFonts w:hint="eastAsia" w:ascii="宋体" w:hAnsi="宋体" w:eastAsia="宋体" w:cs="宋体"/>
          <w:color w:val="auto"/>
          <w:sz w:val="24"/>
          <w:szCs w:val="24"/>
          <w:u w:val="none"/>
          <w:lang w:eastAsia="zh-CN"/>
        </w:rPr>
        <w:t>月</w:t>
      </w:r>
      <w:r>
        <w:rPr>
          <w:rFonts w:hint="eastAsia" w:ascii="宋体" w:hAnsi="宋体" w:cs="宋体"/>
          <w:color w:val="auto"/>
          <w:sz w:val="24"/>
          <w:szCs w:val="24"/>
          <w:u w:val="none"/>
          <w:lang w:val="en-US" w:eastAsia="zh-CN"/>
        </w:rPr>
        <w:t>10</w:t>
      </w:r>
      <w:r>
        <w:rPr>
          <w:rFonts w:hint="eastAsia" w:ascii="宋体" w:hAnsi="宋体" w:eastAsia="宋体" w:cs="宋体"/>
          <w:color w:val="auto"/>
          <w:sz w:val="24"/>
          <w:szCs w:val="24"/>
          <w:u w:val="none"/>
          <w:lang w:eastAsia="zh-CN"/>
        </w:rPr>
        <w:t>日</w:t>
      </w:r>
      <w:r>
        <w:rPr>
          <w:rFonts w:hint="eastAsia" w:ascii="宋体" w:hAnsi="宋体" w:cs="宋体"/>
          <w:color w:val="auto"/>
          <w:sz w:val="24"/>
          <w:szCs w:val="24"/>
          <w:u w:val="none"/>
          <w:lang w:val="en-US" w:eastAsia="zh-CN"/>
        </w:rPr>
        <w:t>09</w:t>
      </w:r>
      <w:r>
        <w:rPr>
          <w:rFonts w:hint="eastAsia" w:ascii="宋体" w:hAnsi="宋体" w:eastAsia="宋体" w:cs="宋体"/>
          <w:color w:val="auto"/>
          <w:sz w:val="24"/>
          <w:szCs w:val="24"/>
          <w:u w:val="none"/>
          <w:lang w:eastAsia="zh-CN"/>
        </w:rPr>
        <w:t>时</w:t>
      </w:r>
      <w:r>
        <w:rPr>
          <w:rFonts w:hint="eastAsia" w:ascii="宋体" w:hAnsi="宋体" w:cs="宋体"/>
          <w:color w:val="auto"/>
          <w:sz w:val="24"/>
          <w:szCs w:val="24"/>
          <w:u w:val="none"/>
          <w:lang w:val="en-US" w:eastAsia="zh-CN"/>
        </w:rPr>
        <w:t>00</w:t>
      </w:r>
      <w:r>
        <w:rPr>
          <w:rFonts w:hint="eastAsia" w:ascii="宋体" w:hAnsi="宋体" w:eastAsia="宋体" w:cs="宋体"/>
          <w:color w:val="auto"/>
          <w:sz w:val="24"/>
          <w:szCs w:val="24"/>
          <w:lang w:eastAsia="zh-CN"/>
        </w:rPr>
        <w:t>分</w:t>
      </w:r>
      <w:bookmarkEnd w:id="13"/>
      <w:r>
        <w:rPr>
          <w:rFonts w:hint="eastAsia" w:ascii="宋体" w:hAnsi="宋体" w:eastAsia="宋体" w:cs="宋体"/>
          <w:color w:val="auto"/>
          <w:sz w:val="24"/>
          <w:szCs w:val="24"/>
          <w:lang w:eastAsia="zh-CN"/>
        </w:rPr>
        <w:t>（北京时间）前递交投标文件</w:t>
      </w:r>
      <w:r>
        <w:rPr>
          <w:rFonts w:hint="eastAsia" w:ascii="宋体" w:hAnsi="宋体" w:cs="宋体"/>
          <w:color w:val="auto"/>
          <w:sz w:val="24"/>
          <w:szCs w:val="24"/>
          <w:lang w:eastAsia="zh-CN"/>
        </w:rPr>
        <w:t>。</w:t>
      </w:r>
    </w:p>
    <w:p w14:paraId="17E4290C">
      <w:pPr>
        <w:pStyle w:val="3"/>
        <w:keepNext w:val="0"/>
        <w:keepLines w:val="0"/>
        <w:pageBreakBefore w:val="0"/>
        <w:widowControl w:val="0"/>
        <w:kinsoku/>
        <w:overflowPunct/>
        <w:autoSpaceDE/>
        <w:autoSpaceDN/>
        <w:bidi w:val="0"/>
        <w:adjustRightInd/>
        <w:snapToGrid/>
        <w:spacing w:before="0" w:after="0" w:line="360" w:lineRule="auto"/>
        <w:ind w:firstLine="482" w:firstLineChars="200"/>
        <w:jc w:val="left"/>
        <w:textAlignment w:val="auto"/>
        <w:rPr>
          <w:rFonts w:hint="eastAsia" w:ascii="宋体" w:hAnsi="宋体" w:eastAsia="宋体" w:cs="宋体"/>
          <w:color w:val="auto"/>
          <w:sz w:val="24"/>
          <w:szCs w:val="24"/>
          <w:lang w:eastAsia="zh-CN"/>
        </w:rPr>
      </w:pPr>
      <w:bookmarkStart w:id="14" w:name="_Toc88646721"/>
      <w:bookmarkStart w:id="15" w:name="_Toc24458"/>
      <w:bookmarkStart w:id="16" w:name="_Toc88638737"/>
      <w:bookmarkStart w:id="17" w:name="_Toc145067543"/>
      <w:r>
        <w:rPr>
          <w:rFonts w:hint="eastAsia" w:ascii="宋体" w:hAnsi="宋体" w:eastAsia="宋体" w:cs="宋体"/>
          <w:color w:val="auto"/>
          <w:sz w:val="24"/>
          <w:szCs w:val="24"/>
          <w:lang w:eastAsia="zh-CN"/>
        </w:rPr>
        <w:t>一</w:t>
      </w:r>
      <w:bookmarkEnd w:id="9"/>
      <w:r>
        <w:rPr>
          <w:rFonts w:hint="eastAsia" w:ascii="宋体" w:hAnsi="宋体" w:eastAsia="宋体" w:cs="宋体"/>
          <w:color w:val="auto"/>
          <w:sz w:val="24"/>
          <w:szCs w:val="24"/>
          <w:lang w:eastAsia="zh-CN"/>
        </w:rPr>
        <w:t>、项目基本情况</w:t>
      </w:r>
      <w:bookmarkEnd w:id="14"/>
      <w:bookmarkEnd w:id="15"/>
      <w:bookmarkEnd w:id="16"/>
      <w:bookmarkEnd w:id="17"/>
    </w:p>
    <w:p w14:paraId="7B742A3B">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1.项目编号：</w:t>
      </w:r>
      <w:r>
        <w:rPr>
          <w:rFonts w:hint="eastAsia" w:cs="宋体"/>
          <w:color w:val="auto"/>
          <w:sz w:val="24"/>
          <w:szCs w:val="24"/>
          <w:lang w:eastAsia="zh-CN"/>
        </w:rPr>
        <w:t>CXZC2025-G1-00260-TKZB-0003</w:t>
      </w:r>
      <w:r>
        <w:rPr>
          <w:rFonts w:hint="eastAsia" w:ascii="宋体" w:hAnsi="宋体" w:eastAsia="宋体" w:cs="宋体"/>
          <w:color w:val="auto"/>
          <w:sz w:val="24"/>
          <w:szCs w:val="24"/>
          <w:lang w:eastAsia="zh-CN"/>
        </w:rPr>
        <w:t>；</w:t>
      </w:r>
    </w:p>
    <w:p w14:paraId="5D7F551C">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2.项目名称：</w:t>
      </w:r>
      <w:r>
        <w:rPr>
          <w:rFonts w:hint="eastAsia" w:cs="宋体"/>
          <w:color w:val="auto"/>
          <w:sz w:val="24"/>
          <w:szCs w:val="24"/>
          <w:lang w:eastAsia="zh-CN"/>
        </w:rPr>
        <w:t>南华县人民医院病理科设备采购项目</w:t>
      </w:r>
      <w:r>
        <w:rPr>
          <w:rFonts w:hint="eastAsia" w:cs="宋体"/>
          <w:color w:val="auto"/>
          <w:sz w:val="24"/>
          <w:szCs w:val="24"/>
          <w:lang w:val="en-US" w:eastAsia="zh-CN"/>
        </w:rPr>
        <w:t>；</w:t>
      </w:r>
    </w:p>
    <w:p w14:paraId="210B5361">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3.预算金额：</w:t>
      </w:r>
      <w:r>
        <w:rPr>
          <w:rFonts w:hint="eastAsia" w:cs="宋体"/>
          <w:color w:val="auto"/>
          <w:sz w:val="24"/>
          <w:szCs w:val="24"/>
          <w:lang w:val="en-US" w:eastAsia="zh-CN"/>
        </w:rPr>
        <w:t>149.57</w:t>
      </w:r>
      <w:r>
        <w:rPr>
          <w:rFonts w:hint="eastAsia" w:ascii="宋体" w:hAnsi="宋体" w:eastAsia="宋体" w:cs="宋体"/>
          <w:color w:val="auto"/>
          <w:sz w:val="24"/>
          <w:szCs w:val="24"/>
          <w:lang w:val="en-US" w:eastAsia="zh-CN"/>
        </w:rPr>
        <w:t>万</w:t>
      </w:r>
      <w:r>
        <w:rPr>
          <w:rFonts w:hint="eastAsia" w:ascii="宋体" w:hAnsi="宋体" w:eastAsia="宋体" w:cs="宋体"/>
          <w:color w:val="auto"/>
          <w:sz w:val="24"/>
          <w:szCs w:val="24"/>
          <w:lang w:eastAsia="zh-CN"/>
        </w:rPr>
        <w:t>元；</w:t>
      </w:r>
    </w:p>
    <w:p w14:paraId="7FE0D2F6">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4.最高限价：</w:t>
      </w:r>
      <w:r>
        <w:rPr>
          <w:rFonts w:hint="eastAsia" w:cs="宋体"/>
          <w:color w:val="auto"/>
          <w:sz w:val="24"/>
          <w:szCs w:val="24"/>
          <w:lang w:val="en-US" w:eastAsia="zh-CN"/>
        </w:rPr>
        <w:t>149.57</w:t>
      </w:r>
      <w:r>
        <w:rPr>
          <w:rFonts w:hint="eastAsia" w:ascii="宋体" w:hAnsi="宋体" w:eastAsia="宋体" w:cs="宋体"/>
          <w:color w:val="auto"/>
          <w:sz w:val="24"/>
          <w:szCs w:val="24"/>
          <w:lang w:val="en-US" w:eastAsia="zh-CN"/>
        </w:rPr>
        <w:t>万元</w:t>
      </w:r>
      <w:r>
        <w:rPr>
          <w:rFonts w:hint="eastAsia" w:cs="宋体"/>
          <w:color w:val="auto"/>
          <w:sz w:val="24"/>
          <w:szCs w:val="24"/>
          <w:lang w:val="en-US" w:eastAsia="zh-CN"/>
        </w:rPr>
        <w:t>。</w:t>
      </w:r>
    </w:p>
    <w:p w14:paraId="0AA84A88">
      <w:pPr>
        <w:keepNext w:val="0"/>
        <w:keepLines w:val="0"/>
        <w:pageBreakBefore w:val="0"/>
        <w:widowControl w:val="0"/>
        <w:kinsoku/>
        <w:wordWrap w:val="0"/>
        <w:overflowPunct/>
        <w:topLinePunct/>
        <w:autoSpaceDE/>
        <w:autoSpaceDN/>
        <w:bidi w:val="0"/>
        <w:adjustRightInd/>
        <w:snapToGrid/>
        <w:spacing w:line="360" w:lineRule="auto"/>
        <w:ind w:left="0" w:right="0" w:firstLine="480" w:firstLineChars="200"/>
        <w:jc w:val="left"/>
        <w:textAlignment w:val="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lang w:val="en-US" w:eastAsia="zh-CN"/>
        </w:rPr>
        <w:t>5.采购需求：</w:t>
      </w:r>
    </w:p>
    <w:tbl>
      <w:tblPr>
        <w:tblStyle w:val="68"/>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3526"/>
        <w:gridCol w:w="826"/>
        <w:gridCol w:w="978"/>
        <w:gridCol w:w="1784"/>
        <w:gridCol w:w="1371"/>
      </w:tblGrid>
      <w:tr w14:paraId="6A05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32" w:type="dxa"/>
            <w:noWrap w:val="0"/>
            <w:vAlign w:val="center"/>
          </w:tcPr>
          <w:p w14:paraId="675377BD">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序号</w:t>
            </w:r>
          </w:p>
        </w:tc>
        <w:tc>
          <w:tcPr>
            <w:tcW w:w="3526" w:type="dxa"/>
            <w:noWrap w:val="0"/>
            <w:vAlign w:val="center"/>
          </w:tcPr>
          <w:p w14:paraId="2DEEB0AA">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产品名称</w:t>
            </w:r>
          </w:p>
        </w:tc>
        <w:tc>
          <w:tcPr>
            <w:tcW w:w="826" w:type="dxa"/>
            <w:noWrap w:val="0"/>
            <w:vAlign w:val="center"/>
          </w:tcPr>
          <w:p w14:paraId="20FAE96C">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数量</w:t>
            </w:r>
          </w:p>
        </w:tc>
        <w:tc>
          <w:tcPr>
            <w:tcW w:w="978" w:type="dxa"/>
            <w:noWrap w:val="0"/>
            <w:vAlign w:val="center"/>
          </w:tcPr>
          <w:p w14:paraId="6DC923DF">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计量</w:t>
            </w:r>
          </w:p>
          <w:p w14:paraId="365BFA39">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单位</w:t>
            </w:r>
          </w:p>
        </w:tc>
        <w:tc>
          <w:tcPr>
            <w:tcW w:w="1784" w:type="dxa"/>
            <w:noWrap w:val="0"/>
            <w:vAlign w:val="center"/>
          </w:tcPr>
          <w:p w14:paraId="5194DE84">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本标项</w:t>
            </w:r>
            <w:r>
              <w:rPr>
                <w:rFonts w:hint="eastAsia" w:ascii="宋体" w:hAnsi="宋体" w:cs="宋体"/>
                <w:color w:val="auto"/>
                <w:sz w:val="24"/>
                <w:szCs w:val="24"/>
                <w:lang w:val="en-US" w:eastAsia="zh-CN" w:bidi="ar-SA"/>
              </w:rPr>
              <w:t>最高限价</w:t>
            </w:r>
            <w:r>
              <w:rPr>
                <w:rFonts w:hint="eastAsia" w:ascii="宋体" w:hAnsi="宋体" w:eastAsia="宋体" w:cs="宋体"/>
                <w:color w:val="auto"/>
                <w:sz w:val="24"/>
                <w:szCs w:val="24"/>
                <w:lang w:val="en-US" w:eastAsia="zh-CN" w:bidi="ar-SA"/>
              </w:rPr>
              <w:t>（万元）</w:t>
            </w:r>
          </w:p>
        </w:tc>
        <w:tc>
          <w:tcPr>
            <w:tcW w:w="1371" w:type="dxa"/>
            <w:noWrap w:val="0"/>
            <w:vAlign w:val="center"/>
          </w:tcPr>
          <w:p w14:paraId="2B7C2682">
            <w:pPr>
              <w:keepNext w:val="0"/>
              <w:keepLines w:val="0"/>
              <w:pageBreakBefore w:val="0"/>
              <w:widowControl w:val="0"/>
              <w:kinsoku/>
              <w:wordWrap w:val="0"/>
              <w:overflowPunct w:val="0"/>
              <w:topLinePunct/>
              <w:autoSpaceDE/>
              <w:autoSpaceDN/>
              <w:bidi w:val="0"/>
              <w:adjustRightInd/>
              <w:snapToGrid/>
              <w:spacing w:line="430" w:lineRule="exact"/>
              <w:ind w:right="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是否接受进口产品</w:t>
            </w:r>
          </w:p>
        </w:tc>
      </w:tr>
      <w:tr w14:paraId="635B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79D49A7A">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1</w:t>
            </w:r>
          </w:p>
        </w:tc>
        <w:tc>
          <w:tcPr>
            <w:tcW w:w="3526" w:type="dxa"/>
            <w:noWrap w:val="0"/>
            <w:vAlign w:val="bottom"/>
          </w:tcPr>
          <w:p w14:paraId="267ADA4B">
            <w:pPr>
              <w:widowControl/>
              <w:jc w:val="center"/>
              <w:textAlignment w:val="bottom"/>
              <w:rPr>
                <w:rFonts w:hint="eastAsia" w:ascii="宋体" w:hAnsi="宋体" w:eastAsia="宋体" w:cs="宋体"/>
                <w:i w:val="0"/>
                <w:iCs w:val="0"/>
                <w:color w:val="auto"/>
                <w:sz w:val="24"/>
                <w:szCs w:val="24"/>
                <w:vertAlign w:val="baseline"/>
                <w:lang w:val="en-US" w:eastAsia="zh-CN"/>
              </w:rPr>
            </w:pPr>
            <w:r>
              <w:rPr>
                <w:rFonts w:hint="eastAsia" w:ascii="宋体" w:hAnsi="宋体" w:eastAsia="宋体" w:cs="宋体"/>
                <w:i w:val="0"/>
                <w:iCs w:val="0"/>
                <w:color w:val="auto"/>
                <w:sz w:val="24"/>
                <w:szCs w:val="24"/>
                <w:vertAlign w:val="baseline"/>
                <w:lang w:val="en-US" w:eastAsia="zh-CN"/>
              </w:rPr>
              <w:t>宫颈细胞病理图像处理软件</w:t>
            </w:r>
          </w:p>
        </w:tc>
        <w:tc>
          <w:tcPr>
            <w:tcW w:w="826" w:type="dxa"/>
            <w:noWrap w:val="0"/>
            <w:vAlign w:val="center"/>
          </w:tcPr>
          <w:p w14:paraId="56D88330">
            <w:pPr>
              <w:widowControl/>
              <w:jc w:val="center"/>
              <w:textAlignment w:val="center"/>
              <w:rPr>
                <w:rFonts w:hint="default" w:ascii="宋体" w:hAnsi="宋体" w:eastAsia="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22986D23">
            <w:pPr>
              <w:widowControl/>
              <w:jc w:val="center"/>
              <w:textAlignment w:val="center"/>
              <w:rPr>
                <w:rFonts w:hint="eastAsia" w:ascii="宋体" w:hAnsi="宋体" w:eastAsia="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套</w:t>
            </w:r>
          </w:p>
        </w:tc>
        <w:tc>
          <w:tcPr>
            <w:tcW w:w="1784" w:type="dxa"/>
            <w:vMerge w:val="restart"/>
            <w:noWrap w:val="0"/>
            <w:vAlign w:val="center"/>
          </w:tcPr>
          <w:p w14:paraId="601B86DC">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149.57</w:t>
            </w:r>
          </w:p>
        </w:tc>
        <w:tc>
          <w:tcPr>
            <w:tcW w:w="1371" w:type="dxa"/>
            <w:noWrap w:val="0"/>
            <w:vAlign w:val="center"/>
          </w:tcPr>
          <w:p w14:paraId="7E48106F">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42DB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435560D5">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2</w:t>
            </w:r>
          </w:p>
        </w:tc>
        <w:tc>
          <w:tcPr>
            <w:tcW w:w="3526" w:type="dxa"/>
            <w:noWrap w:val="0"/>
            <w:vAlign w:val="bottom"/>
          </w:tcPr>
          <w:p w14:paraId="7EFAC9FD">
            <w:pPr>
              <w:widowControl/>
              <w:jc w:val="center"/>
              <w:textAlignment w:val="bottom"/>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病理切片扫描仪</w:t>
            </w:r>
          </w:p>
        </w:tc>
        <w:tc>
          <w:tcPr>
            <w:tcW w:w="826" w:type="dxa"/>
            <w:noWrap w:val="0"/>
            <w:vAlign w:val="center"/>
          </w:tcPr>
          <w:p w14:paraId="62CC93C6">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07F6BFBC">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41117514">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2766F4FB">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72907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6D4073A4">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3</w:t>
            </w:r>
          </w:p>
        </w:tc>
        <w:tc>
          <w:tcPr>
            <w:tcW w:w="3526" w:type="dxa"/>
            <w:noWrap w:val="0"/>
            <w:vAlign w:val="bottom"/>
          </w:tcPr>
          <w:p w14:paraId="5E07D742">
            <w:pPr>
              <w:widowControl/>
              <w:jc w:val="center"/>
              <w:textAlignment w:val="bottom"/>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病理取材台</w:t>
            </w:r>
          </w:p>
        </w:tc>
        <w:tc>
          <w:tcPr>
            <w:tcW w:w="826" w:type="dxa"/>
            <w:noWrap w:val="0"/>
            <w:vAlign w:val="center"/>
          </w:tcPr>
          <w:p w14:paraId="3276F473">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3F05126A">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47EDB5DA">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54487995">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0A8DA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7383E9CE">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4</w:t>
            </w:r>
          </w:p>
        </w:tc>
        <w:tc>
          <w:tcPr>
            <w:tcW w:w="3526" w:type="dxa"/>
            <w:noWrap w:val="0"/>
            <w:vAlign w:val="center"/>
          </w:tcPr>
          <w:p w14:paraId="5AD1FBCC">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生物显微镜</w:t>
            </w:r>
          </w:p>
        </w:tc>
        <w:tc>
          <w:tcPr>
            <w:tcW w:w="826" w:type="dxa"/>
            <w:noWrap w:val="0"/>
            <w:vAlign w:val="center"/>
          </w:tcPr>
          <w:p w14:paraId="007CF6F3">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71D1DFA3">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50F876CC">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05E6B5BA">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445C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5540A361">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5</w:t>
            </w:r>
          </w:p>
        </w:tc>
        <w:tc>
          <w:tcPr>
            <w:tcW w:w="3526" w:type="dxa"/>
            <w:noWrap w:val="0"/>
            <w:vAlign w:val="center"/>
          </w:tcPr>
          <w:p w14:paraId="7BC8BB7B">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HPV分型检测系统</w:t>
            </w:r>
          </w:p>
        </w:tc>
        <w:tc>
          <w:tcPr>
            <w:tcW w:w="826" w:type="dxa"/>
            <w:noWrap w:val="0"/>
            <w:vAlign w:val="center"/>
          </w:tcPr>
          <w:p w14:paraId="1F035548">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1522E732">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1A4A2182">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06F2B270">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7329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5C402E9F">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6</w:t>
            </w:r>
          </w:p>
        </w:tc>
        <w:tc>
          <w:tcPr>
            <w:tcW w:w="3526" w:type="dxa"/>
            <w:noWrap w:val="0"/>
            <w:vAlign w:val="center"/>
          </w:tcPr>
          <w:p w14:paraId="5954EE15">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液基薄层细胞制片机</w:t>
            </w:r>
          </w:p>
        </w:tc>
        <w:tc>
          <w:tcPr>
            <w:tcW w:w="826" w:type="dxa"/>
            <w:noWrap w:val="0"/>
            <w:vAlign w:val="center"/>
          </w:tcPr>
          <w:p w14:paraId="31B2679A">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3F1466D2">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5DB546C1">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769925C6">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399C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6A2C69F3">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7</w:t>
            </w:r>
          </w:p>
        </w:tc>
        <w:tc>
          <w:tcPr>
            <w:tcW w:w="3526" w:type="dxa"/>
            <w:noWrap w:val="0"/>
            <w:vAlign w:val="center"/>
          </w:tcPr>
          <w:p w14:paraId="5ABCA667">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医用离心机</w:t>
            </w:r>
          </w:p>
        </w:tc>
        <w:tc>
          <w:tcPr>
            <w:tcW w:w="826" w:type="dxa"/>
            <w:noWrap w:val="0"/>
            <w:vAlign w:val="center"/>
          </w:tcPr>
          <w:p w14:paraId="25FF057C">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74E1C344">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60AB4838">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40F7EFEF">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46139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32" w:type="dxa"/>
            <w:noWrap w:val="0"/>
            <w:vAlign w:val="center"/>
          </w:tcPr>
          <w:p w14:paraId="70D184D0">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8</w:t>
            </w:r>
          </w:p>
        </w:tc>
        <w:tc>
          <w:tcPr>
            <w:tcW w:w="3526" w:type="dxa"/>
            <w:noWrap w:val="0"/>
            <w:vAlign w:val="center"/>
          </w:tcPr>
          <w:p w14:paraId="00B89F39">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电热恒温培养箱</w:t>
            </w:r>
          </w:p>
        </w:tc>
        <w:tc>
          <w:tcPr>
            <w:tcW w:w="826" w:type="dxa"/>
            <w:noWrap w:val="0"/>
            <w:vAlign w:val="center"/>
          </w:tcPr>
          <w:p w14:paraId="4BAA572D">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i w:val="0"/>
                <w:iCs w:val="0"/>
                <w:color w:val="auto"/>
                <w:sz w:val="24"/>
                <w:szCs w:val="24"/>
                <w:vertAlign w:val="baseline"/>
                <w:lang w:val="en-US" w:eastAsia="zh-CN"/>
              </w:rPr>
              <w:t>1</w:t>
            </w:r>
          </w:p>
        </w:tc>
        <w:tc>
          <w:tcPr>
            <w:tcW w:w="978" w:type="dxa"/>
            <w:noWrap w:val="0"/>
            <w:vAlign w:val="center"/>
          </w:tcPr>
          <w:p w14:paraId="31F20202">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1784" w:type="dxa"/>
            <w:vMerge w:val="continue"/>
            <w:noWrap w:val="0"/>
            <w:vAlign w:val="center"/>
          </w:tcPr>
          <w:p w14:paraId="697555A0">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475CDFD6">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r w14:paraId="3045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32" w:type="dxa"/>
            <w:noWrap w:val="0"/>
            <w:vAlign w:val="center"/>
          </w:tcPr>
          <w:p w14:paraId="6886A386">
            <w:pPr>
              <w:pStyle w:val="28"/>
              <w:keepNext w:val="0"/>
              <w:keepLines w:val="0"/>
              <w:pageBreakBefore w:val="0"/>
              <w:kinsoku/>
              <w:autoSpaceDE/>
              <w:autoSpaceDN/>
              <w:bidi w:val="0"/>
              <w:adjustRightInd/>
              <w:snapToGrid/>
              <w:spacing w:line="430" w:lineRule="exact"/>
              <w:ind w:left="0" w:leftChars="0" w:firstLine="0" w:firstLineChars="0"/>
              <w:jc w:val="center"/>
              <w:textAlignment w:val="auto"/>
              <w:rPr>
                <w:rFonts w:hint="default" w:cs="宋体"/>
                <w:color w:val="auto"/>
                <w:sz w:val="24"/>
                <w:szCs w:val="24"/>
                <w:lang w:val="en-US" w:eastAsia="zh-CN"/>
              </w:rPr>
            </w:pPr>
            <w:r>
              <w:rPr>
                <w:rFonts w:hint="eastAsia" w:cs="宋体"/>
                <w:color w:val="auto"/>
                <w:sz w:val="24"/>
                <w:szCs w:val="24"/>
                <w:lang w:val="en-US" w:eastAsia="zh-CN"/>
              </w:rPr>
              <w:t>9</w:t>
            </w:r>
          </w:p>
        </w:tc>
        <w:tc>
          <w:tcPr>
            <w:tcW w:w="3526" w:type="dxa"/>
            <w:noWrap w:val="0"/>
            <w:vAlign w:val="center"/>
          </w:tcPr>
          <w:p w14:paraId="38C3C991">
            <w:pPr>
              <w:widowControl/>
              <w:jc w:val="center"/>
              <w:textAlignment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化学品储存柜</w:t>
            </w:r>
          </w:p>
        </w:tc>
        <w:tc>
          <w:tcPr>
            <w:tcW w:w="826" w:type="dxa"/>
            <w:noWrap w:val="0"/>
            <w:vAlign w:val="center"/>
          </w:tcPr>
          <w:p w14:paraId="6A2447CB">
            <w:pPr>
              <w:widowControl/>
              <w:jc w:val="center"/>
              <w:textAlignment w:val="center"/>
              <w:rPr>
                <w:rFonts w:hint="default" w:ascii="宋体" w:hAnsi="宋体" w:cs="宋体"/>
                <w:i w:val="0"/>
                <w:iCs w:val="0"/>
                <w:color w:val="auto"/>
                <w:sz w:val="24"/>
                <w:szCs w:val="24"/>
                <w:vertAlign w:val="baseline"/>
                <w:lang w:val="en-US" w:eastAsia="zh-CN"/>
              </w:rPr>
            </w:pPr>
            <w:r>
              <w:rPr>
                <w:rFonts w:hint="eastAsia" w:ascii="宋体" w:hAnsi="宋体" w:cs="宋体"/>
                <w:color w:val="auto"/>
                <w:kern w:val="0"/>
                <w:sz w:val="24"/>
                <w:szCs w:val="24"/>
                <w:lang w:val="en-US" w:eastAsia="zh-CN"/>
              </w:rPr>
              <w:t>4</w:t>
            </w:r>
          </w:p>
        </w:tc>
        <w:tc>
          <w:tcPr>
            <w:tcW w:w="978" w:type="dxa"/>
            <w:noWrap w:val="0"/>
            <w:vAlign w:val="center"/>
          </w:tcPr>
          <w:p w14:paraId="6140EB78">
            <w:pPr>
              <w:widowControl/>
              <w:jc w:val="center"/>
              <w:textAlignment w:val="center"/>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个</w:t>
            </w:r>
          </w:p>
        </w:tc>
        <w:tc>
          <w:tcPr>
            <w:tcW w:w="1784" w:type="dxa"/>
            <w:vMerge w:val="continue"/>
            <w:noWrap w:val="0"/>
            <w:vAlign w:val="center"/>
          </w:tcPr>
          <w:p w14:paraId="1CC20D0F">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default" w:ascii="宋体" w:hAnsi="宋体" w:eastAsia="宋体" w:cs="宋体"/>
                <w:i w:val="0"/>
                <w:iCs w:val="0"/>
                <w:color w:val="auto"/>
                <w:sz w:val="24"/>
                <w:szCs w:val="24"/>
                <w:vertAlign w:val="baseline"/>
                <w:lang w:val="en-US" w:eastAsia="zh-CN"/>
              </w:rPr>
            </w:pPr>
          </w:p>
        </w:tc>
        <w:tc>
          <w:tcPr>
            <w:tcW w:w="1371" w:type="dxa"/>
            <w:noWrap w:val="0"/>
            <w:vAlign w:val="center"/>
          </w:tcPr>
          <w:p w14:paraId="5586935F">
            <w:pPr>
              <w:keepNext w:val="0"/>
              <w:keepLines w:val="0"/>
              <w:pageBreakBefore w:val="0"/>
              <w:widowControl w:val="0"/>
              <w:kinsoku/>
              <w:wordWrap w:val="0"/>
              <w:overflowPunct w:val="0"/>
              <w:topLinePunct/>
              <w:autoSpaceDE/>
              <w:autoSpaceDN/>
              <w:bidi w:val="0"/>
              <w:adjustRightInd/>
              <w:snapToGrid/>
              <w:spacing w:line="430" w:lineRule="exact"/>
              <w:ind w:right="0" w:rightChars="0"/>
              <w:jc w:val="center"/>
              <w:textAlignment w:val="auto"/>
              <w:rPr>
                <w:rFonts w:hint="eastAsia" w:ascii="宋体" w:hAnsi="宋体" w:eastAsia="宋体" w:cs="宋体"/>
                <w:i w:val="0"/>
                <w:iCs w:val="0"/>
                <w:color w:val="auto"/>
                <w:kern w:val="2"/>
                <w:sz w:val="24"/>
                <w:szCs w:val="24"/>
                <w:vertAlign w:val="baseline"/>
                <w:lang w:val="en-US" w:eastAsia="zh-CN" w:bidi="ar-SA"/>
              </w:rPr>
            </w:pPr>
            <w:r>
              <w:rPr>
                <w:rFonts w:hint="eastAsia" w:ascii="宋体" w:hAnsi="宋体" w:cs="宋体"/>
                <w:i w:val="0"/>
                <w:iCs w:val="0"/>
                <w:color w:val="auto"/>
                <w:kern w:val="2"/>
                <w:sz w:val="24"/>
                <w:szCs w:val="24"/>
                <w:vertAlign w:val="baseline"/>
                <w:lang w:val="en-US" w:eastAsia="zh-CN" w:bidi="ar-SA"/>
              </w:rPr>
              <w:t>否</w:t>
            </w:r>
          </w:p>
        </w:tc>
      </w:tr>
    </w:tbl>
    <w:p w14:paraId="1167D89F">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6.合同履行期限：签署合同后</w:t>
      </w:r>
      <w:r>
        <w:rPr>
          <w:rFonts w:hint="eastAsia" w:ascii="宋体" w:hAnsi="宋体" w:cs="宋体"/>
          <w:color w:val="auto"/>
          <w:sz w:val="24"/>
          <w:szCs w:val="24"/>
          <w:lang w:val="en-US" w:eastAsia="zh-CN"/>
        </w:rPr>
        <w:t>35</w:t>
      </w:r>
      <w:r>
        <w:rPr>
          <w:rFonts w:hint="eastAsia" w:ascii="宋体" w:hAnsi="宋体" w:eastAsia="宋体" w:cs="宋体"/>
          <w:color w:val="auto"/>
          <w:sz w:val="24"/>
          <w:szCs w:val="24"/>
          <w:lang w:eastAsia="zh-CN"/>
        </w:rPr>
        <w:t>日历天完成产品供货、安装、培训（具体时间以采购合同约定为准）</w:t>
      </w:r>
      <w:r>
        <w:rPr>
          <w:rFonts w:hint="eastAsia" w:ascii="宋体" w:hAnsi="宋体" w:cs="宋体"/>
          <w:color w:val="auto"/>
          <w:sz w:val="24"/>
          <w:szCs w:val="24"/>
          <w:lang w:eastAsia="zh-CN"/>
        </w:rPr>
        <w:t>。</w:t>
      </w:r>
    </w:p>
    <w:p w14:paraId="355A0317">
      <w:pPr>
        <w:pStyle w:val="28"/>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7.本项目</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b w:val="0"/>
          <w:bCs w:val="0"/>
          <w:i w:val="0"/>
          <w:iCs w:val="0"/>
          <w:color w:val="auto"/>
          <w:sz w:val="24"/>
          <w:szCs w:val="24"/>
          <w:lang w:val="en-US" w:eastAsia="zh-CN"/>
        </w:rPr>
        <w:t>不接受</w:t>
      </w:r>
      <w:r>
        <w:rPr>
          <w:rFonts w:hint="eastAsia" w:ascii="宋体" w:hAnsi="宋体" w:eastAsia="宋体" w:cs="宋体"/>
          <w:b w:val="0"/>
          <w:bCs w:val="0"/>
          <w:i w:val="0"/>
          <w:iCs w:val="0"/>
          <w:color w:val="auto"/>
          <w:sz w:val="24"/>
          <w:szCs w:val="24"/>
          <w:lang w:eastAsia="zh-CN"/>
        </w:rPr>
        <w:t>）</w:t>
      </w:r>
      <w:r>
        <w:rPr>
          <w:rFonts w:hint="eastAsia" w:ascii="宋体" w:hAnsi="宋体" w:eastAsia="宋体" w:cs="宋体"/>
          <w:color w:val="auto"/>
          <w:sz w:val="24"/>
          <w:szCs w:val="24"/>
          <w:lang w:eastAsia="zh-CN"/>
        </w:rPr>
        <w:t>联合体投标</w:t>
      </w:r>
      <w:r>
        <w:rPr>
          <w:rFonts w:hint="eastAsia" w:cs="宋体"/>
          <w:color w:val="auto"/>
          <w:sz w:val="24"/>
          <w:szCs w:val="24"/>
          <w:lang w:eastAsia="zh-CN"/>
        </w:rPr>
        <w:t>。</w:t>
      </w:r>
    </w:p>
    <w:p w14:paraId="5AA7104E">
      <w:pPr>
        <w:pStyle w:val="3"/>
        <w:keepNext w:val="0"/>
        <w:keepLines w:val="0"/>
        <w:pageBreakBefore w:val="0"/>
        <w:widowControl w:val="0"/>
        <w:kinsoku/>
        <w:overflowPunct/>
        <w:autoSpaceDE/>
        <w:autoSpaceDN/>
        <w:bidi w:val="0"/>
        <w:adjustRightInd/>
        <w:snapToGrid/>
        <w:spacing w:before="0" w:after="0" w:line="360" w:lineRule="auto"/>
        <w:ind w:firstLine="482" w:firstLineChars="200"/>
        <w:jc w:val="left"/>
        <w:textAlignment w:val="auto"/>
        <w:rPr>
          <w:rFonts w:hint="eastAsia" w:ascii="宋体" w:hAnsi="宋体" w:eastAsia="宋体" w:cs="宋体"/>
          <w:color w:val="auto"/>
          <w:sz w:val="24"/>
          <w:szCs w:val="24"/>
          <w:lang w:eastAsia="zh-CN"/>
        </w:rPr>
      </w:pPr>
      <w:bookmarkStart w:id="18" w:name="_Toc145067544"/>
      <w:bookmarkStart w:id="19" w:name="_Toc88638738"/>
      <w:bookmarkStart w:id="20" w:name="_Toc88646722"/>
      <w:bookmarkStart w:id="21" w:name="_Toc11941"/>
      <w:r>
        <w:rPr>
          <w:rFonts w:hint="eastAsia" w:ascii="宋体" w:hAnsi="宋体" w:eastAsia="宋体" w:cs="宋体"/>
          <w:color w:val="auto"/>
          <w:sz w:val="24"/>
          <w:szCs w:val="24"/>
          <w:lang w:eastAsia="zh-CN"/>
        </w:rPr>
        <w:t>二、</w:t>
      </w:r>
      <w:r>
        <w:rPr>
          <w:rFonts w:hint="eastAsia"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18"/>
      <w:bookmarkEnd w:id="19"/>
      <w:bookmarkEnd w:id="20"/>
      <w:bookmarkEnd w:id="21"/>
    </w:p>
    <w:p w14:paraId="6D2F7517">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22" w:name="_Toc13026"/>
      <w:bookmarkStart w:id="23" w:name="_Toc18326"/>
      <w:bookmarkStart w:id="24" w:name="_Toc20770"/>
      <w:bookmarkStart w:id="25" w:name="_Toc28501"/>
      <w:bookmarkStart w:id="26" w:name="_Toc13679"/>
      <w:bookmarkStart w:id="27" w:name="_Toc16725"/>
      <w:bookmarkStart w:id="28" w:name="_Toc27552"/>
      <w:bookmarkStart w:id="29" w:name="_Toc525"/>
      <w:bookmarkStart w:id="30" w:name="_Toc21596"/>
      <w:bookmarkStart w:id="31" w:name="_Toc3720"/>
      <w:bookmarkStart w:id="32" w:name="_Toc18413"/>
      <w:bookmarkStart w:id="33" w:name="_Toc27003"/>
      <w:bookmarkStart w:id="34" w:name="_Toc30773"/>
      <w:bookmarkStart w:id="35" w:name="_Toc22018"/>
      <w:bookmarkStart w:id="36" w:name="_Toc31601"/>
      <w:bookmarkStart w:id="37" w:name="_Toc2450"/>
      <w:bookmarkStart w:id="38" w:name="_Toc19792"/>
      <w:bookmarkStart w:id="39" w:name="_Toc1678"/>
      <w:bookmarkStart w:id="40" w:name="_Toc4717"/>
      <w:bookmarkStart w:id="41" w:name="_Toc3038"/>
      <w:bookmarkStart w:id="42" w:name="_Toc12895"/>
      <w:bookmarkStart w:id="43" w:name="_Toc6293"/>
      <w:r>
        <w:rPr>
          <w:rFonts w:hint="eastAsia" w:ascii="宋体" w:hAnsi="宋体" w:eastAsia="宋体" w:cs="宋体"/>
          <w:b w:val="0"/>
          <w:bCs w:val="0"/>
          <w:color w:val="auto"/>
          <w:sz w:val="24"/>
          <w:szCs w:val="24"/>
          <w:lang w:eastAsia="zh-CN"/>
        </w:rPr>
        <w:t>1.满足《中华人民共和国政府采购法》第二十二条规定；</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7C61B844">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44" w:name="_Toc2479"/>
      <w:bookmarkStart w:id="45" w:name="_Toc18680"/>
      <w:bookmarkStart w:id="46" w:name="_Toc6382"/>
      <w:bookmarkStart w:id="47" w:name="_Toc2502"/>
      <w:bookmarkStart w:id="48" w:name="_Toc17883"/>
      <w:bookmarkStart w:id="49" w:name="_Toc11096"/>
      <w:bookmarkStart w:id="50" w:name="_Toc2694"/>
      <w:bookmarkStart w:id="51" w:name="_Toc9648"/>
      <w:bookmarkStart w:id="52" w:name="_Toc5872"/>
      <w:bookmarkStart w:id="53" w:name="_Toc4832"/>
      <w:bookmarkStart w:id="54" w:name="_Toc26309"/>
      <w:bookmarkStart w:id="55" w:name="_Toc13905"/>
      <w:bookmarkStart w:id="56" w:name="_Toc12399"/>
      <w:bookmarkStart w:id="57" w:name="_Toc21793"/>
      <w:bookmarkStart w:id="58" w:name="_Toc26864"/>
      <w:bookmarkStart w:id="59" w:name="_Toc18951"/>
      <w:bookmarkStart w:id="60" w:name="_Toc7143"/>
      <w:bookmarkStart w:id="61" w:name="_Toc10628"/>
      <w:bookmarkStart w:id="62" w:name="_Toc20673"/>
      <w:bookmarkStart w:id="63" w:name="_Toc21835"/>
      <w:bookmarkStart w:id="64" w:name="_Toc568"/>
      <w:bookmarkStart w:id="65" w:name="_Toc8275"/>
      <w:r>
        <w:rPr>
          <w:rFonts w:hint="eastAsia" w:ascii="宋体" w:hAnsi="宋体" w:eastAsia="宋体" w:cs="宋体"/>
          <w:b w:val="0"/>
          <w:bCs w:val="0"/>
          <w:color w:val="auto"/>
          <w:sz w:val="24"/>
          <w:szCs w:val="24"/>
          <w:lang w:eastAsia="zh-CN"/>
        </w:rPr>
        <w:t>（一）具有独立承担民事责任的能力；</w:t>
      </w:r>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0B763E6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66" w:name="_Toc17377"/>
      <w:bookmarkStart w:id="67" w:name="_Toc30406"/>
      <w:bookmarkStart w:id="68" w:name="_Toc16899"/>
      <w:bookmarkStart w:id="69" w:name="_Toc11394"/>
      <w:bookmarkStart w:id="70" w:name="_Toc31554"/>
      <w:bookmarkStart w:id="71" w:name="_Toc16037"/>
      <w:bookmarkStart w:id="72" w:name="_Toc4008"/>
      <w:bookmarkStart w:id="73" w:name="_Toc541"/>
      <w:bookmarkStart w:id="74" w:name="_Toc8644"/>
      <w:bookmarkStart w:id="75" w:name="_Toc20913"/>
      <w:bookmarkStart w:id="76" w:name="_Toc767"/>
      <w:bookmarkStart w:id="77" w:name="_Toc22882"/>
      <w:bookmarkStart w:id="78" w:name="_Toc3800"/>
      <w:bookmarkStart w:id="79" w:name="_Toc6948"/>
      <w:r>
        <w:rPr>
          <w:rFonts w:hint="eastAsia" w:ascii="宋体" w:hAnsi="宋体" w:eastAsia="宋体" w:cs="宋体"/>
          <w:b w:val="0"/>
          <w:bCs w:val="0"/>
          <w:color w:val="auto"/>
          <w:sz w:val="24"/>
          <w:szCs w:val="24"/>
          <w:lang w:eastAsia="zh-CN"/>
        </w:rPr>
        <w:t>（二）具有良好的商业信誉和健全的财务会计制度；</w:t>
      </w:r>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05312BFE">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80" w:name="_Toc6956"/>
      <w:bookmarkStart w:id="81" w:name="_Toc24627"/>
      <w:bookmarkStart w:id="82" w:name="_Toc16484"/>
      <w:bookmarkStart w:id="83" w:name="_Toc23486"/>
      <w:bookmarkStart w:id="84" w:name="_Toc21382"/>
      <w:bookmarkStart w:id="85" w:name="_Toc8484"/>
      <w:bookmarkStart w:id="86" w:name="_Toc32080"/>
      <w:bookmarkStart w:id="87" w:name="_Toc29910"/>
      <w:bookmarkStart w:id="88" w:name="_Toc30409"/>
      <w:bookmarkStart w:id="89" w:name="_Toc3463"/>
      <w:bookmarkStart w:id="90" w:name="_Toc3678"/>
      <w:bookmarkStart w:id="91" w:name="_Toc13200"/>
      <w:bookmarkStart w:id="92" w:name="_Toc25798"/>
      <w:bookmarkStart w:id="93" w:name="_Toc31781"/>
      <w:r>
        <w:rPr>
          <w:rFonts w:hint="eastAsia" w:ascii="宋体" w:hAnsi="宋体" w:eastAsia="宋体" w:cs="宋体"/>
          <w:b w:val="0"/>
          <w:bCs w:val="0"/>
          <w:color w:val="auto"/>
          <w:sz w:val="24"/>
          <w:szCs w:val="24"/>
          <w:lang w:eastAsia="zh-CN"/>
        </w:rPr>
        <w:t>（三）具有履行合同所必需的设备和专业技术能力；</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7C938078">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94" w:name="_Toc17921"/>
      <w:bookmarkStart w:id="95" w:name="_Toc14057"/>
      <w:bookmarkStart w:id="96" w:name="_Toc29180"/>
      <w:bookmarkStart w:id="97" w:name="_Toc15307"/>
      <w:bookmarkStart w:id="98" w:name="_Toc10252"/>
      <w:bookmarkStart w:id="99" w:name="_Toc22249"/>
      <w:bookmarkStart w:id="100" w:name="_Toc1086"/>
      <w:bookmarkStart w:id="101" w:name="_Toc21324"/>
      <w:bookmarkStart w:id="102" w:name="_Toc29766"/>
      <w:bookmarkStart w:id="103" w:name="_Toc11098"/>
      <w:bookmarkStart w:id="104" w:name="_Toc16075"/>
      <w:bookmarkStart w:id="105" w:name="_Toc27574"/>
      <w:bookmarkStart w:id="106" w:name="_Toc26363"/>
      <w:bookmarkStart w:id="107" w:name="_Toc7999"/>
      <w:r>
        <w:rPr>
          <w:rFonts w:hint="eastAsia" w:ascii="宋体" w:hAnsi="宋体" w:eastAsia="宋体" w:cs="宋体"/>
          <w:b w:val="0"/>
          <w:bCs w:val="0"/>
          <w:color w:val="auto"/>
          <w:sz w:val="24"/>
          <w:szCs w:val="24"/>
          <w:lang w:eastAsia="zh-CN"/>
        </w:rPr>
        <w:t>（四）有依法缴纳税收和社会保障资金的良好记录；</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794AC420">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08" w:name="_Toc6229"/>
      <w:bookmarkStart w:id="109" w:name="_Toc73"/>
      <w:bookmarkStart w:id="110" w:name="_Toc24980"/>
      <w:bookmarkStart w:id="111" w:name="_Toc13249"/>
      <w:bookmarkStart w:id="112" w:name="_Toc2551"/>
      <w:bookmarkStart w:id="113" w:name="_Toc17292"/>
      <w:bookmarkStart w:id="114" w:name="_Toc8492"/>
      <w:bookmarkStart w:id="115" w:name="_Toc7645"/>
      <w:bookmarkStart w:id="116" w:name="_Toc11562"/>
      <w:bookmarkStart w:id="117" w:name="_Toc6560"/>
      <w:bookmarkStart w:id="118" w:name="_Toc244"/>
      <w:bookmarkStart w:id="119" w:name="_Toc20949"/>
      <w:bookmarkStart w:id="120" w:name="_Toc19458"/>
      <w:bookmarkStart w:id="121" w:name="_Toc2932"/>
      <w:r>
        <w:rPr>
          <w:rFonts w:hint="eastAsia" w:ascii="宋体" w:hAnsi="宋体" w:eastAsia="宋体" w:cs="宋体"/>
          <w:b w:val="0"/>
          <w:bCs w:val="0"/>
          <w:color w:val="auto"/>
          <w:sz w:val="24"/>
          <w:szCs w:val="24"/>
          <w:lang w:eastAsia="zh-CN"/>
        </w:rPr>
        <w:t>（五）参加政府采购活动前三年内，在经营活动中没有重大违法记录；</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5FD9775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22" w:name="_Toc1408"/>
      <w:bookmarkStart w:id="123" w:name="_Toc31184"/>
      <w:bookmarkStart w:id="124" w:name="_Toc24843"/>
      <w:bookmarkStart w:id="125" w:name="_Toc13746"/>
      <w:bookmarkStart w:id="126" w:name="_Toc7402"/>
      <w:bookmarkStart w:id="127" w:name="_Toc32334"/>
      <w:bookmarkStart w:id="128" w:name="_Toc8529"/>
      <w:bookmarkStart w:id="129" w:name="_Toc17591"/>
      <w:bookmarkStart w:id="130" w:name="_Toc16606"/>
      <w:bookmarkStart w:id="131" w:name="_Toc24103"/>
      <w:bookmarkStart w:id="132" w:name="_Toc9826"/>
      <w:bookmarkStart w:id="133" w:name="_Toc11601"/>
      <w:bookmarkStart w:id="134" w:name="_Toc1129"/>
      <w:bookmarkStart w:id="135" w:name="_Toc13428"/>
      <w:r>
        <w:rPr>
          <w:rFonts w:hint="eastAsia" w:ascii="宋体" w:hAnsi="宋体" w:eastAsia="宋体" w:cs="宋体"/>
          <w:b w:val="0"/>
          <w:bCs w:val="0"/>
          <w:color w:val="auto"/>
          <w:sz w:val="24"/>
          <w:szCs w:val="24"/>
          <w:lang w:eastAsia="zh-CN"/>
        </w:rPr>
        <w:t>（六）法律、行政法规规定的其他条件。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7E9BF915">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36" w:name="_Toc25972"/>
      <w:bookmarkStart w:id="137" w:name="_Toc29269"/>
      <w:bookmarkStart w:id="138" w:name="_Toc1855"/>
      <w:bookmarkStart w:id="139" w:name="_Toc4631"/>
      <w:bookmarkStart w:id="140" w:name="_Toc31284"/>
      <w:bookmarkStart w:id="141" w:name="_Toc16652"/>
      <w:bookmarkStart w:id="142" w:name="_Toc28179"/>
      <w:bookmarkStart w:id="143" w:name="_Toc22475"/>
      <w:bookmarkStart w:id="144" w:name="_Toc19813"/>
      <w:bookmarkStart w:id="145" w:name="_Toc31658"/>
      <w:bookmarkStart w:id="146" w:name="_Toc9407"/>
      <w:bookmarkStart w:id="147" w:name="_Toc11026"/>
      <w:bookmarkStart w:id="148" w:name="_Toc20300"/>
      <w:bookmarkStart w:id="149" w:name="_Toc14096"/>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.落实政府采购政策需满足的资格要求：</w:t>
      </w:r>
      <w:bookmarkEnd w:id="58"/>
      <w:bookmarkEnd w:id="59"/>
      <w:bookmarkEnd w:id="60"/>
      <w:bookmarkEnd w:id="61"/>
      <w:bookmarkEnd w:id="62"/>
      <w:bookmarkEnd w:id="63"/>
      <w:bookmarkEnd w:id="64"/>
      <w:bookmarkEnd w:id="6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206AFCF2">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（1）本项目</w:t>
      </w:r>
      <w:r>
        <w:rPr>
          <w:rFonts w:hint="eastAsia" w:ascii="宋体" w:hAnsi="宋体" w:eastAsia="宋体" w:cs="宋体"/>
          <w:b w:val="0"/>
          <w:bCs w:val="0"/>
          <w:i w:val="0"/>
          <w:iCs w:val="0"/>
          <w:color w:val="auto"/>
          <w:sz w:val="24"/>
          <w:szCs w:val="24"/>
          <w:u w:val="none"/>
          <w:lang w:eastAsia="zh-CN"/>
        </w:rPr>
        <w:t>（不属于）</w:t>
      </w:r>
      <w:r>
        <w:rPr>
          <w:rFonts w:hint="eastAsia" w:ascii="宋体" w:hAnsi="宋体" w:eastAsia="宋体" w:cs="宋体"/>
          <w:b w:val="0"/>
          <w:bCs w:val="0"/>
          <w:color w:val="auto"/>
          <w:sz w:val="24"/>
          <w:szCs w:val="24"/>
          <w:lang w:eastAsia="zh-CN"/>
        </w:rPr>
        <w:t>专门面向中小企业采购的项目</w:t>
      </w:r>
      <w:r>
        <w:rPr>
          <w:rFonts w:hint="eastAsia" w:cs="宋体"/>
          <w:b w:val="0"/>
          <w:bCs w:val="0"/>
          <w:color w:val="auto"/>
          <w:sz w:val="24"/>
          <w:szCs w:val="24"/>
          <w:lang w:eastAsia="zh-CN"/>
        </w:rPr>
        <w:t>；</w:t>
      </w:r>
      <w:r>
        <w:rPr>
          <w:rFonts w:hint="eastAsia" w:ascii="宋体" w:hAnsi="宋体" w:eastAsia="宋体" w:cs="宋体"/>
          <w:b w:val="0"/>
          <w:bCs w:val="0"/>
          <w:color w:val="auto"/>
          <w:sz w:val="24"/>
          <w:szCs w:val="24"/>
          <w:lang w:eastAsia="zh-CN"/>
        </w:rPr>
        <w:t xml:space="preserve"> </w:t>
      </w:r>
    </w:p>
    <w:p w14:paraId="7587A3C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lang w:eastAsia="zh-CN"/>
        </w:rPr>
        <w:t>（2）本项目需要落实的政府采购政策：《政府采购促进中小企业发展管理办法》（财库〔2020〕46号）、《关于进一步加大政府采购支持中小企业力度的通知》（财库〔2022〕19号）、《财政部民政部中国残疾人联合会关于促进残疾人就业政府采购政策的通知》（财库〔2017〕141号）、《关于政府采购支持监狱企业发展有关问题的通知》（财库〔2014〕68号）、《云南省财政厅</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云南省工业和信息化厅</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lang w:eastAsia="zh-CN"/>
        </w:rPr>
        <w:t>关于落实政府采购促进中小企业发展政策意见的通知》（</w:t>
      </w:r>
      <w:r>
        <w:rPr>
          <w:rFonts w:hint="eastAsia" w:ascii="宋体" w:hAnsi="宋体" w:eastAsia="宋体" w:cs="宋体"/>
          <w:b w:val="0"/>
          <w:bCs w:val="0"/>
          <w:color w:val="auto"/>
          <w:sz w:val="24"/>
          <w:szCs w:val="24"/>
          <w:lang w:val="en-US" w:eastAsia="zh-CN"/>
        </w:rPr>
        <w:t>云财规</w:t>
      </w:r>
      <w:r>
        <w:rPr>
          <w:rFonts w:hint="eastAsia" w:ascii="宋体" w:hAnsi="宋体" w:eastAsia="宋体" w:cs="宋体"/>
          <w:b w:val="0"/>
          <w:bCs w:val="0"/>
          <w:color w:val="auto"/>
          <w:sz w:val="24"/>
          <w:szCs w:val="24"/>
          <w:lang w:eastAsia="zh-CN"/>
        </w:rPr>
        <w:t>〔20</w:t>
      </w:r>
      <w:r>
        <w:rPr>
          <w:rFonts w:hint="eastAsia" w:ascii="宋体" w:hAnsi="宋体" w:eastAsia="宋体" w:cs="宋体"/>
          <w:b w:val="0"/>
          <w:bCs w:val="0"/>
          <w:color w:val="auto"/>
          <w:sz w:val="24"/>
          <w:szCs w:val="24"/>
          <w:lang w:val="en-US" w:eastAsia="zh-CN"/>
        </w:rPr>
        <w:t>22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13号</w:t>
      </w:r>
      <w:r>
        <w:rPr>
          <w:rFonts w:hint="eastAsia" w:ascii="宋体" w:hAnsi="宋体" w:eastAsia="宋体" w:cs="宋体"/>
          <w:b w:val="0"/>
          <w:bCs w:val="0"/>
          <w:color w:val="auto"/>
          <w:sz w:val="24"/>
          <w:szCs w:val="24"/>
          <w:lang w:eastAsia="zh-CN"/>
        </w:rPr>
        <w:t>）等。</w:t>
      </w:r>
      <w:r>
        <w:rPr>
          <w:rFonts w:hint="eastAsia" w:ascii="宋体" w:hAnsi="宋体" w:eastAsia="宋体" w:cs="宋体"/>
          <w:b w:val="0"/>
          <w:bCs w:val="0"/>
          <w:color w:val="auto"/>
          <w:sz w:val="24"/>
          <w:szCs w:val="24"/>
          <w:u w:val="none"/>
          <w:lang w:eastAsia="zh-CN"/>
        </w:rPr>
        <w:t>评审时小微型企业产品享受10%的价格折扣。监狱企业、残疾人福利性单位视同小微型企业。</w:t>
      </w:r>
    </w:p>
    <w:p w14:paraId="137BE07A">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outlineLvl w:val="2"/>
        <w:rPr>
          <w:rFonts w:hint="eastAsia" w:ascii="宋体" w:hAnsi="宋体" w:eastAsia="宋体" w:cs="宋体"/>
          <w:b w:val="0"/>
          <w:bCs w:val="0"/>
          <w:color w:val="auto"/>
          <w:sz w:val="24"/>
          <w:szCs w:val="24"/>
          <w:lang w:eastAsia="zh-CN"/>
        </w:rPr>
      </w:pPr>
      <w:bookmarkStart w:id="150" w:name="_Toc20720"/>
      <w:bookmarkStart w:id="151" w:name="_Toc28890"/>
      <w:bookmarkStart w:id="152" w:name="_Toc16706"/>
      <w:bookmarkStart w:id="153" w:name="_Toc16739"/>
      <w:bookmarkStart w:id="154" w:name="_Toc28915"/>
      <w:bookmarkStart w:id="155" w:name="_Toc30599"/>
      <w:bookmarkStart w:id="156" w:name="_Toc13138"/>
      <w:bookmarkStart w:id="157" w:name="_Toc1089"/>
      <w:bookmarkStart w:id="158" w:name="_Toc19642"/>
      <w:bookmarkStart w:id="159" w:name="_Toc8165"/>
      <w:bookmarkStart w:id="160" w:name="_Toc9689"/>
      <w:bookmarkStart w:id="161" w:name="_Toc25407"/>
      <w:bookmarkStart w:id="162" w:name="_Toc8016"/>
      <w:bookmarkStart w:id="163" w:name="_Toc16668"/>
      <w:bookmarkStart w:id="164" w:name="_Toc30118"/>
      <w:bookmarkStart w:id="165" w:name="_Toc18135"/>
      <w:bookmarkStart w:id="166" w:name="_Toc9787"/>
      <w:bookmarkStart w:id="167" w:name="_Toc575"/>
      <w:bookmarkStart w:id="168" w:name="_Toc23913"/>
      <w:bookmarkStart w:id="169" w:name="_Toc25518"/>
      <w:bookmarkStart w:id="170" w:name="_Toc1066"/>
      <w:bookmarkStart w:id="171" w:name="_Toc6423"/>
      <w:r>
        <w:rPr>
          <w:rFonts w:hint="eastAsia"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.本项目的特定资格要求：</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7CFF39DA">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如果是代理商或经销商且所投产品为医疗器械的，须提供医疗器械经营许可证/备案</w:t>
      </w:r>
      <w:r>
        <w:rPr>
          <w:rFonts w:hint="eastAsia" w:ascii="宋体" w:hAnsi="宋体" w:eastAsia="宋体" w:cs="宋体"/>
          <w:b w:val="0"/>
          <w:bCs w:val="0"/>
          <w:color w:val="auto"/>
          <w:sz w:val="24"/>
          <w:szCs w:val="24"/>
          <w:lang w:val="en-US" w:eastAsia="zh-CN"/>
        </w:rPr>
        <w:t>证</w:t>
      </w:r>
      <w:r>
        <w:rPr>
          <w:rFonts w:hint="eastAsia" w:ascii="宋体" w:hAnsi="宋体" w:eastAsia="宋体" w:cs="宋体"/>
          <w:b w:val="0"/>
          <w:bCs w:val="0"/>
          <w:color w:val="auto"/>
          <w:sz w:val="24"/>
          <w:szCs w:val="24"/>
          <w:lang w:eastAsia="zh-CN"/>
        </w:rPr>
        <w:t>，所投产品制造商医疗器械生产许可证（制造商工商注册地在中华人民共和国境外的，</w:t>
      </w:r>
      <w:r>
        <w:rPr>
          <w:rFonts w:hint="eastAsia" w:ascii="宋体" w:hAnsi="宋体" w:eastAsia="宋体" w:cs="宋体"/>
          <w:b w:val="0"/>
          <w:bCs w:val="0"/>
          <w:color w:val="auto"/>
          <w:sz w:val="24"/>
          <w:szCs w:val="24"/>
          <w:lang w:val="en-US" w:eastAsia="zh-CN"/>
        </w:rPr>
        <w:t>此项不</w:t>
      </w:r>
      <w:r>
        <w:rPr>
          <w:rFonts w:hint="eastAsia" w:ascii="宋体" w:hAnsi="宋体" w:eastAsia="宋体" w:cs="宋体"/>
          <w:b w:val="0"/>
          <w:bCs w:val="0"/>
          <w:color w:val="auto"/>
          <w:sz w:val="24"/>
          <w:szCs w:val="24"/>
          <w:lang w:eastAsia="zh-CN"/>
        </w:rPr>
        <w:t>要求）、所投产品的医疗器械注册证及附件；</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制造商且所投产品为医疗器械，须提供医疗器械生产许可证（制造商工商注册地在中华人民共和国境外的，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08EA7515">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b w:val="0"/>
          <w:bCs w:val="0"/>
          <w:color w:val="auto"/>
          <w:sz w:val="24"/>
          <w:szCs w:val="24"/>
          <w:lang w:eastAsia="zh-CN"/>
        </w:rPr>
      </w:pPr>
      <w:bookmarkStart w:id="172" w:name="_Toc145067545"/>
      <w:bookmarkStart w:id="173" w:name="_Toc88638742"/>
      <w:bookmarkStart w:id="174" w:name="_Toc88646723"/>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应遵守国家有关的法律、法令和条例，以及符合并承认和履行招标文件中的各项规定；</w:t>
      </w:r>
    </w:p>
    <w:p w14:paraId="712F3CE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360" w:lineRule="auto"/>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w:t>
      </w:r>
      <w:r>
        <w:rPr>
          <w:rFonts w:hint="eastAsia"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eastAsia="zh-CN"/>
        </w:rPr>
        <w:t>。</w:t>
      </w:r>
    </w:p>
    <w:p w14:paraId="35739BE7">
      <w:pPr>
        <w:pStyle w:val="3"/>
        <w:keepNext w:val="0"/>
        <w:keepLines w:val="0"/>
        <w:pageBreakBefore w:val="0"/>
        <w:widowControl w:val="0"/>
        <w:kinsoku/>
        <w:autoSpaceDE/>
        <w:autoSpaceDN/>
        <w:bidi w:val="0"/>
        <w:adjustRightInd/>
        <w:snapToGrid/>
        <w:spacing w:before="0" w:after="0" w:line="430" w:lineRule="exact"/>
        <w:ind w:firstLine="482" w:firstLineChars="200"/>
        <w:jc w:val="left"/>
        <w:textAlignment w:val="auto"/>
        <w:rPr>
          <w:rFonts w:hint="eastAsia" w:ascii="宋体" w:hAnsi="宋体" w:eastAsia="宋体" w:cs="宋体"/>
          <w:color w:val="auto"/>
          <w:sz w:val="24"/>
          <w:szCs w:val="24"/>
          <w:lang w:eastAsia="zh-CN"/>
        </w:rPr>
      </w:pPr>
      <w:bookmarkStart w:id="175" w:name="_Toc23563"/>
      <w:r>
        <w:rPr>
          <w:rFonts w:hint="eastAsia" w:ascii="宋体" w:hAnsi="宋体" w:eastAsia="宋体" w:cs="宋体"/>
          <w:color w:val="auto"/>
          <w:sz w:val="24"/>
          <w:szCs w:val="24"/>
          <w:lang w:eastAsia="zh-CN"/>
        </w:rPr>
        <w:t>三、获取招标文件</w:t>
      </w:r>
      <w:bookmarkEnd w:id="172"/>
      <w:bookmarkEnd w:id="173"/>
      <w:bookmarkEnd w:id="174"/>
      <w:bookmarkEnd w:id="175"/>
    </w:p>
    <w:bookmarkEnd w:id="10"/>
    <w:p w14:paraId="1447821E">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1.时间：20</w:t>
      </w:r>
      <w:r>
        <w:rPr>
          <w:rFonts w:hint="eastAsia" w:ascii="宋体" w:hAnsi="宋体" w:eastAsia="宋体" w:cs="宋体"/>
          <w:color w:val="auto"/>
          <w:sz w:val="24"/>
          <w:szCs w:val="24"/>
          <w:highlight w:val="none"/>
          <w:u w:val="none"/>
          <w:lang w:eastAsia="zh-CN"/>
        </w:rPr>
        <w:t>2</w:t>
      </w:r>
      <w:r>
        <w:rPr>
          <w:rFonts w:hint="eastAsia" w:cs="宋体"/>
          <w:color w:val="auto"/>
          <w:sz w:val="24"/>
          <w:szCs w:val="24"/>
          <w:highlight w:val="none"/>
          <w:u w:val="none"/>
          <w:lang w:val="en-US" w:eastAsia="zh-CN"/>
        </w:rPr>
        <w:t>5年05月16日</w:t>
      </w:r>
      <w:r>
        <w:rPr>
          <w:rFonts w:hint="eastAsia" w:cs="宋体"/>
          <w:color w:val="auto"/>
          <w:sz w:val="24"/>
          <w:szCs w:val="24"/>
          <w:highlight w:val="none"/>
          <w:lang w:val="en-US" w:eastAsia="zh-CN"/>
        </w:rPr>
        <w:t>06时</w:t>
      </w:r>
      <w:r>
        <w:rPr>
          <w:rFonts w:hint="eastAsia" w:ascii="宋体" w:hAnsi="宋体" w:eastAsia="宋体" w:cs="宋体"/>
          <w:color w:val="auto"/>
          <w:sz w:val="24"/>
          <w:szCs w:val="24"/>
          <w:highlight w:val="none"/>
          <w:lang w:eastAsia="zh-CN"/>
        </w:rPr>
        <w:t>00</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至</w:t>
      </w:r>
      <w:r>
        <w:rPr>
          <w:rFonts w:hint="eastAsia" w:ascii="宋体" w:hAnsi="宋体" w:eastAsia="宋体" w:cs="宋体"/>
          <w:color w:val="auto"/>
          <w:sz w:val="24"/>
          <w:szCs w:val="24"/>
          <w:highlight w:val="none"/>
          <w:u w:val="none"/>
          <w:lang w:eastAsia="zh-CN"/>
        </w:rPr>
        <w:t>202</w:t>
      </w:r>
      <w:r>
        <w:rPr>
          <w:rFonts w:hint="eastAsia" w:cs="宋体"/>
          <w:color w:val="auto"/>
          <w:sz w:val="24"/>
          <w:szCs w:val="24"/>
          <w:highlight w:val="none"/>
          <w:u w:val="none"/>
          <w:lang w:val="en-US" w:eastAsia="zh-CN"/>
        </w:rPr>
        <w:t>5年05月23日</w:t>
      </w:r>
      <w:r>
        <w:rPr>
          <w:rFonts w:hint="eastAsia" w:ascii="宋体" w:hAnsi="宋体" w:eastAsia="宋体" w:cs="宋体"/>
          <w:color w:val="auto"/>
          <w:sz w:val="24"/>
          <w:szCs w:val="24"/>
          <w:highlight w:val="none"/>
          <w:lang w:eastAsia="zh-CN"/>
        </w:rPr>
        <w:t>23</w:t>
      </w:r>
      <w:r>
        <w:rPr>
          <w:rFonts w:hint="eastAsia"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59</w:t>
      </w:r>
      <w:r>
        <w:rPr>
          <w:rFonts w:hint="eastAsia"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，每天上午06:00至12:00，下午12:00至23:59（北京时间，法定节假日除外）</w:t>
      </w:r>
      <w:r>
        <w:rPr>
          <w:rFonts w:hint="eastAsia" w:cs="宋体"/>
          <w:color w:val="auto"/>
          <w:sz w:val="24"/>
          <w:szCs w:val="24"/>
          <w:highlight w:val="none"/>
          <w:lang w:eastAsia="zh-CN"/>
        </w:rPr>
        <w:t>。</w:t>
      </w:r>
    </w:p>
    <w:p w14:paraId="590A2EC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2.地点：</w:t>
      </w:r>
      <w:r>
        <w:rPr>
          <w:rFonts w:hint="eastAsia" w:ascii="宋体" w:hAnsi="宋体" w:eastAsia="宋体" w:cs="宋体"/>
          <w:color w:val="auto"/>
          <w:sz w:val="24"/>
          <w:szCs w:val="24"/>
          <w:highlight w:val="none"/>
          <w:lang w:val="en-US" w:eastAsia="zh-CN"/>
        </w:rPr>
        <w:t>“政采云”平台（http：//www.zcygov.cn）</w:t>
      </w:r>
      <w:r>
        <w:rPr>
          <w:rFonts w:hint="eastAsia" w:cs="宋体"/>
          <w:color w:val="auto"/>
          <w:sz w:val="24"/>
          <w:szCs w:val="24"/>
          <w:highlight w:val="none"/>
          <w:lang w:val="en-US" w:eastAsia="zh-CN"/>
        </w:rPr>
        <w:t>线上获取</w:t>
      </w:r>
      <w:r>
        <w:rPr>
          <w:rFonts w:hint="eastAsia" w:ascii="宋体" w:hAnsi="宋体" w:eastAsia="宋体" w:cs="宋体"/>
          <w:color w:val="auto"/>
          <w:sz w:val="24"/>
          <w:szCs w:val="24"/>
          <w:lang w:val="en-US" w:eastAsia="zh-CN"/>
        </w:rPr>
        <w:t>（操作路径：登录“政采云”平台－项目采购－获取采购文件－找到本项目－点击“申请获取采购文件”）</w:t>
      </w:r>
      <w:r>
        <w:rPr>
          <w:rFonts w:hint="eastAsia" w:ascii="宋体" w:hAnsi="宋体" w:eastAsia="宋体" w:cs="宋体"/>
          <w:color w:val="auto"/>
          <w:sz w:val="24"/>
          <w:szCs w:val="24"/>
          <w:lang w:eastAsia="zh-CN"/>
        </w:rPr>
        <w:t>。</w:t>
      </w:r>
    </w:p>
    <w:p w14:paraId="20559082">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3.方式：</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）按上述要求获取文件的</w:t>
      </w:r>
      <w:r>
        <w:rPr>
          <w:rFonts w:hint="eastAsia" w:cs="宋体"/>
          <w:color w:val="auto"/>
          <w:sz w:val="24"/>
          <w:szCs w:val="24"/>
          <w:lang w:eastAsia="zh-CN"/>
        </w:rPr>
        <w:t>供应商</w:t>
      </w:r>
      <w:r>
        <w:rPr>
          <w:rFonts w:hint="eastAsia" w:ascii="宋体" w:hAnsi="宋体" w:eastAsia="宋体" w:cs="宋体"/>
          <w:color w:val="auto"/>
          <w:sz w:val="24"/>
          <w:szCs w:val="24"/>
          <w:lang w:eastAsia="zh-CN"/>
        </w:rPr>
        <w:t>视为合法获取了本项目采购文件，具备本项目的投标资格。</w:t>
      </w:r>
    </w:p>
    <w:p w14:paraId="2AEF1C0B">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4.售价：0.00元。</w:t>
      </w:r>
    </w:p>
    <w:p w14:paraId="74DC9D98">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76" w:name="_Toc9280"/>
      <w:bookmarkStart w:id="177" w:name="_Toc16746"/>
      <w:bookmarkStart w:id="178" w:name="_Toc88638747"/>
      <w:bookmarkStart w:id="179" w:name="_Toc1864"/>
      <w:bookmarkStart w:id="180" w:name="_Toc88646724"/>
      <w:bookmarkStart w:id="181" w:name="_Toc145067546"/>
      <w:r>
        <w:rPr>
          <w:rFonts w:hint="eastAsia" w:ascii="宋体" w:hAnsi="宋体" w:eastAsia="宋体" w:cs="宋体"/>
          <w:color w:val="auto"/>
          <w:sz w:val="24"/>
          <w:szCs w:val="24"/>
          <w:lang w:eastAsia="zh-CN"/>
        </w:rPr>
        <w:t>四、提交投标文件截止时间、开标时间和地点</w:t>
      </w:r>
      <w:bookmarkEnd w:id="176"/>
      <w:bookmarkEnd w:id="177"/>
      <w:bookmarkEnd w:id="178"/>
      <w:bookmarkEnd w:id="179"/>
      <w:bookmarkEnd w:id="180"/>
      <w:bookmarkEnd w:id="181"/>
    </w:p>
    <w:p w14:paraId="2FB7E063">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bookmarkStart w:id="182" w:name="_Toc88638749"/>
      <w:r>
        <w:rPr>
          <w:rFonts w:hint="eastAsia" w:ascii="宋体" w:hAnsi="宋体" w:eastAsia="宋体" w:cs="宋体"/>
          <w:color w:val="auto"/>
          <w:sz w:val="24"/>
          <w:szCs w:val="24"/>
          <w:lang w:eastAsia="zh-CN"/>
        </w:rPr>
        <w:t>1.投标文件递交的截止时间及开标时间：</w:t>
      </w:r>
      <w:r>
        <w:rPr>
          <w:rFonts w:hint="eastAsia" w:ascii="宋体" w:hAnsi="宋体" w:eastAsia="宋体" w:cs="宋体"/>
          <w:color w:val="auto"/>
          <w:sz w:val="24"/>
          <w:szCs w:val="24"/>
          <w:u w:val="none"/>
          <w:lang w:eastAsia="zh-CN"/>
        </w:rPr>
        <w:t>202</w:t>
      </w:r>
      <w:r>
        <w:rPr>
          <w:rFonts w:hint="eastAsia" w:cs="宋体"/>
          <w:color w:val="auto"/>
          <w:sz w:val="24"/>
          <w:szCs w:val="24"/>
          <w:highlight w:val="none"/>
          <w:u w:val="none"/>
          <w:lang w:val="en-US" w:eastAsia="zh-CN"/>
        </w:rPr>
        <w:t>5</w:t>
      </w:r>
      <w:r>
        <w:rPr>
          <w:rFonts w:hint="eastAsia" w:ascii="宋体" w:hAnsi="宋体" w:eastAsia="宋体" w:cs="宋体"/>
          <w:color w:val="auto"/>
          <w:sz w:val="24"/>
          <w:szCs w:val="24"/>
          <w:u w:val="none"/>
          <w:lang w:eastAsia="zh-CN"/>
        </w:rPr>
        <w:t>年</w:t>
      </w:r>
      <w:r>
        <w:rPr>
          <w:rFonts w:hint="eastAsia" w:cs="宋体"/>
          <w:color w:val="auto"/>
          <w:sz w:val="24"/>
          <w:szCs w:val="24"/>
          <w:highlight w:val="none"/>
          <w:u w:val="none"/>
          <w:lang w:val="en-US" w:eastAsia="zh-CN"/>
        </w:rPr>
        <w:t>06</w:t>
      </w:r>
      <w:r>
        <w:rPr>
          <w:rFonts w:hint="eastAsia" w:ascii="宋体" w:hAnsi="宋体" w:eastAsia="宋体" w:cs="宋体"/>
          <w:color w:val="auto"/>
          <w:sz w:val="24"/>
          <w:szCs w:val="24"/>
          <w:u w:val="none"/>
          <w:lang w:eastAsia="zh-CN"/>
        </w:rPr>
        <w:t>月</w:t>
      </w:r>
      <w:r>
        <w:rPr>
          <w:rFonts w:hint="eastAsia" w:cs="宋体"/>
          <w:color w:val="auto"/>
          <w:sz w:val="24"/>
          <w:szCs w:val="24"/>
          <w:u w:val="none"/>
          <w:lang w:val="en-US" w:eastAsia="zh-CN"/>
        </w:rPr>
        <w:t>10</w:t>
      </w:r>
      <w:r>
        <w:rPr>
          <w:rFonts w:hint="eastAsia" w:ascii="宋体" w:hAnsi="宋体" w:eastAsia="宋体" w:cs="宋体"/>
          <w:color w:val="auto"/>
          <w:sz w:val="24"/>
          <w:szCs w:val="24"/>
          <w:u w:val="none"/>
          <w:lang w:eastAsia="zh-CN"/>
        </w:rPr>
        <w:t>日</w:t>
      </w:r>
      <w:r>
        <w:rPr>
          <w:rFonts w:hint="eastAsia" w:cs="宋体"/>
          <w:color w:val="auto"/>
          <w:sz w:val="24"/>
          <w:szCs w:val="24"/>
          <w:highlight w:val="none"/>
          <w:u w:val="none"/>
          <w:lang w:val="en-US" w:eastAsia="zh-CN"/>
        </w:rPr>
        <w:t>09</w:t>
      </w:r>
      <w:r>
        <w:rPr>
          <w:rFonts w:hint="eastAsia" w:ascii="宋体" w:hAnsi="宋体" w:eastAsia="宋体" w:cs="宋体"/>
          <w:color w:val="auto"/>
          <w:sz w:val="24"/>
          <w:szCs w:val="24"/>
          <w:u w:val="none"/>
          <w:lang w:eastAsia="zh-CN"/>
        </w:rPr>
        <w:t>时</w:t>
      </w:r>
      <w:r>
        <w:rPr>
          <w:rFonts w:hint="eastAsia" w:cs="宋体"/>
          <w:color w:val="auto"/>
          <w:sz w:val="24"/>
          <w:szCs w:val="24"/>
          <w:highlight w:val="none"/>
          <w:u w:val="none"/>
          <w:lang w:val="en-US" w:eastAsia="zh-CN"/>
        </w:rPr>
        <w:t>00</w:t>
      </w:r>
      <w:r>
        <w:rPr>
          <w:rFonts w:hint="eastAsia" w:ascii="宋体" w:hAnsi="宋体" w:eastAsia="宋体" w:cs="宋体"/>
          <w:color w:val="auto"/>
          <w:sz w:val="24"/>
          <w:szCs w:val="24"/>
          <w:u w:val="none"/>
          <w:lang w:eastAsia="zh-CN"/>
        </w:rPr>
        <w:t>分</w:t>
      </w:r>
      <w:r>
        <w:rPr>
          <w:rFonts w:hint="eastAsia" w:ascii="宋体" w:hAnsi="宋体" w:eastAsia="宋体" w:cs="宋体"/>
          <w:color w:val="auto"/>
          <w:sz w:val="24"/>
          <w:szCs w:val="24"/>
          <w:lang w:eastAsia="zh-CN"/>
        </w:rPr>
        <w:t>（北京时间）。</w:t>
      </w:r>
    </w:p>
    <w:p w14:paraId="5A88C977">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bookmarkEnd w:id="182"/>
      <w:r>
        <w:rPr>
          <w:rFonts w:hint="eastAsia" w:ascii="宋体" w:hAnsi="宋体" w:eastAsia="宋体" w:cs="宋体"/>
          <w:color w:val="auto"/>
          <w:sz w:val="24"/>
          <w:szCs w:val="24"/>
          <w:lang w:eastAsia="zh-CN"/>
        </w:rPr>
        <w:t>政采云平台（http：//www.zcygov.cn），</w:t>
      </w:r>
      <w:r>
        <w:rPr>
          <w:rFonts w:hint="eastAsia" w:cs="宋体"/>
          <w:color w:val="auto"/>
          <w:sz w:val="24"/>
          <w:szCs w:val="24"/>
          <w:lang w:eastAsia="zh-CN"/>
        </w:rPr>
        <w:t>供应商</w:t>
      </w:r>
      <w:r>
        <w:rPr>
          <w:rFonts w:hint="eastAsia" w:ascii="宋体" w:hAnsi="宋体" w:eastAsia="宋体" w:cs="宋体"/>
          <w:color w:val="auto"/>
          <w:sz w:val="24"/>
          <w:szCs w:val="24"/>
          <w:lang w:eastAsia="zh-CN"/>
        </w:rPr>
        <w:t>应按照本项目采购文件和“政采云”平台的要求编制、加密后在投标文件提交截止时间前上传至“政采云”平台，投标文件提交截止时间前未完成投标文件上传的，视为撤回投标文件。</w:t>
      </w:r>
      <w:r>
        <w:rPr>
          <w:rFonts w:hint="eastAsia" w:cs="宋体"/>
          <w:color w:val="auto"/>
          <w:sz w:val="24"/>
          <w:szCs w:val="24"/>
          <w:lang w:eastAsia="zh-CN"/>
        </w:rPr>
        <w:t>供应商</w:t>
      </w:r>
      <w:r>
        <w:rPr>
          <w:rFonts w:hint="eastAsia" w:ascii="宋体" w:hAnsi="宋体" w:eastAsia="宋体" w:cs="宋体"/>
          <w:color w:val="auto"/>
          <w:sz w:val="24"/>
          <w:szCs w:val="24"/>
          <w:lang w:eastAsia="zh-CN"/>
        </w:rPr>
        <w:t>在“政采云”平台提交电子版投标文件时，请填写参加远程采购活动经办人联系方式。</w:t>
      </w:r>
    </w:p>
    <w:p w14:paraId="2DE92B3B">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83" w:name="_Toc6133"/>
      <w:bookmarkStart w:id="184" w:name="_Toc19357"/>
      <w:bookmarkStart w:id="185" w:name="_Toc89951815"/>
      <w:bookmarkStart w:id="186" w:name="_Toc20150"/>
      <w:bookmarkStart w:id="187" w:name="_Toc145067547"/>
      <w:r>
        <w:rPr>
          <w:rFonts w:hint="eastAsia" w:ascii="宋体" w:hAnsi="宋体" w:eastAsia="宋体" w:cs="宋体"/>
          <w:color w:val="auto"/>
          <w:sz w:val="24"/>
          <w:szCs w:val="24"/>
          <w:lang w:eastAsia="zh-CN"/>
        </w:rPr>
        <w:t>五、公告期限</w:t>
      </w:r>
      <w:bookmarkEnd w:id="183"/>
      <w:bookmarkEnd w:id="184"/>
      <w:bookmarkEnd w:id="185"/>
      <w:bookmarkEnd w:id="186"/>
      <w:bookmarkEnd w:id="187"/>
    </w:p>
    <w:p w14:paraId="5C9E80E2">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自本公告发布之日起5个工作日。</w:t>
      </w:r>
    </w:p>
    <w:p w14:paraId="6D9B2AFA">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val="en-US" w:eastAsia="zh-CN"/>
        </w:rPr>
      </w:pPr>
      <w:bookmarkStart w:id="188" w:name="_Toc5362"/>
      <w:bookmarkStart w:id="189" w:name="_Toc11846"/>
      <w:bookmarkStart w:id="190" w:name="_Toc145067548"/>
      <w:bookmarkStart w:id="191" w:name="_Toc23745"/>
      <w:bookmarkStart w:id="192" w:name="_Toc89951816"/>
      <w:r>
        <w:rPr>
          <w:rFonts w:hint="eastAsia" w:ascii="宋体" w:hAnsi="宋体" w:eastAsia="宋体" w:cs="宋体"/>
          <w:color w:val="auto"/>
          <w:sz w:val="24"/>
          <w:szCs w:val="24"/>
          <w:lang w:val="en-US" w:eastAsia="zh-CN"/>
        </w:rPr>
        <w:t>六、其他补充事宜</w:t>
      </w:r>
      <w:bookmarkEnd w:id="188"/>
      <w:bookmarkEnd w:id="189"/>
    </w:p>
    <w:p w14:paraId="0552AAFB">
      <w:pPr>
        <w:keepNext w:val="0"/>
        <w:keepLines w:val="0"/>
        <w:pageBreakBefore w:val="0"/>
        <w:widowControl w:val="0"/>
        <w:kinsoku/>
        <w:wordWrap/>
        <w:overflowPunct/>
        <w:topLinePunct w:val="0"/>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开标方式：网上开标</w:t>
      </w:r>
      <w:r>
        <w:rPr>
          <w:rFonts w:hint="eastAsia" w:ascii="宋体" w:hAnsi="宋体" w:cs="宋体"/>
          <w:color w:val="auto"/>
          <w:sz w:val="24"/>
          <w:szCs w:val="24"/>
          <w:lang w:eastAsia="zh-CN"/>
        </w:rPr>
        <w:t>；</w:t>
      </w:r>
    </w:p>
    <w:p w14:paraId="21BA353A">
      <w:pPr>
        <w:keepNext w:val="0"/>
        <w:keepLines w:val="0"/>
        <w:pageBreakBefore w:val="0"/>
        <w:kinsoku/>
        <w:wordWrap w:val="0"/>
        <w:autoSpaceDE/>
        <w:autoSpaceDN/>
        <w:bidi w:val="0"/>
        <w:adjustRightInd/>
        <w:snapToGrid/>
        <w:spacing w:line="430" w:lineRule="exact"/>
        <w:ind w:firstLine="480" w:firstLineChars="200"/>
        <w:textAlignment w:val="auto"/>
        <w:rPr>
          <w:rFonts w:hint="eastAsia" w:ascii="宋体" w:hAnsi="宋体" w:eastAsia="宋体"/>
          <w:bCs/>
          <w:color w:val="auto"/>
          <w:sz w:val="24"/>
          <w:szCs w:val="24"/>
          <w:highlight w:val="none"/>
          <w:lang w:eastAsia="zh-CN" w:bidi="ar"/>
        </w:rPr>
      </w:pPr>
      <w:r>
        <w:rPr>
          <w:rFonts w:hint="eastAsia" w:ascii="宋体" w:hAnsi="宋体"/>
          <w:bCs/>
          <w:color w:val="auto"/>
          <w:sz w:val="24"/>
          <w:szCs w:val="24"/>
          <w:highlight w:val="none"/>
          <w:lang w:val="en-US" w:eastAsia="zh-CN" w:bidi="ar"/>
        </w:rPr>
        <w:t>2.</w:t>
      </w:r>
      <w:r>
        <w:rPr>
          <w:rFonts w:hint="eastAsia" w:ascii="宋体" w:hAnsi="宋体"/>
          <w:bCs/>
          <w:color w:val="auto"/>
          <w:sz w:val="24"/>
          <w:szCs w:val="24"/>
          <w:highlight w:val="none"/>
          <w:lang w:bidi="ar"/>
        </w:rPr>
        <w:t>是否需要缴纳投标保证金：</w:t>
      </w:r>
      <w:r>
        <w:rPr>
          <w:rFonts w:hint="eastAsia" w:ascii="宋体" w:hAnsi="宋体"/>
          <w:bCs/>
          <w:i w:val="0"/>
          <w:iCs w:val="0"/>
          <w:color w:val="auto"/>
          <w:sz w:val="24"/>
          <w:szCs w:val="24"/>
          <w:highlight w:val="none"/>
          <w:lang w:bidi="ar"/>
        </w:rPr>
        <w:t>是</w:t>
      </w:r>
      <w:r>
        <w:rPr>
          <w:rFonts w:hint="eastAsia" w:ascii="宋体" w:hAnsi="宋体"/>
          <w:bCs/>
          <w:color w:val="auto"/>
          <w:sz w:val="24"/>
          <w:szCs w:val="24"/>
          <w:highlight w:val="none"/>
          <w:lang w:eastAsia="zh-CN" w:bidi="ar"/>
        </w:rPr>
        <w:t>；</w:t>
      </w:r>
    </w:p>
    <w:p w14:paraId="1CC2985A">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保证金金额：</w:t>
      </w:r>
      <w:r>
        <w:rPr>
          <w:rFonts w:hint="eastAsia" w:ascii="宋体" w:hAnsi="宋体"/>
          <w:bCs/>
          <w:color w:val="auto"/>
          <w:sz w:val="24"/>
          <w:szCs w:val="24"/>
          <w:highlight w:val="none"/>
          <w:lang w:val="en-US" w:eastAsia="zh-CN" w:bidi="ar"/>
        </w:rPr>
        <w:t>¥14900.00</w:t>
      </w:r>
      <w:r>
        <w:rPr>
          <w:rFonts w:hint="eastAsia" w:ascii="宋体" w:hAnsi="宋体"/>
          <w:bCs/>
          <w:color w:val="auto"/>
          <w:sz w:val="24"/>
          <w:szCs w:val="24"/>
          <w:highlight w:val="none"/>
          <w:u w:val="none"/>
          <w:lang w:bidi="ar"/>
        </w:rPr>
        <w:t>元</w:t>
      </w:r>
      <w:r>
        <w:rPr>
          <w:rFonts w:hint="eastAsia" w:ascii="宋体" w:hAnsi="宋体"/>
          <w:bCs/>
          <w:color w:val="auto"/>
          <w:sz w:val="24"/>
          <w:szCs w:val="24"/>
          <w:highlight w:val="none"/>
          <w:lang w:eastAsia="zh-CN" w:bidi="ar"/>
        </w:rPr>
        <w:t>；</w:t>
      </w:r>
    </w:p>
    <w:p w14:paraId="65CCF9FD">
      <w:pPr>
        <w:keepNext w:val="0"/>
        <w:keepLines w:val="0"/>
        <w:pageBreakBefore w:val="0"/>
        <w:kinsoku/>
        <w:wordWrap w:val="0"/>
        <w:autoSpaceDE/>
        <w:autoSpaceDN/>
        <w:bidi w:val="0"/>
        <w:adjustRightInd/>
        <w:snapToGrid/>
        <w:spacing w:line="430" w:lineRule="exact"/>
        <w:ind w:firstLine="720" w:firstLineChars="300"/>
        <w:textAlignment w:val="auto"/>
        <w:rPr>
          <w:rFonts w:hint="eastAsia" w:ascii="宋体" w:hAnsi="宋体"/>
          <w:bCs/>
          <w:color w:val="auto"/>
          <w:sz w:val="24"/>
          <w:szCs w:val="24"/>
          <w:highlight w:val="none"/>
          <w:lang w:eastAsia="zh-CN" w:bidi="ar"/>
        </w:rPr>
      </w:pPr>
      <w:r>
        <w:rPr>
          <w:rFonts w:hint="eastAsia" w:ascii="宋体" w:hAnsi="宋体"/>
          <w:bCs/>
          <w:color w:val="auto"/>
          <w:sz w:val="24"/>
          <w:szCs w:val="24"/>
          <w:highlight w:val="none"/>
          <w:lang w:bidi="ar"/>
        </w:rPr>
        <w:t>保证金缴纳方式：支票、汇票、本票、保函</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网银</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转账、电汇</w:t>
      </w:r>
      <w:r>
        <w:rPr>
          <w:rFonts w:hint="eastAsia" w:ascii="宋体" w:hAnsi="宋体"/>
          <w:bCs/>
          <w:color w:val="auto"/>
          <w:sz w:val="24"/>
          <w:szCs w:val="24"/>
          <w:highlight w:val="none"/>
          <w:lang w:eastAsia="zh-CN" w:bidi="ar"/>
        </w:rPr>
        <w:t>等非现金形式，供应商可根据实际情况，选择保证金的缴纳方式；</w:t>
      </w:r>
    </w:p>
    <w:p w14:paraId="7E627153">
      <w:pPr>
        <w:keepNext w:val="0"/>
        <w:keepLines w:val="0"/>
        <w:pageBreakBefore w:val="0"/>
        <w:widowControl w:val="0"/>
        <w:kinsoku/>
        <w:wordWrap/>
        <w:overflowPunct/>
        <w:topLinePunct w:val="0"/>
        <w:autoSpaceDE/>
        <w:autoSpaceDN/>
        <w:bidi w:val="0"/>
        <w:adjustRightInd/>
        <w:snapToGrid/>
        <w:spacing w:line="430" w:lineRule="exact"/>
        <w:ind w:firstLine="720" w:firstLineChars="300"/>
        <w:jc w:val="left"/>
        <w:textAlignment w:val="auto"/>
        <w:rPr>
          <w:rFonts w:ascii="宋体" w:hAnsi="宋体"/>
          <w:color w:val="auto"/>
          <w:sz w:val="24"/>
          <w:szCs w:val="24"/>
          <w:highlight w:val="none"/>
        </w:rPr>
      </w:pPr>
      <w:r>
        <w:rPr>
          <w:rFonts w:hint="eastAsia" w:ascii="宋体" w:hAnsi="宋体"/>
          <w:bCs/>
          <w:color w:val="auto"/>
          <w:sz w:val="24"/>
          <w:szCs w:val="24"/>
          <w:highlight w:val="none"/>
          <w:lang w:bidi="ar"/>
        </w:rPr>
        <w:t>保证金缴纳截止时间：2025年</w:t>
      </w:r>
      <w:r>
        <w:rPr>
          <w:rFonts w:hint="eastAsia" w:ascii="宋体" w:hAnsi="宋体"/>
          <w:bCs/>
          <w:color w:val="auto"/>
          <w:sz w:val="24"/>
          <w:szCs w:val="24"/>
          <w:highlight w:val="none"/>
          <w:lang w:val="en-US" w:eastAsia="zh-CN" w:bidi="ar"/>
        </w:rPr>
        <w:t>06</w:t>
      </w:r>
      <w:r>
        <w:rPr>
          <w:rFonts w:hint="eastAsia" w:ascii="宋体" w:hAnsi="宋体"/>
          <w:bCs/>
          <w:color w:val="auto"/>
          <w:sz w:val="24"/>
          <w:szCs w:val="24"/>
          <w:highlight w:val="none"/>
          <w:lang w:bidi="ar"/>
        </w:rPr>
        <w:t>月</w:t>
      </w:r>
      <w:r>
        <w:rPr>
          <w:rFonts w:hint="eastAsia" w:ascii="宋体" w:hAnsi="宋体"/>
          <w:bCs/>
          <w:color w:val="auto"/>
          <w:sz w:val="24"/>
          <w:szCs w:val="24"/>
          <w:highlight w:val="none"/>
          <w:lang w:val="en-US" w:eastAsia="zh-CN" w:bidi="ar"/>
        </w:rPr>
        <w:t>10</w:t>
      </w:r>
      <w:r>
        <w:rPr>
          <w:rFonts w:hint="eastAsia" w:ascii="宋体" w:hAnsi="宋体"/>
          <w:bCs/>
          <w:color w:val="auto"/>
          <w:sz w:val="24"/>
          <w:szCs w:val="24"/>
          <w:highlight w:val="none"/>
          <w:lang w:bidi="ar"/>
        </w:rPr>
        <w:t>日09时00分</w:t>
      </w:r>
      <w:r>
        <w:rPr>
          <w:rFonts w:hint="eastAsia" w:ascii="宋体" w:hAnsi="宋体" w:eastAsia="宋体" w:cs="宋体"/>
          <w:color w:val="auto"/>
          <w:sz w:val="24"/>
          <w:szCs w:val="24"/>
          <w:lang w:eastAsia="zh-CN"/>
        </w:rPr>
        <w:t>（北京时间）</w:t>
      </w:r>
      <w:r>
        <w:rPr>
          <w:rFonts w:ascii="宋体" w:hAnsi="宋体"/>
          <w:color w:val="auto"/>
          <w:sz w:val="24"/>
          <w:szCs w:val="24"/>
          <w:highlight w:val="none"/>
        </w:rPr>
        <w:t>。</w:t>
      </w:r>
    </w:p>
    <w:p w14:paraId="0EBA8AA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其他：</w:t>
      </w:r>
      <w:bookmarkStart w:id="1967" w:name="_GoBack"/>
      <w:bookmarkEnd w:id="1967"/>
    </w:p>
    <w:p w14:paraId="5EE9AC0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3.1 </w:t>
      </w:r>
      <w:r>
        <w:rPr>
          <w:rFonts w:hint="eastAsia" w:ascii="宋体" w:hAnsi="宋体" w:eastAsia="宋体" w:cs="宋体"/>
          <w:color w:val="auto"/>
          <w:sz w:val="24"/>
          <w:szCs w:val="24"/>
          <w:lang w:eastAsia="zh-CN"/>
        </w:rPr>
        <w:t>发布公告的媒介：本次招标公告在《云南省政府采购网》《政府采购云平台》上发布，采购人及采购代理机构对其他网站发布或转载的公告内容不承担任何责任；</w:t>
      </w:r>
    </w:p>
    <w:p w14:paraId="197D9CBE">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 </w:t>
      </w:r>
      <w:r>
        <w:rPr>
          <w:rFonts w:hint="eastAsia" w:ascii="宋体" w:hAnsi="宋体" w:eastAsia="宋体" w:cs="宋体"/>
          <w:color w:val="auto"/>
          <w:sz w:val="24"/>
          <w:szCs w:val="24"/>
          <w:lang w:val="en-US" w:eastAsia="zh-CN"/>
        </w:rPr>
        <w:t xml:space="preserve">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51154DF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CA数字证书服务热线 </w:t>
      </w:r>
    </w:p>
    <w:p w14:paraId="24E2638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汇信CA：0571-88350735</w:t>
      </w:r>
    </w:p>
    <w:p w14:paraId="2B62CA4F">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云南CA:4006727666</w:t>
      </w:r>
    </w:p>
    <w:p w14:paraId="2870FB81">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云南壹证通：4000040628</w:t>
      </w:r>
    </w:p>
    <w:p w14:paraId="23A6DDE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福建CA：0591-87760022</w:t>
      </w:r>
    </w:p>
    <w:p w14:paraId="66A5FDF7">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.1 办理CA数字证书供应商登录云南省省级政府采购电子交易平台查阅操作指南—入驻与配置—CA管理。使用操作指南，按照程序要求办理。</w:t>
      </w:r>
    </w:p>
    <w:p w14:paraId="01CD4184">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.2 注册供应商登录云南省省级政府采购电子交易平台操作指南—入驻与配置—云南省供应商注册入驻与配置。注册入库操作流程指引进行自助注册绑定。</w:t>
      </w:r>
    </w:p>
    <w:p w14:paraId="569F0E00">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.3 驱动、客户端下载供应商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605A4026">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.4 获取电子招标文件 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6A8414DC">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45386498">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 xml:space="preserve">.6 提交电子投标文件供应商应于投标截止时间前在政府采购电子交易平台提交电子投标文件，上传电子投标文件过程中请保持与互联网的连接畅通。 </w:t>
      </w:r>
    </w:p>
    <w:p w14:paraId="44A37ACD">
      <w:pPr>
        <w:keepNext w:val="0"/>
        <w:keepLines w:val="0"/>
        <w:pageBreakBefore w:val="0"/>
        <w:widowControl w:val="0"/>
        <w:numPr>
          <w:ilvl w:val="0"/>
          <w:numId w:val="0"/>
        </w:numPr>
        <w:kinsoku/>
        <w:wordWrap w:val="0"/>
        <w:overflowPunct/>
        <w:topLinePunct/>
        <w:autoSpaceDE/>
        <w:autoSpaceDN/>
        <w:bidi w:val="0"/>
        <w:adjustRightInd/>
        <w:snapToGrid/>
        <w:spacing w:line="430" w:lineRule="exact"/>
        <w:ind w:firstLine="720" w:firstLineChars="3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3.2</w:t>
      </w:r>
      <w:r>
        <w:rPr>
          <w:rFonts w:hint="eastAsia" w:ascii="宋体" w:hAnsi="宋体" w:eastAsia="宋体" w:cs="宋体"/>
          <w:color w:val="auto"/>
          <w:sz w:val="24"/>
          <w:szCs w:val="24"/>
          <w:lang w:val="en-US" w:eastAsia="zh-CN"/>
        </w:rPr>
        <w:t>.7 电子开标 供应商在开标地点使用账号密码或 CA 数字证书登录云南省省级政府采购电子交易平台进行电子开标</w:t>
      </w:r>
      <w:r>
        <w:rPr>
          <w:rFonts w:hint="eastAsia" w:ascii="宋体" w:hAnsi="宋体" w:eastAsia="宋体" w:cs="宋体"/>
          <w:color w:val="auto"/>
          <w:sz w:val="24"/>
          <w:szCs w:val="24"/>
          <w:lang w:eastAsia="zh-CN"/>
        </w:rPr>
        <w:t>。</w:t>
      </w:r>
    </w:p>
    <w:p w14:paraId="59BBA07D">
      <w:pPr>
        <w:pStyle w:val="3"/>
        <w:keepNext w:val="0"/>
        <w:keepLines w:val="0"/>
        <w:pageBreakBefore w:val="0"/>
        <w:widowControl w:val="0"/>
        <w:kinsoku/>
        <w:autoSpaceDE/>
        <w:autoSpaceDN/>
        <w:bidi w:val="0"/>
        <w:adjustRightInd/>
        <w:snapToGrid/>
        <w:spacing w:before="0" w:after="0" w:line="430" w:lineRule="exact"/>
        <w:ind w:left="0" w:firstLine="482" w:firstLineChars="200"/>
        <w:jc w:val="left"/>
        <w:textAlignment w:val="auto"/>
        <w:rPr>
          <w:rFonts w:hint="eastAsia" w:ascii="宋体" w:hAnsi="宋体" w:eastAsia="宋体" w:cs="宋体"/>
          <w:color w:val="auto"/>
          <w:sz w:val="24"/>
          <w:szCs w:val="24"/>
          <w:lang w:eastAsia="zh-CN"/>
        </w:rPr>
      </w:pPr>
      <w:bookmarkStart w:id="193" w:name="_Toc6306"/>
      <w:bookmarkStart w:id="194" w:name="_Toc8808"/>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eastAsia="zh-CN"/>
        </w:rPr>
        <w:t>、对本次招标提出询问，请按以下方式联系</w:t>
      </w:r>
      <w:bookmarkEnd w:id="190"/>
      <w:bookmarkEnd w:id="191"/>
      <w:bookmarkEnd w:id="192"/>
      <w:bookmarkEnd w:id="193"/>
      <w:bookmarkEnd w:id="194"/>
    </w:p>
    <w:p w14:paraId="7EF68443">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195" w:name="_Toc13650"/>
      <w:bookmarkStart w:id="196" w:name="_Toc18988"/>
      <w:bookmarkStart w:id="197" w:name="_Toc8969"/>
      <w:bookmarkStart w:id="198" w:name="_Toc10177"/>
      <w:bookmarkStart w:id="199" w:name="_Toc23581"/>
      <w:bookmarkStart w:id="200" w:name="_Toc31963"/>
      <w:bookmarkStart w:id="201" w:name="_Toc20672"/>
      <w:bookmarkStart w:id="202" w:name="_Toc17790"/>
      <w:bookmarkStart w:id="203" w:name="_Toc20492"/>
      <w:bookmarkStart w:id="204" w:name="_Toc3120"/>
      <w:bookmarkStart w:id="205" w:name="_Toc27405"/>
      <w:bookmarkStart w:id="206" w:name="_Toc20322"/>
      <w:bookmarkStart w:id="207" w:name="_Toc17368"/>
      <w:bookmarkStart w:id="208" w:name="_Toc9957"/>
      <w:bookmarkStart w:id="209" w:name="_Toc26358"/>
      <w:bookmarkStart w:id="210" w:name="_Toc32512"/>
      <w:bookmarkStart w:id="211" w:name="_Toc29317"/>
      <w:bookmarkStart w:id="212" w:name="_Toc20671"/>
      <w:bookmarkStart w:id="213" w:name="_Toc17041"/>
      <w:bookmarkStart w:id="214" w:name="_Toc30252"/>
      <w:bookmarkStart w:id="215" w:name="_Toc11211"/>
      <w:bookmarkStart w:id="216" w:name="_Toc3586"/>
      <w:bookmarkStart w:id="217" w:name="_Toc29602"/>
      <w:bookmarkStart w:id="218" w:name="_Toc17354"/>
      <w:bookmarkStart w:id="219" w:name="_Toc31871"/>
      <w:bookmarkStart w:id="220" w:name="_Toc29685"/>
      <w:bookmarkStart w:id="221" w:name="_Toc22215"/>
      <w:bookmarkStart w:id="222" w:name="_Toc2842"/>
      <w:bookmarkStart w:id="223" w:name="_Toc4751"/>
      <w:bookmarkStart w:id="224" w:name="_Toc7985"/>
      <w:bookmarkStart w:id="225" w:name="_Toc26411"/>
      <w:bookmarkStart w:id="226" w:name="_Toc14289"/>
      <w:bookmarkStart w:id="227" w:name="_Toc7929"/>
      <w:bookmarkStart w:id="228" w:name="_Toc15037"/>
      <w:bookmarkStart w:id="229" w:name="_Toc29920"/>
      <w:bookmarkStart w:id="230" w:name="_Toc13623"/>
      <w:bookmarkStart w:id="231" w:name="_Toc14432"/>
      <w:bookmarkStart w:id="232" w:name="_Toc24363"/>
      <w:bookmarkStart w:id="233" w:name="_Toc3653"/>
      <w:bookmarkStart w:id="234" w:name="_Toc30836"/>
      <w:bookmarkStart w:id="235" w:name="_Toc981"/>
      <w:bookmarkStart w:id="236" w:name="_Toc21117"/>
      <w:bookmarkStart w:id="237" w:name="_Toc15330"/>
      <w:bookmarkStart w:id="238" w:name="_Toc8117"/>
      <w:bookmarkStart w:id="239" w:name="_Toc1032"/>
      <w:r>
        <w:rPr>
          <w:rFonts w:hint="eastAsia" w:ascii="宋体" w:hAnsi="宋体" w:eastAsia="宋体" w:cs="宋体"/>
          <w:b/>
          <w:bCs w:val="0"/>
          <w:color w:val="auto"/>
          <w:sz w:val="24"/>
          <w:szCs w:val="24"/>
          <w:lang w:val="en-US" w:eastAsia="zh-CN"/>
        </w:rPr>
        <w:t>1.采购人信息</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32F5421A">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val="en-US" w:eastAsia="zh-CN"/>
        </w:rPr>
        <w:t>名    称</w:t>
      </w:r>
      <w:r>
        <w:rPr>
          <w:rFonts w:hint="eastAsia" w:ascii="宋体" w:hAnsi="宋体" w:eastAsia="宋体" w:cs="宋体"/>
          <w:b w:val="0"/>
          <w:bCs/>
          <w:color w:val="auto"/>
          <w:sz w:val="24"/>
          <w:szCs w:val="24"/>
          <w:lang w:eastAsia="zh-CN"/>
        </w:rPr>
        <w:t>：</w:t>
      </w:r>
      <w:r>
        <w:rPr>
          <w:rFonts w:hint="eastAsia" w:cs="宋体"/>
          <w:b w:val="0"/>
          <w:bCs/>
          <w:color w:val="auto"/>
          <w:sz w:val="24"/>
          <w:szCs w:val="24"/>
          <w:lang w:eastAsia="zh-CN"/>
        </w:rPr>
        <w:t>南华县人民医院</w:t>
      </w:r>
    </w:p>
    <w:p w14:paraId="2D3E30E2">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lang w:eastAsia="zh-CN"/>
        </w:rPr>
        <w:t>地</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lang w:eastAsia="zh-CN"/>
        </w:rPr>
        <w:t>址：</w:t>
      </w:r>
      <w:r>
        <w:rPr>
          <w:rFonts w:hint="eastAsia" w:cs="宋体"/>
          <w:b w:val="0"/>
          <w:bCs/>
          <w:color w:val="auto"/>
          <w:sz w:val="24"/>
          <w:szCs w:val="24"/>
          <w:lang w:eastAsia="zh-CN"/>
        </w:rPr>
        <w:t>南华县龙川镇华强路</w:t>
      </w:r>
    </w:p>
    <w:p w14:paraId="11762AEA">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w:t>
      </w:r>
      <w:r>
        <w:rPr>
          <w:rFonts w:hint="eastAsia" w:ascii="宋体" w:hAnsi="宋体" w:eastAsia="宋体" w:cs="宋体"/>
          <w:color w:val="auto"/>
          <w:sz w:val="24"/>
          <w:szCs w:val="24"/>
          <w:lang w:val="en-US" w:eastAsia="zh-CN"/>
        </w:rPr>
        <w:t>方式</w:t>
      </w:r>
      <w:r>
        <w:rPr>
          <w:rFonts w:hint="eastAsia" w:ascii="宋体" w:hAnsi="宋体" w:eastAsia="宋体" w:cs="宋体"/>
          <w:color w:val="auto"/>
          <w:sz w:val="24"/>
          <w:szCs w:val="24"/>
          <w:lang w:eastAsia="zh-CN"/>
        </w:rPr>
        <w:t>：0878-7222446</w:t>
      </w:r>
    </w:p>
    <w:p w14:paraId="0E739F47">
      <w:pPr>
        <w:pStyle w:val="28"/>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val="0"/>
          <w:color w:val="auto"/>
          <w:sz w:val="24"/>
          <w:szCs w:val="24"/>
          <w:lang w:val="en-US" w:eastAsia="zh-CN"/>
        </w:rPr>
      </w:pPr>
      <w:bookmarkStart w:id="240" w:name="_Toc6941"/>
      <w:bookmarkStart w:id="241" w:name="_Toc12646"/>
      <w:bookmarkStart w:id="242" w:name="_Toc11511"/>
      <w:bookmarkStart w:id="243" w:name="_Toc14384"/>
      <w:bookmarkStart w:id="244" w:name="_Toc14613"/>
      <w:bookmarkStart w:id="245" w:name="_Toc19335"/>
      <w:bookmarkStart w:id="246" w:name="_Toc22272"/>
      <w:bookmarkStart w:id="247" w:name="_Toc15470"/>
      <w:bookmarkStart w:id="248" w:name="_Toc7669"/>
      <w:bookmarkStart w:id="249" w:name="_Toc26452"/>
      <w:bookmarkStart w:id="250" w:name="_Toc23063"/>
      <w:bookmarkStart w:id="251" w:name="_Toc7344"/>
      <w:bookmarkStart w:id="252" w:name="_Toc31520"/>
      <w:bookmarkStart w:id="253" w:name="_Toc6206"/>
      <w:bookmarkStart w:id="254" w:name="_Toc16577"/>
      <w:bookmarkStart w:id="255" w:name="_Toc19890"/>
      <w:bookmarkStart w:id="256" w:name="_Toc25855"/>
      <w:bookmarkStart w:id="257" w:name="_Toc16296"/>
      <w:bookmarkStart w:id="258" w:name="_Toc18785"/>
      <w:bookmarkStart w:id="259" w:name="_Toc1068"/>
      <w:bookmarkStart w:id="260" w:name="_Toc815"/>
      <w:bookmarkStart w:id="261" w:name="_Toc15284"/>
      <w:bookmarkStart w:id="262" w:name="_Toc30797"/>
      <w:bookmarkStart w:id="263" w:name="_Toc17270"/>
      <w:bookmarkStart w:id="264" w:name="_Toc18377"/>
      <w:bookmarkStart w:id="265" w:name="_Toc27813"/>
      <w:bookmarkStart w:id="266" w:name="_Toc16278"/>
      <w:bookmarkStart w:id="267" w:name="_Toc22792"/>
      <w:bookmarkStart w:id="268" w:name="_Toc11632"/>
      <w:bookmarkStart w:id="269" w:name="_Toc12715"/>
      <w:bookmarkStart w:id="270" w:name="_Toc15130"/>
      <w:bookmarkStart w:id="271" w:name="_Toc31458"/>
      <w:bookmarkStart w:id="272" w:name="_Toc1725"/>
      <w:bookmarkStart w:id="273" w:name="_Toc23934"/>
      <w:bookmarkStart w:id="274" w:name="_Toc30344"/>
      <w:bookmarkStart w:id="275" w:name="_Toc30653"/>
      <w:bookmarkStart w:id="276" w:name="_Toc579"/>
      <w:bookmarkStart w:id="277" w:name="_Toc16712"/>
      <w:bookmarkStart w:id="278" w:name="_Toc32028"/>
      <w:bookmarkStart w:id="279" w:name="_Toc32538"/>
      <w:bookmarkStart w:id="280" w:name="_Toc16580"/>
      <w:bookmarkStart w:id="281" w:name="_Toc19348"/>
      <w:bookmarkStart w:id="282" w:name="_Toc23275"/>
      <w:bookmarkStart w:id="283" w:name="_Toc22224"/>
      <w:bookmarkStart w:id="284" w:name="_Toc2801"/>
      <w:r>
        <w:rPr>
          <w:rFonts w:hint="eastAsia" w:ascii="宋体" w:hAnsi="宋体" w:eastAsia="宋体" w:cs="宋体"/>
          <w:b/>
          <w:bCs w:val="0"/>
          <w:color w:val="auto"/>
          <w:sz w:val="24"/>
          <w:szCs w:val="24"/>
          <w:lang w:val="en-US" w:eastAsia="zh-CN"/>
        </w:rPr>
        <w:t>2.招标代理机构信息</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7835AD7">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bookmarkStart w:id="285" w:name="_Toc17293"/>
      <w:bookmarkStart w:id="286" w:name="_Toc25419"/>
      <w:bookmarkStart w:id="287" w:name="_Toc13241"/>
      <w:bookmarkStart w:id="288" w:name="_Toc19261"/>
      <w:bookmarkStart w:id="289" w:name="_Toc8379"/>
      <w:bookmarkStart w:id="290" w:name="_Toc2557"/>
      <w:bookmarkStart w:id="291" w:name="_Toc22759"/>
      <w:bookmarkStart w:id="292" w:name="_Toc10182"/>
      <w:bookmarkStart w:id="293" w:name="_Toc12438"/>
      <w:bookmarkStart w:id="294" w:name="_Toc556"/>
      <w:bookmarkStart w:id="295" w:name="_Toc13945"/>
      <w:bookmarkStart w:id="296" w:name="_Toc12019"/>
      <w:bookmarkStart w:id="297" w:name="_Toc1050"/>
      <w:bookmarkStart w:id="298" w:name="_Toc28765"/>
      <w:bookmarkStart w:id="299" w:name="_Toc8748"/>
      <w:bookmarkStart w:id="300" w:name="_Toc20485"/>
      <w:bookmarkStart w:id="301" w:name="_Toc17609"/>
      <w:bookmarkStart w:id="302" w:name="_Toc10316"/>
      <w:bookmarkStart w:id="303" w:name="_Toc5611"/>
      <w:bookmarkStart w:id="304" w:name="_Toc27231"/>
      <w:bookmarkStart w:id="305" w:name="_Toc26158"/>
      <w:bookmarkStart w:id="306" w:name="_Toc9285"/>
      <w:bookmarkStart w:id="307" w:name="_Toc5067"/>
      <w:bookmarkStart w:id="308" w:name="_Toc15169"/>
      <w:bookmarkStart w:id="309" w:name="_Toc894"/>
      <w:bookmarkStart w:id="310" w:name="_Toc19488"/>
      <w:bookmarkStart w:id="311" w:name="_Toc26738"/>
      <w:bookmarkStart w:id="312" w:name="_Toc7450"/>
      <w:bookmarkStart w:id="313" w:name="_Toc28359010"/>
      <w:bookmarkStart w:id="314" w:name="_Toc7185"/>
      <w:bookmarkStart w:id="315" w:name="_Toc28359087"/>
      <w:bookmarkStart w:id="316" w:name="_Toc7977"/>
      <w:bookmarkStart w:id="317" w:name="_Toc1735"/>
      <w:bookmarkStart w:id="318" w:name="_Toc21036"/>
      <w:bookmarkStart w:id="319" w:name="_Toc11563"/>
      <w:bookmarkStart w:id="320" w:name="_Toc29134"/>
      <w:bookmarkStart w:id="321" w:name="_Toc27292"/>
      <w:bookmarkStart w:id="322" w:name="_Toc25623"/>
      <w:bookmarkStart w:id="323" w:name="_Toc3104"/>
      <w:bookmarkStart w:id="324" w:name="_Toc21306"/>
      <w:bookmarkStart w:id="325" w:name="_Toc4004"/>
      <w:bookmarkStart w:id="326" w:name="_Toc5487"/>
      <w:bookmarkStart w:id="327" w:name="_Toc20534"/>
      <w:bookmarkStart w:id="328" w:name="_Toc17426"/>
      <w:bookmarkStart w:id="329" w:name="_Toc7911"/>
      <w:bookmarkStart w:id="330" w:name="_Toc266"/>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楚雄腾凯工程项目管理有限公司</w:t>
      </w:r>
    </w:p>
    <w:p w14:paraId="60FF64F4">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南华县龙川镇两旗书苑52号</w:t>
      </w:r>
    </w:p>
    <w:p w14:paraId="283B038B">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13638701730</w:t>
      </w:r>
    </w:p>
    <w:p w14:paraId="007E1D27">
      <w:pPr>
        <w:keepNext w:val="0"/>
        <w:keepLines w:val="0"/>
        <w:pageBreakBefore w:val="0"/>
        <w:widowControl w:val="0"/>
        <w:kinsoku/>
        <w:wordWrap w:val="0"/>
        <w:overflowPunct w:val="0"/>
        <w:topLinePunct w:val="0"/>
        <w:autoSpaceDE/>
        <w:autoSpaceDN/>
        <w:bidi w:val="0"/>
        <w:adjustRightInd/>
        <w:snapToGrid/>
        <w:spacing w:line="430" w:lineRule="exact"/>
        <w:ind w:left="0" w:right="0" w:firstLine="482" w:firstLineChars="200"/>
        <w:jc w:val="left"/>
        <w:textAlignment w:val="auto"/>
        <w:outlineLvl w:val="2"/>
        <w:rPr>
          <w:rFonts w:hint="eastAsia" w:ascii="宋体" w:hAnsi="宋体" w:eastAsia="宋体" w:cs="宋体"/>
          <w:b/>
          <w:bCs/>
          <w:color w:val="auto"/>
          <w:sz w:val="24"/>
          <w:szCs w:val="24"/>
          <w:lang w:val="en-US" w:eastAsia="zh-CN"/>
        </w:rPr>
      </w:pPr>
      <w:bookmarkStart w:id="331" w:name="_Toc15563"/>
      <w:r>
        <w:rPr>
          <w:rFonts w:hint="eastAsia" w:ascii="宋体" w:hAnsi="宋体" w:eastAsia="宋体" w:cs="宋体"/>
          <w:b/>
          <w:bCs/>
          <w:color w:val="auto"/>
          <w:sz w:val="24"/>
          <w:szCs w:val="24"/>
          <w:lang w:val="en-US" w:eastAsia="zh-CN"/>
        </w:rPr>
        <w:t>3.项目联系方式</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bookmarkEnd w:id="11"/>
    <w:bookmarkEnd w:id="12"/>
    <w:p w14:paraId="3804DB3A">
      <w:pPr>
        <w:keepNext w:val="0"/>
        <w:keepLines w:val="0"/>
        <w:pageBreakBefore w:val="0"/>
        <w:widowControl w:val="0"/>
        <w:kinsoku/>
        <w:wordWrap w:val="0"/>
        <w:overflowPunct w:val="0"/>
        <w:topLinePunct w:val="0"/>
        <w:autoSpaceDE/>
        <w:autoSpaceDN/>
        <w:bidi w:val="0"/>
        <w:adjustRightInd/>
        <w:snapToGrid/>
        <w:spacing w:line="430" w:lineRule="exact"/>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项目联系人：</w:t>
      </w:r>
      <w:r>
        <w:rPr>
          <w:rFonts w:hint="eastAsia" w:ascii="宋体" w:hAnsi="宋体" w:cs="宋体"/>
          <w:color w:val="auto"/>
          <w:sz w:val="24"/>
          <w:szCs w:val="24"/>
          <w:lang w:val="en-US" w:eastAsia="zh-CN"/>
        </w:rPr>
        <w:t>袁海</w:t>
      </w:r>
    </w:p>
    <w:p w14:paraId="3935B557">
      <w:pPr>
        <w:pStyle w:val="28"/>
        <w:keepNext w:val="0"/>
        <w:keepLines w:val="0"/>
        <w:pageBreakBefore w:val="0"/>
        <w:widowControl w:val="0"/>
        <w:kinsoku/>
        <w:wordWrap w:val="0"/>
        <w:overflowPunct/>
        <w:topLinePunct/>
        <w:autoSpaceDE/>
        <w:autoSpaceDN/>
        <w:bidi w:val="0"/>
        <w:adjustRightInd/>
        <w:snapToGrid/>
        <w:spacing w:line="430" w:lineRule="exact"/>
        <w:ind w:left="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电    </w:t>
      </w:r>
      <w:r>
        <w:rPr>
          <w:rFonts w:hint="eastAsia" w:cs="宋体"/>
          <w:color w:val="auto"/>
          <w:sz w:val="24"/>
          <w:szCs w:val="24"/>
          <w:lang w:val="en-US" w:eastAsia="zh-CN"/>
        </w:rPr>
        <w:t xml:space="preserve">  </w:t>
      </w:r>
      <w:r>
        <w:rPr>
          <w:rFonts w:hint="eastAsia" w:ascii="宋体" w:hAnsi="宋体" w:eastAsia="宋体" w:cs="宋体"/>
          <w:color w:val="auto"/>
          <w:sz w:val="24"/>
          <w:szCs w:val="24"/>
          <w:lang w:val="en-US" w:eastAsia="zh-CN"/>
        </w:rPr>
        <w:t>话：</w:t>
      </w:r>
      <w:r>
        <w:rPr>
          <w:rFonts w:hint="eastAsia" w:cs="宋体"/>
          <w:color w:val="auto"/>
          <w:sz w:val="24"/>
          <w:szCs w:val="24"/>
          <w:lang w:val="en-US" w:eastAsia="zh-CN"/>
        </w:rPr>
        <w:t>13638701730</w:t>
      </w:r>
    </w:p>
    <w:p w14:paraId="0179EE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color w:val="auto"/>
          <w:kern w:val="2"/>
          <w:sz w:val="24"/>
          <w:szCs w:val="24"/>
          <w:lang w:eastAsia="zh-CN"/>
        </w:rPr>
        <w:sectPr>
          <w:footerReference r:id="rId6" w:type="first"/>
          <w:footerReference r:id="rId5" w:type="default"/>
          <w:pgSz w:w="11906" w:h="16838"/>
          <w:pgMar w:top="1383" w:right="1026" w:bottom="1383" w:left="1026" w:header="709" w:footer="737" w:gutter="0"/>
          <w:pgNumType w:fmt="decimal" w:start="1"/>
          <w:cols w:space="720" w:num="1"/>
          <w:titlePg/>
          <w:rtlGutter w:val="0"/>
          <w:docGrid w:linePitch="299" w:charSpace="0"/>
        </w:sectPr>
      </w:pPr>
    </w:p>
    <w:p w14:paraId="0CCA9AD6">
      <w:pPr>
        <w:pStyle w:val="2"/>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center"/>
        <w:textAlignment w:val="auto"/>
        <w:outlineLvl w:val="0"/>
        <w:rPr>
          <w:rFonts w:hint="eastAsia" w:ascii="宋体" w:hAnsi="宋体" w:eastAsia="宋体" w:cs="宋体"/>
          <w:bCs/>
          <w:color w:val="auto"/>
          <w:sz w:val="40"/>
          <w:lang w:eastAsia="zh-CN"/>
        </w:rPr>
      </w:pPr>
      <w:bookmarkStart w:id="332" w:name="_Toc497486316"/>
      <w:bookmarkStart w:id="333" w:name="_Toc25845"/>
      <w:r>
        <w:rPr>
          <w:rStyle w:val="89"/>
          <w:rFonts w:hint="eastAsia" w:ascii="宋体" w:hAnsi="宋体" w:eastAsia="宋体" w:cs="宋体"/>
          <w:b/>
          <w:bCs/>
          <w:color w:val="auto"/>
          <w:lang w:eastAsia="zh-CN"/>
        </w:rPr>
        <w:t>第二章</w:t>
      </w:r>
      <w:r>
        <w:rPr>
          <w:rStyle w:val="89"/>
          <w:rFonts w:hint="eastAsia" w:ascii="宋体" w:hAnsi="宋体" w:eastAsia="宋体" w:cs="宋体"/>
          <w:b/>
          <w:bCs/>
          <w:color w:val="auto"/>
          <w:lang w:val="en-US" w:eastAsia="zh-CN"/>
        </w:rPr>
        <w:t xml:space="preserve"> </w:t>
      </w:r>
      <w:r>
        <w:rPr>
          <w:rStyle w:val="89"/>
          <w:rFonts w:hint="eastAsia" w:ascii="宋体" w:hAnsi="宋体" w:eastAsia="宋体" w:cs="宋体"/>
          <w:b/>
          <w:bCs/>
          <w:color w:val="auto"/>
          <w:lang w:eastAsia="zh-CN"/>
        </w:rPr>
        <w:t>供应商须知</w:t>
      </w:r>
      <w:bookmarkEnd w:id="332"/>
      <w:bookmarkEnd w:id="333"/>
    </w:p>
    <w:p w14:paraId="708ABF9A">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textAlignment w:val="auto"/>
        <w:outlineLvl w:val="1"/>
        <w:rPr>
          <w:rFonts w:hint="eastAsia" w:ascii="宋体" w:hAnsi="宋体" w:eastAsia="宋体" w:cs="宋体"/>
          <w:color w:val="auto"/>
          <w:sz w:val="32"/>
          <w:szCs w:val="32"/>
          <w:lang w:eastAsia="zh-CN"/>
        </w:rPr>
      </w:pPr>
      <w:bookmarkStart w:id="334" w:name="_Toc88638755"/>
      <w:bookmarkStart w:id="335" w:name="_Toc23461"/>
      <w:bookmarkStart w:id="336" w:name="_Toc145067563"/>
      <w:bookmarkStart w:id="337" w:name="_Toc88646729"/>
      <w:r>
        <w:rPr>
          <w:rFonts w:hint="eastAsia" w:cs="宋体"/>
          <w:color w:val="auto"/>
          <w:sz w:val="32"/>
          <w:szCs w:val="32"/>
          <w:lang w:eastAsia="zh-CN"/>
        </w:rPr>
        <w:t>供应商</w:t>
      </w:r>
      <w:r>
        <w:rPr>
          <w:rFonts w:hint="eastAsia" w:ascii="宋体" w:hAnsi="宋体" w:eastAsia="宋体" w:cs="宋体"/>
          <w:color w:val="auto"/>
          <w:sz w:val="32"/>
          <w:szCs w:val="32"/>
          <w:lang w:eastAsia="zh-CN"/>
        </w:rPr>
        <w:t>须知前附表</w:t>
      </w:r>
      <w:bookmarkEnd w:id="334"/>
      <w:bookmarkEnd w:id="335"/>
      <w:bookmarkEnd w:id="336"/>
      <w:bookmarkEnd w:id="337"/>
    </w:p>
    <w:p w14:paraId="0BA2B7A7">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hint="eastAsia"/>
          <w:color w:val="auto"/>
          <w:sz w:val="24"/>
          <w:highlight w:val="none"/>
          <w:lang w:eastAsia="zh-CN"/>
        </w:rPr>
        <w:t>“■”</w:t>
      </w:r>
      <w:r>
        <w:rPr>
          <w:color w:val="auto"/>
          <w:sz w:val="24"/>
          <w:highlight w:val="none"/>
        </w:rPr>
        <w:t>的选项意为适用于本项目，标记</w:t>
      </w:r>
      <w:r>
        <w:rPr>
          <w:rFonts w:hint="eastAsia"/>
          <w:color w:val="auto"/>
          <w:sz w:val="24"/>
          <w:highlight w:val="none"/>
          <w:lang w:eastAsia="zh-CN"/>
        </w:rPr>
        <w:t>“□”</w:t>
      </w:r>
      <w:r>
        <w:rPr>
          <w:color w:val="auto"/>
          <w:sz w:val="24"/>
          <w:highlight w:val="none"/>
        </w:rPr>
        <w:t>的选项意为不适用于本项目。</w:t>
      </w:r>
    </w:p>
    <w:p w14:paraId="3EF54303">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
          <w:szCs w:val="6"/>
          <w:lang w:eastAsia="zh-CN"/>
        </w:rPr>
      </w:pPr>
    </w:p>
    <w:tbl>
      <w:tblPr>
        <w:tblStyle w:val="67"/>
        <w:tblW w:w="102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1"/>
        <w:gridCol w:w="7957"/>
      </w:tblGrid>
      <w:tr w14:paraId="711FD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610C172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sz w:val="24"/>
                <w:szCs w:val="24"/>
              </w:rPr>
            </w:pPr>
            <w:bookmarkStart w:id="338" w:name="_Toc144646679"/>
            <w:bookmarkStart w:id="339" w:name="_Toc88646733"/>
            <w:bookmarkStart w:id="340" w:name="_Toc88638759"/>
            <w:r>
              <w:rPr>
                <w:rFonts w:hint="eastAsia" w:ascii="宋体" w:hAnsi="宋体" w:eastAsia="宋体" w:cs="宋体"/>
                <w:b/>
                <w:color w:val="auto"/>
                <w:sz w:val="24"/>
                <w:szCs w:val="24"/>
              </w:rPr>
              <w:t>条款名称</w:t>
            </w:r>
          </w:p>
        </w:tc>
        <w:tc>
          <w:tcPr>
            <w:tcW w:w="7957" w:type="dxa"/>
            <w:noWrap w:val="0"/>
            <w:vAlign w:val="center"/>
          </w:tcPr>
          <w:p w14:paraId="27DB1149">
            <w:pPr>
              <w:keepNext w:val="0"/>
              <w:keepLines w:val="0"/>
              <w:pageBreakBefore w:val="0"/>
              <w:widowControl w:val="0"/>
              <w:kinsoku/>
              <w:wordWrap w:val="0"/>
              <w:overflowPunct/>
              <w:topLinePunct/>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编列内容</w:t>
            </w:r>
          </w:p>
        </w:tc>
      </w:tr>
      <w:tr w14:paraId="41134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79F369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7957" w:type="dxa"/>
            <w:noWrap w:val="0"/>
            <w:vAlign w:val="center"/>
          </w:tcPr>
          <w:p w14:paraId="0526502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 购 人：</w:t>
            </w:r>
            <w:r>
              <w:rPr>
                <w:rFonts w:hint="eastAsia" w:ascii="宋体" w:hAnsi="宋体" w:cs="宋体"/>
                <w:color w:val="auto"/>
                <w:sz w:val="24"/>
                <w:szCs w:val="24"/>
                <w:lang w:eastAsia="zh-CN"/>
              </w:rPr>
              <w:t>南华县人民医院</w:t>
            </w:r>
          </w:p>
          <w:p w14:paraId="24A898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址：南华县龙川镇华强路</w:t>
            </w:r>
          </w:p>
          <w:p w14:paraId="66EE89C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 系 人：</w:t>
            </w:r>
            <w:r>
              <w:rPr>
                <w:rFonts w:hint="eastAsia" w:ascii="宋体" w:hAnsi="宋体" w:cs="宋体"/>
                <w:color w:val="auto"/>
                <w:sz w:val="24"/>
                <w:szCs w:val="24"/>
                <w:lang w:eastAsia="zh-CN"/>
              </w:rPr>
              <w:t>周</w:t>
            </w:r>
            <w:r>
              <w:rPr>
                <w:rFonts w:hint="eastAsia" w:ascii="宋体" w:hAnsi="宋体" w:eastAsia="宋体" w:cs="宋体"/>
                <w:color w:val="auto"/>
                <w:sz w:val="24"/>
                <w:szCs w:val="24"/>
                <w:lang w:eastAsia="zh-CN"/>
              </w:rPr>
              <w:t>老师</w:t>
            </w:r>
          </w:p>
          <w:p w14:paraId="251E7C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    话：0878-7222446</w:t>
            </w:r>
          </w:p>
        </w:tc>
      </w:tr>
      <w:tr w14:paraId="4FE46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5917A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7957" w:type="dxa"/>
            <w:noWrap w:val="0"/>
            <w:vAlign w:val="center"/>
          </w:tcPr>
          <w:p w14:paraId="30229772">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名    称：</w:t>
            </w:r>
            <w:r>
              <w:rPr>
                <w:rFonts w:hint="eastAsia" w:ascii="宋体" w:hAnsi="宋体" w:cs="宋体"/>
                <w:color w:val="auto"/>
                <w:sz w:val="24"/>
                <w:szCs w:val="24"/>
                <w:lang w:val="en-US" w:eastAsia="zh-CN"/>
              </w:rPr>
              <w:t>楚雄腾凯工程项目管理有限公司</w:t>
            </w:r>
          </w:p>
          <w:p w14:paraId="75237480">
            <w:pPr>
              <w:keepNext w:val="0"/>
              <w:keepLines w:val="0"/>
              <w:pageBreakBefore w:val="0"/>
              <w:widowControl w:val="0"/>
              <w:kinsoku/>
              <w:wordWrap w:val="0"/>
              <w:overflowPunct w:val="0"/>
              <w:topLinePunct w:val="0"/>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w:t>
            </w:r>
            <w:r>
              <w:rPr>
                <w:rFonts w:hint="eastAsia" w:ascii="宋体" w:hAnsi="宋体" w:cs="宋体"/>
                <w:color w:val="auto"/>
                <w:sz w:val="24"/>
                <w:szCs w:val="24"/>
                <w:lang w:val="en-US" w:eastAsia="zh-CN"/>
              </w:rPr>
              <w:t>南华县龙川镇两旗书苑52号</w:t>
            </w:r>
          </w:p>
          <w:p w14:paraId="4DCE970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联 系 人：袁海</w:t>
            </w:r>
          </w:p>
          <w:p w14:paraId="137C05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r>
              <w:rPr>
                <w:rFonts w:hint="eastAsia" w:ascii="宋体" w:hAnsi="宋体" w:cs="宋体"/>
                <w:color w:val="auto"/>
                <w:sz w:val="24"/>
                <w:szCs w:val="24"/>
                <w:lang w:val="en-US" w:eastAsia="zh-CN"/>
              </w:rPr>
              <w:t>13638701730</w:t>
            </w:r>
          </w:p>
        </w:tc>
      </w:tr>
      <w:tr w14:paraId="13260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jc w:val="center"/>
        </w:trPr>
        <w:tc>
          <w:tcPr>
            <w:tcW w:w="2271" w:type="dxa"/>
            <w:noWrap w:val="0"/>
            <w:vAlign w:val="center"/>
          </w:tcPr>
          <w:p w14:paraId="287129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项目名称</w:t>
            </w:r>
          </w:p>
        </w:tc>
        <w:tc>
          <w:tcPr>
            <w:tcW w:w="7957" w:type="dxa"/>
            <w:noWrap w:val="0"/>
            <w:vAlign w:val="center"/>
          </w:tcPr>
          <w:p w14:paraId="6243332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南华县人民医院病理科设备采购项目</w:t>
            </w:r>
          </w:p>
        </w:tc>
      </w:tr>
      <w:tr w14:paraId="52D38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jc w:val="center"/>
        </w:trPr>
        <w:tc>
          <w:tcPr>
            <w:tcW w:w="2271" w:type="dxa"/>
            <w:noWrap w:val="0"/>
            <w:vAlign w:val="center"/>
          </w:tcPr>
          <w:p w14:paraId="20ABBA1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项目编号</w:t>
            </w:r>
          </w:p>
        </w:tc>
        <w:tc>
          <w:tcPr>
            <w:tcW w:w="7957" w:type="dxa"/>
            <w:noWrap w:val="0"/>
            <w:vAlign w:val="center"/>
          </w:tcPr>
          <w:p w14:paraId="5A78502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CXZC2025-G1-00260-TKZB-0003</w:t>
            </w:r>
          </w:p>
        </w:tc>
      </w:tr>
      <w:tr w14:paraId="5B958F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2271" w:type="dxa"/>
            <w:noWrap w:val="0"/>
            <w:vAlign w:val="center"/>
          </w:tcPr>
          <w:p w14:paraId="16EB0C1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资金落实情况</w:t>
            </w:r>
          </w:p>
        </w:tc>
        <w:tc>
          <w:tcPr>
            <w:tcW w:w="7957" w:type="dxa"/>
            <w:noWrap w:val="0"/>
            <w:vAlign w:val="center"/>
          </w:tcPr>
          <w:p w14:paraId="027B4A6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财政资金，</w:t>
            </w:r>
            <w:r>
              <w:rPr>
                <w:rFonts w:hint="eastAsia" w:ascii="宋体" w:hAnsi="宋体" w:eastAsia="宋体" w:cs="宋体"/>
                <w:color w:val="auto"/>
                <w:sz w:val="24"/>
                <w:szCs w:val="24"/>
                <w:lang w:eastAsia="zh-CN"/>
              </w:rPr>
              <w:t>已落实</w:t>
            </w:r>
          </w:p>
        </w:tc>
      </w:tr>
      <w:tr w14:paraId="7BA0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0" w:hRule="atLeast"/>
          <w:jc w:val="center"/>
        </w:trPr>
        <w:tc>
          <w:tcPr>
            <w:tcW w:w="2271" w:type="dxa"/>
            <w:noWrap w:val="0"/>
            <w:vAlign w:val="center"/>
          </w:tcPr>
          <w:p w14:paraId="52499207">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是否采用电子化招标投标</w:t>
            </w:r>
          </w:p>
        </w:tc>
        <w:tc>
          <w:tcPr>
            <w:tcW w:w="7957" w:type="dxa"/>
            <w:noWrap w:val="0"/>
            <w:vAlign w:val="center"/>
          </w:tcPr>
          <w:p w14:paraId="4BAFCE1A">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pacing w:val="-2"/>
                <w:kern w:val="2"/>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否：本项目非电子化招投标项目，</w:t>
            </w:r>
            <w:r>
              <w:rPr>
                <w:rFonts w:hint="eastAsia" w:ascii="宋体" w:hAnsi="宋体" w:cs="宋体"/>
                <w:color w:val="auto"/>
                <w:spacing w:val="-2"/>
                <w:kern w:val="2"/>
                <w:sz w:val="24"/>
                <w:szCs w:val="24"/>
                <w:highlight w:val="none"/>
                <w:lang w:eastAsia="zh-CN"/>
              </w:rPr>
              <w:t>供应商</w:t>
            </w:r>
            <w:r>
              <w:rPr>
                <w:rFonts w:hint="eastAsia" w:ascii="宋体" w:hAnsi="宋体" w:eastAsia="宋体" w:cs="宋体"/>
                <w:color w:val="auto"/>
                <w:spacing w:val="-2"/>
                <w:kern w:val="2"/>
                <w:sz w:val="24"/>
                <w:szCs w:val="24"/>
                <w:highlight w:val="none"/>
              </w:rPr>
              <w:t>无需遵照招标文件中有关电子化招标投标的内容及规定。</w:t>
            </w:r>
          </w:p>
          <w:p w14:paraId="36B963A5">
            <w:pPr>
              <w:pStyle w:val="654"/>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sz w:val="24"/>
                <w:szCs w:val="24"/>
                <w:highlight w:val="none"/>
                <w:lang w:eastAsia="zh-CN"/>
              </w:rPr>
              <w:t>■</w:t>
            </w:r>
            <w:r>
              <w:rPr>
                <w:rFonts w:hint="eastAsia" w:ascii="宋体" w:hAnsi="宋体" w:eastAsia="宋体" w:cs="宋体"/>
                <w:color w:val="auto"/>
                <w:spacing w:val="-2"/>
                <w:kern w:val="2"/>
                <w:sz w:val="24"/>
                <w:szCs w:val="24"/>
                <w:highlight w:val="none"/>
              </w:rPr>
              <w:t>是：</w:t>
            </w:r>
            <w:r>
              <w:rPr>
                <w:rFonts w:hint="eastAsia" w:ascii="宋体" w:hAnsi="宋体" w:eastAsia="宋体" w:cs="宋体"/>
                <w:color w:val="auto"/>
                <w:sz w:val="24"/>
                <w:szCs w:val="24"/>
                <w:highlight w:val="none"/>
              </w:rPr>
              <w:t>详见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招标公告</w:t>
            </w:r>
            <w:r>
              <w:rPr>
                <w:rFonts w:hint="eastAsia" w:ascii="宋体" w:hAnsi="宋体" w:eastAsia="宋体" w:cs="宋体"/>
                <w:color w:val="auto"/>
                <w:sz w:val="24"/>
                <w:szCs w:val="24"/>
                <w:highlight w:val="none"/>
                <w:lang w:eastAsia="zh-CN"/>
              </w:rPr>
              <w:t>”</w:t>
            </w:r>
          </w:p>
        </w:tc>
      </w:tr>
      <w:tr w14:paraId="7CDB0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1A2D1407">
            <w:pPr>
              <w:pStyle w:val="36"/>
              <w:spacing w:line="300" w:lineRule="exact"/>
              <w:jc w:val="center"/>
              <w:rPr>
                <w:rFonts w:hint="eastAsia" w:ascii="宋体" w:hAnsi="宋体" w:eastAsia="宋体" w:cs="宋体"/>
                <w:color w:val="auto"/>
                <w:kern w:val="2"/>
                <w:sz w:val="24"/>
                <w:szCs w:val="24"/>
                <w:lang w:val="en-US" w:eastAsia="zh-CN" w:bidi="ar-SA"/>
              </w:rPr>
            </w:pPr>
            <w:r>
              <w:rPr>
                <w:rFonts w:hint="eastAsia" w:hAnsi="宋体" w:cs="宋体"/>
                <w:color w:val="auto"/>
                <w:sz w:val="24"/>
                <w:szCs w:val="24"/>
                <w:lang w:eastAsia="zh-CN"/>
              </w:rPr>
              <w:t>评审</w:t>
            </w:r>
            <w:r>
              <w:rPr>
                <w:rFonts w:hint="eastAsia" w:ascii="宋体" w:hAnsi="宋体" w:eastAsia="宋体" w:cs="宋体"/>
                <w:color w:val="auto"/>
                <w:sz w:val="24"/>
                <w:szCs w:val="24"/>
              </w:rPr>
              <w:t>方法</w:t>
            </w:r>
          </w:p>
        </w:tc>
        <w:tc>
          <w:tcPr>
            <w:tcW w:w="7957" w:type="dxa"/>
            <w:noWrap w:val="0"/>
            <w:vAlign w:val="center"/>
          </w:tcPr>
          <w:p w14:paraId="134171CC">
            <w:pPr>
              <w:spacing w:line="300" w:lineRule="exact"/>
              <w:ind w:firstLine="240" w:firstLineChars="10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综合评分法，见“</w:t>
            </w:r>
            <w:r>
              <w:rPr>
                <w:rFonts w:hint="eastAsia" w:ascii="宋体" w:hAnsi="宋体" w:eastAsia="宋体" w:cs="宋体"/>
                <w:color w:val="auto"/>
                <w:sz w:val="24"/>
                <w:szCs w:val="24"/>
                <w:lang w:eastAsia="zh-CN"/>
              </w:rPr>
              <w:t>第三章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办法（综合评分法）</w:t>
            </w:r>
            <w:r>
              <w:rPr>
                <w:rFonts w:hint="eastAsia" w:ascii="宋体" w:hAnsi="宋体" w:eastAsia="宋体" w:cs="宋体"/>
                <w:color w:val="auto"/>
                <w:sz w:val="24"/>
                <w:szCs w:val="24"/>
              </w:rPr>
              <w:t>”</w:t>
            </w:r>
          </w:p>
        </w:tc>
      </w:tr>
      <w:tr w14:paraId="1CD24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35DAD6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项目属性</w:t>
            </w:r>
          </w:p>
        </w:tc>
        <w:tc>
          <w:tcPr>
            <w:tcW w:w="7957" w:type="dxa"/>
            <w:noWrap w:val="0"/>
            <w:vAlign w:val="center"/>
          </w:tcPr>
          <w:p w14:paraId="00873EE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val="en-US" w:eastAsia="zh-CN"/>
              </w:rPr>
              <w:t>货物：是指各种形态和种类的物品，包括原材料、燃料、设备、产品等。</w:t>
            </w:r>
          </w:p>
          <w:p w14:paraId="43E2811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工程：是指建设工程，包括建筑物和构筑物的新建、改建、扩建、装修、拆除、修缮等。</w:t>
            </w:r>
          </w:p>
          <w:p w14:paraId="42E9401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服务：是指除货物和工程以外的其他采购对象。</w:t>
            </w:r>
          </w:p>
        </w:tc>
      </w:tr>
      <w:tr w14:paraId="0FBB2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294813E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核心产品</w:t>
            </w:r>
          </w:p>
        </w:tc>
        <w:tc>
          <w:tcPr>
            <w:tcW w:w="7957" w:type="dxa"/>
            <w:noWrap w:val="0"/>
            <w:vAlign w:val="center"/>
          </w:tcPr>
          <w:p w14:paraId="600044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关于核心产品本项目不适用。</w:t>
            </w:r>
          </w:p>
          <w:p w14:paraId="1AE9AA4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lang w:val="en-US" w:eastAsia="zh-CN"/>
              </w:rPr>
              <w:t>□</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为单一产品采购项目。</w:t>
            </w:r>
          </w:p>
          <w:p w14:paraId="30B9BD5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本项目为非单一产品采购项目，核心产品为：</w:t>
            </w:r>
            <w:r>
              <w:rPr>
                <w:rFonts w:hint="eastAsia" w:ascii="宋体" w:hAnsi="宋体" w:cs="宋体"/>
                <w:color w:val="auto"/>
                <w:sz w:val="24"/>
                <w:szCs w:val="24"/>
                <w:highlight w:val="none"/>
                <w:u w:val="single"/>
                <w:lang w:val="en-US" w:eastAsia="zh-CN"/>
              </w:rPr>
              <w:t xml:space="preserve"> 病理切片扫描仪 </w:t>
            </w:r>
            <w:r>
              <w:rPr>
                <w:rFonts w:hint="eastAsia" w:ascii="宋体" w:hAnsi="宋体" w:eastAsia="宋体" w:cs="宋体"/>
                <w:color w:val="auto"/>
                <w:sz w:val="24"/>
                <w:szCs w:val="24"/>
                <w:highlight w:val="none"/>
                <w:lang w:val="en-US" w:eastAsia="zh-CN"/>
              </w:rPr>
              <w:t>。</w:t>
            </w:r>
          </w:p>
        </w:tc>
      </w:tr>
      <w:tr w14:paraId="31BCE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53ACAA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中标候选资格推选方式</w:t>
            </w:r>
          </w:p>
        </w:tc>
        <w:tc>
          <w:tcPr>
            <w:tcW w:w="7957" w:type="dxa"/>
            <w:noWrap w:val="0"/>
            <w:vAlign w:val="center"/>
          </w:tcPr>
          <w:p w14:paraId="4826BDC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详见“第二章 </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须知”</w:t>
            </w:r>
          </w:p>
        </w:tc>
      </w:tr>
      <w:tr w14:paraId="430F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56EBC53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现场考察</w:t>
            </w:r>
          </w:p>
        </w:tc>
        <w:tc>
          <w:tcPr>
            <w:tcW w:w="7957" w:type="dxa"/>
            <w:noWrap w:val="0"/>
            <w:vAlign w:val="center"/>
          </w:tcPr>
          <w:p w14:paraId="4ADDAB69">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不组织</w:t>
            </w:r>
          </w:p>
          <w:p w14:paraId="4720F75A">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组织</w:t>
            </w:r>
          </w:p>
          <w:p w14:paraId="6CDADC48">
            <w:pPr>
              <w:keepNext w:val="0"/>
              <w:keepLines w:val="0"/>
              <w:pageBreakBefore w:val="0"/>
              <w:widowControl w:val="0"/>
              <w:tabs>
                <w:tab w:val="left" w:pos="7665"/>
              </w:tabs>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踏勘时间：202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日，时间</w:t>
            </w:r>
            <w:r>
              <w:rPr>
                <w:rFonts w:hint="eastAsia" w:ascii="宋体" w:hAnsi="宋体" w:eastAsia="宋体" w:cs="宋体"/>
                <w:color w:val="auto"/>
                <w:sz w:val="24"/>
                <w:szCs w:val="24"/>
                <w:lang w:val="en-US" w:eastAsia="zh-CN"/>
              </w:rPr>
              <w:t>下</w:t>
            </w:r>
            <w:r>
              <w:rPr>
                <w:rFonts w:hint="eastAsia" w:ascii="宋体" w:hAnsi="宋体" w:eastAsia="宋体" w:cs="宋体"/>
                <w:color w:val="auto"/>
                <w:sz w:val="24"/>
                <w:szCs w:val="24"/>
              </w:rPr>
              <w:t>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以前在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集合，逾期不</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组织踏勘。现场踏勘所发生的一切费用及安全责任由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自行承担。</w:t>
            </w:r>
          </w:p>
          <w:p w14:paraId="6C4AADB8">
            <w:pPr>
              <w:pStyle w:val="36"/>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zh-CN" w:eastAsia="zh-CN"/>
              </w:rPr>
              <w:t>现场</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包括勘查、测量、制平面图、咨询等，</w:t>
            </w:r>
            <w:r>
              <w:rPr>
                <w:rFonts w:hint="eastAsia" w:ascii="宋体" w:hAnsi="宋体" w:eastAsia="宋体" w:cs="宋体"/>
                <w:color w:val="auto"/>
                <w:sz w:val="24"/>
                <w:szCs w:val="24"/>
                <w:highlight w:val="none"/>
                <w:lang w:val="zh-CN"/>
              </w:rPr>
              <w:t>踏勘</w:t>
            </w:r>
            <w:r>
              <w:rPr>
                <w:rFonts w:hint="eastAsia" w:ascii="宋体" w:hAnsi="宋体" w:eastAsia="宋体" w:cs="宋体"/>
                <w:color w:val="auto"/>
                <w:sz w:val="24"/>
                <w:szCs w:val="24"/>
                <w:highlight w:val="none"/>
                <w:lang w:val="zh-CN" w:eastAsia="zh-CN"/>
              </w:rPr>
              <w:t>结果与招标清单相互补充、支撑共同形成工程完整方案。满足使用功能要求和标准，风险共担，不作调整和签证。</w:t>
            </w:r>
          </w:p>
        </w:tc>
      </w:tr>
      <w:tr w14:paraId="6FD43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6B08D22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color w:val="auto"/>
                <w:sz w:val="24"/>
                <w:szCs w:val="24"/>
                <w:highlight w:val="none"/>
              </w:rPr>
              <w:t>开标前答疑会</w:t>
            </w:r>
          </w:p>
        </w:tc>
        <w:tc>
          <w:tcPr>
            <w:tcW w:w="7957" w:type="dxa"/>
            <w:noWrap w:val="0"/>
            <w:vAlign w:val="center"/>
          </w:tcPr>
          <w:p w14:paraId="6799B71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不召开</w:t>
            </w:r>
          </w:p>
          <w:p w14:paraId="2BFB809E">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Cs/>
                <w:color w:val="auto"/>
                <w:sz w:val="24"/>
                <w:szCs w:val="24"/>
                <w:highlight w:val="none"/>
              </w:rPr>
              <w:t>分</w:t>
            </w:r>
          </w:p>
          <w:p w14:paraId="292E22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highlight w:val="none"/>
              </w:rPr>
              <w:t>。</w:t>
            </w:r>
          </w:p>
        </w:tc>
      </w:tr>
      <w:tr w14:paraId="26D99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5E822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是否政府购买服务项目</w:t>
            </w:r>
          </w:p>
        </w:tc>
        <w:tc>
          <w:tcPr>
            <w:tcW w:w="7957" w:type="dxa"/>
            <w:noWrap w:val="0"/>
            <w:vAlign w:val="center"/>
          </w:tcPr>
          <w:p w14:paraId="64276927">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2"/>
                <w:sz w:val="24"/>
                <w:szCs w:val="24"/>
                <w:lang w:val="en-US" w:eastAsia="zh-CN" w:bidi="ar-SA"/>
              </w:rPr>
            </w:pPr>
            <w:r>
              <w:rPr>
                <w:rFonts w:hint="eastAsia" w:ascii="宋体" w:hAnsi="宋体" w:eastAsia="宋体" w:cs="宋体"/>
                <w:color w:val="auto"/>
                <w:sz w:val="24"/>
                <w:szCs w:val="24"/>
              </w:rPr>
              <w:t xml:space="preserve">□是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rPr>
              <w:t>否</w:t>
            </w:r>
          </w:p>
        </w:tc>
      </w:tr>
      <w:tr w14:paraId="4216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011BBEA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w:t>
            </w:r>
            <w:r>
              <w:rPr>
                <w:rFonts w:hint="eastAsia" w:ascii="宋体" w:hAnsi="宋体" w:eastAsia="宋体" w:cs="宋体"/>
                <w:color w:val="auto"/>
                <w:sz w:val="24"/>
                <w:szCs w:val="24"/>
                <w:lang w:val="en-US" w:eastAsia="zh-CN"/>
              </w:rPr>
              <w:t>属于专门面向中小企业采购项目</w:t>
            </w:r>
          </w:p>
        </w:tc>
        <w:tc>
          <w:tcPr>
            <w:tcW w:w="7957" w:type="dxa"/>
            <w:noWrap w:val="0"/>
            <w:vAlign w:val="center"/>
          </w:tcPr>
          <w:p w14:paraId="638B9149">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属于    </w:t>
            </w:r>
          </w:p>
          <w:p w14:paraId="65EA870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219BA5A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①中</w:t>
            </w:r>
            <w:r>
              <w:rPr>
                <w:rFonts w:hint="eastAsia" w:ascii="宋体" w:hAnsi="宋体" w:eastAsia="宋体" w:cs="宋体"/>
                <w:b w:val="0"/>
                <w:bCs w:val="0"/>
                <w:color w:val="auto"/>
                <w:sz w:val="24"/>
                <w:szCs w:val="24"/>
                <w:lang w:eastAsia="zh-CN"/>
              </w:rPr>
              <w:t>小企业价格扣除优惠比例：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1C21B5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0085E90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val="en-US" w:eastAsia="zh-CN"/>
              </w:rPr>
              <w:t>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p w14:paraId="58DECD2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lang w:eastAsia="zh-CN"/>
              </w:rPr>
            </w:pPr>
          </w:p>
          <w:p w14:paraId="4FFE5058">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w:t>
            </w:r>
            <w:r>
              <w:rPr>
                <w:rFonts w:hint="eastAsia" w:ascii="宋体" w:hAnsi="宋体" w:eastAsia="宋体" w:cs="宋体"/>
                <w:bCs/>
                <w:color w:val="auto"/>
                <w:sz w:val="24"/>
                <w:szCs w:val="24"/>
                <w:highlight w:val="none"/>
                <w:lang w:val="en-US" w:eastAsia="zh-CN"/>
              </w:rPr>
              <w:t>属于</w:t>
            </w:r>
          </w:p>
          <w:p w14:paraId="268C073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1" w:firstLineChars="100"/>
              <w:contextualSpacing/>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价格扣除优惠比例：</w:t>
            </w:r>
          </w:p>
          <w:p w14:paraId="13E4FED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b w:val="0"/>
                <w:bCs w:val="0"/>
                <w:color w:val="auto"/>
                <w:sz w:val="24"/>
                <w:szCs w:val="24"/>
                <w:lang w:eastAsia="zh-CN"/>
              </w:rPr>
              <w:t>小微企业价格扣除优惠比例：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10</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6A89FC7C">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②</w:t>
            </w:r>
            <w:r>
              <w:rPr>
                <w:rFonts w:hint="eastAsia" w:ascii="宋体" w:hAnsi="宋体" w:eastAsia="宋体" w:cs="宋体"/>
                <w:b w:val="0"/>
                <w:bCs w:val="0"/>
                <w:color w:val="auto"/>
                <w:sz w:val="24"/>
                <w:szCs w:val="24"/>
                <w:lang w:eastAsia="zh-CN"/>
              </w:rPr>
              <w:t>大中企业与</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小企业组成联合体评审优惠比例：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p>
          <w:p w14:paraId="125B0FA0">
            <w:pPr>
              <w:pStyle w:val="36"/>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③</w:t>
            </w:r>
            <w:r>
              <w:rPr>
                <w:rFonts w:hint="eastAsia" w:ascii="宋体" w:hAnsi="宋体" w:eastAsia="宋体" w:cs="宋体"/>
                <w:b w:val="0"/>
                <w:bCs w:val="0"/>
                <w:color w:val="auto"/>
                <w:sz w:val="24"/>
                <w:szCs w:val="24"/>
                <w:lang w:eastAsia="zh-CN"/>
              </w:rPr>
              <w:t>大中企业向</w:t>
            </w:r>
            <w:r>
              <w:rPr>
                <w:rFonts w:hint="eastAsia" w:ascii="宋体" w:hAnsi="宋体" w:eastAsia="宋体" w:cs="宋体"/>
                <w:b w:val="0"/>
                <w:bCs w:val="0"/>
                <w:color w:val="auto"/>
                <w:sz w:val="24"/>
                <w:szCs w:val="24"/>
                <w:lang w:val="en-US" w:eastAsia="zh-CN"/>
              </w:rPr>
              <w:t>中</w:t>
            </w:r>
            <w:r>
              <w:rPr>
                <w:rFonts w:hint="eastAsia" w:ascii="宋体" w:hAnsi="宋体" w:eastAsia="宋体" w:cs="宋体"/>
                <w:b w:val="0"/>
                <w:bCs w:val="0"/>
                <w:color w:val="auto"/>
                <w:sz w:val="24"/>
                <w:szCs w:val="24"/>
                <w:lang w:eastAsia="zh-CN"/>
              </w:rPr>
              <w:t>小企业合同分包评审优惠比例：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4</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lang w:eastAsia="zh-CN"/>
              </w:rPr>
              <w:t>%</w:t>
            </w:r>
            <w:r>
              <w:rPr>
                <w:rFonts w:hint="eastAsia" w:ascii="宋体" w:hAnsi="宋体" w:eastAsia="宋体" w:cs="宋体"/>
                <w:snapToGrid w:val="0"/>
                <w:color w:val="auto"/>
                <w:kern w:val="0"/>
                <w:sz w:val="24"/>
                <w:szCs w:val="24"/>
                <w:highlight w:val="none"/>
                <w:lang w:val="en-US" w:eastAsia="zh-CN"/>
              </w:rPr>
              <w:t>。</w:t>
            </w:r>
          </w:p>
        </w:tc>
      </w:tr>
      <w:tr w14:paraId="3539B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3149406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highlight w:val="none"/>
                <w:lang w:val="zh-CN" w:eastAsia="zh-CN" w:bidi="ar-SA"/>
              </w:rPr>
            </w:pPr>
            <w:r>
              <w:rPr>
                <w:rFonts w:hint="eastAsia" w:ascii="宋体" w:hAnsi="宋体" w:eastAsia="宋体" w:cs="宋体"/>
                <w:snapToGrid w:val="0"/>
                <w:color w:val="auto"/>
                <w:kern w:val="0"/>
                <w:sz w:val="24"/>
                <w:szCs w:val="24"/>
                <w:highlight w:val="none"/>
              </w:rPr>
              <w:t>落实政府采购政策</w:t>
            </w:r>
          </w:p>
        </w:tc>
        <w:tc>
          <w:tcPr>
            <w:tcW w:w="7957" w:type="dxa"/>
            <w:noWrap w:val="0"/>
            <w:vAlign w:val="center"/>
          </w:tcPr>
          <w:p w14:paraId="753FF9E8">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241" w:firstLineChars="100"/>
              <w:contextualSpacing/>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snapToGrid w:val="0"/>
                <w:color w:val="auto"/>
                <w:kern w:val="0"/>
                <w:sz w:val="24"/>
                <w:szCs w:val="24"/>
                <w:highlight w:val="none"/>
                <w:lang w:val="en-US" w:eastAsia="zh-CN"/>
              </w:rPr>
              <w:t>中小企业价格扣除评分优惠政策</w:t>
            </w:r>
          </w:p>
          <w:p w14:paraId="44512A46">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snapToGrid w:val="0"/>
                <w:color w:val="auto"/>
                <w:kern w:val="0"/>
                <w:sz w:val="24"/>
                <w:szCs w:val="24"/>
                <w:highlight w:val="none"/>
                <w:lang w:val="en-US" w:eastAsia="zh-CN"/>
              </w:rPr>
              <w:t>。</w:t>
            </w:r>
          </w:p>
          <w:p w14:paraId="51772FC7">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3231B47C">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w:t>
            </w:r>
          </w:p>
          <w:p w14:paraId="5F24FAB8">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①.中小企业提供《中小企业声明函》时，标的名称须根据本次采购标的名称逐项填写。</w:t>
            </w:r>
          </w:p>
          <w:p w14:paraId="3CF1A3CB">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②.</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提供声明函内容不实的，属于提供虚假材料谋取中标、成交，依照《中华人民共和国政府采购法》等国家有关规定追究相应责任。</w:t>
            </w:r>
          </w:p>
          <w:p w14:paraId="07708C90">
            <w:pPr>
              <w:keepNext w:val="0"/>
              <w:keepLines w:val="0"/>
              <w:pageBreakBefore w:val="0"/>
              <w:widowControl w:val="0"/>
              <w:kinsoku/>
              <w:wordWrap w:val="0"/>
              <w:overflowPunct/>
              <w:topLinePunct/>
              <w:autoSpaceDE/>
              <w:autoSpaceDN/>
              <w:bidi w:val="0"/>
              <w:adjustRightInd/>
              <w:snapToGrid/>
              <w:spacing w:line="0" w:lineRule="atLeast"/>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③.中标人享受本办法（财库〔2020〕46号）规定的中小企业扶持政策的，采购代理机构随中标结果公开中标人的《中小企业声明函》，接受社会监督。</w:t>
            </w:r>
          </w:p>
          <w:p w14:paraId="3AEE659F">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bCs/>
                <w:color w:val="auto"/>
                <w:sz w:val="24"/>
                <w:szCs w:val="24"/>
                <w:lang w:val="en-US" w:eastAsia="zh-CN"/>
              </w:rPr>
            </w:pPr>
          </w:p>
          <w:p w14:paraId="506DE4D9">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rPr>
              <w:t>、监狱企业价格扣除评分优惠政策</w:t>
            </w:r>
          </w:p>
          <w:p w14:paraId="5D5A2F8B">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1F3FA8B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供应商如属残疾人福利性单位，产品价格需扣除的，须按照关于促进残疾人就业政府采购政策的通知（财库〔2017〕141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09376604">
            <w:pPr>
              <w:pStyle w:val="683"/>
              <w:keepNext w:val="0"/>
              <w:keepLines w:val="0"/>
              <w:pageBreakBefore w:val="0"/>
              <w:widowControl w:val="0"/>
              <w:kinsoku/>
              <w:wordWrap w:val="0"/>
              <w:overflowPunct/>
              <w:topLinePunct/>
              <w:autoSpaceDE/>
              <w:autoSpaceDN/>
              <w:bidi w:val="0"/>
              <w:adjustRightInd/>
              <w:snapToGrid/>
              <w:spacing w:after="0" w:line="0" w:lineRule="atLeast"/>
              <w:ind w:left="0" w:leftChars="0" w:right="0" w:rightChars="0" w:firstLine="482"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color w:val="auto"/>
                <w:sz w:val="24"/>
                <w:szCs w:val="24"/>
                <w:lang w:val="en-US" w:eastAsia="zh-CN"/>
              </w:rPr>
              <w:t>注：监狱企业参加政府采购活动时，应当提供由省级以上监狱管理局、戒毒管理局（含新疆生产建设兵团）出具的属于监狱企业的证明文件。</w:t>
            </w:r>
          </w:p>
          <w:p w14:paraId="1B0FC32D">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contextualSpacing/>
              <w:jc w:val="left"/>
              <w:textAlignment w:val="auto"/>
              <w:rPr>
                <w:rFonts w:hint="eastAsia" w:ascii="宋体" w:hAnsi="宋体" w:eastAsia="宋体" w:cs="宋体"/>
                <w:snapToGrid w:val="0"/>
                <w:color w:val="auto"/>
                <w:kern w:val="0"/>
                <w:sz w:val="24"/>
                <w:szCs w:val="24"/>
                <w:lang w:val="en-US" w:eastAsia="zh-CN" w:bidi="ar-SA"/>
              </w:rPr>
            </w:pPr>
          </w:p>
          <w:p w14:paraId="0EA56907">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、残疾人福利性单位价格扣除优惠政策</w:t>
            </w:r>
          </w:p>
          <w:p w14:paraId="5F962C4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是否适用于本项目：</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r>
              <w:rPr>
                <w:rFonts w:hint="eastAsia" w:ascii="宋体" w:hAnsi="宋体" w:eastAsia="宋体" w:cs="宋体"/>
                <w:color w:val="auto"/>
                <w:sz w:val="24"/>
                <w:szCs w:val="24"/>
                <w:lang w:eastAsia="zh-CN"/>
              </w:rPr>
              <w:t>。</w:t>
            </w:r>
          </w:p>
          <w:p w14:paraId="0531AC49">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firstLine="480" w:firstLineChars="2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若供应商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21A19D9C">
            <w:pPr>
              <w:pStyle w:val="683"/>
              <w:keepNext w:val="0"/>
              <w:keepLines w:val="0"/>
              <w:pageBreakBefore w:val="0"/>
              <w:widowControl w:val="0"/>
              <w:numPr>
                <w:ilvl w:val="0"/>
                <w:numId w:val="0"/>
              </w:numPr>
              <w:kinsoku/>
              <w:wordWrap w:val="0"/>
              <w:overflowPunct/>
              <w:topLinePunct/>
              <w:autoSpaceDE/>
              <w:autoSpaceDN/>
              <w:bidi w:val="0"/>
              <w:adjustRightInd/>
              <w:snapToGrid/>
              <w:spacing w:after="0" w:line="0" w:lineRule="atLeast"/>
              <w:ind w:right="0" w:rightChars="0" w:firstLine="482" w:firstLineChars="200"/>
              <w:contextualSpacing/>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宋体" w:hAnsi="宋体" w:eastAsia="宋体" w:cs="宋体"/>
                <w:snapToGrid w:val="0"/>
                <w:color w:val="auto"/>
                <w:kern w:val="0"/>
                <w:sz w:val="24"/>
                <w:szCs w:val="24"/>
                <w:lang w:val="en-US" w:eastAsia="zh-CN" w:bidi="ar-SA"/>
              </w:rPr>
              <w:t>。</w:t>
            </w:r>
          </w:p>
          <w:p w14:paraId="7179B925">
            <w:pPr>
              <w:pStyle w:val="683"/>
              <w:keepNext w:val="0"/>
              <w:keepLines w:val="0"/>
              <w:pageBreakBefore w:val="0"/>
              <w:widowControl w:val="0"/>
              <w:numPr>
                <w:ilvl w:val="0"/>
                <w:numId w:val="0"/>
              </w:numPr>
              <w:kinsoku/>
              <w:wordWrap w:val="0"/>
              <w:overflowPunct/>
              <w:topLinePunct/>
              <w:autoSpaceDE/>
              <w:autoSpaceDN/>
              <w:bidi w:val="0"/>
              <w:adjustRightInd/>
              <w:snapToGrid/>
              <w:spacing w:after="0" w:line="360" w:lineRule="auto"/>
              <w:ind w:right="0" w:rightChars="0"/>
              <w:contextualSpacing/>
              <w:jc w:val="left"/>
              <w:textAlignment w:val="auto"/>
              <w:rPr>
                <w:rFonts w:hint="eastAsia" w:ascii="宋体" w:hAnsi="宋体" w:eastAsia="宋体" w:cs="宋体"/>
                <w:snapToGrid w:val="0"/>
                <w:color w:val="auto"/>
                <w:kern w:val="0"/>
                <w:sz w:val="24"/>
                <w:szCs w:val="24"/>
                <w:lang w:val="en-US" w:eastAsia="zh-CN" w:bidi="ar-SA"/>
              </w:rPr>
            </w:pPr>
          </w:p>
          <w:p w14:paraId="580A06CB">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、节能产品、环境标志产品</w:t>
            </w:r>
          </w:p>
          <w:p w14:paraId="0BE0E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03878E4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宋体" w:hAnsi="宋体" w:eastAsia="宋体" w:cs="宋体"/>
                <w:bCs/>
                <w:color w:val="auto"/>
                <w:sz w:val="24"/>
                <w:szCs w:val="24"/>
                <w:highlight w:val="none"/>
                <w:lang w:val="en-US" w:eastAsia="zh-CN"/>
              </w:rPr>
              <w:t>商务</w:t>
            </w:r>
            <w:r>
              <w:rPr>
                <w:rFonts w:hint="eastAsia" w:ascii="宋体" w:hAnsi="宋体" w:eastAsia="宋体" w:cs="宋体"/>
                <w:bCs/>
                <w:color w:val="auto"/>
                <w:sz w:val="24"/>
                <w:szCs w:val="24"/>
                <w:highlight w:val="none"/>
              </w:rPr>
              <w:t>评分时给予对应的</w:t>
            </w:r>
            <w:r>
              <w:rPr>
                <w:rFonts w:hint="eastAsia" w:ascii="宋体" w:hAnsi="宋体" w:eastAsia="宋体" w:cs="宋体"/>
                <w:bCs/>
                <w:color w:val="auto"/>
                <w:sz w:val="24"/>
                <w:szCs w:val="24"/>
                <w:highlight w:val="none"/>
                <w:lang w:val="en-US" w:eastAsia="zh-CN"/>
              </w:rPr>
              <w:t>加分</w:t>
            </w:r>
            <w:r>
              <w:rPr>
                <w:rFonts w:hint="eastAsia" w:ascii="宋体" w:hAnsi="宋体" w:eastAsia="宋体" w:cs="宋体"/>
                <w:bCs/>
                <w:color w:val="auto"/>
                <w:sz w:val="24"/>
                <w:szCs w:val="24"/>
                <w:highlight w:val="none"/>
              </w:rPr>
              <w:t>（若项目需求及技术要求为政府强制采购产品，则不再对节能进行评审价格的扣除）。</w:t>
            </w:r>
          </w:p>
          <w:p w14:paraId="6D4764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节能产品、环境标志产品清单可通过中国政府采购网（http://www.ccgp.gov.cn/）、国家发展改革委网站（http://hzs.ndrc.gov.cn/）查阅、下载；国家</w:t>
            </w:r>
            <w:r>
              <w:rPr>
                <w:rFonts w:hint="eastAsia" w:ascii="宋体" w:hAnsi="宋体" w:cs="宋体"/>
                <w:bCs/>
                <w:color w:val="auto"/>
                <w:sz w:val="24"/>
                <w:szCs w:val="24"/>
                <w:highlight w:val="none"/>
                <w:lang w:eastAsia="zh-CN"/>
              </w:rPr>
              <w:t>生态环境部</w:t>
            </w:r>
            <w:r>
              <w:rPr>
                <w:rFonts w:hint="eastAsia" w:ascii="宋体" w:hAnsi="宋体" w:eastAsia="宋体" w:cs="宋体"/>
                <w:bCs/>
                <w:color w:val="auto"/>
                <w:sz w:val="24"/>
                <w:szCs w:val="24"/>
                <w:highlight w:val="none"/>
              </w:rPr>
              <w:t>网（http://www.sepa.gov.cn/）查阅、下载。</w:t>
            </w:r>
          </w:p>
          <w:p w14:paraId="2FF933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rPr>
                <w:rFonts w:hint="eastAsia" w:ascii="宋体" w:hAnsi="宋体" w:eastAsia="宋体" w:cs="宋体"/>
                <w:b/>
                <w:bCs/>
                <w:snapToGrid w:val="0"/>
                <w:color w:val="auto"/>
                <w:kern w:val="0"/>
                <w:sz w:val="24"/>
                <w:szCs w:val="24"/>
                <w:lang w:val="en-US" w:eastAsia="zh-CN" w:bidi="ar-SA"/>
              </w:rPr>
            </w:pPr>
          </w:p>
          <w:p w14:paraId="6AD74ACD">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支持脱贫攻坚政策</w:t>
            </w:r>
          </w:p>
          <w:p w14:paraId="29CF291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是否适用于本项目：□适用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不适用。</w:t>
            </w:r>
          </w:p>
          <w:p w14:paraId="2E816DB2">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根据《关于运用政府采购政策支持脱贫攻坚的通知》财库〔2019〕27号及《云南省财政厅 云南省人民政府扶贫开发办公室关于贯彻落实运用政府采购政策支持脱贫攻坚有关事宜的通知》（云财采〔2020〕9号）相关规定：各级预算单位采购农副产品的，同等条件下应优先采购贫困地区农副产品。各级预算单位使用财政性资金采购物业服务的，有条件的应当优先采购注册地在832个国家级贫困县域内，且聘用建档立卡贫困人员物业公司提供的物业服务。物业公司须提供其注册地所在县扶贫部门出具的聘用建档立卡贫困人员具体数量的证明。如中标后，其相关证明随中标结果一同公告。</w:t>
            </w:r>
          </w:p>
          <w:p w14:paraId="4D635103">
            <w:pPr>
              <w:keepNext w:val="0"/>
              <w:keepLines w:val="0"/>
              <w:pageBreakBefore w:val="0"/>
              <w:widowControl w:val="0"/>
              <w:kinsoku/>
              <w:wordWrap w:val="0"/>
              <w:overflowPunct/>
              <w:topLinePunct/>
              <w:autoSpaceDE/>
              <w:autoSpaceDN/>
              <w:bidi w:val="0"/>
              <w:adjustRightInd/>
              <w:snapToGrid/>
              <w:spacing w:line="0" w:lineRule="atLeast"/>
              <w:ind w:left="0" w:leftChars="0" w:right="0"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注：上述政策不重复享受，如</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rPr>
              <w:t>同时具备两个及以上政策优惠，仅享受最高的优惠对价格进行扣除。</w:t>
            </w:r>
          </w:p>
          <w:p w14:paraId="62887D51">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bCs/>
                <w:color w:val="auto"/>
                <w:sz w:val="22"/>
                <w:szCs w:val="22"/>
                <w:highlight w:val="none"/>
              </w:rPr>
            </w:pPr>
          </w:p>
          <w:p w14:paraId="47C8247C">
            <w:pPr>
              <w:keepNext w:val="0"/>
              <w:keepLines w:val="0"/>
              <w:pageBreakBefore w:val="0"/>
              <w:widowControl w:val="0"/>
              <w:kinsoku/>
              <w:wordWrap w:val="0"/>
              <w:overflowPunct/>
              <w:topLinePunct/>
              <w:autoSpaceDE/>
              <w:autoSpaceDN/>
              <w:bidi w:val="0"/>
              <w:adjustRightInd/>
              <w:snapToGrid/>
              <w:spacing w:line="360" w:lineRule="auto"/>
              <w:ind w:left="0" w:leftChars="0" w:right="0" w:firstLine="241" w:firstLineChars="1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、强制采购节能产品</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 </w:t>
            </w:r>
          </w:p>
          <w:p w14:paraId="79B76AB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480" w:firstLineChars="200"/>
              <w:contextualSpacing/>
              <w:jc w:val="left"/>
              <w:textAlignment w:val="auto"/>
              <w:rPr>
                <w:rFonts w:hint="eastAsia" w:ascii="宋体" w:hAnsi="宋体" w:eastAsia="宋体" w:cs="宋体"/>
                <w:b/>
                <w:color w:val="auto"/>
                <w:kern w:val="2"/>
                <w:sz w:val="24"/>
                <w:szCs w:val="24"/>
                <w:highlight w:val="none"/>
                <w:lang w:val="en-US" w:eastAsia="zh-CN"/>
              </w:rPr>
            </w:pPr>
            <w:r>
              <w:rPr>
                <w:rFonts w:hint="eastAsia" w:ascii="宋体" w:hAnsi="宋体" w:eastAsia="宋体" w:cs="宋体"/>
                <w:b w:val="0"/>
                <w:bCs w:val="0"/>
                <w:color w:val="auto"/>
                <w:sz w:val="24"/>
                <w:szCs w:val="24"/>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72111353">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left"/>
              <w:textAlignment w:val="auto"/>
              <w:rPr>
                <w:rFonts w:hint="eastAsia" w:ascii="宋体" w:hAnsi="宋体" w:eastAsia="宋体" w:cs="宋体"/>
                <w:b/>
                <w:color w:val="auto"/>
                <w:kern w:val="2"/>
                <w:sz w:val="24"/>
                <w:szCs w:val="24"/>
                <w:highlight w:val="none"/>
                <w:lang w:val="en-US" w:eastAsia="zh-CN"/>
              </w:rPr>
            </w:pPr>
          </w:p>
          <w:p w14:paraId="19A39BEA">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u w:val="none"/>
              </w:rPr>
              <w:t>监狱企业</w:t>
            </w:r>
            <w:r>
              <w:rPr>
                <w:rFonts w:hint="eastAsia" w:ascii="宋体" w:hAnsi="宋体" w:eastAsia="宋体" w:cs="宋体"/>
                <w:b/>
                <w:bCs/>
                <w:color w:val="auto"/>
                <w:sz w:val="24"/>
                <w:szCs w:val="24"/>
                <w:u w:val="none"/>
                <w:lang w:eastAsia="zh-CN"/>
              </w:rPr>
              <w:t>、</w:t>
            </w:r>
            <w:r>
              <w:rPr>
                <w:rFonts w:hint="eastAsia" w:ascii="宋体" w:hAnsi="宋体" w:eastAsia="宋体" w:cs="宋体"/>
                <w:b/>
                <w:bCs/>
                <w:snapToGrid w:val="0"/>
                <w:color w:val="auto"/>
                <w:kern w:val="0"/>
                <w:sz w:val="24"/>
                <w:szCs w:val="24"/>
                <w:highlight w:val="none"/>
                <w:u w:val="none"/>
                <w:lang w:val="en-US" w:eastAsia="zh-CN"/>
              </w:rPr>
              <w:t>残疾人福利性单位属于小型、微型企业的，不重复享受政策。</w:t>
            </w:r>
          </w:p>
        </w:tc>
      </w:tr>
      <w:tr w14:paraId="137A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9" w:hRule="atLeast"/>
          <w:jc w:val="center"/>
        </w:trPr>
        <w:tc>
          <w:tcPr>
            <w:tcW w:w="2271" w:type="dxa"/>
            <w:noWrap w:val="0"/>
            <w:vAlign w:val="center"/>
          </w:tcPr>
          <w:p w14:paraId="48F91B3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标的所属行业</w:t>
            </w:r>
          </w:p>
        </w:tc>
        <w:tc>
          <w:tcPr>
            <w:tcW w:w="7957" w:type="dxa"/>
            <w:noWrap w:val="0"/>
            <w:vAlign w:val="center"/>
          </w:tcPr>
          <w:p w14:paraId="4CF86A1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本项目采购标的对应的中小企业划分标准所属行业。</w:t>
            </w:r>
            <w:r>
              <w:rPr>
                <w:rFonts w:hint="eastAsia" w:ascii="宋体" w:hAnsi="宋体" w:eastAsia="宋体" w:cs="宋体"/>
                <w:b w:val="0"/>
                <w:bCs/>
                <w:color w:val="auto"/>
                <w:sz w:val="24"/>
                <w:szCs w:val="24"/>
                <w:highlight w:val="none"/>
                <w:lang w:val="en-US" w:eastAsia="zh-CN"/>
              </w:rPr>
              <w:t>符合条件的</w:t>
            </w: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根据下表内容填写《中小企业声明函》</w:t>
            </w:r>
            <w:r>
              <w:rPr>
                <w:rFonts w:hint="eastAsia" w:ascii="宋体" w:hAnsi="宋体" w:eastAsia="宋体" w:cs="宋体"/>
                <w:color w:val="auto"/>
                <w:sz w:val="24"/>
                <w:szCs w:val="24"/>
                <w:lang w:val="en-US" w:eastAsia="zh-CN"/>
              </w:rPr>
              <w:t>：</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2"/>
              <w:gridCol w:w="3127"/>
            </w:tblGrid>
            <w:tr w14:paraId="02D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0AE4171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标    项</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3CBF5ED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中小企业划分标准所属行业</w:t>
                  </w:r>
                </w:p>
              </w:tc>
            </w:tr>
            <w:tr w14:paraId="5623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312" w:type="dxa"/>
                  <w:tcBorders>
                    <w:top w:val="single" w:color="auto" w:sz="4" w:space="0"/>
                    <w:left w:val="single" w:color="auto" w:sz="4" w:space="0"/>
                    <w:bottom w:val="single" w:color="auto" w:sz="4" w:space="0"/>
                    <w:right w:val="single" w:color="auto" w:sz="4" w:space="0"/>
                  </w:tcBorders>
                  <w:noWrap w:val="0"/>
                  <w:vAlign w:val="center"/>
                </w:tcPr>
                <w:p w14:paraId="593FF43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default" w:ascii="宋体" w:hAnsi="宋体" w:eastAsia="宋体" w:cs="宋体"/>
                      <w:b/>
                      <w:bCs/>
                      <w:color w:val="auto"/>
                      <w:sz w:val="24"/>
                      <w:szCs w:val="24"/>
                      <w:lang w:val="en-US" w:eastAsia="zh-CN"/>
                    </w:rPr>
                  </w:pPr>
                  <w:r>
                    <w:rPr>
                      <w:rFonts w:hint="default" w:ascii="宋体" w:hAnsi="宋体" w:eastAsia="宋体" w:cs="宋体"/>
                      <w:b/>
                      <w:bCs/>
                      <w:color w:val="auto"/>
                      <w:sz w:val="24"/>
                      <w:szCs w:val="24"/>
                      <w:lang w:val="en-US" w:eastAsia="zh-CN"/>
                    </w:rPr>
                    <w:t>标项1</w:t>
                  </w:r>
                </w:p>
              </w:tc>
              <w:tc>
                <w:tcPr>
                  <w:tcW w:w="3127" w:type="dxa"/>
                  <w:tcBorders>
                    <w:top w:val="single" w:color="auto" w:sz="4" w:space="0"/>
                    <w:left w:val="single" w:color="auto" w:sz="4" w:space="0"/>
                    <w:bottom w:val="single" w:color="auto" w:sz="4" w:space="0"/>
                    <w:right w:val="single" w:color="auto" w:sz="4" w:space="0"/>
                  </w:tcBorders>
                  <w:noWrap w:val="0"/>
                  <w:vAlign w:val="center"/>
                </w:tcPr>
                <w:p w14:paraId="649586B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工业</w:t>
                  </w:r>
                </w:p>
              </w:tc>
            </w:tr>
          </w:tbl>
          <w:p w14:paraId="419551E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lang w:val="en-US" w:eastAsia="zh-CN"/>
              </w:rPr>
            </w:pPr>
          </w:p>
        </w:tc>
      </w:tr>
      <w:tr w14:paraId="5DEE0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2271" w:type="dxa"/>
            <w:noWrap w:val="0"/>
            <w:vAlign w:val="center"/>
          </w:tcPr>
          <w:p w14:paraId="7421CADA">
            <w:pPr>
              <w:pStyle w:val="270"/>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b/>
                <w:bCs/>
                <w:color w:val="auto"/>
                <w:sz w:val="24"/>
                <w:szCs w:val="24"/>
                <w:highlight w:val="none"/>
                <w:lang w:val="en-US"/>
              </w:rPr>
              <w:t>政府采购活动中中小企业的判定</w:t>
            </w:r>
          </w:p>
        </w:tc>
        <w:tc>
          <w:tcPr>
            <w:tcW w:w="7957" w:type="dxa"/>
            <w:noWrap w:val="0"/>
            <w:vAlign w:val="center"/>
          </w:tcPr>
          <w:p w14:paraId="6DC963CE">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rPr>
              <w:t>可以判别为中小企业的情形</w:t>
            </w:r>
          </w:p>
          <w:p w14:paraId="1D9860AD">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eastAsia="宋体" w:cs="宋体"/>
                <w:b w:val="0"/>
                <w:bCs w:val="0"/>
                <w:color w:val="auto"/>
                <w:sz w:val="24"/>
                <w:szCs w:val="24"/>
                <w:highlight w:val="none"/>
                <w:u w:val="none"/>
                <w:lang w:val="en-US"/>
              </w:rPr>
              <w:t>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中小企业制造，</w:t>
            </w:r>
            <w:r>
              <w:rPr>
                <w:rFonts w:hint="eastAsia" w:ascii="宋体" w:hAnsi="宋体" w:eastAsia="宋体" w:cs="宋体"/>
                <w:b w:val="0"/>
                <w:bCs w:val="0"/>
                <w:color w:val="auto"/>
                <w:sz w:val="24"/>
                <w:szCs w:val="24"/>
                <w:highlight w:val="none"/>
                <w:u w:val="none"/>
                <w:lang w:val="en-US"/>
              </w:rPr>
              <w:t>即货物</w:t>
            </w:r>
            <w:r>
              <w:rPr>
                <w:rFonts w:hint="eastAsia" w:ascii="宋体" w:hAnsi="宋体" w:eastAsia="宋体" w:cs="宋体"/>
                <w:b w:val="0"/>
                <w:bCs w:val="0"/>
                <w:color w:val="auto"/>
                <w:sz w:val="24"/>
                <w:szCs w:val="24"/>
                <w:highlight w:val="none"/>
                <w:u w:val="none"/>
                <w:lang w:val="en-US" w:eastAsia="zh-CN"/>
              </w:rPr>
              <w:t>由</w:t>
            </w:r>
            <w:r>
              <w:rPr>
                <w:rFonts w:hint="eastAsia" w:ascii="宋体" w:hAnsi="宋体" w:eastAsia="宋体" w:cs="宋体"/>
                <w:color w:val="auto"/>
                <w:sz w:val="24"/>
                <w:szCs w:val="24"/>
                <w:highlight w:val="none"/>
                <w:lang w:val="en-US"/>
              </w:rPr>
              <w:t>中小企业生产且使用该中小企业商号或注册商标</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lang w:val="en-US" w:eastAsia="zh-CN"/>
              </w:rPr>
              <w:t>（若一个合同项内涉及多个采购标的物的，采购人或采购代理机构应当在采购文件中逐一明确所有采购标的对应的中小企业划分标准所属行业。</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根据采购文件中明确的行业所对应的划分标准，逐一判断所投标的物是否属于中小企业产品，并进行声明。一般只将采购项目中的主要货物作为标的物，开关等配件一般不作为标的物，也不对其生产厂商做相应要求）</w:t>
            </w:r>
          </w:p>
          <w:p w14:paraId="45FD636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在工程采购项目中，工程由中小企业承建，即工程施工单位为中小企业</w:t>
            </w:r>
            <w:r>
              <w:rPr>
                <w:rFonts w:hint="eastAsia" w:ascii="宋体" w:hAnsi="宋体" w:eastAsia="宋体" w:cs="宋体"/>
                <w:color w:val="auto"/>
                <w:sz w:val="24"/>
                <w:szCs w:val="24"/>
                <w:highlight w:val="none"/>
                <w:lang w:val="en-US" w:eastAsia="zh-CN"/>
              </w:rPr>
              <w:t>；</w:t>
            </w:r>
          </w:p>
          <w:p w14:paraId="6F27A93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3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③</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在服务采购项目中，服务由中小企业承接，即提供服务的人员为中小企业依照《中华人民共和国劳动合同法》订立劳动合同的从业人员。</w:t>
            </w:r>
          </w:p>
          <w:p w14:paraId="20BA400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rPr>
              <w:t>不应判别为中小</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微</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rPr>
              <w:t>企业的情形</w:t>
            </w:r>
          </w:p>
          <w:p w14:paraId="5D04065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1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①</w:t>
            </w:r>
            <w:r>
              <w:rPr>
                <w:rFonts w:hint="eastAsia" w:ascii="宋体" w:hAnsi="宋体" w:eastAsia="宋体" w:cs="宋体"/>
                <w:color w:val="auto"/>
                <w:sz w:val="24"/>
                <w:szCs w:val="24"/>
                <w:highlight w:val="none"/>
                <w:lang w:val="en-US"/>
              </w:rPr>
              <w:fldChar w:fldCharType="end"/>
            </w:r>
            <w:r>
              <w:rPr>
                <w:rFonts w:hint="eastAsia" w:ascii="宋体" w:hAnsi="宋体" w:eastAsia="宋体" w:cs="宋体"/>
                <w:color w:val="auto"/>
                <w:sz w:val="24"/>
                <w:szCs w:val="24"/>
                <w:highlight w:val="none"/>
                <w:lang w:val="en-US"/>
              </w:rPr>
              <w:t>在货物采购项目中，</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为中小企业，但所提供的货物为大型企业制造的，即货物由大型企业生产且使用大型企业</w:t>
            </w:r>
            <w:r>
              <w:rPr>
                <w:rFonts w:hint="eastAsia" w:ascii="宋体" w:hAnsi="宋体" w:eastAsia="宋体" w:cs="宋体"/>
                <w:color w:val="auto"/>
                <w:sz w:val="24"/>
                <w:szCs w:val="24"/>
                <w:highlight w:val="none"/>
                <w:lang w:val="en-US" w:eastAsia="zh-CN"/>
              </w:rPr>
              <w:t>商标</w:t>
            </w:r>
            <w:r>
              <w:rPr>
                <w:rFonts w:hint="eastAsia" w:ascii="宋体" w:hAnsi="宋体" w:eastAsia="宋体" w:cs="宋体"/>
                <w:color w:val="auto"/>
                <w:sz w:val="24"/>
                <w:szCs w:val="24"/>
                <w:highlight w:val="none"/>
                <w:lang w:val="en-US"/>
              </w:rPr>
              <w:t>或者注册商标的。不享受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rPr>
              <w:t>《办法》规定的中小企业扶持政策。</w:t>
            </w:r>
          </w:p>
          <w:p w14:paraId="41A500ED">
            <w:pPr>
              <w:keepNext w:val="0"/>
              <w:keepLines w:val="0"/>
              <w:pageBreakBefore w:val="0"/>
              <w:widowControl w:val="0"/>
              <w:kinsoku/>
              <w:wordWrap w:val="0"/>
              <w:overflowPunct/>
              <w:topLinePunct/>
              <w:autoSpaceDE/>
              <w:autoSpaceDN/>
              <w:bidi w:val="0"/>
              <w:adjustRightInd/>
              <w:snapToGrid/>
              <w:spacing w:line="360" w:lineRule="auto"/>
              <w:ind w:left="240" w:leftChars="109" w:right="0" w:rightChars="0" w:firstLine="0" w:firstLineChars="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highlight w:val="none"/>
                <w:lang w:val="en-US"/>
              </w:rPr>
              <w:fldChar w:fldCharType="begin"/>
            </w:r>
            <w:r>
              <w:rPr>
                <w:rFonts w:hint="eastAsia" w:ascii="宋体" w:hAnsi="宋体" w:eastAsia="宋体" w:cs="宋体"/>
                <w:color w:val="auto"/>
                <w:sz w:val="24"/>
                <w:szCs w:val="24"/>
                <w:highlight w:val="none"/>
                <w:lang w:val="en-US"/>
              </w:rPr>
              <w:instrText xml:space="preserve"> = 2 \* GB3 \* MERGEFORMAT </w:instrText>
            </w:r>
            <w:r>
              <w:rPr>
                <w:rFonts w:hint="eastAsia" w:ascii="宋体" w:hAnsi="宋体" w:eastAsia="宋体" w:cs="宋体"/>
                <w:color w:val="auto"/>
                <w:sz w:val="24"/>
                <w:szCs w:val="24"/>
                <w:highlight w:val="none"/>
                <w:lang w:val="en-US"/>
              </w:rPr>
              <w:fldChar w:fldCharType="separate"/>
            </w:r>
            <w:r>
              <w:rPr>
                <w:rFonts w:hint="eastAsia" w:ascii="宋体" w:hAnsi="宋体" w:eastAsia="宋体" w:cs="宋体"/>
                <w:color w:val="auto"/>
                <w:sz w:val="24"/>
                <w:szCs w:val="24"/>
                <w:highlight w:val="none"/>
                <w:lang w:val="en-US"/>
              </w:rPr>
              <w:t>②</w:t>
            </w:r>
            <w:r>
              <w:rPr>
                <w:rFonts w:hint="eastAsia" w:ascii="宋体" w:hAnsi="宋体" w:eastAsia="宋体" w:cs="宋体"/>
                <w:color w:val="auto"/>
                <w:sz w:val="24"/>
                <w:szCs w:val="24"/>
                <w:highlight w:val="none"/>
                <w:lang w:val="en-US"/>
              </w:rPr>
              <w:fldChar w:fldCharType="end"/>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rPr>
              <w:t>提供的货物既有中型企业制造，也有小微企业制造的，不享受《办法》规定的小微企业扶持政策。</w:t>
            </w:r>
          </w:p>
        </w:tc>
      </w:tr>
      <w:tr w14:paraId="15B6C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jc w:val="center"/>
        </w:trPr>
        <w:tc>
          <w:tcPr>
            <w:tcW w:w="2271" w:type="dxa"/>
            <w:noWrap w:val="0"/>
            <w:vAlign w:val="center"/>
          </w:tcPr>
          <w:p w14:paraId="4C59879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7957" w:type="dxa"/>
            <w:noWrap w:val="0"/>
            <w:vAlign w:val="center"/>
          </w:tcPr>
          <w:p w14:paraId="404EFEF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技术规格详见招标文件“第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p>
        </w:tc>
      </w:tr>
      <w:tr w14:paraId="276BA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271" w:type="dxa"/>
            <w:noWrap w:val="0"/>
            <w:vAlign w:val="center"/>
          </w:tcPr>
          <w:p w14:paraId="4B4AB18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rPr>
              <w:t>合同履约期</w:t>
            </w:r>
          </w:p>
        </w:tc>
        <w:tc>
          <w:tcPr>
            <w:tcW w:w="7957" w:type="dxa"/>
            <w:noWrap w:val="0"/>
            <w:vAlign w:val="center"/>
          </w:tcPr>
          <w:p w14:paraId="6BBF9F2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自合同生效之日起至双方全部合同权利义务履行完毕之日止</w:t>
            </w:r>
            <w:r>
              <w:rPr>
                <w:rFonts w:hint="eastAsia" w:ascii="宋体" w:hAnsi="宋体" w:eastAsia="宋体" w:cs="宋体"/>
                <w:bCs/>
                <w:color w:val="auto"/>
                <w:kern w:val="0"/>
                <w:sz w:val="24"/>
                <w:szCs w:val="24"/>
                <w:lang w:eastAsia="zh-CN"/>
              </w:rPr>
              <w:t>。</w:t>
            </w:r>
          </w:p>
        </w:tc>
      </w:tr>
      <w:tr w14:paraId="5E44E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6DCD1E2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交货（交付）期</w:t>
            </w:r>
          </w:p>
        </w:tc>
        <w:tc>
          <w:tcPr>
            <w:tcW w:w="7957" w:type="dxa"/>
            <w:noWrap w:val="0"/>
            <w:vAlign w:val="center"/>
          </w:tcPr>
          <w:p w14:paraId="489C74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适用</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不适用</w:t>
            </w:r>
          </w:p>
          <w:p w14:paraId="55284AD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合同签订之日起</w:t>
            </w: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个日历</w:t>
            </w:r>
            <w:r>
              <w:rPr>
                <w:rFonts w:hint="eastAsia" w:ascii="宋体" w:hAnsi="宋体" w:eastAsia="宋体" w:cs="宋体"/>
                <w:color w:val="auto"/>
                <w:sz w:val="24"/>
                <w:szCs w:val="24"/>
                <w:lang w:val="en-US" w:eastAsia="zh-CN"/>
              </w:rPr>
              <w:t>天</w:t>
            </w:r>
            <w:r>
              <w:rPr>
                <w:rFonts w:hint="eastAsia" w:ascii="宋体" w:hAnsi="宋体" w:eastAsia="宋体" w:cs="宋体"/>
                <w:color w:val="auto"/>
                <w:sz w:val="24"/>
                <w:szCs w:val="24"/>
                <w:lang w:eastAsia="zh-CN"/>
              </w:rPr>
              <w:t>内交货、安装并一次性通过验收。</w:t>
            </w:r>
          </w:p>
          <w:p w14:paraId="14B757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可提供更优的交货（交付）期。</w:t>
            </w:r>
          </w:p>
        </w:tc>
      </w:tr>
      <w:tr w14:paraId="71833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271" w:type="dxa"/>
            <w:noWrap w:val="0"/>
            <w:vAlign w:val="center"/>
          </w:tcPr>
          <w:p w14:paraId="08E268A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交货地点</w:t>
            </w:r>
          </w:p>
        </w:tc>
        <w:tc>
          <w:tcPr>
            <w:tcW w:w="7957" w:type="dxa"/>
            <w:noWrap w:val="0"/>
            <w:vAlign w:val="center"/>
          </w:tcPr>
          <w:p w14:paraId="713E4CE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南华县人民医院</w:t>
            </w:r>
            <w:r>
              <w:rPr>
                <w:rFonts w:hint="eastAsia" w:ascii="宋体" w:hAnsi="宋体" w:eastAsia="宋体" w:cs="宋体"/>
                <w:color w:val="auto"/>
                <w:sz w:val="24"/>
                <w:szCs w:val="24"/>
                <w:lang w:val="en-US" w:eastAsia="zh-CN"/>
              </w:rPr>
              <w:t>（用户指定地点）</w:t>
            </w:r>
          </w:p>
        </w:tc>
      </w:tr>
      <w:tr w14:paraId="30D2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CC4F84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的资格要求</w:t>
            </w:r>
          </w:p>
        </w:tc>
        <w:tc>
          <w:tcPr>
            <w:tcW w:w="7957" w:type="dxa"/>
            <w:noWrap w:val="0"/>
            <w:vAlign w:val="center"/>
          </w:tcPr>
          <w:p w14:paraId="0C14A03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b/>
                <w:bCs/>
                <w:color w:val="auto"/>
                <w:sz w:val="24"/>
                <w:szCs w:val="24"/>
                <w:lang w:eastAsia="zh-CN"/>
              </w:rPr>
            </w:pPr>
            <w:bookmarkStart w:id="341" w:name="_Toc145164039"/>
            <w:bookmarkStart w:id="342" w:name="_Toc145163961"/>
            <w:r>
              <w:rPr>
                <w:rFonts w:hint="eastAsia" w:ascii="宋体" w:hAnsi="宋体" w:eastAsia="宋体" w:cs="宋体"/>
                <w:color w:val="auto"/>
                <w:sz w:val="24"/>
                <w:szCs w:val="24"/>
                <w:lang w:eastAsia="zh-CN"/>
              </w:rPr>
              <w:t>详见第一章 招标公告“二、</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的资格要求”</w:t>
            </w:r>
            <w:bookmarkEnd w:id="341"/>
            <w:bookmarkEnd w:id="342"/>
          </w:p>
        </w:tc>
      </w:tr>
      <w:tr w14:paraId="0E83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2271" w:type="dxa"/>
            <w:noWrap w:val="0"/>
            <w:vAlign w:val="center"/>
          </w:tcPr>
          <w:p w14:paraId="3915937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是否接受联合体投标</w:t>
            </w:r>
          </w:p>
        </w:tc>
        <w:tc>
          <w:tcPr>
            <w:tcW w:w="7957" w:type="dxa"/>
            <w:noWrap w:val="0"/>
            <w:vAlign w:val="center"/>
          </w:tcPr>
          <w:p w14:paraId="4E9597B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不接受</w:t>
            </w:r>
          </w:p>
          <w:p w14:paraId="7F01E4B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□接受，应满足下列要求：</w:t>
            </w:r>
          </w:p>
        </w:tc>
      </w:tr>
      <w:tr w14:paraId="2E41F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BE4E9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分包</w:t>
            </w:r>
          </w:p>
        </w:tc>
        <w:tc>
          <w:tcPr>
            <w:tcW w:w="7957" w:type="dxa"/>
            <w:noWrap w:val="0"/>
            <w:vAlign w:val="center"/>
          </w:tcPr>
          <w:p w14:paraId="5161221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lang w:eastAsia="zh-CN"/>
              </w:rPr>
              <w:t>不允许</w:t>
            </w:r>
          </w:p>
          <w:p w14:paraId="4337696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□允许，分包内容要求：</w:t>
            </w:r>
            <w:r>
              <w:rPr>
                <w:rFonts w:hint="eastAsia" w:ascii="宋体" w:hAnsi="宋体" w:eastAsia="宋体" w:cs="宋体"/>
                <w:color w:val="auto"/>
                <w:sz w:val="24"/>
                <w:szCs w:val="24"/>
                <w:u w:val="single"/>
                <w:lang w:eastAsia="zh-CN"/>
              </w:rPr>
              <w:t>/</w:t>
            </w:r>
          </w:p>
          <w:p w14:paraId="42EF80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分包金额要求：</w:t>
            </w:r>
            <w:r>
              <w:rPr>
                <w:rFonts w:hint="eastAsia" w:ascii="宋体" w:hAnsi="宋体" w:eastAsia="宋体" w:cs="宋体"/>
                <w:color w:val="auto"/>
                <w:sz w:val="24"/>
                <w:szCs w:val="24"/>
                <w:u w:val="single"/>
                <w:lang w:eastAsia="zh-CN"/>
              </w:rPr>
              <w:t>/</w:t>
            </w:r>
          </w:p>
          <w:p w14:paraId="5AA7BD1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对分包人的资质要求：</w:t>
            </w:r>
            <w:r>
              <w:rPr>
                <w:rFonts w:hint="eastAsia" w:ascii="宋体" w:hAnsi="宋体" w:eastAsia="宋体" w:cs="宋体"/>
                <w:color w:val="auto"/>
                <w:sz w:val="24"/>
                <w:szCs w:val="24"/>
                <w:u w:val="single"/>
                <w:lang w:eastAsia="zh-CN"/>
              </w:rPr>
              <w:t>/</w:t>
            </w:r>
          </w:p>
        </w:tc>
      </w:tr>
      <w:tr w14:paraId="08373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 w:hRule="atLeast"/>
          <w:jc w:val="center"/>
        </w:trPr>
        <w:tc>
          <w:tcPr>
            <w:tcW w:w="2271" w:type="dxa"/>
            <w:noWrap w:val="0"/>
            <w:vAlign w:val="center"/>
          </w:tcPr>
          <w:p w14:paraId="4F63618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构成招标文件的其他资料</w:t>
            </w:r>
          </w:p>
        </w:tc>
        <w:tc>
          <w:tcPr>
            <w:tcW w:w="7957" w:type="dxa"/>
            <w:noWrap w:val="0"/>
            <w:vAlign w:val="center"/>
          </w:tcPr>
          <w:p w14:paraId="175923F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更正公告及补遗文件（若有）</w:t>
            </w:r>
          </w:p>
        </w:tc>
      </w:tr>
      <w:tr w14:paraId="3D49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6E216E7">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招标</w:t>
            </w:r>
            <w:r>
              <w:rPr>
                <w:rFonts w:hint="eastAsia" w:ascii="宋体" w:hAnsi="宋体" w:eastAsia="宋体" w:cs="宋体"/>
                <w:color w:val="auto"/>
                <w:sz w:val="24"/>
                <w:szCs w:val="24"/>
                <w:lang w:eastAsia="zh-CN"/>
              </w:rPr>
              <w:t>文件澄清截止时间</w:t>
            </w:r>
          </w:p>
        </w:tc>
        <w:tc>
          <w:tcPr>
            <w:tcW w:w="7957" w:type="dxa"/>
            <w:noWrap w:val="0"/>
            <w:vAlign w:val="center"/>
          </w:tcPr>
          <w:p w14:paraId="4C54DF0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招标文件澄清截止时间：采购人或者采购代理机构应当在投标截止时间至少</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eastAsia="zh-CN"/>
              </w:rPr>
              <w:t>日的，采购人或者采购代理机构应当顺延提交投标文件的截止时间</w:t>
            </w:r>
          </w:p>
        </w:tc>
      </w:tr>
      <w:tr w14:paraId="545FF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0734B3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招标文件修改发出的形式</w:t>
            </w:r>
          </w:p>
        </w:tc>
        <w:tc>
          <w:tcPr>
            <w:tcW w:w="7957" w:type="dxa"/>
            <w:noWrap w:val="0"/>
            <w:vAlign w:val="center"/>
          </w:tcPr>
          <w:p w14:paraId="6117D15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在原招标公告发布媒体上发布澄清公告</w:t>
            </w:r>
          </w:p>
        </w:tc>
      </w:tr>
      <w:tr w14:paraId="0A10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C7376F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开标时间和地点</w:t>
            </w:r>
          </w:p>
        </w:tc>
        <w:tc>
          <w:tcPr>
            <w:tcW w:w="7957" w:type="dxa"/>
            <w:noWrap w:val="0"/>
            <w:vAlign w:val="center"/>
          </w:tcPr>
          <w:p w14:paraId="23E172C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开标时间：同投标文件提交截止时间；</w:t>
            </w:r>
          </w:p>
          <w:p w14:paraId="79C5219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开标地点：政采云平台（http：//www.zcygov.cn）</w:t>
            </w:r>
            <w:r>
              <w:rPr>
                <w:rFonts w:hint="eastAsia" w:ascii="宋体" w:hAnsi="宋体" w:cs="宋体"/>
                <w:snapToGrid w:val="0"/>
                <w:color w:val="auto"/>
                <w:kern w:val="0"/>
                <w:sz w:val="24"/>
                <w:szCs w:val="24"/>
                <w:lang w:val="en-US" w:eastAsia="zh-CN" w:bidi="ar-SA"/>
              </w:rPr>
              <w:t>。</w:t>
            </w:r>
          </w:p>
          <w:p w14:paraId="748DDDD0">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注：</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无需到现场开标。</w:t>
            </w:r>
          </w:p>
          <w:p w14:paraId="59FF71E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应按照本项目采购文件和“政采云”平台的要求编制、加密后在投标文件提交截止时间前上传至“政采云”平台，按《</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操作指南》（https://edu.zcygov.cn/luban/yunnan-dzjy-gys?utm=a0017.b3687.48.18.4b09ec80cbc911edb8a97356c5970511）完成远程投标文件解密等相关操作。投标文件提交截止时间前未完成投标文件上传的，视为撤回投标文件。若</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未在规定时间完成投标文件解密，则视为无效投标，不再进入</w:t>
            </w:r>
            <w:r>
              <w:rPr>
                <w:rFonts w:hint="eastAsia" w:ascii="宋体" w:hAnsi="宋体" w:cs="宋体"/>
                <w:snapToGrid w:val="0"/>
                <w:color w:val="auto"/>
                <w:kern w:val="0"/>
                <w:sz w:val="24"/>
                <w:szCs w:val="24"/>
                <w:lang w:val="en-US" w:eastAsia="zh-CN" w:bidi="ar-SA"/>
              </w:rPr>
              <w:t>评审</w:t>
            </w:r>
            <w:r>
              <w:rPr>
                <w:rFonts w:hint="eastAsia" w:ascii="宋体" w:hAnsi="宋体" w:eastAsia="宋体" w:cs="宋体"/>
                <w:snapToGrid w:val="0"/>
                <w:color w:val="auto"/>
                <w:kern w:val="0"/>
                <w:sz w:val="24"/>
                <w:szCs w:val="24"/>
                <w:lang w:val="en-US" w:eastAsia="zh-CN" w:bidi="ar-SA"/>
              </w:rPr>
              <w:t>阶段。</w:t>
            </w:r>
            <w:r>
              <w:rPr>
                <w:rFonts w:hint="eastAsia" w:ascii="宋体" w:hAnsi="宋体" w:cs="宋体"/>
                <w:snapToGrid w:val="0"/>
                <w:color w:val="auto"/>
                <w:kern w:val="0"/>
                <w:sz w:val="24"/>
                <w:szCs w:val="24"/>
                <w:lang w:val="en-US" w:eastAsia="zh-CN" w:bidi="ar-SA"/>
              </w:rPr>
              <w:t>供应商</w:t>
            </w:r>
            <w:r>
              <w:rPr>
                <w:rFonts w:hint="eastAsia" w:ascii="宋体" w:hAnsi="宋体" w:eastAsia="宋体" w:cs="宋体"/>
                <w:snapToGrid w:val="0"/>
                <w:color w:val="auto"/>
                <w:kern w:val="0"/>
                <w:sz w:val="24"/>
                <w:szCs w:val="24"/>
                <w:lang w:val="en-US" w:eastAsia="zh-CN" w:bidi="ar-SA"/>
              </w:rPr>
              <w:t>在“政采云”平台提交电子版投标文件时，请填写参加远程采购活动经办人联系方式。</w:t>
            </w:r>
          </w:p>
        </w:tc>
      </w:tr>
      <w:tr w14:paraId="0D03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C83684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构成投标文件的其他资料</w:t>
            </w:r>
          </w:p>
        </w:tc>
        <w:tc>
          <w:tcPr>
            <w:tcW w:w="7957" w:type="dxa"/>
            <w:noWrap w:val="0"/>
            <w:vAlign w:val="center"/>
          </w:tcPr>
          <w:p w14:paraId="594026E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投标文件格式</w:t>
            </w:r>
            <w:r>
              <w:rPr>
                <w:rFonts w:hint="eastAsia" w:ascii="宋体" w:hAnsi="宋体" w:eastAsia="宋体" w:cs="宋体"/>
                <w:color w:val="auto"/>
                <w:sz w:val="24"/>
                <w:szCs w:val="24"/>
                <w:lang w:eastAsia="zh-CN"/>
              </w:rPr>
              <w:t>”中要求提供的其他资料；</w:t>
            </w:r>
          </w:p>
          <w:p w14:paraId="483359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2、招标文件中所涉及的相关资料及证明文件或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认为必须提供的其他相关资料。</w:t>
            </w:r>
          </w:p>
        </w:tc>
      </w:tr>
      <w:tr w14:paraId="4E515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A0B6D3F">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投标文件的签署</w:t>
            </w:r>
          </w:p>
        </w:tc>
        <w:tc>
          <w:tcPr>
            <w:tcW w:w="7957" w:type="dxa"/>
            <w:noWrap w:val="0"/>
            <w:vAlign w:val="center"/>
          </w:tcPr>
          <w:p w14:paraId="0D7908F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按照投标文件格式，在规定的电子签名处逐一电子签名（电子签名或电子签章），要求盖章处应盖单位章（电子</w:t>
            </w:r>
            <w:r>
              <w:rPr>
                <w:rFonts w:hint="eastAsia" w:ascii="宋体" w:hAnsi="宋体" w:cs="宋体"/>
                <w:snapToGrid w:val="0"/>
                <w:color w:val="auto"/>
                <w:kern w:val="0"/>
                <w:sz w:val="24"/>
                <w:szCs w:val="24"/>
                <w:lang w:val="en-US" w:eastAsia="zh-CN" w:bidi="ar-SA"/>
              </w:rPr>
              <w:t>公</w:t>
            </w:r>
            <w:r>
              <w:rPr>
                <w:rFonts w:hint="eastAsia" w:ascii="宋体" w:hAnsi="宋体" w:eastAsia="宋体" w:cs="宋体"/>
                <w:snapToGrid w:val="0"/>
                <w:color w:val="auto"/>
                <w:kern w:val="0"/>
                <w:sz w:val="24"/>
                <w:szCs w:val="24"/>
                <w:lang w:val="en-US" w:eastAsia="zh-CN" w:bidi="ar-SA"/>
              </w:rPr>
              <w:t>章）。</w:t>
            </w:r>
          </w:p>
        </w:tc>
      </w:tr>
      <w:tr w14:paraId="72DA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0AE882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上传投标文件</w:t>
            </w:r>
          </w:p>
        </w:tc>
        <w:tc>
          <w:tcPr>
            <w:tcW w:w="7957" w:type="dxa"/>
            <w:noWrap w:val="0"/>
            <w:vAlign w:val="center"/>
          </w:tcPr>
          <w:p w14:paraId="7057C8E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在上传投标文件时，将“报价一览表”上传至“报价文件”部分，将整份标响应文件（含封面及目录）上传至“商务及技术文件”部分。</w:t>
            </w:r>
          </w:p>
        </w:tc>
      </w:tr>
      <w:tr w14:paraId="2828A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71112C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zh-CN" w:bidi="ar-SA"/>
              </w:rPr>
            </w:pP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委员会的组建</w:t>
            </w:r>
          </w:p>
        </w:tc>
        <w:tc>
          <w:tcPr>
            <w:tcW w:w="7957" w:type="dxa"/>
            <w:noWrap w:val="0"/>
            <w:vAlign w:val="center"/>
          </w:tcPr>
          <w:p w14:paraId="30EB436B">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委员会由</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代表和有关技术、经济等方面的专家组成，成员人数应当为5人或以上单数。技术、经济等方面的专家不得少于成员总数的三分之二。</w:t>
            </w:r>
          </w:p>
          <w:p w14:paraId="79AAAA71">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专家确定方式：从</w:t>
            </w:r>
            <w:r>
              <w:rPr>
                <w:rFonts w:hint="eastAsia" w:ascii="宋体" w:hAnsi="宋体" w:eastAsia="宋体" w:cs="宋体"/>
                <w:color w:val="auto"/>
                <w:sz w:val="24"/>
                <w:szCs w:val="24"/>
                <w:lang w:eastAsia="zh-CN"/>
              </w:rPr>
              <w:t>“云南省政府采购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专家</w:t>
            </w:r>
            <w:r>
              <w:rPr>
                <w:rFonts w:hint="eastAsia" w:ascii="宋体" w:hAnsi="宋体" w:cs="宋体"/>
                <w:color w:val="auto"/>
                <w:sz w:val="24"/>
                <w:szCs w:val="24"/>
                <w:lang w:eastAsia="zh-CN"/>
              </w:rPr>
              <w:t>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w:t>
            </w:r>
            <w:r>
              <w:rPr>
                <w:rFonts w:hint="eastAsia" w:ascii="宋体" w:hAnsi="宋体" w:eastAsia="宋体" w:cs="宋体"/>
                <w:color w:val="auto"/>
                <w:sz w:val="24"/>
                <w:szCs w:val="24"/>
                <w:lang w:val="en-US" w:eastAsia="zh-CN"/>
              </w:rPr>
              <w:t>随机</w:t>
            </w:r>
            <w:r>
              <w:rPr>
                <w:rFonts w:hint="eastAsia" w:ascii="宋体" w:hAnsi="宋体" w:cs="宋体"/>
                <w:color w:val="auto"/>
                <w:sz w:val="24"/>
                <w:szCs w:val="24"/>
                <w:lang w:val="en-US" w:eastAsia="zh-CN"/>
              </w:rPr>
              <w:t>抽取</w:t>
            </w:r>
            <w:r>
              <w:rPr>
                <w:rFonts w:hint="eastAsia" w:ascii="宋体" w:hAnsi="宋体" w:eastAsia="宋体" w:cs="宋体"/>
                <w:color w:val="auto"/>
                <w:sz w:val="24"/>
                <w:szCs w:val="24"/>
              </w:rPr>
              <w:t>。</w:t>
            </w:r>
          </w:p>
          <w:p w14:paraId="7CE56E36">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委员会应当推选组长，但</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人代表不得担任组长。</w:t>
            </w:r>
          </w:p>
        </w:tc>
      </w:tr>
      <w:tr w14:paraId="19F54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FAE677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采购预算</w:t>
            </w:r>
          </w:p>
          <w:p w14:paraId="56C23A0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（最高限价）</w:t>
            </w:r>
          </w:p>
        </w:tc>
        <w:tc>
          <w:tcPr>
            <w:tcW w:w="7957" w:type="dxa"/>
            <w:noWrap w:val="0"/>
            <w:vAlign w:val="center"/>
          </w:tcPr>
          <w:p w14:paraId="5CC19E05">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最高限价：</w:t>
            </w:r>
            <w:r>
              <w:rPr>
                <w:rFonts w:hint="eastAsia" w:ascii="宋体" w:hAnsi="宋体" w:cs="宋体"/>
                <w:b/>
                <w:bCs/>
                <w:color w:val="auto"/>
                <w:sz w:val="24"/>
                <w:szCs w:val="24"/>
                <w:lang w:val="en-US" w:eastAsia="zh-CN"/>
              </w:rPr>
              <w:t>149.57</w:t>
            </w:r>
            <w:r>
              <w:rPr>
                <w:rFonts w:hint="eastAsia" w:ascii="宋体" w:hAnsi="宋体" w:eastAsia="宋体" w:cs="宋体"/>
                <w:b/>
                <w:bCs/>
                <w:color w:val="auto"/>
                <w:sz w:val="24"/>
                <w:szCs w:val="24"/>
                <w:lang w:val="en-US" w:eastAsia="zh-CN"/>
              </w:rPr>
              <w:t>万元；</w:t>
            </w:r>
          </w:p>
          <w:p w14:paraId="569E7B35">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textAlignment w:val="auto"/>
              <w:rPr>
                <w:rFonts w:hint="eastAsia" w:ascii="宋体" w:hAnsi="宋体" w:eastAsia="宋体" w:cs="宋体"/>
                <w:b/>
                <w:color w:val="auto"/>
                <w:sz w:val="24"/>
                <w:szCs w:val="24"/>
                <w:lang w:val="en-US" w:eastAsia="zh-CN" w:bidi="ar-SA"/>
              </w:rPr>
            </w:pPr>
            <w:r>
              <w:rPr>
                <w:rFonts w:hint="eastAsia" w:ascii="宋体" w:hAnsi="宋体" w:eastAsia="宋体" w:cs="宋体"/>
                <w:b/>
                <w:bCs/>
                <w:color w:val="auto"/>
                <w:sz w:val="24"/>
                <w:szCs w:val="24"/>
                <w:lang w:val="en-US" w:eastAsia="zh-CN"/>
              </w:rPr>
              <w:t>投标报价超过最高限价的将按无效投标处理。</w:t>
            </w:r>
          </w:p>
        </w:tc>
      </w:tr>
      <w:tr w14:paraId="3A90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B8F8A75">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追加合同金额</w:t>
            </w:r>
          </w:p>
        </w:tc>
        <w:tc>
          <w:tcPr>
            <w:tcW w:w="7957" w:type="dxa"/>
            <w:noWrap w:val="0"/>
            <w:vAlign w:val="center"/>
          </w:tcPr>
          <w:p w14:paraId="6829440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sz w:val="24"/>
                <w:szCs w:val="24"/>
                <w:highlight w:val="none"/>
                <w:shd w:val="clear" w:color="auto" w:fill="FFFFFF"/>
              </w:rPr>
              <w:t>政府采购合同履行中，采购人需追加与合同标的相同的货物、工程或者服务的，在不改变合同其他条款的前提下，可以与中标人协商签订补充合同，但所有补充合同的采购金额不得超过原合同采购金额的</w:t>
            </w:r>
            <w:r>
              <w:rPr>
                <w:rFonts w:hint="eastAsia" w:ascii="宋体" w:hAnsi="宋体" w:eastAsia="宋体" w:cs="宋体"/>
                <w:color w:val="auto"/>
                <w:sz w:val="24"/>
                <w:szCs w:val="24"/>
                <w:highlight w:val="none"/>
                <w:shd w:val="clear" w:color="auto" w:fill="FFFFFF"/>
                <w:lang w:eastAsia="zh-CN"/>
              </w:rPr>
              <w:t>10%</w:t>
            </w:r>
            <w:r>
              <w:rPr>
                <w:rFonts w:hint="eastAsia" w:ascii="宋体" w:hAnsi="宋体" w:eastAsia="宋体" w:cs="宋体"/>
                <w:color w:val="auto"/>
                <w:sz w:val="24"/>
                <w:szCs w:val="24"/>
                <w:highlight w:val="none"/>
                <w:shd w:val="clear" w:color="auto" w:fill="FFFFFF"/>
              </w:rPr>
              <w:t>。</w:t>
            </w:r>
          </w:p>
        </w:tc>
      </w:tr>
      <w:tr w14:paraId="6B6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2ED120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投标报价</w:t>
            </w:r>
          </w:p>
        </w:tc>
        <w:tc>
          <w:tcPr>
            <w:tcW w:w="7957" w:type="dxa"/>
            <w:noWrap w:val="0"/>
            <w:vAlign w:val="center"/>
          </w:tcPr>
          <w:p w14:paraId="722AE7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投标报价的特殊规定：</w:t>
            </w:r>
          </w:p>
          <w:p w14:paraId="22ADFFA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14:paraId="59B3ACC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有</w:t>
            </w:r>
          </w:p>
          <w:p w14:paraId="263A7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具体情形：</w:t>
            </w:r>
            <w:r>
              <w:rPr>
                <w:rFonts w:hint="eastAsia" w:ascii="宋体" w:hAnsi="宋体" w:eastAsia="宋体" w:cs="宋体"/>
                <w:color w:val="auto"/>
                <w:sz w:val="24"/>
                <w:szCs w:val="24"/>
                <w:highlight w:val="none"/>
                <w:lang w:val="zh-CN"/>
              </w:rPr>
              <w:t xml:space="preserve">项目为交钥匙项目。人民币完税报价。 </w:t>
            </w:r>
          </w:p>
          <w:p w14:paraId="3254C56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包括但不仅限于货物的出厂价、随机备品备件、运杂费、</w:t>
            </w:r>
            <w:r>
              <w:rPr>
                <w:rFonts w:hint="eastAsia" w:ascii="宋体" w:hAnsi="宋体" w:eastAsia="宋体" w:cs="宋体"/>
                <w:color w:val="auto"/>
                <w:sz w:val="24"/>
                <w:szCs w:val="24"/>
                <w:highlight w:val="none"/>
                <w:lang w:val="zh-CN" w:eastAsia="zh-CN"/>
              </w:rPr>
              <w:t>采购代理服务费用</w:t>
            </w:r>
            <w:r>
              <w:rPr>
                <w:rFonts w:hint="eastAsia" w:ascii="宋体" w:hAnsi="宋体" w:cs="宋体"/>
                <w:color w:val="auto"/>
                <w:sz w:val="24"/>
                <w:szCs w:val="24"/>
                <w:highlight w:val="none"/>
                <w:lang w:val="zh-CN" w:eastAsia="zh-CN"/>
              </w:rPr>
              <w:t>、</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完成履行合同所需的全部工作，此价格在合同签订后不得调整。</w:t>
            </w:r>
          </w:p>
          <w:p w14:paraId="16A343D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color w:val="auto"/>
                <w:sz w:val="24"/>
                <w:szCs w:val="24"/>
                <w:highlight w:val="none"/>
                <w:lang w:val="zh-CN"/>
              </w:rPr>
              <w:t>凡</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在报价中未列的项目或遗漏项目，采购人将一律视为已包括在其报价中，在合同执行中将不予考虑。</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应根据现场实际情况进行复核，如需调整视为</w:t>
            </w:r>
            <w:r>
              <w:rPr>
                <w:rFonts w:hint="eastAsia" w:ascii="宋体" w:hAnsi="宋体" w:cs="宋体"/>
                <w:color w:val="auto"/>
                <w:sz w:val="24"/>
                <w:szCs w:val="24"/>
                <w:highlight w:val="none"/>
                <w:lang w:val="zh-CN"/>
              </w:rPr>
              <w:t>供应商</w:t>
            </w:r>
            <w:r>
              <w:rPr>
                <w:rFonts w:hint="eastAsia" w:ascii="宋体" w:hAnsi="宋体" w:eastAsia="宋体" w:cs="宋体"/>
                <w:color w:val="auto"/>
                <w:sz w:val="24"/>
                <w:szCs w:val="24"/>
                <w:highlight w:val="none"/>
                <w:lang w:val="zh-CN"/>
              </w:rPr>
              <w:t>风险自担，采购人将不在采购报价外追加费用。</w:t>
            </w:r>
          </w:p>
        </w:tc>
      </w:tr>
      <w:tr w14:paraId="7DA4F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2271" w:type="dxa"/>
            <w:noWrap w:val="0"/>
            <w:vAlign w:val="center"/>
          </w:tcPr>
          <w:p w14:paraId="26426E7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保证金</w:t>
            </w:r>
          </w:p>
        </w:tc>
        <w:tc>
          <w:tcPr>
            <w:tcW w:w="7957" w:type="dxa"/>
            <w:noWrap w:val="0"/>
            <w:vAlign w:val="center"/>
          </w:tcPr>
          <w:p w14:paraId="32AC750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□不要求递交投标保证金</w:t>
            </w:r>
          </w:p>
          <w:p w14:paraId="7133F86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要求递交投标保证金</w:t>
            </w:r>
          </w:p>
          <w:p w14:paraId="22AFA93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投标保证金的缴纳时间以实际到账的时间为准，未按时到账的投标保证金无效。投标保证金的交付人和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的名称必须一致，否则其投标文件将被否决。</w:t>
            </w:r>
          </w:p>
          <w:p w14:paraId="7EBB0F4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投标保证金的缴纳方式：支票、汇票、本票、保函、网银、转账、电汇等非现金形式，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可根据实际情况，选择保证金的缴纳方式。</w:t>
            </w:r>
          </w:p>
          <w:p w14:paraId="225CB3D2">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color w:val="auto"/>
                <w:sz w:val="24"/>
                <w:szCs w:val="24"/>
                <w:lang w:val="en-US" w:eastAsia="zh-CN"/>
              </w:rPr>
            </w:pPr>
            <w:r>
              <w:rPr>
                <w:rFonts w:hint="eastAsia" w:ascii="宋体" w:hAnsi="宋体" w:eastAsia="宋体" w:cs="宋体"/>
                <w:b/>
                <w:bCs/>
                <w:color w:val="auto"/>
                <w:sz w:val="24"/>
                <w:szCs w:val="24"/>
                <w:lang w:val="en-US" w:eastAsia="zh-CN"/>
              </w:rPr>
              <w:t>投标保证金金额：</w:t>
            </w:r>
            <w:r>
              <w:rPr>
                <w:rFonts w:hint="eastAsia" w:ascii="宋体" w:hAnsi="宋体" w:eastAsia="宋体" w:cs="宋体"/>
                <w:b w:val="0"/>
                <w:color w:val="auto"/>
                <w:sz w:val="24"/>
                <w:szCs w:val="24"/>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所有标段投标保证金均按标准下浮50%收取。</w:t>
            </w:r>
          </w:p>
          <w:p w14:paraId="55265008">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cs="宋体"/>
                <w:b/>
                <w:bCs/>
                <w:color w:val="auto"/>
                <w:sz w:val="24"/>
                <w:szCs w:val="24"/>
                <w:u w:val="none"/>
                <w:lang w:val="en-US" w:eastAsia="zh-CN"/>
              </w:rPr>
            </w:pPr>
            <w:r>
              <w:rPr>
                <w:rFonts w:hint="eastAsia" w:ascii="宋体" w:hAnsi="宋体" w:eastAsia="宋体" w:cs="宋体"/>
                <w:color w:val="auto"/>
                <w:sz w:val="24"/>
                <w:szCs w:val="24"/>
              </w:rPr>
              <w:t>投标保证金</w:t>
            </w:r>
            <w:r>
              <w:rPr>
                <w:rFonts w:hint="eastAsia" w:ascii="宋体" w:hAnsi="宋体" w:eastAsia="宋体" w:cs="宋体"/>
                <w:b w:val="0"/>
                <w:bCs w:val="0"/>
                <w:color w:val="auto"/>
                <w:sz w:val="24"/>
                <w:szCs w:val="24"/>
              </w:rPr>
              <w:t>金额：</w:t>
            </w:r>
            <w:r>
              <w:rPr>
                <w:rFonts w:hint="eastAsia" w:ascii="宋体" w:hAnsi="宋体" w:cs="宋体"/>
                <w:b w:val="0"/>
                <w:bCs w:val="0"/>
                <w:color w:val="auto"/>
                <w:sz w:val="24"/>
                <w:szCs w:val="24"/>
                <w:u w:val="none"/>
                <w:lang w:val="en-US" w:eastAsia="zh-CN"/>
              </w:rPr>
              <w:t>¥14900.00元；</w:t>
            </w:r>
          </w:p>
          <w:p w14:paraId="7D36E341">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（一）投标保证金采用银行转账方式的：</w:t>
            </w:r>
            <w:r>
              <w:rPr>
                <w:rFonts w:hint="eastAsia" w:ascii="宋体" w:hAnsi="宋体" w:eastAsia="宋体" w:cs="宋体"/>
                <w:color w:val="auto"/>
                <w:kern w:val="0"/>
                <w:sz w:val="24"/>
                <w:szCs w:val="24"/>
                <w:lang w:val="en-US" w:eastAsia="zh-CN" w:bidi="ar"/>
              </w:rPr>
              <w:t>应以</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名义提交且必须从</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基本账户转出，不得以分支机构及其他名义提交。</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应在投标截止时间前递交保证金并注明项目名称或项目编号等信息，到账时间以实际到达已公布的项目银行账号时间为准，未在投标截止时间前到账的保证金视为未提交。</w:t>
            </w:r>
          </w:p>
          <w:p w14:paraId="6661B2AA">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收款单位：楚雄腾凯工程项目管理有限公司</w:t>
            </w:r>
          </w:p>
          <w:p w14:paraId="69C82600">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 xml:space="preserve">开户银行：云南南华农村商业银行股份有限公司       </w:t>
            </w:r>
          </w:p>
          <w:p w14:paraId="14A8640D">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账    号：3100017678054012</w:t>
            </w:r>
          </w:p>
          <w:p w14:paraId="3BEC27B4">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开户行号：402738400016</w:t>
            </w:r>
          </w:p>
          <w:p w14:paraId="510DA871">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default" w:ascii="宋体" w:hAnsi="宋体" w:eastAsia="宋体" w:cs="宋体"/>
                <w:b w:val="0"/>
                <w:color w:val="auto"/>
                <w:sz w:val="24"/>
                <w:szCs w:val="24"/>
                <w:lang w:val="en-US" w:eastAsia="zh-CN"/>
              </w:rPr>
            </w:pPr>
            <w:r>
              <w:rPr>
                <w:rFonts w:hint="eastAsia" w:ascii="宋体" w:hAnsi="宋体" w:eastAsia="宋体" w:cs="宋体"/>
                <w:b w:val="0"/>
                <w:color w:val="auto"/>
                <w:sz w:val="24"/>
                <w:szCs w:val="24"/>
                <w:lang w:eastAsia="zh-CN"/>
              </w:rPr>
              <w:t>联 系 人：</w:t>
            </w:r>
            <w:r>
              <w:rPr>
                <w:rFonts w:hint="eastAsia" w:ascii="宋体" w:hAnsi="宋体" w:cs="宋体"/>
                <w:b w:val="0"/>
                <w:color w:val="auto"/>
                <w:sz w:val="24"/>
                <w:szCs w:val="24"/>
                <w:lang w:eastAsia="zh-CN"/>
              </w:rPr>
              <w:t>袁海</w:t>
            </w:r>
          </w:p>
          <w:p w14:paraId="232B26FA">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default" w:ascii="宋体" w:hAnsi="宋体" w:eastAsia="宋体" w:cs="宋体"/>
                <w:b w:val="0"/>
                <w:color w:val="auto"/>
                <w:sz w:val="24"/>
                <w:szCs w:val="24"/>
                <w:lang w:val="en-US"/>
              </w:rPr>
            </w:pPr>
            <w:r>
              <w:rPr>
                <w:rFonts w:hint="eastAsia" w:ascii="宋体" w:hAnsi="宋体" w:eastAsia="宋体" w:cs="宋体"/>
                <w:b w:val="0"/>
                <w:color w:val="auto"/>
                <w:sz w:val="24"/>
                <w:szCs w:val="24"/>
                <w:lang w:eastAsia="zh-CN"/>
              </w:rPr>
              <w:t>联系电话：</w:t>
            </w:r>
            <w:r>
              <w:rPr>
                <w:rFonts w:hint="eastAsia" w:ascii="宋体" w:hAnsi="宋体" w:cs="宋体"/>
                <w:b w:val="0"/>
                <w:color w:val="auto"/>
                <w:sz w:val="24"/>
                <w:szCs w:val="24"/>
                <w:lang w:val="en-US" w:eastAsia="zh-CN"/>
              </w:rPr>
              <w:t>13638701730</w:t>
            </w:r>
          </w:p>
          <w:p w14:paraId="35BF9F2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（二）投标保证金采用银行保函方式的：</w:t>
            </w:r>
            <w:r>
              <w:rPr>
                <w:rFonts w:hint="eastAsia" w:ascii="宋体" w:hAnsi="宋体" w:eastAsia="宋体" w:cs="宋体"/>
                <w:color w:val="auto"/>
                <w:kern w:val="0"/>
                <w:sz w:val="24"/>
                <w:szCs w:val="24"/>
                <w:lang w:val="en-US" w:eastAsia="zh-CN" w:bidi="ar"/>
              </w:rPr>
              <w:t>保函</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，受益人应是采购人，保证人应是</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基本账号的开户银行。银行保函应正确填写受益人和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的全称，并与招标文件规定的项目名称相一致，以免造成投标无效。当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违反政府采购法律法规规章等规定且符合保证金不予退回情形的，由银行按照银行保函合同对采购人代偿投标保证金额。</w:t>
            </w:r>
          </w:p>
          <w:p w14:paraId="066248F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kern w:val="0"/>
                <w:sz w:val="24"/>
                <w:szCs w:val="24"/>
                <w:lang w:val="en-US" w:eastAsia="zh-CN" w:bidi="ar"/>
              </w:rPr>
              <w:t>（三）投标保证金采用电子保险保函方式的：</w:t>
            </w:r>
            <w:r>
              <w:rPr>
                <w:rFonts w:hint="eastAsia" w:ascii="宋体" w:hAnsi="宋体" w:eastAsia="宋体" w:cs="宋体"/>
                <w:color w:val="auto"/>
                <w:kern w:val="0"/>
                <w:sz w:val="24"/>
                <w:szCs w:val="24"/>
                <w:lang w:val="en-US" w:eastAsia="zh-CN" w:bidi="ar"/>
              </w:rPr>
              <w:t>在投标保证保险中，</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为投保人，采购人为被保险人。当</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违反法律法规且符合投标保证金不予退回情形的，由保险公司按照保险合同对采购人代偿投标保证金金额</w:t>
            </w:r>
            <w:r>
              <w:rPr>
                <w:rFonts w:hint="eastAsia" w:ascii="宋体" w:hAnsi="宋体" w:eastAsia="宋体" w:cs="宋体"/>
                <w:color w:val="auto"/>
                <w:sz w:val="24"/>
                <w:szCs w:val="24"/>
                <w:lang w:eastAsia="zh-CN"/>
              </w:rPr>
              <w:t>。</w:t>
            </w:r>
          </w:p>
        </w:tc>
      </w:tr>
      <w:tr w14:paraId="14F8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32E05BB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投标保证退还方式</w:t>
            </w:r>
          </w:p>
        </w:tc>
        <w:tc>
          <w:tcPr>
            <w:tcW w:w="7957" w:type="dxa"/>
            <w:noWrap w:val="0"/>
            <w:vAlign w:val="center"/>
          </w:tcPr>
          <w:p w14:paraId="2390427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投标保证退还方式：</w:t>
            </w:r>
          </w:p>
          <w:p w14:paraId="4F36728A">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以电汇、网银、转账方式缴纳的保证金，以网银对公转账的方式退还到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打款账户；</w:t>
            </w:r>
          </w:p>
          <w:p w14:paraId="41C22EED">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以支票、汇票及本票等票据方式缴纳的保证金，经财务查账确认后以网银对公转账的方式退还到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开户账户；</w:t>
            </w:r>
          </w:p>
          <w:p w14:paraId="24128E1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以银行保函或者保证保险方式缴纳的保证金由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自行联系出函机构进行退还。</w:t>
            </w:r>
          </w:p>
          <w:p w14:paraId="768D9A9D">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其他可以不予退还投标保证金的情形：</w:t>
            </w:r>
          </w:p>
          <w:p w14:paraId="151DF32B">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1、如中标人不按照招标文件规定交纳代理服务费，其投标保证金将不予退还；</w:t>
            </w:r>
          </w:p>
          <w:p w14:paraId="2C551D9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eastAsia="zh-CN"/>
              </w:rPr>
              <w:t>围标串标和弄虚作假的。</w:t>
            </w:r>
          </w:p>
          <w:p w14:paraId="5F5FA5E5">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存在违法违规行为的；</w:t>
            </w:r>
          </w:p>
          <w:p w14:paraId="46D9066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供应商</w:t>
            </w:r>
            <w:r>
              <w:rPr>
                <w:rFonts w:hint="eastAsia" w:ascii="宋体" w:hAnsi="宋体" w:eastAsia="宋体" w:cs="宋体"/>
                <w:color w:val="auto"/>
                <w:sz w:val="24"/>
                <w:szCs w:val="24"/>
                <w:lang w:val="en-US" w:eastAsia="zh-CN"/>
              </w:rPr>
              <w:t>在投标文件中提供虚假材料的；</w:t>
            </w:r>
          </w:p>
          <w:p w14:paraId="63BECF8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5、中标人将中标项目转让给他人，或者在投标文件中未说明，且未经采购人同意，将中标项目分包给他人的；</w:t>
            </w:r>
          </w:p>
          <w:p w14:paraId="3A12BD3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6、中标人中标后除因不可抗力拒绝与</w:t>
            </w:r>
            <w:r>
              <w:rPr>
                <w:rFonts w:hint="eastAsia" w:ascii="宋体" w:hAnsi="宋体" w:cs="宋体"/>
                <w:color w:val="auto"/>
                <w:sz w:val="24"/>
                <w:szCs w:val="24"/>
                <w:lang w:val="en-US" w:eastAsia="zh-CN"/>
              </w:rPr>
              <w:t>采购人</w:t>
            </w:r>
            <w:r>
              <w:rPr>
                <w:rFonts w:hint="eastAsia" w:ascii="宋体" w:hAnsi="宋体" w:eastAsia="宋体" w:cs="宋体"/>
                <w:color w:val="auto"/>
                <w:sz w:val="24"/>
                <w:szCs w:val="24"/>
                <w:lang w:val="en-US" w:eastAsia="zh-CN"/>
              </w:rPr>
              <w:t>签订合同的；</w:t>
            </w:r>
          </w:p>
          <w:p w14:paraId="52163530">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7、招标文件规定的其他情形的。</w:t>
            </w:r>
          </w:p>
        </w:tc>
      </w:tr>
      <w:tr w14:paraId="1E18C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04B63570">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投标有效期</w:t>
            </w:r>
          </w:p>
        </w:tc>
        <w:tc>
          <w:tcPr>
            <w:tcW w:w="7957" w:type="dxa"/>
            <w:noWrap w:val="0"/>
            <w:vAlign w:val="center"/>
          </w:tcPr>
          <w:p w14:paraId="3DDFCB5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自提交投标文件的截止之日起算</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日历天。投标文件未明确投标有效期或者少于前述规定天数的，其投标文件按无效处理。</w:t>
            </w:r>
          </w:p>
        </w:tc>
      </w:tr>
      <w:tr w14:paraId="7173F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03BF9D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提交投标文件截止时间</w:t>
            </w:r>
          </w:p>
        </w:tc>
        <w:tc>
          <w:tcPr>
            <w:tcW w:w="7957" w:type="dxa"/>
            <w:noWrap w:val="0"/>
            <w:vAlign w:val="center"/>
          </w:tcPr>
          <w:p w14:paraId="6AD733C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1A76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2C3EAD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递交投标文件地点</w:t>
            </w:r>
          </w:p>
        </w:tc>
        <w:tc>
          <w:tcPr>
            <w:tcW w:w="7957" w:type="dxa"/>
            <w:noWrap w:val="0"/>
            <w:vAlign w:val="center"/>
          </w:tcPr>
          <w:p w14:paraId="2BF7D10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详见招标公告</w:t>
            </w:r>
          </w:p>
        </w:tc>
      </w:tr>
      <w:tr w14:paraId="76F05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112894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投标文件是否退还</w:t>
            </w:r>
          </w:p>
        </w:tc>
        <w:tc>
          <w:tcPr>
            <w:tcW w:w="7957" w:type="dxa"/>
            <w:noWrap w:val="0"/>
            <w:vAlign w:val="center"/>
          </w:tcPr>
          <w:p w14:paraId="3976EAD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否</w:t>
            </w:r>
          </w:p>
          <w:p w14:paraId="2039509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□是，退还时间：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val="en-US" w:eastAsia="zh-CN"/>
              </w:rPr>
              <w:t xml:space="preserve"> </w:t>
            </w:r>
          </w:p>
        </w:tc>
      </w:tr>
      <w:tr w14:paraId="2C007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D2D325A">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确定中标人</w:t>
            </w:r>
          </w:p>
        </w:tc>
        <w:tc>
          <w:tcPr>
            <w:tcW w:w="7957" w:type="dxa"/>
            <w:noWrap w:val="0"/>
            <w:vAlign w:val="center"/>
          </w:tcPr>
          <w:p w14:paraId="1C837FA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中标候选人并列的，按照以下方式确定中标人： </w:t>
            </w:r>
          </w:p>
          <w:p w14:paraId="3CD1FA2F">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采用最低</w:t>
            </w:r>
            <w:r>
              <w:rPr>
                <w:rFonts w:hint="eastAsia" w:ascii="宋体" w:hAnsi="宋体" w:cs="宋体"/>
                <w:b/>
                <w:bCs/>
                <w:color w:val="auto"/>
                <w:sz w:val="24"/>
                <w:szCs w:val="24"/>
                <w:highlight w:val="none"/>
                <w:lang w:eastAsia="zh-CN"/>
              </w:rPr>
              <w:t>评审</w:t>
            </w:r>
            <w:r>
              <w:rPr>
                <w:rFonts w:hint="eastAsia" w:ascii="宋体" w:hAnsi="宋体" w:eastAsia="宋体" w:cs="宋体"/>
                <w:b/>
                <w:bCs/>
                <w:color w:val="auto"/>
                <w:sz w:val="24"/>
                <w:szCs w:val="24"/>
                <w:highlight w:val="none"/>
              </w:rPr>
              <w:t>价法的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结果按投标报价由低到高顺序排列。投标报价相同的并列，投标文件满足招标文件全部实质性要求且投标报价最低的投标人为排名第一的中标候选人。</w:t>
            </w:r>
          </w:p>
          <w:p w14:paraId="6BDCAA23">
            <w:pPr>
              <w:keepNext w:val="0"/>
              <w:keepLines w:val="0"/>
              <w:pageBreakBefore w:val="0"/>
              <w:widowControl w:val="0"/>
              <w:kinsoku/>
              <w:wordWrap w:val="0"/>
              <w:overflowPunct/>
              <w:topLinePunct/>
              <w:autoSpaceDE/>
              <w:autoSpaceDN/>
              <w:bidi w:val="0"/>
              <w:adjustRightInd/>
              <w:snapToGrid/>
              <w:spacing w:line="360" w:lineRule="auto"/>
              <w:ind w:right="0" w:rightChars="0" w:firstLine="482" w:firstLineChars="200"/>
              <w:jc w:val="left"/>
              <w:textAlignment w:val="auto"/>
              <w:rPr>
                <w:rFonts w:hint="eastAsia" w:ascii="宋体" w:hAnsi="宋体" w:eastAsia="宋体" w:cs="宋体"/>
                <w:snapToGrid w:val="0"/>
                <w:color w:val="auto"/>
                <w:kern w:val="2"/>
                <w:sz w:val="24"/>
                <w:szCs w:val="24"/>
                <w:highlight w:val="none"/>
                <w:u w:val="single"/>
                <w:lang w:val="en-US" w:eastAsia="zh-CN" w:bidi="ar-SA"/>
              </w:rPr>
            </w:pPr>
            <w:r>
              <w:rPr>
                <w:rFonts w:hint="eastAsia" w:ascii="宋体" w:hAnsi="宋体" w:eastAsia="宋体" w:cs="宋体"/>
                <w:b/>
                <w:bCs/>
                <w:color w:val="auto"/>
                <w:sz w:val="24"/>
                <w:szCs w:val="24"/>
                <w:highlight w:val="none"/>
              </w:rPr>
              <w:t>采用综合评分法的</w:t>
            </w:r>
            <w:r>
              <w:rPr>
                <w:rFonts w:hint="eastAsia" w:ascii="宋体" w:hAnsi="宋体" w:cs="宋体"/>
                <w:b/>
                <w:bCs/>
                <w:color w:val="auto"/>
                <w:sz w:val="24"/>
                <w:szCs w:val="24"/>
                <w:highlight w:val="none"/>
                <w:lang w:eastAsia="zh-CN"/>
              </w:rPr>
              <w:t>：</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tc>
      </w:tr>
      <w:tr w14:paraId="63EA0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6239C74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lang w:val="en-US" w:eastAsia="en-US" w:bidi="ar-SA"/>
              </w:rPr>
            </w:pPr>
            <w:r>
              <w:rPr>
                <w:rFonts w:hint="eastAsia" w:ascii="宋体" w:hAnsi="宋体" w:eastAsia="宋体" w:cs="宋体"/>
                <w:color w:val="auto"/>
                <w:sz w:val="24"/>
                <w:szCs w:val="24"/>
              </w:rPr>
              <w:t>结果确认</w:t>
            </w:r>
          </w:p>
        </w:tc>
        <w:tc>
          <w:tcPr>
            <w:tcW w:w="7957" w:type="dxa"/>
            <w:noWrap w:val="0"/>
            <w:vAlign w:val="center"/>
          </w:tcPr>
          <w:p w14:paraId="43176033">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rPr>
              <w:t>招标代理机构在评审结束后2个工作日内将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报告送达</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应当自收到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报告确定的中标候选人名单中按顺序确定中标人。如</w:t>
            </w:r>
            <w:r>
              <w:rPr>
                <w:rFonts w:hint="eastAsia" w:ascii="宋体" w:hAnsi="宋体" w:cs="宋体"/>
                <w:color w:val="auto"/>
                <w:sz w:val="24"/>
                <w:szCs w:val="24"/>
                <w:lang w:eastAsia="zh-CN"/>
              </w:rPr>
              <w:t>采购人</w:t>
            </w:r>
            <w:r>
              <w:rPr>
                <w:rFonts w:hint="eastAsia" w:ascii="宋体" w:hAnsi="宋体" w:eastAsia="宋体" w:cs="宋体"/>
                <w:color w:val="auto"/>
                <w:sz w:val="24"/>
                <w:szCs w:val="24"/>
              </w:rPr>
              <w:t>5个工作日内未按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报告推荐的中标候选人顺序确定中标人，又不能说明合法理由的，视同按</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报告推荐的顺序确定排名第一的中标候选人为中标人。</w:t>
            </w:r>
          </w:p>
        </w:tc>
      </w:tr>
      <w:tr w14:paraId="3EB19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29CA8B23">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履约担保</w:t>
            </w:r>
          </w:p>
        </w:tc>
        <w:tc>
          <w:tcPr>
            <w:tcW w:w="7957" w:type="dxa"/>
            <w:noWrap w:val="0"/>
            <w:vAlign w:val="center"/>
          </w:tcPr>
          <w:p w14:paraId="37F10F2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是否要求中标人提交履约保证金：</w:t>
            </w:r>
          </w:p>
          <w:p w14:paraId="3DF44782">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eastAsia="宋体" w:cs="宋体"/>
                <w:color w:val="auto"/>
                <w:sz w:val="24"/>
                <w:szCs w:val="24"/>
                <w:lang w:eastAsia="zh-CN"/>
              </w:rPr>
              <w:t>要求</w:t>
            </w:r>
          </w:p>
          <w:p w14:paraId="14FABD3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（1）履约保证金总金额：合同金额的</w:t>
            </w:r>
            <w:r>
              <w:rPr>
                <w:rFonts w:hint="eastAsia" w:ascii="宋体" w:hAnsi="宋体" w:eastAsia="宋体" w:cs="宋体"/>
                <w:color w:val="auto"/>
                <w:sz w:val="24"/>
                <w:szCs w:val="24"/>
                <w:u w:val="single"/>
                <w:lang w:eastAsia="zh-CN"/>
              </w:rPr>
              <w:t>10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p>
          <w:p w14:paraId="71932506">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（2）向采购人指定的银行账户通过转账、支票、汇票、本票或者金融机构、担保机构出具的</w:t>
            </w:r>
            <w:r>
              <w:rPr>
                <w:rFonts w:hint="eastAsia" w:ascii="宋体" w:hAnsi="宋体" w:eastAsia="宋体" w:cs="宋体"/>
                <w:color w:val="auto"/>
                <w:sz w:val="24"/>
                <w:szCs w:val="24"/>
                <w:lang w:val="en-US" w:eastAsia="zh-CN"/>
              </w:rPr>
              <w:t>保险</w:t>
            </w:r>
            <w:r>
              <w:rPr>
                <w:rFonts w:hint="eastAsia" w:ascii="宋体" w:hAnsi="宋体" w:eastAsia="宋体" w:cs="宋体"/>
                <w:color w:val="auto"/>
                <w:sz w:val="24"/>
                <w:szCs w:val="24"/>
                <w:lang w:eastAsia="zh-CN"/>
              </w:rPr>
              <w:t>保函（</w:t>
            </w:r>
            <w:r>
              <w:rPr>
                <w:rFonts w:hint="eastAsia" w:ascii="宋体" w:hAnsi="宋体" w:eastAsia="宋体" w:cs="宋体"/>
                <w:color w:val="auto"/>
                <w:sz w:val="24"/>
                <w:szCs w:val="24"/>
                <w:lang w:val="en-US" w:eastAsia="zh-CN"/>
              </w:rPr>
              <w:t>受益人为采购人</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lang w:val="en-US" w:eastAsia="zh-CN"/>
              </w:rPr>
              <w:t>非现金</w:t>
            </w:r>
            <w:r>
              <w:rPr>
                <w:rFonts w:hint="eastAsia" w:ascii="宋体" w:hAnsi="宋体" w:eastAsia="宋体" w:cs="宋体"/>
                <w:color w:val="auto"/>
                <w:sz w:val="24"/>
                <w:szCs w:val="24"/>
                <w:lang w:eastAsia="zh-CN"/>
              </w:rPr>
              <w:t>形式缴纳履约保证金。</w:t>
            </w:r>
          </w:p>
          <w:p w14:paraId="0F78B4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szCs w:val="24"/>
                <w:lang w:eastAsia="zh-CN"/>
              </w:rPr>
              <w:t>不要求</w:t>
            </w:r>
          </w:p>
        </w:tc>
      </w:tr>
      <w:tr w14:paraId="4B8BC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478934DB">
            <w:pPr>
              <w:keepNext w:val="0"/>
              <w:keepLines w:val="0"/>
              <w:pageBreakBefore w:val="0"/>
              <w:widowControl w:val="0"/>
              <w:shd w:val="clear" w:color="auto" w:fill="FFFFFF"/>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政府采购中标人须知</w:t>
            </w:r>
          </w:p>
        </w:tc>
        <w:tc>
          <w:tcPr>
            <w:tcW w:w="7957" w:type="dxa"/>
            <w:noWrap w:val="0"/>
            <w:vAlign w:val="center"/>
          </w:tcPr>
          <w:p w14:paraId="0B914D17">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中标人在《云南省政府采购网》查询到中标公示后，需办理以下事宜：</w:t>
            </w:r>
          </w:p>
          <w:p w14:paraId="78574A3C">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1、在《云南省政府采购网》（http://www.yngp.com）《政府采购云平台》（https://www.zcygov.cn）完成供应商信息录入成为正式供应商。</w:t>
            </w:r>
          </w:p>
          <w:p w14:paraId="5CD9A601">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2、缴纳招标代理服务费。</w:t>
            </w:r>
          </w:p>
          <w:p w14:paraId="4D2E06D2">
            <w:pPr>
              <w:pStyle w:val="654"/>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3、领取中标通知书，并与采购人联系、洽谈采购合同。</w:t>
            </w:r>
          </w:p>
        </w:tc>
      </w:tr>
      <w:tr w14:paraId="26278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5BAF7AC">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采购代理服务费</w:t>
            </w:r>
          </w:p>
        </w:tc>
        <w:tc>
          <w:tcPr>
            <w:tcW w:w="7957" w:type="dxa"/>
            <w:noWrap w:val="0"/>
            <w:vAlign w:val="center"/>
          </w:tcPr>
          <w:p w14:paraId="4FE5F49A">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收费对象：</w:t>
            </w:r>
          </w:p>
          <w:p w14:paraId="3B4AD153">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w:t>
            </w:r>
          </w:p>
          <w:p w14:paraId="67A56F8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中标人</w:t>
            </w:r>
          </w:p>
          <w:p w14:paraId="7DC5FE4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执行国家发展改革委《关于进一步放开建设项目专业服务价格的通知》（发改价格〔2015〕299号）文件规定，</w:t>
            </w:r>
            <w:r>
              <w:rPr>
                <w:rFonts w:hint="eastAsia" w:ascii="宋体" w:hAnsi="宋体" w:eastAsia="宋体" w:cs="宋体"/>
                <w:color w:val="auto"/>
                <w:sz w:val="24"/>
                <w:szCs w:val="24"/>
                <w:highlight w:val="none"/>
                <w:lang w:val="en-US" w:eastAsia="zh-CN"/>
              </w:rPr>
              <w:t xml:space="preserve">参照第二章 </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须知“11.1.采购代理服务费”</w:t>
            </w:r>
            <w:r>
              <w:rPr>
                <w:rFonts w:hint="eastAsia" w:ascii="宋体" w:hAnsi="宋体" w:eastAsia="宋体" w:cs="宋体"/>
                <w:color w:val="auto"/>
                <w:sz w:val="24"/>
                <w:szCs w:val="24"/>
                <w:highlight w:val="none"/>
                <w:lang w:eastAsia="zh-CN"/>
              </w:rPr>
              <w:t>取费标准计费，</w:t>
            </w:r>
            <w:r>
              <w:rPr>
                <w:rFonts w:hint="eastAsia" w:ascii="宋体" w:hAnsi="宋体" w:eastAsia="宋体" w:cs="宋体"/>
                <w:color w:val="auto"/>
                <w:sz w:val="24"/>
                <w:szCs w:val="24"/>
                <w:highlight w:val="none"/>
                <w:lang w:val="en-US" w:eastAsia="zh-CN"/>
              </w:rPr>
              <w:t>采用差额定率累进的计算方式，按</w:t>
            </w:r>
            <w:r>
              <w:rPr>
                <w:rFonts w:hint="eastAsia" w:ascii="宋体" w:hAnsi="宋体" w:eastAsia="宋体" w:cs="宋体"/>
                <w:i w:val="0"/>
                <w:iCs w:val="0"/>
                <w:color w:val="auto"/>
                <w:sz w:val="24"/>
                <w:szCs w:val="24"/>
                <w:highlight w:val="none"/>
                <w:lang w:val="en-US" w:eastAsia="zh-CN"/>
              </w:rPr>
              <w:t>照</w:t>
            </w:r>
            <w:r>
              <w:rPr>
                <w:rFonts w:hint="eastAsia" w:ascii="宋体" w:hAnsi="宋体" w:eastAsia="宋体" w:cs="宋体"/>
                <w:b/>
                <w:bCs/>
                <w:i w:val="0"/>
                <w:iCs w:val="0"/>
                <w:color w:val="auto"/>
                <w:sz w:val="24"/>
                <w:szCs w:val="24"/>
                <w:highlight w:val="none"/>
                <w:u w:val="single"/>
                <w:lang w:val="en-US" w:eastAsia="zh-CN"/>
              </w:rPr>
              <w:t xml:space="preserve"> 货物 </w:t>
            </w:r>
            <w:r>
              <w:rPr>
                <w:rFonts w:hint="eastAsia" w:ascii="宋体" w:hAnsi="宋体" w:eastAsia="宋体" w:cs="宋体"/>
                <w:i w:val="0"/>
                <w:iCs w:val="0"/>
                <w:color w:val="auto"/>
                <w:sz w:val="24"/>
                <w:szCs w:val="24"/>
                <w:highlight w:val="none"/>
                <w:lang w:val="en-US" w:eastAsia="zh-CN"/>
              </w:rPr>
              <w:t>收费标准收取委</w:t>
            </w:r>
            <w:r>
              <w:rPr>
                <w:rFonts w:hint="eastAsia" w:ascii="宋体" w:hAnsi="宋体" w:eastAsia="宋体" w:cs="宋体"/>
                <w:color w:val="auto"/>
                <w:sz w:val="24"/>
                <w:szCs w:val="24"/>
                <w:highlight w:val="none"/>
                <w:lang w:val="en-US" w:eastAsia="zh-CN"/>
              </w:rPr>
              <w:t>托代理服务费。向中标</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一次性收取招标代理服务</w:t>
            </w:r>
            <w:r>
              <w:rPr>
                <w:rFonts w:hint="eastAsia" w:ascii="宋体" w:hAnsi="宋体" w:eastAsia="宋体" w:cs="宋体"/>
                <w:color w:val="auto"/>
                <w:sz w:val="24"/>
                <w:szCs w:val="24"/>
                <w:highlight w:val="none"/>
              </w:rPr>
              <w:t>。</w:t>
            </w:r>
          </w:p>
          <w:p w14:paraId="345AAE8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缴纳代理费账户：</w:t>
            </w:r>
          </w:p>
          <w:p w14:paraId="4B288F77">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收款单位：楚雄腾凯工程项目管理有限公司</w:t>
            </w:r>
          </w:p>
          <w:p w14:paraId="4EF25113">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 xml:space="preserve">开户银行：云南南华农村商业银行股份有限公司       </w:t>
            </w:r>
          </w:p>
          <w:p w14:paraId="461F6F63">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账    号：3100017678054012</w:t>
            </w:r>
          </w:p>
          <w:p w14:paraId="3FA3EAED">
            <w:pPr>
              <w:keepNext w:val="0"/>
              <w:keepLines w:val="0"/>
              <w:pageBreakBefore w:val="0"/>
              <w:widowControl w:val="0"/>
              <w:kinsoku/>
              <w:wordWrap w:val="0"/>
              <w:overflowPunct/>
              <w:topLinePunct/>
              <w:autoSpaceDE/>
              <w:autoSpaceDN/>
              <w:bidi w:val="0"/>
              <w:adjustRightInd/>
              <w:snapToGrid/>
              <w:spacing w:line="360" w:lineRule="auto"/>
              <w:ind w:firstLine="240" w:firstLineChars="100"/>
              <w:jc w:val="left"/>
              <w:textAlignment w:val="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lang w:eastAsia="zh-CN"/>
              </w:rPr>
              <w:t>开户行号：402738400016</w:t>
            </w:r>
          </w:p>
          <w:p w14:paraId="1A6170DD">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缴纳时间：中标人应在接受“中标通知书”前向</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一次付清代理服务费。</w:t>
            </w:r>
          </w:p>
        </w:tc>
      </w:tr>
      <w:tr w14:paraId="67559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271" w:type="dxa"/>
            <w:noWrap w:val="0"/>
            <w:vAlign w:val="center"/>
          </w:tcPr>
          <w:p w14:paraId="7078F3D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举报</w:t>
            </w:r>
          </w:p>
        </w:tc>
        <w:tc>
          <w:tcPr>
            <w:tcW w:w="7957" w:type="dxa"/>
            <w:noWrap w:val="0"/>
            <w:vAlign w:val="center"/>
          </w:tcPr>
          <w:p w14:paraId="5381501F">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在政府采购活动中，若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发现存在要求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支付专家评审费用、向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转嫁公证费用等违反《云南省财政厅关于进一步规范政府采购相关收费行为的通知（云财规〔2023〕13号）》的行为，请向财政主管部门举报。</w:t>
            </w:r>
          </w:p>
        </w:tc>
      </w:tr>
      <w:tr w14:paraId="0B417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F763D15">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rPr>
              <w:t>相关证明材料</w:t>
            </w:r>
            <w:r>
              <w:rPr>
                <w:rFonts w:hint="eastAsia" w:ascii="宋体" w:hAnsi="宋体" w:eastAsia="宋体" w:cs="宋体"/>
                <w:snapToGrid w:val="0"/>
                <w:color w:val="auto"/>
                <w:kern w:val="0"/>
                <w:sz w:val="24"/>
                <w:szCs w:val="24"/>
                <w:highlight w:val="none"/>
                <w:lang w:val="en-US" w:eastAsia="zh-CN"/>
              </w:rPr>
              <w:t>官方查询网站</w:t>
            </w:r>
          </w:p>
          <w:p w14:paraId="1730529D">
            <w:pPr>
              <w:pStyle w:val="683"/>
              <w:keepNext w:val="0"/>
              <w:keepLines w:val="0"/>
              <w:pageBreakBefore w:val="0"/>
              <w:widowControl w:val="0"/>
              <w:kinsoku/>
              <w:wordWrap w:val="0"/>
              <w:overflowPunct/>
              <w:topLinePunct/>
              <w:autoSpaceDE/>
              <w:autoSpaceDN/>
              <w:bidi w:val="0"/>
              <w:adjustRightInd/>
              <w:snapToGrid/>
              <w:spacing w:after="0" w:line="360" w:lineRule="auto"/>
              <w:ind w:left="0" w:leftChars="0" w:right="0" w:rightChars="0" w:firstLine="0" w:firstLineChars="0"/>
              <w:contextualSpacing/>
              <w:jc w:val="center"/>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rPr>
              <w:t>（若招标文件有要求的）</w:t>
            </w:r>
          </w:p>
        </w:tc>
        <w:tc>
          <w:tcPr>
            <w:tcW w:w="7957" w:type="dxa"/>
            <w:noWrap w:val="0"/>
            <w:vAlign w:val="center"/>
          </w:tcPr>
          <w:p w14:paraId="37CAB8BB">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b w:val="0"/>
                <w:bCs w:val="0"/>
                <w:color w:val="auto"/>
                <w:sz w:val="24"/>
                <w:szCs w:val="24"/>
                <w:lang w:val="en-US" w:eastAsia="zh-CN"/>
              </w:rPr>
              <w:t>①</w:t>
            </w:r>
            <w:r>
              <w:rPr>
                <w:rFonts w:hint="eastAsia" w:ascii="宋体" w:hAnsi="宋体" w:eastAsia="宋体" w:cs="宋体"/>
                <w:snapToGrid w:val="0"/>
                <w:color w:val="auto"/>
                <w:kern w:val="0"/>
                <w:sz w:val="24"/>
                <w:szCs w:val="24"/>
                <w:highlight w:val="none"/>
                <w:lang w:val="en-US" w:eastAsia="zh-CN"/>
              </w:rPr>
              <w:t>节能环保产品</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中国政府采购网（http://www.ccgp.gov.cn/）、国家发展改革委网站（http://hzs.ndrc.gov.cn/）、国家</w:t>
            </w:r>
            <w:r>
              <w:rPr>
                <w:rFonts w:hint="eastAsia" w:ascii="宋体" w:hAnsi="宋体" w:eastAsia="宋体" w:cs="宋体"/>
                <w:snapToGrid w:val="0"/>
                <w:color w:val="auto"/>
                <w:kern w:val="0"/>
                <w:sz w:val="24"/>
                <w:szCs w:val="24"/>
                <w:highlight w:val="none"/>
                <w:lang w:eastAsia="zh-CN"/>
              </w:rPr>
              <w:t>生态环境部</w:t>
            </w:r>
            <w:r>
              <w:rPr>
                <w:rFonts w:hint="eastAsia" w:ascii="宋体" w:hAnsi="宋体" w:eastAsia="宋体" w:cs="宋体"/>
                <w:snapToGrid w:val="0"/>
                <w:color w:val="auto"/>
                <w:kern w:val="0"/>
                <w:sz w:val="24"/>
                <w:szCs w:val="24"/>
                <w:highlight w:val="none"/>
              </w:rPr>
              <w:t>网（http://www.sepa.gov.cn/）查阅、下载。</w:t>
            </w:r>
          </w:p>
          <w:p w14:paraId="2C26C4B2">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val="0"/>
                <w:bCs w:val="0"/>
                <w:color w:val="auto"/>
                <w:sz w:val="24"/>
                <w:szCs w:val="24"/>
                <w:lang w:val="en-US" w:eastAsia="zh-CN"/>
              </w:rPr>
              <w:t>②认证认可检验检测相关证书</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国家市场监督管理总局政务服务平台“</w:t>
            </w:r>
            <w:r>
              <w:rPr>
                <w:rFonts w:hint="eastAsia" w:ascii="宋体" w:hAnsi="宋体" w:eastAsia="宋体" w:cs="宋体"/>
                <w:b w:val="0"/>
                <w:bCs w:val="0"/>
                <w:color w:val="auto"/>
                <w:sz w:val="24"/>
                <w:szCs w:val="24"/>
                <w:lang w:val="en-US" w:eastAsia="zh-CN"/>
              </w:rPr>
              <w:t>认证认可检验检测</w:t>
            </w:r>
            <w:r>
              <w:rPr>
                <w:rFonts w:hint="eastAsia" w:ascii="宋体" w:hAnsi="宋体" w:eastAsia="宋体" w:cs="宋体"/>
                <w:snapToGrid w:val="0"/>
                <w:color w:val="auto"/>
                <w:kern w:val="0"/>
                <w:sz w:val="24"/>
                <w:szCs w:val="24"/>
                <w:highlight w:val="none"/>
                <w:lang w:val="en-US" w:eastAsia="zh-CN"/>
              </w:rPr>
              <w:t>”专栏（https://zwfw.samr.gov.cn/needSearch）</w:t>
            </w:r>
            <w:r>
              <w:rPr>
                <w:rFonts w:hint="eastAsia" w:ascii="宋体" w:hAnsi="宋体" w:eastAsia="宋体" w:cs="宋体"/>
                <w:snapToGrid w:val="0"/>
                <w:color w:val="auto"/>
                <w:kern w:val="0"/>
                <w:sz w:val="24"/>
                <w:szCs w:val="24"/>
                <w:highlight w:val="none"/>
              </w:rPr>
              <w:t>查阅、下载</w:t>
            </w:r>
            <w:r>
              <w:rPr>
                <w:rFonts w:hint="eastAsia" w:ascii="宋体" w:hAnsi="宋体" w:eastAsia="宋体" w:cs="宋体"/>
                <w:snapToGrid w:val="0"/>
                <w:color w:val="auto"/>
                <w:kern w:val="0"/>
                <w:sz w:val="24"/>
                <w:szCs w:val="24"/>
                <w:highlight w:val="none"/>
                <w:lang w:val="en-US" w:eastAsia="zh-CN"/>
              </w:rPr>
              <w:t>。</w:t>
            </w:r>
          </w:p>
          <w:p w14:paraId="369E375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③技能人才评价证书全国联网查询系统。</w:t>
            </w:r>
          </w:p>
          <w:p w14:paraId="6F25844F">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④中国高等教育学生信息网。</w:t>
            </w:r>
          </w:p>
          <w:p w14:paraId="59B82F39">
            <w:pPr>
              <w:pStyle w:val="683"/>
              <w:keepNext w:val="0"/>
              <w:keepLines w:val="0"/>
              <w:pageBreakBefore w:val="0"/>
              <w:widowControl w:val="0"/>
              <w:kinsoku/>
              <w:wordWrap w:val="0"/>
              <w:overflowPunct/>
              <w:topLinePunct/>
              <w:autoSpaceDE/>
              <w:autoSpaceDN/>
              <w:bidi w:val="0"/>
              <w:adjustRightInd/>
              <w:snapToGrid/>
              <w:spacing w:after="0" w:line="360" w:lineRule="auto"/>
              <w:ind w:right="0" w:rightChars="0" w:firstLine="240" w:firstLineChars="100"/>
              <w:contextualSpacing/>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⑤云南省建设监管公共服务平台等官方平台。</w:t>
            </w:r>
          </w:p>
        </w:tc>
      </w:tr>
      <w:tr w14:paraId="510DC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4E80C1E8">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文件的解释</w:t>
            </w:r>
          </w:p>
        </w:tc>
        <w:tc>
          <w:tcPr>
            <w:tcW w:w="7957" w:type="dxa"/>
            <w:noWrap w:val="0"/>
            <w:vAlign w:val="center"/>
          </w:tcPr>
          <w:p w14:paraId="3BEDDA1F">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文件中有特别规定外，仅适用于招标投标阶段的规定，按招标公告、</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w:t>
            </w:r>
            <w:r>
              <w:rPr>
                <w:rFonts w:hint="eastAsia" w:ascii="宋体" w:hAnsi="宋体" w:cs="宋体"/>
                <w:color w:val="auto"/>
                <w:sz w:val="24"/>
                <w:szCs w:val="24"/>
                <w:highlight w:val="none"/>
                <w:lang w:eastAsia="zh-CN"/>
              </w:rPr>
              <w:t>评审</w:t>
            </w:r>
            <w:r>
              <w:rPr>
                <w:rFonts w:hint="eastAsia" w:ascii="宋体" w:hAnsi="宋体" w:eastAsia="宋体" w:cs="宋体"/>
                <w:color w:val="auto"/>
                <w:sz w:val="24"/>
                <w:szCs w:val="24"/>
                <w:highlight w:val="none"/>
              </w:rPr>
              <w:t>办法、</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负责解释。</w:t>
            </w:r>
          </w:p>
        </w:tc>
      </w:tr>
      <w:tr w14:paraId="535C8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F2614A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szCs w:val="24"/>
              </w:rPr>
              <w:t>信用状况</w:t>
            </w:r>
          </w:p>
        </w:tc>
        <w:tc>
          <w:tcPr>
            <w:tcW w:w="7957" w:type="dxa"/>
            <w:noWrap w:val="0"/>
            <w:vAlign w:val="center"/>
          </w:tcPr>
          <w:p w14:paraId="566D986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在投标截止时间前</w:t>
            </w:r>
            <w:r>
              <w:rPr>
                <w:rFonts w:hint="eastAsia" w:ascii="宋体" w:hAnsi="宋体" w:eastAsia="宋体" w:cs="宋体"/>
                <w:b w:val="0"/>
                <w:bCs w:val="0"/>
                <w:color w:val="auto"/>
                <w:sz w:val="24"/>
                <w:szCs w:val="24"/>
                <w:lang w:val="en-US" w:eastAsia="zh-CN"/>
              </w:rPr>
              <w:t>未被列入“信用中国”网站（www.creditchina.gov.cn）失信被执行人、重大税收违法失信主体及中国政府采购网（www.ccgp.gov.cn）“政府采购严重违法失信行为信息记录”</w:t>
            </w:r>
            <w:r>
              <w:rPr>
                <w:rFonts w:hint="eastAsia" w:ascii="宋体" w:hAnsi="宋体" w:eastAsia="宋体" w:cs="宋体"/>
                <w:color w:val="auto"/>
                <w:sz w:val="24"/>
                <w:szCs w:val="24"/>
                <w:lang w:eastAsia="zh-CN"/>
              </w:rPr>
              <w:t xml:space="preserve"> （由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自行承诺，招标代理机构查询核实，上述网站信用信息查询结果的网页截图或网页打印稿作为证据留存）；</w:t>
            </w:r>
          </w:p>
          <w:p w14:paraId="631B0DF1">
            <w:pPr>
              <w:keepNext w:val="0"/>
              <w:keepLines w:val="0"/>
              <w:pageBreakBefore w:val="0"/>
              <w:widowControl w:val="0"/>
              <w:kinsoku/>
              <w:wordWrap w:val="0"/>
              <w:overflowPunct/>
              <w:topLinePunct/>
              <w:autoSpaceDE/>
              <w:autoSpaceDN/>
              <w:bidi w:val="0"/>
              <w:adjustRightInd/>
              <w:snapToGrid/>
              <w:spacing w:line="360" w:lineRule="auto"/>
              <w:ind w:right="0" w:firstLine="241" w:firstLineChars="1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color w:val="auto"/>
                <w:sz w:val="24"/>
                <w:szCs w:val="24"/>
                <w:lang w:eastAsia="zh-CN"/>
              </w:rPr>
              <w:t>失信信息材料，由</w:t>
            </w:r>
            <w:r>
              <w:rPr>
                <w:rFonts w:hint="eastAsia" w:ascii="宋体" w:hAnsi="宋体" w:eastAsia="宋体" w:cs="宋体"/>
                <w:b/>
                <w:bCs/>
                <w:color w:val="auto"/>
                <w:sz w:val="24"/>
                <w:szCs w:val="24"/>
                <w:lang w:val="en-US" w:eastAsia="zh-CN"/>
              </w:rPr>
              <w:t>采购人或</w:t>
            </w:r>
            <w:r>
              <w:rPr>
                <w:rFonts w:hint="eastAsia" w:ascii="宋体" w:hAnsi="宋体" w:eastAsia="宋体" w:cs="宋体"/>
                <w:b/>
                <w:bCs/>
                <w:color w:val="auto"/>
                <w:sz w:val="24"/>
                <w:szCs w:val="24"/>
                <w:lang w:eastAsia="zh-CN"/>
              </w:rPr>
              <w:t>招标（采购）代理机构负责查询</w:t>
            </w:r>
            <w:r>
              <w:rPr>
                <w:rFonts w:hint="eastAsia" w:ascii="宋体" w:hAnsi="宋体" w:eastAsia="宋体" w:cs="宋体"/>
                <w:b/>
                <w:bCs/>
                <w:color w:val="auto"/>
                <w:sz w:val="24"/>
                <w:szCs w:val="24"/>
                <w:lang w:val="en-US" w:eastAsia="zh-CN"/>
              </w:rPr>
              <w:t>并</w:t>
            </w:r>
            <w:r>
              <w:rPr>
                <w:rFonts w:hint="eastAsia" w:ascii="宋体" w:hAnsi="宋体" w:eastAsia="宋体" w:cs="宋体"/>
                <w:b/>
                <w:bCs/>
                <w:color w:val="auto"/>
                <w:sz w:val="24"/>
                <w:szCs w:val="24"/>
                <w:lang w:eastAsia="zh-CN"/>
              </w:rPr>
              <w:t>存档。</w:t>
            </w:r>
            <w:r>
              <w:rPr>
                <w:rFonts w:hint="eastAsia" w:ascii="宋体" w:hAnsi="宋体" w:eastAsia="宋体" w:cs="宋体"/>
                <w:b/>
                <w:bCs/>
                <w:color w:val="auto"/>
                <w:sz w:val="24"/>
                <w:szCs w:val="24"/>
                <w:lang w:val="en-US" w:eastAsia="zh-CN"/>
              </w:rPr>
              <w:t>对列入失信被执行人、重大税收违法失信主体、政府采购严重违法失信行为记录名单及其他不符合《中华人民共和国政府采购法》第二十二条规定条件的</w:t>
            </w:r>
            <w:r>
              <w:rPr>
                <w:rFonts w:hint="eastAsia" w:ascii="宋体" w:hAnsi="宋体" w:cs="宋体"/>
                <w:b/>
                <w:bCs/>
                <w:color w:val="auto"/>
                <w:sz w:val="24"/>
                <w:szCs w:val="24"/>
                <w:lang w:val="en-US" w:eastAsia="zh-CN"/>
              </w:rPr>
              <w:t>供应商</w:t>
            </w:r>
            <w:r>
              <w:rPr>
                <w:rFonts w:hint="eastAsia" w:ascii="宋体" w:hAnsi="宋体" w:eastAsia="宋体" w:cs="宋体"/>
                <w:b/>
                <w:bCs/>
                <w:color w:val="auto"/>
                <w:sz w:val="24"/>
                <w:szCs w:val="24"/>
                <w:lang w:val="en-US" w:eastAsia="zh-CN"/>
              </w:rPr>
              <w:t>，其投标将被拒绝</w:t>
            </w:r>
            <w:r>
              <w:rPr>
                <w:rFonts w:hint="eastAsia" w:ascii="宋体" w:hAnsi="宋体" w:eastAsia="宋体" w:cs="宋体"/>
                <w:b/>
                <w:bCs/>
                <w:color w:val="auto"/>
                <w:sz w:val="24"/>
                <w:szCs w:val="24"/>
                <w:lang w:eastAsia="zh-CN"/>
              </w:rPr>
              <w:t>。</w:t>
            </w:r>
          </w:p>
        </w:tc>
      </w:tr>
      <w:tr w14:paraId="7116F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16867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en-US" w:eastAsia="en-US" w:bidi="ar-SA"/>
              </w:rPr>
            </w:pPr>
            <w:r>
              <w:rPr>
                <w:rFonts w:hint="eastAsia" w:ascii="宋体" w:hAnsi="宋体" w:eastAsia="宋体" w:cs="宋体"/>
                <w:color w:val="auto"/>
                <w:sz w:val="24"/>
                <w:szCs w:val="24"/>
                <w:highlight w:val="none"/>
                <w:lang w:val="zh-CN"/>
              </w:rPr>
              <w:t>承诺提醒</w:t>
            </w:r>
          </w:p>
        </w:tc>
        <w:tc>
          <w:tcPr>
            <w:tcW w:w="7957" w:type="dxa"/>
            <w:noWrap w:val="0"/>
            <w:vAlign w:val="center"/>
          </w:tcPr>
          <w:p w14:paraId="762115B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zh-CN" w:eastAsia="zh-CN" w:bidi="ar-SA"/>
              </w:rPr>
              <w:t>关于</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针对本项目提出的相关资格或实质性要求的承诺（包括但不限于依法缴纳税收和社会保障资金），项目采购活动结束后，采购人或</w:t>
            </w:r>
            <w:r>
              <w:rPr>
                <w:rFonts w:hint="eastAsia" w:ascii="宋体" w:hAnsi="宋体" w:eastAsia="宋体" w:cs="宋体"/>
                <w:color w:val="auto"/>
                <w:kern w:val="2"/>
                <w:sz w:val="24"/>
                <w:szCs w:val="24"/>
                <w:highlight w:val="none"/>
                <w:lang w:val="en-US" w:eastAsia="zh-CN" w:bidi="ar-SA"/>
              </w:rPr>
              <w:t>采购</w:t>
            </w:r>
            <w:r>
              <w:rPr>
                <w:rFonts w:hint="eastAsia" w:ascii="宋体" w:hAnsi="宋体" w:eastAsia="宋体" w:cs="宋体"/>
                <w:color w:val="auto"/>
                <w:kern w:val="2"/>
                <w:sz w:val="24"/>
                <w:szCs w:val="24"/>
                <w:highlight w:val="none"/>
                <w:lang w:val="zh-CN" w:eastAsia="zh-CN" w:bidi="ar-SA"/>
              </w:rPr>
              <w:t>代理机构如有必要将核实</w:t>
            </w:r>
            <w:r>
              <w:rPr>
                <w:rFonts w:hint="eastAsia" w:cs="宋体"/>
                <w:color w:val="auto"/>
                <w:kern w:val="2"/>
                <w:sz w:val="24"/>
                <w:szCs w:val="24"/>
                <w:highlight w:val="none"/>
                <w:lang w:val="en-US" w:eastAsia="zh-CN" w:bidi="ar-SA"/>
              </w:rPr>
              <w:t>供应商</w:t>
            </w:r>
            <w:r>
              <w:rPr>
                <w:rFonts w:hint="eastAsia" w:ascii="宋体" w:hAnsi="宋体" w:eastAsia="宋体" w:cs="宋体"/>
                <w:color w:val="auto"/>
                <w:kern w:val="2"/>
                <w:sz w:val="24"/>
                <w:szCs w:val="24"/>
                <w:highlight w:val="none"/>
                <w:lang w:val="zh-CN" w:eastAsia="zh-CN" w:bidi="ar-SA"/>
              </w:rPr>
              <w:t>所作承诺真实性，如提供虚假承诺将报告监管部门严肃追究法律责任。</w:t>
            </w:r>
          </w:p>
        </w:tc>
      </w:tr>
      <w:tr w14:paraId="77AD9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DAB662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color w:val="auto"/>
                <w:sz w:val="24"/>
                <w:szCs w:val="24"/>
                <w:highlight w:val="none"/>
                <w:lang w:val="en-US" w:eastAsia="zh-CN"/>
              </w:rPr>
              <w:t>定义</w:t>
            </w:r>
          </w:p>
        </w:tc>
        <w:tc>
          <w:tcPr>
            <w:tcW w:w="7957" w:type="dxa"/>
            <w:noWrap w:val="0"/>
            <w:vAlign w:val="center"/>
          </w:tcPr>
          <w:p w14:paraId="0F9BA4D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en-US" w:eastAsia="zh-CN" w:bidi="ar"/>
              </w:rPr>
              <w:t>1、</w:t>
            </w:r>
            <w:r>
              <w:rPr>
                <w:rFonts w:hint="eastAsia" w:ascii="宋体" w:hAnsi="宋体" w:eastAsia="宋体" w:cs="宋体"/>
                <w:b/>
                <w:bCs/>
                <w:color w:val="auto"/>
                <w:kern w:val="0"/>
                <w:sz w:val="24"/>
                <w:szCs w:val="24"/>
                <w:lang w:bidi="ar"/>
              </w:rPr>
              <w:t>原件：</w:t>
            </w:r>
            <w:r>
              <w:rPr>
                <w:rFonts w:hint="eastAsia" w:ascii="宋体" w:hAnsi="宋体" w:eastAsia="宋体" w:cs="宋体"/>
                <w:color w:val="auto"/>
                <w:kern w:val="0"/>
                <w:sz w:val="24"/>
                <w:szCs w:val="24"/>
                <w:lang w:bidi="ar"/>
              </w:rPr>
              <w:t>最初产生的区别于复制件（或复印件）的原始文件或文件的原本。</w:t>
            </w:r>
          </w:p>
          <w:p w14:paraId="3712652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2、</w:t>
            </w:r>
            <w:r>
              <w:rPr>
                <w:rFonts w:hint="eastAsia" w:ascii="宋体" w:hAnsi="宋体" w:eastAsia="宋体" w:cs="宋体"/>
                <w:b/>
                <w:bCs/>
                <w:color w:val="auto"/>
                <w:kern w:val="0"/>
                <w:sz w:val="24"/>
                <w:szCs w:val="24"/>
                <w:lang w:bidi="ar"/>
              </w:rPr>
              <w:t>书面形式：</w:t>
            </w:r>
            <w:r>
              <w:rPr>
                <w:rFonts w:hint="eastAsia" w:ascii="宋体" w:hAnsi="宋体" w:eastAsia="宋体" w:cs="宋体"/>
                <w:color w:val="auto"/>
                <w:kern w:val="0"/>
                <w:sz w:val="24"/>
                <w:szCs w:val="24"/>
                <w:lang w:bidi="ar"/>
              </w:rPr>
              <w:t>包括文字的打印或复印件、传真、信函、电传、电报、电子邮件、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val="en-US" w:eastAsia="zh-CN"/>
              </w:rPr>
              <w:t>云南省政府采购网</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lang w:val="en-US" w:eastAsia="zh-CN"/>
              </w:rPr>
              <w:t>政府采购云平台</w:t>
            </w:r>
            <w:r>
              <w:rPr>
                <w:rFonts w:hint="eastAsia" w:ascii="宋体" w:hAnsi="宋体" w:eastAsia="宋体" w:cs="宋体"/>
                <w:color w:val="auto"/>
                <w:sz w:val="24"/>
                <w:szCs w:val="24"/>
                <w:lang w:eastAsia="zh-CN"/>
              </w:rPr>
              <w:t>》</w:t>
            </w:r>
            <w:r>
              <w:rPr>
                <w:rFonts w:hint="eastAsia" w:ascii="宋体" w:hAnsi="宋体" w:eastAsia="宋体" w:cs="宋体"/>
                <w:color w:val="auto"/>
                <w:kern w:val="0"/>
                <w:sz w:val="24"/>
                <w:szCs w:val="24"/>
                <w:lang w:bidi="ar"/>
              </w:rPr>
              <w:t>发布的公告等可以有形地表现所载内容的形式。</w:t>
            </w:r>
          </w:p>
          <w:p w14:paraId="145B06C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val="zh-CN" w:bidi="ar"/>
              </w:rPr>
            </w:pPr>
            <w:r>
              <w:rPr>
                <w:rFonts w:hint="eastAsia" w:ascii="宋体" w:hAnsi="宋体" w:eastAsia="宋体" w:cs="宋体"/>
                <w:b/>
                <w:bCs/>
                <w:color w:val="auto"/>
                <w:kern w:val="0"/>
                <w:sz w:val="24"/>
                <w:szCs w:val="24"/>
                <w:lang w:val="zh-CN" w:eastAsia="zh-CN" w:bidi="ar"/>
              </w:rPr>
              <w:t>3、</w:t>
            </w:r>
            <w:r>
              <w:rPr>
                <w:rFonts w:hint="eastAsia" w:ascii="宋体" w:hAnsi="宋体" w:eastAsia="宋体" w:cs="宋体"/>
                <w:b/>
                <w:bCs/>
                <w:color w:val="auto"/>
                <w:kern w:val="0"/>
                <w:sz w:val="24"/>
                <w:szCs w:val="24"/>
                <w:lang w:bidi="ar"/>
              </w:rPr>
              <w:t>证明文件的清晰度和可读性</w:t>
            </w:r>
            <w:r>
              <w:rPr>
                <w:rFonts w:hint="eastAsia" w:ascii="宋体" w:hAnsi="宋体" w:eastAsia="宋体" w:cs="宋体"/>
                <w:color w:val="auto"/>
                <w:kern w:val="0"/>
                <w:sz w:val="24"/>
                <w:szCs w:val="24"/>
                <w:lang w:bidi="ar"/>
              </w:rPr>
              <w:t>：</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所提供的证明文件应清晰、完整地表达信息，并保证文本和图表的清晰度和可读性。如果证明文件因未提供或因无法辨识确认无法正确表达信息、阅读困难等情况的发生，</w:t>
            </w:r>
            <w:r>
              <w:rPr>
                <w:rFonts w:hint="eastAsia" w:ascii="宋体" w:hAnsi="宋体" w:eastAsia="宋体" w:cs="宋体"/>
                <w:color w:val="auto"/>
                <w:sz w:val="24"/>
                <w:szCs w:val="24"/>
              </w:rPr>
              <w:t>则</w:t>
            </w:r>
            <w:r>
              <w:rPr>
                <w:rFonts w:hint="eastAsia" w:ascii="宋体" w:hAnsi="宋体" w:cs="宋体"/>
                <w:color w:val="auto"/>
                <w:sz w:val="24"/>
                <w:szCs w:val="24"/>
                <w:lang w:eastAsia="zh-CN"/>
              </w:rPr>
              <w:t>评审</w:t>
            </w:r>
            <w:r>
              <w:rPr>
                <w:rFonts w:hint="eastAsia" w:ascii="宋体" w:hAnsi="宋体" w:eastAsia="宋体" w:cs="宋体"/>
                <w:color w:val="auto"/>
                <w:sz w:val="24"/>
                <w:szCs w:val="24"/>
              </w:rPr>
              <w:t>委员会有权视具体情形评分时予以处理，乃至作出不利于</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的认定</w:t>
            </w:r>
            <w:r>
              <w:rPr>
                <w:rFonts w:hint="eastAsia" w:ascii="宋体" w:hAnsi="宋体" w:eastAsia="宋体" w:cs="宋体"/>
                <w:color w:val="auto"/>
                <w:kern w:val="0"/>
                <w:sz w:val="24"/>
                <w:szCs w:val="24"/>
                <w:lang w:bidi="ar"/>
              </w:rPr>
              <w:t>。（涉及商业秘密的可以做模糊处理）</w:t>
            </w:r>
          </w:p>
          <w:p w14:paraId="5D133B5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color w:val="auto"/>
                <w:kern w:val="0"/>
                <w:sz w:val="24"/>
                <w:szCs w:val="24"/>
                <w:lang w:bidi="ar"/>
              </w:rPr>
            </w:pPr>
            <w:r>
              <w:rPr>
                <w:rFonts w:hint="eastAsia" w:ascii="宋体" w:hAnsi="宋体" w:eastAsia="宋体" w:cs="宋体"/>
                <w:b/>
                <w:bCs/>
                <w:color w:val="auto"/>
                <w:kern w:val="0"/>
                <w:sz w:val="24"/>
                <w:szCs w:val="24"/>
                <w:lang w:val="zh-CN" w:eastAsia="zh-CN" w:bidi="ar"/>
              </w:rPr>
              <w:t>4、</w:t>
            </w:r>
            <w:r>
              <w:rPr>
                <w:rFonts w:hint="eastAsia" w:ascii="宋体" w:hAnsi="宋体" w:eastAsia="宋体" w:cs="宋体"/>
                <w:b/>
                <w:bCs/>
                <w:color w:val="auto"/>
                <w:kern w:val="0"/>
                <w:sz w:val="24"/>
                <w:szCs w:val="24"/>
                <w:lang w:bidi="ar"/>
              </w:rPr>
              <w:t>证明文件的完整性：</w:t>
            </w:r>
            <w:r>
              <w:rPr>
                <w:rFonts w:hint="eastAsia" w:ascii="宋体" w:hAnsi="宋体" w:cs="宋体"/>
                <w:color w:val="auto"/>
                <w:kern w:val="0"/>
                <w:sz w:val="24"/>
                <w:szCs w:val="24"/>
                <w:lang w:eastAsia="zh-CN" w:bidi="ar"/>
              </w:rPr>
              <w:t>供应商</w:t>
            </w:r>
            <w:r>
              <w:rPr>
                <w:rFonts w:hint="eastAsia" w:ascii="宋体" w:hAnsi="宋体" w:eastAsia="宋体" w:cs="宋体"/>
                <w:color w:val="auto"/>
                <w:kern w:val="0"/>
                <w:sz w:val="24"/>
                <w:szCs w:val="24"/>
                <w:lang w:bidi="ar"/>
              </w:rPr>
              <w:t>所提供的证明文件应保证文件完整，包括所有必要的页码和附件。如有多份复印件，应确保每份复制品均为完整的副本。</w:t>
            </w:r>
          </w:p>
          <w:p w14:paraId="5F9545A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firstLine="241" w:firstLineChars="100"/>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b/>
                <w:bCs/>
                <w:color w:val="auto"/>
                <w:kern w:val="0"/>
                <w:sz w:val="24"/>
                <w:szCs w:val="24"/>
                <w:lang w:val="zh-CN" w:eastAsia="zh-CN" w:bidi="ar"/>
              </w:rPr>
              <w:t>5、</w:t>
            </w:r>
            <w:r>
              <w:rPr>
                <w:rFonts w:hint="eastAsia" w:ascii="宋体" w:hAnsi="宋体" w:eastAsia="宋体" w:cs="宋体"/>
                <w:b/>
                <w:bCs/>
                <w:color w:val="auto"/>
                <w:kern w:val="0"/>
                <w:sz w:val="24"/>
                <w:szCs w:val="24"/>
                <w:lang w:val="en-US" w:eastAsia="zh-CN" w:bidi="ar"/>
              </w:rPr>
              <w:t>时限（年份、月份等）计算：</w:t>
            </w:r>
            <w:r>
              <w:rPr>
                <w:rFonts w:hint="eastAsia" w:ascii="宋体" w:hAnsi="宋体" w:eastAsia="宋体" w:cs="宋体"/>
                <w:color w:val="auto"/>
                <w:kern w:val="0"/>
                <w:sz w:val="24"/>
                <w:szCs w:val="24"/>
                <w:lang w:val="en-US" w:eastAsia="zh-CN" w:bidi="ar"/>
              </w:rPr>
              <w:t>系指从开标之日向前追溯X年/月（“X”为“一”及以后整数）起算。</w:t>
            </w:r>
          </w:p>
        </w:tc>
      </w:tr>
      <w:tr w14:paraId="4B532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B5D35A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2"/>
                <w:sz w:val="24"/>
                <w:szCs w:val="24"/>
                <w:highlight w:val="none"/>
                <w:lang w:val="zh-CN" w:eastAsia="zh-CN" w:bidi="ar-SA"/>
              </w:rPr>
            </w:pPr>
            <w:r>
              <w:rPr>
                <w:rFonts w:hint="eastAsia" w:ascii="宋体" w:hAnsi="宋体" w:eastAsia="宋体" w:cs="宋体"/>
                <w:b w:val="0"/>
                <w:bCs w:val="0"/>
                <w:color w:val="auto"/>
                <w:kern w:val="0"/>
                <w:sz w:val="24"/>
                <w:szCs w:val="24"/>
                <w:highlight w:val="none"/>
                <w:lang w:val="zh-CN"/>
              </w:rPr>
              <w:t>业绩要求</w:t>
            </w:r>
            <w:r>
              <w:rPr>
                <w:rFonts w:hint="eastAsia" w:ascii="宋体" w:hAnsi="宋体" w:eastAsia="宋体" w:cs="宋体"/>
                <w:b w:val="0"/>
                <w:bCs w:val="0"/>
                <w:color w:val="auto"/>
                <w:kern w:val="0"/>
                <w:sz w:val="24"/>
                <w:szCs w:val="24"/>
                <w:highlight w:val="none"/>
                <w:lang w:val="en-US" w:eastAsia="zh-CN"/>
              </w:rPr>
              <w:t>说明</w:t>
            </w:r>
          </w:p>
        </w:tc>
        <w:tc>
          <w:tcPr>
            <w:tcW w:w="7957" w:type="dxa"/>
            <w:noWrap w:val="0"/>
            <w:vAlign w:val="center"/>
          </w:tcPr>
          <w:p w14:paraId="1EA897B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bCs w:val="0"/>
                <w:color w:val="auto"/>
                <w:kern w:val="2"/>
                <w:sz w:val="24"/>
                <w:szCs w:val="24"/>
                <w:highlight w:val="none"/>
                <w:lang w:val="en-US" w:eastAsia="zh-CN"/>
              </w:rPr>
              <w:t>1、类似业绩：</w:t>
            </w:r>
          </w:p>
          <w:p w14:paraId="1398BB8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1）工程：结构形式、使用功能、建设规模相同或相近的项目</w:t>
            </w:r>
            <w:r>
              <w:rPr>
                <w:rFonts w:hint="eastAsia" w:ascii="宋体" w:hAnsi="宋体" w:cs="宋体"/>
                <w:b w:val="0"/>
                <w:bCs/>
                <w:color w:val="auto"/>
                <w:kern w:val="2"/>
                <w:sz w:val="24"/>
                <w:szCs w:val="24"/>
                <w:highlight w:val="none"/>
                <w:lang w:val="en-US" w:eastAsia="zh-CN"/>
              </w:rPr>
              <w:t>；</w:t>
            </w:r>
          </w:p>
          <w:p w14:paraId="737C02E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2）货物或设备类：与本项目采购标的物使用功能、应用范围、应用场景相同或相近的项目；</w:t>
            </w:r>
          </w:p>
          <w:p w14:paraId="13B87AA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b w:val="0"/>
                <w:bCs/>
                <w:color w:val="auto"/>
                <w:kern w:val="2"/>
                <w:sz w:val="24"/>
                <w:szCs w:val="24"/>
                <w:highlight w:val="none"/>
                <w:lang w:val="en-US" w:eastAsia="zh-CN"/>
              </w:rPr>
              <w:t>3）服务类：内容、质量、标准相同或相近的项目</w:t>
            </w:r>
            <w:r>
              <w:rPr>
                <w:rFonts w:hint="eastAsia" w:ascii="宋体" w:hAnsi="宋体" w:eastAsia="宋体" w:cs="宋体"/>
                <w:b w:val="0"/>
                <w:bCs/>
                <w:color w:val="auto"/>
                <w:kern w:val="2"/>
                <w:sz w:val="24"/>
                <w:szCs w:val="24"/>
                <w:highlight w:val="none"/>
              </w:rPr>
              <w:t>。</w:t>
            </w:r>
          </w:p>
          <w:p w14:paraId="61B5155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1" w:firstLineChars="100"/>
              <w:jc w:val="left"/>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rPr>
              <w:t>2、业绩证明文件的签署人</w:t>
            </w:r>
          </w:p>
          <w:p w14:paraId="31FD1CE3">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lang w:val="en-US" w:eastAsia="zh-CN"/>
              </w:rPr>
              <w:t>中标（成交）人必须</w:t>
            </w:r>
            <w:r>
              <w:rPr>
                <w:rFonts w:hint="eastAsia" w:ascii="宋体" w:hAnsi="宋体" w:eastAsia="宋体" w:cs="宋体"/>
                <w:color w:val="auto"/>
                <w:sz w:val="24"/>
                <w:szCs w:val="24"/>
                <w:highlight w:val="none"/>
                <w:lang w:eastAsia="zh-CN"/>
              </w:rPr>
              <w:t>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41F0E0D9">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highlight w:val="none"/>
              </w:rPr>
              <w:t>合同协议书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签署人一方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p>
          <w:p w14:paraId="61526A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
                <w:bCs/>
                <w:snapToGrid w:val="0"/>
                <w:color w:val="auto"/>
                <w:kern w:val="0"/>
                <w:sz w:val="24"/>
                <w:szCs w:val="24"/>
                <w:highlight w:val="none"/>
                <w:lang w:val="zh-CN" w:eastAsia="zh-CN" w:bidi="ar"/>
              </w:rPr>
            </w:pPr>
            <w:r>
              <w:rPr>
                <w:rFonts w:hint="eastAsia" w:ascii="宋体" w:hAnsi="宋体" w:eastAsia="宋体" w:cs="宋体"/>
                <w:color w:val="auto"/>
                <w:kern w:val="0"/>
                <w:sz w:val="24"/>
                <w:szCs w:val="24"/>
                <w:lang w:val="en-US" w:eastAsia="zh-CN" w:bidi="ar-SA"/>
              </w:rPr>
              <w:t>3）</w:t>
            </w:r>
            <w:r>
              <w:rPr>
                <w:rFonts w:hint="eastAsia" w:ascii="宋体" w:hAnsi="宋体" w:eastAsia="宋体" w:cs="宋体"/>
                <w:color w:val="auto"/>
                <w:sz w:val="24"/>
                <w:szCs w:val="24"/>
                <w:highlight w:val="none"/>
              </w:rPr>
              <w:t>验收证明文件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必须能体现出验收项目的实施主体（项目实施方</w:t>
            </w:r>
            <w:r>
              <w:rPr>
                <w:rFonts w:hint="eastAsia" w:ascii="宋体" w:hAnsi="宋体" w:eastAsia="宋体" w:cs="宋体"/>
                <w:color w:val="auto"/>
                <w:sz w:val="24"/>
                <w:szCs w:val="24"/>
                <w:highlight w:val="none"/>
                <w:lang w:eastAsia="zh-CN"/>
              </w:rPr>
              <w:t>必须为</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自身</w:t>
            </w:r>
            <w:r>
              <w:rPr>
                <w:rFonts w:hint="eastAsia" w:ascii="宋体" w:hAnsi="宋体" w:eastAsia="宋体" w:cs="宋体"/>
                <w:color w:val="auto"/>
                <w:sz w:val="24"/>
                <w:szCs w:val="24"/>
                <w:highlight w:val="none"/>
                <w:lang w:val="en-US" w:eastAsia="zh-CN"/>
              </w:rPr>
              <w:t>）及双方信息及产品信息</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有效证明文件</w:t>
            </w:r>
            <w:r>
              <w:rPr>
                <w:rFonts w:hint="eastAsia" w:ascii="宋体" w:hAnsi="宋体" w:eastAsia="宋体" w:cs="宋体"/>
                <w:bCs/>
                <w:color w:val="auto"/>
                <w:kern w:val="2"/>
                <w:sz w:val="24"/>
                <w:szCs w:val="24"/>
                <w:highlight w:val="none"/>
              </w:rPr>
              <w:t>。</w:t>
            </w:r>
          </w:p>
        </w:tc>
      </w:tr>
      <w:tr w14:paraId="20D19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177C6F65">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val="0"/>
                <w:bCs w:val="0"/>
                <w:snapToGrid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进口产品的说明</w:t>
            </w:r>
          </w:p>
        </w:tc>
        <w:tc>
          <w:tcPr>
            <w:tcW w:w="7957" w:type="dxa"/>
            <w:noWrap w:val="0"/>
            <w:vAlign w:val="center"/>
          </w:tcPr>
          <w:p w14:paraId="39F12CF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1、进口产品是指通过中国海关报关验放进入中国境内且产自关境外的产品</w:t>
            </w:r>
            <w:r>
              <w:rPr>
                <w:rFonts w:hint="eastAsia" w:ascii="宋体" w:hAnsi="宋体" w:eastAsia="宋体" w:cs="宋体"/>
                <w:bCs/>
                <w:color w:val="auto"/>
                <w:kern w:val="2"/>
                <w:sz w:val="24"/>
                <w:szCs w:val="24"/>
                <w:highlight w:val="none"/>
                <w:lang w:val="en-US" w:eastAsia="zh-CN"/>
              </w:rPr>
              <w:t>。</w:t>
            </w:r>
          </w:p>
          <w:p w14:paraId="0BD93992">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lang w:val="en-US" w:eastAsia="zh-CN" w:bidi="ar-SA"/>
              </w:rPr>
              <w:t>2、</w:t>
            </w:r>
            <w:r>
              <w:rPr>
                <w:rFonts w:hint="eastAsia" w:ascii="宋体" w:hAnsi="宋体" w:eastAsia="宋体" w:cs="宋体"/>
                <w:bCs/>
                <w:color w:val="auto"/>
                <w:kern w:val="2"/>
                <w:sz w:val="24"/>
                <w:szCs w:val="24"/>
                <w:highlight w:val="none"/>
                <w:lang w:val="en-US" w:eastAsia="zh-CN"/>
              </w:rPr>
              <w:t>零配件全部进口或者部分进口，在国内组装成成品的产品不属于进口产品。国内组装后一般会贴上国内的品牌，属于国产产品。</w:t>
            </w:r>
          </w:p>
          <w:p w14:paraId="74EF40F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bCs/>
                <w:snapToGrid w:val="0"/>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rPr>
              <w:t>注：不涉及采购进口产品时，</w:t>
            </w:r>
            <w:r>
              <w:rPr>
                <w:rFonts w:hint="eastAsia" w:ascii="宋体" w:hAnsi="宋体" w:cs="宋体"/>
                <w:bCs/>
                <w:color w:val="auto"/>
                <w:kern w:val="2"/>
                <w:sz w:val="24"/>
                <w:szCs w:val="24"/>
                <w:highlight w:val="none"/>
                <w:lang w:val="en-US" w:eastAsia="zh-CN"/>
              </w:rPr>
              <w:t>供应商</w:t>
            </w:r>
            <w:r>
              <w:rPr>
                <w:rFonts w:hint="eastAsia" w:ascii="宋体" w:hAnsi="宋体" w:eastAsia="宋体" w:cs="宋体"/>
                <w:bCs/>
                <w:color w:val="auto"/>
                <w:kern w:val="2"/>
                <w:sz w:val="24"/>
                <w:szCs w:val="24"/>
                <w:highlight w:val="none"/>
                <w:lang w:val="en-US" w:eastAsia="zh-CN"/>
              </w:rPr>
              <w:t>不得提供进口产品进行响应；涉及采购进口产品时，如国产产品满足采购需求，也可提供国产产品进行响应。</w:t>
            </w:r>
          </w:p>
        </w:tc>
      </w:tr>
      <w:tr w14:paraId="2408F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33CFA222">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zh-CN" w:eastAsia="en-US" w:bidi="ar-SA"/>
              </w:rPr>
            </w:pPr>
            <w:r>
              <w:rPr>
                <w:rFonts w:hint="eastAsia" w:ascii="宋体" w:hAnsi="宋体" w:eastAsia="宋体" w:cs="宋体"/>
                <w:color w:val="auto"/>
                <w:sz w:val="24"/>
                <w:szCs w:val="24"/>
                <w:lang w:val="en-US" w:eastAsia="zh-CN"/>
              </w:rPr>
              <w:t>其他</w:t>
            </w:r>
          </w:p>
        </w:tc>
        <w:tc>
          <w:tcPr>
            <w:tcW w:w="7957" w:type="dxa"/>
            <w:noWrap w:val="0"/>
            <w:vAlign w:val="center"/>
          </w:tcPr>
          <w:p w14:paraId="45D04760">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、中标人所签订的合同不得对招标文件确定的事项和中标人的投标文件做实质性修改。</w:t>
            </w:r>
          </w:p>
          <w:p w14:paraId="3CB8C7E5">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、合同终止条件：</w:t>
            </w:r>
          </w:p>
          <w:p w14:paraId="65723246">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（1）违反相关法律法规、医疗行业准则规定、疫情防控管理规定以及违反采购人单位相关管理规定；</w:t>
            </w:r>
          </w:p>
          <w:p w14:paraId="1EED6CF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（2）未按中标人投标文件中相关承诺履行约定；</w:t>
            </w:r>
          </w:p>
          <w:p w14:paraId="3EDBF304">
            <w:pPr>
              <w:pStyle w:val="28"/>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eastAsia="zh-CN"/>
              </w:rPr>
              <w:t>（3）采购人将在采购合同签订前对中标人投标文件中提供的所有认证资料进行真实性核验，发现存在弄虚作假的情况。因上述合同终止条件导致合同终止的，采购人将追究中标人给采购人造成的一切经济损失和法律责任。</w:t>
            </w:r>
          </w:p>
        </w:tc>
      </w:tr>
      <w:tr w14:paraId="018A7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271" w:type="dxa"/>
            <w:noWrap w:val="0"/>
            <w:vAlign w:val="center"/>
          </w:tcPr>
          <w:p w14:paraId="2C9808F1">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sz w:val="24"/>
                <w:szCs w:val="24"/>
                <w:lang w:val="en-US" w:eastAsia="zh-CN"/>
              </w:rPr>
              <w:t>采购活动中串通投标行为认定</w:t>
            </w:r>
          </w:p>
        </w:tc>
        <w:tc>
          <w:tcPr>
            <w:tcW w:w="7957" w:type="dxa"/>
            <w:noWrap w:val="0"/>
            <w:vAlign w:val="center"/>
          </w:tcPr>
          <w:p w14:paraId="17DDB944">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根据《政府采购货物和服务招标投标管理办法》（财政部令第87号）第三十七条规定有下列情形之一的，视为</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串通投标，其投标无效： </w:t>
            </w:r>
          </w:p>
          <w:p w14:paraId="4A280783">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的投标文件由同一单位或者个人编制； </w:t>
            </w:r>
          </w:p>
          <w:p w14:paraId="302DC7E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委托同一单位或者个人办理投标事宜； </w:t>
            </w:r>
          </w:p>
          <w:p w14:paraId="6DEC7F1C">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（三）不同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的投标文件载明的项目管理成员或者联系人员为同一人； </w:t>
            </w:r>
          </w:p>
          <w:p w14:paraId="3F6CDF99">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（四）不同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的投标文件异常一致或者投标报价呈规律性差异； </w:t>
            </w:r>
          </w:p>
          <w:p w14:paraId="076B8251">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（五）不同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 xml:space="preserve">的投标文件相互混装； </w:t>
            </w:r>
          </w:p>
          <w:p w14:paraId="2B31D14E">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（六）不同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的投标保证金从同一单位或者个人的账户转出；</w:t>
            </w:r>
          </w:p>
          <w:p w14:paraId="5029FEC8">
            <w:pPr>
              <w:keepNext w:val="0"/>
              <w:keepLines w:val="0"/>
              <w:pageBreakBefore w:val="0"/>
              <w:widowControl w:val="0"/>
              <w:suppressLineNumbers w:val="0"/>
              <w:kinsoku/>
              <w:wordWrap w:val="0"/>
              <w:overflowPunct/>
              <w:topLinePunct/>
              <w:autoSpaceDE/>
              <w:autoSpaceDN/>
              <w:bidi w:val="0"/>
              <w:adjustRightInd/>
              <w:snapToGrid/>
              <w:spacing w:line="360" w:lineRule="auto"/>
              <w:ind w:right="0" w:firstLine="240" w:firstLineChars="100"/>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color w:val="auto"/>
                <w:kern w:val="0"/>
                <w:sz w:val="24"/>
                <w:szCs w:val="24"/>
                <w:lang w:val="en-US" w:eastAsia="zh-CN" w:bidi="ar"/>
              </w:rPr>
              <w:t>（七）不同</w:t>
            </w:r>
            <w:r>
              <w:rPr>
                <w:rFonts w:hint="eastAsia" w:ascii="宋体" w:hAnsi="宋体" w:cs="宋体"/>
                <w:color w:val="auto"/>
                <w:kern w:val="0"/>
                <w:sz w:val="24"/>
                <w:szCs w:val="24"/>
                <w:lang w:val="en-US" w:eastAsia="zh-CN" w:bidi="ar"/>
              </w:rPr>
              <w:t>供应商</w:t>
            </w:r>
            <w:r>
              <w:rPr>
                <w:rFonts w:hint="eastAsia" w:ascii="宋体" w:hAnsi="宋体" w:eastAsia="宋体" w:cs="宋体"/>
                <w:color w:val="auto"/>
                <w:kern w:val="0"/>
                <w:sz w:val="24"/>
                <w:szCs w:val="24"/>
                <w:lang w:val="en-US" w:eastAsia="zh-CN" w:bidi="ar"/>
              </w:rPr>
              <w:t>的电子投标文件在同一台电脑上编制（芯片序列号、硬盘序列号、网卡序列号一致，视为由同一台电脑编制）、加密或者上传。</w:t>
            </w:r>
          </w:p>
        </w:tc>
      </w:tr>
      <w:bookmarkEnd w:id="338"/>
      <w:bookmarkEnd w:id="339"/>
      <w:bookmarkEnd w:id="340"/>
    </w:tbl>
    <w:p w14:paraId="1CA9D2F1">
      <w:pPr>
        <w:rPr>
          <w:rStyle w:val="90"/>
          <w:rFonts w:hint="eastAsia" w:ascii="宋体" w:hAnsi="宋体" w:eastAsia="宋体" w:cs="宋体"/>
          <w:b/>
          <w:color w:val="auto"/>
          <w:sz w:val="24"/>
          <w:szCs w:val="24"/>
          <w:lang w:eastAsia="zh-CN"/>
        </w:rPr>
      </w:pPr>
      <w:bookmarkStart w:id="343" w:name="_Toc10319"/>
      <w:bookmarkStart w:id="344" w:name="_Toc6126"/>
      <w:bookmarkStart w:id="345" w:name="_Toc17164"/>
      <w:r>
        <w:rPr>
          <w:rStyle w:val="90"/>
          <w:rFonts w:hint="eastAsia" w:ascii="宋体" w:hAnsi="宋体" w:eastAsia="宋体" w:cs="宋体"/>
          <w:b/>
          <w:color w:val="auto"/>
          <w:sz w:val="24"/>
          <w:szCs w:val="24"/>
          <w:lang w:eastAsia="zh-CN"/>
        </w:rPr>
        <w:br w:type="page"/>
      </w:r>
    </w:p>
    <w:p w14:paraId="08975AC6">
      <w:pPr>
        <w:pStyle w:val="4"/>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jc w:val="left"/>
        <w:textAlignment w:val="auto"/>
        <w:outlineLvl w:val="1"/>
        <w:rPr>
          <w:rFonts w:hint="eastAsia" w:ascii="宋体" w:hAnsi="宋体" w:eastAsia="宋体" w:cs="宋体"/>
          <w:b w:val="0"/>
          <w:color w:val="auto"/>
          <w:sz w:val="24"/>
          <w:szCs w:val="24"/>
          <w:lang w:eastAsia="zh-CN"/>
        </w:rPr>
      </w:pPr>
      <w:bookmarkStart w:id="346" w:name="_Toc7736"/>
      <w:r>
        <w:rPr>
          <w:rStyle w:val="90"/>
          <w:rFonts w:hint="eastAsia" w:ascii="宋体" w:hAnsi="宋体" w:eastAsia="宋体" w:cs="宋体"/>
          <w:b/>
          <w:color w:val="auto"/>
          <w:sz w:val="24"/>
          <w:szCs w:val="24"/>
          <w:lang w:eastAsia="zh-CN"/>
        </w:rPr>
        <w:t>1.总则</w:t>
      </w:r>
      <w:bookmarkEnd w:id="343"/>
      <w:bookmarkEnd w:id="344"/>
      <w:bookmarkEnd w:id="345"/>
      <w:bookmarkEnd w:id="346"/>
    </w:p>
    <w:p w14:paraId="45898B66">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47" w:name="_Toc20450"/>
      <w:bookmarkStart w:id="348" w:name="_Toc11393"/>
      <w:bookmarkStart w:id="349" w:name="_Toc28724"/>
      <w:bookmarkStart w:id="350" w:name="_Toc11829"/>
      <w:bookmarkStart w:id="351" w:name="_Toc2994"/>
      <w:bookmarkStart w:id="352" w:name="_Toc4972"/>
      <w:bookmarkStart w:id="353" w:name="_Toc30363"/>
      <w:bookmarkStart w:id="354" w:name="_Toc10540"/>
      <w:bookmarkStart w:id="355" w:name="_Toc28388"/>
      <w:bookmarkStart w:id="356" w:name="_Toc7505"/>
      <w:bookmarkStart w:id="357" w:name="_Toc12259"/>
      <w:bookmarkStart w:id="358" w:name="_Toc25216"/>
      <w:bookmarkStart w:id="359" w:name="_Toc19352"/>
      <w:bookmarkStart w:id="360" w:name="_Toc5151"/>
      <w:bookmarkStart w:id="361" w:name="_Toc26624"/>
      <w:bookmarkStart w:id="362" w:name="_Toc4997"/>
      <w:bookmarkStart w:id="363" w:name="_Toc17929"/>
      <w:bookmarkStart w:id="364" w:name="_Toc8677"/>
      <w:bookmarkStart w:id="365" w:name="_Toc25047"/>
      <w:bookmarkStart w:id="366" w:name="_Toc24748"/>
      <w:bookmarkStart w:id="367" w:name="_Toc5937"/>
      <w:bookmarkStart w:id="368" w:name="_Toc31784"/>
      <w:r>
        <w:rPr>
          <w:rFonts w:hint="eastAsia" w:ascii="宋体" w:hAnsi="宋体" w:eastAsia="宋体" w:cs="宋体"/>
          <w:b/>
          <w:color w:val="auto"/>
          <w:sz w:val="24"/>
          <w:szCs w:val="24"/>
          <w:lang w:eastAsia="zh-CN"/>
        </w:rPr>
        <w:t>1.1招标项目概况</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4B649A9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1.1.1本项目招标文件的编制依据《中华人民共和国政府采购法》《中华人民共和国政府采购法实施条例》《政府采购货物和服务招标投标管理办法》（财政部令第87号）</w:t>
      </w:r>
      <w:r>
        <w:rPr>
          <w:rFonts w:hint="default" w:ascii="Arial" w:hAnsi="Arial" w:eastAsia="宋体" w:cs="Arial"/>
          <w:color w:val="auto"/>
          <w:sz w:val="24"/>
          <w:szCs w:val="24"/>
        </w:rPr>
        <w:t>和其他有关法律法规规定</w:t>
      </w:r>
      <w:r>
        <w:rPr>
          <w:rFonts w:hint="eastAsia" w:ascii="Arial" w:hAnsi="Arial" w:eastAsia="宋体" w:cs="Arial"/>
          <w:color w:val="auto"/>
          <w:sz w:val="24"/>
          <w:szCs w:val="24"/>
          <w:lang w:eastAsia="zh-CN"/>
        </w:rPr>
        <w:t>。</w:t>
      </w:r>
      <w:r>
        <w:rPr>
          <w:rFonts w:hint="eastAsia" w:ascii="宋体" w:hAnsi="宋体" w:cs="宋体"/>
          <w:color w:val="auto"/>
          <w:sz w:val="24"/>
          <w:szCs w:val="24"/>
          <w:lang w:val="en-US" w:eastAsia="zh-CN"/>
        </w:rPr>
        <w:t>本项目已具备招标条件，现对本项目进行公开招标。</w:t>
      </w:r>
    </w:p>
    <w:p w14:paraId="56F43CD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采购人：见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48BB48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采购代理机构：见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C214A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招标项目名称：见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5EA5A1D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项目编号：见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E590EBD">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69" w:name="_Toc1907"/>
      <w:bookmarkStart w:id="370" w:name="_Toc27860"/>
      <w:bookmarkStart w:id="371" w:name="_Toc1579"/>
      <w:bookmarkStart w:id="372" w:name="_Toc22798"/>
      <w:bookmarkStart w:id="373" w:name="_Toc14906"/>
      <w:bookmarkStart w:id="374" w:name="_Toc10795"/>
      <w:bookmarkStart w:id="375" w:name="_Toc14895"/>
      <w:bookmarkStart w:id="376" w:name="_Toc24585"/>
      <w:bookmarkStart w:id="377" w:name="_Toc5547"/>
      <w:bookmarkStart w:id="378" w:name="_Toc2667"/>
      <w:bookmarkStart w:id="379" w:name="_Toc21449"/>
      <w:bookmarkStart w:id="380" w:name="_Toc29148"/>
      <w:bookmarkStart w:id="381" w:name="_Toc26037"/>
      <w:bookmarkStart w:id="382" w:name="_Toc27350"/>
      <w:bookmarkStart w:id="383" w:name="_Toc19870"/>
      <w:bookmarkStart w:id="384" w:name="_Toc5838"/>
      <w:bookmarkStart w:id="385" w:name="_Toc26046"/>
      <w:bookmarkStart w:id="386" w:name="_Toc25905"/>
      <w:bookmarkStart w:id="387" w:name="_Toc18791"/>
      <w:bookmarkStart w:id="388" w:name="_Toc7591"/>
      <w:bookmarkStart w:id="389" w:name="_Toc13912"/>
      <w:bookmarkStart w:id="390" w:name="_Toc15621"/>
      <w:r>
        <w:rPr>
          <w:rFonts w:hint="eastAsia" w:ascii="宋体" w:hAnsi="宋体" w:eastAsia="宋体" w:cs="宋体"/>
          <w:b/>
          <w:color w:val="auto"/>
          <w:sz w:val="24"/>
          <w:szCs w:val="24"/>
          <w:lang w:eastAsia="zh-CN"/>
        </w:rPr>
        <w:t>1.2 招标项目的资金落实情况</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0488271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1.2.1资金落实情况：见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962D07F">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391" w:name="_Toc22370"/>
      <w:bookmarkStart w:id="392" w:name="_Toc20603"/>
      <w:bookmarkStart w:id="393" w:name="_Toc17172"/>
      <w:bookmarkStart w:id="394" w:name="_Toc31621"/>
      <w:bookmarkStart w:id="395" w:name="_Toc16965"/>
      <w:bookmarkStart w:id="396" w:name="_Toc25328"/>
      <w:bookmarkStart w:id="397" w:name="_Toc13143"/>
      <w:bookmarkStart w:id="398" w:name="_Toc7228"/>
      <w:bookmarkStart w:id="399" w:name="_Toc2850"/>
      <w:bookmarkStart w:id="400" w:name="_Toc16529"/>
      <w:bookmarkStart w:id="401" w:name="_Toc2692"/>
      <w:bookmarkStart w:id="402" w:name="_Toc9708"/>
      <w:bookmarkStart w:id="403" w:name="_Toc4088"/>
      <w:bookmarkStart w:id="404" w:name="_Toc21032"/>
      <w:bookmarkStart w:id="405" w:name="_Toc10032"/>
      <w:bookmarkStart w:id="406" w:name="_Toc25994"/>
      <w:bookmarkStart w:id="407" w:name="_Toc21441"/>
      <w:bookmarkStart w:id="408" w:name="_Toc24610"/>
      <w:bookmarkStart w:id="409" w:name="_Toc32663"/>
      <w:bookmarkStart w:id="410" w:name="_Toc454"/>
      <w:bookmarkStart w:id="411" w:name="_Toc2407"/>
      <w:bookmarkStart w:id="412" w:name="_Toc4879"/>
      <w:r>
        <w:rPr>
          <w:rFonts w:hint="eastAsia" w:ascii="宋体" w:hAnsi="宋体" w:eastAsia="宋体" w:cs="宋体"/>
          <w:b/>
          <w:color w:val="auto"/>
          <w:sz w:val="24"/>
          <w:szCs w:val="24"/>
          <w:lang w:eastAsia="zh-CN"/>
        </w:rPr>
        <w:t>1.3采购内容、交货（交付）期、交货地点</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37925B8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1.3.1采购内容：见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358E64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1.3.2交货（交付）期：见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7AAA9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1.3.3交货地点：见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1A39EB0A">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13" w:name="_Toc6787"/>
      <w:bookmarkStart w:id="414" w:name="_Toc20228"/>
      <w:bookmarkStart w:id="415" w:name="_Toc32705"/>
      <w:bookmarkStart w:id="416" w:name="_Toc26537"/>
      <w:bookmarkStart w:id="417" w:name="_Toc16728"/>
      <w:bookmarkStart w:id="418" w:name="_Toc29374"/>
      <w:bookmarkStart w:id="419" w:name="_Toc28834"/>
      <w:bookmarkStart w:id="420" w:name="_Toc2570"/>
      <w:bookmarkStart w:id="421" w:name="_Toc15995"/>
      <w:bookmarkStart w:id="422" w:name="_Toc6135"/>
      <w:bookmarkStart w:id="423" w:name="_Toc1922"/>
      <w:bookmarkStart w:id="424" w:name="_Toc16869"/>
      <w:bookmarkStart w:id="425" w:name="_Toc27499"/>
      <w:bookmarkStart w:id="426" w:name="_Toc10286"/>
      <w:bookmarkStart w:id="427" w:name="_Toc13389"/>
      <w:bookmarkStart w:id="428" w:name="_Toc26132"/>
      <w:bookmarkStart w:id="429" w:name="_Toc23809"/>
      <w:bookmarkStart w:id="430" w:name="_Toc31477"/>
      <w:bookmarkStart w:id="431" w:name="_Toc11304"/>
      <w:bookmarkStart w:id="432" w:name="_Toc11505"/>
      <w:bookmarkStart w:id="433" w:name="_Toc839"/>
      <w:bookmarkStart w:id="434" w:name="_Toc6203"/>
      <w:r>
        <w:rPr>
          <w:rFonts w:hint="eastAsia" w:ascii="宋体" w:hAnsi="宋体" w:eastAsia="宋体" w:cs="宋体"/>
          <w:b/>
          <w:color w:val="auto"/>
          <w:sz w:val="24"/>
          <w:szCs w:val="24"/>
          <w:lang w:eastAsia="zh-CN"/>
        </w:rPr>
        <w:t>1.4</w:t>
      </w:r>
      <w:r>
        <w:rPr>
          <w:rFonts w:hint="eastAsia" w:cs="宋体"/>
          <w:b/>
          <w:color w:val="auto"/>
          <w:sz w:val="24"/>
          <w:szCs w:val="24"/>
          <w:lang w:eastAsia="zh-CN"/>
        </w:rPr>
        <w:t>供应商</w:t>
      </w:r>
      <w:r>
        <w:rPr>
          <w:rFonts w:hint="eastAsia" w:ascii="宋体" w:hAnsi="宋体" w:eastAsia="宋体" w:cs="宋体"/>
          <w:b/>
          <w:color w:val="auto"/>
          <w:sz w:val="24"/>
          <w:szCs w:val="24"/>
          <w:lang w:eastAsia="zh-CN"/>
        </w:rPr>
        <w:t>的资格要求</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C27D0E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应具备承担本项目的资质条件、能力和信誉，详见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p>
    <w:p w14:paraId="7D6A05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，不得参加同一合同项下的政府采购活动。</w:t>
      </w:r>
    </w:p>
    <w:p w14:paraId="29698C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须知前附表规定接受联合体投标的，联合体除应符合本章第 1.4.1项和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须知前附表的要求外，还应遵守以下规定：</w:t>
      </w:r>
    </w:p>
    <w:p w14:paraId="13A0EE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 联合体中有同类资质的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按照联合体分工承担相同工作的，应当按照资质等级较低的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确定资质等级；</w:t>
      </w:r>
    </w:p>
    <w:p w14:paraId="5ED5D4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（2）联合体各方之间应当签订共同投标协议，明确约定联合体各方承担的工作和相应的责任；</w:t>
      </w:r>
    </w:p>
    <w:p w14:paraId="79239E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（3）以联合体形式参加政府采购活动的，联合体各方不得再单独参加或者与其他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另外组成联合体参加同一项目包下的政府采购活动。</w:t>
      </w:r>
    </w:p>
    <w:p w14:paraId="742014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1.4.4 符合上述条件的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应承担投标及履约中应承担的全部责任与义务。</w:t>
      </w:r>
    </w:p>
    <w:p w14:paraId="17E2C5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须知前附表”中说明本项目属于政府购买服务的，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不得为公益一类事业单位或使用事业编制且由财政拨款保障的群团组织。</w:t>
      </w:r>
    </w:p>
    <w:p w14:paraId="49E6F79D">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35" w:name="_Toc6086"/>
      <w:bookmarkStart w:id="436" w:name="_Toc18843"/>
      <w:bookmarkStart w:id="437" w:name="_Toc11452"/>
      <w:bookmarkStart w:id="438" w:name="_Toc30847"/>
      <w:bookmarkStart w:id="439" w:name="_Toc31561"/>
      <w:bookmarkStart w:id="440" w:name="_Toc3595"/>
      <w:bookmarkStart w:id="441" w:name="_Toc14229"/>
      <w:bookmarkStart w:id="442" w:name="_Toc32664"/>
      <w:bookmarkStart w:id="443" w:name="_Toc28370"/>
      <w:bookmarkStart w:id="444" w:name="_Toc13961"/>
      <w:bookmarkStart w:id="445" w:name="_Toc25861"/>
      <w:bookmarkStart w:id="446" w:name="_Toc5116"/>
      <w:bookmarkStart w:id="447" w:name="_Toc28440"/>
      <w:bookmarkStart w:id="448" w:name="_Toc32133"/>
      <w:bookmarkStart w:id="449" w:name="_Toc2358"/>
      <w:bookmarkStart w:id="450" w:name="_Toc18306"/>
      <w:bookmarkStart w:id="451" w:name="_Toc26079"/>
      <w:bookmarkStart w:id="452" w:name="_Toc21908"/>
      <w:bookmarkStart w:id="453" w:name="_Toc6352"/>
      <w:bookmarkStart w:id="454" w:name="_Toc3338"/>
      <w:bookmarkStart w:id="455" w:name="_Toc10256"/>
      <w:bookmarkStart w:id="456" w:name="_Toc30868"/>
      <w:r>
        <w:rPr>
          <w:rFonts w:hint="eastAsia" w:ascii="宋体" w:hAnsi="宋体" w:eastAsia="宋体" w:cs="宋体"/>
          <w:b/>
          <w:color w:val="auto"/>
          <w:sz w:val="24"/>
          <w:szCs w:val="24"/>
          <w:lang w:eastAsia="zh-CN"/>
        </w:rPr>
        <w:t>1.5 费用承担</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2997DD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准备和参加投标活动发生的费用自理。</w:t>
      </w:r>
    </w:p>
    <w:p w14:paraId="13A78721">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57" w:name="_Toc8483"/>
      <w:bookmarkStart w:id="458" w:name="_Toc25967"/>
      <w:bookmarkStart w:id="459" w:name="_Toc3783"/>
      <w:bookmarkStart w:id="460" w:name="_Toc8583"/>
      <w:bookmarkStart w:id="461" w:name="_Toc30343"/>
      <w:bookmarkStart w:id="462" w:name="_Toc18097"/>
      <w:bookmarkStart w:id="463" w:name="_Toc928"/>
      <w:bookmarkStart w:id="464" w:name="_Toc27057"/>
      <w:bookmarkStart w:id="465" w:name="_Toc5813"/>
      <w:bookmarkStart w:id="466" w:name="_Toc25767"/>
      <w:bookmarkStart w:id="467" w:name="_Toc11828"/>
      <w:bookmarkStart w:id="468" w:name="_Toc7556"/>
      <w:bookmarkStart w:id="469" w:name="_Toc20627"/>
      <w:bookmarkStart w:id="470" w:name="_Toc7272"/>
      <w:bookmarkStart w:id="471" w:name="_Toc857"/>
      <w:bookmarkStart w:id="472" w:name="_Toc24178"/>
      <w:bookmarkStart w:id="473" w:name="_Toc29575"/>
      <w:bookmarkStart w:id="474" w:name="_Toc1944"/>
      <w:bookmarkStart w:id="475" w:name="_Toc23055"/>
      <w:bookmarkStart w:id="476" w:name="_Toc9507"/>
      <w:bookmarkStart w:id="477" w:name="_Toc2313"/>
      <w:r>
        <w:rPr>
          <w:rFonts w:hint="eastAsia" w:ascii="宋体" w:hAnsi="宋体" w:eastAsia="宋体" w:cs="宋体"/>
          <w:b/>
          <w:color w:val="auto"/>
          <w:sz w:val="24"/>
          <w:szCs w:val="24"/>
          <w:lang w:eastAsia="zh-CN"/>
        </w:rPr>
        <w:t>1.6 保密</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53D081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参与招标投标活动的各方应对招标文件和投标文件中的商业和技术等秘密保密，否则应承担相应的法律责任。</w:t>
      </w:r>
    </w:p>
    <w:p w14:paraId="352F444D">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478" w:name="_Toc16975"/>
      <w:bookmarkStart w:id="479" w:name="_Toc5854"/>
      <w:bookmarkStart w:id="480" w:name="_Toc5725"/>
      <w:bookmarkStart w:id="481" w:name="_Toc9442"/>
      <w:bookmarkStart w:id="482" w:name="_Toc22591"/>
      <w:bookmarkStart w:id="483" w:name="_Toc6466"/>
      <w:bookmarkStart w:id="484" w:name="_Toc21486"/>
      <w:bookmarkStart w:id="485" w:name="_Toc9524"/>
      <w:bookmarkStart w:id="486" w:name="_Toc10922"/>
      <w:bookmarkStart w:id="487" w:name="_Toc27110"/>
      <w:bookmarkStart w:id="488" w:name="_Toc3687"/>
      <w:bookmarkStart w:id="489" w:name="_Toc3928"/>
      <w:bookmarkStart w:id="490" w:name="_Toc32490"/>
      <w:bookmarkStart w:id="491" w:name="_Toc20998"/>
      <w:bookmarkStart w:id="492" w:name="_Toc811"/>
      <w:bookmarkStart w:id="493" w:name="_Toc29830"/>
      <w:bookmarkStart w:id="494" w:name="_Toc31613"/>
      <w:bookmarkStart w:id="495" w:name="_Toc8871"/>
      <w:bookmarkStart w:id="496" w:name="_Toc17610"/>
      <w:bookmarkStart w:id="497" w:name="_Toc256"/>
      <w:bookmarkStart w:id="498" w:name="_Toc2621"/>
      <w:bookmarkStart w:id="499" w:name="_Toc10480"/>
      <w:r>
        <w:rPr>
          <w:rFonts w:hint="eastAsia" w:ascii="宋体" w:hAnsi="宋体" w:eastAsia="宋体" w:cs="宋体"/>
          <w:b/>
          <w:color w:val="auto"/>
          <w:sz w:val="24"/>
          <w:szCs w:val="24"/>
          <w:lang w:eastAsia="zh-CN"/>
        </w:rPr>
        <w:t>1.7 语言文字</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391EEC4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招标投标文件使用的语言文字为中文。专用术语使用外文的，应附有中文注释。</w:t>
      </w:r>
    </w:p>
    <w:p w14:paraId="5C20AF73">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00" w:name="_Toc23380"/>
      <w:bookmarkStart w:id="501" w:name="_Toc22395"/>
      <w:bookmarkStart w:id="502" w:name="_Toc12926"/>
      <w:bookmarkStart w:id="503" w:name="_Toc20253"/>
      <w:bookmarkStart w:id="504" w:name="_Toc22415"/>
      <w:bookmarkStart w:id="505" w:name="_Toc17561"/>
      <w:bookmarkStart w:id="506" w:name="_Toc31209"/>
      <w:bookmarkStart w:id="507" w:name="_Toc31199"/>
      <w:bookmarkStart w:id="508" w:name="_Toc10576"/>
      <w:bookmarkStart w:id="509" w:name="_Toc21141"/>
      <w:bookmarkStart w:id="510" w:name="_Toc20190"/>
      <w:bookmarkStart w:id="511" w:name="_Toc16553"/>
      <w:bookmarkStart w:id="512" w:name="_Toc20725"/>
      <w:bookmarkStart w:id="513" w:name="_Toc29552"/>
      <w:bookmarkStart w:id="514" w:name="_Toc1223"/>
      <w:bookmarkStart w:id="515" w:name="_Toc14680"/>
      <w:bookmarkStart w:id="516" w:name="_Toc25862"/>
      <w:bookmarkStart w:id="517" w:name="_Toc31122"/>
      <w:bookmarkStart w:id="518" w:name="_Toc15102"/>
      <w:bookmarkStart w:id="519" w:name="_Toc25549"/>
      <w:bookmarkStart w:id="520" w:name="_Toc13338"/>
      <w:bookmarkStart w:id="521" w:name="_Toc11399"/>
      <w:r>
        <w:rPr>
          <w:rFonts w:hint="eastAsia" w:ascii="宋体" w:hAnsi="宋体" w:eastAsia="宋体" w:cs="宋体"/>
          <w:b/>
          <w:color w:val="auto"/>
          <w:sz w:val="24"/>
          <w:szCs w:val="24"/>
          <w:lang w:eastAsia="zh-CN"/>
        </w:rPr>
        <w:t>1.8计量单位</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2ADCF75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所有计量均采用中华人民共和国法定计量单位。</w:t>
      </w:r>
    </w:p>
    <w:p w14:paraId="6BA360B4">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22" w:name="_Toc22543"/>
      <w:bookmarkStart w:id="523" w:name="_Toc2646"/>
      <w:bookmarkStart w:id="524" w:name="_Toc24638"/>
      <w:bookmarkStart w:id="525" w:name="_Toc11784"/>
      <w:bookmarkStart w:id="526" w:name="_Toc6804"/>
      <w:bookmarkStart w:id="527" w:name="_Toc1620"/>
      <w:bookmarkStart w:id="528" w:name="_Toc22241"/>
      <w:bookmarkStart w:id="529" w:name="_Toc6122"/>
      <w:bookmarkStart w:id="530" w:name="_Toc29177"/>
      <w:bookmarkStart w:id="531" w:name="_Toc27195"/>
      <w:bookmarkStart w:id="532" w:name="_Toc21697"/>
      <w:bookmarkStart w:id="533" w:name="_Toc22185"/>
      <w:bookmarkStart w:id="534" w:name="_Toc29970"/>
      <w:bookmarkStart w:id="535" w:name="_Toc4273"/>
      <w:bookmarkStart w:id="536" w:name="_Toc1905"/>
      <w:bookmarkStart w:id="537" w:name="_Toc29795"/>
      <w:bookmarkStart w:id="538" w:name="_Toc16241"/>
      <w:bookmarkStart w:id="539" w:name="_Toc15215"/>
      <w:bookmarkStart w:id="540" w:name="_Toc5985"/>
      <w:bookmarkStart w:id="541" w:name="_Toc6908"/>
      <w:bookmarkStart w:id="542" w:name="_Toc28456"/>
      <w:bookmarkStart w:id="543" w:name="_Toc15315"/>
      <w:r>
        <w:rPr>
          <w:rFonts w:hint="eastAsia" w:ascii="宋体" w:hAnsi="宋体" w:eastAsia="宋体" w:cs="宋体"/>
          <w:b/>
          <w:color w:val="auto"/>
          <w:sz w:val="24"/>
          <w:szCs w:val="24"/>
          <w:lang w:eastAsia="zh-CN"/>
        </w:rPr>
        <w:t>1.9分包</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161BE70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拟在中标后将中标项目的非主体设备进行分包的，应符合</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须知前附表规定的分包内容、分包金额和资质要求等限制性条件，除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须知前附表规定的非主体设备外，其他工作不得分包。</w:t>
      </w:r>
    </w:p>
    <w:p w14:paraId="0B1FA42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1.9.2中标人不得向他人转让中标项目，接受分包的人不得再次分包。中标人应当就分包项目向采购人负责，接受分包的人就分包项目承担连带责任。</w:t>
      </w:r>
    </w:p>
    <w:p w14:paraId="71121A24">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44" w:name="_Toc31669"/>
      <w:bookmarkStart w:id="545" w:name="_Toc22191"/>
      <w:bookmarkStart w:id="546" w:name="_Toc27148"/>
      <w:bookmarkStart w:id="547" w:name="_Toc15212"/>
      <w:bookmarkStart w:id="548" w:name="_Toc28861"/>
      <w:bookmarkStart w:id="549" w:name="_Toc9064"/>
      <w:bookmarkStart w:id="550" w:name="_Toc5137"/>
      <w:bookmarkStart w:id="551" w:name="_Toc10485"/>
      <w:bookmarkStart w:id="552" w:name="_Toc15890"/>
      <w:bookmarkStart w:id="553" w:name="_Toc25705"/>
      <w:bookmarkStart w:id="554" w:name="_Toc9154"/>
      <w:bookmarkStart w:id="555" w:name="_Toc10272"/>
      <w:bookmarkStart w:id="556" w:name="_Toc25782"/>
      <w:bookmarkStart w:id="557" w:name="_Toc4895"/>
      <w:bookmarkStart w:id="558" w:name="_Toc2015"/>
      <w:bookmarkStart w:id="559" w:name="_Toc28180"/>
      <w:bookmarkStart w:id="560" w:name="_Toc23429"/>
      <w:bookmarkStart w:id="561" w:name="_Toc19077"/>
      <w:bookmarkStart w:id="562" w:name="_Toc23186"/>
      <w:bookmarkStart w:id="563" w:name="_Toc9244"/>
      <w:bookmarkStart w:id="564" w:name="_Toc28908"/>
      <w:bookmarkStart w:id="565" w:name="_Toc49"/>
      <w:r>
        <w:rPr>
          <w:rFonts w:hint="eastAsia" w:ascii="宋体" w:hAnsi="宋体" w:eastAsia="宋体" w:cs="宋体"/>
          <w:b/>
          <w:color w:val="auto"/>
          <w:sz w:val="24"/>
          <w:szCs w:val="24"/>
          <w:lang w:eastAsia="zh-CN"/>
        </w:rPr>
        <w:t>1.10 质疑和投诉</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4799D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bookmarkStart w:id="566" w:name="_Toc88646734"/>
      <w:bookmarkStart w:id="567" w:name="_Toc88638760"/>
      <w:r>
        <w:rPr>
          <w:rFonts w:hint="eastAsia" w:ascii="宋体" w:hAnsi="宋体" w:eastAsia="宋体" w:cs="宋体"/>
          <w:color w:val="auto"/>
          <w:kern w:val="2"/>
          <w:sz w:val="24"/>
          <w:szCs w:val="24"/>
          <w:lang w:eastAsia="zh-CN"/>
        </w:rPr>
        <w:t>1.10.1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认为采购文件、采购过程、中标或者成交结果使自己的合法权益受到损害的，在知道或者应知其权益受到损害之日起7个工作日内，可以向采购人、采购代理机构提出质疑。</w:t>
      </w:r>
    </w:p>
    <w:p w14:paraId="4B815C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“知道或者应知其权益受到损害之日”是指：</w:t>
      </w:r>
      <w:r>
        <w:rPr>
          <w:rFonts w:hint="eastAsia" w:ascii="宋体" w:hAnsi="宋体" w:eastAsia="宋体" w:cs="宋体"/>
          <w:b/>
          <w:bCs/>
          <w:color w:val="auto"/>
          <w:kern w:val="2"/>
          <w:sz w:val="24"/>
          <w:szCs w:val="24"/>
          <w:lang w:eastAsia="zh-CN"/>
        </w:rPr>
        <w:tab/>
      </w:r>
    </w:p>
    <w:p w14:paraId="2B14DA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（一）对可以质疑的采购文件提出质疑的，为收到采购文件之日或者采购文件公告期限届满之日；</w:t>
      </w:r>
    </w:p>
    <w:p w14:paraId="379EF4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（二）对采购过程提出质疑的，为各采购程序环节结束之日；</w:t>
      </w:r>
    </w:p>
    <w:p w14:paraId="6FABC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（三）对中标或者成交结果提出质疑的，为中标或者成交结果公告期限届满之日。</w:t>
      </w:r>
    </w:p>
    <w:p w14:paraId="5350CF1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针对同一采购程序环节的质疑应当在法定质疑期内一次性提出，提出质疑时应当有明确的请求和必要的证明材料。</w:t>
      </w:r>
    </w:p>
    <w:p w14:paraId="46AB9A8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对采购人、采购代理机构的答复不满意或者采购人、采购代理机构未在规定的时间内作出答复的，可以在答复期满后15个工作日内向行政监督部门提出投诉，但</w:t>
      </w:r>
      <w:r>
        <w:rPr>
          <w:rFonts w:hint="eastAsia" w:ascii="宋体" w:hAnsi="宋体" w:eastAsia="宋体" w:cs="宋体"/>
          <w:color w:val="auto"/>
          <w:sz w:val="24"/>
          <w:szCs w:val="24"/>
          <w:lang w:eastAsia="zh-CN"/>
        </w:rPr>
        <w:t>投诉人必须首先经过质疑程序。</w:t>
      </w:r>
    </w:p>
    <w:p w14:paraId="42A6EB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bookmarkStart w:id="568" w:name="_Toc144646680"/>
      <w:bookmarkStart w:id="569" w:name="_Toc145067578"/>
      <w:r>
        <w:rPr>
          <w:rFonts w:hint="eastAsia" w:ascii="宋体" w:hAnsi="宋体" w:eastAsia="宋体" w:cs="宋体"/>
          <w:color w:val="auto"/>
          <w:kern w:val="2"/>
          <w:sz w:val="24"/>
          <w:szCs w:val="24"/>
          <w:lang w:eastAsia="zh-CN"/>
        </w:rPr>
        <w:t>1.10.2</w:t>
      </w:r>
      <w:bookmarkEnd w:id="568"/>
      <w:bookmarkEnd w:id="569"/>
      <w:bookmarkStart w:id="570" w:name="_Toc144646686"/>
      <w:bookmarkStart w:id="571" w:name="_Toc145067584"/>
      <w:r>
        <w:rPr>
          <w:rFonts w:hint="eastAsia" w:ascii="宋体" w:hAnsi="宋体" w:eastAsia="宋体" w:cs="宋体"/>
          <w:color w:val="auto"/>
          <w:kern w:val="2"/>
          <w:sz w:val="24"/>
          <w:szCs w:val="24"/>
          <w:lang w:val="en-US" w:eastAsia="zh-CN"/>
        </w:rPr>
        <w:t>本项目实行全流程电子化交易和在线监督，</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询问、质疑可通过线上方式进行，也可采用线下纸质书面方式进行。</w:t>
      </w:r>
    </w:p>
    <w:p w14:paraId="42A3F5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1.10.3根据系统功能和要求，直接参与具体项目交易的</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可线上询问、质疑，使用CA数字证书通过“政采云”平台（https://www.zcygov.cn/）“</w:t>
      </w:r>
      <w:r>
        <w:rPr>
          <w:rFonts w:hint="eastAsia" w:ascii="宋体" w:hAnsi="宋体" w:cs="宋体"/>
          <w:color w:val="auto"/>
          <w:kern w:val="2"/>
          <w:sz w:val="24"/>
          <w:szCs w:val="24"/>
          <w:lang w:val="en-US" w:eastAsia="zh-CN"/>
        </w:rPr>
        <w:t>供应商</w:t>
      </w:r>
      <w:r>
        <w:rPr>
          <w:rFonts w:hint="eastAsia" w:ascii="宋体" w:hAnsi="宋体" w:eastAsia="宋体" w:cs="宋体"/>
          <w:color w:val="auto"/>
          <w:kern w:val="2"/>
          <w:sz w:val="24"/>
          <w:szCs w:val="24"/>
          <w:lang w:val="en-US" w:eastAsia="zh-CN"/>
        </w:rPr>
        <w:t>”模块进行提交。</w:t>
      </w:r>
    </w:p>
    <w:p w14:paraId="7425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1.10.4采购人及采购代理机构对线上询问、质疑的，采用线上方式进行受理答复，对采用线下询问、质疑的，采用线下方式进行受理答复。</w:t>
      </w:r>
    </w:p>
    <w:p w14:paraId="5275FD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val="en-US" w:eastAsia="zh-CN"/>
        </w:rPr>
        <w:t>1.10.5就同一内容同时进行线上询问、质疑和提交纸质询问、质疑的，以线上答复为主，通过在线答复后不再进行书面答复。</w:t>
      </w:r>
    </w:p>
    <w:bookmarkEnd w:id="570"/>
    <w:bookmarkEnd w:id="571"/>
    <w:p w14:paraId="0AAA49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lang w:eastAsia="zh-CN"/>
        </w:rPr>
        <w:t>质疑内容不得含有虚假、恶意成分。当事人对自己提出的主张，有责任提供证据，提出质疑时应同时提交相关证据材料和注明事实的确切来源。</w:t>
      </w:r>
    </w:p>
    <w:p w14:paraId="0674AA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1.10.</w:t>
      </w:r>
      <w:r>
        <w:rPr>
          <w:rFonts w:hint="eastAsia" w:ascii="宋体" w:hAnsi="宋体" w:eastAsia="宋体" w:cs="宋体"/>
          <w:color w:val="auto"/>
          <w:kern w:val="2"/>
          <w:sz w:val="24"/>
          <w:szCs w:val="24"/>
          <w:lang w:val="en-US" w:eastAsia="zh-CN"/>
        </w:rPr>
        <w:t>7</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提供的质疑函应符合中华人民共和国财政部第94号令《政府采购质疑和投诉办法》的规定。</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提供的质疑函（质疑函应当使用中文。相关当事人提供外文书证或者外国语视听资料的，应当附有中文译本，由翻译机构盖章或者翻译人员签名）应当包括以下主要内容：</w:t>
      </w:r>
    </w:p>
    <w:p w14:paraId="358680C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（1）</w:t>
      </w: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lang w:eastAsia="zh-CN"/>
        </w:rPr>
        <w:t>的姓名或者名称、地址、邮编、联系人及联系电话；</w:t>
      </w:r>
    </w:p>
    <w:p w14:paraId="167C3C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（2）质疑项目的名称、编号；</w:t>
      </w:r>
    </w:p>
    <w:p w14:paraId="5ECD68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（3）具体、明确的质疑事项和与质疑事项相关的请求；</w:t>
      </w:r>
    </w:p>
    <w:p w14:paraId="029A3F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（4）事实依据；</w:t>
      </w:r>
    </w:p>
    <w:p w14:paraId="14EE71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（5）必要的法律依据；</w:t>
      </w:r>
    </w:p>
    <w:p w14:paraId="34CE0E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（6）提出质疑的日期。</w:t>
      </w:r>
    </w:p>
    <w:p w14:paraId="50C4B78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1.10.7</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为自然人的，应当由本人签字；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为法人或者其他组织的，应当由法定代表人、主要负责人，或者其授权代表签字或者盖章，并加盖公章。</w:t>
      </w:r>
    </w:p>
    <w:p w14:paraId="4AB412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质疑书实行实名制，并提交由法定代表人或其授权代理人签字并加盖单位章的原件。</w:t>
      </w:r>
    </w:p>
    <w:p w14:paraId="56EE09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接收质疑函的方式：</w:t>
      </w:r>
      <w:r>
        <w:rPr>
          <w:rFonts w:hint="eastAsia" w:ascii="宋体" w:hAnsi="宋体" w:eastAsia="宋体" w:cs="宋体"/>
          <w:b w:val="0"/>
          <w:bCs w:val="0"/>
          <w:color w:val="auto"/>
          <w:sz w:val="24"/>
          <w:szCs w:val="24"/>
          <w:u w:val="none"/>
          <w:lang w:eastAsia="zh-CN"/>
        </w:rPr>
        <w:t>书面方式</w:t>
      </w:r>
      <w:r>
        <w:rPr>
          <w:rFonts w:hint="eastAsia" w:ascii="宋体" w:hAnsi="宋体" w:eastAsia="宋体" w:cs="宋体"/>
          <w:b w:val="0"/>
          <w:bCs w:val="0"/>
          <w:color w:val="auto"/>
          <w:sz w:val="24"/>
          <w:szCs w:val="24"/>
          <w:lang w:eastAsia="zh-CN"/>
        </w:rPr>
        <w:t>；</w:t>
      </w:r>
    </w:p>
    <w:p w14:paraId="4708164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接收质疑函的部门：</w:t>
      </w:r>
      <w:r>
        <w:rPr>
          <w:rFonts w:hint="eastAsia" w:ascii="宋体" w:hAnsi="宋体" w:cs="宋体"/>
          <w:b w:val="0"/>
          <w:bCs w:val="0"/>
          <w:color w:val="auto"/>
          <w:sz w:val="24"/>
          <w:szCs w:val="24"/>
          <w:lang w:eastAsia="zh-CN"/>
        </w:rPr>
        <w:t>楚雄腾凯工程项目管理有限公司</w:t>
      </w:r>
    </w:p>
    <w:p w14:paraId="0A068C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联系人：</w:t>
      </w:r>
      <w:r>
        <w:rPr>
          <w:rFonts w:hint="eastAsia" w:ascii="宋体" w:hAnsi="宋体" w:cs="宋体"/>
          <w:b w:val="0"/>
          <w:bCs w:val="0"/>
          <w:color w:val="auto"/>
          <w:sz w:val="24"/>
          <w:szCs w:val="24"/>
          <w:lang w:eastAsia="zh-CN"/>
        </w:rPr>
        <w:t>袁海</w:t>
      </w:r>
    </w:p>
    <w:p w14:paraId="35CCEE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联系电话：</w:t>
      </w:r>
      <w:r>
        <w:rPr>
          <w:rFonts w:hint="eastAsia" w:ascii="宋体" w:hAnsi="宋体" w:cs="宋体"/>
          <w:b w:val="0"/>
          <w:bCs w:val="0"/>
          <w:color w:val="auto"/>
          <w:sz w:val="24"/>
          <w:szCs w:val="24"/>
          <w:lang w:val="en-US" w:eastAsia="zh-CN"/>
        </w:rPr>
        <w:t>13638701730</w:t>
      </w:r>
    </w:p>
    <w:p w14:paraId="0765B4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通讯地址：南华县龙川镇两旗书苑52号</w:t>
      </w:r>
    </w:p>
    <w:p w14:paraId="3FFD728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1.10.8采购人、采购代理机构将在收到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的书面质疑后七个工作日内作出答复，并以书面形式通知质疑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和其他有关</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，质疑答复的内容不涉及商业秘密。</w:t>
      </w:r>
    </w:p>
    <w:p w14:paraId="29355D6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1.10.9参与政府采购活动的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对评审过程、中标或者成交结果提出质疑的，采购人或采购代理机构可以组织原</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委员会协助答复质疑事项，并依据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委员会出具的意见进行答复。质疑答复导致中标结果改变的，采购人或采购代理机构应当将相关情况书面报财政部门备案。</w:t>
      </w:r>
    </w:p>
    <w:p w14:paraId="678AF93A">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24"/>
          <w:szCs w:val="24"/>
          <w:lang w:eastAsia="zh-CN"/>
        </w:rPr>
      </w:pPr>
      <w:bookmarkStart w:id="572" w:name="_Toc12223"/>
      <w:bookmarkStart w:id="573" w:name="_Toc27601"/>
      <w:bookmarkStart w:id="574" w:name="_Toc28699"/>
      <w:r>
        <w:rPr>
          <w:rFonts w:hint="eastAsia" w:ascii="宋体" w:hAnsi="宋体" w:eastAsia="宋体" w:cs="宋体"/>
          <w:color w:val="auto"/>
          <w:sz w:val="24"/>
          <w:szCs w:val="24"/>
          <w:lang w:eastAsia="zh-CN"/>
        </w:rPr>
        <w:t>2.招标文件</w:t>
      </w:r>
      <w:bookmarkEnd w:id="566"/>
      <w:bookmarkEnd w:id="567"/>
      <w:bookmarkEnd w:id="572"/>
      <w:bookmarkEnd w:id="573"/>
      <w:bookmarkEnd w:id="574"/>
    </w:p>
    <w:p w14:paraId="70B9CB92">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75" w:name="_Toc27846"/>
      <w:bookmarkStart w:id="576" w:name="_Toc11244"/>
      <w:bookmarkStart w:id="577" w:name="_Toc9382"/>
      <w:bookmarkStart w:id="578" w:name="_Toc22220"/>
      <w:bookmarkStart w:id="579" w:name="_Toc31399"/>
      <w:bookmarkStart w:id="580" w:name="_Toc9308"/>
      <w:bookmarkStart w:id="581" w:name="_Toc21640"/>
      <w:bookmarkStart w:id="582" w:name="_Toc10780"/>
      <w:bookmarkStart w:id="583" w:name="_Toc21745"/>
      <w:bookmarkStart w:id="584" w:name="_Toc23607"/>
      <w:bookmarkStart w:id="585" w:name="_Toc17407"/>
      <w:bookmarkStart w:id="586" w:name="_Toc23648"/>
      <w:bookmarkStart w:id="587" w:name="_Toc27618"/>
      <w:bookmarkStart w:id="588" w:name="_Toc28238"/>
      <w:bookmarkStart w:id="589" w:name="_Toc15978"/>
      <w:bookmarkStart w:id="590" w:name="_Toc26425"/>
      <w:bookmarkStart w:id="591" w:name="_Toc9505"/>
      <w:bookmarkStart w:id="592" w:name="_Toc28399"/>
      <w:bookmarkStart w:id="593" w:name="_Toc24733"/>
      <w:bookmarkStart w:id="594" w:name="_Toc28133"/>
      <w:r>
        <w:rPr>
          <w:rFonts w:hint="eastAsia" w:ascii="宋体" w:hAnsi="宋体" w:eastAsia="宋体" w:cs="宋体"/>
          <w:b/>
          <w:color w:val="auto"/>
          <w:sz w:val="24"/>
          <w:szCs w:val="24"/>
          <w:lang w:eastAsia="zh-CN"/>
        </w:rPr>
        <w:t>2.1  招标文件的组成</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673D31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本招标文件包括：</w:t>
      </w:r>
    </w:p>
    <w:p w14:paraId="256F420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（1）招标公告；</w:t>
      </w:r>
    </w:p>
    <w:p w14:paraId="64C4D9F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w:t>
      </w:r>
    </w:p>
    <w:p w14:paraId="1850C39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评审办法（综合评分法）</w:t>
      </w:r>
      <w:r>
        <w:rPr>
          <w:rFonts w:hint="eastAsia" w:ascii="宋体" w:hAnsi="宋体" w:eastAsia="宋体" w:cs="宋体"/>
          <w:color w:val="auto"/>
          <w:sz w:val="24"/>
          <w:szCs w:val="24"/>
          <w:lang w:eastAsia="zh-CN"/>
        </w:rPr>
        <w:t>；</w:t>
      </w:r>
    </w:p>
    <w:p w14:paraId="2058FB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lang w:val="en-US" w:eastAsia="zh-CN"/>
        </w:rPr>
        <w:t>采购需求及要求</w:t>
      </w:r>
      <w:r>
        <w:rPr>
          <w:rFonts w:hint="eastAsia" w:ascii="宋体" w:hAnsi="宋体" w:eastAsia="宋体" w:cs="宋体"/>
          <w:color w:val="auto"/>
          <w:sz w:val="24"/>
          <w:szCs w:val="24"/>
          <w:lang w:eastAsia="zh-CN"/>
        </w:rPr>
        <w:t>；</w:t>
      </w:r>
    </w:p>
    <w:p w14:paraId="633831B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（5）合同条款及格式；</w:t>
      </w:r>
    </w:p>
    <w:p w14:paraId="208C7D4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（6）投标文件格式。</w:t>
      </w:r>
    </w:p>
    <w:p w14:paraId="4387A39B">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6E644E1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根据本章第2.2款和第2.3款对招标文件所做的澄清、修改，构成招标文件的组成部分。</w:t>
      </w:r>
    </w:p>
    <w:p w14:paraId="0D85CB54">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595" w:name="_Toc11705"/>
      <w:bookmarkStart w:id="596" w:name="_Toc14958"/>
      <w:bookmarkStart w:id="597" w:name="_Toc10577"/>
      <w:bookmarkStart w:id="598" w:name="_Toc24400"/>
      <w:bookmarkStart w:id="599" w:name="_Toc25886"/>
      <w:bookmarkStart w:id="600" w:name="_Toc19223"/>
      <w:bookmarkStart w:id="601" w:name="_Toc26410"/>
      <w:bookmarkStart w:id="602" w:name="_Toc3087"/>
      <w:bookmarkStart w:id="603" w:name="_Toc24194"/>
      <w:bookmarkStart w:id="604" w:name="_Toc29275"/>
      <w:bookmarkStart w:id="605" w:name="_Toc11680"/>
      <w:bookmarkStart w:id="606" w:name="_Toc16956"/>
      <w:bookmarkStart w:id="607" w:name="_Toc29981"/>
      <w:bookmarkStart w:id="608" w:name="_Toc3457"/>
      <w:bookmarkStart w:id="609" w:name="_Toc19056"/>
      <w:bookmarkStart w:id="610" w:name="_Toc31280"/>
      <w:bookmarkStart w:id="611" w:name="_Toc542"/>
      <w:bookmarkStart w:id="612" w:name="_Toc32350"/>
      <w:bookmarkStart w:id="613" w:name="_Toc31231"/>
      <w:bookmarkStart w:id="614" w:name="_Toc26568"/>
      <w:bookmarkStart w:id="615" w:name="_Toc20487"/>
      <w:r>
        <w:rPr>
          <w:rFonts w:hint="eastAsia" w:ascii="宋体" w:hAnsi="宋体" w:eastAsia="宋体" w:cs="宋体"/>
          <w:b/>
          <w:color w:val="auto"/>
          <w:sz w:val="24"/>
          <w:szCs w:val="24"/>
          <w:lang w:eastAsia="zh-CN"/>
        </w:rPr>
        <w:t>2.2  招标文件的澄清</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98F1F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2.2.1任何要求对招标文件进行澄清的潜在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，均以书面形式通知采购代理机构。采购代理机构收到的对招标文件的澄清要求均以书面形式予以答复，同时将书面答复通知每个</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lang w:eastAsia="zh-CN"/>
        </w:rPr>
        <w:t>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，答复中包括所问问题，但不包括问题的来源；逾期提交的疑问问题将不予回答。</w:t>
      </w:r>
    </w:p>
    <w:p w14:paraId="621F65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2.2.2　澄清或者修改的内容可能影响投标文件编制的，采购人或者采购代理机构应当在投标截止时间至少15日前，以书面形式通知所有获取招标文件的潜在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；不足15日的，采购人或者采购代理机构应当顺延提交投标文件的截止时间。</w:t>
      </w:r>
    </w:p>
    <w:p w14:paraId="4D53E74D">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16" w:name="_Toc17326"/>
      <w:bookmarkStart w:id="617" w:name="_Toc9425"/>
      <w:bookmarkStart w:id="618" w:name="_Toc9663"/>
      <w:bookmarkStart w:id="619" w:name="_Toc23694"/>
      <w:bookmarkStart w:id="620" w:name="_Toc16871"/>
      <w:bookmarkStart w:id="621" w:name="_Toc1527"/>
      <w:bookmarkStart w:id="622" w:name="_Toc17277"/>
      <w:bookmarkStart w:id="623" w:name="_Toc20863"/>
      <w:bookmarkStart w:id="624" w:name="_Toc11385"/>
      <w:bookmarkStart w:id="625" w:name="_Toc9604"/>
      <w:bookmarkStart w:id="626" w:name="_Toc13086"/>
      <w:bookmarkStart w:id="627" w:name="_Toc2702"/>
      <w:bookmarkStart w:id="628" w:name="_Toc15601"/>
      <w:bookmarkStart w:id="629" w:name="_Toc13676"/>
      <w:bookmarkStart w:id="630" w:name="_Toc13493"/>
      <w:bookmarkStart w:id="631" w:name="_Toc22243"/>
      <w:bookmarkStart w:id="632" w:name="_Toc12260"/>
      <w:bookmarkStart w:id="633" w:name="_Toc30128"/>
      <w:bookmarkStart w:id="634" w:name="_Toc5771"/>
      <w:bookmarkStart w:id="635" w:name="_Toc26174"/>
      <w:bookmarkStart w:id="636" w:name="_Toc9232"/>
      <w:r>
        <w:rPr>
          <w:rFonts w:hint="eastAsia" w:ascii="宋体" w:hAnsi="宋体" w:eastAsia="宋体" w:cs="宋体"/>
          <w:b/>
          <w:color w:val="auto"/>
          <w:sz w:val="24"/>
          <w:szCs w:val="24"/>
          <w:lang w:eastAsia="zh-CN"/>
        </w:rPr>
        <w:t>2.3  招标文件的修改</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46A8AB0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2.3.1</w:t>
      </w:r>
      <w:r>
        <w:rPr>
          <w:rFonts w:hint="eastAsia" w:ascii="宋体" w:hAnsi="宋体" w:eastAsia="宋体" w:cs="宋体"/>
          <w:color w:val="auto"/>
          <w:sz w:val="24"/>
          <w:szCs w:val="24"/>
          <w:lang w:eastAsia="zh-CN"/>
        </w:rPr>
        <w:t>采购代理机构对已发出的招标文件进行必要澄清或者修改的，在财政部门指定的政府采购信息发布媒体上发布更正公告，并以书面形式通知所有获取招标文件的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。该澄清或者修改的内容为招标文件的组成部分。</w:t>
      </w:r>
    </w:p>
    <w:p w14:paraId="02F8C68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.2澄清或者修改的内容可能影响投标文件编制的，采购代理机构在投标截止时间至少15日前，以书面形式通知所有获取招标文件的潜在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；不足15日的，采购代理机构将顺延提交投标文件的截止时间。</w:t>
      </w:r>
    </w:p>
    <w:p w14:paraId="1E09659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.3采购代理机构和采购单位可以视项目具体情况，延长投标截止时间和推迟开标时间，但至少在招标文件要求提交投标文件的截止时间前将变更时间书面通知所有获取招标文件的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，并在财政部门指定的政府采购信息发布媒体上发布变更公告。</w:t>
      </w:r>
    </w:p>
    <w:p w14:paraId="0F9BCBFE">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0" w:firstLineChars="0"/>
        <w:jc w:val="left"/>
        <w:textAlignment w:val="auto"/>
        <w:rPr>
          <w:rFonts w:hint="eastAsia" w:ascii="宋体" w:hAnsi="宋体" w:eastAsia="宋体" w:cs="宋体"/>
          <w:b/>
          <w:color w:val="auto"/>
          <w:sz w:val="24"/>
          <w:szCs w:val="24"/>
          <w:lang w:val="en-US" w:eastAsia="zh-CN"/>
        </w:rPr>
      </w:pPr>
      <w:bookmarkStart w:id="637" w:name="_Toc6927"/>
      <w:bookmarkStart w:id="638" w:name="_Toc88646735"/>
      <w:bookmarkStart w:id="639" w:name="_Toc351"/>
      <w:bookmarkStart w:id="640" w:name="_Toc30700"/>
      <w:bookmarkStart w:id="641" w:name="_Toc88638761"/>
      <w:r>
        <w:rPr>
          <w:rFonts w:hint="eastAsia" w:ascii="宋体" w:hAnsi="宋体" w:eastAsia="宋体" w:cs="宋体"/>
          <w:color w:val="auto"/>
          <w:sz w:val="24"/>
          <w:szCs w:val="24"/>
          <w:lang w:eastAsia="zh-CN"/>
        </w:rPr>
        <w:t>3.投标文件</w:t>
      </w:r>
      <w:bookmarkEnd w:id="637"/>
      <w:bookmarkEnd w:id="638"/>
      <w:bookmarkEnd w:id="639"/>
      <w:bookmarkEnd w:id="640"/>
      <w:bookmarkEnd w:id="641"/>
    </w:p>
    <w:p w14:paraId="329ADB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3.1 </w:t>
      </w:r>
      <w:r>
        <w:rPr>
          <w:rFonts w:hint="eastAsia" w:ascii="宋体" w:hAnsi="宋体" w:eastAsia="宋体" w:cs="宋体"/>
          <w:b/>
          <w:color w:val="auto"/>
          <w:sz w:val="24"/>
          <w:szCs w:val="24"/>
        </w:rPr>
        <w:t>投标文件编写注意事项</w:t>
      </w:r>
    </w:p>
    <w:p w14:paraId="7D5AF1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仔细阅读招标文件，在完全了解采购的内容、技术性能要求和商务条件后，编写投标文件。招标文件中标注★号的条款为实质性要求和条件，投标文件必须作出实质性响应，不满足任何一项标注★号的条款，将导致投标无效。</w:t>
      </w:r>
    </w:p>
    <w:p w14:paraId="0E607F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rPr>
        <w:t>.2对招标文件提出的实质性要求和条件作出响应是指：</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必须对招标文件中的实质性要求和条件的内容作出满足或者优于招标文件要求和条件的承诺，并按招标文件要求提供相应的证明材料。</w:t>
      </w:r>
    </w:p>
    <w:p w14:paraId="3D00A763">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42" w:name="_Toc9145"/>
      <w:bookmarkStart w:id="643" w:name="_Toc13881"/>
      <w:bookmarkStart w:id="644" w:name="_Toc4336"/>
      <w:bookmarkStart w:id="645" w:name="_Toc22636"/>
      <w:bookmarkStart w:id="646" w:name="_Toc14941"/>
      <w:bookmarkStart w:id="647" w:name="_Toc4960"/>
      <w:bookmarkStart w:id="648" w:name="_Toc1612"/>
      <w:bookmarkStart w:id="649" w:name="_Toc6621"/>
      <w:bookmarkStart w:id="650" w:name="_Toc1578"/>
      <w:bookmarkStart w:id="651" w:name="_Toc12728"/>
      <w:bookmarkStart w:id="652" w:name="_Toc5445"/>
      <w:bookmarkStart w:id="653" w:name="_Toc17397"/>
      <w:bookmarkStart w:id="654" w:name="_Toc24941"/>
      <w:bookmarkStart w:id="655" w:name="_Toc22014"/>
      <w:bookmarkStart w:id="656" w:name="_Toc30796"/>
      <w:bookmarkStart w:id="657" w:name="_Toc23089"/>
      <w:bookmarkStart w:id="658" w:name="_Toc20342"/>
      <w:bookmarkStart w:id="659" w:name="_Toc14013"/>
      <w:bookmarkStart w:id="660" w:name="_Toc5378"/>
      <w:bookmarkStart w:id="661" w:name="_Toc12712"/>
      <w:bookmarkStart w:id="662" w:name="_Toc3892"/>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lang w:eastAsia="zh-CN"/>
        </w:rPr>
        <w:t xml:space="preserve"> 投标文件的组成</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61AFA0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编写的投标文件应由下列部分构成，并按“第六章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投标文件格式”要求填写。</w:t>
      </w:r>
    </w:p>
    <w:p w14:paraId="33F78A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资格审查部分</w:t>
      </w:r>
      <w:r>
        <w:rPr>
          <w:rFonts w:hint="eastAsia" w:ascii="宋体" w:hAnsi="宋体" w:eastAsia="宋体" w:cs="宋体"/>
          <w:color w:val="auto"/>
          <w:sz w:val="24"/>
          <w:szCs w:val="24"/>
          <w:lang w:eastAsia="zh-CN"/>
        </w:rPr>
        <w:t>；</w:t>
      </w:r>
    </w:p>
    <w:p w14:paraId="438EE7B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2报价部分</w:t>
      </w:r>
      <w:r>
        <w:rPr>
          <w:rFonts w:hint="eastAsia" w:ascii="宋体" w:hAnsi="宋体" w:cs="宋体"/>
          <w:color w:val="auto"/>
          <w:sz w:val="24"/>
          <w:szCs w:val="24"/>
          <w:lang w:val="en-US" w:eastAsia="zh-CN"/>
        </w:rPr>
        <w:t>；</w:t>
      </w:r>
    </w:p>
    <w:p w14:paraId="1870FDA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3技术、商务</w:t>
      </w:r>
      <w:r>
        <w:rPr>
          <w:rFonts w:hint="eastAsia" w:ascii="宋体" w:hAnsi="宋体" w:eastAsia="宋体" w:cs="宋体"/>
          <w:color w:val="auto"/>
          <w:sz w:val="24"/>
          <w:szCs w:val="24"/>
          <w:lang w:eastAsia="zh-CN"/>
        </w:rPr>
        <w:t>部分</w:t>
      </w:r>
      <w:r>
        <w:rPr>
          <w:rFonts w:hint="eastAsia" w:ascii="宋体" w:hAnsi="宋体" w:cs="宋体"/>
          <w:color w:val="auto"/>
          <w:sz w:val="24"/>
          <w:szCs w:val="24"/>
          <w:lang w:eastAsia="zh-CN"/>
        </w:rPr>
        <w:t>；</w:t>
      </w:r>
    </w:p>
    <w:p w14:paraId="7697BF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3.4</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同时投多个包的，投标文件应按包分别编制，单独成册。</w:t>
      </w:r>
    </w:p>
    <w:p w14:paraId="0D4B8401">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63" w:name="_Toc6894"/>
      <w:bookmarkStart w:id="664" w:name="_Toc8207"/>
      <w:bookmarkStart w:id="665" w:name="_Toc3572"/>
      <w:bookmarkStart w:id="666" w:name="_Toc28693"/>
      <w:bookmarkStart w:id="667" w:name="_Toc9788"/>
      <w:bookmarkStart w:id="668" w:name="_Toc5971"/>
      <w:bookmarkStart w:id="669" w:name="_Toc1848"/>
      <w:bookmarkStart w:id="670" w:name="_Toc16944"/>
      <w:bookmarkStart w:id="671" w:name="_Toc21801"/>
      <w:bookmarkStart w:id="672" w:name="_Toc15438"/>
      <w:bookmarkStart w:id="673" w:name="_Toc14521"/>
      <w:bookmarkStart w:id="674" w:name="_Toc14196"/>
      <w:bookmarkStart w:id="675" w:name="_Toc27586"/>
      <w:bookmarkStart w:id="676" w:name="_Toc29292"/>
      <w:bookmarkStart w:id="677" w:name="_Toc19889"/>
      <w:bookmarkStart w:id="678" w:name="_Toc11133"/>
      <w:bookmarkStart w:id="679" w:name="_Toc21886"/>
      <w:bookmarkStart w:id="680" w:name="_Toc29118"/>
      <w:bookmarkStart w:id="681" w:name="_Toc10943"/>
      <w:bookmarkStart w:id="682" w:name="_Toc13605"/>
      <w:bookmarkStart w:id="683" w:name="_Toc6996"/>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lang w:eastAsia="zh-CN"/>
        </w:rPr>
        <w:t xml:space="preserve"> 投标报价</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DB54D6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.1本项目预算金额及最高限价见“</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”，若</w:t>
      </w:r>
      <w:r>
        <w:rPr>
          <w:rFonts w:hint="eastAsia" w:hAnsi="宋体" w:cs="宋体"/>
          <w:color w:val="auto"/>
          <w:sz w:val="24"/>
          <w:szCs w:val="24"/>
          <w:lang w:eastAsia="zh-CN"/>
        </w:rPr>
        <w:t>供应商</w:t>
      </w:r>
      <w:r>
        <w:rPr>
          <w:rFonts w:hint="eastAsia" w:ascii="宋体" w:hAnsi="宋体" w:eastAsia="宋体" w:cs="宋体"/>
          <w:color w:val="auto"/>
          <w:sz w:val="24"/>
          <w:szCs w:val="24"/>
        </w:rPr>
        <w:t>的投标报价超过最高限价，</w:t>
      </w:r>
      <w:r>
        <w:rPr>
          <w:rFonts w:hint="eastAsia" w:ascii="宋体" w:hAnsi="宋体" w:eastAsia="宋体" w:cs="宋体"/>
          <w:bCs/>
          <w:color w:val="auto"/>
          <w:sz w:val="24"/>
          <w:szCs w:val="24"/>
        </w:rPr>
        <w:t>按不实质性响应招标文件要求处理</w:t>
      </w:r>
      <w:r>
        <w:rPr>
          <w:rFonts w:hint="eastAsia" w:ascii="宋体" w:hAnsi="宋体" w:eastAsia="宋体" w:cs="宋体"/>
          <w:color w:val="auto"/>
          <w:sz w:val="24"/>
          <w:szCs w:val="24"/>
        </w:rPr>
        <w:t>。</w:t>
      </w:r>
    </w:p>
    <w:p w14:paraId="714EE9D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须就“</w:t>
      </w:r>
      <w:r>
        <w:rPr>
          <w:rFonts w:hint="eastAsia" w:ascii="宋体" w:hAnsi="宋体" w:eastAsia="宋体" w:cs="宋体"/>
          <w:b/>
          <w:bCs/>
          <w:color w:val="auto"/>
          <w:sz w:val="24"/>
          <w:szCs w:val="24"/>
          <w:lang w:val="en-US" w:eastAsia="zh-CN"/>
        </w:rPr>
        <w:t>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采购需求及要求</w:t>
      </w:r>
      <w:r>
        <w:rPr>
          <w:rFonts w:hint="eastAsia" w:ascii="宋体" w:hAnsi="宋体" w:eastAsia="宋体" w:cs="宋体"/>
          <w:color w:val="auto"/>
          <w:sz w:val="24"/>
          <w:szCs w:val="24"/>
        </w:rPr>
        <w:t>”中的</w:t>
      </w:r>
      <w:r>
        <w:rPr>
          <w:rFonts w:hint="eastAsia" w:ascii="宋体" w:hAnsi="宋体" w:eastAsia="宋体" w:cs="宋体"/>
          <w:b/>
          <w:bCs/>
          <w:color w:val="auto"/>
          <w:sz w:val="24"/>
          <w:szCs w:val="24"/>
        </w:rPr>
        <w:t>所投包货物</w:t>
      </w:r>
      <w:r>
        <w:rPr>
          <w:rFonts w:hint="eastAsia" w:ascii="宋体" w:hAnsi="宋体" w:eastAsia="宋体" w:cs="宋体"/>
          <w:b/>
          <w:bCs/>
          <w:color w:val="auto"/>
          <w:sz w:val="24"/>
          <w:szCs w:val="24"/>
          <w:lang w:val="en-US" w:eastAsia="zh-CN"/>
        </w:rPr>
        <w:t>及伴随的服务</w:t>
      </w:r>
      <w:r>
        <w:rPr>
          <w:rFonts w:hint="eastAsia" w:ascii="宋体" w:hAnsi="宋体" w:eastAsia="宋体" w:cs="宋体"/>
          <w:b/>
          <w:bCs/>
          <w:color w:val="auto"/>
          <w:sz w:val="24"/>
          <w:szCs w:val="24"/>
        </w:rPr>
        <w:t>内容作完整唯一报价</w:t>
      </w:r>
      <w:r>
        <w:rPr>
          <w:rFonts w:hint="eastAsia" w:ascii="宋体" w:hAnsi="宋体" w:eastAsia="宋体" w:cs="宋体"/>
          <w:color w:val="auto"/>
          <w:sz w:val="24"/>
          <w:szCs w:val="24"/>
        </w:rPr>
        <w:t>。</w:t>
      </w:r>
    </w:p>
    <w:p w14:paraId="03C5D023">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.3</w:t>
      </w:r>
      <w:r>
        <w:rPr>
          <w:rFonts w:hint="eastAsia" w:hAnsi="宋体" w:cs="宋体"/>
          <w:color w:val="auto"/>
          <w:sz w:val="24"/>
          <w:szCs w:val="24"/>
          <w:lang w:eastAsia="zh-CN"/>
        </w:rPr>
        <w:t>供应商</w:t>
      </w:r>
      <w:r>
        <w:rPr>
          <w:rFonts w:hint="eastAsia" w:ascii="宋体" w:hAnsi="宋体" w:eastAsia="宋体" w:cs="宋体"/>
          <w:color w:val="auto"/>
          <w:sz w:val="24"/>
          <w:szCs w:val="24"/>
        </w:rPr>
        <w:t>应依据招标文件的要求及有关资料，按国家或行业现行技术经济标准、定额及规范，自行测算出满足招标要求的投标货物的竞争性报价。</w:t>
      </w:r>
      <w:r>
        <w:rPr>
          <w:rFonts w:hint="eastAsia" w:ascii="宋体" w:hAnsi="宋体" w:eastAsia="宋体" w:cs="宋体"/>
          <w:b/>
          <w:color w:val="auto"/>
          <w:sz w:val="24"/>
          <w:szCs w:val="24"/>
        </w:rPr>
        <w:t>投标报价</w:t>
      </w:r>
      <w:r>
        <w:rPr>
          <w:rFonts w:hint="eastAsia" w:ascii="宋体" w:hAnsi="宋体" w:eastAsia="宋体" w:cs="宋体"/>
          <w:color w:val="auto"/>
          <w:sz w:val="24"/>
          <w:szCs w:val="24"/>
        </w:rPr>
        <w:t>包括但不仅限于货物的出厂价、随机备品备件、运杂费、</w:t>
      </w:r>
      <w:r>
        <w:rPr>
          <w:rFonts w:hint="eastAsia" w:hAnsi="宋体" w:cs="宋体"/>
          <w:color w:val="auto"/>
          <w:sz w:val="24"/>
          <w:szCs w:val="24"/>
          <w:lang w:val="en-US" w:eastAsia="zh-CN"/>
        </w:rPr>
        <w:t>招标代理服务费</w:t>
      </w:r>
      <w:r>
        <w:rPr>
          <w:rFonts w:hint="eastAsia" w:hAnsi="宋体" w:cs="宋体"/>
          <w:color w:val="auto"/>
          <w:sz w:val="24"/>
          <w:szCs w:val="24"/>
          <w:lang w:eastAsia="zh-CN"/>
        </w:rPr>
        <w:t>供应商</w:t>
      </w:r>
      <w:r>
        <w:rPr>
          <w:rFonts w:hint="eastAsia" w:ascii="宋体" w:hAnsi="宋体" w:eastAsia="宋体" w:cs="宋体"/>
          <w:color w:val="auto"/>
          <w:sz w:val="24"/>
          <w:szCs w:val="24"/>
        </w:rPr>
        <w:t>技术服务费、保证期内缺陷的修复补救费用、市场价格变化的风险费用、利润、税金等响应招标文件所有技术、商务要求的价格总和，该报价应考虑市场风险、政策性风险、汇率风险等因素，并能保证</w:t>
      </w:r>
      <w:r>
        <w:rPr>
          <w:rFonts w:hint="eastAsia" w:hAnsi="宋体" w:cs="宋体"/>
          <w:color w:val="auto"/>
          <w:sz w:val="24"/>
          <w:szCs w:val="24"/>
          <w:lang w:eastAsia="zh-CN"/>
        </w:rPr>
        <w:t>供应商</w:t>
      </w:r>
      <w:r>
        <w:rPr>
          <w:rFonts w:hint="eastAsia" w:ascii="宋体" w:hAnsi="宋体" w:eastAsia="宋体" w:cs="宋体"/>
          <w:color w:val="auto"/>
          <w:sz w:val="24"/>
          <w:szCs w:val="24"/>
        </w:rPr>
        <w:t>完成履行合同所需的全部工作，此价格在合同签订后不得调整。</w:t>
      </w:r>
    </w:p>
    <w:p w14:paraId="36EABD4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.4货物的</w:t>
      </w:r>
      <w:r>
        <w:rPr>
          <w:rFonts w:hint="eastAsia" w:ascii="宋体" w:hAnsi="宋体" w:eastAsia="宋体" w:cs="宋体"/>
          <w:b/>
          <w:color w:val="auto"/>
          <w:sz w:val="24"/>
          <w:szCs w:val="24"/>
        </w:rPr>
        <w:t>出厂价</w:t>
      </w:r>
      <w:r>
        <w:rPr>
          <w:rFonts w:hint="eastAsia" w:ascii="宋体" w:hAnsi="宋体" w:eastAsia="宋体" w:cs="宋体"/>
          <w:color w:val="auto"/>
          <w:sz w:val="24"/>
          <w:szCs w:val="24"/>
        </w:rPr>
        <w:t>指制造厂生产的，满足招标要求及符合国家质量检测标准的货物的价格。包括但不仅限于产品的设计费、</w:t>
      </w:r>
      <w:r>
        <w:rPr>
          <w:rFonts w:hint="eastAsia" w:hAnsi="宋体" w:cs="宋体"/>
          <w:color w:val="auto"/>
          <w:sz w:val="24"/>
          <w:szCs w:val="24"/>
          <w:lang w:eastAsia="zh-CN"/>
        </w:rPr>
        <w:t>供应商</w:t>
      </w:r>
      <w:r>
        <w:rPr>
          <w:rFonts w:hint="eastAsia" w:ascii="宋体" w:hAnsi="宋体" w:eastAsia="宋体" w:cs="宋体"/>
          <w:color w:val="auto"/>
          <w:sz w:val="24"/>
          <w:szCs w:val="24"/>
        </w:rPr>
        <w:t>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eastAsia="宋体" w:cs="宋体"/>
          <w:bCs/>
          <w:color w:val="auto"/>
          <w:sz w:val="24"/>
          <w:szCs w:val="24"/>
        </w:rPr>
        <w:t>的价格</w:t>
      </w:r>
      <w:r>
        <w:rPr>
          <w:rFonts w:hint="eastAsia" w:ascii="宋体" w:hAnsi="宋体" w:eastAsia="宋体" w:cs="宋体"/>
          <w:color w:val="auto"/>
          <w:sz w:val="24"/>
          <w:szCs w:val="24"/>
        </w:rPr>
        <w:t>。</w:t>
      </w:r>
    </w:p>
    <w:p w14:paraId="51F8C05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.5进口组部件、元器件或全进口产品的全部费用须折合成人民币报价，并注明进口件的原产地，交货时需提供商检证明。汇率风险由</w:t>
      </w:r>
      <w:r>
        <w:rPr>
          <w:rFonts w:hint="eastAsia" w:hAnsi="宋体" w:cs="宋体"/>
          <w:color w:val="auto"/>
          <w:sz w:val="24"/>
          <w:szCs w:val="24"/>
          <w:lang w:eastAsia="zh-CN"/>
        </w:rPr>
        <w:t>供应商</w:t>
      </w:r>
      <w:r>
        <w:rPr>
          <w:rFonts w:hint="eastAsia" w:ascii="宋体" w:hAnsi="宋体" w:eastAsia="宋体" w:cs="宋体"/>
          <w:color w:val="auto"/>
          <w:sz w:val="24"/>
          <w:szCs w:val="24"/>
        </w:rPr>
        <w:t>自行承担。</w:t>
      </w:r>
    </w:p>
    <w:p w14:paraId="2024313D">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3.3</w:t>
      </w:r>
      <w:r>
        <w:rPr>
          <w:rFonts w:hint="eastAsia" w:ascii="宋体" w:hAnsi="宋体" w:eastAsia="宋体" w:cs="宋体"/>
          <w:bCs/>
          <w:color w:val="auto"/>
          <w:sz w:val="24"/>
          <w:szCs w:val="24"/>
        </w:rPr>
        <w:t>.6</w:t>
      </w:r>
      <w:r>
        <w:rPr>
          <w:rFonts w:hint="eastAsia" w:ascii="宋体" w:hAnsi="宋体" w:eastAsia="宋体" w:cs="宋体"/>
          <w:b/>
          <w:color w:val="auto"/>
          <w:sz w:val="24"/>
          <w:szCs w:val="24"/>
        </w:rPr>
        <w:t>运杂费用</w:t>
      </w:r>
      <w:r>
        <w:rPr>
          <w:rFonts w:hint="eastAsia" w:ascii="宋体" w:hAnsi="宋体" w:eastAsia="宋体" w:cs="宋体"/>
          <w:color w:val="auto"/>
          <w:sz w:val="24"/>
          <w:szCs w:val="24"/>
        </w:rPr>
        <w:t>：即投标货物到交货地点前的所有费用，包括铁路或公路运费、提货及转运费用、短途运费、包装费、装卸费用、加固费用、保险费等。</w:t>
      </w:r>
    </w:p>
    <w:p w14:paraId="5388B127">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3.3</w:t>
      </w:r>
      <w:r>
        <w:rPr>
          <w:rFonts w:hint="eastAsia" w:ascii="宋体" w:hAnsi="宋体" w:eastAsia="宋体" w:cs="宋体"/>
          <w:color w:val="auto"/>
          <w:sz w:val="24"/>
          <w:szCs w:val="24"/>
        </w:rPr>
        <w:t>.7</w:t>
      </w:r>
      <w:r>
        <w:rPr>
          <w:rFonts w:hint="eastAsia" w:ascii="宋体" w:hAnsi="宋体" w:eastAsia="宋体" w:cs="宋体"/>
          <w:b/>
          <w:color w:val="auto"/>
          <w:sz w:val="24"/>
          <w:szCs w:val="24"/>
        </w:rPr>
        <w:t>技术服务费用</w:t>
      </w:r>
      <w:r>
        <w:rPr>
          <w:rFonts w:hint="eastAsia" w:ascii="宋体" w:hAnsi="宋体" w:eastAsia="宋体" w:cs="宋体"/>
          <w:color w:val="auto"/>
          <w:sz w:val="24"/>
          <w:szCs w:val="24"/>
        </w:rPr>
        <w:t>包括：设计联络费用、现场服务（包括安装和调试费用）和人员培训的费用、技术资料费以及技术咨询协调费用等</w:t>
      </w:r>
      <w:r>
        <w:rPr>
          <w:rFonts w:hint="eastAsia" w:ascii="宋体" w:hAnsi="宋体" w:eastAsia="宋体" w:cs="宋体"/>
          <w:color w:val="auto"/>
          <w:sz w:val="24"/>
          <w:szCs w:val="24"/>
          <w:lang w:eastAsia="zh-CN"/>
        </w:rPr>
        <w:t>。</w:t>
      </w:r>
    </w:p>
    <w:p w14:paraId="1BC0E54F">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684" w:name="_Toc10993"/>
      <w:bookmarkStart w:id="685" w:name="_Toc12162"/>
      <w:bookmarkStart w:id="686" w:name="_Toc21021"/>
      <w:bookmarkStart w:id="687" w:name="_Toc1529"/>
      <w:bookmarkStart w:id="688" w:name="_Toc12978"/>
      <w:bookmarkStart w:id="689" w:name="_Toc31623"/>
      <w:bookmarkStart w:id="690" w:name="_Toc13264"/>
      <w:bookmarkStart w:id="691" w:name="_Toc19861"/>
      <w:bookmarkStart w:id="692" w:name="_Toc6834"/>
      <w:bookmarkStart w:id="693" w:name="_Toc19035"/>
      <w:bookmarkStart w:id="694" w:name="_Toc12853"/>
      <w:bookmarkStart w:id="695" w:name="_Toc12286"/>
      <w:bookmarkStart w:id="696" w:name="_Toc10050"/>
      <w:bookmarkStart w:id="697" w:name="_Toc7211"/>
      <w:bookmarkStart w:id="698" w:name="_Toc4598"/>
      <w:bookmarkStart w:id="699" w:name="_Toc26958"/>
      <w:bookmarkStart w:id="700" w:name="_Toc2343"/>
      <w:bookmarkStart w:id="701" w:name="_Toc24196"/>
      <w:bookmarkStart w:id="702" w:name="_Toc18844"/>
      <w:bookmarkStart w:id="703" w:name="_Toc11774"/>
      <w:bookmarkStart w:id="704" w:name="_Toc17928"/>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lang w:eastAsia="zh-CN"/>
        </w:rPr>
        <w:t xml:space="preserve"> 投标有效期</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543C73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不得要求撤销或修改其投标文件。</w:t>
      </w:r>
    </w:p>
    <w:p w14:paraId="399D462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.2投标有效期从提交投标文件的截止之日起算。投标文件中承诺的投标有效期应当不少于招标文件中载明的投标有效期。投标有效期内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撤销投标文件的，采购代理机构可以不退还投标保证金。</w:t>
      </w:r>
    </w:p>
    <w:p w14:paraId="1EFB29F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3.4</w:t>
      </w:r>
      <w:r>
        <w:rPr>
          <w:rFonts w:hint="eastAsia" w:ascii="宋体" w:hAnsi="宋体" w:eastAsia="宋体" w:cs="宋体"/>
          <w:color w:val="auto"/>
          <w:sz w:val="24"/>
          <w:szCs w:val="24"/>
          <w:lang w:eastAsia="zh-CN"/>
        </w:rPr>
        <w:t>.3在特殊情况需要延长投标有效期的，采购人以书面形式通知所有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延长投标有效期。</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同意延长的，应相应延长其投标保证金的有效期，但不得要求或被允许修改或撤销其投标文件；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拒绝延长的，其投标文件失效，但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有权收回其投标保证金。</w:t>
      </w:r>
    </w:p>
    <w:p w14:paraId="13E52F07">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705" w:name="_Toc17053"/>
      <w:bookmarkStart w:id="706" w:name="_Toc31071"/>
      <w:bookmarkStart w:id="707" w:name="_Toc9017"/>
      <w:bookmarkStart w:id="708" w:name="_Toc25259"/>
      <w:bookmarkStart w:id="709" w:name="_Toc13851"/>
      <w:bookmarkStart w:id="710" w:name="_Toc5773"/>
      <w:bookmarkStart w:id="711" w:name="_Toc29639"/>
      <w:bookmarkStart w:id="712" w:name="_Toc22815"/>
      <w:bookmarkStart w:id="713" w:name="_Toc16261"/>
      <w:bookmarkStart w:id="714" w:name="_Toc29250"/>
      <w:bookmarkStart w:id="715" w:name="_Toc27044"/>
      <w:bookmarkStart w:id="716" w:name="_Toc11517"/>
      <w:bookmarkStart w:id="717" w:name="_Toc13302"/>
      <w:bookmarkStart w:id="718" w:name="_Toc32544"/>
      <w:bookmarkStart w:id="719" w:name="_Toc24505"/>
      <w:bookmarkStart w:id="720" w:name="_Toc7309"/>
      <w:bookmarkStart w:id="721" w:name="_Toc14695"/>
      <w:bookmarkStart w:id="722" w:name="_Toc267"/>
      <w:bookmarkStart w:id="723" w:name="_Toc5338"/>
      <w:bookmarkStart w:id="724" w:name="_Toc18821"/>
      <w:bookmarkStart w:id="725" w:name="_Toc19745"/>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lang w:eastAsia="zh-CN"/>
        </w:rPr>
        <w:t xml:space="preserve"> 投标保证金</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634F49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在递交投标文件的同时，应按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须知前附表规定的金额、形式递交投标保证金。联合体投标的，其投标保证金可以由牵头人递交。</w:t>
      </w:r>
    </w:p>
    <w:p w14:paraId="664CBF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 xml:space="preserve">.2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不按本章第3.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 项要求提交投标保证金的，其投标将被视为无效投标。</w:t>
      </w:r>
    </w:p>
    <w:p w14:paraId="05267F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 采购人或者采购代理机构应当自中标通知书发出之日起5个工作日内退还未中标人的投标保证金，自采购合同签订之日起5个工作日内退还中标人的投标保证金。</w:t>
      </w:r>
    </w:p>
    <w:p w14:paraId="0E6FEE6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 有下列情形之一的，投标保证金将不予退还：</w:t>
      </w:r>
    </w:p>
    <w:p w14:paraId="4A2F9DA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在投标有效期内撤销投标文件；</w:t>
      </w:r>
    </w:p>
    <w:p w14:paraId="26805A1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（2）中标人在收到中标通知书后，无正当理由不与采购人订立合同，在签订合同时向采购人提出附加条件，或者不按照招标文件要求提交履约保证金；</w:t>
      </w:r>
    </w:p>
    <w:p w14:paraId="77D8A4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（3）其他法律法规要求不予退还投标保证金的情形。</w:t>
      </w:r>
    </w:p>
    <w:p w14:paraId="3ED63CD2">
      <w:pPr>
        <w:pStyle w:val="5"/>
        <w:keepNext w:val="0"/>
        <w:keepLines w:val="0"/>
        <w:pageBreakBefore w:val="0"/>
        <w:widowControl w:val="0"/>
        <w:kinsoku/>
        <w:wordWrap w:val="0"/>
        <w:overflowPunct/>
        <w:topLinePunct/>
        <w:autoSpaceDE/>
        <w:autoSpaceDN/>
        <w:bidi w:val="0"/>
        <w:adjustRightInd/>
        <w:snapToGrid/>
        <w:spacing w:before="150" w:beforeLines="50" w:after="150" w:afterLines="50"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726" w:name="_Toc4477"/>
      <w:bookmarkStart w:id="727" w:name="_Toc31786"/>
      <w:bookmarkStart w:id="728" w:name="_Toc25528"/>
      <w:bookmarkStart w:id="729" w:name="_Toc15120"/>
      <w:bookmarkStart w:id="730" w:name="_Toc19601"/>
      <w:bookmarkStart w:id="731" w:name="_Toc16809"/>
      <w:bookmarkStart w:id="732" w:name="_Toc19819"/>
      <w:bookmarkStart w:id="733" w:name="_Toc9302"/>
      <w:bookmarkStart w:id="734" w:name="_Toc12703"/>
      <w:bookmarkStart w:id="735" w:name="_Toc15057"/>
      <w:bookmarkStart w:id="736" w:name="_Toc13009"/>
      <w:bookmarkStart w:id="737" w:name="_Toc27906"/>
      <w:bookmarkStart w:id="738" w:name="_Toc3424"/>
      <w:bookmarkStart w:id="739" w:name="_Toc30061"/>
      <w:bookmarkStart w:id="740" w:name="_Toc25032"/>
      <w:bookmarkStart w:id="741" w:name="_Toc6627"/>
      <w:bookmarkStart w:id="742" w:name="_Toc24298"/>
      <w:bookmarkStart w:id="743" w:name="_Toc27799"/>
      <w:bookmarkStart w:id="744" w:name="_Toc4786"/>
      <w:bookmarkStart w:id="745" w:name="_Toc6076"/>
      <w:bookmarkStart w:id="746" w:name="_Toc14838"/>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lang w:eastAsia="zh-CN"/>
        </w:rPr>
        <w:t xml:space="preserve"> 投标文件的编制</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1449D874">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.1投标文件全部采用电子文档，</w:t>
      </w:r>
      <w:r>
        <w:rPr>
          <w:rFonts w:hint="eastAsia" w:hAnsi="宋体" w:cs="宋体"/>
          <w:color w:val="auto"/>
          <w:sz w:val="24"/>
          <w:szCs w:val="24"/>
          <w:lang w:eastAsia="zh-CN"/>
        </w:rPr>
        <w:t>供应商</w:t>
      </w:r>
      <w:r>
        <w:rPr>
          <w:rFonts w:hint="eastAsia" w:ascii="宋体" w:hAnsi="宋体" w:eastAsia="宋体" w:cs="宋体"/>
          <w:color w:val="auto"/>
          <w:sz w:val="24"/>
          <w:szCs w:val="24"/>
        </w:rPr>
        <w:t>应安装客户端软件—“政采云电子交易客户端”，并按照招标文件和政采云电子交易平台的要求编制，编制后应进行电子签名及加密。</w:t>
      </w:r>
    </w:p>
    <w:p w14:paraId="5C01F74E">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.2如</w:t>
      </w:r>
      <w:r>
        <w:rPr>
          <w:rFonts w:hint="eastAsia" w:hAnsi="宋体" w:cs="宋体"/>
          <w:color w:val="auto"/>
          <w:sz w:val="24"/>
          <w:szCs w:val="24"/>
          <w:lang w:eastAsia="zh-CN"/>
        </w:rPr>
        <w:t>供应商</w:t>
      </w:r>
      <w:r>
        <w:rPr>
          <w:rFonts w:hint="eastAsia" w:ascii="宋体" w:hAnsi="宋体" w:eastAsia="宋体" w:cs="宋体"/>
          <w:color w:val="auto"/>
          <w:sz w:val="24"/>
          <w:szCs w:val="24"/>
        </w:rPr>
        <w:t>提交的电子标书不符合要求或开标时无法读取导入或解密，其投标文件将不予受理。</w:t>
      </w:r>
    </w:p>
    <w:p w14:paraId="534F9610">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.3投标文件应尽量避免涂改、行间插字或删除。如果出现上述情况，改动之处应加盖单位章或由</w:t>
      </w:r>
      <w:r>
        <w:rPr>
          <w:rFonts w:hint="eastAsia" w:hAnsi="宋体" w:cs="宋体"/>
          <w:color w:val="auto"/>
          <w:sz w:val="24"/>
          <w:szCs w:val="24"/>
          <w:lang w:eastAsia="zh-CN"/>
        </w:rPr>
        <w:t>供应商</w:t>
      </w:r>
      <w:r>
        <w:rPr>
          <w:rFonts w:hint="eastAsia" w:ascii="宋体" w:hAnsi="宋体" w:eastAsia="宋体" w:cs="宋体"/>
          <w:color w:val="auto"/>
          <w:sz w:val="24"/>
          <w:szCs w:val="24"/>
        </w:rPr>
        <w:t>的法定代表人或其委托代理人签字确认。</w:t>
      </w:r>
    </w:p>
    <w:p w14:paraId="0F8F17A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.4关键内容字迹潦草、表达不清、未按要求填写而导致非唯一理解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造成非实质性响应的将会被视为未实质性响应招标文件的投标文件。</w:t>
      </w:r>
    </w:p>
    <w:p w14:paraId="15DDB3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.5投标文件中提</w:t>
      </w:r>
      <w:r>
        <w:rPr>
          <w:rFonts w:hint="eastAsia" w:ascii="宋体" w:hAnsi="宋体" w:eastAsia="宋体" w:cs="宋体"/>
          <w:bCs/>
          <w:color w:val="auto"/>
          <w:sz w:val="24"/>
          <w:szCs w:val="24"/>
        </w:rPr>
        <w:t>供的资料（扫描件），内容必须清晰可辨，若内容模糊，无法辨识，均视为未提供。</w:t>
      </w:r>
    </w:p>
    <w:p w14:paraId="6B08DD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按照投标文件格式，在规定的电子签名处逐一电子签名（电子签名或电子签章），要求盖章处应盖单位章（电子签章）。</w:t>
      </w:r>
    </w:p>
    <w:p w14:paraId="364FEC0B">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b/>
          <w:bCs/>
          <w:color w:val="auto"/>
          <w:sz w:val="24"/>
          <w:szCs w:val="24"/>
          <w:lang w:eastAsia="zh-CN"/>
        </w:rPr>
      </w:pPr>
      <w:bookmarkStart w:id="747" w:name="_Toc88646736"/>
      <w:bookmarkStart w:id="748" w:name="_Toc20113"/>
      <w:bookmarkStart w:id="749" w:name="_Toc29890"/>
      <w:bookmarkStart w:id="750" w:name="_Toc22942"/>
      <w:bookmarkStart w:id="751" w:name="_Toc88638762"/>
      <w:r>
        <w:rPr>
          <w:rFonts w:hint="eastAsia" w:ascii="宋体" w:hAnsi="宋体" w:eastAsia="宋体" w:cs="宋体"/>
          <w:color w:val="auto"/>
          <w:sz w:val="24"/>
          <w:szCs w:val="24"/>
          <w:lang w:eastAsia="zh-CN"/>
        </w:rPr>
        <w:t>4.投标</w:t>
      </w:r>
      <w:bookmarkEnd w:id="747"/>
      <w:bookmarkEnd w:id="748"/>
      <w:bookmarkEnd w:id="749"/>
      <w:bookmarkEnd w:id="750"/>
      <w:bookmarkEnd w:id="751"/>
    </w:p>
    <w:p w14:paraId="373BFF0C">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rPr>
          <w:rFonts w:hint="eastAsia" w:ascii="宋体" w:hAnsi="宋体" w:eastAsia="宋体" w:cs="宋体"/>
          <w:b/>
          <w:bCs/>
          <w:color w:val="auto"/>
          <w:sz w:val="24"/>
          <w:szCs w:val="24"/>
          <w:lang w:eastAsia="zh-CN"/>
        </w:rPr>
      </w:pPr>
      <w:bookmarkStart w:id="752" w:name="_Toc18292"/>
      <w:bookmarkStart w:id="753" w:name="_Toc31341"/>
      <w:bookmarkStart w:id="754" w:name="_Toc20182"/>
      <w:r>
        <w:rPr>
          <w:rFonts w:hint="eastAsia" w:ascii="宋体" w:hAnsi="宋体" w:eastAsia="宋体" w:cs="宋体"/>
          <w:b/>
          <w:bCs/>
          <w:color w:val="auto"/>
          <w:sz w:val="24"/>
          <w:szCs w:val="24"/>
          <w:lang w:eastAsia="zh-CN"/>
        </w:rPr>
        <w:t>4.1</w:t>
      </w:r>
      <w:bookmarkEnd w:id="752"/>
      <w:bookmarkEnd w:id="753"/>
      <w:bookmarkEnd w:id="754"/>
      <w:r>
        <w:rPr>
          <w:rFonts w:hint="eastAsia" w:ascii="宋体" w:hAnsi="宋体" w:eastAsia="宋体" w:cs="宋体"/>
          <w:b/>
          <w:bCs/>
          <w:color w:val="auto"/>
          <w:sz w:val="24"/>
          <w:szCs w:val="24"/>
          <w:lang w:eastAsia="zh-CN"/>
        </w:rPr>
        <w:t>投标文件的密封与标记</w:t>
      </w:r>
    </w:p>
    <w:p w14:paraId="728396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.1</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进行电子交易应安装客户端软件—“政采云电子交易客户端”，并按照招标文件和电子交易平台的要求编制并加密投标文件。采购人未按规定加密的投标文件，电子交易平台将拒收并提示。</w:t>
      </w:r>
    </w:p>
    <w:p w14:paraId="136B250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.2使用“政采云电子交易客户端”需要提前申领CA数字证书。</w:t>
      </w:r>
    </w:p>
    <w:p w14:paraId="7129956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val="0"/>
          <w:bCs w:val="0"/>
          <w:color w:val="auto"/>
          <w:sz w:val="24"/>
          <w:szCs w:val="24"/>
          <w:lang w:val="en-US" w:eastAsia="zh-CN"/>
        </w:rPr>
        <w:t>4.1</w:t>
      </w:r>
      <w:r>
        <w:rPr>
          <w:rFonts w:hint="eastAsia" w:ascii="宋体" w:hAnsi="宋体" w:eastAsia="宋体" w:cs="宋体"/>
          <w:b w:val="0"/>
          <w:bCs w:val="0"/>
          <w:color w:val="auto"/>
          <w:sz w:val="24"/>
          <w:szCs w:val="24"/>
          <w:lang w:eastAsia="zh-CN"/>
        </w:rPr>
        <w:t>.3为确保网上操作合法、有效和安全，</w:t>
      </w:r>
      <w:r>
        <w:rPr>
          <w:rFonts w:hint="eastAsia" w:ascii="宋体" w:hAnsi="宋体"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应当在投标文件提交截止时间前完成在“政府采购云平台”的身份认证，确保在电子交易过程中能够对相关数据电文进行加密和使用电子签名。</w:t>
      </w:r>
    </w:p>
    <w:p w14:paraId="2187E8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55" w:name="_Toc11219"/>
      <w:bookmarkStart w:id="756" w:name="_Toc23985"/>
      <w:bookmarkStart w:id="757" w:name="_Toc3155"/>
      <w:bookmarkStart w:id="758" w:name="_Toc11262"/>
      <w:bookmarkStart w:id="759" w:name="_Toc22623"/>
      <w:bookmarkStart w:id="760" w:name="_Toc16146"/>
      <w:bookmarkStart w:id="761" w:name="_Toc17674"/>
      <w:bookmarkStart w:id="762" w:name="_Toc32367"/>
      <w:bookmarkStart w:id="763" w:name="_Toc32013"/>
      <w:bookmarkStart w:id="764" w:name="_Toc19726"/>
      <w:bookmarkStart w:id="765" w:name="_Toc18628"/>
      <w:bookmarkStart w:id="766" w:name="_Toc18730"/>
      <w:bookmarkStart w:id="767" w:name="_Toc21767"/>
      <w:bookmarkStart w:id="768" w:name="_Toc5474"/>
      <w:bookmarkStart w:id="769" w:name="_Toc6857"/>
      <w:bookmarkStart w:id="770" w:name="_Toc18774"/>
      <w:bookmarkStart w:id="771" w:name="_Toc17116"/>
      <w:bookmarkStart w:id="772" w:name="_Toc8187"/>
      <w:bookmarkStart w:id="773" w:name="_Toc14462"/>
      <w:bookmarkStart w:id="774" w:name="_Toc29642"/>
      <w:bookmarkStart w:id="775" w:name="_Toc12351"/>
      <w:r>
        <w:rPr>
          <w:rFonts w:hint="eastAsia" w:ascii="宋体" w:hAnsi="宋体" w:eastAsia="宋体" w:cs="宋体"/>
          <w:b/>
          <w:bCs/>
          <w:color w:val="auto"/>
          <w:sz w:val="24"/>
          <w:szCs w:val="24"/>
          <w:lang w:eastAsia="zh-CN"/>
        </w:rPr>
        <w:t>4.2提交投标文件的截止时间和地点</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47A67FB9">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.1投标文件的提交/上传不得迟于“</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”规定的提交投标文件截止时间。</w:t>
      </w:r>
      <w:r>
        <w:rPr>
          <w:rFonts w:hint="eastAsia" w:ascii="宋体" w:hAnsi="宋体" w:eastAsia="宋体" w:cs="宋体"/>
          <w:b/>
          <w:color w:val="auto"/>
          <w:sz w:val="24"/>
          <w:szCs w:val="24"/>
        </w:rPr>
        <w:t>逾期送达/上传的投标文件，将被拒收。</w:t>
      </w:r>
    </w:p>
    <w:p w14:paraId="22D4570F">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.2</w:t>
      </w:r>
      <w:r>
        <w:rPr>
          <w:rFonts w:hint="eastAsia" w:hAnsi="宋体" w:cs="宋体"/>
          <w:color w:val="auto"/>
          <w:sz w:val="24"/>
          <w:szCs w:val="24"/>
          <w:lang w:eastAsia="zh-CN"/>
        </w:rPr>
        <w:t>供应商</w:t>
      </w:r>
      <w:r>
        <w:rPr>
          <w:rFonts w:hint="eastAsia" w:ascii="宋体" w:hAnsi="宋体" w:eastAsia="宋体" w:cs="宋体"/>
          <w:color w:val="auto"/>
          <w:sz w:val="24"/>
          <w:szCs w:val="24"/>
        </w:rPr>
        <w:t>必须在规定时间内将投标文件提交到“</w:t>
      </w:r>
      <w:r>
        <w:rPr>
          <w:rFonts w:hint="eastAsia" w:hAnsi="宋体" w:cs="宋体"/>
          <w:b/>
          <w:bCs/>
          <w:color w:val="auto"/>
          <w:sz w:val="24"/>
          <w:szCs w:val="24"/>
          <w:lang w:eastAsia="zh-CN"/>
        </w:rPr>
        <w:t>供应商</w:t>
      </w:r>
      <w:r>
        <w:rPr>
          <w:rFonts w:hint="eastAsia" w:ascii="宋体" w:hAnsi="宋体" w:eastAsia="宋体" w:cs="宋体"/>
          <w:b/>
          <w:bCs/>
          <w:color w:val="auto"/>
          <w:sz w:val="24"/>
          <w:szCs w:val="24"/>
        </w:rPr>
        <w:t>须知前附表</w:t>
      </w:r>
      <w:r>
        <w:rPr>
          <w:rFonts w:hint="eastAsia" w:ascii="宋体" w:hAnsi="宋体" w:eastAsia="宋体" w:cs="宋体"/>
          <w:color w:val="auto"/>
          <w:sz w:val="24"/>
          <w:szCs w:val="24"/>
        </w:rPr>
        <w:t>”规定的地点。</w:t>
      </w:r>
    </w:p>
    <w:p w14:paraId="2F20939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4.2</w:t>
      </w:r>
      <w:r>
        <w:rPr>
          <w:rFonts w:hint="eastAsia" w:ascii="宋体" w:hAnsi="宋体" w:eastAsia="宋体" w:cs="宋体"/>
          <w:color w:val="auto"/>
          <w:sz w:val="24"/>
          <w:szCs w:val="24"/>
        </w:rPr>
        <w:t>.3除“</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须知前附表</w:t>
      </w:r>
      <w:r>
        <w:rPr>
          <w:rFonts w:hint="eastAsia" w:ascii="宋体" w:hAnsi="宋体" w:eastAsia="宋体" w:cs="宋体"/>
          <w:color w:val="auto"/>
          <w:sz w:val="24"/>
          <w:szCs w:val="24"/>
        </w:rPr>
        <w:t>”另有规定外，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所递交的投标文件不予退还</w:t>
      </w:r>
      <w:r>
        <w:rPr>
          <w:rFonts w:hint="eastAsia" w:ascii="宋体" w:hAnsi="宋体" w:eastAsia="宋体" w:cs="宋体"/>
          <w:color w:val="auto"/>
          <w:sz w:val="24"/>
          <w:szCs w:val="24"/>
          <w:lang w:eastAsia="zh-CN"/>
        </w:rPr>
        <w:t>。</w:t>
      </w:r>
    </w:p>
    <w:p w14:paraId="7DEA63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776" w:name="_Toc9688"/>
      <w:bookmarkStart w:id="777" w:name="_Toc21136"/>
      <w:bookmarkStart w:id="778" w:name="_Toc19718"/>
      <w:bookmarkStart w:id="779" w:name="_Toc27673"/>
      <w:bookmarkStart w:id="780" w:name="_Toc23469"/>
      <w:bookmarkStart w:id="781" w:name="_Toc10645"/>
      <w:bookmarkStart w:id="782" w:name="_Toc12267"/>
      <w:bookmarkStart w:id="783" w:name="_Toc31782"/>
      <w:bookmarkStart w:id="784" w:name="_Toc21086"/>
      <w:bookmarkStart w:id="785" w:name="_Toc17662"/>
      <w:bookmarkStart w:id="786" w:name="_Toc2575"/>
      <w:bookmarkStart w:id="787" w:name="_Toc22519"/>
      <w:bookmarkStart w:id="788" w:name="_Toc31811"/>
      <w:bookmarkStart w:id="789" w:name="_Toc24881"/>
      <w:bookmarkStart w:id="790" w:name="_Toc17035"/>
      <w:bookmarkStart w:id="791" w:name="_Toc24728"/>
      <w:bookmarkStart w:id="792" w:name="_Toc17905"/>
      <w:bookmarkStart w:id="793" w:name="_Toc3574"/>
      <w:bookmarkStart w:id="794" w:name="_Toc7481"/>
      <w:bookmarkStart w:id="795" w:name="_Toc26138"/>
      <w:bookmarkStart w:id="796" w:name="_Toc29875"/>
      <w:r>
        <w:rPr>
          <w:rFonts w:hint="eastAsia" w:ascii="宋体" w:hAnsi="宋体" w:eastAsia="宋体" w:cs="宋体"/>
          <w:b/>
          <w:bCs/>
          <w:color w:val="auto"/>
          <w:sz w:val="24"/>
          <w:szCs w:val="24"/>
          <w:lang w:eastAsia="zh-CN"/>
        </w:rPr>
        <w:t>4.3电子投标文件的修改与撤回</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29948B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在投标截止时间前，</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可以撤回在网上已递交的投标文件，修改后重新上传，无须书面形式通知采购人。</w:t>
      </w:r>
    </w:p>
    <w:p w14:paraId="28D62E8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4.3.2</w:t>
      </w:r>
      <w:r>
        <w:rPr>
          <w:rFonts w:hint="eastAsia" w:ascii="宋体" w:hAnsi="宋体" w:eastAsia="宋体" w:cs="宋体"/>
          <w:color w:val="auto"/>
          <w:sz w:val="24"/>
          <w:szCs w:val="24"/>
          <w:lang w:eastAsia="zh-CN"/>
        </w:rPr>
        <w:t>修改的投标文件应按照本章第</w:t>
      </w:r>
      <w:r>
        <w:rPr>
          <w:rFonts w:hint="eastAsia" w:ascii="宋体" w:hAnsi="宋体" w:eastAsia="宋体" w:cs="宋体"/>
          <w:color w:val="auto"/>
          <w:sz w:val="24"/>
          <w:szCs w:val="24"/>
          <w:lang w:val="en-US" w:eastAsia="zh-CN"/>
        </w:rPr>
        <w:t>3.6</w:t>
      </w:r>
      <w:r>
        <w:rPr>
          <w:rFonts w:hint="eastAsia" w:ascii="宋体" w:hAnsi="宋体" w:eastAsia="宋体" w:cs="宋体"/>
          <w:color w:val="auto"/>
          <w:sz w:val="24"/>
          <w:szCs w:val="24"/>
          <w:lang w:eastAsia="zh-CN"/>
        </w:rPr>
        <w:t>款、第</w:t>
      </w: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lang w:eastAsia="zh-CN"/>
        </w:rPr>
        <w:t>款的要求进行重新编制、加密和递交。</w:t>
      </w:r>
    </w:p>
    <w:p w14:paraId="2266E0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4.3.3</w:t>
      </w:r>
      <w:r>
        <w:rPr>
          <w:rFonts w:hint="eastAsia" w:ascii="宋体" w:hAnsi="宋体" w:eastAsia="宋体" w:cs="宋体"/>
          <w:color w:val="auto"/>
          <w:sz w:val="24"/>
          <w:szCs w:val="24"/>
          <w:lang w:eastAsia="zh-CN"/>
        </w:rPr>
        <w:t>在投标截止时间后递交的投标文件不予撤回。</w:t>
      </w:r>
    </w:p>
    <w:p w14:paraId="527578C0">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24"/>
          <w:szCs w:val="24"/>
          <w:lang w:eastAsia="zh-CN"/>
        </w:rPr>
      </w:pPr>
      <w:bookmarkStart w:id="797" w:name="_Toc88646737"/>
      <w:bookmarkStart w:id="798" w:name="_Toc5226"/>
      <w:bookmarkStart w:id="799" w:name="_Toc1890"/>
      <w:bookmarkStart w:id="800" w:name="_Toc88638763"/>
      <w:bookmarkStart w:id="801" w:name="_Toc29977"/>
      <w:r>
        <w:rPr>
          <w:rFonts w:hint="eastAsia" w:ascii="宋体" w:hAnsi="宋体" w:eastAsia="宋体" w:cs="宋体"/>
          <w:color w:val="auto"/>
          <w:sz w:val="24"/>
          <w:szCs w:val="24"/>
          <w:lang w:eastAsia="zh-CN"/>
        </w:rPr>
        <w:t>5.开标</w:t>
      </w:r>
      <w:bookmarkEnd w:id="797"/>
      <w:bookmarkEnd w:id="798"/>
      <w:bookmarkEnd w:id="799"/>
      <w:bookmarkEnd w:id="800"/>
      <w:bookmarkEnd w:id="801"/>
    </w:p>
    <w:p w14:paraId="164355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.1采购代理机构将在“</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lang w:eastAsia="zh-CN"/>
        </w:rPr>
        <w:t>须知前附表</w:t>
      </w:r>
      <w:r>
        <w:rPr>
          <w:rFonts w:hint="eastAsia" w:ascii="宋体" w:hAnsi="宋体" w:eastAsia="宋体" w:cs="宋体"/>
          <w:color w:val="auto"/>
          <w:sz w:val="24"/>
          <w:szCs w:val="24"/>
          <w:lang w:eastAsia="zh-CN"/>
        </w:rPr>
        <w:t>”规定的时间和地点进行开标。</w:t>
      </w:r>
    </w:p>
    <w:p w14:paraId="444B7F8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.2投标截止后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不足3家的，不得开标。</w:t>
      </w:r>
    </w:p>
    <w:p w14:paraId="0F23B42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.3开标程序：</w:t>
      </w:r>
    </w:p>
    <w:p w14:paraId="5E6336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开标会由采购代理机构主持，具体流程如下：</w:t>
      </w:r>
    </w:p>
    <w:p w14:paraId="522762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（1）采购代理机构依托电子交易平台发起开始解密指令，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须使用加密时所用的CA锁按平台提示和招标文件的规定登录到“政采云”平台电子开标大厅签到，并在发起解密指令之时起</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分钟内完成对电子投标文件在线解密。</w:t>
      </w:r>
    </w:p>
    <w:p w14:paraId="34D818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（2）发起解密指令之时起5分钟内</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还未进行解密的，代理机构可通知</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未预留联系方式或预留联系方式无效，导致代理机构无法联系到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进行解密的，视为撤回投标文件。</w:t>
      </w:r>
    </w:p>
    <w:p w14:paraId="6A35DE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（解密异常情况处理：详见本章7.</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电子交易活动的中止）如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成功解密投标文件，但未在“政采云”电子开标大厅参加开标的，视同认可开标过程和结果，由此产生的后果由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自行负责。</w:t>
      </w:r>
    </w:p>
    <w:p w14:paraId="202980A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.4开标工作人员将做开标记录。</w:t>
      </w:r>
    </w:p>
    <w:p w14:paraId="323C311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代表对开标过程和开标记录有疑义，以及认为采购人、采购代理机构相关工作人员有需要回避的情形的，应在线提出询问或者回避申请。采购人、采购代理机构对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代表提出的询问或者回避申请应当及时处理。</w:t>
      </w:r>
    </w:p>
    <w:p w14:paraId="47CE59D4">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24"/>
          <w:szCs w:val="24"/>
          <w:lang w:eastAsia="zh-CN"/>
        </w:rPr>
      </w:pPr>
      <w:bookmarkStart w:id="802" w:name="_Toc7007"/>
      <w:bookmarkStart w:id="803" w:name="_Toc88638764"/>
      <w:bookmarkStart w:id="804" w:name="_Toc88646738"/>
      <w:bookmarkStart w:id="805" w:name="_Toc11868"/>
      <w:bookmarkStart w:id="806" w:name="_Toc32048"/>
      <w:r>
        <w:rPr>
          <w:rFonts w:hint="eastAsia" w:ascii="宋体" w:hAnsi="宋体" w:eastAsia="宋体" w:cs="宋体"/>
          <w:color w:val="auto"/>
          <w:sz w:val="24"/>
          <w:szCs w:val="24"/>
          <w:lang w:eastAsia="zh-CN"/>
        </w:rPr>
        <w:t>6.资格审查</w:t>
      </w:r>
      <w:bookmarkEnd w:id="802"/>
      <w:bookmarkEnd w:id="803"/>
      <w:bookmarkEnd w:id="804"/>
      <w:bookmarkEnd w:id="805"/>
      <w:bookmarkEnd w:id="806"/>
    </w:p>
    <w:p w14:paraId="1770D3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开标结束后，采购人或者采购代理机构应当按照“资格审查</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lang w:eastAsia="zh-CN"/>
        </w:rPr>
        <w:t>”依法对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bookmarkStart w:id="807" w:name="_Toc88638765"/>
      <w:bookmarkStart w:id="808" w:name="_Toc88646739"/>
    </w:p>
    <w:p w14:paraId="65B082D2">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b/>
          <w:color w:val="auto"/>
          <w:sz w:val="24"/>
          <w:szCs w:val="24"/>
          <w:lang w:eastAsia="zh-CN"/>
        </w:rPr>
      </w:pPr>
      <w:bookmarkStart w:id="809" w:name="_Toc27986"/>
      <w:bookmarkStart w:id="810" w:name="_Toc18569"/>
      <w:bookmarkStart w:id="811" w:name="_Toc27587"/>
      <w:r>
        <w:rPr>
          <w:rFonts w:hint="eastAsia" w:ascii="宋体" w:hAnsi="宋体" w:eastAsia="宋体" w:cs="宋体"/>
          <w:color w:val="auto"/>
          <w:sz w:val="24"/>
          <w:szCs w:val="24"/>
          <w:lang w:eastAsia="zh-CN"/>
        </w:rPr>
        <w:t>7.</w:t>
      </w:r>
      <w:bookmarkEnd w:id="807"/>
      <w:bookmarkEnd w:id="808"/>
      <w:bookmarkEnd w:id="809"/>
      <w:bookmarkEnd w:id="810"/>
      <w:r>
        <w:rPr>
          <w:rFonts w:hint="eastAsia" w:cs="宋体"/>
          <w:color w:val="auto"/>
          <w:sz w:val="24"/>
          <w:szCs w:val="24"/>
          <w:lang w:eastAsia="zh-CN"/>
        </w:rPr>
        <w:t>评审</w:t>
      </w:r>
      <w:bookmarkEnd w:id="811"/>
    </w:p>
    <w:p w14:paraId="20DEACE1">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12" w:name="_Toc6011"/>
      <w:bookmarkStart w:id="813" w:name="_Toc26642"/>
      <w:bookmarkStart w:id="814" w:name="_Toc5808"/>
      <w:bookmarkStart w:id="815" w:name="_Toc1046"/>
      <w:bookmarkStart w:id="816" w:name="_Toc23054"/>
      <w:bookmarkStart w:id="817" w:name="_Toc7368"/>
      <w:bookmarkStart w:id="818" w:name="_Toc3823"/>
      <w:bookmarkStart w:id="819" w:name="_Toc30816"/>
      <w:bookmarkStart w:id="820" w:name="_Toc634"/>
      <w:bookmarkStart w:id="821" w:name="_Toc237"/>
      <w:bookmarkStart w:id="822" w:name="_Toc28295"/>
      <w:bookmarkStart w:id="823" w:name="_Toc17064"/>
      <w:bookmarkStart w:id="824" w:name="_Toc18104"/>
      <w:bookmarkStart w:id="825" w:name="_Toc326"/>
      <w:bookmarkStart w:id="826" w:name="_Toc15086"/>
      <w:bookmarkStart w:id="827" w:name="_Toc5396"/>
      <w:bookmarkStart w:id="828" w:name="_Toc12777"/>
      <w:bookmarkStart w:id="829" w:name="_Toc32323"/>
      <w:bookmarkStart w:id="830" w:name="_Toc18534"/>
      <w:bookmarkStart w:id="831" w:name="_Toc5328"/>
      <w:bookmarkStart w:id="832" w:name="_Toc26312"/>
      <w:r>
        <w:rPr>
          <w:rFonts w:hint="eastAsia" w:ascii="宋体" w:hAnsi="宋体" w:eastAsia="宋体" w:cs="宋体"/>
          <w:b/>
          <w:color w:val="auto"/>
          <w:sz w:val="24"/>
          <w:szCs w:val="24"/>
          <w:lang w:eastAsia="zh-CN"/>
        </w:rPr>
        <w:t xml:space="preserve">7.1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委员会</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1A46FE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由采购人依法组建的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委员会负责。</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委员会由采购人代表和有关技术、经济等方面的专家组成，成员人数应当为5人或以上单数。其中，技术、经济等方面的专家不得少于成员总数的三分之二。</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委员会应当推选组长，但采购人代表不得担任组长。</w:t>
      </w:r>
    </w:p>
    <w:p w14:paraId="19392F6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7.1.2采购人委派代表参加</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委员会的，要向采购代理机构出具授权函。</w:t>
      </w:r>
    </w:p>
    <w:p w14:paraId="0BD6AC4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委员会成员有下列情形之一的，应当回避：</w:t>
      </w:r>
    </w:p>
    <w:p w14:paraId="23A3A0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主要负责人的近亲属；</w:t>
      </w:r>
    </w:p>
    <w:p w14:paraId="698115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（2）项目主管部门或者行政监督部门的人员；</w:t>
      </w:r>
    </w:p>
    <w:p w14:paraId="1C24629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有经济利益关系，可能影响对投标公正评审的；</w:t>
      </w:r>
    </w:p>
    <w:p w14:paraId="7AD663F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（4）曾因在招标、</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以及其他与招标投标有关活动中从事违法行为而受过行政处罚或刑事处罚的；</w:t>
      </w:r>
    </w:p>
    <w:p w14:paraId="0FDEF23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（5）与</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有其他利害关系。</w:t>
      </w:r>
    </w:p>
    <w:p w14:paraId="0EFD07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7.1.4</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委员会成员有回避事由、擅离职守或者因健康等原因不能继续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的，采购人有权更换。被更换的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委员会成员作出的评审结论无效，由更换后的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委员会成员重新进行评审。</w:t>
      </w:r>
    </w:p>
    <w:p w14:paraId="331A33A8">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33" w:name="_Toc18743"/>
      <w:bookmarkStart w:id="834" w:name="_Toc17967"/>
      <w:bookmarkStart w:id="835" w:name="_Toc14795"/>
      <w:bookmarkStart w:id="836" w:name="_Toc10814"/>
      <w:bookmarkStart w:id="837" w:name="_Toc24358"/>
      <w:bookmarkStart w:id="838" w:name="_Toc22581"/>
      <w:bookmarkStart w:id="839" w:name="_Toc6258"/>
      <w:bookmarkStart w:id="840" w:name="_Toc9538"/>
      <w:bookmarkStart w:id="841" w:name="_Toc9835"/>
      <w:bookmarkStart w:id="842" w:name="_Toc5966"/>
      <w:bookmarkStart w:id="843" w:name="_Toc10667"/>
      <w:bookmarkStart w:id="844" w:name="_Toc10498"/>
      <w:bookmarkStart w:id="845" w:name="_Toc27686"/>
      <w:bookmarkStart w:id="846" w:name="_Toc9462"/>
      <w:bookmarkStart w:id="847" w:name="_Toc22491"/>
      <w:bookmarkStart w:id="848" w:name="_Toc16829"/>
      <w:bookmarkStart w:id="849" w:name="_Toc26741"/>
      <w:bookmarkStart w:id="850" w:name="_Toc6000"/>
      <w:bookmarkStart w:id="851" w:name="_Toc31831"/>
      <w:bookmarkStart w:id="852" w:name="_Toc4757"/>
      <w:bookmarkStart w:id="853" w:name="_Toc6592"/>
      <w:r>
        <w:rPr>
          <w:rFonts w:hint="eastAsia" w:ascii="宋体" w:hAnsi="宋体" w:eastAsia="宋体" w:cs="宋体"/>
          <w:b/>
          <w:color w:val="auto"/>
          <w:sz w:val="24"/>
          <w:szCs w:val="24"/>
          <w:lang w:eastAsia="zh-CN"/>
        </w:rPr>
        <w:t xml:space="preserve">7.2 </w:t>
      </w:r>
      <w:r>
        <w:rPr>
          <w:rFonts w:hint="eastAsia" w:cs="宋体"/>
          <w:b/>
          <w:color w:val="auto"/>
          <w:sz w:val="24"/>
          <w:szCs w:val="24"/>
          <w:lang w:eastAsia="zh-CN"/>
        </w:rPr>
        <w:t>评审</w:t>
      </w:r>
      <w:r>
        <w:rPr>
          <w:rFonts w:hint="eastAsia" w:ascii="宋体" w:hAnsi="宋体" w:eastAsia="宋体" w:cs="宋体"/>
          <w:b/>
          <w:color w:val="auto"/>
          <w:sz w:val="24"/>
          <w:szCs w:val="24"/>
          <w:lang w:eastAsia="zh-CN"/>
        </w:rPr>
        <w:t>原则</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208E66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活动遵循公平、公正、科学和择优的原则。</w:t>
      </w:r>
    </w:p>
    <w:p w14:paraId="697ED936">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854" w:name="_Toc31257"/>
      <w:bookmarkStart w:id="855" w:name="_Toc10237"/>
      <w:bookmarkStart w:id="856" w:name="_Toc26761"/>
      <w:bookmarkStart w:id="857" w:name="_Toc4202"/>
      <w:bookmarkStart w:id="858" w:name="_Toc14602"/>
      <w:bookmarkStart w:id="859" w:name="_Toc30704"/>
      <w:bookmarkStart w:id="860" w:name="_Toc15958"/>
      <w:bookmarkStart w:id="861" w:name="_Toc10907"/>
      <w:bookmarkStart w:id="862" w:name="_Toc20203"/>
      <w:bookmarkStart w:id="863" w:name="_Toc13678"/>
      <w:bookmarkStart w:id="864" w:name="_Toc24703"/>
      <w:bookmarkStart w:id="865" w:name="_Toc9696"/>
      <w:bookmarkStart w:id="866" w:name="_Toc17114"/>
      <w:bookmarkStart w:id="867" w:name="_Toc25721"/>
      <w:bookmarkStart w:id="868" w:name="_Toc6360"/>
      <w:bookmarkStart w:id="869" w:name="_Toc27928"/>
      <w:bookmarkStart w:id="870" w:name="_Toc22573"/>
      <w:bookmarkStart w:id="871" w:name="_Toc30566"/>
      <w:bookmarkStart w:id="872" w:name="_Toc17322"/>
      <w:bookmarkStart w:id="873" w:name="_Toc9727"/>
      <w:bookmarkStart w:id="874" w:name="_Toc4970"/>
      <w:r>
        <w:rPr>
          <w:rFonts w:hint="eastAsia" w:ascii="宋体" w:hAnsi="宋体" w:eastAsia="宋体" w:cs="宋体"/>
          <w:b/>
          <w:color w:val="auto"/>
          <w:sz w:val="24"/>
          <w:szCs w:val="24"/>
          <w:lang w:eastAsia="zh-CN"/>
        </w:rPr>
        <w:t xml:space="preserve">7.3 </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hint="eastAsia" w:cs="宋体"/>
          <w:b/>
          <w:color w:val="auto"/>
          <w:sz w:val="24"/>
          <w:szCs w:val="24"/>
          <w:lang w:eastAsia="zh-CN"/>
        </w:rPr>
        <w:t>评审</w:t>
      </w:r>
      <w:bookmarkEnd w:id="874"/>
    </w:p>
    <w:p w14:paraId="23F274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（综合评分法）”规定的方法、评审因素、标准和程序对投标文件进行评审。“第三章</w:t>
      </w:r>
      <w:r>
        <w:rPr>
          <w:rFonts w:hint="eastAsia" w:ascii="宋体" w:hAnsi="宋体" w:eastAsia="宋体" w:cs="宋体"/>
          <w:color w:val="auto"/>
          <w:sz w:val="24"/>
          <w:szCs w:val="24"/>
          <w:lang w:val="en-US" w:eastAsia="zh-CN"/>
        </w:rPr>
        <w:t xml:space="preserve"> 评审办法</w:t>
      </w:r>
      <w:r>
        <w:rPr>
          <w:rFonts w:hint="eastAsia" w:ascii="宋体" w:hAnsi="宋体" w:eastAsia="宋体" w:cs="宋体"/>
          <w:color w:val="auto"/>
          <w:sz w:val="24"/>
          <w:szCs w:val="24"/>
          <w:lang w:eastAsia="zh-CN"/>
        </w:rPr>
        <w:t>（综合评分法）”没有规定的方法、评审因素和标准，不作为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依据。</w:t>
      </w:r>
    </w:p>
    <w:p w14:paraId="1EF2D5B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应当在严格保密的情况下进行。任何单位和个人不得非法干预、影响</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办法的确定，以及</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过程和结果。</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委员会成员和与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活动有关的人员在政府采购活动中应严格遵守政府采购评审工作纪律，不得向外界泄露评审情况。</w:t>
      </w:r>
    </w:p>
    <w:p w14:paraId="11185F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7.3.3有下列情形之一的，视为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串通投标，其投标无效：</w:t>
      </w:r>
    </w:p>
    <w:p w14:paraId="7E87562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的投标文件由同一单位或者个人编制；</w:t>
      </w:r>
    </w:p>
    <w:p w14:paraId="2DD9A0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委托同一单位或者个人办理投标事宜；</w:t>
      </w:r>
    </w:p>
    <w:p w14:paraId="60143A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的投标文件载明的项目管理成员或者联系人员为同一人；</w:t>
      </w:r>
    </w:p>
    <w:p w14:paraId="3627562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的投标文件异常一致或者投标报价呈规律性差异；</w:t>
      </w:r>
    </w:p>
    <w:p w14:paraId="5F8C97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的投标文件相互混装；</w:t>
      </w:r>
    </w:p>
    <w:p w14:paraId="07C0AB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的投标保证金从同一单位或者个人的账户转出。</w:t>
      </w:r>
    </w:p>
    <w:p w14:paraId="1E80F59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7.3.4提供相同品牌产品且通过资格审查、符合性审查的不同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参加同一招标项目包投标的，按一家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计算，评审后得分最高的同品牌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获得中标人推荐资格；评审得分相同的，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委员会将依次按技术部分得分高优先、价格部分得分高优先、商务部分得分高优先的顺序确定；所有得分均相等的，采取随机抽取方式确定，其他同品牌</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不作为中标候选人。</w:t>
      </w:r>
    </w:p>
    <w:p w14:paraId="3823630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7.3.5 若单个项目（包）为非单一产品采购项目，对于招标文件“第二章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须知”规定的核心产品，多家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提供的核心产品品牌有一项品牌相同的，按 7.3.4款规定处理。</w:t>
      </w:r>
    </w:p>
    <w:p w14:paraId="4AAF262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outlineLvl w:val="2"/>
        <w:rPr>
          <w:rFonts w:hint="eastAsia" w:ascii="宋体" w:hAnsi="宋体" w:eastAsia="宋体" w:cs="宋体"/>
          <w:color w:val="auto"/>
          <w:sz w:val="24"/>
          <w:szCs w:val="24"/>
          <w:lang w:eastAsia="zh-CN"/>
        </w:rPr>
      </w:pPr>
      <w:bookmarkStart w:id="875" w:name="_Toc18947"/>
      <w:bookmarkStart w:id="876" w:name="_Toc20099"/>
      <w:bookmarkStart w:id="877" w:name="_Toc5367"/>
      <w:bookmarkStart w:id="878" w:name="_Toc28517"/>
      <w:bookmarkStart w:id="879" w:name="_Toc22518"/>
      <w:bookmarkStart w:id="880" w:name="_Toc16997"/>
      <w:bookmarkStart w:id="881" w:name="_Toc16178"/>
      <w:bookmarkStart w:id="882" w:name="_Toc5045"/>
      <w:bookmarkStart w:id="883" w:name="_Toc6529"/>
      <w:bookmarkStart w:id="884" w:name="_Toc23659"/>
      <w:bookmarkStart w:id="885" w:name="_Toc19990"/>
      <w:bookmarkStart w:id="886" w:name="_Toc9494"/>
      <w:bookmarkStart w:id="887" w:name="_Toc6485"/>
      <w:bookmarkStart w:id="888" w:name="_Toc21194"/>
      <w:bookmarkStart w:id="889" w:name="_Toc3588"/>
      <w:bookmarkStart w:id="890" w:name="_Toc8099"/>
      <w:bookmarkStart w:id="891" w:name="_Toc4330"/>
      <w:bookmarkStart w:id="892" w:name="_Toc3363"/>
      <w:bookmarkStart w:id="893" w:name="_Toc20837"/>
      <w:bookmarkStart w:id="894" w:name="_Toc14962"/>
      <w:bookmarkStart w:id="895" w:name="_Toc30610"/>
      <w:r>
        <w:rPr>
          <w:rFonts w:hint="eastAsia" w:ascii="宋体" w:hAnsi="宋体" w:eastAsia="宋体" w:cs="宋体"/>
          <w:color w:val="auto"/>
          <w:sz w:val="24"/>
          <w:szCs w:val="24"/>
          <w:lang w:eastAsia="zh-CN"/>
        </w:rPr>
        <w:t>7.4 在招标采购中，出现下列情形之一的，应予废标：</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p>
    <w:p w14:paraId="79F438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（1）符合专业条件的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或者对招标文件作实质响应的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w:t>
      </w:r>
    </w:p>
    <w:p w14:paraId="193570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（2）出现影响采购公正的违法、违规行为的；</w:t>
      </w:r>
    </w:p>
    <w:p w14:paraId="18DE6A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的报价均超过了采购预算，采购人不能支付的；</w:t>
      </w:r>
    </w:p>
    <w:p w14:paraId="6B5F54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（4）因重大变故，采购任务取消的。</w:t>
      </w:r>
    </w:p>
    <w:p w14:paraId="6A2E660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7.5电子交易活动的中止：</w:t>
      </w:r>
    </w:p>
    <w:p w14:paraId="31C3BCE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采购过程中出现以下情形，导致电子交易平台无法正常运行，或者无法保证电子交易的公平、公正和安全时，采购机构可中止电子交易活动：</w:t>
      </w:r>
    </w:p>
    <w:p w14:paraId="67F5A13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（1）电子交易平台发生故障而无法登录访问的；</w:t>
      </w:r>
    </w:p>
    <w:p w14:paraId="7F64641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（2）电子交易平台应用或数据库出现错误，不能进行正常操作的；</w:t>
      </w:r>
    </w:p>
    <w:p w14:paraId="0C3E302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（3）电子交易平台发现严重安全漏洞，有潜在泄密危险的；</w:t>
      </w:r>
    </w:p>
    <w:p w14:paraId="549FC8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（4）病毒发作导致不能进行正常操作的；</w:t>
      </w:r>
    </w:p>
    <w:p w14:paraId="66BBFD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）其他无法保证电子交易的公平、公正和安全的情况。</w:t>
      </w:r>
    </w:p>
    <w:p w14:paraId="699EC61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7.5.1 出现以上情形，不影响采购公平、公正性的，采购组织机构可以待上述情形消除后继续组织电子交易活动；影响或可能影响采购公平、公正性的，经采购代理机构确认后，应当重新采购。采购代理机构必须对原有的资料及信息做出妥善保密处理，并报财政部门备案。</w:t>
      </w:r>
      <w:bookmarkStart w:id="896" w:name="_Toc16257"/>
      <w:bookmarkStart w:id="897" w:name="_Toc88638766"/>
      <w:bookmarkStart w:id="898" w:name="_Toc88646740"/>
      <w:bookmarkStart w:id="899" w:name="_Toc25460"/>
    </w:p>
    <w:p w14:paraId="5C9A474B">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left"/>
        <w:textAlignment w:val="auto"/>
        <w:outlineLvl w:val="1"/>
        <w:rPr>
          <w:rFonts w:hint="eastAsia" w:ascii="宋体" w:hAnsi="宋体" w:eastAsia="宋体" w:cs="宋体"/>
          <w:b/>
          <w:color w:val="auto"/>
          <w:sz w:val="24"/>
          <w:szCs w:val="24"/>
          <w:lang w:eastAsia="zh-CN"/>
        </w:rPr>
      </w:pPr>
      <w:bookmarkStart w:id="900" w:name="_Toc8589"/>
      <w:r>
        <w:rPr>
          <w:rFonts w:hint="eastAsia" w:ascii="宋体" w:hAnsi="宋体" w:eastAsia="宋体" w:cs="宋体"/>
          <w:color w:val="auto"/>
          <w:sz w:val="24"/>
          <w:szCs w:val="24"/>
          <w:lang w:eastAsia="zh-CN"/>
        </w:rPr>
        <w:t>8.中标和合同</w:t>
      </w:r>
      <w:bookmarkEnd w:id="896"/>
      <w:bookmarkEnd w:id="897"/>
      <w:bookmarkEnd w:id="898"/>
      <w:bookmarkEnd w:id="899"/>
      <w:bookmarkEnd w:id="900"/>
    </w:p>
    <w:p w14:paraId="0C11405B">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01" w:name="_Toc27383"/>
      <w:bookmarkStart w:id="902" w:name="_Toc27878"/>
      <w:bookmarkStart w:id="903" w:name="_Toc6062"/>
      <w:bookmarkStart w:id="904" w:name="_Toc9537"/>
      <w:bookmarkStart w:id="905" w:name="_Toc13585"/>
      <w:bookmarkStart w:id="906" w:name="_Toc22135"/>
      <w:bookmarkStart w:id="907" w:name="_Toc11595"/>
      <w:bookmarkStart w:id="908" w:name="_Toc16840"/>
      <w:bookmarkStart w:id="909" w:name="_Toc28286"/>
      <w:bookmarkStart w:id="910" w:name="_Toc12421"/>
      <w:bookmarkStart w:id="911" w:name="_Toc15274"/>
      <w:bookmarkStart w:id="912" w:name="_Toc5448"/>
      <w:bookmarkStart w:id="913" w:name="_Toc6758"/>
      <w:bookmarkStart w:id="914" w:name="_Toc14560"/>
      <w:bookmarkStart w:id="915" w:name="_Toc29865"/>
      <w:bookmarkStart w:id="916" w:name="_Toc32665"/>
      <w:bookmarkStart w:id="917" w:name="_Toc24037"/>
      <w:bookmarkStart w:id="918" w:name="_Toc22747"/>
      <w:bookmarkStart w:id="919" w:name="_Toc11208"/>
      <w:bookmarkStart w:id="920" w:name="_Toc7383"/>
      <w:bookmarkStart w:id="921" w:name="_Toc17332"/>
      <w:r>
        <w:rPr>
          <w:rFonts w:hint="eastAsia" w:ascii="宋体" w:hAnsi="宋体" w:eastAsia="宋体" w:cs="宋体"/>
          <w:b/>
          <w:color w:val="auto"/>
          <w:sz w:val="24"/>
          <w:szCs w:val="24"/>
          <w:lang w:eastAsia="zh-CN"/>
        </w:rPr>
        <w:t>8.1  中标人的确定</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p w14:paraId="7E7680B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8.1.1采购代理机构应当在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结束之日起2个工作日内将</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报告送采购人确认。</w:t>
      </w:r>
    </w:p>
    <w:p w14:paraId="429041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8.1.2采购人应当在收到</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报告之日起5个工作日内，在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报告中推荐的中标候选人中按顺序确定中标人。</w:t>
      </w:r>
    </w:p>
    <w:p w14:paraId="24C1B01D">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22" w:name="_Toc8955"/>
      <w:bookmarkStart w:id="923" w:name="_Toc2817"/>
      <w:bookmarkStart w:id="924" w:name="_Toc3785"/>
      <w:bookmarkStart w:id="925" w:name="_Toc27580"/>
      <w:bookmarkStart w:id="926" w:name="_Toc4702"/>
      <w:bookmarkStart w:id="927" w:name="_Toc7644"/>
      <w:bookmarkStart w:id="928" w:name="_Toc28975"/>
      <w:bookmarkStart w:id="929" w:name="_Toc9497"/>
      <w:bookmarkStart w:id="930" w:name="_Toc28976"/>
      <w:bookmarkStart w:id="931" w:name="_Toc23830"/>
      <w:bookmarkStart w:id="932" w:name="_Toc10731"/>
      <w:bookmarkStart w:id="933" w:name="_Toc14197"/>
      <w:bookmarkStart w:id="934" w:name="_Toc21421"/>
      <w:bookmarkStart w:id="935" w:name="_Toc27022"/>
      <w:bookmarkStart w:id="936" w:name="_Toc3456"/>
      <w:bookmarkStart w:id="937" w:name="_Toc9133"/>
      <w:bookmarkStart w:id="938" w:name="_Toc27537"/>
      <w:bookmarkStart w:id="939" w:name="_Toc23353"/>
      <w:bookmarkStart w:id="940" w:name="_Toc25554"/>
      <w:bookmarkStart w:id="941" w:name="_Toc24832"/>
      <w:bookmarkStart w:id="942" w:name="_Toc21564"/>
      <w:r>
        <w:rPr>
          <w:rFonts w:hint="eastAsia" w:ascii="宋体" w:hAnsi="宋体" w:eastAsia="宋体" w:cs="宋体"/>
          <w:b/>
          <w:color w:val="auto"/>
          <w:sz w:val="24"/>
          <w:szCs w:val="24"/>
          <w:lang w:eastAsia="zh-CN"/>
        </w:rPr>
        <w:t>8.2中标通知书</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2D6D9C3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8.2.1中标人确定之日起2个工作日内，采购代理机构在省级以上财政部门指定的媒体上公告中标结果，中标公告期限为1个工作日，同时向中标人发出中标通知书，向未中标人发出招标结果通知书。</w:t>
      </w:r>
    </w:p>
    <w:p w14:paraId="61F926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8.2.2中标通知书是合同的一个组成部分。</w:t>
      </w:r>
    </w:p>
    <w:p w14:paraId="0BAB7888">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43" w:name="_Toc12833"/>
      <w:bookmarkStart w:id="944" w:name="_Toc8949"/>
      <w:bookmarkStart w:id="945" w:name="_Toc21922"/>
      <w:bookmarkStart w:id="946" w:name="_Toc4285"/>
      <w:bookmarkStart w:id="947" w:name="_Toc10781"/>
      <w:bookmarkStart w:id="948" w:name="_Toc2587"/>
      <w:bookmarkStart w:id="949" w:name="_Toc5298"/>
      <w:bookmarkStart w:id="950" w:name="_Toc6406"/>
      <w:bookmarkStart w:id="951" w:name="_Toc27005"/>
      <w:bookmarkStart w:id="952" w:name="_Toc32246"/>
      <w:bookmarkStart w:id="953" w:name="_Toc11756"/>
      <w:bookmarkStart w:id="954" w:name="_Toc30552"/>
      <w:bookmarkStart w:id="955" w:name="_Toc20821"/>
      <w:bookmarkStart w:id="956" w:name="_Toc12986"/>
      <w:bookmarkStart w:id="957" w:name="_Toc19541"/>
      <w:bookmarkStart w:id="958" w:name="_Toc13213"/>
      <w:bookmarkStart w:id="959" w:name="_Toc27171"/>
      <w:bookmarkStart w:id="960" w:name="_Toc15803"/>
      <w:bookmarkStart w:id="961" w:name="_Toc28865"/>
      <w:bookmarkStart w:id="962" w:name="_Toc4509"/>
      <w:bookmarkStart w:id="963" w:name="_Toc9437"/>
      <w:r>
        <w:rPr>
          <w:rFonts w:hint="eastAsia" w:ascii="宋体" w:hAnsi="宋体" w:eastAsia="宋体" w:cs="宋体"/>
          <w:b/>
          <w:color w:val="auto"/>
          <w:sz w:val="24"/>
          <w:szCs w:val="24"/>
          <w:lang w:eastAsia="zh-CN"/>
        </w:rPr>
        <w:t>8.3签订合同</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p>
    <w:p w14:paraId="41266C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8.3.1采购人与中标人应当在中标通知书发出之日起30日内，按照招标文件和中标人投标文件的规定签订政府采购合同。</w:t>
      </w:r>
    </w:p>
    <w:p w14:paraId="4449D8D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8.3.2中标人因不可抗力或者自身原因不能履行政府采购合同的，或中标人拒绝与采购人签订合同的，采购人可以按照</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报告推荐的中标候选人名单排序，确定下一候选人为中标人，也可以重新开展政府采购活动。</w:t>
      </w:r>
    </w:p>
    <w:p w14:paraId="6B0FB0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8.3.3政府采购合同履行中，采购人需追加与合同标的相同的货物的，在不改变合同其他条款的前提下，可以与中标人协商签订补充合同，但所有补充合同的采购金额不得超过原合同采购金额的10%。</w:t>
      </w:r>
    </w:p>
    <w:p w14:paraId="14833EC5">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color w:val="auto"/>
          <w:sz w:val="24"/>
          <w:szCs w:val="24"/>
          <w:lang w:eastAsia="zh-CN"/>
        </w:rPr>
      </w:pPr>
      <w:bookmarkStart w:id="964" w:name="_Toc29007"/>
      <w:bookmarkStart w:id="965" w:name="_Toc24394"/>
      <w:bookmarkStart w:id="966" w:name="_Toc4575"/>
      <w:bookmarkStart w:id="967" w:name="_Toc28905"/>
      <w:bookmarkStart w:id="968" w:name="_Toc9062"/>
      <w:bookmarkStart w:id="969" w:name="_Toc14642"/>
      <w:bookmarkStart w:id="970" w:name="_Toc21759"/>
      <w:bookmarkStart w:id="971" w:name="_Toc14153"/>
      <w:bookmarkStart w:id="972" w:name="_Toc23478"/>
      <w:bookmarkStart w:id="973" w:name="_Toc22875"/>
      <w:bookmarkStart w:id="974" w:name="_Toc7740"/>
      <w:bookmarkStart w:id="975" w:name="_Toc24934"/>
      <w:bookmarkStart w:id="976" w:name="_Toc27483"/>
      <w:bookmarkStart w:id="977" w:name="_Toc19011"/>
      <w:bookmarkStart w:id="978" w:name="_Toc3019"/>
      <w:bookmarkStart w:id="979" w:name="_Toc14791"/>
      <w:bookmarkStart w:id="980" w:name="_Toc27485"/>
      <w:bookmarkStart w:id="981" w:name="_Toc21476"/>
      <w:bookmarkStart w:id="982" w:name="_Toc19463"/>
      <w:bookmarkStart w:id="983" w:name="_Toc11954"/>
      <w:bookmarkStart w:id="984" w:name="_Toc7844"/>
      <w:r>
        <w:rPr>
          <w:rFonts w:hint="eastAsia" w:ascii="宋体" w:hAnsi="宋体" w:eastAsia="宋体" w:cs="宋体"/>
          <w:b/>
          <w:color w:val="auto"/>
          <w:sz w:val="24"/>
          <w:szCs w:val="24"/>
          <w:lang w:eastAsia="zh-CN"/>
        </w:rPr>
        <w:t>8.4履约担保</w:t>
      </w:r>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14:paraId="53269C4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8.4.1中标人应按“</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须知前附表”上确定的履约担保的金额及形式，向采购人提交履约担保，联合体中标的，其履约担保由牵头人递交。否则，视为放弃中标项目，投标保证金将不予退还。</w:t>
      </w:r>
    </w:p>
    <w:p w14:paraId="4A5B36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8.4.2签订合同后，如中标人不按双方签订合同约定履约，则没收其全部履约保证金，履约保证金不足以赔偿损失的，按实际损失赔偿。</w:t>
      </w:r>
      <w:bookmarkStart w:id="985" w:name="_Toc88638767"/>
      <w:bookmarkStart w:id="986" w:name="_Toc88646741"/>
    </w:p>
    <w:p w14:paraId="1901BB0E">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24"/>
          <w:szCs w:val="24"/>
          <w:lang w:eastAsia="zh-CN"/>
        </w:rPr>
      </w:pPr>
      <w:bookmarkStart w:id="987" w:name="_Toc1190"/>
      <w:bookmarkStart w:id="988" w:name="_Toc15345"/>
      <w:bookmarkStart w:id="989" w:name="_Toc20952"/>
      <w:r>
        <w:rPr>
          <w:rFonts w:hint="eastAsia" w:ascii="宋体" w:hAnsi="宋体" w:eastAsia="宋体" w:cs="宋体"/>
          <w:color w:val="auto"/>
          <w:sz w:val="24"/>
          <w:szCs w:val="24"/>
          <w:lang w:eastAsia="zh-CN"/>
        </w:rPr>
        <w:t>9.需要补充的其他内容</w:t>
      </w:r>
      <w:bookmarkEnd w:id="985"/>
      <w:bookmarkEnd w:id="986"/>
      <w:bookmarkEnd w:id="987"/>
      <w:bookmarkEnd w:id="988"/>
      <w:bookmarkEnd w:id="989"/>
    </w:p>
    <w:p w14:paraId="79BABE8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9.1中标人应在接受“中标通知书”前向采购代理机构一次付清代理服务费，代理机构向中标人收取代理服务费。</w:t>
      </w:r>
    </w:p>
    <w:p w14:paraId="1D9F59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9.2投标文件全部采用电子文档，除</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须知前附表另有规定外，投标文件所附证书证件均为原件扫描件。</w:t>
      </w:r>
    </w:p>
    <w:p w14:paraId="0D8207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outlineLvl w:val="9"/>
        <w:rPr>
          <w:rFonts w:hint="eastAsia" w:ascii="宋体" w:hAnsi="宋体" w:eastAsia="宋体" w:cs="宋体"/>
          <w:color w:val="auto"/>
          <w:sz w:val="24"/>
          <w:szCs w:val="24"/>
          <w:lang w:eastAsia="zh-CN"/>
        </w:rPr>
      </w:pPr>
      <w:bookmarkStart w:id="990" w:name="_Toc4772"/>
      <w:bookmarkStart w:id="991" w:name="_Toc19201"/>
      <w:bookmarkStart w:id="992" w:name="_Toc30360"/>
      <w:bookmarkStart w:id="993" w:name="_Toc18747"/>
      <w:bookmarkStart w:id="994" w:name="_Toc19212"/>
      <w:bookmarkStart w:id="995" w:name="_Toc19310"/>
      <w:bookmarkStart w:id="996" w:name="_Toc26986"/>
      <w:bookmarkStart w:id="997" w:name="_Toc12137"/>
      <w:bookmarkStart w:id="998" w:name="_Toc30980"/>
      <w:bookmarkStart w:id="999" w:name="_Toc6789"/>
      <w:bookmarkStart w:id="1000" w:name="_Toc21247"/>
      <w:bookmarkStart w:id="1001" w:name="_Toc875"/>
      <w:bookmarkStart w:id="1002" w:name="_Toc15513"/>
      <w:bookmarkStart w:id="1003" w:name="_Toc26625"/>
      <w:bookmarkStart w:id="1004" w:name="_Toc7010"/>
      <w:bookmarkStart w:id="1005" w:name="_Toc5602"/>
      <w:bookmarkStart w:id="1006" w:name="_Toc30694"/>
      <w:bookmarkStart w:id="1007" w:name="_Toc27652"/>
      <w:bookmarkStart w:id="1008" w:name="_Toc11246"/>
      <w:bookmarkStart w:id="1009" w:name="_Toc29444"/>
      <w:bookmarkStart w:id="1010" w:name="_Toc16081"/>
      <w:r>
        <w:rPr>
          <w:rFonts w:hint="eastAsia" w:ascii="宋体" w:hAnsi="宋体" w:eastAsia="宋体" w:cs="宋体"/>
          <w:color w:val="auto"/>
          <w:sz w:val="24"/>
          <w:szCs w:val="24"/>
          <w:lang w:eastAsia="zh-CN"/>
        </w:rPr>
        <w:t>9.3需要补充的其他内容：见</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须知前附表。</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Start w:id="1011" w:name="_Toc92998100"/>
      <w:bookmarkStart w:id="1012" w:name="_Toc93564616"/>
    </w:p>
    <w:p w14:paraId="02D0D3CB">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b/>
          <w:bCs/>
          <w:color w:val="auto"/>
          <w:sz w:val="24"/>
          <w:szCs w:val="24"/>
          <w:lang w:eastAsia="zh-CN"/>
        </w:rPr>
      </w:pPr>
      <w:bookmarkStart w:id="1013" w:name="_Toc1705"/>
      <w:bookmarkStart w:id="1014" w:name="_Toc17919"/>
      <w:bookmarkStart w:id="1015" w:name="_Toc4039"/>
      <w:r>
        <w:rPr>
          <w:rFonts w:hint="eastAsia" w:ascii="宋体" w:hAnsi="宋体" w:eastAsia="宋体" w:cs="宋体"/>
          <w:color w:val="auto"/>
          <w:sz w:val="24"/>
          <w:szCs w:val="24"/>
          <w:lang w:eastAsia="zh-CN"/>
        </w:rPr>
        <w:t>10.政府采购政策</w:t>
      </w:r>
      <w:bookmarkEnd w:id="1011"/>
      <w:bookmarkEnd w:id="1012"/>
      <w:bookmarkEnd w:id="1013"/>
      <w:bookmarkEnd w:id="1014"/>
      <w:bookmarkEnd w:id="1015"/>
    </w:p>
    <w:p w14:paraId="0CC227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16" w:name="_Toc10813"/>
      <w:bookmarkStart w:id="1017" w:name="_Toc31478"/>
      <w:bookmarkStart w:id="1018" w:name="_Toc4197"/>
      <w:bookmarkStart w:id="1019" w:name="_Toc18342"/>
      <w:bookmarkStart w:id="1020" w:name="_Toc14837"/>
      <w:bookmarkStart w:id="1021" w:name="_Toc7924"/>
      <w:bookmarkStart w:id="1022" w:name="_Toc21397"/>
      <w:bookmarkStart w:id="1023" w:name="_Toc22385"/>
      <w:bookmarkStart w:id="1024" w:name="_Toc21205"/>
      <w:bookmarkStart w:id="1025" w:name="_Toc25194"/>
      <w:bookmarkStart w:id="1026" w:name="_Toc1985"/>
      <w:bookmarkStart w:id="1027" w:name="_Toc4790"/>
      <w:bookmarkStart w:id="1028" w:name="_Toc26873"/>
      <w:bookmarkStart w:id="1029" w:name="_Toc22734"/>
      <w:bookmarkStart w:id="1030" w:name="_Toc23585"/>
      <w:bookmarkStart w:id="1031" w:name="_Toc32297"/>
      <w:bookmarkStart w:id="1032" w:name="_Toc3273"/>
      <w:bookmarkStart w:id="1033" w:name="_Toc6662"/>
      <w:bookmarkStart w:id="1034" w:name="_Toc27120"/>
      <w:bookmarkStart w:id="1035" w:name="_Toc4635"/>
      <w:bookmarkStart w:id="1036" w:name="_Toc4510"/>
      <w:r>
        <w:rPr>
          <w:rFonts w:hint="eastAsia" w:ascii="宋体" w:hAnsi="宋体" w:eastAsia="宋体" w:cs="宋体"/>
          <w:b/>
          <w:bCs/>
          <w:color w:val="auto"/>
          <w:sz w:val="24"/>
          <w:szCs w:val="24"/>
          <w:lang w:eastAsia="zh-CN"/>
        </w:rPr>
        <w:t>10.1关于中小企业</w:t>
      </w:r>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16F870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63758A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10.1.2在政府采购活动中，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提供的货物、工程或者服务符合下列情形的，享受中小企业扶持政策：</w:t>
      </w:r>
    </w:p>
    <w:p w14:paraId="61161C2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（一）在货物采购项目中，货物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中小企业制造，即货物</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lang w:eastAsia="zh-CN"/>
        </w:rPr>
        <w:t>中小企业生产且使用该中小企业商号或者注册商标；</w:t>
      </w:r>
    </w:p>
    <w:p w14:paraId="740B27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（二）在工程采购项目中，工程由中小企业承建，即工程施工单位为中小企业；</w:t>
      </w:r>
    </w:p>
    <w:p w14:paraId="3034C32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（三）在服务采购项目中，服务由中小企业承接，即提供服务的人员为中小企业依照《中华人民共和国劳动合同法》订立劳动合同的从业人员。</w:t>
      </w:r>
    </w:p>
    <w:p w14:paraId="2166D20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在货物采购项目中，</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提供的货物既有中小企业制造货物，也有大型企业制造货物的，不享受本办法规定的中小企业扶持政策。</w:t>
      </w:r>
    </w:p>
    <w:p w14:paraId="0A2573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以联合体形式参加政府采购活动，联合体各方均为中小企业的，联合体视同中小企业。其中，联合体各方均为小微企业的，联合体视同小微企业。</w:t>
      </w:r>
    </w:p>
    <w:p w14:paraId="5E47F1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10.1.3依据《政府采购促进中小企业发展管理办法》（财库〔2020〕46号）规定享受扶持政策获得政府采购合同的，小微企业不得将合同分包给大中型企业，中型企业不得将合同分包给大型企业。</w:t>
      </w:r>
    </w:p>
    <w:p w14:paraId="0B5E055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10.1.4中小企业参加政府采购活动，应当出具本办法规定的《中小企业声明函》（后附），否则不得享受相关中小企业扶持政策。</w:t>
      </w:r>
    </w:p>
    <w:p w14:paraId="7D810F4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10.1.5本项目针对小微企业报价给予10%的扣除，用扣除后的价格参与评审。残疾人福利性单位属于小型、微型企业、监狱企业的，不重复享受政策。</w:t>
      </w:r>
    </w:p>
    <w:p w14:paraId="08F3D95E">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37" w:name="_Toc24419"/>
      <w:bookmarkStart w:id="1038" w:name="_Toc23131"/>
      <w:bookmarkStart w:id="1039" w:name="_Toc26450"/>
      <w:bookmarkStart w:id="1040" w:name="_Toc28330"/>
      <w:bookmarkStart w:id="1041" w:name="_Toc13561"/>
      <w:bookmarkStart w:id="1042" w:name="_Toc14557"/>
      <w:bookmarkStart w:id="1043" w:name="_Toc10464"/>
      <w:bookmarkStart w:id="1044" w:name="_Toc24584"/>
      <w:bookmarkStart w:id="1045" w:name="_Toc25071"/>
      <w:bookmarkStart w:id="1046" w:name="_Toc14125"/>
      <w:bookmarkStart w:id="1047" w:name="_Toc12318"/>
      <w:bookmarkStart w:id="1048" w:name="_Toc18855"/>
      <w:bookmarkStart w:id="1049" w:name="_Toc5892"/>
      <w:bookmarkStart w:id="1050" w:name="_Toc25448"/>
      <w:bookmarkStart w:id="1051" w:name="_Toc27763"/>
      <w:bookmarkStart w:id="1052" w:name="_Toc18063"/>
      <w:bookmarkStart w:id="1053" w:name="_Toc9320"/>
      <w:bookmarkStart w:id="1054" w:name="_Toc30609"/>
      <w:bookmarkStart w:id="1055" w:name="_Toc16854"/>
      <w:bookmarkStart w:id="1056" w:name="_Toc26464"/>
      <w:bookmarkStart w:id="1057" w:name="_Toc23403"/>
      <w:r>
        <w:rPr>
          <w:rFonts w:hint="eastAsia" w:ascii="宋体" w:hAnsi="宋体" w:eastAsia="宋体" w:cs="宋体"/>
          <w:b/>
          <w:bCs/>
          <w:color w:val="auto"/>
          <w:sz w:val="24"/>
          <w:szCs w:val="24"/>
          <w:lang w:eastAsia="zh-CN"/>
        </w:rPr>
        <w:t>10.2关于残疾人福利性单位</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14:paraId="12B3923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10.2.1根据《关于促进残疾人就业政府采购政策的通知》（财库〔2017〕141号）的规定，享受政府采购支持政策的残疾人福利性单位应当同时满足以下条件：</w:t>
      </w:r>
    </w:p>
    <w:p w14:paraId="70C85B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（一）安置的残疾人占本单位在职职工人数的比例不低于25%（含25%），并且安置的残疾人人数不少于10人（含10人）；</w:t>
      </w:r>
    </w:p>
    <w:p w14:paraId="3246CE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（二）依法与安置的每位残疾人签订了一年以上（含一年）的劳动合同或服务协议；</w:t>
      </w:r>
    </w:p>
    <w:p w14:paraId="0DD0AB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（三）为安置的每位残疾人按月足额缴纳了基本养老保险、基本医疗保险、失业保险、工伤保险和生育保险等社会保险费；</w:t>
      </w:r>
    </w:p>
    <w:p w14:paraId="2045887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（四）通过银行等金融机构向安置的每位残疾人，按月支付了不低于单位所在区县适用的经省级人民政府批准的月最低工资标准的工资；</w:t>
      </w:r>
    </w:p>
    <w:p w14:paraId="10DF0AE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（五）提供本单位制造的货物、承担的工程或者服务（以下简称产品），或者提供其他残疾人福利性单位制造的货物（不包括使用非残疾人福利性单位注册商标的货物）。</w:t>
      </w:r>
    </w:p>
    <w:p w14:paraId="775FD3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2BE6D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10.2.2符合条件的残疾人福利性单位在参加政府采购活动时，应当按《三部门联合发布关于促进残疾人就业政府采购政策的通知》（财库〔2017〕141号）提供规定的《残疾人福利性单位声明函》，并对声明的真实性负责。</w:t>
      </w:r>
    </w:p>
    <w:p w14:paraId="3163EA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10.2.3本项目针对残疾人福利性单位产品的价格给予10%的扣除，</w:t>
      </w:r>
      <w:bookmarkStart w:id="1058" w:name="_Hlk92451014"/>
      <w:r>
        <w:rPr>
          <w:rFonts w:hint="eastAsia" w:ascii="宋体" w:hAnsi="宋体" w:eastAsia="宋体" w:cs="宋体"/>
          <w:color w:val="auto"/>
          <w:sz w:val="24"/>
          <w:szCs w:val="24"/>
          <w:lang w:eastAsia="zh-CN"/>
        </w:rPr>
        <w:t>用扣除后的价格参与评审。残疾人福利性单位属于小型、微型企业、监狱企业的，不重复享受政策。</w:t>
      </w:r>
      <w:bookmarkEnd w:id="1058"/>
    </w:p>
    <w:p w14:paraId="5CC032D9">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59" w:name="_Toc21410"/>
      <w:bookmarkStart w:id="1060" w:name="_Toc18091"/>
      <w:bookmarkStart w:id="1061" w:name="_Toc30148"/>
      <w:bookmarkStart w:id="1062" w:name="_Toc12803"/>
      <w:bookmarkStart w:id="1063" w:name="_Toc5994"/>
      <w:bookmarkStart w:id="1064" w:name="_Toc32466"/>
      <w:bookmarkStart w:id="1065" w:name="_Toc14900"/>
      <w:bookmarkStart w:id="1066" w:name="_Toc4967"/>
      <w:bookmarkStart w:id="1067" w:name="_Toc12326"/>
      <w:bookmarkStart w:id="1068" w:name="_Toc18644"/>
      <w:bookmarkStart w:id="1069" w:name="_Toc18013"/>
      <w:bookmarkStart w:id="1070" w:name="_Toc30074"/>
      <w:bookmarkStart w:id="1071" w:name="_Toc18563"/>
      <w:bookmarkStart w:id="1072" w:name="_Toc13318"/>
      <w:bookmarkStart w:id="1073" w:name="_Toc32119"/>
      <w:bookmarkStart w:id="1074" w:name="_Toc13224"/>
      <w:bookmarkStart w:id="1075" w:name="_Toc20795"/>
      <w:bookmarkStart w:id="1076" w:name="_Toc4230"/>
      <w:bookmarkStart w:id="1077" w:name="_Toc8916"/>
      <w:bookmarkStart w:id="1078" w:name="_Toc14019"/>
      <w:bookmarkStart w:id="1079" w:name="_Toc5069"/>
      <w:r>
        <w:rPr>
          <w:rFonts w:hint="eastAsia" w:ascii="宋体" w:hAnsi="宋体" w:eastAsia="宋体" w:cs="宋体"/>
          <w:b/>
          <w:bCs/>
          <w:color w:val="auto"/>
          <w:sz w:val="24"/>
          <w:szCs w:val="24"/>
          <w:lang w:eastAsia="zh-CN"/>
        </w:rPr>
        <w:t>10.3关于监狱企业</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5D236EE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10.3.1依照〈财政部、司法部关于政府采购支持监狱企业发展有关问题的通知〉（财库〔2014〕68号）之规定，监狱企业应当符合以下条件：</w:t>
      </w:r>
    </w:p>
    <w:p w14:paraId="3621CA7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A9A2D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10.3.3 监狱企业参加政府采购活动时，视同小型、微型企业，应当提供由省级以上监狱管理局、戒毒管理局（含新疆生产建设兵团）出具的属于监狱企业的证明文件。</w:t>
      </w:r>
    </w:p>
    <w:p w14:paraId="15946E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10.3.4在政府采购活动中，监狱企业视同小型、微型企业，享受预留份额、评审中价格扣除等政府采购促进中小企业发展的政府采购政策。</w:t>
      </w:r>
    </w:p>
    <w:p w14:paraId="51C43B85">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left"/>
        <w:textAlignment w:val="auto"/>
        <w:outlineLvl w:val="2"/>
        <w:rPr>
          <w:rFonts w:hint="eastAsia" w:ascii="宋体" w:hAnsi="宋体" w:eastAsia="宋体" w:cs="宋体"/>
          <w:b/>
          <w:bCs/>
          <w:color w:val="auto"/>
          <w:sz w:val="24"/>
          <w:szCs w:val="24"/>
          <w:lang w:eastAsia="zh-CN"/>
        </w:rPr>
      </w:pPr>
      <w:bookmarkStart w:id="1080" w:name="_Toc28275"/>
      <w:bookmarkStart w:id="1081" w:name="_Toc18497"/>
      <w:bookmarkStart w:id="1082" w:name="_Toc3601"/>
      <w:bookmarkStart w:id="1083" w:name="_Toc18918"/>
      <w:bookmarkStart w:id="1084" w:name="_Toc32120"/>
      <w:bookmarkStart w:id="1085" w:name="_Toc25834"/>
      <w:bookmarkStart w:id="1086" w:name="_Toc24366"/>
      <w:bookmarkStart w:id="1087" w:name="_Toc31334"/>
      <w:bookmarkStart w:id="1088" w:name="_Toc15107"/>
      <w:bookmarkStart w:id="1089" w:name="_Toc3072"/>
      <w:bookmarkStart w:id="1090" w:name="_Toc4251"/>
      <w:bookmarkStart w:id="1091" w:name="_Toc3063"/>
      <w:bookmarkStart w:id="1092" w:name="_Toc32189"/>
      <w:bookmarkStart w:id="1093" w:name="_Toc998"/>
      <w:bookmarkStart w:id="1094" w:name="_Toc13576"/>
      <w:bookmarkStart w:id="1095" w:name="_Toc27147"/>
      <w:bookmarkStart w:id="1096" w:name="_Toc7071"/>
      <w:bookmarkStart w:id="1097" w:name="_Toc27301"/>
      <w:bookmarkStart w:id="1098" w:name="_Toc11183"/>
      <w:bookmarkStart w:id="1099" w:name="_Toc18066"/>
      <w:bookmarkStart w:id="1100" w:name="_Toc21064"/>
      <w:r>
        <w:rPr>
          <w:rFonts w:hint="eastAsia" w:ascii="宋体" w:hAnsi="宋体" w:eastAsia="宋体" w:cs="宋体"/>
          <w:b/>
          <w:bCs/>
          <w:color w:val="auto"/>
          <w:sz w:val="24"/>
          <w:szCs w:val="24"/>
          <w:lang w:eastAsia="zh-CN"/>
        </w:rPr>
        <w:t>10.4关于节能产品及环境标志产品</w:t>
      </w:r>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14:paraId="0BFD14D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10.4.1</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提供经国家认定的节能产品或环保产品须提供有效证明材料方可</w:t>
      </w:r>
      <w:r>
        <w:rPr>
          <w:rFonts w:hint="eastAsia" w:ascii="宋体" w:hAnsi="宋体" w:cs="宋体"/>
          <w:color w:val="auto"/>
          <w:sz w:val="24"/>
          <w:szCs w:val="24"/>
          <w:lang w:eastAsia="zh-CN"/>
        </w:rPr>
        <w:t>得</w:t>
      </w:r>
      <w:r>
        <w:rPr>
          <w:rFonts w:hint="eastAsia" w:ascii="宋体" w:hAnsi="宋体" w:eastAsia="宋体" w:cs="宋体"/>
          <w:color w:val="auto"/>
          <w:sz w:val="24"/>
          <w:szCs w:val="24"/>
          <w:lang w:eastAsia="zh-CN"/>
        </w:rPr>
        <w:t>分。</w:t>
      </w:r>
    </w:p>
    <w:p w14:paraId="502A1F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10.4.2节能产品是指列入财政部和发展改革委公布的《关于印发节能产品政府采购品目清单的通知》（财库〔2019〕19号）《节能产品政府采购品目清单》中的产品，其中以标注的政府强制采购产品。</w:t>
      </w:r>
    </w:p>
    <w:p w14:paraId="5DD3E7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10.4.3环境标志产品是指列入财政部和生态环境部公布的《关于印发环境标志产品政府采购品目清单的通知》（财库〔2019〕18号）《环境标志产品政府采购品目清单》中的产品。</w:t>
      </w:r>
    </w:p>
    <w:p w14:paraId="585DF2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10.4.4产品属于节能产品或环境标志产品的，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D75CF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10.4.5</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应在投标文件中提供所投标产品国家确定的认证机构出具的、处于有效期之内的节能产品、环境标志产品认证证书，否则不予认可。</w:t>
      </w:r>
    </w:p>
    <w:p w14:paraId="6A86ECC0">
      <w:pPr>
        <w:keepNext w:val="0"/>
        <w:keepLines w:val="0"/>
        <w:pageBreakBefore w:val="0"/>
        <w:widowControl w:val="0"/>
        <w:tabs>
          <w:tab w:val="left" w:pos="5727"/>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10.4.6《节能产品政府采购品目清单》及《环境标志产品政府采购品目清单》可通过中国政府采购网（http://www.ccgp.gov.cn/ ）查阅、下载。认证机构名录如若以现行最新规定为准。</w:t>
      </w:r>
      <w:bookmarkStart w:id="1101" w:name="_Toc23051"/>
      <w:bookmarkStart w:id="1102" w:name="_Toc17204"/>
      <w:bookmarkStart w:id="1103" w:name="_Toc23455"/>
      <w:bookmarkStart w:id="1104" w:name="_Toc22572"/>
    </w:p>
    <w:p w14:paraId="7BAA192C">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both"/>
        <w:textAlignment w:val="auto"/>
        <w:rPr>
          <w:rFonts w:hint="eastAsia" w:ascii="宋体" w:hAnsi="宋体" w:eastAsia="宋体" w:cs="宋体"/>
          <w:b/>
          <w:bCs/>
          <w:color w:val="auto"/>
          <w:sz w:val="24"/>
          <w:szCs w:val="24"/>
          <w:lang w:val="en-US" w:eastAsia="zh-CN"/>
        </w:rPr>
      </w:pPr>
      <w:bookmarkStart w:id="1105" w:name="_Toc27765"/>
      <w:bookmarkStart w:id="1106" w:name="_Toc31717"/>
      <w:bookmarkStart w:id="1107" w:name="_Toc24756"/>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其他事项</w:t>
      </w:r>
      <w:bookmarkEnd w:id="1101"/>
      <w:bookmarkEnd w:id="1102"/>
      <w:bookmarkEnd w:id="1103"/>
      <w:bookmarkEnd w:id="1104"/>
      <w:bookmarkEnd w:id="1105"/>
      <w:bookmarkEnd w:id="1106"/>
      <w:bookmarkEnd w:id="1107"/>
      <w:bookmarkStart w:id="1108" w:name="_Toc25411"/>
      <w:bookmarkStart w:id="1109" w:name="_Toc6960"/>
      <w:bookmarkStart w:id="1110" w:name="_Toc17623"/>
      <w:bookmarkStart w:id="1111" w:name="_Toc78"/>
      <w:bookmarkStart w:id="1112" w:name="_Toc4845"/>
      <w:bookmarkStart w:id="1113" w:name="_Toc15144"/>
      <w:bookmarkStart w:id="1114" w:name="_Toc30456"/>
      <w:bookmarkStart w:id="1115" w:name="_Toc13534"/>
      <w:bookmarkStart w:id="1116" w:name="_Toc31643"/>
      <w:bookmarkStart w:id="1117" w:name="_Toc13632"/>
      <w:bookmarkStart w:id="1118" w:name="_Toc27440"/>
      <w:bookmarkStart w:id="1119" w:name="_Toc3018"/>
      <w:bookmarkStart w:id="1120" w:name="_Toc26225"/>
      <w:bookmarkStart w:id="1121" w:name="_Toc13124"/>
      <w:bookmarkStart w:id="1122" w:name="_Toc17099"/>
      <w:bookmarkStart w:id="1123" w:name="_Toc11513"/>
      <w:bookmarkStart w:id="1124" w:name="_Toc12444"/>
      <w:bookmarkStart w:id="1125" w:name="_Toc931"/>
    </w:p>
    <w:p w14:paraId="17E7386D">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both"/>
        <w:textAlignment w:val="auto"/>
        <w:outlineLvl w:val="9"/>
        <w:rPr>
          <w:rFonts w:hint="eastAsia" w:ascii="宋体" w:hAnsi="宋体" w:eastAsia="宋体" w:cs="宋体"/>
          <w:b/>
          <w:bCs/>
          <w:color w:val="auto"/>
          <w:sz w:val="24"/>
          <w:szCs w:val="24"/>
        </w:rPr>
      </w:pPr>
      <w:bookmarkStart w:id="1126" w:name="_Toc3608"/>
      <w:bookmarkStart w:id="1127" w:name="_Toc27783"/>
      <w:bookmarkStart w:id="1128" w:name="_Toc22338"/>
      <w:bookmarkStart w:id="1129" w:name="_Toc24159"/>
      <w:bookmarkStart w:id="1130" w:name="_Toc23525"/>
      <w:bookmarkStart w:id="1131" w:name="_Toc7578"/>
      <w:bookmarkStart w:id="1132" w:name="_Toc3552"/>
      <w:bookmarkStart w:id="1133" w:name="_Toc15118"/>
      <w:bookmarkStart w:id="1134" w:name="_Toc5246"/>
      <w:bookmarkStart w:id="1135" w:name="_Toc17613"/>
      <w:bookmarkStart w:id="1136" w:name="_Toc12239"/>
      <w:bookmarkStart w:id="1137" w:name="_Toc20254"/>
      <w:bookmarkStart w:id="1138" w:name="_Toc3597"/>
      <w:bookmarkStart w:id="1139" w:name="_Toc19371"/>
      <w:bookmarkStart w:id="1140" w:name="_Toc11657"/>
      <w:bookmarkStart w:id="1141" w:name="_Toc13028"/>
      <w:bookmarkStart w:id="1142" w:name="_Toc19018"/>
      <w:bookmarkStart w:id="1143" w:name="_Toc7164"/>
      <w:bookmarkStart w:id="1144" w:name="_Toc19322"/>
      <w:bookmarkStart w:id="1145" w:name="_Toc30109"/>
      <w:bookmarkStart w:id="1146" w:name="_Toc32001"/>
      <w:bookmarkStart w:id="1147" w:name="_Toc4627"/>
      <w:bookmarkStart w:id="1148" w:name="_Toc24325"/>
      <w:r>
        <w:rPr>
          <w:rFonts w:hint="eastAsia" w:ascii="宋体" w:hAnsi="宋体" w:eastAsia="宋体" w:cs="宋体"/>
          <w:b/>
          <w:bCs/>
          <w:color w:val="auto"/>
          <w:sz w:val="24"/>
          <w:szCs w:val="24"/>
          <w:lang w:val="en-US" w:eastAsia="zh-CN"/>
        </w:rPr>
        <w:t>11.1</w:t>
      </w:r>
      <w:r>
        <w:rPr>
          <w:rFonts w:hint="eastAsia" w:ascii="宋体" w:hAnsi="宋体" w:eastAsia="宋体" w:cs="宋体"/>
          <w:b/>
          <w:bCs/>
          <w:color w:val="auto"/>
          <w:sz w:val="24"/>
          <w:szCs w:val="24"/>
        </w:rPr>
        <w:t>采购代理服务费</w:t>
      </w:r>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5826D784">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招标代理服务费</w:t>
      </w:r>
      <w:r>
        <w:rPr>
          <w:rFonts w:hint="eastAsia" w:ascii="宋体" w:hAnsi="宋体" w:eastAsia="宋体" w:cs="宋体"/>
          <w:color w:val="auto"/>
          <w:sz w:val="24"/>
          <w:szCs w:val="24"/>
          <w:lang w:eastAsia="zh-CN"/>
        </w:rPr>
        <w:t>取费标准</w:t>
      </w:r>
    </w:p>
    <w:p w14:paraId="3FFACD72">
      <w:pPr>
        <w:pStyle w:val="28"/>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采购代理机</w:t>
      </w:r>
      <w:r>
        <w:rPr>
          <w:rFonts w:hint="eastAsia" w:ascii="宋体" w:hAnsi="宋体" w:eastAsia="宋体" w:cs="宋体"/>
          <w:i w:val="0"/>
          <w:iCs w:val="0"/>
          <w:color w:val="auto"/>
          <w:sz w:val="24"/>
          <w:szCs w:val="24"/>
          <w:highlight w:val="none"/>
          <w:lang w:eastAsia="zh-CN"/>
        </w:rPr>
        <w:t>构按以下</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b/>
          <w:bCs/>
          <w:i w:val="0"/>
          <w:iCs w:val="0"/>
          <w:color w:val="auto"/>
          <w:sz w:val="24"/>
          <w:szCs w:val="24"/>
          <w:highlight w:val="none"/>
          <w:u w:val="single"/>
          <w:lang w:eastAsia="zh-CN"/>
        </w:rPr>
        <w:t>货物</w:t>
      </w:r>
      <w:r>
        <w:rPr>
          <w:rFonts w:hint="eastAsia" w:ascii="宋体" w:hAnsi="宋体" w:eastAsia="宋体" w:cs="宋体"/>
          <w:b/>
          <w:bCs/>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招标收费标准向中</w:t>
      </w:r>
      <w:r>
        <w:rPr>
          <w:rFonts w:hint="eastAsia" w:ascii="宋体" w:hAnsi="宋体" w:eastAsia="宋体" w:cs="宋体"/>
          <w:color w:val="auto"/>
          <w:sz w:val="24"/>
          <w:szCs w:val="24"/>
          <w:highlight w:val="none"/>
          <w:lang w:eastAsia="zh-CN"/>
        </w:rPr>
        <w:t>标人收取招标代理服务费：</w:t>
      </w:r>
    </w:p>
    <w:tbl>
      <w:tblPr>
        <w:tblStyle w:val="67"/>
        <w:tblW w:w="96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50"/>
        <w:gridCol w:w="2113"/>
        <w:gridCol w:w="2113"/>
        <w:gridCol w:w="2923"/>
      </w:tblGrid>
      <w:tr w14:paraId="5E85693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550" w:type="dxa"/>
            <w:vMerge w:val="restart"/>
            <w:noWrap w:val="0"/>
            <w:vAlign w:val="center"/>
          </w:tcPr>
          <w:p w14:paraId="37098D05">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中标金额</w:t>
            </w:r>
          </w:p>
          <w:p w14:paraId="61F478C6">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（万元）</w:t>
            </w:r>
          </w:p>
        </w:tc>
        <w:tc>
          <w:tcPr>
            <w:tcW w:w="7149" w:type="dxa"/>
            <w:gridSpan w:val="3"/>
            <w:noWrap w:val="0"/>
            <w:vAlign w:val="center"/>
          </w:tcPr>
          <w:p w14:paraId="48D4A88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收费标准</w:t>
            </w:r>
          </w:p>
        </w:tc>
      </w:tr>
      <w:tr w14:paraId="7F816DC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2550" w:type="dxa"/>
            <w:vMerge w:val="continue"/>
            <w:shd w:val="clear" w:color="auto" w:fill="auto"/>
            <w:noWrap w:val="0"/>
            <w:vAlign w:val="center"/>
          </w:tcPr>
          <w:p w14:paraId="7754FC4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p>
        </w:tc>
        <w:tc>
          <w:tcPr>
            <w:tcW w:w="2113" w:type="dxa"/>
            <w:shd w:val="clear" w:color="auto" w:fill="FFFF00"/>
            <w:noWrap w:val="0"/>
            <w:vAlign w:val="center"/>
          </w:tcPr>
          <w:p w14:paraId="3028F040">
            <w:pPr>
              <w:jc w:val="center"/>
              <w:rPr>
                <w:rFonts w:hint="eastAsia"/>
                <w:color w:val="auto"/>
              </w:rPr>
            </w:pPr>
            <w:r>
              <w:rPr>
                <w:rFonts w:hint="eastAsia"/>
                <w:color w:val="auto"/>
              </w:rPr>
              <w:t>货物招标</w:t>
            </w:r>
          </w:p>
        </w:tc>
        <w:tc>
          <w:tcPr>
            <w:tcW w:w="2113" w:type="dxa"/>
            <w:noWrap w:val="0"/>
            <w:vAlign w:val="center"/>
          </w:tcPr>
          <w:p w14:paraId="565867E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服务招标</w:t>
            </w:r>
          </w:p>
        </w:tc>
        <w:tc>
          <w:tcPr>
            <w:tcW w:w="2923" w:type="dxa"/>
            <w:noWrap w:val="0"/>
            <w:vAlign w:val="center"/>
          </w:tcPr>
          <w:p w14:paraId="2F88F16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工程招标</w:t>
            </w:r>
          </w:p>
        </w:tc>
      </w:tr>
      <w:tr w14:paraId="7B44576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550" w:type="dxa"/>
            <w:shd w:val="clear" w:color="auto" w:fill="auto"/>
            <w:noWrap w:val="0"/>
            <w:vAlign w:val="center"/>
          </w:tcPr>
          <w:p w14:paraId="2ED0B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100以下</w:t>
            </w:r>
          </w:p>
        </w:tc>
        <w:tc>
          <w:tcPr>
            <w:tcW w:w="2113" w:type="dxa"/>
            <w:shd w:val="clear" w:color="auto" w:fill="FFFF00"/>
            <w:noWrap w:val="0"/>
            <w:vAlign w:val="center"/>
          </w:tcPr>
          <w:p w14:paraId="00B6C19D">
            <w:pPr>
              <w:jc w:val="center"/>
              <w:rPr>
                <w:rFonts w:hint="eastAsia"/>
                <w:color w:val="auto"/>
              </w:rPr>
            </w:pPr>
            <w:r>
              <w:rPr>
                <w:rFonts w:hint="eastAsia"/>
                <w:color w:val="auto"/>
              </w:rPr>
              <w:t>1.5%</w:t>
            </w:r>
          </w:p>
        </w:tc>
        <w:tc>
          <w:tcPr>
            <w:tcW w:w="2113" w:type="dxa"/>
            <w:noWrap w:val="0"/>
            <w:vAlign w:val="center"/>
          </w:tcPr>
          <w:p w14:paraId="157A3BD9">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1.5%</w:t>
            </w:r>
          </w:p>
        </w:tc>
        <w:tc>
          <w:tcPr>
            <w:tcW w:w="2923" w:type="dxa"/>
            <w:noWrap w:val="0"/>
            <w:vAlign w:val="center"/>
          </w:tcPr>
          <w:p w14:paraId="5E7DA5F2">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w:t>
            </w:r>
          </w:p>
        </w:tc>
      </w:tr>
      <w:tr w14:paraId="68549F3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550" w:type="dxa"/>
            <w:shd w:val="clear" w:color="auto" w:fill="auto"/>
            <w:noWrap w:val="0"/>
            <w:vAlign w:val="center"/>
          </w:tcPr>
          <w:p w14:paraId="4EDE3D5C">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100—500</w:t>
            </w:r>
          </w:p>
        </w:tc>
        <w:tc>
          <w:tcPr>
            <w:tcW w:w="2113" w:type="dxa"/>
            <w:shd w:val="clear" w:color="auto" w:fill="FFFF00"/>
            <w:noWrap w:val="0"/>
            <w:vAlign w:val="center"/>
          </w:tcPr>
          <w:p w14:paraId="135E8EF6">
            <w:pPr>
              <w:jc w:val="center"/>
              <w:rPr>
                <w:rFonts w:hint="eastAsia"/>
                <w:color w:val="auto"/>
              </w:rPr>
            </w:pPr>
            <w:r>
              <w:rPr>
                <w:rFonts w:hint="eastAsia"/>
                <w:color w:val="auto"/>
              </w:rPr>
              <w:t>1.1%</w:t>
            </w:r>
          </w:p>
        </w:tc>
        <w:tc>
          <w:tcPr>
            <w:tcW w:w="2113" w:type="dxa"/>
            <w:noWrap w:val="0"/>
            <w:vAlign w:val="center"/>
          </w:tcPr>
          <w:p w14:paraId="5153D6FB">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0.8%</w:t>
            </w:r>
          </w:p>
        </w:tc>
        <w:tc>
          <w:tcPr>
            <w:tcW w:w="2923" w:type="dxa"/>
            <w:noWrap w:val="0"/>
            <w:vAlign w:val="center"/>
          </w:tcPr>
          <w:p w14:paraId="449743A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0.7%</w:t>
            </w:r>
          </w:p>
        </w:tc>
      </w:tr>
      <w:tr w14:paraId="3615DAB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550" w:type="dxa"/>
            <w:shd w:val="clear" w:color="auto" w:fill="auto"/>
            <w:noWrap w:val="0"/>
            <w:vAlign w:val="center"/>
          </w:tcPr>
          <w:p w14:paraId="3FBB71F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500—1000</w:t>
            </w:r>
          </w:p>
        </w:tc>
        <w:tc>
          <w:tcPr>
            <w:tcW w:w="2113" w:type="dxa"/>
            <w:shd w:val="clear" w:color="auto" w:fill="FFFF00"/>
            <w:noWrap w:val="0"/>
            <w:vAlign w:val="center"/>
          </w:tcPr>
          <w:p w14:paraId="16CC91A2">
            <w:pPr>
              <w:jc w:val="center"/>
              <w:rPr>
                <w:rFonts w:hint="eastAsia"/>
                <w:color w:val="auto"/>
              </w:rPr>
            </w:pPr>
            <w:r>
              <w:rPr>
                <w:rFonts w:hint="eastAsia"/>
                <w:color w:val="auto"/>
              </w:rPr>
              <w:t>0.8%</w:t>
            </w:r>
          </w:p>
        </w:tc>
        <w:tc>
          <w:tcPr>
            <w:tcW w:w="2113" w:type="dxa"/>
            <w:noWrap w:val="0"/>
            <w:vAlign w:val="center"/>
          </w:tcPr>
          <w:p w14:paraId="6BABA79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0.45%</w:t>
            </w:r>
          </w:p>
        </w:tc>
        <w:tc>
          <w:tcPr>
            <w:tcW w:w="2923" w:type="dxa"/>
            <w:noWrap w:val="0"/>
            <w:vAlign w:val="center"/>
          </w:tcPr>
          <w:p w14:paraId="75ECCFC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0.55%</w:t>
            </w:r>
          </w:p>
        </w:tc>
      </w:tr>
      <w:tr w14:paraId="5DE1274E">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2550" w:type="dxa"/>
            <w:shd w:val="clear" w:color="auto" w:fill="auto"/>
            <w:noWrap w:val="0"/>
            <w:vAlign w:val="center"/>
          </w:tcPr>
          <w:p w14:paraId="13C8E03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1000—5000</w:t>
            </w:r>
          </w:p>
        </w:tc>
        <w:tc>
          <w:tcPr>
            <w:tcW w:w="2113" w:type="dxa"/>
            <w:shd w:val="clear" w:color="auto" w:fill="FFFF00"/>
            <w:noWrap w:val="0"/>
            <w:vAlign w:val="center"/>
          </w:tcPr>
          <w:p w14:paraId="6FA88DEB">
            <w:pPr>
              <w:jc w:val="center"/>
              <w:rPr>
                <w:rFonts w:hint="eastAsia"/>
                <w:color w:val="auto"/>
              </w:rPr>
            </w:pPr>
            <w:r>
              <w:rPr>
                <w:rFonts w:hint="eastAsia"/>
                <w:color w:val="auto"/>
              </w:rPr>
              <w:t>0.5%</w:t>
            </w:r>
          </w:p>
        </w:tc>
        <w:tc>
          <w:tcPr>
            <w:tcW w:w="2113" w:type="dxa"/>
            <w:noWrap w:val="0"/>
            <w:vAlign w:val="center"/>
          </w:tcPr>
          <w:p w14:paraId="07CAA2E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0.25%</w:t>
            </w:r>
          </w:p>
        </w:tc>
        <w:tc>
          <w:tcPr>
            <w:tcW w:w="2923" w:type="dxa"/>
            <w:noWrap w:val="0"/>
            <w:vAlign w:val="center"/>
          </w:tcPr>
          <w:p w14:paraId="7FF0A33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0.35%</w:t>
            </w:r>
          </w:p>
        </w:tc>
      </w:tr>
      <w:tr w14:paraId="5C3C145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550" w:type="dxa"/>
            <w:shd w:val="clear" w:color="auto" w:fill="auto"/>
            <w:noWrap w:val="0"/>
            <w:vAlign w:val="center"/>
          </w:tcPr>
          <w:p w14:paraId="10B7250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5000—10000</w:t>
            </w:r>
          </w:p>
        </w:tc>
        <w:tc>
          <w:tcPr>
            <w:tcW w:w="2113" w:type="dxa"/>
            <w:shd w:val="clear" w:color="auto" w:fill="FFFF00"/>
            <w:noWrap w:val="0"/>
            <w:vAlign w:val="center"/>
          </w:tcPr>
          <w:p w14:paraId="4596D95E">
            <w:pPr>
              <w:jc w:val="center"/>
              <w:rPr>
                <w:rFonts w:hint="eastAsia"/>
                <w:color w:val="auto"/>
              </w:rPr>
            </w:pPr>
            <w:r>
              <w:rPr>
                <w:rFonts w:hint="eastAsia"/>
                <w:color w:val="auto"/>
              </w:rPr>
              <w:t>0.25%</w:t>
            </w:r>
          </w:p>
        </w:tc>
        <w:tc>
          <w:tcPr>
            <w:tcW w:w="2113" w:type="dxa"/>
            <w:noWrap w:val="0"/>
            <w:vAlign w:val="center"/>
          </w:tcPr>
          <w:p w14:paraId="6D8B32B7">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0.1%</w:t>
            </w:r>
          </w:p>
        </w:tc>
        <w:tc>
          <w:tcPr>
            <w:tcW w:w="2923" w:type="dxa"/>
            <w:noWrap w:val="0"/>
            <w:vAlign w:val="center"/>
          </w:tcPr>
          <w:p w14:paraId="7065B6A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0.2%</w:t>
            </w:r>
          </w:p>
        </w:tc>
      </w:tr>
    </w:tbl>
    <w:p w14:paraId="432079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11.1.2 </w:t>
      </w:r>
      <w:r>
        <w:rPr>
          <w:rFonts w:hint="eastAsia" w:ascii="宋体" w:hAnsi="宋体" w:eastAsia="宋体" w:cs="宋体"/>
          <w:color w:val="auto"/>
          <w:kern w:val="0"/>
          <w:sz w:val="24"/>
          <w:szCs w:val="24"/>
        </w:rPr>
        <w:t>招标代理服务收费按差额定率计算</w:t>
      </w:r>
      <w:r>
        <w:rPr>
          <w:rFonts w:hint="eastAsia" w:ascii="宋体" w:hAnsi="宋体" w:eastAsia="宋体" w:cs="宋体"/>
          <w:color w:val="auto"/>
          <w:kern w:val="0"/>
          <w:sz w:val="24"/>
          <w:szCs w:val="24"/>
          <w:lang w:val="en-US" w:eastAsia="zh-CN"/>
        </w:rPr>
        <w:t>方法</w:t>
      </w:r>
      <w:r>
        <w:rPr>
          <w:rFonts w:hint="eastAsia" w:ascii="宋体" w:hAnsi="宋体" w:eastAsia="宋体" w:cs="宋体"/>
          <w:color w:val="auto"/>
          <w:kern w:val="0"/>
          <w:sz w:val="24"/>
          <w:szCs w:val="24"/>
          <w:lang w:eastAsia="zh-CN"/>
        </w:rPr>
        <w:t>：</w:t>
      </w:r>
    </w:p>
    <w:p w14:paraId="5F75D2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b/>
          <w:bCs/>
          <w:color w:val="auto"/>
          <w:kern w:val="0"/>
          <w:sz w:val="24"/>
          <w:szCs w:val="24"/>
          <w:highlight w:val="none"/>
        </w:rPr>
        <w:t>例如：</w:t>
      </w:r>
      <w:r>
        <w:rPr>
          <w:rFonts w:hint="eastAsia" w:ascii="宋体" w:hAnsi="宋体" w:eastAsia="宋体" w:cs="宋体"/>
          <w:color w:val="auto"/>
          <w:kern w:val="0"/>
          <w:sz w:val="24"/>
          <w:szCs w:val="24"/>
        </w:rPr>
        <w:t>某</w:t>
      </w:r>
      <w:r>
        <w:rPr>
          <w:rFonts w:hint="eastAsia" w:ascii="宋体" w:hAnsi="宋体" w:eastAsia="宋体" w:cs="宋体"/>
          <w:b/>
          <w:bCs/>
          <w:color w:val="auto"/>
          <w:kern w:val="0"/>
          <w:sz w:val="24"/>
          <w:szCs w:val="24"/>
          <w:u w:val="single"/>
          <w:lang w:val="en-US" w:eastAsia="zh-CN"/>
        </w:rPr>
        <w:t>货物</w:t>
      </w:r>
      <w:r>
        <w:rPr>
          <w:rFonts w:hint="eastAsia" w:ascii="宋体" w:hAnsi="宋体" w:eastAsia="宋体" w:cs="宋体"/>
          <w:color w:val="auto"/>
          <w:kern w:val="0"/>
          <w:sz w:val="24"/>
          <w:szCs w:val="24"/>
        </w:rPr>
        <w:t>采购代理业务中标金额为</w:t>
      </w:r>
      <w:r>
        <w:rPr>
          <w:rFonts w:hint="eastAsia" w:ascii="宋体" w:hAnsi="宋体" w:eastAsia="宋体" w:cs="宋体"/>
          <w:color w:val="auto"/>
          <w:kern w:val="0"/>
          <w:sz w:val="24"/>
          <w:szCs w:val="24"/>
          <w:lang w:val="en-US" w:eastAsia="zh-CN"/>
        </w:rPr>
        <w:t>460</w:t>
      </w:r>
      <w:r>
        <w:rPr>
          <w:rFonts w:hint="eastAsia" w:ascii="宋体" w:hAnsi="宋体" w:eastAsia="宋体" w:cs="宋体"/>
          <w:color w:val="auto"/>
          <w:kern w:val="0"/>
          <w:sz w:val="24"/>
          <w:szCs w:val="24"/>
        </w:rPr>
        <w:t>万元，</w:t>
      </w:r>
      <w:r>
        <w:rPr>
          <w:rFonts w:hint="eastAsia" w:ascii="宋体" w:hAnsi="宋体" w:eastAsia="宋体" w:cs="宋体"/>
          <w:color w:val="auto"/>
          <w:sz w:val="24"/>
          <w:szCs w:val="24"/>
          <w:lang w:val="en-US" w:eastAsia="zh-CN"/>
        </w:rPr>
        <w:t>按照</w:t>
      </w:r>
      <w:r>
        <w:rPr>
          <w:rFonts w:hint="eastAsia" w:ascii="宋体" w:hAnsi="宋体" w:eastAsia="宋体" w:cs="宋体"/>
          <w:b/>
          <w:bCs/>
          <w:color w:val="auto"/>
          <w:sz w:val="24"/>
          <w:szCs w:val="24"/>
          <w:u w:val="single"/>
          <w:lang w:val="en-US" w:eastAsia="zh-CN"/>
        </w:rPr>
        <w:t>货物</w:t>
      </w:r>
      <w:r>
        <w:rPr>
          <w:rFonts w:hint="eastAsia" w:ascii="宋体" w:hAnsi="宋体" w:eastAsia="宋体" w:cs="宋体"/>
          <w:color w:val="auto"/>
          <w:sz w:val="24"/>
          <w:szCs w:val="24"/>
          <w:lang w:val="en-US" w:eastAsia="zh-CN"/>
        </w:rPr>
        <w:t>收费标准收取委托代理服务费。</w:t>
      </w:r>
      <w:r>
        <w:rPr>
          <w:rFonts w:hint="eastAsia" w:ascii="宋体" w:hAnsi="宋体" w:eastAsia="宋体" w:cs="宋体"/>
          <w:color w:val="auto"/>
          <w:kern w:val="0"/>
          <w:sz w:val="24"/>
          <w:szCs w:val="24"/>
        </w:rPr>
        <w:t>计算采购代理服务收费额如下：</w:t>
      </w:r>
    </w:p>
    <w:p w14:paraId="1CBA9F2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100万元×l.</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万元</w:t>
      </w:r>
    </w:p>
    <w:p w14:paraId="0811E9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    （460</w:t>
      </w:r>
      <w:r>
        <w:rPr>
          <w:rFonts w:hint="eastAsia" w:ascii="宋体" w:hAnsi="宋体" w:eastAsia="宋体" w:cs="宋体"/>
          <w:color w:val="auto"/>
          <w:kern w:val="0"/>
          <w:sz w:val="24"/>
          <w:szCs w:val="24"/>
        </w:rPr>
        <w:t>－100</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万元×</w:t>
      </w: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3.96</w:t>
      </w:r>
      <w:r>
        <w:rPr>
          <w:rFonts w:hint="eastAsia" w:ascii="宋体" w:hAnsi="宋体" w:eastAsia="宋体" w:cs="宋体"/>
          <w:color w:val="auto"/>
          <w:kern w:val="0"/>
          <w:sz w:val="24"/>
          <w:szCs w:val="24"/>
        </w:rPr>
        <w:t>万元</w:t>
      </w:r>
    </w:p>
    <w:p w14:paraId="425DD81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费用合计：1.5+3.96=</w:t>
      </w:r>
      <w:r>
        <w:rPr>
          <w:rFonts w:hint="eastAsia" w:ascii="宋体" w:hAnsi="宋体" w:cs="宋体"/>
          <w:color w:val="auto"/>
          <w:kern w:val="0"/>
          <w:sz w:val="24"/>
          <w:szCs w:val="24"/>
          <w:lang w:val="en-US" w:eastAsia="zh-CN"/>
        </w:rPr>
        <w:t>5.46</w:t>
      </w:r>
      <w:r>
        <w:rPr>
          <w:rFonts w:hint="eastAsia" w:ascii="宋体" w:hAnsi="宋体" w:eastAsia="宋体" w:cs="宋体"/>
          <w:color w:val="auto"/>
          <w:kern w:val="0"/>
          <w:sz w:val="24"/>
          <w:szCs w:val="24"/>
          <w:lang w:val="en-US" w:eastAsia="zh-CN"/>
        </w:rPr>
        <w:t>万元</w:t>
      </w:r>
    </w:p>
    <w:p w14:paraId="006E9AA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11.1.3 </w:t>
      </w:r>
      <w:r>
        <w:rPr>
          <w:rFonts w:hint="eastAsia" w:ascii="宋体" w:hAnsi="宋体" w:eastAsia="宋体" w:cs="宋体"/>
          <w:color w:val="auto"/>
          <w:sz w:val="24"/>
          <w:szCs w:val="24"/>
        </w:rPr>
        <w:t>中标人应在接受“</w:t>
      </w:r>
      <w:r>
        <w:rPr>
          <w:rFonts w:hint="eastAsia" w:ascii="宋体" w:hAnsi="宋体" w:eastAsia="宋体" w:cs="宋体"/>
          <w:b/>
          <w:color w:val="auto"/>
          <w:sz w:val="24"/>
          <w:szCs w:val="24"/>
        </w:rPr>
        <w:t>中标通知书</w:t>
      </w:r>
      <w:r>
        <w:rPr>
          <w:rFonts w:hint="eastAsia" w:ascii="宋体" w:hAnsi="宋体" w:eastAsia="宋体" w:cs="宋体"/>
          <w:color w:val="auto"/>
          <w:sz w:val="24"/>
          <w:szCs w:val="24"/>
        </w:rPr>
        <w:t>”前向</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一次付清代理服务费</w:t>
      </w:r>
      <w:r>
        <w:rPr>
          <w:rFonts w:hint="eastAsia" w:ascii="宋体" w:hAnsi="宋体" w:eastAsia="宋体" w:cs="宋体"/>
          <w:color w:val="auto"/>
          <w:sz w:val="24"/>
          <w:szCs w:val="24"/>
          <w:lang w:eastAsia="zh-CN"/>
        </w:rPr>
        <w:t>。</w:t>
      </w:r>
    </w:p>
    <w:p w14:paraId="7442F8D0">
      <w:pPr>
        <w:keepNext w:val="0"/>
        <w:keepLines w:val="0"/>
        <w:pageBreakBefore w:val="0"/>
        <w:widowControl w:val="0"/>
        <w:kinsoku/>
        <w:wordWrap w:val="0"/>
        <w:overflowPunct/>
        <w:topLinePunct/>
        <w:autoSpaceDE/>
        <w:autoSpaceDN/>
        <w:bidi w:val="0"/>
        <w:adjustRightInd/>
        <w:snapToGrid/>
        <w:spacing w:line="360" w:lineRule="auto"/>
        <w:ind w:right="0"/>
        <w:jc w:val="center"/>
        <w:textAlignment w:val="baseline"/>
        <w:rPr>
          <w:rFonts w:hint="eastAsia" w:ascii="宋体" w:hAnsi="宋体" w:eastAsia="宋体" w:cs="宋体"/>
          <w:color w:val="auto"/>
          <w:lang w:eastAsia="zh-CN"/>
        </w:rPr>
        <w:sectPr>
          <w:footerReference r:id="rId8" w:type="first"/>
          <w:footerReference r:id="rId7" w:type="default"/>
          <w:pgSz w:w="11906" w:h="16838"/>
          <w:pgMar w:top="1440" w:right="1080" w:bottom="1440" w:left="1080" w:header="709" w:footer="907" w:gutter="0"/>
          <w:pgNumType w:fmt="decimal"/>
          <w:cols w:space="720" w:num="1"/>
          <w:titlePg/>
          <w:rtlGutter w:val="0"/>
          <w:docGrid w:linePitch="299" w:charSpace="0"/>
        </w:sectPr>
      </w:pPr>
    </w:p>
    <w:p w14:paraId="30472B18">
      <w:pPr>
        <w:keepNext w:val="0"/>
        <w:keepLines w:val="0"/>
        <w:pageBreakBefore w:val="0"/>
        <w:widowControl w:val="0"/>
        <w:kinsoku/>
        <w:wordWrap w:val="0"/>
        <w:overflowPunct/>
        <w:topLinePunct/>
        <w:autoSpaceDE/>
        <w:autoSpaceDN/>
        <w:bidi w:val="0"/>
        <w:adjustRightInd/>
        <w:snapToGrid/>
        <w:spacing w:line="240" w:lineRule="auto"/>
        <w:ind w:left="0" w:leftChars="0" w:right="0"/>
        <w:jc w:val="left"/>
        <w:textAlignment w:val="baseline"/>
        <w:rPr>
          <w:rFonts w:hint="eastAsia" w:ascii="宋体" w:hAnsi="宋体" w:eastAsia="宋体" w:cs="宋体"/>
          <w:color w:val="auto"/>
          <w:lang w:eastAsia="zh-CN"/>
        </w:rPr>
      </w:pPr>
      <w:r>
        <w:rPr>
          <w:rFonts w:hint="eastAsia" w:ascii="宋体" w:hAnsi="宋体" w:eastAsia="宋体" w:cs="宋体"/>
          <w:color w:val="auto"/>
          <w:lang w:eastAsia="zh-CN"/>
        </w:rPr>
        <w:t>附件：</w:t>
      </w:r>
    </w:p>
    <w:p w14:paraId="2301987B">
      <w:pPr>
        <w:keepNext w:val="0"/>
        <w:keepLines w:val="0"/>
        <w:pageBreakBefore w:val="0"/>
        <w:widowControl w:val="0"/>
        <w:kinsoku/>
        <w:wordWrap w:val="0"/>
        <w:overflowPunct/>
        <w:topLinePunct/>
        <w:autoSpaceDE/>
        <w:autoSpaceDN/>
        <w:bidi w:val="0"/>
        <w:adjustRightInd/>
        <w:snapToGrid/>
        <w:spacing w:line="360" w:lineRule="auto"/>
        <w:ind w:left="0" w:leftChars="0" w:right="0" w:firstLine="484" w:firstLineChars="201"/>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说明：本部分格式为</w:t>
      </w:r>
      <w:r>
        <w:rPr>
          <w:rFonts w:hint="eastAsia" w:ascii="宋体" w:hAnsi="宋体" w:cs="宋体"/>
          <w:b/>
          <w:color w:val="auto"/>
          <w:sz w:val="24"/>
          <w:szCs w:val="24"/>
          <w:lang w:eastAsia="zh-CN"/>
        </w:rPr>
        <w:t>供应商</w:t>
      </w:r>
      <w:r>
        <w:rPr>
          <w:rFonts w:hint="eastAsia" w:ascii="宋体" w:hAnsi="宋体" w:eastAsia="宋体" w:cs="宋体"/>
          <w:b/>
          <w:color w:val="auto"/>
          <w:sz w:val="24"/>
          <w:szCs w:val="24"/>
        </w:rPr>
        <w:t>提交询问函、质疑函、投诉函时使用，不属于投标文件格式的组成部分。</w:t>
      </w:r>
    </w:p>
    <w:p w14:paraId="3DA5BEFA">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b/>
          <w:bCs w:val="0"/>
          <w:color w:val="auto"/>
          <w:sz w:val="44"/>
          <w:szCs w:val="44"/>
        </w:rPr>
      </w:pPr>
    </w:p>
    <w:p w14:paraId="0372375B">
      <w:pPr>
        <w:pStyle w:val="61"/>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rPr>
          <w:rStyle w:val="72"/>
          <w:rFonts w:hint="eastAsia" w:ascii="宋体" w:hAnsi="宋体" w:eastAsia="宋体" w:cs="宋体"/>
          <w:color w:val="auto"/>
          <w:sz w:val="24"/>
          <w:szCs w:val="24"/>
          <w:lang w:eastAsia="zh-CN"/>
        </w:rPr>
      </w:pPr>
      <w:r>
        <w:rPr>
          <w:rStyle w:val="72"/>
          <w:rFonts w:hint="eastAsia" w:ascii="宋体" w:hAnsi="宋体" w:eastAsia="宋体" w:cs="宋体"/>
          <w:b/>
          <w:bCs w:val="0"/>
          <w:color w:val="auto"/>
          <w:sz w:val="44"/>
          <w:szCs w:val="44"/>
        </w:rPr>
        <w:t>询问函</w:t>
      </w:r>
      <w:r>
        <w:rPr>
          <w:rFonts w:hint="eastAsia" w:ascii="宋体" w:hAnsi="宋体" w:eastAsia="宋体" w:cs="宋体"/>
          <w:b/>
          <w:bCs w:val="0"/>
          <w:color w:val="auto"/>
          <w:sz w:val="44"/>
          <w:szCs w:val="44"/>
          <w:lang w:eastAsia="zh-CN"/>
        </w:rPr>
        <w:t>（</w:t>
      </w:r>
      <w:r>
        <w:rPr>
          <w:rFonts w:hint="eastAsia" w:ascii="宋体" w:hAnsi="宋体" w:eastAsia="宋体" w:cs="宋体"/>
          <w:b/>
          <w:bCs w:val="0"/>
          <w:color w:val="auto"/>
          <w:sz w:val="44"/>
          <w:szCs w:val="44"/>
        </w:rPr>
        <w:t>文本格式</w:t>
      </w:r>
      <w:r>
        <w:rPr>
          <w:rFonts w:hint="eastAsia" w:ascii="宋体" w:hAnsi="宋体" w:eastAsia="宋体" w:cs="宋体"/>
          <w:b/>
          <w:bCs w:val="0"/>
          <w:color w:val="auto"/>
          <w:sz w:val="44"/>
          <w:szCs w:val="44"/>
          <w:lang w:eastAsia="zh-CN"/>
        </w:rPr>
        <w:t>）</w:t>
      </w:r>
    </w:p>
    <w:p w14:paraId="216DAA3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lang w:eastAsia="zh-CN"/>
        </w:rPr>
      </w:pPr>
    </w:p>
    <w:p w14:paraId="62EA09B4">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楚雄腾凯工程项目管理有限公司</w:t>
      </w:r>
      <w:r>
        <w:rPr>
          <w:rFonts w:hint="eastAsia" w:ascii="宋体" w:hAnsi="宋体" w:eastAsia="宋体" w:cs="宋体"/>
          <w:color w:val="auto"/>
          <w:sz w:val="24"/>
          <w:szCs w:val="24"/>
          <w:highlight w:val="none"/>
        </w:rPr>
        <w:t>：</w:t>
      </w:r>
    </w:p>
    <w:p w14:paraId="47BA78F3">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我单位已报名并准备参与</w:t>
      </w:r>
      <w:r>
        <w:rPr>
          <w:rFonts w:hint="eastAsia" w:ascii="宋体" w:hAnsi="宋体" w:eastAsia="宋体" w:cs="宋体"/>
          <w:i w:val="0"/>
          <w:iCs/>
          <w:color w:val="auto"/>
          <w:sz w:val="24"/>
          <w:szCs w:val="24"/>
          <w:u w:val="single"/>
        </w:rPr>
        <w:t>（项目名称）</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w:t>
      </w:r>
      <w:r>
        <w:rPr>
          <w:rFonts w:hint="eastAsia" w:ascii="宋体" w:hAnsi="宋体" w:eastAsia="宋体" w:cs="宋体"/>
          <w:color w:val="auto"/>
          <w:sz w:val="24"/>
          <w:szCs w:val="24"/>
        </w:rPr>
        <w:t>采购文件编号：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的投标（或报价）活动，现有以下几</w:t>
      </w:r>
      <w:r>
        <w:rPr>
          <w:rFonts w:hint="eastAsia" w:ascii="宋体" w:hAnsi="宋体" w:eastAsia="宋体" w:cs="宋体"/>
          <w:color w:val="auto"/>
          <w:sz w:val="24"/>
          <w:szCs w:val="24"/>
          <w:lang w:eastAsia="zh-CN"/>
        </w:rPr>
        <w:t>项</w:t>
      </w:r>
      <w:r>
        <w:rPr>
          <w:rFonts w:hint="eastAsia" w:ascii="宋体" w:hAnsi="宋体" w:eastAsia="宋体" w:cs="宋体"/>
          <w:color w:val="auto"/>
          <w:sz w:val="24"/>
          <w:szCs w:val="24"/>
        </w:rPr>
        <w:t>内容（或条款）存在疑问（或无法理解），特提出询问。</w:t>
      </w:r>
    </w:p>
    <w:p w14:paraId="4F26A364">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lang w:val="en-US" w:eastAsia="en-US" w:bidi="ar-SA"/>
        </w:rPr>
      </w:pPr>
    </w:p>
    <w:p w14:paraId="1CE24776">
      <w:pPr>
        <w:keepNext w:val="0"/>
        <w:keepLines w:val="0"/>
        <w:pageBreakBefore w:val="0"/>
        <w:widowControl w:val="0"/>
        <w:numPr>
          <w:ilvl w:val="0"/>
          <w:numId w:val="0"/>
        </w:numPr>
        <w:tabs>
          <w:tab w:val="left" w:pos="6300"/>
        </w:tabs>
        <w:kinsoku/>
        <w:wordWrap w:val="0"/>
        <w:overflowPunct/>
        <w:topLinePunct/>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en-US" w:bidi="ar-SA"/>
        </w:rPr>
        <w:t>一、</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（事项一）</w:t>
      </w:r>
    </w:p>
    <w:p w14:paraId="253B5F4A">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（问题或条款内容）</w:t>
      </w:r>
    </w:p>
    <w:p w14:paraId="264310F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（说明疑问或无法理解原因）</w:t>
      </w:r>
    </w:p>
    <w:p w14:paraId="1E30986F">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（建议）</w:t>
      </w:r>
    </w:p>
    <w:p w14:paraId="6E3830FE">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p>
    <w:p w14:paraId="3DE60121">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（事项二）</w:t>
      </w:r>
    </w:p>
    <w:p w14:paraId="3BA2A498">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55BA946">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随附相关证明材料如下：（目录）。</w:t>
      </w:r>
    </w:p>
    <w:p w14:paraId="1673D059">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p>
    <w:p w14:paraId="5404D80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（公章）</w:t>
      </w:r>
    </w:p>
    <w:p w14:paraId="23F7A28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法定代表人（授权代表）：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5A437132">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地址/邮编：</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0725468C">
      <w:pPr>
        <w:keepNext w:val="0"/>
        <w:keepLines w:val="0"/>
        <w:pageBreakBefore w:val="0"/>
        <w:widowControl w:val="0"/>
        <w:tabs>
          <w:tab w:val="left" w:pos="6300"/>
        </w:tabs>
        <w:kinsoku/>
        <w:wordWrap w:val="0"/>
        <w:overflowPunct/>
        <w:topLinePunct/>
        <w:autoSpaceDE/>
        <w:autoSpaceDN/>
        <w:bidi w:val="0"/>
        <w:adjustRightInd/>
        <w:snapToGrid/>
        <w:spacing w:line="360" w:lineRule="auto"/>
        <w:ind w:left="0" w:leftChars="0" w:right="0" w:firstLine="1440" w:firstLineChars="600"/>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电话/传真：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67753C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center"/>
        <w:textAlignment w:val="auto"/>
        <w:rPr>
          <w:rFonts w:hint="eastAsia" w:ascii="宋体" w:hAnsi="宋体" w:eastAsia="宋体" w:cs="宋体"/>
          <w:color w:val="auto"/>
          <w:sz w:val="24"/>
          <w:szCs w:val="24"/>
          <w:u w:val="single"/>
        </w:rPr>
        <w:sectPr>
          <w:pgSz w:w="11906" w:h="16838"/>
          <w:pgMar w:top="1440" w:right="1080" w:bottom="1440" w:left="1080" w:header="851" w:footer="992" w:gutter="0"/>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53F42FC3">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w:t>
      </w:r>
      <w:r>
        <w:rPr>
          <w:rFonts w:hint="eastAsia" w:ascii="宋体" w:hAnsi="宋体" w:eastAsia="宋体" w:cs="宋体"/>
          <w:color w:val="auto"/>
          <w:sz w:val="24"/>
          <w:szCs w:val="24"/>
          <w:lang w:val="en-US" w:eastAsia="zh-CN"/>
        </w:rPr>
        <w:t>一：</w:t>
      </w:r>
    </w:p>
    <w:p w14:paraId="14560553">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62BA4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0ED2DB5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标    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2817B4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217A815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3383267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3B7713F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none"/>
        </w:rPr>
        <w:t>（盖姓名章无效）</w:t>
      </w:r>
    </w:p>
    <w:p w14:paraId="073D327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6F1F0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1AAC214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2DB57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00" w:type="dxa"/>
        <w:jc w:val="center"/>
        <w:tblLayout w:type="autofit"/>
        <w:tblCellMar>
          <w:top w:w="0" w:type="dxa"/>
          <w:left w:w="108" w:type="dxa"/>
          <w:bottom w:w="0" w:type="dxa"/>
          <w:right w:w="108" w:type="dxa"/>
        </w:tblCellMar>
      </w:tblPr>
      <w:tblGrid>
        <w:gridCol w:w="9600"/>
      </w:tblGrid>
      <w:tr w14:paraId="18671250">
        <w:tblPrEx>
          <w:tblCellMar>
            <w:top w:w="0" w:type="dxa"/>
            <w:left w:w="108" w:type="dxa"/>
            <w:bottom w:w="0" w:type="dxa"/>
            <w:right w:w="108" w:type="dxa"/>
          </w:tblCellMar>
        </w:tblPrEx>
        <w:trPr>
          <w:trHeight w:val="2045" w:hRule="atLeast"/>
          <w:jc w:val="center"/>
        </w:trPr>
        <w:tc>
          <w:tcPr>
            <w:tcW w:w="9600" w:type="dxa"/>
            <w:noWrap w:val="0"/>
            <w:vAlign w:val="center"/>
          </w:tcPr>
          <w:p w14:paraId="091F9869">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05D43A75">
        <w:tblPrEx>
          <w:tblCellMar>
            <w:top w:w="0" w:type="dxa"/>
            <w:left w:w="108" w:type="dxa"/>
            <w:bottom w:w="0" w:type="dxa"/>
            <w:right w:w="108" w:type="dxa"/>
          </w:tblCellMar>
        </w:tblPrEx>
        <w:trPr>
          <w:trHeight w:val="2016" w:hRule="atLeast"/>
          <w:jc w:val="center"/>
        </w:trPr>
        <w:tc>
          <w:tcPr>
            <w:tcW w:w="9600" w:type="dxa"/>
            <w:noWrap w:val="0"/>
            <w:vAlign w:val="center"/>
          </w:tcPr>
          <w:p w14:paraId="3F2091B5">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6F1AFDB1">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3C92CF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5DCCC74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37045D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询问人：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D296841">
      <w:pPr>
        <w:pStyle w:val="28"/>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rPr>
        <w:sectPr>
          <w:pgSz w:w="11906" w:h="16838"/>
          <w:pgMar w:top="1440" w:right="1080" w:bottom="1440" w:left="1080" w:header="851" w:footer="907" w:gutter="0"/>
          <w:pgNumType w:fmt="decimal"/>
          <w:cols w:space="720" w:num="1"/>
          <w:rtlGutter w:val="0"/>
          <w:docGrid w:type="lines" w:linePitch="312" w:charSpace="0"/>
        </w:sect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4EE2BA55">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质疑函</w:t>
      </w:r>
      <w:r>
        <w:rPr>
          <w:rFonts w:hint="eastAsia" w:ascii="宋体" w:hAnsi="宋体" w:eastAsia="宋体" w:cs="宋体"/>
          <w:b/>
          <w:bCs/>
          <w:color w:val="auto"/>
          <w:sz w:val="32"/>
          <w:szCs w:val="32"/>
          <w:lang w:eastAsia="zh-CN"/>
        </w:rPr>
        <w:t>（</w:t>
      </w:r>
      <w:r>
        <w:rPr>
          <w:rFonts w:hint="eastAsia" w:ascii="宋体" w:hAnsi="宋体" w:eastAsia="宋体" w:cs="宋体"/>
          <w:b/>
          <w:bCs/>
          <w:color w:val="auto"/>
          <w:sz w:val="32"/>
          <w:szCs w:val="32"/>
        </w:rPr>
        <w:t>范本</w:t>
      </w:r>
      <w:r>
        <w:rPr>
          <w:rFonts w:hint="eastAsia" w:ascii="宋体" w:hAnsi="宋体" w:eastAsia="宋体" w:cs="宋体"/>
          <w:b/>
          <w:bCs/>
          <w:color w:val="auto"/>
          <w:sz w:val="32"/>
          <w:szCs w:val="32"/>
          <w:lang w:eastAsia="zh-CN"/>
        </w:rPr>
        <w:t>）</w:t>
      </w:r>
    </w:p>
    <w:p w14:paraId="3B655FA7">
      <w:pPr>
        <w:keepNext w:val="0"/>
        <w:keepLines w:val="0"/>
        <w:pageBreakBefore w:val="0"/>
        <w:widowControl w:val="0"/>
        <w:kinsoku/>
        <w:overflowPunct/>
        <w:autoSpaceDE/>
        <w:autoSpaceDN/>
        <w:bidi w:val="0"/>
        <w:adjustRightInd w:val="0"/>
        <w:snapToGrid w:val="0"/>
        <w:spacing w:beforeLines="100"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一、质疑供应商基本信息</w:t>
      </w:r>
    </w:p>
    <w:p w14:paraId="39CECA5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质疑供应商：</w:t>
      </w:r>
      <w:r>
        <w:rPr>
          <w:rFonts w:hint="eastAsia" w:ascii="宋体" w:hAnsi="宋体" w:eastAsia="宋体" w:cs="宋体"/>
          <w:color w:val="auto"/>
          <w:sz w:val="24"/>
          <w:szCs w:val="24"/>
          <w:u w:val="dotted"/>
        </w:rPr>
        <w:t xml:space="preserve">                                        </w:t>
      </w:r>
    </w:p>
    <w:p w14:paraId="0C26928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38576163">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55B2C7B0">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dotted"/>
        </w:rPr>
        <w:t xml:space="preserve">                                          </w:t>
      </w:r>
    </w:p>
    <w:p w14:paraId="25EAAC6A">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dotted"/>
        </w:rPr>
        <w:t xml:space="preserve">                                          </w:t>
      </w:r>
    </w:p>
    <w:p w14:paraId="3511FCA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dotted"/>
        </w:rPr>
        <w:t xml:space="preserve">               </w:t>
      </w:r>
    </w:p>
    <w:p w14:paraId="5C07579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二、质疑项目基本情况</w:t>
      </w:r>
    </w:p>
    <w:p w14:paraId="5A94514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质疑项目的名称：</w:t>
      </w:r>
      <w:r>
        <w:rPr>
          <w:rFonts w:hint="eastAsia" w:ascii="宋体" w:hAnsi="宋体" w:eastAsia="宋体" w:cs="宋体"/>
          <w:color w:val="auto"/>
          <w:sz w:val="24"/>
          <w:szCs w:val="24"/>
          <w:u w:val="dotted"/>
        </w:rPr>
        <w:t xml:space="preserve">                                    </w:t>
      </w:r>
    </w:p>
    <w:p w14:paraId="64B01F0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质疑项目的编号：</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包号：</w:t>
      </w:r>
      <w:r>
        <w:rPr>
          <w:rFonts w:hint="eastAsia" w:ascii="宋体" w:hAnsi="宋体" w:eastAsia="宋体" w:cs="宋体"/>
          <w:color w:val="auto"/>
          <w:sz w:val="24"/>
          <w:szCs w:val="24"/>
          <w:u w:val="dotted"/>
        </w:rPr>
        <w:t xml:space="preserve">               </w:t>
      </w:r>
    </w:p>
    <w:p w14:paraId="1BF8562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dotted"/>
        </w:rPr>
        <w:t xml:space="preserve">                                        </w:t>
      </w:r>
    </w:p>
    <w:p w14:paraId="022BA1E9">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采购文件获取日期：</w:t>
      </w:r>
      <w:r>
        <w:rPr>
          <w:rFonts w:hint="eastAsia" w:ascii="宋体" w:hAnsi="宋体" w:eastAsia="宋体" w:cs="宋体"/>
          <w:color w:val="auto"/>
          <w:sz w:val="24"/>
          <w:szCs w:val="24"/>
          <w:u w:val="dotted"/>
        </w:rPr>
        <w:t xml:space="preserve">                                  </w:t>
      </w:r>
    </w:p>
    <w:p w14:paraId="16F8A7FE">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三、质疑事项具体内容</w:t>
      </w:r>
    </w:p>
    <w:p w14:paraId="46BC18B1">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dotted"/>
        </w:rPr>
        <w:t xml:space="preserve">                                         </w:t>
      </w:r>
    </w:p>
    <w:p w14:paraId="4FCB8DE5">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dotted"/>
        </w:rPr>
        <w:t xml:space="preserve">                                          </w:t>
      </w:r>
    </w:p>
    <w:p w14:paraId="1BC63AF2">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dotted"/>
        </w:rPr>
        <w:t xml:space="preserve">                                                    </w:t>
      </w:r>
    </w:p>
    <w:p w14:paraId="34A57CDD">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dotted"/>
        </w:rPr>
        <w:t xml:space="preserve">                                          </w:t>
      </w:r>
    </w:p>
    <w:p w14:paraId="3D98C00C">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u w:val="dotted"/>
        </w:rPr>
        <w:t xml:space="preserve">                                                    </w:t>
      </w:r>
    </w:p>
    <w:p w14:paraId="67042C1B">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质疑事项2</w:t>
      </w:r>
    </w:p>
    <w:p w14:paraId="4C5044B4">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37A85D7F">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四、与质疑事项相关的质疑请求</w:t>
      </w:r>
    </w:p>
    <w:p w14:paraId="2317C618">
      <w:pPr>
        <w:keepNext w:val="0"/>
        <w:keepLines w:val="0"/>
        <w:pageBreakBefore w:val="0"/>
        <w:widowControl w:val="0"/>
        <w:kinsoku/>
        <w:overflowPunct/>
        <w:autoSpaceDE/>
        <w:autoSpaceDN/>
        <w:bidi w:val="0"/>
        <w:adjustRightInd w:val="0"/>
        <w:snapToGrid w:val="0"/>
        <w:spacing w:line="500" w:lineRule="exact"/>
        <w:textAlignment w:val="auto"/>
        <w:rPr>
          <w:rFonts w:hint="eastAsia" w:ascii="宋体" w:hAnsi="宋体" w:eastAsia="宋体" w:cs="宋体"/>
          <w:color w:val="auto"/>
          <w:sz w:val="24"/>
          <w:szCs w:val="24"/>
          <w:u w:val="dotted"/>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dotted"/>
        </w:rPr>
        <w:t xml:space="preserve">                                              </w:t>
      </w:r>
    </w:p>
    <w:p w14:paraId="79C49F3D">
      <w:pPr>
        <w:keepNext w:val="0"/>
        <w:keepLines w:val="0"/>
        <w:pageBreakBefore w:val="0"/>
        <w:widowControl w:val="0"/>
        <w:kinsoku/>
        <w:overflowPunct/>
        <w:autoSpaceDE/>
        <w:autoSpaceDN/>
        <w:bidi w:val="0"/>
        <w:spacing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签字</w:t>
      </w:r>
      <w:r>
        <w:rPr>
          <w:rFonts w:hint="eastAsia" w:ascii="宋体" w:hAnsi="宋体" w:cs="宋体"/>
          <w:color w:val="auto"/>
          <w:sz w:val="24"/>
          <w:szCs w:val="24"/>
          <w:lang w:eastAsia="zh-CN"/>
        </w:rPr>
        <w:t>（</w:t>
      </w:r>
      <w:r>
        <w:rPr>
          <w:rFonts w:hint="eastAsia" w:ascii="宋体" w:hAnsi="宋体" w:eastAsia="宋体" w:cs="宋体"/>
          <w:color w:val="auto"/>
          <w:sz w:val="24"/>
          <w:szCs w:val="24"/>
        </w:rPr>
        <w:t>签章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公章：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p>
    <w:p w14:paraId="01E01830">
      <w:pPr>
        <w:keepNext w:val="0"/>
        <w:keepLines w:val="0"/>
        <w:pageBreakBefore w:val="0"/>
        <w:widowControl w:val="0"/>
        <w:kinsoku/>
        <w:wordWrap w:val="0"/>
        <w:overflowPunct/>
        <w:topLinePunct/>
        <w:autoSpaceDE/>
        <w:autoSpaceDN/>
        <w:bidi w:val="0"/>
        <w:adjustRightInd/>
        <w:snapToGrid/>
        <w:spacing w:line="500" w:lineRule="exact"/>
        <w:ind w:left="0" w:leftChars="0" w:right="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0E657460">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rPr>
      </w:pPr>
    </w:p>
    <w:p w14:paraId="7344A496">
      <w:pPr>
        <w:keepNext w:val="0"/>
        <w:keepLines w:val="0"/>
        <w:pageBreakBefore w:val="0"/>
        <w:widowControl w:val="0"/>
        <w:kinsoku/>
        <w:wordWrap w:val="0"/>
        <w:overflowPunct/>
        <w:topLinePunct/>
        <w:autoSpaceDE/>
        <w:autoSpaceDN/>
        <w:bidi w:val="0"/>
        <w:adjustRightInd/>
        <w:snapToGrid/>
        <w:spacing w:line="420" w:lineRule="exact"/>
        <w:ind w:left="0" w:leftChars="0" w:right="0" w:firstLine="480" w:firstLineChars="200"/>
        <w:textAlignment w:val="auto"/>
        <w:rPr>
          <w:rFonts w:hint="eastAsia" w:ascii="宋体" w:hAnsi="宋体" w:eastAsia="宋体" w:cs="宋体"/>
          <w:color w:val="auto"/>
          <w:sz w:val="24"/>
          <w:szCs w:val="24"/>
          <w:u w:val="single"/>
        </w:rPr>
      </w:pPr>
    </w:p>
    <w:p w14:paraId="5F400F5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rtlGutter w:val="0"/>
          <w:docGrid w:type="lines" w:linePitch="312" w:charSpace="0"/>
        </w:sectPr>
      </w:pPr>
    </w:p>
    <w:p w14:paraId="56B6B9CD">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附件1：相关证明材料（……）</w:t>
      </w:r>
    </w:p>
    <w:p w14:paraId="06FA71C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rtlGutter w:val="0"/>
          <w:docGrid w:type="lines" w:linePitch="312" w:charSpace="0"/>
        </w:sectPr>
      </w:pPr>
    </w:p>
    <w:p w14:paraId="22CEE819">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附件2:</w:t>
      </w:r>
    </w:p>
    <w:p w14:paraId="3CEF9A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法定代表人授权委托书</w:t>
      </w:r>
    </w:p>
    <w:p w14:paraId="3CA84BB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或</w:t>
      </w:r>
      <w:r>
        <w:rPr>
          <w:rFonts w:hint="eastAsia" w:ascii="宋体" w:hAnsi="宋体" w:eastAsia="宋体" w:cs="宋体"/>
          <w:color w:val="auto"/>
          <w:sz w:val="24"/>
          <w:szCs w:val="24"/>
          <w:u w:val="single"/>
          <w:lang w:eastAsia="zh-CN"/>
        </w:rPr>
        <w:t>采购人</w:t>
      </w:r>
      <w:r>
        <w:rPr>
          <w:rFonts w:hint="eastAsia" w:ascii="宋体" w:hAnsi="宋体" w:eastAsia="宋体" w:cs="宋体"/>
          <w:color w:val="auto"/>
          <w:sz w:val="24"/>
          <w:szCs w:val="24"/>
          <w:u w:val="single"/>
        </w:rPr>
        <w:t>名称）</w:t>
      </w:r>
      <w:r>
        <w:rPr>
          <w:rFonts w:hint="eastAsia" w:ascii="宋体" w:hAnsi="宋体" w:eastAsia="宋体" w:cs="宋体"/>
          <w:color w:val="auto"/>
          <w:sz w:val="24"/>
          <w:szCs w:val="24"/>
        </w:rPr>
        <w:t>：</w:t>
      </w:r>
    </w:p>
    <w:p w14:paraId="3230107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（姓名）系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名称）的法定代表人，现授权委托本单位在职职工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（姓名）以我方的名义参加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项目的采购活动，并代表我方全权办理（</w:t>
      </w:r>
      <w:r>
        <w:rPr>
          <w:rFonts w:hint="eastAsia" w:ascii="宋体" w:hAnsi="宋体" w:eastAsia="宋体" w:cs="宋体"/>
          <w:color w:val="auto"/>
          <w:sz w:val="24"/>
          <w:szCs w:val="24"/>
          <w:u w:val="single"/>
        </w:rPr>
        <w:t>应当载明委托代理的具体权限和事项</w:t>
      </w:r>
      <w:r>
        <w:rPr>
          <w:rFonts w:hint="eastAsia" w:ascii="宋体" w:hAnsi="宋体" w:eastAsia="宋体" w:cs="宋体"/>
          <w:color w:val="auto"/>
          <w:sz w:val="24"/>
          <w:szCs w:val="24"/>
        </w:rPr>
        <w:t>）。</w:t>
      </w:r>
    </w:p>
    <w:p w14:paraId="7CA121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我方对被授权人的签名事项负全部责任。</w:t>
      </w:r>
    </w:p>
    <w:p w14:paraId="136E4B5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在撤销授权的书面通知以前，本授权书一直有效。被授权人在授权书有效期内签署的所有文件不因授权的撤销而失效。</w:t>
      </w:r>
    </w:p>
    <w:p w14:paraId="4C28C22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被授权人无转委托权，特此委托。</w:t>
      </w:r>
    </w:p>
    <w:p w14:paraId="030C82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none"/>
        </w:rPr>
        <w:t>签名</w:t>
      </w:r>
      <w:r>
        <w:rPr>
          <w:rFonts w:hint="eastAsia" w:ascii="宋体" w:hAnsi="宋体" w:cs="宋体"/>
          <w:color w:val="auto"/>
          <w:sz w:val="24"/>
          <w:szCs w:val="24"/>
          <w:u w:val="none"/>
          <w:lang w:eastAsia="zh-CN"/>
        </w:rPr>
        <w:t>或盖章</w:t>
      </w:r>
      <w:r>
        <w:rPr>
          <w:rFonts w:hint="eastAsia" w:ascii="宋体" w:hAnsi="宋体" w:eastAsia="宋体" w:cs="宋体"/>
          <w:color w:val="auto"/>
          <w:sz w:val="24"/>
          <w:szCs w:val="24"/>
          <w:u w:val="none"/>
        </w:rPr>
        <w:t>：</w:t>
      </w:r>
      <w:r>
        <w:rPr>
          <w:rFonts w:hint="eastAsia" w:ascii="宋体" w:hAnsi="宋体" w:eastAsia="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                   </w:t>
      </w:r>
      <w:r>
        <w:rPr>
          <w:rFonts w:hint="eastAsia" w:ascii="宋体" w:hAnsi="宋体" w:eastAsia="宋体" w:cs="宋体"/>
          <w:b/>
          <w:color w:val="auto"/>
          <w:sz w:val="24"/>
          <w:szCs w:val="24"/>
          <w:u w:val="single"/>
        </w:rPr>
        <w:t xml:space="preserve">    </w:t>
      </w:r>
      <w:r>
        <w:rPr>
          <w:rFonts w:hint="eastAsia" w:ascii="宋体" w:hAnsi="宋体" w:eastAsia="宋体" w:cs="宋体"/>
          <w:b w:val="0"/>
          <w:bCs/>
          <w:color w:val="auto"/>
          <w:sz w:val="24"/>
          <w:szCs w:val="24"/>
          <w:u w:val="single"/>
        </w:rPr>
        <w:t xml:space="preserve"> </w:t>
      </w:r>
    </w:p>
    <w:p w14:paraId="0BE9E7A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法定代表人身份证号码：</w:t>
      </w:r>
      <w:r>
        <w:rPr>
          <w:rFonts w:hint="eastAsia" w:ascii="宋体" w:hAnsi="宋体" w:eastAsia="宋体" w:cs="宋体"/>
          <w:color w:val="auto"/>
          <w:sz w:val="24"/>
          <w:szCs w:val="24"/>
          <w:u w:val="single"/>
        </w:rPr>
        <w:t xml:space="preserve">                           </w:t>
      </w:r>
    </w:p>
    <w:p w14:paraId="18FB95D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被授权人签名：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所在部门</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309C032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被授权人身份证号码：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DE05D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tbl>
      <w:tblPr>
        <w:tblStyle w:val="67"/>
        <w:tblW w:w="9640" w:type="dxa"/>
        <w:jc w:val="center"/>
        <w:tblLayout w:type="autofit"/>
        <w:tblCellMar>
          <w:top w:w="0" w:type="dxa"/>
          <w:left w:w="108" w:type="dxa"/>
          <w:bottom w:w="0" w:type="dxa"/>
          <w:right w:w="108" w:type="dxa"/>
        </w:tblCellMar>
      </w:tblPr>
      <w:tblGrid>
        <w:gridCol w:w="9640"/>
      </w:tblGrid>
      <w:tr w14:paraId="4C7609B7">
        <w:tblPrEx>
          <w:tblCellMar>
            <w:top w:w="0" w:type="dxa"/>
            <w:left w:w="108" w:type="dxa"/>
            <w:bottom w:w="0" w:type="dxa"/>
            <w:right w:w="108" w:type="dxa"/>
          </w:tblCellMar>
        </w:tblPrEx>
        <w:trPr>
          <w:trHeight w:val="2209" w:hRule="atLeast"/>
          <w:jc w:val="center"/>
        </w:trPr>
        <w:tc>
          <w:tcPr>
            <w:tcW w:w="9640" w:type="dxa"/>
            <w:noWrap w:val="0"/>
            <w:vAlign w:val="center"/>
          </w:tcPr>
          <w:p w14:paraId="3E3D10C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法定代表人身份证正、反面</w:t>
            </w:r>
            <w:r>
              <w:rPr>
                <w:rFonts w:hint="eastAsia" w:ascii="宋体" w:hAnsi="宋体" w:eastAsia="宋体" w:cs="宋体"/>
                <w:color w:val="auto"/>
                <w:sz w:val="24"/>
                <w:szCs w:val="24"/>
                <w:lang w:eastAsia="zh-CN"/>
              </w:rPr>
              <w:t>扫描件</w:t>
            </w:r>
          </w:p>
        </w:tc>
      </w:tr>
      <w:tr w14:paraId="4D87082F">
        <w:tblPrEx>
          <w:tblCellMar>
            <w:top w:w="0" w:type="dxa"/>
            <w:left w:w="108" w:type="dxa"/>
            <w:bottom w:w="0" w:type="dxa"/>
            <w:right w:w="108" w:type="dxa"/>
          </w:tblCellMar>
        </w:tblPrEx>
        <w:trPr>
          <w:trHeight w:val="2143" w:hRule="atLeast"/>
          <w:jc w:val="center"/>
        </w:trPr>
        <w:tc>
          <w:tcPr>
            <w:tcW w:w="9640" w:type="dxa"/>
            <w:noWrap w:val="0"/>
            <w:vAlign w:val="center"/>
          </w:tcPr>
          <w:p w14:paraId="3E4B3E07">
            <w:pPr>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委托代理人身份证正、反面</w:t>
            </w:r>
            <w:r>
              <w:rPr>
                <w:rFonts w:hint="eastAsia" w:ascii="宋体" w:hAnsi="宋体" w:eastAsia="宋体" w:cs="宋体"/>
                <w:color w:val="auto"/>
                <w:sz w:val="24"/>
                <w:szCs w:val="24"/>
                <w:lang w:eastAsia="zh-CN"/>
              </w:rPr>
              <w:t>扫描件</w:t>
            </w:r>
          </w:p>
        </w:tc>
      </w:tr>
    </w:tbl>
    <w:p w14:paraId="7DF3B322">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color w:val="auto"/>
          <w:sz w:val="24"/>
          <w:szCs w:val="24"/>
        </w:rPr>
      </w:pPr>
      <w:r>
        <w:rPr>
          <w:rFonts w:hint="eastAsia" w:ascii="宋体" w:hAnsi="宋体" w:eastAsia="宋体" w:cs="宋体"/>
          <w:color w:val="auto"/>
          <w:sz w:val="21"/>
          <w:szCs w:val="21"/>
          <w:lang w:val="en-US" w:eastAsia="zh-CN"/>
        </w:rPr>
        <w:t>后附：加盖公章的营业执照复印件、投标确认回执。</w:t>
      </w:r>
    </w:p>
    <w:p w14:paraId="77560F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6D7D4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0C4456A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质疑人：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25263A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日</w:t>
      </w:r>
    </w:p>
    <w:p w14:paraId="036B980B">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482" w:firstLineChars="200"/>
        <w:textAlignment w:val="auto"/>
        <w:rPr>
          <w:rFonts w:hint="eastAsia" w:ascii="宋体" w:hAnsi="宋体" w:eastAsia="宋体" w:cs="宋体"/>
          <w:b/>
          <w:color w:val="auto"/>
          <w:sz w:val="24"/>
          <w:szCs w:val="24"/>
        </w:rPr>
        <w:sectPr>
          <w:pgSz w:w="11906" w:h="16838"/>
          <w:pgMar w:top="1440" w:right="1080" w:bottom="1440" w:left="1080" w:header="851" w:footer="850" w:gutter="0"/>
          <w:pgNumType w:fmt="decimal"/>
          <w:cols w:space="720" w:num="1"/>
          <w:rtlGutter w:val="0"/>
          <w:docGrid w:type="lines" w:linePitch="312" w:charSpace="0"/>
        </w:sectPr>
      </w:pPr>
    </w:p>
    <w:p w14:paraId="27FC53CC">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制作质疑函说明：  </w:t>
      </w:r>
    </w:p>
    <w:p w14:paraId="349F88F3">
      <w:pPr>
        <w:widowControl/>
        <w:spacing w:line="480" w:lineRule="auto"/>
        <w:ind w:firstLine="480" w:firstLineChars="200"/>
        <w:jc w:val="left"/>
        <w:rPr>
          <w:rFonts w:hint="eastAsia" w:ascii="宋体" w:hAnsi="宋体" w:eastAsia="宋体" w:cs="宋体"/>
          <w:color w:val="auto"/>
          <w:sz w:val="24"/>
          <w:szCs w:val="24"/>
        </w:rPr>
      </w:pPr>
      <w:bookmarkStart w:id="1149" w:name="_Toc497486317"/>
      <w:r>
        <w:rPr>
          <w:rFonts w:hint="eastAsia" w:ascii="宋体" w:hAnsi="宋体" w:eastAsia="宋体" w:cs="宋体"/>
          <w:color w:val="auto"/>
          <w:sz w:val="24"/>
          <w:szCs w:val="24"/>
        </w:rPr>
        <w:t>1.供应商提出质疑时，应提交质疑函和必要的证明材料。</w:t>
      </w:r>
    </w:p>
    <w:p w14:paraId="5044352F">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rPr>
        <w:t>供应商签署的授权委托书。授权委托书应载明代理人的姓名或者名称、代理事项、具体权限、期限和相关事项。</w:t>
      </w:r>
    </w:p>
    <w:p w14:paraId="1F9F651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2240FDCA">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105FCCB3">
      <w:pPr>
        <w:widowControl/>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18BCC837">
      <w:pPr>
        <w:pStyle w:val="36"/>
        <w:keepNext w:val="0"/>
        <w:keepLines w:val="0"/>
        <w:pageBreakBefore w:val="0"/>
        <w:widowControl w:val="0"/>
        <w:kinsoku/>
        <w:wordWrap w:val="0"/>
        <w:overflowPunct/>
        <w:topLinePunct/>
        <w:autoSpaceDE/>
        <w:autoSpaceDN/>
        <w:bidi w:val="0"/>
        <w:adjustRightInd/>
        <w:snapToGrid/>
        <w:spacing w:line="480" w:lineRule="auto"/>
        <w:ind w:left="0" w:leftChars="0" w:right="0" w:firstLine="480" w:firstLineChars="200"/>
        <w:jc w:val="left"/>
        <w:textAlignment w:val="auto"/>
        <w:rPr>
          <w:rFonts w:hint="eastAsia" w:ascii="宋体" w:hAnsi="宋体" w:eastAsia="宋体" w:cs="宋体"/>
          <w:color w:val="auto"/>
          <w:sz w:val="24"/>
          <w:szCs w:val="24"/>
        </w:rPr>
        <w:sectPr>
          <w:pgSz w:w="11906" w:h="16838"/>
          <w:pgMar w:top="1440" w:right="1080" w:bottom="1440" w:left="1080" w:header="709" w:footer="907" w:gutter="0"/>
          <w:pgNumType w:fmt="decimal"/>
          <w:cols w:space="720" w:num="1"/>
          <w:titlePg/>
          <w:rtlGutter w:val="0"/>
          <w:docGrid w:linePitch="299" w:charSpace="0"/>
        </w:sect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p>
    <w:bookmarkEnd w:id="1149"/>
    <w:p w14:paraId="36705A72">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0"/>
        <w:rPr>
          <w:rStyle w:val="89"/>
          <w:rFonts w:hint="eastAsia" w:ascii="宋体" w:hAnsi="宋体" w:eastAsia="宋体" w:cs="宋体"/>
          <w:color w:val="auto"/>
          <w:lang w:eastAsia="zh-CN"/>
        </w:rPr>
      </w:pPr>
      <w:bookmarkStart w:id="1150" w:name="_Toc29024"/>
      <w:bookmarkStart w:id="1151" w:name="_Toc13343"/>
      <w:bookmarkStart w:id="1152" w:name="_Toc5596"/>
      <w:bookmarkStart w:id="1153" w:name="_Toc10107"/>
      <w:bookmarkStart w:id="1154" w:name="_Toc88638769"/>
      <w:bookmarkStart w:id="1155" w:name="_Toc88646743"/>
      <w:r>
        <w:rPr>
          <w:rStyle w:val="89"/>
          <w:rFonts w:hint="eastAsia" w:ascii="宋体" w:hAnsi="宋体" w:eastAsia="宋体" w:cs="宋体"/>
          <w:color w:val="auto"/>
          <w:lang w:eastAsia="zh-CN"/>
        </w:rPr>
        <w:t>第三章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评</w:t>
      </w:r>
      <w:r>
        <w:rPr>
          <w:rStyle w:val="89"/>
          <w:rFonts w:hint="eastAsia" w:ascii="宋体" w:hAnsi="宋体" w:eastAsia="宋体" w:cs="宋体"/>
          <w:color w:val="auto"/>
          <w:lang w:val="en-US" w:eastAsia="zh-CN"/>
        </w:rPr>
        <w:t>审</w:t>
      </w:r>
      <w:r>
        <w:rPr>
          <w:rStyle w:val="89"/>
          <w:rFonts w:hint="eastAsia" w:ascii="宋体" w:hAnsi="宋体" w:eastAsia="宋体" w:cs="宋体"/>
          <w:color w:val="auto"/>
          <w:lang w:eastAsia="zh-CN"/>
        </w:rPr>
        <w:t>办法（综合评分法）</w:t>
      </w:r>
      <w:bookmarkEnd w:id="1150"/>
    </w:p>
    <w:p w14:paraId="013C1972">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jc w:val="left"/>
        <w:textAlignment w:val="auto"/>
        <w:rPr>
          <w:rFonts w:hint="eastAsia" w:ascii="宋体" w:hAnsi="宋体" w:eastAsia="宋体" w:cs="宋体"/>
          <w:color w:val="auto"/>
          <w:sz w:val="48"/>
          <w:szCs w:val="48"/>
          <w:lang w:eastAsia="zh-CN"/>
        </w:rPr>
      </w:pPr>
      <w:bookmarkStart w:id="1156" w:name="_Toc22597"/>
      <w:bookmarkStart w:id="1157" w:name="_Toc10154"/>
      <w:r>
        <w:rPr>
          <w:rFonts w:hint="eastAsia" w:ascii="宋体" w:hAnsi="宋体" w:eastAsia="宋体" w:cs="宋体"/>
          <w:color w:val="auto"/>
          <w:sz w:val="28"/>
          <w:szCs w:val="28"/>
          <w:lang w:val="en-US" w:eastAsia="zh-CN"/>
        </w:rPr>
        <w:t>1</w:t>
      </w:r>
      <w:r>
        <w:rPr>
          <w:rFonts w:hint="eastAsia" w:cs="宋体"/>
          <w:color w:val="auto"/>
          <w:sz w:val="28"/>
          <w:szCs w:val="28"/>
          <w:lang w:val="en-US" w:eastAsia="zh-CN"/>
        </w:rPr>
        <w:t>.</w:t>
      </w:r>
      <w:r>
        <w:rPr>
          <w:rFonts w:hint="eastAsia" w:ascii="宋体" w:hAnsi="宋体" w:eastAsia="宋体" w:cs="宋体"/>
          <w:color w:val="auto"/>
          <w:sz w:val="28"/>
          <w:szCs w:val="28"/>
          <w:lang w:val="en-US" w:eastAsia="zh-CN"/>
        </w:rPr>
        <w:t>评审标准前附表</w:t>
      </w:r>
      <w:bookmarkEnd w:id="1156"/>
      <w:bookmarkEnd w:id="1157"/>
    </w:p>
    <w:p w14:paraId="2691F509">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textAlignment w:val="auto"/>
        <w:rPr>
          <w:rFonts w:hint="eastAsia"/>
          <w:color w:val="auto"/>
          <w:sz w:val="28"/>
          <w:szCs w:val="28"/>
          <w:lang w:eastAsia="zh-CN"/>
        </w:rPr>
      </w:pPr>
      <w:bookmarkStart w:id="1158" w:name="_Toc6921"/>
      <w:r>
        <w:rPr>
          <w:rFonts w:hint="eastAsia" w:cs="宋体"/>
          <w:color w:val="auto"/>
          <w:sz w:val="28"/>
          <w:szCs w:val="28"/>
          <w:lang w:eastAsia="zh-CN"/>
        </w:rPr>
        <w:t>（</w:t>
      </w:r>
      <w:r>
        <w:rPr>
          <w:rFonts w:hint="eastAsia" w:cs="宋体"/>
          <w:color w:val="auto"/>
          <w:sz w:val="28"/>
          <w:szCs w:val="28"/>
          <w:lang w:val="en-US" w:eastAsia="zh-CN"/>
        </w:rPr>
        <w:t>1</w:t>
      </w:r>
      <w:r>
        <w:rPr>
          <w:rFonts w:hint="eastAsia" w:cs="宋体"/>
          <w:color w:val="auto"/>
          <w:sz w:val="28"/>
          <w:szCs w:val="28"/>
          <w:lang w:eastAsia="zh-CN"/>
        </w:rPr>
        <w:t>）</w:t>
      </w:r>
      <w:r>
        <w:rPr>
          <w:rFonts w:hint="eastAsia" w:ascii="宋体" w:hAnsi="宋体" w:eastAsia="宋体" w:cs="宋体"/>
          <w:color w:val="auto"/>
          <w:sz w:val="28"/>
          <w:szCs w:val="28"/>
          <w:lang w:eastAsia="zh-CN"/>
        </w:rPr>
        <w:t>资格审查</w:t>
      </w:r>
      <w:r>
        <w:rPr>
          <w:rFonts w:hint="eastAsia" w:ascii="宋体" w:hAnsi="宋体" w:eastAsia="宋体" w:cs="宋体"/>
          <w:color w:val="auto"/>
          <w:sz w:val="28"/>
          <w:szCs w:val="28"/>
          <w:lang w:val="en-US" w:eastAsia="zh-CN"/>
        </w:rPr>
        <w:t>标准</w:t>
      </w:r>
      <w:bookmarkEnd w:id="1151"/>
      <w:bookmarkEnd w:id="1152"/>
      <w:bookmarkEnd w:id="1153"/>
      <w:bookmarkEnd w:id="1154"/>
      <w:bookmarkEnd w:id="1155"/>
      <w:bookmarkEnd w:id="1158"/>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20"/>
        <w:gridCol w:w="7037"/>
      </w:tblGrid>
      <w:tr w14:paraId="7F4995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EE00E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7037" w:type="dxa"/>
            <w:noWrap w:val="0"/>
            <w:vAlign w:val="center"/>
          </w:tcPr>
          <w:p w14:paraId="6CC9C0E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r>
      <w:tr w14:paraId="5A41B1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2620" w:type="dxa"/>
            <w:noWrap w:val="0"/>
            <w:vAlign w:val="center"/>
          </w:tcPr>
          <w:p w14:paraId="18D591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bCs/>
                <w:color w:val="auto"/>
                <w:sz w:val="24"/>
              </w:rPr>
              <w:t>具有独立承担民事责任的能力</w:t>
            </w:r>
          </w:p>
        </w:tc>
        <w:tc>
          <w:tcPr>
            <w:tcW w:w="7037" w:type="dxa"/>
            <w:noWrap w:val="0"/>
            <w:vAlign w:val="center"/>
          </w:tcPr>
          <w:p w14:paraId="175B6AB3">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b/>
                <w:color w:val="auto"/>
                <w:kern w:val="2"/>
                <w:sz w:val="24"/>
                <w:szCs w:val="24"/>
                <w:u w:val="single"/>
                <w:lang w:val="en-US" w:eastAsia="zh-CN" w:bidi="ar-SA"/>
              </w:rPr>
            </w:pPr>
            <w:r>
              <w:rPr>
                <w:rFonts w:hint="eastAsia" w:ascii="宋体" w:hAnsi="宋体" w:eastAsia="宋体" w:cs="宋体"/>
                <w:color w:val="auto"/>
                <w:sz w:val="24"/>
                <w:szCs w:val="24"/>
                <w:lang w:eastAsia="zh-CN"/>
              </w:rPr>
              <w:t>具有独立承担民事责任的能力，提供法人或者其他组织有效的营业执照等证明文件</w:t>
            </w:r>
            <w:r>
              <w:rPr>
                <w:rFonts w:hint="eastAsia" w:ascii="宋体" w:hAnsi="宋体" w:eastAsia="宋体" w:cs="宋体"/>
                <w:b/>
                <w:color w:val="auto"/>
                <w:sz w:val="24"/>
                <w:szCs w:val="24"/>
                <w:lang w:eastAsia="zh-CN"/>
              </w:rPr>
              <w:t>。（扫描件加盖电子公章）</w:t>
            </w:r>
          </w:p>
        </w:tc>
      </w:tr>
      <w:tr w14:paraId="197998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A2EA9C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具有良好的商业信誉和健全的财务会计制度</w:t>
            </w:r>
          </w:p>
        </w:tc>
        <w:tc>
          <w:tcPr>
            <w:tcW w:w="7037" w:type="dxa"/>
            <w:noWrap w:val="0"/>
            <w:vAlign w:val="center"/>
          </w:tcPr>
          <w:p w14:paraId="04CE917E">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lang w:bidi="ar"/>
              </w:rPr>
              <w:t>具有良好的商业信誉：</w:t>
            </w:r>
          </w:p>
          <w:p w14:paraId="2735715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kern w:val="0"/>
                <w:sz w:val="24"/>
                <w:szCs w:val="24"/>
                <w:highlight w:val="none"/>
                <w:lang w:val="en-US" w:eastAsia="zh-CN" w:bidi="ar"/>
              </w:rPr>
              <w:t>据实提供《</w:t>
            </w:r>
            <w:r>
              <w:rPr>
                <w:rFonts w:hint="eastAsia" w:ascii="宋体" w:hAnsi="宋体" w:eastAsia="宋体" w:cs="宋体"/>
                <w:bCs/>
                <w:color w:val="auto"/>
                <w:kern w:val="0"/>
                <w:sz w:val="24"/>
                <w:szCs w:val="24"/>
                <w:highlight w:val="none"/>
                <w:lang w:bidi="ar"/>
              </w:rPr>
              <w:t>商业信誉承诺书</w:t>
            </w:r>
            <w:r>
              <w:rPr>
                <w:rFonts w:hint="eastAsia" w:ascii="宋体" w:hAnsi="宋体" w:eastAsia="宋体" w:cs="宋体"/>
                <w:bCs/>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bidi="ar"/>
              </w:rPr>
              <w:t>。</w:t>
            </w:r>
          </w:p>
          <w:p w14:paraId="4512719D">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rPr>
                <w:rFonts w:hint="eastAsia" w:ascii="宋体" w:hAnsi="宋体" w:eastAsia="宋体" w:cs="宋体"/>
                <w:b/>
                <w:color w:val="auto"/>
                <w:kern w:val="0"/>
                <w:sz w:val="24"/>
                <w:szCs w:val="24"/>
                <w:highlight w:val="none"/>
                <w:lang w:bidi="ar"/>
              </w:rPr>
            </w:pP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kern w:val="0"/>
                <w:sz w:val="24"/>
                <w:szCs w:val="24"/>
                <w:highlight w:val="none"/>
              </w:rPr>
              <w:t>健全的财务会计制度证明材料：</w:t>
            </w:r>
          </w:p>
          <w:p w14:paraId="181A713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b/>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highlight w:val="none"/>
                <w:lang w:val="en-US" w:eastAsia="zh-CN"/>
              </w:rPr>
              <w:t>提供《具有健全的财务会计制度的承诺函》。</w:t>
            </w:r>
          </w:p>
        </w:tc>
      </w:tr>
      <w:tr w14:paraId="5A2AF4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07C08EAA">
            <w:pPr>
              <w:wordWrap w:val="0"/>
              <w:topLinePunct/>
              <w:spacing w:line="360" w:lineRule="auto"/>
              <w:jc w:val="center"/>
              <w:rPr>
                <w:rFonts w:hint="eastAsia" w:ascii="宋体" w:hAnsi="宋体" w:eastAsia="宋体" w:cs="宋体"/>
                <w:bCs/>
                <w:color w:val="auto"/>
                <w:sz w:val="24"/>
                <w:szCs w:val="22"/>
                <w:lang w:val="en-US" w:eastAsia="zh-CN" w:bidi="ar-SA"/>
              </w:rPr>
            </w:pPr>
            <w:r>
              <w:rPr>
                <w:rFonts w:hint="eastAsia" w:ascii="宋体" w:hAnsi="宋体" w:eastAsia="宋体" w:cs="宋体"/>
                <w:bCs/>
                <w:color w:val="auto"/>
                <w:sz w:val="24"/>
              </w:rPr>
              <w:t>具有履行合同</w:t>
            </w:r>
            <w:r>
              <w:rPr>
                <w:rFonts w:hint="eastAsia" w:ascii="宋体" w:hAnsi="宋体" w:eastAsia="宋体" w:cs="宋体"/>
                <w:bCs/>
                <w:color w:val="auto"/>
                <w:sz w:val="24"/>
                <w:lang w:eastAsia="zh-CN"/>
              </w:rPr>
              <w:t>所必须的</w:t>
            </w:r>
            <w:r>
              <w:rPr>
                <w:rFonts w:hint="eastAsia" w:ascii="宋体" w:hAnsi="宋体" w:eastAsia="宋体" w:cs="宋体"/>
                <w:bCs/>
                <w:color w:val="auto"/>
                <w:sz w:val="24"/>
              </w:rPr>
              <w:t>设备和专业技术能力</w:t>
            </w:r>
          </w:p>
        </w:tc>
        <w:tc>
          <w:tcPr>
            <w:tcW w:w="7037" w:type="dxa"/>
            <w:noWrap w:val="0"/>
            <w:vAlign w:val="center"/>
          </w:tcPr>
          <w:p w14:paraId="7D801E80">
            <w:pPr>
              <w:wordWrap w:val="0"/>
              <w:topLinePunct/>
              <w:spacing w:line="360" w:lineRule="auto"/>
              <w:ind w:firstLine="480" w:firstLineChars="200"/>
              <w:jc w:val="left"/>
              <w:rPr>
                <w:rFonts w:hint="eastAsia" w:ascii="宋体" w:hAnsi="宋体" w:eastAsia="宋体" w:cs="宋体"/>
                <w:bCs/>
                <w:color w:val="auto"/>
                <w:sz w:val="24"/>
                <w:szCs w:val="22"/>
                <w:lang w:val="en-US" w:eastAsia="zh-CN" w:bidi="ar-SA"/>
              </w:rPr>
            </w:pPr>
            <w:r>
              <w:rPr>
                <w:rFonts w:hint="eastAsia" w:ascii="宋体" w:hAnsi="宋体" w:cs="宋体"/>
                <w:bCs/>
                <w:color w:val="auto"/>
                <w:kern w:val="0"/>
                <w:sz w:val="24"/>
                <w:lang w:val="en-US" w:eastAsia="zh-CN" w:bidi="ar"/>
              </w:rPr>
              <w:t>供应商</w:t>
            </w:r>
            <w:r>
              <w:rPr>
                <w:rFonts w:hint="eastAsia" w:ascii="宋体" w:hAnsi="宋体" w:eastAsia="宋体" w:cs="宋体"/>
                <w:bCs/>
                <w:color w:val="auto"/>
                <w:kern w:val="0"/>
                <w:sz w:val="24"/>
                <w:lang w:bidi="ar"/>
              </w:rPr>
              <w:t>应具有履行合同相应的专业团队、设备等。须附相关证明材料或承诺书。</w:t>
            </w:r>
          </w:p>
        </w:tc>
      </w:tr>
      <w:tr w14:paraId="309F1D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noWrap w:val="0"/>
            <w:vAlign w:val="center"/>
          </w:tcPr>
          <w:p w14:paraId="20D0AF7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有依法缴纳税收和社会保障资金的良好记录</w:t>
            </w:r>
          </w:p>
        </w:tc>
        <w:tc>
          <w:tcPr>
            <w:tcW w:w="7037" w:type="dxa"/>
            <w:noWrap w:val="0"/>
            <w:vAlign w:val="center"/>
          </w:tcPr>
          <w:p w14:paraId="3A150BC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color w:val="auto"/>
                <w:sz w:val="24"/>
                <w:szCs w:val="24"/>
                <w:highlight w:val="none"/>
                <w:lang w:val="en-US" w:eastAsia="zh-CN"/>
              </w:rPr>
              <w:t>提供《依法缴纳税收和社会保障资金承诺书》</w:t>
            </w:r>
            <w:r>
              <w:rPr>
                <w:rFonts w:hint="eastAsia" w:ascii="宋体" w:hAnsi="宋体" w:eastAsia="宋体" w:cs="宋体"/>
                <w:color w:val="auto"/>
                <w:sz w:val="24"/>
                <w:szCs w:val="24"/>
                <w:highlight w:val="none"/>
              </w:rPr>
              <w:t>。</w:t>
            </w:r>
          </w:p>
        </w:tc>
      </w:tr>
      <w:tr w14:paraId="6467C3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20" w:type="dxa"/>
            <w:noWrap w:val="0"/>
            <w:vAlign w:val="center"/>
          </w:tcPr>
          <w:p w14:paraId="19AC073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rPr>
            </w:pPr>
            <w:r>
              <w:rPr>
                <w:rFonts w:hint="eastAsia" w:ascii="宋体" w:hAnsi="宋体" w:cs="宋体"/>
                <w:bCs/>
                <w:color w:val="auto"/>
                <w:sz w:val="24"/>
                <w:lang w:val="en-US" w:eastAsia="zh-CN"/>
              </w:rPr>
              <w:t>供应商</w:t>
            </w:r>
            <w:r>
              <w:rPr>
                <w:rFonts w:hint="eastAsia" w:ascii="宋体" w:hAnsi="宋体" w:eastAsia="宋体" w:cs="宋体"/>
                <w:bCs/>
                <w:color w:val="auto"/>
                <w:sz w:val="24"/>
              </w:rPr>
              <w:t>参加政府采购活动前三年内，在经营活动中没有重大违法记录</w:t>
            </w:r>
          </w:p>
        </w:tc>
        <w:tc>
          <w:tcPr>
            <w:tcW w:w="7037" w:type="dxa"/>
            <w:noWrap w:val="0"/>
            <w:vAlign w:val="center"/>
          </w:tcPr>
          <w:p w14:paraId="33605714">
            <w:pPr>
              <w:keepNext w:val="0"/>
              <w:keepLines w:val="0"/>
              <w:pageBreakBefore w:val="0"/>
              <w:widowControl w:val="0"/>
              <w:kinsoku/>
              <w:wordWrap w:val="0"/>
              <w:overflowPunct/>
              <w:topLinePunct/>
              <w:autoSpaceDE/>
              <w:autoSpaceDN/>
              <w:bidi w:val="0"/>
              <w:adjustRightInd/>
              <w:snapToGrid/>
              <w:spacing w:line="360" w:lineRule="auto"/>
              <w:ind w:right="0" w:firstLine="480" w:firstLineChars="200"/>
              <w:jc w:val="both"/>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highlight w:val="none"/>
                <w:lang w:val="en-US" w:eastAsia="zh-CN" w:bidi="ar"/>
              </w:rPr>
              <w:t>据实</w:t>
            </w:r>
            <w:r>
              <w:rPr>
                <w:rFonts w:hint="eastAsia" w:ascii="宋体" w:hAnsi="宋体" w:eastAsia="宋体" w:cs="宋体"/>
                <w:bCs/>
                <w:color w:val="auto"/>
                <w:sz w:val="24"/>
                <w:highlight w:val="none"/>
              </w:rPr>
              <w:t>提供</w:t>
            </w:r>
            <w:r>
              <w:rPr>
                <w:rFonts w:hint="eastAsia" w:ascii="宋体" w:hAnsi="宋体" w:eastAsia="宋体" w:cs="宋体"/>
                <w:bCs/>
                <w:color w:val="auto"/>
                <w:sz w:val="24"/>
                <w:highlight w:val="none"/>
                <w:lang w:eastAsia="zh-CN"/>
              </w:rPr>
              <w:t>《参加采购活动前三年内在经营活动中没有重大违法记</w:t>
            </w:r>
            <w:r>
              <w:rPr>
                <w:rFonts w:hint="eastAsia" w:ascii="宋体" w:hAnsi="宋体" w:cs="宋体"/>
                <w:bCs/>
                <w:color w:val="auto"/>
                <w:sz w:val="24"/>
                <w:highlight w:val="none"/>
                <w:lang w:eastAsia="zh-CN"/>
              </w:rPr>
              <w:t>录的</w:t>
            </w:r>
            <w:r>
              <w:rPr>
                <w:rFonts w:hint="eastAsia" w:ascii="宋体" w:hAnsi="宋体" w:eastAsia="宋体" w:cs="宋体"/>
                <w:bCs/>
                <w:color w:val="auto"/>
                <w:sz w:val="24"/>
                <w:highlight w:val="none"/>
                <w:lang w:eastAsia="zh-CN"/>
              </w:rPr>
              <w:t>书面声明》</w:t>
            </w:r>
            <w:r>
              <w:rPr>
                <w:rFonts w:hint="eastAsia" w:ascii="宋体" w:hAnsi="宋体" w:eastAsia="宋体" w:cs="宋体"/>
                <w:bCs/>
                <w:color w:val="auto"/>
                <w:sz w:val="24"/>
                <w:highlight w:val="none"/>
              </w:rPr>
              <w:t>。</w:t>
            </w:r>
          </w:p>
        </w:tc>
      </w:tr>
      <w:tr w14:paraId="01B110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2620" w:type="dxa"/>
            <w:vMerge w:val="restart"/>
            <w:noWrap w:val="0"/>
            <w:vAlign w:val="center"/>
          </w:tcPr>
          <w:p w14:paraId="5E964E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本项目的特定资格要求</w:t>
            </w:r>
          </w:p>
          <w:p w14:paraId="70F89A69">
            <w:pPr>
              <w:pStyle w:val="28"/>
              <w:keepNext w:val="0"/>
              <w:keepLines w:val="0"/>
              <w:pageBreakBefore w:val="0"/>
              <w:widowControl w:val="0"/>
              <w:tabs>
                <w:tab w:val="left" w:pos="2812"/>
                <w:tab w:val="left" w:pos="4300"/>
              </w:tabs>
              <w:kinsoku/>
              <w:wordWrap w:val="0"/>
              <w:overflowPunct/>
              <w:topLinePunct/>
              <w:autoSpaceDE/>
              <w:autoSpaceDN/>
              <w:bidi w:val="0"/>
              <w:adjustRightInd/>
              <w:snapToGrid/>
              <w:spacing w:line="430" w:lineRule="exact"/>
              <w:ind w:left="0" w:leftChars="0" w:right="0" w:rightChars="0" w:firstLine="480" w:firstLineChars="200"/>
              <w:jc w:val="left"/>
              <w:textAlignment w:val="auto"/>
              <w:rPr>
                <w:rFonts w:hint="eastAsia" w:ascii="宋体" w:hAnsi="宋体" w:eastAsia="宋体" w:cs="宋体"/>
                <w:color w:val="auto"/>
                <w:sz w:val="24"/>
                <w:szCs w:val="24"/>
                <w:lang w:eastAsia="zh-CN"/>
              </w:rPr>
            </w:pPr>
          </w:p>
        </w:tc>
        <w:tc>
          <w:tcPr>
            <w:tcW w:w="7037" w:type="dxa"/>
            <w:noWrap w:val="0"/>
            <w:vAlign w:val="center"/>
          </w:tcPr>
          <w:p w14:paraId="6EFCAA91">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如果是代理商或经销商且所投产品为医疗器械的，须提供医疗器械经营许可证/备案</w:t>
            </w:r>
            <w:r>
              <w:rPr>
                <w:rFonts w:hint="eastAsia" w:ascii="宋体" w:hAnsi="宋体" w:eastAsia="宋体" w:cs="宋体"/>
                <w:b w:val="0"/>
                <w:bCs w:val="0"/>
                <w:color w:val="auto"/>
                <w:sz w:val="24"/>
                <w:szCs w:val="24"/>
                <w:lang w:val="en-US" w:eastAsia="zh-CN"/>
              </w:rPr>
              <w:t>证</w:t>
            </w:r>
            <w:r>
              <w:rPr>
                <w:rFonts w:hint="eastAsia" w:ascii="宋体" w:hAnsi="宋体" w:eastAsia="宋体" w:cs="宋体"/>
                <w:b w:val="0"/>
                <w:bCs w:val="0"/>
                <w:color w:val="auto"/>
                <w:sz w:val="24"/>
                <w:szCs w:val="24"/>
                <w:lang w:eastAsia="zh-CN"/>
              </w:rPr>
              <w:t>，所投产品制造商医疗器械生产许可证（制造商工商注册地在中华人民共和国境外的，</w:t>
            </w:r>
            <w:r>
              <w:rPr>
                <w:rFonts w:hint="eastAsia" w:ascii="宋体" w:hAnsi="宋体" w:eastAsia="宋体" w:cs="宋体"/>
                <w:b w:val="0"/>
                <w:bCs w:val="0"/>
                <w:color w:val="auto"/>
                <w:sz w:val="24"/>
                <w:szCs w:val="24"/>
                <w:lang w:val="en-US" w:eastAsia="zh-CN"/>
              </w:rPr>
              <w:t>此项不</w:t>
            </w:r>
            <w:r>
              <w:rPr>
                <w:rFonts w:hint="eastAsia" w:ascii="宋体" w:hAnsi="宋体" w:eastAsia="宋体" w:cs="宋体"/>
                <w:b w:val="0"/>
                <w:bCs w:val="0"/>
                <w:color w:val="auto"/>
                <w:sz w:val="24"/>
                <w:szCs w:val="24"/>
                <w:lang w:eastAsia="zh-CN"/>
              </w:rPr>
              <w:t>要求）、所投产品的医疗器械注册证及附件；</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如果是制造商且所投产品为医疗器械，须提供医疗器械生产许可证（制造商工商注册地在中华人民共和国境外的，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eastAsia="宋体" w:cs="宋体"/>
                <w:b/>
                <w:bCs/>
                <w:color w:val="auto"/>
                <w:sz w:val="24"/>
                <w:szCs w:val="24"/>
                <w:lang w:eastAsia="zh-CN"/>
              </w:rPr>
              <w:t>提供相关证明资料（扫描件加盖电子公章）。</w:t>
            </w:r>
          </w:p>
        </w:tc>
      </w:tr>
      <w:tr w14:paraId="38B82D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vMerge w:val="continue"/>
            <w:noWrap w:val="0"/>
            <w:vAlign w:val="center"/>
          </w:tcPr>
          <w:p w14:paraId="71EB5FE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p>
        </w:tc>
        <w:tc>
          <w:tcPr>
            <w:tcW w:w="7037" w:type="dxa"/>
            <w:noWrap w:val="0"/>
            <w:vAlign w:val="center"/>
          </w:tcPr>
          <w:p w14:paraId="4E5B2616">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val="en-US" w:eastAsia="zh-CN"/>
              </w:rPr>
            </w:pP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应遵守国家有关的法律、法令和条例，以及符合并承认和履行招标文件中的各项规定：</w:t>
            </w:r>
            <w:r>
              <w:rPr>
                <w:rFonts w:hint="eastAsia" w:ascii="宋体" w:hAnsi="宋体" w:eastAsia="宋体" w:cs="宋体"/>
                <w:color w:val="auto"/>
                <w:sz w:val="24"/>
                <w:szCs w:val="24"/>
                <w:lang w:val="en-US" w:eastAsia="zh-CN"/>
              </w:rPr>
              <w:t>据实提供《</w:t>
            </w:r>
            <w:r>
              <w:rPr>
                <w:rFonts w:hint="eastAsia" w:ascii="宋体" w:hAnsi="宋体" w:eastAsia="宋体" w:cs="宋体"/>
                <w:color w:val="auto"/>
                <w:sz w:val="24"/>
                <w:szCs w:val="24"/>
                <w:lang w:eastAsia="zh-CN"/>
              </w:rPr>
              <w:t>资格声明函</w:t>
            </w:r>
            <w:r>
              <w:rPr>
                <w:rFonts w:hint="eastAsia" w:ascii="宋体" w:hAnsi="宋体" w:eastAsia="宋体" w:cs="宋体"/>
                <w:color w:val="auto"/>
                <w:sz w:val="24"/>
                <w:szCs w:val="24"/>
                <w:lang w:val="en-US" w:eastAsia="zh-CN"/>
              </w:rPr>
              <w:t>》。</w:t>
            </w:r>
          </w:p>
        </w:tc>
      </w:tr>
      <w:tr w14:paraId="17A388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620" w:type="dxa"/>
            <w:vMerge w:val="continue"/>
            <w:noWrap w:val="0"/>
            <w:vAlign w:val="center"/>
          </w:tcPr>
          <w:p w14:paraId="138D307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eastAsia="zh-CN"/>
              </w:rPr>
            </w:pPr>
          </w:p>
        </w:tc>
        <w:tc>
          <w:tcPr>
            <w:tcW w:w="7037" w:type="dxa"/>
            <w:noWrap w:val="0"/>
            <w:vAlign w:val="center"/>
          </w:tcPr>
          <w:p w14:paraId="40340B8B">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lang w:eastAsia="zh-CN"/>
              </w:rPr>
              <w:t>单位负责人为同一人或者存在直接控股、管理关系的不同</w:t>
            </w:r>
            <w:r>
              <w:rPr>
                <w:rFonts w:hint="eastAsia" w:cs="宋体"/>
                <w:b w:val="0"/>
                <w:bCs w:val="0"/>
                <w:color w:val="auto"/>
                <w:sz w:val="24"/>
                <w:szCs w:val="24"/>
                <w:lang w:eastAsia="zh-CN"/>
              </w:rPr>
              <w:t>供应商</w:t>
            </w:r>
            <w:r>
              <w:rPr>
                <w:rFonts w:hint="eastAsia" w:ascii="宋体" w:hAnsi="宋体" w:eastAsia="宋体" w:cs="宋体"/>
                <w:b w:val="0"/>
                <w:bCs w:val="0"/>
                <w:color w:val="auto"/>
                <w:sz w:val="24"/>
                <w:szCs w:val="24"/>
                <w:lang w:eastAsia="zh-CN"/>
              </w:rPr>
              <w:t>，不得参加同一合同项下的政府采购活动：</w:t>
            </w:r>
            <w:r>
              <w:rPr>
                <w:rFonts w:hint="eastAsia" w:ascii="宋体" w:hAnsi="宋体" w:eastAsia="宋体" w:cs="宋体"/>
                <w:color w:val="auto"/>
                <w:sz w:val="24"/>
                <w:szCs w:val="24"/>
                <w:lang w:val="en-US" w:eastAsia="zh-CN"/>
              </w:rPr>
              <w:t>据实提供《</w:t>
            </w:r>
            <w:r>
              <w:rPr>
                <w:rFonts w:hint="eastAsia" w:ascii="宋体" w:hAnsi="宋体" w:eastAsia="宋体" w:cs="宋体"/>
                <w:color w:val="auto"/>
                <w:sz w:val="24"/>
                <w:szCs w:val="24"/>
                <w:lang w:eastAsia="zh-CN"/>
              </w:rPr>
              <w:t>资格声明函</w:t>
            </w:r>
            <w:r>
              <w:rPr>
                <w:rFonts w:hint="eastAsia" w:ascii="宋体" w:hAnsi="宋体" w:eastAsia="宋体" w:cs="宋体"/>
                <w:color w:val="auto"/>
                <w:sz w:val="24"/>
                <w:szCs w:val="24"/>
                <w:lang w:val="en-US" w:eastAsia="zh-CN"/>
              </w:rPr>
              <w:t>》。</w:t>
            </w:r>
          </w:p>
        </w:tc>
      </w:tr>
      <w:tr w14:paraId="7A1AD6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1E61C4BE">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rPr>
              <w:t>法律、行政法规规定的其他条件</w:t>
            </w:r>
          </w:p>
        </w:tc>
        <w:tc>
          <w:tcPr>
            <w:tcW w:w="7037" w:type="dxa"/>
            <w:noWrap w:val="0"/>
            <w:vAlign w:val="center"/>
          </w:tcPr>
          <w:p w14:paraId="6FA8DD1C">
            <w:pPr>
              <w:pStyle w:val="28"/>
              <w:keepNext w:val="0"/>
              <w:keepLines w:val="0"/>
              <w:pageBreakBefore w:val="0"/>
              <w:widowControl w:val="0"/>
              <w:tabs>
                <w:tab w:val="left" w:pos="2412"/>
              </w:tabs>
              <w:kinsoku/>
              <w:wordWrap w:val="0"/>
              <w:overflowPunct/>
              <w:topLinePunct/>
              <w:autoSpaceDE/>
              <w:autoSpaceDN/>
              <w:bidi w:val="0"/>
              <w:adjustRightInd/>
              <w:snapToGrid/>
              <w:spacing w:line="360" w:lineRule="auto"/>
              <w:ind w:left="0" w:leftChars="0" w:right="0" w:rightChars="0"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highlight w:val="none"/>
                <w:lang w:val="en-US" w:eastAsia="zh-CN"/>
              </w:rPr>
              <w:t>据实</w:t>
            </w:r>
            <w:r>
              <w:rPr>
                <w:rFonts w:hint="eastAsia" w:ascii="宋体" w:hAnsi="宋体" w:eastAsia="宋体" w:cs="宋体"/>
                <w:bCs/>
                <w:color w:val="auto"/>
                <w:sz w:val="24"/>
                <w:highlight w:val="none"/>
                <w:lang w:eastAsia="zh-CN"/>
              </w:rPr>
              <w:t>提供《</w:t>
            </w:r>
            <w:r>
              <w:rPr>
                <w:rFonts w:hint="eastAsia" w:ascii="宋体" w:hAnsi="宋体" w:eastAsia="宋体" w:cs="宋体"/>
                <w:bCs/>
                <w:color w:val="auto"/>
                <w:sz w:val="24"/>
                <w:highlight w:val="none"/>
                <w:lang w:val="en-US" w:eastAsia="zh-CN"/>
              </w:rPr>
              <w:t>未被列入失信被执行人、重大税收违法案件当事人、政府采购严重违法失信行为名单的承诺函</w:t>
            </w:r>
            <w:r>
              <w:rPr>
                <w:rFonts w:hint="eastAsia" w:ascii="宋体" w:hAnsi="宋体" w:eastAsia="宋体" w:cs="宋体"/>
                <w:bCs/>
                <w:color w:val="auto"/>
                <w:sz w:val="24"/>
                <w:highlight w:val="none"/>
                <w:lang w:eastAsia="zh-CN"/>
              </w:rPr>
              <w:t>》。</w:t>
            </w:r>
          </w:p>
        </w:tc>
      </w:tr>
      <w:tr w14:paraId="75E73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2620" w:type="dxa"/>
            <w:noWrap w:val="0"/>
            <w:vAlign w:val="center"/>
          </w:tcPr>
          <w:p w14:paraId="4C3104B6">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投标保证金</w:t>
            </w:r>
          </w:p>
        </w:tc>
        <w:tc>
          <w:tcPr>
            <w:tcW w:w="7037" w:type="dxa"/>
            <w:noWrap w:val="0"/>
            <w:vAlign w:val="center"/>
          </w:tcPr>
          <w:p w14:paraId="000AE15A">
            <w:pPr>
              <w:keepNext w:val="0"/>
              <w:keepLines w:val="0"/>
              <w:pageBreakBefore w:val="0"/>
              <w:widowControl w:val="0"/>
              <w:kinsoku/>
              <w:wordWrap w:val="0"/>
              <w:overflowPunct/>
              <w:topLinePunct/>
              <w:autoSpaceDE/>
              <w:autoSpaceDN/>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按照招标文件的规定提交投标保证金。</w:t>
            </w:r>
          </w:p>
        </w:tc>
      </w:tr>
    </w:tbl>
    <w:p w14:paraId="44E9CC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b/>
          <w:i/>
          <w:iCs/>
          <w:color w:val="auto"/>
          <w:sz w:val="24"/>
          <w:szCs w:val="24"/>
          <w:lang w:eastAsia="zh-CN"/>
        </w:rPr>
      </w:pPr>
      <w:r>
        <w:rPr>
          <w:rFonts w:hint="eastAsia" w:ascii="宋体" w:hAnsi="宋体" w:eastAsia="宋体" w:cs="宋体"/>
          <w:color w:val="auto"/>
          <w:sz w:val="24"/>
          <w:szCs w:val="24"/>
          <w:lang w:eastAsia="zh-CN"/>
        </w:rPr>
        <w:t>公开招标采购项目开标结束后，采购人或采购代理机构依据招标文件的规定，对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的资格进行审查。合格</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不足3家的，不得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，只有通过资格审查的投标文件才能进入</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w:t>
      </w:r>
    </w:p>
    <w:p w14:paraId="1B8DCFD5">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9"/>
        <w:rPr>
          <w:rStyle w:val="89"/>
          <w:rFonts w:hint="eastAsia" w:ascii="宋体" w:hAnsi="宋体" w:eastAsia="宋体" w:cs="宋体"/>
          <w:i/>
          <w:iCs/>
          <w:color w:val="auto"/>
          <w:lang w:eastAsia="zh-CN"/>
        </w:rPr>
      </w:pPr>
      <w:bookmarkStart w:id="1159" w:name="_Toc927"/>
      <w:bookmarkStart w:id="1160" w:name="_Toc22184"/>
      <w:bookmarkStart w:id="1161" w:name="_Toc512"/>
      <w:bookmarkStart w:id="1162" w:name="_Toc88646744"/>
    </w:p>
    <w:p w14:paraId="108DD3C2">
      <w:pPr>
        <w:pStyle w:val="36"/>
        <w:keepNext w:val="0"/>
        <w:keepLines w:val="0"/>
        <w:pageBreakBefore w:val="0"/>
        <w:widowControl w:val="0"/>
        <w:kinsoku/>
        <w:wordWrap w:val="0"/>
        <w:overflowPunct/>
        <w:topLinePunct/>
        <w:autoSpaceDE/>
        <w:autoSpaceDN/>
        <w:bidi w:val="0"/>
        <w:adjustRightInd/>
        <w:snapToGrid/>
        <w:spacing w:line="360" w:lineRule="auto"/>
        <w:ind w:left="0" w:leftChars="0" w:right="0" w:firstLine="883" w:firstLineChars="200"/>
        <w:jc w:val="center"/>
        <w:textAlignment w:val="auto"/>
        <w:outlineLvl w:val="9"/>
        <w:rPr>
          <w:rStyle w:val="89"/>
          <w:rFonts w:hint="eastAsia" w:ascii="宋体" w:hAnsi="宋体" w:eastAsia="宋体" w:cs="宋体"/>
          <w:i/>
          <w:iCs/>
          <w:color w:val="auto"/>
          <w:lang w:eastAsia="zh-CN"/>
        </w:rPr>
      </w:pPr>
    </w:p>
    <w:p w14:paraId="341FEA86">
      <w:pPr>
        <w:rPr>
          <w:rStyle w:val="685"/>
          <w:rFonts w:hint="eastAsia" w:ascii="宋体" w:hAnsi="宋体" w:eastAsia="宋体" w:cs="宋体"/>
          <w:b/>
          <w:bCs/>
          <w:color w:val="auto"/>
          <w:sz w:val="32"/>
          <w:szCs w:val="32"/>
          <w:lang w:val="en-US" w:eastAsia="zh-CN"/>
        </w:rPr>
      </w:pPr>
      <w:r>
        <w:rPr>
          <w:rStyle w:val="685"/>
          <w:rFonts w:hint="eastAsia" w:ascii="宋体" w:hAnsi="宋体" w:eastAsia="宋体" w:cs="宋体"/>
          <w:b/>
          <w:bCs/>
          <w:color w:val="auto"/>
          <w:sz w:val="32"/>
          <w:szCs w:val="32"/>
          <w:lang w:val="en-US" w:eastAsia="zh-CN"/>
        </w:rPr>
        <w:br w:type="page"/>
      </w:r>
    </w:p>
    <w:p w14:paraId="42EC3322">
      <w:pPr>
        <w:pStyle w:val="3"/>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outlineLvl w:val="1"/>
        <w:rPr>
          <w:rStyle w:val="685"/>
          <w:rFonts w:hint="eastAsia" w:ascii="仿宋" w:hAnsi="仿宋" w:eastAsia="仿宋" w:cs="仿宋"/>
          <w:b/>
          <w:bCs/>
          <w:color w:val="auto"/>
          <w:sz w:val="28"/>
          <w:szCs w:val="28"/>
          <w:lang w:eastAsia="zh-CN"/>
        </w:rPr>
      </w:pPr>
      <w:bookmarkStart w:id="1163" w:name="_Toc20198"/>
      <w:r>
        <w:rPr>
          <w:rStyle w:val="685"/>
          <w:rFonts w:hint="eastAsia" w:ascii="宋体" w:hAnsi="宋体" w:eastAsia="宋体" w:cs="宋体"/>
          <w:b/>
          <w:bCs/>
          <w:color w:val="auto"/>
          <w:sz w:val="28"/>
          <w:szCs w:val="28"/>
          <w:lang w:val="en-US" w:eastAsia="zh-CN"/>
        </w:rPr>
        <w:t>（2）</w:t>
      </w:r>
      <w:r>
        <w:rPr>
          <w:rStyle w:val="685"/>
          <w:rFonts w:hint="eastAsia" w:ascii="宋体" w:hAnsi="宋体" w:eastAsia="宋体" w:cs="宋体"/>
          <w:b/>
          <w:bCs/>
          <w:color w:val="auto"/>
          <w:sz w:val="28"/>
          <w:szCs w:val="28"/>
          <w:lang w:eastAsia="zh-CN"/>
        </w:rPr>
        <w:t>符合性评审标准</w:t>
      </w:r>
      <w:bookmarkEnd w:id="1163"/>
    </w:p>
    <w:bookmarkEnd w:id="1159"/>
    <w:bookmarkEnd w:id="1160"/>
    <w:p w14:paraId="55F6886F">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bookmarkStart w:id="1164" w:name="_Toc510164803"/>
      <w:bookmarkStart w:id="1165" w:name="_Toc535053841"/>
      <w:bookmarkStart w:id="1166" w:name="_Toc510168199"/>
      <w:bookmarkStart w:id="1167" w:name="_Toc510164454"/>
      <w:bookmarkStart w:id="1168" w:name="_Toc521313388"/>
      <w:bookmarkStart w:id="1169" w:name="_Toc36621972"/>
      <w:bookmarkStart w:id="1170" w:name="_Toc510164598"/>
      <w:bookmarkStart w:id="1171" w:name="_Toc522792533"/>
      <w:bookmarkStart w:id="1172" w:name="_Toc510164551"/>
      <w:bookmarkStart w:id="1173" w:name="_Toc532026899"/>
      <w:bookmarkStart w:id="1174" w:name="_Toc532026507"/>
      <w:bookmarkStart w:id="1175" w:name="_Toc522249415"/>
      <w:bookmarkStart w:id="1176" w:name="_Toc532025724"/>
      <w:bookmarkStart w:id="1177" w:name="_Toc535054230"/>
      <w:bookmarkStart w:id="1178" w:name="_Toc24531792"/>
      <w:bookmarkStart w:id="1179" w:name="_Toc427534"/>
      <w:bookmarkStart w:id="1180" w:name="_Toc512145677"/>
      <w:bookmarkStart w:id="1181" w:name="_Toc522249814"/>
      <w:bookmarkStart w:id="1182" w:name="_Toc524152292"/>
      <w:bookmarkStart w:id="1183" w:name="_Toc522705438"/>
      <w:bookmarkStart w:id="1184" w:name="_Toc510168028"/>
      <w:r>
        <w:rPr>
          <w:rFonts w:hint="eastAsia" w:ascii="宋体" w:hAnsi="宋体"/>
          <w:color w:val="auto"/>
          <w:sz w:val="24"/>
          <w:szCs w:val="24"/>
          <w:highlight w:val="none"/>
          <w:lang w:val="en-US" w:eastAsia="zh-CN"/>
        </w:rPr>
        <w:t>2</w:t>
      </w:r>
      <w:r>
        <w:rPr>
          <w:rFonts w:ascii="宋体" w:hAnsi="宋体"/>
          <w:color w:val="auto"/>
          <w:sz w:val="24"/>
          <w:szCs w:val="24"/>
          <w:highlight w:val="none"/>
        </w:rPr>
        <w:t>.1</w:t>
      </w:r>
      <w:r>
        <w:rPr>
          <w:rFonts w:hint="eastAsia" w:ascii="宋体" w:hAnsi="宋体"/>
          <w:color w:val="auto"/>
          <w:sz w:val="24"/>
          <w:szCs w:val="24"/>
          <w:highlight w:val="none"/>
          <w:lang w:eastAsia="zh-CN"/>
        </w:rPr>
        <w:t>评审</w:t>
      </w:r>
      <w:r>
        <w:rPr>
          <w:rFonts w:ascii="宋体" w:hAnsi="宋体"/>
          <w:color w:val="auto"/>
          <w:sz w:val="24"/>
          <w:szCs w:val="24"/>
          <w:highlight w:val="none"/>
        </w:rPr>
        <w:t>委员会对符合资格审查的</w:t>
      </w:r>
      <w:r>
        <w:rPr>
          <w:rFonts w:hint="eastAsia" w:ascii="宋体" w:hAnsi="宋体"/>
          <w:color w:val="auto"/>
          <w:sz w:val="24"/>
          <w:szCs w:val="24"/>
          <w:highlight w:val="none"/>
          <w:lang w:eastAsia="zh-CN"/>
        </w:rPr>
        <w:t>供应商</w:t>
      </w:r>
      <w:r>
        <w:rPr>
          <w:rFonts w:ascii="宋体" w:hAnsi="宋体"/>
          <w:color w:val="auto"/>
          <w:sz w:val="24"/>
          <w:szCs w:val="24"/>
          <w:highlight w:val="none"/>
        </w:rPr>
        <w:t>的投标文件进行符合性审查，以确定其是否满足招标文件的实质性要求。</w:t>
      </w:r>
    </w:p>
    <w:p w14:paraId="1AD61145">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r>
        <w:rPr>
          <w:rFonts w:ascii="宋体" w:hAnsi="宋体"/>
          <w:color w:val="auto"/>
          <w:sz w:val="24"/>
          <w:szCs w:val="24"/>
          <w:highlight w:val="none"/>
        </w:rPr>
        <w:t>.2有下列情形投标文件不能通过符合性评审，未通过符合性评审的</w:t>
      </w:r>
      <w:r>
        <w:rPr>
          <w:rFonts w:hint="eastAsia" w:ascii="宋体" w:hAnsi="宋体"/>
          <w:color w:val="auto"/>
          <w:sz w:val="24"/>
          <w:szCs w:val="24"/>
          <w:highlight w:val="none"/>
          <w:lang w:eastAsia="zh-CN"/>
        </w:rPr>
        <w:t>供应商</w:t>
      </w:r>
      <w:r>
        <w:rPr>
          <w:rFonts w:ascii="宋体" w:hAnsi="宋体"/>
          <w:color w:val="auto"/>
          <w:sz w:val="24"/>
          <w:szCs w:val="24"/>
          <w:highlight w:val="none"/>
        </w:rPr>
        <w:t>将不进入综合评分</w:t>
      </w:r>
      <w:r>
        <w:rPr>
          <w:rFonts w:hint="eastAsia" w:ascii="宋体" w:hAnsi="宋体"/>
          <w:color w:val="auto"/>
          <w:sz w:val="24"/>
          <w:szCs w:val="24"/>
          <w:highlight w:val="none"/>
          <w:lang w:eastAsia="zh-CN"/>
        </w:rPr>
        <w:t>。</w:t>
      </w:r>
    </w:p>
    <w:tbl>
      <w:tblPr>
        <w:tblStyle w:val="67"/>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2571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89" w:type="dxa"/>
            <w:noWrap w:val="0"/>
            <w:vAlign w:val="center"/>
          </w:tcPr>
          <w:p w14:paraId="751B3F7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内 容</w:t>
            </w:r>
          </w:p>
        </w:tc>
        <w:tc>
          <w:tcPr>
            <w:tcW w:w="7701" w:type="dxa"/>
            <w:noWrap w:val="0"/>
            <w:vAlign w:val="center"/>
          </w:tcPr>
          <w:p w14:paraId="6298CA61">
            <w:pPr>
              <w:keepNext w:val="0"/>
              <w:keepLines w:val="0"/>
              <w:pageBreakBefore w:val="0"/>
              <w:widowControl w:val="0"/>
              <w:kinsoku/>
              <w:wordWrap w:val="0"/>
              <w:overflowPunct/>
              <w:topLinePunct/>
              <w:autoSpaceDE/>
              <w:autoSpaceDN/>
              <w:bidi w:val="0"/>
              <w:adjustRightInd/>
              <w:snapToGrid/>
              <w:spacing w:line="440" w:lineRule="exact"/>
              <w:ind w:left="0" w:leftChars="0" w:right="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 审 标 准</w:t>
            </w:r>
          </w:p>
        </w:tc>
      </w:tr>
      <w:tr w14:paraId="6660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989" w:type="dxa"/>
            <w:noWrap w:val="0"/>
            <w:vAlign w:val="center"/>
          </w:tcPr>
          <w:p w14:paraId="7C22D6A9">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投标文件格式</w:t>
            </w:r>
          </w:p>
        </w:tc>
        <w:tc>
          <w:tcPr>
            <w:tcW w:w="7701" w:type="dxa"/>
            <w:noWrap w:val="0"/>
            <w:vAlign w:val="center"/>
          </w:tcPr>
          <w:p w14:paraId="556EADB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w:t>
            </w:r>
            <w:r>
              <w:rPr>
                <w:rFonts w:hint="eastAsia" w:ascii="宋体" w:hAnsi="宋体" w:eastAsia="宋体" w:cs="宋体"/>
                <w:color w:val="auto"/>
                <w:sz w:val="24"/>
                <w:szCs w:val="24"/>
                <w:lang w:val="en-US" w:eastAsia="zh-CN"/>
              </w:rPr>
              <w:t>中“第六章 投标文件格式”</w:t>
            </w:r>
            <w:r>
              <w:rPr>
                <w:rFonts w:hint="eastAsia" w:ascii="宋体" w:hAnsi="宋体" w:eastAsia="宋体" w:cs="宋体"/>
                <w:color w:val="auto"/>
                <w:sz w:val="24"/>
                <w:szCs w:val="24"/>
                <w:lang w:eastAsia="zh-CN"/>
              </w:rPr>
              <w:t>要求</w:t>
            </w:r>
            <w:r>
              <w:rPr>
                <w:rFonts w:hint="eastAsia" w:ascii="宋体" w:hAnsi="宋体" w:eastAsia="宋体" w:cs="宋体"/>
                <w:color w:val="auto"/>
                <w:sz w:val="24"/>
                <w:szCs w:val="24"/>
                <w:lang w:val="en-US" w:eastAsia="zh-CN"/>
              </w:rPr>
              <w:t>编制</w:t>
            </w:r>
            <w:r>
              <w:rPr>
                <w:rFonts w:hint="eastAsia" w:ascii="宋体" w:hAnsi="宋体" w:eastAsia="宋体" w:cs="宋体"/>
                <w:color w:val="auto"/>
                <w:sz w:val="24"/>
                <w:szCs w:val="24"/>
                <w:lang w:eastAsia="zh-CN"/>
              </w:rPr>
              <w:t>的。</w:t>
            </w:r>
          </w:p>
        </w:tc>
      </w:tr>
      <w:tr w14:paraId="6126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989" w:type="dxa"/>
            <w:noWrap w:val="0"/>
            <w:vAlign w:val="center"/>
          </w:tcPr>
          <w:p w14:paraId="7E86FAA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投标文件的签署</w:t>
            </w:r>
          </w:p>
        </w:tc>
        <w:tc>
          <w:tcPr>
            <w:tcW w:w="7701" w:type="dxa"/>
            <w:noWrap w:val="0"/>
            <w:vAlign w:val="center"/>
          </w:tcPr>
          <w:p w14:paraId="03CECAE6">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投标文件未按招标文件要求签署、盖章的。</w:t>
            </w:r>
          </w:p>
        </w:tc>
      </w:tr>
      <w:tr w14:paraId="00C7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89" w:type="dxa"/>
            <w:noWrap w:val="0"/>
            <w:vAlign w:val="center"/>
          </w:tcPr>
          <w:p w14:paraId="22472556">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w:t>
            </w:r>
          </w:p>
        </w:tc>
        <w:tc>
          <w:tcPr>
            <w:tcW w:w="7701" w:type="dxa"/>
            <w:noWrap w:val="0"/>
            <w:vAlign w:val="center"/>
          </w:tcPr>
          <w:p w14:paraId="6BF2BDC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投标报价超过招标文件中规定的预算金额或者最高限价的。</w:t>
            </w:r>
          </w:p>
        </w:tc>
      </w:tr>
      <w:tr w14:paraId="6DCE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989" w:type="dxa"/>
            <w:noWrap w:val="0"/>
            <w:vAlign w:val="center"/>
          </w:tcPr>
          <w:p w14:paraId="520675BB">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投标有效期</w:t>
            </w:r>
          </w:p>
        </w:tc>
        <w:tc>
          <w:tcPr>
            <w:tcW w:w="7701" w:type="dxa"/>
            <w:noWrap w:val="0"/>
            <w:vAlign w:val="center"/>
          </w:tcPr>
          <w:p w14:paraId="3308502F">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投标文件未按招标文件要求</w:t>
            </w:r>
            <w:r>
              <w:rPr>
                <w:rFonts w:hint="eastAsia" w:ascii="宋体" w:hAnsi="宋体" w:eastAsia="宋体" w:cs="宋体"/>
                <w:color w:val="auto"/>
                <w:sz w:val="24"/>
                <w:szCs w:val="24"/>
                <w:lang w:val="en-US" w:eastAsia="zh-CN"/>
              </w:rPr>
              <w:t>确定投标有效期</w:t>
            </w:r>
            <w:r>
              <w:rPr>
                <w:rFonts w:hint="eastAsia" w:ascii="宋体" w:hAnsi="宋体" w:eastAsia="宋体" w:cs="宋体"/>
                <w:color w:val="auto"/>
                <w:sz w:val="24"/>
                <w:szCs w:val="24"/>
                <w:lang w:eastAsia="zh-CN"/>
              </w:rPr>
              <w:t>的。</w:t>
            </w:r>
          </w:p>
        </w:tc>
      </w:tr>
      <w:tr w14:paraId="6033B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989" w:type="dxa"/>
            <w:noWrap w:val="0"/>
            <w:vAlign w:val="center"/>
          </w:tcPr>
          <w:p w14:paraId="64F2156C">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实质性条款</w:t>
            </w:r>
          </w:p>
        </w:tc>
        <w:tc>
          <w:tcPr>
            <w:tcW w:w="7701" w:type="dxa"/>
            <w:noWrap w:val="0"/>
            <w:vAlign w:val="center"/>
          </w:tcPr>
          <w:p w14:paraId="27E7EE64">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未实质性响应招标文件中标注★条款内容的。</w:t>
            </w:r>
          </w:p>
        </w:tc>
      </w:tr>
      <w:tr w14:paraId="7DB7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3" w:hRule="atLeast"/>
          <w:jc w:val="center"/>
        </w:trPr>
        <w:tc>
          <w:tcPr>
            <w:tcW w:w="1989" w:type="dxa"/>
            <w:noWrap w:val="0"/>
            <w:vAlign w:val="center"/>
          </w:tcPr>
          <w:p w14:paraId="38212D8E">
            <w:pPr>
              <w:keepNext w:val="0"/>
              <w:keepLines w:val="0"/>
              <w:pageBreakBefore w:val="0"/>
              <w:widowControl w:val="0"/>
              <w:kinsoku/>
              <w:overflowPunct/>
              <w:autoSpaceDE/>
              <w:autoSpaceDN/>
              <w:bidi w:val="0"/>
              <w:adjustRightInd/>
              <w:snapToGrid/>
              <w:spacing w:before="100" w:beforeAutospacing="1" w:after="100" w:afterAutospacing="1" w:line="440" w:lineRule="exact"/>
              <w:jc w:val="center"/>
              <w:textAlignment w:val="auto"/>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rPr>
              <w:t>无串通投标情形</w:t>
            </w:r>
          </w:p>
        </w:tc>
        <w:tc>
          <w:tcPr>
            <w:tcW w:w="7701" w:type="dxa"/>
            <w:noWrap w:val="0"/>
            <w:vAlign w:val="center"/>
          </w:tcPr>
          <w:p w14:paraId="15489373">
            <w:pPr>
              <w:keepNext w:val="0"/>
              <w:keepLines w:val="0"/>
              <w:pageBreakBefore w:val="0"/>
              <w:widowControl w:val="0"/>
              <w:kinsoku/>
              <w:overflowPunct/>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有下列情形之一的，视为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串通投标：</w:t>
            </w:r>
          </w:p>
          <w:p w14:paraId="17BD393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的投标文件由同一单位或者个人编制；</w:t>
            </w:r>
          </w:p>
          <w:p w14:paraId="3E076F14">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委托同一单位或者个人办理投标事宜；</w:t>
            </w:r>
          </w:p>
          <w:p w14:paraId="3374878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的投标文件载明的项目管理成员或者联系人员为同一人；</w:t>
            </w:r>
          </w:p>
          <w:p w14:paraId="7CFD86F9">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④不同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的投标文件异常一致或者投标报价呈规律性差异；</w:t>
            </w:r>
          </w:p>
          <w:p w14:paraId="5CA97F1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⑤不同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的投标文件相互混装；</w:t>
            </w:r>
          </w:p>
          <w:p w14:paraId="748ACB5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⑥不同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的投标保证金从同一单位或者个人的账户转出</w:t>
            </w:r>
            <w:r>
              <w:rPr>
                <w:rFonts w:hint="eastAsia" w:ascii="宋体" w:hAnsi="宋体" w:eastAsia="宋体" w:cs="宋体"/>
                <w:color w:val="auto"/>
                <w:sz w:val="24"/>
                <w:szCs w:val="24"/>
                <w:lang w:eastAsia="zh-CN"/>
              </w:rPr>
              <w:t>；</w:t>
            </w:r>
          </w:p>
          <w:p w14:paraId="675F676E">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⑦其他围标串标的情形</w:t>
            </w:r>
            <w:r>
              <w:rPr>
                <w:rFonts w:hint="eastAsia" w:ascii="宋体" w:hAnsi="宋体" w:eastAsia="宋体" w:cs="宋体"/>
                <w:color w:val="auto"/>
                <w:sz w:val="24"/>
                <w:szCs w:val="24"/>
                <w:lang w:eastAsia="zh-CN"/>
              </w:rPr>
              <w:t>。</w:t>
            </w:r>
          </w:p>
        </w:tc>
      </w:tr>
      <w:tr w14:paraId="2745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989" w:type="dxa"/>
            <w:noWrap w:val="0"/>
            <w:vAlign w:val="center"/>
          </w:tcPr>
          <w:p w14:paraId="3C6B1D0F">
            <w:pPr>
              <w:keepNext w:val="0"/>
              <w:keepLines w:val="0"/>
              <w:pageBreakBefore w:val="0"/>
              <w:widowControl w:val="0"/>
              <w:kinsoku/>
              <w:wordWrap w:val="0"/>
              <w:overflowPunct/>
              <w:topLinePunct/>
              <w:autoSpaceDE/>
              <w:autoSpaceDN/>
              <w:bidi w:val="0"/>
              <w:adjustRightInd/>
              <w:snapToGrid/>
              <w:spacing w:line="440" w:lineRule="exact"/>
              <w:ind w:left="0" w:leftChars="0" w:right="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val="0"/>
                <w:bCs w:val="0"/>
                <w:snapToGrid w:val="0"/>
                <w:color w:val="auto"/>
                <w:kern w:val="0"/>
                <w:sz w:val="24"/>
                <w:szCs w:val="24"/>
                <w:lang w:val="en-US" w:eastAsia="zh-CN" w:bidi="ar-SA"/>
              </w:rPr>
              <w:t>权利义务</w:t>
            </w:r>
          </w:p>
        </w:tc>
        <w:tc>
          <w:tcPr>
            <w:tcW w:w="7701" w:type="dxa"/>
            <w:noWrap w:val="0"/>
            <w:vAlign w:val="center"/>
          </w:tcPr>
          <w:p w14:paraId="5AB44457">
            <w:pPr>
              <w:keepNext w:val="0"/>
              <w:keepLines w:val="0"/>
              <w:pageBreakBefore w:val="0"/>
              <w:widowControl w:val="0"/>
              <w:kinsoku/>
              <w:wordWrap w:val="0"/>
              <w:overflowPunct/>
              <w:topLinePunct/>
              <w:autoSpaceDE/>
              <w:autoSpaceDN/>
              <w:bidi w:val="0"/>
              <w:adjustRightInd/>
              <w:snapToGrid/>
              <w:spacing w:line="440" w:lineRule="exact"/>
              <w:ind w:right="0" w:firstLine="240" w:firstLineChars="100"/>
              <w:textAlignment w:val="auto"/>
              <w:rPr>
                <w:rFonts w:hint="eastAsia" w:ascii="宋体" w:hAnsi="宋体" w:eastAsia="宋体" w:cs="宋体"/>
                <w:color w:val="auto"/>
                <w:sz w:val="24"/>
                <w:szCs w:val="24"/>
                <w:lang w:eastAsia="zh-CN"/>
              </w:rPr>
            </w:pPr>
            <w:r>
              <w:rPr>
                <w:rFonts w:hint="eastAsia" w:ascii="宋体" w:hAnsi="宋体" w:eastAsia="宋体" w:cs="宋体"/>
                <w:b w:val="0"/>
                <w:bCs w:val="0"/>
                <w:snapToGrid w:val="0"/>
                <w:color w:val="auto"/>
                <w:kern w:val="0"/>
                <w:sz w:val="24"/>
                <w:szCs w:val="24"/>
                <w:lang w:val="en-US" w:eastAsia="zh-CN" w:bidi="ar-SA"/>
              </w:rPr>
              <w:t>投标文件中应对“第五章 合同条款及格式”中规定的相应权利及义务进行响应。</w:t>
            </w:r>
            <w:r>
              <w:rPr>
                <w:rFonts w:hint="eastAsia" w:ascii="宋体" w:hAnsi="宋体" w:eastAsia="宋体" w:cs="宋体"/>
                <w:color w:val="auto"/>
                <w:sz w:val="24"/>
                <w:szCs w:val="24"/>
              </w:rPr>
              <w:t>投标文件含有采购人不能接受的附加条件的</w:t>
            </w:r>
            <w:r>
              <w:rPr>
                <w:rFonts w:hint="eastAsia" w:ascii="宋体" w:hAnsi="宋体" w:eastAsia="宋体" w:cs="宋体"/>
                <w:color w:val="auto"/>
                <w:sz w:val="24"/>
                <w:szCs w:val="24"/>
                <w:lang w:eastAsia="zh-CN"/>
              </w:rPr>
              <w:t>。</w:t>
            </w:r>
          </w:p>
        </w:tc>
      </w:tr>
      <w:tr w14:paraId="6F85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989" w:type="dxa"/>
            <w:noWrap w:val="0"/>
            <w:vAlign w:val="center"/>
          </w:tcPr>
          <w:p w14:paraId="40F06F18">
            <w:pPr>
              <w:keepNext w:val="0"/>
              <w:keepLines w:val="0"/>
              <w:pageBreakBefore w:val="0"/>
              <w:widowControl w:val="0"/>
              <w:kinsoku/>
              <w:overflowPunct/>
              <w:autoSpaceDE/>
              <w:autoSpaceDN/>
              <w:bidi w:val="0"/>
              <w:adjustRightInd/>
              <w:snapToGrid/>
              <w:spacing w:line="440" w:lineRule="exact"/>
              <w:jc w:val="center"/>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rPr>
              <w:t>其他无效情形</w:t>
            </w:r>
          </w:p>
        </w:tc>
        <w:tc>
          <w:tcPr>
            <w:tcW w:w="7701" w:type="dxa"/>
            <w:noWrap w:val="0"/>
            <w:vAlign w:val="center"/>
          </w:tcPr>
          <w:p w14:paraId="7B729762">
            <w:pPr>
              <w:keepNext w:val="0"/>
              <w:keepLines w:val="0"/>
              <w:pageBreakBefore w:val="0"/>
              <w:widowControl w:val="0"/>
              <w:kinsoku/>
              <w:overflowPunct/>
              <w:autoSpaceDE/>
              <w:autoSpaceDN/>
              <w:bidi w:val="0"/>
              <w:adjustRightInd/>
              <w:snapToGrid/>
              <w:spacing w:line="440" w:lineRule="exact"/>
              <w:ind w:firstLine="240" w:firstLineChars="100"/>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lang w:eastAsia="zh-CN"/>
              </w:rPr>
              <w:t>法律法规</w:t>
            </w:r>
            <w:r>
              <w:rPr>
                <w:rFonts w:hint="eastAsia" w:ascii="宋体" w:hAnsi="宋体" w:eastAsia="宋体" w:cs="宋体"/>
                <w:snapToGrid w:val="0"/>
                <w:color w:val="auto"/>
                <w:kern w:val="0"/>
                <w:sz w:val="24"/>
              </w:rPr>
              <w:t>和招标文件规定的其他无效情形。</w:t>
            </w:r>
          </w:p>
        </w:tc>
      </w:tr>
    </w:tbl>
    <w:p w14:paraId="625F3A87">
      <w:pPr>
        <w:keepNext w:val="0"/>
        <w:keepLines w:val="0"/>
        <w:pageBreakBefore w:val="0"/>
        <w:widowControl w:val="0"/>
        <w:kinsoku/>
        <w:overflowPunct/>
        <w:autoSpaceDE/>
        <w:autoSpaceDN/>
        <w:bidi w:val="0"/>
        <w:adjustRightInd/>
        <w:snapToGrid/>
        <w:spacing w:line="440" w:lineRule="exact"/>
        <w:ind w:firstLine="480" w:firstLineChars="200"/>
        <w:textAlignment w:val="auto"/>
        <w:rPr>
          <w:rFonts w:ascii="宋体" w:hAnsi="宋体"/>
          <w:color w:val="auto"/>
          <w:sz w:val="24"/>
          <w:szCs w:val="24"/>
          <w:highlight w:val="none"/>
        </w:rPr>
      </w:pPr>
    </w:p>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14:paraId="7A7D032F">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047B7FF2">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4A082AD9">
      <w:pPr>
        <w:keepNext w:val="0"/>
        <w:keepLines w:val="0"/>
        <w:pageBreakBefore w:val="0"/>
        <w:widowControl w:val="0"/>
        <w:kinsoku/>
        <w:overflowPunct/>
        <w:autoSpaceDE/>
        <w:autoSpaceDN/>
        <w:bidi w:val="0"/>
        <w:adjustRightInd/>
        <w:snapToGrid/>
        <w:spacing w:line="440" w:lineRule="exact"/>
        <w:ind w:firstLine="482" w:firstLineChars="200"/>
        <w:textAlignment w:val="auto"/>
        <w:rPr>
          <w:rFonts w:ascii="宋体" w:hAnsi="宋体"/>
          <w:b/>
          <w:bCs/>
          <w:color w:val="auto"/>
          <w:sz w:val="24"/>
          <w:szCs w:val="24"/>
          <w:highlight w:val="none"/>
        </w:rPr>
      </w:pPr>
    </w:p>
    <w:p w14:paraId="5A6578EC">
      <w:pPr>
        <w:pStyle w:val="3"/>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rPr>
          <w:rFonts w:hint="eastAsia" w:ascii="宋体" w:hAnsi="宋体" w:eastAsia="宋体" w:cs="宋体"/>
          <w:i w:val="0"/>
          <w:iCs w:val="0"/>
          <w:color w:val="auto"/>
          <w:sz w:val="28"/>
          <w:szCs w:val="28"/>
          <w:lang w:eastAsia="zh-CN"/>
        </w:rPr>
      </w:pPr>
      <w:bookmarkStart w:id="1185" w:name="_Toc22352"/>
      <w:bookmarkStart w:id="1186" w:name="_Toc30410"/>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投标报价</w:t>
      </w:r>
      <w:r>
        <w:rPr>
          <w:rFonts w:hint="eastAsia" w:ascii="宋体" w:hAnsi="宋体" w:eastAsia="宋体" w:cs="宋体"/>
          <w:color w:val="auto"/>
          <w:sz w:val="28"/>
          <w:szCs w:val="28"/>
          <w:lang w:val="en-US" w:eastAsia="zh-CN"/>
        </w:rPr>
        <w:t>评分标准（满</w:t>
      </w:r>
      <w:r>
        <w:rPr>
          <w:rFonts w:hint="eastAsia" w:ascii="宋体" w:hAnsi="宋体" w:eastAsia="宋体" w:cs="宋体"/>
          <w:i w:val="0"/>
          <w:iCs w:val="0"/>
          <w:color w:val="auto"/>
          <w:sz w:val="28"/>
          <w:szCs w:val="28"/>
          <w:lang w:val="en-US" w:eastAsia="zh-CN"/>
        </w:rPr>
        <w:t>分</w:t>
      </w:r>
      <w:r>
        <w:rPr>
          <w:rFonts w:hint="eastAsia" w:ascii="宋体" w:hAnsi="宋体" w:eastAsia="宋体" w:cs="宋体"/>
          <w:i w:val="0"/>
          <w:iCs w:val="0"/>
          <w:color w:val="auto"/>
          <w:sz w:val="28"/>
          <w:szCs w:val="28"/>
          <w:u w:val="none"/>
          <w:lang w:val="en-US" w:eastAsia="zh-CN"/>
        </w:rPr>
        <w:t>30</w:t>
      </w:r>
      <w:r>
        <w:rPr>
          <w:rFonts w:hint="eastAsia" w:ascii="宋体" w:hAnsi="宋体" w:eastAsia="宋体" w:cs="宋体"/>
          <w:i w:val="0"/>
          <w:iCs w:val="0"/>
          <w:color w:val="auto"/>
          <w:sz w:val="28"/>
          <w:szCs w:val="28"/>
          <w:lang w:val="en-US" w:eastAsia="zh-CN"/>
        </w:rPr>
        <w:t>分）</w:t>
      </w:r>
      <w:bookmarkEnd w:id="1185"/>
      <w:bookmarkEnd w:id="1186"/>
    </w:p>
    <w:tbl>
      <w:tblPr>
        <w:tblStyle w:val="67"/>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8131"/>
        <w:gridCol w:w="807"/>
      </w:tblGrid>
      <w:tr w14:paraId="3A408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719" w:type="dxa"/>
            <w:vAlign w:val="center"/>
          </w:tcPr>
          <w:p w14:paraId="4463A21D">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类型</w:t>
            </w:r>
          </w:p>
        </w:tc>
        <w:tc>
          <w:tcPr>
            <w:tcW w:w="8131" w:type="dxa"/>
            <w:vAlign w:val="center"/>
          </w:tcPr>
          <w:p w14:paraId="44B8D2E4">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评分标准</w:t>
            </w:r>
          </w:p>
        </w:tc>
        <w:tc>
          <w:tcPr>
            <w:tcW w:w="807" w:type="dxa"/>
            <w:vAlign w:val="center"/>
          </w:tcPr>
          <w:p w14:paraId="3CFD1253">
            <w:pPr>
              <w:wordWrap w:val="0"/>
              <w:topLinePunct/>
              <w:spacing w:line="360" w:lineRule="auto"/>
              <w:jc w:val="center"/>
              <w:rPr>
                <w:rFonts w:hint="eastAsia" w:ascii="宋体" w:hAnsi="宋体" w:eastAsia="宋体" w:cs="宋体"/>
                <w:b/>
                <w:bCs/>
                <w:i w:val="0"/>
                <w:iCs w:val="0"/>
                <w:color w:val="auto"/>
                <w:sz w:val="24"/>
                <w:lang w:val="en-US" w:eastAsia="zh-CN"/>
              </w:rPr>
            </w:pPr>
            <w:r>
              <w:rPr>
                <w:rFonts w:hint="eastAsia" w:ascii="宋体" w:hAnsi="宋体" w:eastAsia="宋体" w:cs="宋体"/>
                <w:b/>
                <w:bCs/>
                <w:i w:val="0"/>
                <w:iCs w:val="0"/>
                <w:color w:val="auto"/>
                <w:sz w:val="24"/>
                <w:lang w:val="en-US" w:eastAsia="zh-CN"/>
              </w:rPr>
              <w:t>分值</w:t>
            </w:r>
          </w:p>
        </w:tc>
      </w:tr>
      <w:tr w14:paraId="36977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4" w:hRule="atLeast"/>
          <w:jc w:val="center"/>
        </w:trPr>
        <w:tc>
          <w:tcPr>
            <w:tcW w:w="719" w:type="dxa"/>
            <w:vAlign w:val="center"/>
          </w:tcPr>
          <w:p w14:paraId="720AF320">
            <w:pPr>
              <w:wordWrap w:val="0"/>
              <w:topLinePunct/>
              <w:spacing w:line="360" w:lineRule="auto"/>
              <w:jc w:val="center"/>
              <w:rPr>
                <w:rFonts w:hint="eastAsia" w:ascii="宋体" w:hAnsi="宋体" w:eastAsia="宋体" w:cs="宋体"/>
                <w:i w:val="0"/>
                <w:iCs w:val="0"/>
                <w:color w:val="auto"/>
                <w:sz w:val="24"/>
                <w:szCs w:val="22"/>
                <w:lang w:val="en-US" w:eastAsia="en-US" w:bidi="ar-SA"/>
              </w:rPr>
            </w:pPr>
            <w:r>
              <w:rPr>
                <w:rFonts w:hint="eastAsia" w:ascii="宋体" w:hAnsi="宋体" w:eastAsia="宋体" w:cs="宋体"/>
                <w:i w:val="0"/>
                <w:iCs w:val="0"/>
                <w:color w:val="auto"/>
                <w:sz w:val="24"/>
                <w:lang w:val="en-US" w:eastAsia="zh-CN"/>
              </w:rPr>
              <w:t>投标</w:t>
            </w:r>
            <w:r>
              <w:rPr>
                <w:rFonts w:hint="eastAsia" w:ascii="宋体" w:hAnsi="宋体" w:eastAsia="宋体" w:cs="宋体"/>
                <w:i w:val="0"/>
                <w:iCs w:val="0"/>
                <w:color w:val="auto"/>
                <w:sz w:val="24"/>
              </w:rPr>
              <w:t>报价</w:t>
            </w:r>
          </w:p>
        </w:tc>
        <w:tc>
          <w:tcPr>
            <w:tcW w:w="8131" w:type="dxa"/>
            <w:vAlign w:val="center"/>
          </w:tcPr>
          <w:p w14:paraId="7C3CD007">
            <w:pPr>
              <w:adjustRightInd w:val="0"/>
              <w:spacing w:line="360" w:lineRule="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 xml:space="preserve">投标报价计算公式= </w:t>
            </w:r>
            <w:r>
              <w:rPr>
                <w:rFonts w:hint="eastAsia" w:ascii="宋体" w:hAnsi="宋体" w:eastAsia="宋体" w:cs="宋体"/>
                <w:i w:val="0"/>
                <w:iCs w:val="0"/>
                <w:color w:val="auto"/>
                <w:position w:val="-26"/>
                <w:sz w:val="24"/>
                <w:szCs w:val="24"/>
              </w:rPr>
              <w:object>
                <v:shape id="_x0000_i1025" o:spt="75" alt="341228446826312" type="#_x0000_t75" style="height:31.5pt;width:66.95pt;" o:ole="t" filled="f" o:preferrelative="t" stroked="f" coordsize="21600,21600">
                  <v:path/>
                  <v:fill on="f" focussize="0,0"/>
                  <v:stroke on="f"/>
                  <v:imagedata r:id="rId12" o:title=""/>
                  <o:lock v:ext="edit" aspectratio="t"/>
                  <w10:wrap type="none"/>
                  <w10:anchorlock/>
                </v:shape>
                <o:OLEObject Type="Embed" ProgID="Equation.3" ShapeID="_x0000_i1025" DrawAspect="Content" ObjectID="_1468075725" r:id="rId11">
                  <o:LockedField>false</o:LockedField>
                </o:OLEObject>
              </w:objec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u w:val="none"/>
              </w:rPr>
              <w:t>30</w:t>
            </w:r>
          </w:p>
          <w:p w14:paraId="0382B273">
            <w:pPr>
              <w:keepNext w:val="0"/>
              <w:keepLines w:val="0"/>
              <w:pageBreakBefore w:val="0"/>
              <w:widowControl w:val="0"/>
              <w:kinsoku/>
              <w:overflowPunct/>
              <w:autoSpaceDE/>
              <w:autoSpaceDN/>
              <w:bidi w:val="0"/>
              <w:adjustRightInd w:val="0"/>
              <w:snapToGrid/>
              <w:spacing w:line="360" w:lineRule="auto"/>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即：F1=[C/（B1，B2，…，Bn）]×</w:t>
            </w:r>
            <w:r>
              <w:rPr>
                <w:rFonts w:hint="eastAsia" w:ascii="宋体" w:hAnsi="宋体" w:eastAsia="宋体" w:cs="宋体"/>
                <w:i w:val="0"/>
                <w:iCs w:val="0"/>
                <w:color w:val="auto"/>
                <w:sz w:val="24"/>
                <w:szCs w:val="24"/>
                <w:u w:val="none"/>
              </w:rPr>
              <w:t>30</w:t>
            </w:r>
          </w:p>
          <w:p w14:paraId="48F0D467">
            <w:pPr>
              <w:keepNext w:val="0"/>
              <w:keepLines w:val="0"/>
              <w:pageBreakBefore w:val="0"/>
              <w:widowControl w:val="0"/>
              <w:kinsoku/>
              <w:overflowPunct/>
              <w:autoSpaceDE/>
              <w:autoSpaceDN/>
              <w:bidi w:val="0"/>
              <w:adjustRightInd w:val="0"/>
              <w:snapToGrid/>
              <w:spacing w:line="360" w:lineRule="auto"/>
              <w:textAlignment w:val="auto"/>
              <w:rPr>
                <w:rFonts w:hint="eastAsia" w:ascii="宋体" w:hAnsi="宋体" w:cs="宋体"/>
                <w:i w:val="0"/>
                <w:iCs w:val="0"/>
                <w:color w:val="auto"/>
                <w:sz w:val="24"/>
                <w:szCs w:val="24"/>
                <w:lang w:val="en-US" w:eastAsia="zh-CN"/>
              </w:rPr>
            </w:pPr>
            <w:r>
              <w:rPr>
                <w:rFonts w:hint="eastAsia" w:ascii="宋体" w:hAnsi="宋体" w:eastAsia="宋体" w:cs="宋体"/>
                <w:i w:val="0"/>
                <w:iCs w:val="0"/>
                <w:color w:val="auto"/>
                <w:sz w:val="24"/>
                <w:szCs w:val="24"/>
              </w:rPr>
              <w:t>注：</w:t>
            </w:r>
            <w:r>
              <w:rPr>
                <w:rFonts w:hint="eastAsia" w:ascii="宋体" w:hAnsi="宋体" w:cs="宋体"/>
                <w:i w:val="0"/>
                <w:iCs w:val="0"/>
                <w:color w:val="auto"/>
                <w:sz w:val="24"/>
                <w:szCs w:val="24"/>
                <w:lang w:val="en-US" w:eastAsia="zh-CN"/>
              </w:rPr>
              <w:t>F1为</w:t>
            </w:r>
            <w:r>
              <w:rPr>
                <w:rFonts w:hint="eastAsia" w:ascii="宋体" w:hAnsi="宋体" w:eastAsia="宋体" w:cs="宋体"/>
                <w:i w:val="0"/>
                <w:iCs w:val="0"/>
                <w:color w:val="auto"/>
                <w:sz w:val="24"/>
                <w:szCs w:val="24"/>
              </w:rPr>
              <w:t>投标报价</w:t>
            </w:r>
            <w:r>
              <w:rPr>
                <w:rFonts w:hint="eastAsia" w:ascii="宋体" w:hAnsi="宋体" w:cs="宋体"/>
                <w:i w:val="0"/>
                <w:iCs w:val="0"/>
                <w:color w:val="auto"/>
                <w:sz w:val="24"/>
                <w:szCs w:val="24"/>
                <w:lang w:val="en-US" w:eastAsia="zh-CN"/>
              </w:rPr>
              <w:t>得分；</w:t>
            </w:r>
          </w:p>
          <w:p w14:paraId="71AED0D7">
            <w:pPr>
              <w:keepNext w:val="0"/>
              <w:keepLines w:val="0"/>
              <w:pageBreakBefore w:val="0"/>
              <w:widowControl w:val="0"/>
              <w:kinsoku/>
              <w:overflowPunct/>
              <w:autoSpaceDE/>
              <w:autoSpaceDN/>
              <w:bidi w:val="0"/>
              <w:adjustRightInd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C为</w:t>
            </w:r>
            <w:r>
              <w:rPr>
                <w:rFonts w:hint="eastAsia" w:ascii="宋体" w:hAnsi="宋体" w:cs="宋体"/>
                <w:i w:val="0"/>
                <w:iCs w:val="0"/>
                <w:color w:val="auto"/>
                <w:sz w:val="24"/>
                <w:szCs w:val="24"/>
                <w:lang w:eastAsia="zh-CN"/>
              </w:rPr>
              <w:t>评审</w:t>
            </w:r>
            <w:r>
              <w:rPr>
                <w:rFonts w:hint="eastAsia" w:ascii="宋体" w:hAnsi="宋体" w:eastAsia="宋体" w:cs="宋体"/>
                <w:i w:val="0"/>
                <w:iCs w:val="0"/>
                <w:color w:val="auto"/>
                <w:sz w:val="24"/>
                <w:szCs w:val="24"/>
              </w:rPr>
              <w:t>基准价，即经符合性评审合格且投标价格最低的投标报价；</w:t>
            </w:r>
          </w:p>
          <w:p w14:paraId="257BEBD2">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B1，B2，…，Bn为第n个经符合性评审合格的投标报价。</w:t>
            </w:r>
          </w:p>
          <w:p w14:paraId="2B14CF39">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1、在计算投标报价得分时，对小型或微型企业报价给予10%的扣除，用扣除后的价格参加评审。</w:t>
            </w:r>
          </w:p>
          <w:p w14:paraId="52BB75EA">
            <w:pPr>
              <w:keepNext w:val="0"/>
              <w:keepLines w:val="0"/>
              <w:pageBreakBefore w:val="0"/>
              <w:widowControl w:val="0"/>
              <w:kinsoku/>
              <w:overflowPunct/>
              <w:autoSpaceDE/>
              <w:autoSpaceDN/>
              <w:bidi w:val="0"/>
              <w:snapToGrid/>
              <w:spacing w:line="360" w:lineRule="auto"/>
              <w:ind w:firstLine="480" w:firstLineChars="200"/>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t>2、残疾人福利性单位、监狱企业视同小型、微型企业。</w:t>
            </w:r>
          </w:p>
          <w:p w14:paraId="3B42837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2"/>
                <w:lang w:val="en-US" w:eastAsia="zh-CN" w:bidi="ar-SA"/>
              </w:rPr>
            </w:pPr>
            <w:r>
              <w:rPr>
                <w:rFonts w:hint="eastAsia" w:ascii="宋体" w:hAnsi="宋体" w:eastAsia="宋体" w:cs="宋体"/>
                <w:i w:val="0"/>
                <w:iCs w:val="0"/>
                <w:color w:val="auto"/>
                <w:sz w:val="24"/>
                <w:szCs w:val="24"/>
              </w:rPr>
              <w:t>3、监狱企业或残疾人福利性单位属于小型、微型企业的，不重复计算，只进行一次价格扣除。</w:t>
            </w:r>
          </w:p>
        </w:tc>
        <w:tc>
          <w:tcPr>
            <w:tcW w:w="807" w:type="dxa"/>
            <w:vAlign w:val="center"/>
          </w:tcPr>
          <w:p w14:paraId="18CFCB35">
            <w:pPr>
              <w:wordWrap w:val="0"/>
              <w:topLinePunct/>
              <w:spacing w:line="360" w:lineRule="auto"/>
              <w:jc w:val="center"/>
              <w:rPr>
                <w:rFonts w:hint="eastAsia" w:ascii="宋体" w:hAnsi="宋体" w:eastAsia="宋体" w:cs="宋体"/>
                <w:i w:val="0"/>
                <w:iCs w:val="0"/>
                <w:color w:val="auto"/>
                <w:sz w:val="24"/>
                <w:lang w:val="en-US" w:eastAsia="zh-CN"/>
              </w:rPr>
            </w:pPr>
            <w:r>
              <w:rPr>
                <w:rFonts w:hint="eastAsia" w:ascii="宋体" w:hAnsi="宋体" w:eastAsia="宋体" w:cs="宋体"/>
                <w:b/>
                <w:bCs/>
                <w:i w:val="0"/>
                <w:iCs w:val="0"/>
                <w:color w:val="auto"/>
                <w:sz w:val="24"/>
                <w:u w:val="none"/>
                <w:lang w:val="en-US" w:eastAsia="zh-CN"/>
              </w:rPr>
              <w:t>30</w:t>
            </w:r>
            <w:r>
              <w:rPr>
                <w:rFonts w:hint="eastAsia" w:ascii="宋体" w:hAnsi="宋体" w:eastAsia="宋体" w:cs="宋体"/>
                <w:b/>
                <w:bCs/>
                <w:i w:val="0"/>
                <w:iCs w:val="0"/>
                <w:color w:val="auto"/>
                <w:sz w:val="24"/>
                <w:lang w:val="en-US" w:eastAsia="zh-CN"/>
              </w:rPr>
              <w:t>分</w:t>
            </w:r>
          </w:p>
        </w:tc>
      </w:tr>
    </w:tbl>
    <w:p w14:paraId="1D05EAD4">
      <w:pPr>
        <w:keepNext w:val="0"/>
        <w:keepLines w:val="0"/>
        <w:pageBreakBefore w:val="0"/>
        <w:widowControl w:val="0"/>
        <w:kinsoku/>
        <w:wordWrap w:val="0"/>
        <w:overflowPunct/>
        <w:topLinePunct/>
        <w:autoSpaceDE/>
        <w:autoSpaceDN/>
        <w:bidi w:val="0"/>
        <w:adjustRightInd/>
        <w:snapToGrid/>
        <w:spacing w:before="0" w:after="0" w:line="360" w:lineRule="auto"/>
        <w:ind w:left="0"/>
        <w:textAlignment w:val="auto"/>
        <w:outlineLvl w:val="9"/>
        <w:rPr>
          <w:rFonts w:hint="eastAsia" w:ascii="宋体" w:hAnsi="宋体" w:eastAsia="宋体" w:cs="宋体"/>
          <w:color w:val="auto"/>
          <w:sz w:val="32"/>
          <w:szCs w:val="32"/>
          <w:lang w:val="en-US" w:eastAsia="zh-CN"/>
        </w:rPr>
      </w:pPr>
      <w:bookmarkStart w:id="1187" w:name="_Toc3097"/>
    </w:p>
    <w:bookmarkEnd w:id="1187"/>
    <w:p w14:paraId="70E06DA1">
      <w:pPr>
        <w:outlineLvl w:val="9"/>
        <w:rPr>
          <w:rFonts w:hint="eastAsia" w:cs="宋体"/>
          <w:color w:val="auto"/>
          <w:sz w:val="32"/>
          <w:szCs w:val="32"/>
          <w:lang w:val="zh-CN" w:eastAsia="zh-CN"/>
        </w:rPr>
      </w:pPr>
      <w:bookmarkStart w:id="1188" w:name="_Toc4849"/>
      <w:r>
        <w:rPr>
          <w:rFonts w:hint="eastAsia" w:cs="宋体"/>
          <w:color w:val="auto"/>
          <w:sz w:val="32"/>
          <w:szCs w:val="32"/>
          <w:lang w:val="zh-CN" w:eastAsia="zh-CN"/>
        </w:rPr>
        <w:br w:type="page"/>
      </w:r>
    </w:p>
    <w:p w14:paraId="634BCC9B">
      <w:pPr>
        <w:pStyle w:val="3"/>
        <w:keepNext/>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宋体" w:hAnsi="宋体" w:eastAsia="宋体" w:cs="宋体"/>
          <w:b/>
          <w:bCs w:val="0"/>
          <w:i w:val="0"/>
          <w:iCs w:val="0"/>
          <w:color w:val="auto"/>
          <w:sz w:val="28"/>
          <w:szCs w:val="28"/>
          <w:lang w:val="zh-CN"/>
        </w:rPr>
      </w:pPr>
      <w:bookmarkStart w:id="1189" w:name="_Toc10306"/>
      <w:bookmarkStart w:id="1190" w:name="_Toc6983"/>
      <w:r>
        <w:rPr>
          <w:rFonts w:hint="eastAsia" w:cs="宋体"/>
          <w:color w:val="auto"/>
          <w:sz w:val="28"/>
          <w:szCs w:val="28"/>
          <w:lang w:val="zh-CN" w:eastAsia="zh-CN"/>
        </w:rPr>
        <w:t>（</w:t>
      </w:r>
      <w:r>
        <w:rPr>
          <w:rFonts w:hint="eastAsia" w:cs="宋体"/>
          <w:color w:val="auto"/>
          <w:sz w:val="28"/>
          <w:szCs w:val="28"/>
          <w:lang w:val="en-US" w:eastAsia="zh-CN"/>
        </w:rPr>
        <w:t>4</w:t>
      </w:r>
      <w:r>
        <w:rPr>
          <w:rFonts w:hint="eastAsia" w:cs="宋体"/>
          <w:color w:val="auto"/>
          <w:sz w:val="28"/>
          <w:szCs w:val="28"/>
          <w:lang w:val="zh-CN" w:eastAsia="zh-CN"/>
        </w:rPr>
        <w:t>）</w:t>
      </w:r>
      <w:r>
        <w:rPr>
          <w:rFonts w:hint="eastAsia" w:ascii="宋体" w:hAnsi="宋体" w:eastAsia="宋体" w:cs="宋体"/>
          <w:color w:val="auto"/>
          <w:sz w:val="28"/>
          <w:szCs w:val="28"/>
          <w:lang w:val="zh-CN" w:eastAsia="zh-CN"/>
        </w:rPr>
        <w:t>商务技术</w:t>
      </w:r>
      <w:r>
        <w:rPr>
          <w:rFonts w:hint="eastAsia" w:ascii="宋体" w:hAnsi="宋体" w:eastAsia="宋体" w:cs="宋体"/>
          <w:color w:val="auto"/>
          <w:sz w:val="28"/>
          <w:szCs w:val="28"/>
          <w:lang w:val="zh-CN"/>
        </w:rPr>
        <w:t>评分</w:t>
      </w:r>
      <w:r>
        <w:rPr>
          <w:rFonts w:hint="eastAsia" w:ascii="宋体" w:hAnsi="宋体" w:eastAsia="宋体" w:cs="宋体"/>
          <w:color w:val="auto"/>
          <w:sz w:val="28"/>
          <w:szCs w:val="28"/>
          <w:lang w:val="en-US" w:eastAsia="zh-CN"/>
        </w:rPr>
        <w:t>标准</w:t>
      </w:r>
      <w:r>
        <w:rPr>
          <w:rFonts w:hint="eastAsia" w:cs="宋体"/>
          <w:color w:val="auto"/>
          <w:sz w:val="28"/>
          <w:szCs w:val="28"/>
          <w:lang w:val="en-US" w:eastAsia="zh-CN"/>
        </w:rPr>
        <w:t>（</w:t>
      </w:r>
      <w:r>
        <w:rPr>
          <w:rFonts w:hint="eastAsia" w:ascii="宋体" w:hAnsi="宋体" w:eastAsia="宋体" w:cs="宋体"/>
          <w:color w:val="auto"/>
          <w:sz w:val="28"/>
          <w:szCs w:val="28"/>
          <w:lang w:val="en-US" w:eastAsia="zh-CN"/>
        </w:rPr>
        <w:t>满分70分</w:t>
      </w:r>
      <w:r>
        <w:rPr>
          <w:rFonts w:hint="eastAsia" w:cs="宋体"/>
          <w:color w:val="auto"/>
          <w:sz w:val="28"/>
          <w:szCs w:val="28"/>
          <w:lang w:val="en-US" w:eastAsia="zh-CN"/>
        </w:rPr>
        <w:t>）</w:t>
      </w:r>
      <w:bookmarkEnd w:id="1189"/>
    </w:p>
    <w:tbl>
      <w:tblPr>
        <w:tblStyle w:val="67"/>
        <w:tblW w:w="10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1515"/>
        <w:gridCol w:w="6904"/>
        <w:gridCol w:w="1190"/>
      </w:tblGrid>
      <w:tr w14:paraId="7080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1983CDB3">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序号</w:t>
            </w:r>
          </w:p>
        </w:tc>
        <w:tc>
          <w:tcPr>
            <w:tcW w:w="1515" w:type="dxa"/>
            <w:noWrap w:val="0"/>
            <w:vAlign w:val="center"/>
          </w:tcPr>
          <w:p w14:paraId="19FF21DF">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评审因素</w:t>
            </w:r>
          </w:p>
        </w:tc>
        <w:tc>
          <w:tcPr>
            <w:tcW w:w="6904" w:type="dxa"/>
            <w:noWrap w:val="0"/>
            <w:vAlign w:val="center"/>
          </w:tcPr>
          <w:p w14:paraId="1FEA6873">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rPr>
              <w:t>评分标准</w:t>
            </w:r>
          </w:p>
        </w:tc>
        <w:tc>
          <w:tcPr>
            <w:tcW w:w="1190" w:type="dxa"/>
            <w:noWrap w:val="0"/>
            <w:vAlign w:val="center"/>
          </w:tcPr>
          <w:p w14:paraId="3284EBCD">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rPr>
              <w:t>分值</w:t>
            </w:r>
          </w:p>
        </w:tc>
      </w:tr>
      <w:tr w14:paraId="1DCEE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35D34823">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一</w:t>
            </w:r>
          </w:p>
        </w:tc>
        <w:tc>
          <w:tcPr>
            <w:tcW w:w="1515" w:type="dxa"/>
            <w:noWrap w:val="0"/>
            <w:vAlign w:val="center"/>
          </w:tcPr>
          <w:p w14:paraId="57DB6460">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cs="宋体"/>
                <w:b/>
                <w:bCs/>
                <w:color w:val="auto"/>
                <w:sz w:val="24"/>
                <w:szCs w:val="24"/>
                <w:lang w:val="en-US" w:eastAsia="zh-CN" w:bidi="ar-SA"/>
              </w:rPr>
            </w:pPr>
            <w:r>
              <w:rPr>
                <w:rFonts w:hint="eastAsia" w:ascii="宋体" w:hAnsi="宋体" w:cs="宋体"/>
                <w:b/>
                <w:bCs/>
                <w:color w:val="auto"/>
                <w:sz w:val="24"/>
                <w:szCs w:val="24"/>
                <w:lang w:val="en-US" w:eastAsia="zh-CN" w:bidi="ar-SA"/>
              </w:rPr>
              <w:t>技术部分</w:t>
            </w:r>
          </w:p>
        </w:tc>
        <w:tc>
          <w:tcPr>
            <w:tcW w:w="6904" w:type="dxa"/>
            <w:noWrap w:val="0"/>
            <w:vAlign w:val="center"/>
          </w:tcPr>
          <w:p w14:paraId="66928062">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24"/>
                <w:szCs w:val="24"/>
              </w:rPr>
            </w:pPr>
          </w:p>
        </w:tc>
        <w:tc>
          <w:tcPr>
            <w:tcW w:w="1190" w:type="dxa"/>
            <w:noWrap w:val="0"/>
            <w:vAlign w:val="center"/>
          </w:tcPr>
          <w:p w14:paraId="732839DA">
            <w:pPr>
              <w:keepNext/>
              <w:keepLines/>
              <w:pageBreakBefore w:val="0"/>
              <w:widowControl w:val="0"/>
              <w:kinsoku/>
              <w:wordWrap w:val="0"/>
              <w:overflowPunct/>
              <w:topLinePunct/>
              <w:autoSpaceDE/>
              <w:autoSpaceDN/>
              <w:bidi w:val="0"/>
              <w:adjustRightInd/>
              <w:snapToGrid/>
              <w:spacing w:line="360" w:lineRule="auto"/>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40分</w:t>
            </w:r>
          </w:p>
        </w:tc>
      </w:tr>
      <w:tr w14:paraId="2602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72B0A79A">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p>
        </w:tc>
        <w:tc>
          <w:tcPr>
            <w:tcW w:w="1515" w:type="dxa"/>
            <w:noWrap w:val="0"/>
            <w:vAlign w:val="center"/>
          </w:tcPr>
          <w:p w14:paraId="67FBF608">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技术参数响应评审</w:t>
            </w:r>
          </w:p>
        </w:tc>
        <w:tc>
          <w:tcPr>
            <w:tcW w:w="6904" w:type="dxa"/>
            <w:noWrap w:val="0"/>
            <w:vAlign w:val="center"/>
          </w:tcPr>
          <w:p w14:paraId="554284E0">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技术参数指标响应评审：</w:t>
            </w:r>
          </w:p>
          <w:p w14:paraId="60085CF1">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根据招标文件第</w:t>
            </w:r>
            <w:r>
              <w:rPr>
                <w:rFonts w:hint="eastAsia" w:ascii="宋体" w:hAnsi="宋体" w:cs="宋体"/>
                <w:bCs/>
                <w:color w:val="auto"/>
                <w:sz w:val="24"/>
                <w:szCs w:val="24"/>
                <w:highlight w:val="none"/>
                <w:lang w:val="en-US" w:eastAsia="zh-CN"/>
              </w:rPr>
              <w:t>四</w:t>
            </w:r>
            <w:r>
              <w:rPr>
                <w:rFonts w:hint="eastAsia" w:ascii="宋体" w:hAnsi="宋体" w:cs="宋体"/>
                <w:bCs/>
                <w:color w:val="auto"/>
                <w:sz w:val="24"/>
                <w:szCs w:val="24"/>
                <w:highlight w:val="none"/>
              </w:rPr>
              <w:t>章采购需求及要求中</w:t>
            </w:r>
            <w:r>
              <w:rPr>
                <w:rFonts w:hint="eastAsia" w:ascii="宋体" w:hAnsi="宋体" w:cs="宋体"/>
                <w:bCs/>
                <w:color w:val="auto"/>
                <w:sz w:val="24"/>
                <w:szCs w:val="24"/>
                <w:highlight w:val="none"/>
                <w:lang w:val="en-US" w:eastAsia="zh-CN"/>
              </w:rPr>
              <w:t>的</w:t>
            </w:r>
            <w:r>
              <w:rPr>
                <w:rFonts w:hint="eastAsia" w:ascii="宋体" w:hAnsi="宋体" w:cs="宋体"/>
                <w:bCs/>
                <w:color w:val="auto"/>
                <w:sz w:val="24"/>
                <w:szCs w:val="24"/>
                <w:highlight w:val="none"/>
              </w:rPr>
              <w:t>技术(参数)内容进行评审：</w:t>
            </w:r>
          </w:p>
          <w:p w14:paraId="17AB0FFC">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1.1标注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”）的条款为重要技术指标及要求，共</w:t>
            </w:r>
            <w:r>
              <w:rPr>
                <w:rFonts w:hint="eastAsia" w:ascii="宋体" w:hAnsi="宋体" w:cs="宋体"/>
                <w:b/>
                <w:bCs w:val="0"/>
                <w:color w:val="auto"/>
                <w:sz w:val="24"/>
                <w:szCs w:val="24"/>
                <w:highlight w:val="none"/>
                <w:u w:val="single"/>
                <w:lang w:val="en-US" w:eastAsia="zh-CN"/>
              </w:rPr>
              <w:t>30</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24</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0.8</w:t>
            </w:r>
            <w:r>
              <w:rPr>
                <w:rFonts w:hint="eastAsia" w:ascii="宋体" w:hAnsi="宋体" w:cs="宋体"/>
                <w:bCs/>
                <w:color w:val="auto"/>
                <w:sz w:val="24"/>
                <w:szCs w:val="24"/>
                <w:highlight w:val="none"/>
              </w:rPr>
              <w:t>分；</w:t>
            </w:r>
          </w:p>
          <w:p w14:paraId="0DDE7F85">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cs="宋体"/>
                <w:bCs/>
                <w:color w:val="auto"/>
                <w:sz w:val="24"/>
                <w:szCs w:val="24"/>
                <w:highlight w:val="none"/>
              </w:rPr>
            </w:pPr>
            <w:r>
              <w:rPr>
                <w:rFonts w:hint="eastAsia" w:ascii="宋体" w:hAnsi="宋体" w:cs="宋体"/>
                <w:b/>
                <w:bCs w:val="0"/>
                <w:color w:val="auto"/>
                <w:sz w:val="24"/>
                <w:szCs w:val="24"/>
                <w:highlight w:val="none"/>
              </w:rPr>
              <w:t>1.2未标注</w:t>
            </w:r>
            <w:r>
              <w:rPr>
                <w:rFonts w:hint="eastAsia" w:ascii="宋体" w:hAnsi="宋体" w:cs="宋体"/>
                <w:bCs/>
                <w:color w:val="auto"/>
                <w:sz w:val="24"/>
                <w:szCs w:val="24"/>
                <w:highlight w:val="none"/>
              </w:rPr>
              <w:t>（“</w:t>
            </w:r>
            <w:r>
              <w:rPr>
                <w:rFonts w:hint="eastAsia" w:ascii="微软雅黑" w:eastAsia="微软雅黑"/>
                <w:color w:val="auto"/>
                <w:sz w:val="32"/>
                <w:szCs w:val="32"/>
                <w:highlight w:val="none"/>
              </w:rPr>
              <w:t>▲</w:t>
            </w:r>
            <w:r>
              <w:rPr>
                <w:rFonts w:hint="eastAsia" w:ascii="宋体" w:hAnsi="宋体" w:cs="宋体"/>
                <w:bCs/>
                <w:color w:val="auto"/>
                <w:sz w:val="24"/>
                <w:szCs w:val="24"/>
                <w:highlight w:val="none"/>
              </w:rPr>
              <w:t>”）的条款为一般技术条款，共</w:t>
            </w:r>
            <w:r>
              <w:rPr>
                <w:rFonts w:hint="eastAsia" w:ascii="宋体" w:hAnsi="宋体" w:cs="宋体"/>
                <w:b/>
                <w:bCs w:val="0"/>
                <w:color w:val="auto"/>
                <w:sz w:val="24"/>
                <w:szCs w:val="24"/>
                <w:highlight w:val="none"/>
                <w:u w:val="single"/>
                <w:lang w:val="en-US" w:eastAsia="zh-CN"/>
              </w:rPr>
              <w:t>100</w:t>
            </w:r>
            <w:r>
              <w:rPr>
                <w:rFonts w:hint="eastAsia" w:ascii="宋体" w:hAnsi="宋体" w:cs="宋体"/>
                <w:bCs/>
                <w:color w:val="auto"/>
                <w:sz w:val="24"/>
                <w:szCs w:val="24"/>
                <w:highlight w:val="none"/>
              </w:rPr>
              <w:t>条(满分</w:t>
            </w:r>
            <w:r>
              <w:rPr>
                <w:rFonts w:hint="eastAsia" w:ascii="宋体" w:hAnsi="宋体" w:cs="宋体"/>
                <w:b/>
                <w:bCs w:val="0"/>
                <w:color w:val="auto"/>
                <w:sz w:val="24"/>
                <w:szCs w:val="24"/>
                <w:highlight w:val="none"/>
                <w:u w:val="single"/>
                <w:lang w:val="en-US" w:eastAsia="zh-CN"/>
              </w:rPr>
              <w:t>16</w:t>
            </w:r>
            <w:r>
              <w:rPr>
                <w:rFonts w:hint="eastAsia" w:ascii="宋体" w:hAnsi="宋体" w:cs="宋体"/>
                <w:bCs/>
                <w:color w:val="auto"/>
                <w:sz w:val="24"/>
                <w:szCs w:val="24"/>
                <w:highlight w:val="none"/>
              </w:rPr>
              <w:t>分)，负偏离一条扣</w:t>
            </w:r>
            <w:r>
              <w:rPr>
                <w:rFonts w:hint="eastAsia" w:ascii="宋体" w:hAnsi="宋体" w:cs="宋体"/>
                <w:b/>
                <w:bCs w:val="0"/>
                <w:color w:val="auto"/>
                <w:sz w:val="24"/>
                <w:szCs w:val="24"/>
                <w:highlight w:val="none"/>
                <w:u w:val="single"/>
                <w:lang w:val="en-US" w:eastAsia="zh-CN"/>
              </w:rPr>
              <w:t>0.16</w:t>
            </w:r>
            <w:r>
              <w:rPr>
                <w:rFonts w:hint="eastAsia" w:ascii="宋体" w:hAnsi="宋体" w:cs="宋体"/>
                <w:bCs/>
                <w:color w:val="auto"/>
                <w:sz w:val="24"/>
                <w:szCs w:val="24"/>
                <w:highlight w:val="none"/>
              </w:rPr>
              <w:t>分。</w:t>
            </w:r>
          </w:p>
          <w:p w14:paraId="4CEF1CF6">
            <w:pPr>
              <w:keepNext/>
              <w:keepLines/>
              <w:pageBreakBefore w:val="0"/>
              <w:widowControl w:val="0"/>
              <w:kinsoku/>
              <w:wordWrap w:val="0"/>
              <w:overflowPunct/>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bidi="ar-SA"/>
              </w:rPr>
            </w:pPr>
            <w:r>
              <w:rPr>
                <w:rFonts w:hint="eastAsia" w:ascii="宋体" w:hAnsi="宋体" w:cs="宋体"/>
                <w:b/>
                <w:color w:val="auto"/>
                <w:sz w:val="24"/>
                <w:szCs w:val="24"/>
                <w:highlight w:val="none"/>
              </w:rPr>
              <w:t>注：若投标文件中提供的支持资料参数与技术规格偏离表应答不符或无技术资料支持该应答，视为不响应该项技术参数要求，技术部分对应参数条款扣分。</w:t>
            </w:r>
          </w:p>
        </w:tc>
        <w:tc>
          <w:tcPr>
            <w:tcW w:w="1190" w:type="dxa"/>
            <w:noWrap w:val="0"/>
            <w:vAlign w:val="center"/>
          </w:tcPr>
          <w:p w14:paraId="7E61AA1F">
            <w:pPr>
              <w:keepNext/>
              <w:keepLines/>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40</w:t>
            </w:r>
            <w:r>
              <w:rPr>
                <w:rFonts w:hint="eastAsia" w:ascii="宋体" w:hAnsi="宋体" w:eastAsia="宋体" w:cs="宋体"/>
                <w:b/>
                <w:bCs/>
                <w:color w:val="auto"/>
                <w:sz w:val="24"/>
                <w:szCs w:val="24"/>
                <w:lang w:val="en-US" w:eastAsia="zh-CN"/>
              </w:rPr>
              <w:t>分</w:t>
            </w:r>
          </w:p>
        </w:tc>
      </w:tr>
      <w:tr w14:paraId="3B07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657AE05B">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二</w:t>
            </w:r>
          </w:p>
        </w:tc>
        <w:tc>
          <w:tcPr>
            <w:tcW w:w="1515" w:type="dxa"/>
            <w:noWrap w:val="0"/>
            <w:vAlign w:val="center"/>
          </w:tcPr>
          <w:p w14:paraId="51B136A9">
            <w:pPr>
              <w:keepNext/>
              <w:keepLines/>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商务部分</w:t>
            </w:r>
          </w:p>
        </w:tc>
        <w:tc>
          <w:tcPr>
            <w:tcW w:w="6904" w:type="dxa"/>
            <w:noWrap w:val="0"/>
            <w:vAlign w:val="center"/>
          </w:tcPr>
          <w:p w14:paraId="4174CAA2">
            <w:pPr>
              <w:keepNext/>
              <w:keepLines/>
              <w:pageBreakBefore w:val="0"/>
              <w:widowControl w:val="0"/>
              <w:kinsoku/>
              <w:wordWrap w:val="0"/>
              <w:overflowPunct/>
              <w:autoSpaceDE/>
              <w:autoSpaceDN/>
              <w:bidi w:val="0"/>
              <w:adjustRightInd/>
              <w:snapToGrid/>
              <w:spacing w:line="360" w:lineRule="auto"/>
              <w:rPr>
                <w:rFonts w:hint="eastAsia" w:ascii="宋体" w:hAnsi="宋体" w:cs="宋体"/>
                <w:b/>
                <w:color w:val="auto"/>
                <w:sz w:val="24"/>
                <w:szCs w:val="24"/>
                <w:highlight w:val="none"/>
              </w:rPr>
            </w:pPr>
          </w:p>
        </w:tc>
        <w:tc>
          <w:tcPr>
            <w:tcW w:w="1190" w:type="dxa"/>
            <w:noWrap w:val="0"/>
            <w:vAlign w:val="center"/>
          </w:tcPr>
          <w:p w14:paraId="23B095B2">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color w:val="auto"/>
                <w:sz w:val="24"/>
                <w:szCs w:val="24"/>
                <w:lang w:val="en-US" w:eastAsia="zh-CN"/>
              </w:rPr>
            </w:pPr>
            <w:r>
              <w:rPr>
                <w:rFonts w:hint="eastAsia" w:ascii="宋体" w:hAnsi="宋体" w:cs="宋体"/>
                <w:b/>
                <w:bCs/>
                <w:i w:val="0"/>
                <w:iCs w:val="0"/>
                <w:color w:val="auto"/>
                <w:sz w:val="24"/>
                <w:szCs w:val="24"/>
                <w:u w:val="none"/>
                <w:lang w:val="en-US" w:eastAsia="zh-CN"/>
              </w:rPr>
              <w:t>30分</w:t>
            </w:r>
          </w:p>
        </w:tc>
      </w:tr>
      <w:tr w14:paraId="0FEF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2005216C">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p>
        </w:tc>
        <w:tc>
          <w:tcPr>
            <w:tcW w:w="1515" w:type="dxa"/>
            <w:noWrap w:val="0"/>
            <w:vAlign w:val="center"/>
          </w:tcPr>
          <w:p w14:paraId="6421252B">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项目实施方案</w:t>
            </w:r>
            <w:r>
              <w:rPr>
                <w:rFonts w:hint="eastAsia" w:ascii="宋体" w:hAnsi="宋体" w:cs="宋体"/>
                <w:b/>
                <w:bCs/>
                <w:i w:val="0"/>
                <w:iCs w:val="0"/>
                <w:color w:val="auto"/>
                <w:sz w:val="24"/>
                <w:szCs w:val="24"/>
                <w:lang w:val="en-US" w:eastAsia="zh-CN"/>
              </w:rPr>
              <w:t>评审</w:t>
            </w:r>
          </w:p>
        </w:tc>
        <w:tc>
          <w:tcPr>
            <w:tcW w:w="6904" w:type="dxa"/>
            <w:noWrap w:val="0"/>
            <w:vAlign w:val="center"/>
          </w:tcPr>
          <w:p w14:paraId="2AA568C4">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编制项目实施方案</w:t>
            </w:r>
            <w:r>
              <w:rPr>
                <w:rFonts w:hint="eastAsia" w:ascii="宋体" w:hAnsi="宋体" w:eastAsia="宋体" w:cs="宋体"/>
                <w:b/>
                <w:bCs/>
                <w:i w:val="0"/>
                <w:iCs w:val="0"/>
                <w:color w:val="auto"/>
                <w:sz w:val="24"/>
                <w:szCs w:val="24"/>
                <w:lang w:eastAsia="zh-CN"/>
              </w:rPr>
              <w:t>：</w:t>
            </w:r>
          </w:p>
          <w:p w14:paraId="2C44743A">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方案包括：①工作进度计划（包含但不限于设备运输、安装、调试</w:t>
            </w:r>
            <w:r>
              <w:rPr>
                <w:rFonts w:hint="eastAsia" w:ascii="宋体" w:hAnsi="宋体"/>
                <w:bCs/>
                <w:i w:val="0"/>
                <w:iCs w:val="0"/>
                <w:color w:val="auto"/>
                <w:sz w:val="24"/>
                <w:szCs w:val="20"/>
                <w:highlight w:val="none"/>
                <w:lang w:val="en-US" w:eastAsia="zh-CN"/>
              </w:rPr>
              <w:t>等</w:t>
            </w:r>
            <w:r>
              <w:rPr>
                <w:rFonts w:hint="eastAsia" w:ascii="宋体" w:hAnsi="宋体"/>
                <w:bCs/>
                <w:i w:val="0"/>
                <w:iCs w:val="0"/>
                <w:color w:val="auto"/>
                <w:sz w:val="24"/>
                <w:szCs w:val="20"/>
                <w:highlight w:val="none"/>
              </w:rPr>
              <w:t>的时间安排）；②</w:t>
            </w:r>
            <w:r>
              <w:rPr>
                <w:rFonts w:hint="eastAsia" w:ascii="宋体" w:hAnsi="宋体"/>
                <w:bCs/>
                <w:i w:val="0"/>
                <w:iCs w:val="0"/>
                <w:color w:val="auto"/>
                <w:sz w:val="24"/>
                <w:szCs w:val="20"/>
                <w:highlight w:val="none"/>
                <w:lang w:val="en-US" w:eastAsia="zh-CN"/>
              </w:rPr>
              <w:t>项目</w:t>
            </w:r>
            <w:r>
              <w:rPr>
                <w:rFonts w:hint="eastAsia" w:ascii="宋体" w:hAnsi="宋体"/>
                <w:bCs/>
                <w:i w:val="0"/>
                <w:iCs w:val="0"/>
                <w:color w:val="auto"/>
                <w:sz w:val="24"/>
                <w:szCs w:val="20"/>
                <w:highlight w:val="none"/>
              </w:rPr>
              <w:t>实施方案（包括但不限于设备</w:t>
            </w:r>
            <w:r>
              <w:rPr>
                <w:rFonts w:hint="eastAsia" w:ascii="宋体" w:hAnsi="宋体"/>
                <w:bCs/>
                <w:i w:val="0"/>
                <w:iCs w:val="0"/>
                <w:color w:val="auto"/>
                <w:sz w:val="24"/>
                <w:szCs w:val="20"/>
                <w:highlight w:val="none"/>
                <w:lang w:val="en-US" w:eastAsia="zh-CN"/>
              </w:rPr>
              <w:t>运输、</w:t>
            </w:r>
            <w:r>
              <w:rPr>
                <w:rFonts w:hint="eastAsia" w:ascii="宋体" w:hAnsi="宋体"/>
                <w:bCs/>
                <w:i w:val="0"/>
                <w:iCs w:val="0"/>
                <w:color w:val="auto"/>
                <w:sz w:val="24"/>
                <w:szCs w:val="20"/>
                <w:highlight w:val="none"/>
              </w:rPr>
              <w:t>安装</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rPr>
              <w:t>调试方案</w:t>
            </w:r>
            <w:r>
              <w:rPr>
                <w:rFonts w:hint="eastAsia" w:ascii="宋体" w:hAnsi="宋体"/>
                <w:bCs/>
                <w:i w:val="0"/>
                <w:iCs w:val="0"/>
                <w:color w:val="auto"/>
                <w:sz w:val="24"/>
                <w:szCs w:val="20"/>
                <w:highlight w:val="none"/>
                <w:lang w:eastAsia="zh-CN"/>
              </w:rPr>
              <w:t>等</w:t>
            </w:r>
            <w:r>
              <w:rPr>
                <w:rFonts w:hint="eastAsia" w:ascii="宋体" w:hAnsi="宋体"/>
                <w:bCs/>
                <w:i w:val="0"/>
                <w:iCs w:val="0"/>
                <w:color w:val="auto"/>
                <w:sz w:val="24"/>
                <w:szCs w:val="20"/>
                <w:highlight w:val="none"/>
              </w:rPr>
              <w:t>）；③验收方案（包括但不限于验收标准、程序、不合格品处理、验收资料收集归档等</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rPr>
              <w:t>④突发事件紧急事件处置预案（包括</w:t>
            </w:r>
            <w:r>
              <w:rPr>
                <w:rFonts w:hint="eastAsia" w:ascii="宋体" w:hAnsi="宋体"/>
                <w:bCs/>
                <w:i w:val="0"/>
                <w:iCs w:val="0"/>
                <w:color w:val="auto"/>
                <w:sz w:val="24"/>
                <w:szCs w:val="20"/>
                <w:highlight w:val="none"/>
                <w:lang w:val="en-US" w:eastAsia="zh-CN"/>
              </w:rPr>
              <w:t>但不限于设备运输过程中</w:t>
            </w:r>
            <w:r>
              <w:rPr>
                <w:rFonts w:hint="eastAsia" w:ascii="宋体" w:hAnsi="宋体"/>
                <w:bCs/>
                <w:i w:val="0"/>
                <w:iCs w:val="0"/>
                <w:color w:val="auto"/>
                <w:sz w:val="24"/>
                <w:szCs w:val="20"/>
                <w:highlight w:val="none"/>
              </w:rPr>
              <w:t>可能遇到的各种风险</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lang w:val="en-US" w:eastAsia="zh-CN"/>
              </w:rPr>
              <w:t>有</w:t>
            </w:r>
            <w:r>
              <w:rPr>
                <w:rFonts w:hint="eastAsia" w:ascii="宋体" w:hAnsi="宋体"/>
                <w:bCs/>
                <w:i w:val="0"/>
                <w:iCs w:val="0"/>
                <w:color w:val="auto"/>
                <w:sz w:val="24"/>
                <w:szCs w:val="20"/>
                <w:highlight w:val="none"/>
              </w:rPr>
              <w:t>应急预案及相应的解决措施）；⑤产品质量</w:t>
            </w:r>
            <w:r>
              <w:rPr>
                <w:rFonts w:hint="eastAsia" w:ascii="宋体" w:hAnsi="宋体"/>
                <w:bCs/>
                <w:i w:val="0"/>
                <w:iCs w:val="0"/>
                <w:color w:val="auto"/>
                <w:sz w:val="24"/>
                <w:szCs w:val="20"/>
                <w:highlight w:val="none"/>
                <w:lang w:val="en-US" w:eastAsia="zh-CN"/>
              </w:rPr>
              <w:t>保证</w:t>
            </w:r>
            <w:r>
              <w:rPr>
                <w:rFonts w:hint="eastAsia" w:ascii="宋体" w:hAnsi="宋体"/>
                <w:bCs/>
                <w:i w:val="0"/>
                <w:iCs w:val="0"/>
                <w:color w:val="auto"/>
                <w:sz w:val="24"/>
                <w:szCs w:val="20"/>
                <w:highlight w:val="none"/>
              </w:rPr>
              <w:t>措施（包括但不限于产品质量保证</w:t>
            </w:r>
            <w:r>
              <w:rPr>
                <w:rFonts w:hint="eastAsia" w:ascii="宋体" w:hAnsi="宋体"/>
                <w:bCs/>
                <w:i w:val="0"/>
                <w:iCs w:val="0"/>
                <w:color w:val="auto"/>
                <w:sz w:val="24"/>
                <w:szCs w:val="20"/>
                <w:highlight w:val="none"/>
                <w:lang w:eastAsia="zh-CN"/>
              </w:rPr>
              <w:t>、</w:t>
            </w:r>
            <w:r>
              <w:rPr>
                <w:rFonts w:hint="eastAsia" w:ascii="宋体" w:hAnsi="宋体"/>
                <w:bCs/>
                <w:i w:val="0"/>
                <w:iCs w:val="0"/>
                <w:color w:val="auto"/>
                <w:sz w:val="24"/>
                <w:szCs w:val="20"/>
                <w:highlight w:val="none"/>
              </w:rPr>
              <w:t>违约承诺）；</w:t>
            </w:r>
          </w:p>
          <w:p w14:paraId="249A4FED">
            <w:pPr>
              <w:keepNext/>
              <w:keepLines/>
              <w:pageBreakBefore w:val="0"/>
              <w:widowControl w:val="0"/>
              <w:kinsoku/>
              <w:wordWrap w:val="0"/>
              <w:overflowPunct/>
              <w:autoSpaceDE/>
              <w:autoSpaceDN/>
              <w:bidi w:val="0"/>
              <w:adjustRightInd/>
              <w:snapToGrid/>
              <w:spacing w:line="360" w:lineRule="auto"/>
              <w:rPr>
                <w:rFonts w:hint="eastAsia" w:ascii="宋体" w:hAnsi="宋体"/>
                <w:bCs/>
                <w:i w:val="0"/>
                <w:iCs w:val="0"/>
                <w:color w:val="auto"/>
                <w:sz w:val="24"/>
                <w:szCs w:val="20"/>
                <w:highlight w:val="none"/>
              </w:rPr>
            </w:pPr>
            <w:r>
              <w:rPr>
                <w:rFonts w:hint="eastAsia" w:ascii="宋体" w:hAnsi="宋体"/>
                <w:bCs/>
                <w:i w:val="0"/>
                <w:iCs w:val="0"/>
                <w:color w:val="auto"/>
                <w:sz w:val="24"/>
                <w:szCs w:val="20"/>
                <w:highlight w:val="none"/>
              </w:rPr>
              <w:t>以上5项内容每项</w:t>
            </w:r>
            <w:r>
              <w:rPr>
                <w:rFonts w:hint="eastAsia" w:ascii="宋体" w:hAnsi="宋体"/>
                <w:b/>
                <w:bCs w:val="0"/>
                <w:i w:val="0"/>
                <w:iCs w:val="0"/>
                <w:color w:val="auto"/>
                <w:sz w:val="24"/>
                <w:szCs w:val="20"/>
                <w:highlight w:val="none"/>
                <w:u w:val="single"/>
                <w:lang w:val="en-US" w:eastAsia="zh-CN"/>
              </w:rPr>
              <w:t>3</w:t>
            </w:r>
            <w:r>
              <w:rPr>
                <w:rFonts w:hint="eastAsia" w:ascii="宋体" w:hAnsi="宋体"/>
                <w:b w:val="0"/>
                <w:bCs/>
                <w:i w:val="0"/>
                <w:iCs w:val="0"/>
                <w:color w:val="auto"/>
                <w:sz w:val="24"/>
                <w:szCs w:val="20"/>
                <w:highlight w:val="none"/>
              </w:rPr>
              <w:t>分</w:t>
            </w:r>
            <w:r>
              <w:rPr>
                <w:rFonts w:hint="eastAsia" w:ascii="宋体" w:hAnsi="宋体"/>
                <w:bCs/>
                <w:i w:val="0"/>
                <w:iCs w:val="0"/>
                <w:color w:val="auto"/>
                <w:sz w:val="24"/>
                <w:szCs w:val="20"/>
                <w:highlight w:val="none"/>
              </w:rPr>
              <w:t>，无漏项、无缺陷得</w:t>
            </w:r>
            <w:r>
              <w:rPr>
                <w:rFonts w:hint="eastAsia" w:ascii="宋体" w:hAnsi="宋体"/>
                <w:b/>
                <w:bCs w:val="0"/>
                <w:i w:val="0"/>
                <w:iCs w:val="0"/>
                <w:color w:val="auto"/>
                <w:sz w:val="24"/>
                <w:szCs w:val="20"/>
                <w:highlight w:val="none"/>
                <w:u w:val="single"/>
                <w:lang w:val="en-US" w:eastAsia="zh-CN"/>
              </w:rPr>
              <w:t>15</w:t>
            </w:r>
            <w:r>
              <w:rPr>
                <w:rFonts w:hint="eastAsia" w:ascii="宋体" w:hAnsi="宋体"/>
                <w:bCs/>
                <w:i w:val="0"/>
                <w:iCs w:val="0"/>
                <w:color w:val="auto"/>
                <w:sz w:val="24"/>
                <w:szCs w:val="20"/>
                <w:highlight w:val="none"/>
              </w:rPr>
              <w:t>分，每缺少一项扣</w:t>
            </w:r>
            <w:r>
              <w:rPr>
                <w:rFonts w:hint="eastAsia" w:ascii="宋体" w:hAnsi="宋体"/>
                <w:b/>
                <w:bCs w:val="0"/>
                <w:i w:val="0"/>
                <w:iCs w:val="0"/>
                <w:color w:val="auto"/>
                <w:sz w:val="24"/>
                <w:szCs w:val="20"/>
                <w:highlight w:val="none"/>
                <w:u w:val="single"/>
                <w:lang w:val="en-US" w:eastAsia="zh-CN"/>
              </w:rPr>
              <w:t>3</w:t>
            </w:r>
            <w:r>
              <w:rPr>
                <w:rFonts w:hint="eastAsia" w:ascii="宋体" w:hAnsi="宋体"/>
                <w:bCs/>
                <w:i w:val="0"/>
                <w:iCs w:val="0"/>
                <w:color w:val="auto"/>
                <w:sz w:val="24"/>
                <w:szCs w:val="20"/>
                <w:highlight w:val="none"/>
              </w:rPr>
              <w:t>分；每有一项内容</w:t>
            </w:r>
            <w:r>
              <w:rPr>
                <w:rFonts w:hint="eastAsia" w:ascii="宋体" w:hAnsi="宋体"/>
                <w:bCs/>
                <w:i w:val="0"/>
                <w:iCs w:val="0"/>
                <w:color w:val="auto"/>
                <w:sz w:val="24"/>
                <w:szCs w:val="20"/>
                <w:highlight w:val="none"/>
                <w:lang w:val="en-US" w:eastAsia="zh-CN"/>
              </w:rPr>
              <w:t>存</w:t>
            </w:r>
            <w:r>
              <w:rPr>
                <w:rFonts w:hint="eastAsia" w:ascii="宋体" w:hAnsi="宋体"/>
                <w:bCs/>
                <w:i w:val="0"/>
                <w:iCs w:val="0"/>
                <w:color w:val="auto"/>
                <w:sz w:val="24"/>
                <w:szCs w:val="20"/>
                <w:highlight w:val="none"/>
              </w:rPr>
              <w:t>在缺陷的扣</w:t>
            </w:r>
            <w:r>
              <w:rPr>
                <w:rFonts w:hint="eastAsia" w:ascii="宋体" w:hAnsi="宋体"/>
                <w:b/>
                <w:bCs w:val="0"/>
                <w:i w:val="0"/>
                <w:iCs w:val="0"/>
                <w:color w:val="auto"/>
                <w:sz w:val="24"/>
                <w:szCs w:val="20"/>
                <w:highlight w:val="none"/>
                <w:u w:val="single"/>
                <w:lang w:val="en-US" w:eastAsia="zh-CN"/>
              </w:rPr>
              <w:t>1.5</w:t>
            </w:r>
            <w:r>
              <w:rPr>
                <w:rFonts w:hint="eastAsia" w:ascii="宋体" w:hAnsi="宋体"/>
                <w:bCs/>
                <w:i w:val="0"/>
                <w:iCs w:val="0"/>
                <w:color w:val="auto"/>
                <w:sz w:val="24"/>
                <w:szCs w:val="20"/>
                <w:highlight w:val="none"/>
              </w:rPr>
              <w:t>分</w:t>
            </w:r>
            <w:r>
              <w:rPr>
                <w:rFonts w:hint="eastAsia" w:ascii="宋体" w:hAnsi="宋体"/>
                <w:bCs/>
                <w:i w:val="0"/>
                <w:iCs w:val="0"/>
                <w:color w:val="auto"/>
                <w:sz w:val="24"/>
                <w:szCs w:val="20"/>
                <w:highlight w:val="none"/>
                <w:lang w:val="en-US" w:eastAsia="zh-CN"/>
              </w:rPr>
              <w:t>，</w:t>
            </w:r>
            <w:r>
              <w:rPr>
                <w:rFonts w:hint="eastAsia" w:ascii="宋体" w:hAnsi="宋体"/>
                <w:bCs/>
                <w:i w:val="0"/>
                <w:iCs w:val="0"/>
                <w:color w:val="auto"/>
                <w:sz w:val="24"/>
                <w:szCs w:val="20"/>
                <w:highlight w:val="none"/>
              </w:rPr>
              <w:t>未提供方案的不得分。</w:t>
            </w:r>
          </w:p>
          <w:p w14:paraId="3F763DA4">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rPr>
            </w:pPr>
            <w:r>
              <w:rPr>
                <w:rFonts w:hint="eastAsia" w:ascii="宋体" w:hAnsi="宋体"/>
                <w:bCs/>
                <w:i w:val="0"/>
                <w:iCs w:val="0"/>
                <w:color w:val="auto"/>
                <w:sz w:val="24"/>
                <w:szCs w:val="20"/>
                <w:highlight w:val="none"/>
              </w:rPr>
              <w:t>（缺陷是指：非专门针对本项目或不适用项目特性的情形、套用其他项目方案、内容前后矛盾、涉及的规范及标准错误、方案内容交叉混乱、缺乏重点、生搬硬造、套用错用、存在歧义、层次粗略、仅有标题或框架缺乏具体说明阐述的情形等任意一种情形。）</w:t>
            </w:r>
          </w:p>
        </w:tc>
        <w:tc>
          <w:tcPr>
            <w:tcW w:w="1190" w:type="dxa"/>
            <w:noWrap w:val="0"/>
            <w:vAlign w:val="center"/>
          </w:tcPr>
          <w:p w14:paraId="0A4DE7CD">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u w:val="none"/>
                <w:lang w:val="en-US" w:eastAsia="zh-CN"/>
              </w:rPr>
              <w:t>15</w:t>
            </w:r>
            <w:r>
              <w:rPr>
                <w:rFonts w:hint="eastAsia" w:ascii="宋体" w:hAnsi="宋体" w:eastAsia="宋体" w:cs="宋体"/>
                <w:b/>
                <w:bCs/>
                <w:i w:val="0"/>
                <w:iCs w:val="0"/>
                <w:color w:val="auto"/>
                <w:sz w:val="24"/>
                <w:szCs w:val="24"/>
                <w:u w:val="none"/>
                <w:lang w:val="en-US" w:eastAsia="zh-CN"/>
              </w:rPr>
              <w:t>分</w:t>
            </w:r>
          </w:p>
        </w:tc>
      </w:tr>
      <w:tr w14:paraId="1C67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498DC6FD">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515" w:type="dxa"/>
            <w:noWrap w:val="0"/>
            <w:vAlign w:val="center"/>
          </w:tcPr>
          <w:p w14:paraId="031A20D3">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培训方案</w:t>
            </w:r>
          </w:p>
          <w:p w14:paraId="23CFDE8B">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评审</w:t>
            </w:r>
          </w:p>
        </w:tc>
        <w:tc>
          <w:tcPr>
            <w:tcW w:w="6904" w:type="dxa"/>
            <w:noWrap w:val="0"/>
            <w:vAlign w:val="center"/>
          </w:tcPr>
          <w:p w14:paraId="1862474D">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编制培训方案</w:t>
            </w:r>
            <w:r>
              <w:rPr>
                <w:rFonts w:hint="eastAsia" w:ascii="宋体" w:hAnsi="宋体" w:eastAsia="宋体" w:cs="宋体"/>
                <w:b/>
                <w:bCs/>
                <w:i w:val="0"/>
                <w:iCs w:val="0"/>
                <w:color w:val="auto"/>
                <w:sz w:val="24"/>
                <w:szCs w:val="24"/>
                <w:lang w:eastAsia="zh-CN"/>
              </w:rPr>
              <w:t>：</w:t>
            </w:r>
          </w:p>
          <w:p w14:paraId="0DCAA989">
            <w:pPr>
              <w:keepNext/>
              <w:keepLines/>
              <w:pageBreakBefore w:val="0"/>
              <w:widowControl w:val="0"/>
              <w:kinsoku/>
              <w:wordWrap w:val="0"/>
              <w:overflowPunct/>
              <w:autoSpaceDE/>
              <w:autoSpaceDN/>
              <w:bidi w:val="0"/>
              <w:adjustRightInd/>
              <w:snapToGrid/>
              <w:spacing w:line="360" w:lineRule="auto"/>
              <w:ind w:firstLine="480" w:firstLineChars="200"/>
              <w:jc w:val="left"/>
              <w:rPr>
                <w:rFonts w:hint="default" w:ascii="宋体" w:hAnsi="宋体" w:eastAsia="宋体" w:cs="Times New Roman"/>
                <w:b w:val="0"/>
                <w:bCs/>
                <w:i w:val="0"/>
                <w:iCs w:val="0"/>
                <w:color w:val="auto"/>
                <w:sz w:val="24"/>
                <w:szCs w:val="20"/>
                <w:highlight w:val="none"/>
                <w:lang w:val="en-US" w:eastAsia="zh-CN"/>
              </w:rPr>
            </w:pPr>
            <w:r>
              <w:rPr>
                <w:rFonts w:hint="eastAsia" w:ascii="宋体" w:hAnsi="宋体" w:eastAsia="宋体" w:cs="Times New Roman"/>
                <w:b w:val="0"/>
                <w:bCs/>
                <w:i w:val="0"/>
                <w:iCs w:val="0"/>
                <w:color w:val="auto"/>
                <w:sz w:val="24"/>
                <w:szCs w:val="20"/>
                <w:highlight w:val="none"/>
              </w:rPr>
              <w:t>方案包含：①培训方式</w:t>
            </w:r>
            <w:r>
              <w:rPr>
                <w:rFonts w:hint="eastAsia" w:ascii="宋体" w:hAnsi="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rPr>
              <w:t>②培训计划</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rPr>
              <w:t>③培训内容</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包含但不限于</w:t>
            </w:r>
            <w:r>
              <w:rPr>
                <w:rFonts w:hint="eastAsia" w:ascii="宋体" w:hAnsi="宋体"/>
                <w:bCs/>
                <w:i w:val="0"/>
                <w:iCs w:val="0"/>
                <w:color w:val="auto"/>
                <w:sz w:val="24"/>
                <w:szCs w:val="20"/>
              </w:rPr>
              <w:t>产品的功能、操作及</w:t>
            </w:r>
            <w:r>
              <w:rPr>
                <w:rFonts w:hint="eastAsia" w:ascii="宋体" w:hAnsi="宋体"/>
                <w:bCs/>
                <w:i w:val="0"/>
                <w:iCs w:val="0"/>
                <w:color w:val="auto"/>
                <w:sz w:val="24"/>
                <w:szCs w:val="20"/>
                <w:lang w:val="en-US" w:eastAsia="zh-CN"/>
              </w:rPr>
              <w:t>日常</w:t>
            </w:r>
            <w:r>
              <w:rPr>
                <w:rFonts w:hint="eastAsia" w:ascii="宋体" w:hAnsi="宋体"/>
                <w:bCs/>
                <w:i w:val="0"/>
                <w:iCs w:val="0"/>
                <w:color w:val="auto"/>
                <w:sz w:val="24"/>
                <w:szCs w:val="20"/>
              </w:rPr>
              <w:t>维护等</w:t>
            </w:r>
            <w:r>
              <w:rPr>
                <w:rFonts w:hint="eastAsia" w:ascii="宋体" w:hAnsi="宋体"/>
                <w:bCs/>
                <w:i w:val="0"/>
                <w:iCs w:val="0"/>
                <w:color w:val="auto"/>
                <w:sz w:val="24"/>
                <w:szCs w:val="20"/>
                <w:lang w:eastAsia="zh-CN"/>
              </w:rPr>
              <w:t>）</w:t>
            </w:r>
            <w:r>
              <w:rPr>
                <w:rFonts w:hint="eastAsia" w:ascii="宋体" w:hAnsi="宋体" w:eastAsia="宋体" w:cs="Times New Roman"/>
                <w:b w:val="0"/>
                <w:bCs/>
                <w:i w:val="0"/>
                <w:iCs w:val="0"/>
                <w:color w:val="auto"/>
                <w:sz w:val="24"/>
                <w:szCs w:val="20"/>
                <w:highlight w:val="none"/>
                <w:lang w:eastAsia="zh-CN"/>
              </w:rPr>
              <w:t>；④</w:t>
            </w:r>
            <w:r>
              <w:rPr>
                <w:rFonts w:hint="eastAsia" w:ascii="宋体" w:hAnsi="宋体" w:eastAsia="宋体" w:cs="Times New Roman"/>
                <w:b w:val="0"/>
                <w:bCs/>
                <w:i w:val="0"/>
                <w:iCs w:val="0"/>
                <w:color w:val="auto"/>
                <w:sz w:val="24"/>
                <w:szCs w:val="20"/>
                <w:highlight w:val="none"/>
              </w:rPr>
              <w:t>保障措施</w:t>
            </w:r>
            <w:r>
              <w:rPr>
                <w:rFonts w:hint="eastAsia" w:ascii="宋体" w:hAnsi="宋体" w:cs="Times New Roman"/>
                <w:b w:val="0"/>
                <w:bCs/>
                <w:i w:val="0"/>
                <w:iCs w:val="0"/>
                <w:color w:val="auto"/>
                <w:sz w:val="24"/>
                <w:szCs w:val="20"/>
                <w:highlight w:val="none"/>
                <w:lang w:val="en-US" w:eastAsia="zh-CN"/>
              </w:rPr>
              <w:t>；</w:t>
            </w:r>
          </w:p>
          <w:p w14:paraId="0C2231BE">
            <w:pPr>
              <w:keepNext/>
              <w:keepLines/>
              <w:pageBreakBefore w:val="0"/>
              <w:widowControl w:val="0"/>
              <w:kinsoku/>
              <w:wordWrap w:val="0"/>
              <w:overflowPunct/>
              <w:autoSpaceDE/>
              <w:autoSpaceDN/>
              <w:bidi w:val="0"/>
              <w:adjustRightInd/>
              <w:snapToGrid/>
              <w:spacing w:line="360" w:lineRule="auto"/>
              <w:jc w:val="left"/>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w:t>
            </w:r>
            <w:r>
              <w:rPr>
                <w:rFonts w:hint="eastAsia" w:ascii="宋体" w:hAnsi="宋体" w:cs="Times New Roman"/>
                <w:b w:val="0"/>
                <w:bCs/>
                <w:i w:val="0"/>
                <w:iCs w:val="0"/>
                <w:color w:val="auto"/>
                <w:sz w:val="24"/>
                <w:szCs w:val="20"/>
                <w:highlight w:val="none"/>
                <w:lang w:val="en-US" w:eastAsia="zh-CN"/>
              </w:rPr>
              <w:t>4</w:t>
            </w:r>
            <w:r>
              <w:rPr>
                <w:rFonts w:hint="eastAsia" w:ascii="宋体" w:hAnsi="宋体" w:eastAsia="宋体" w:cs="Times New Roman"/>
                <w:b w:val="0"/>
                <w:bCs/>
                <w:i w:val="0"/>
                <w:iCs w:val="0"/>
                <w:color w:val="auto"/>
                <w:sz w:val="24"/>
                <w:szCs w:val="20"/>
                <w:highlight w:val="none"/>
              </w:rPr>
              <w:t>项内容每项</w:t>
            </w:r>
            <w:r>
              <w:rPr>
                <w:rFonts w:hint="eastAsia" w:ascii="宋体" w:hAnsi="宋体" w:eastAsia="宋体" w:cs="Times New Roman"/>
                <w:b/>
                <w:bCs w:val="0"/>
                <w:i w:val="0"/>
                <w:iCs w:val="0"/>
                <w:color w:val="auto"/>
                <w:sz w:val="24"/>
                <w:szCs w:val="20"/>
                <w:highlight w:val="none"/>
                <w:u w:val="single"/>
              </w:rPr>
              <w:t>1</w:t>
            </w:r>
            <w:r>
              <w:rPr>
                <w:rFonts w:hint="eastAsia" w:ascii="宋体" w:hAnsi="宋体" w:eastAsia="宋体" w:cs="Times New Roman"/>
                <w:b w:val="0"/>
                <w:bCs/>
                <w:i w:val="0"/>
                <w:iCs w:val="0"/>
                <w:color w:val="auto"/>
                <w:sz w:val="24"/>
                <w:szCs w:val="20"/>
                <w:highlight w:val="none"/>
              </w:rPr>
              <w:t>分，无漏项、无缺陷得</w:t>
            </w:r>
            <w:r>
              <w:rPr>
                <w:rFonts w:hint="eastAsia" w:ascii="宋体" w:hAnsi="宋体" w:eastAsia="宋体" w:cs="Times New Roman"/>
                <w:b/>
                <w:bCs w:val="0"/>
                <w:i w:val="0"/>
                <w:iCs w:val="0"/>
                <w:color w:val="auto"/>
                <w:sz w:val="24"/>
                <w:szCs w:val="20"/>
                <w:highlight w:val="none"/>
                <w:u w:val="single"/>
              </w:rPr>
              <w:t>4</w:t>
            </w:r>
            <w:r>
              <w:rPr>
                <w:rFonts w:hint="eastAsia" w:ascii="宋体" w:hAnsi="宋体" w:eastAsia="宋体" w:cs="Times New Roman"/>
                <w:b w:val="0"/>
                <w:bCs/>
                <w:i w:val="0"/>
                <w:iCs w:val="0"/>
                <w:color w:val="auto"/>
                <w:sz w:val="24"/>
                <w:szCs w:val="20"/>
                <w:highlight w:val="none"/>
              </w:rPr>
              <w:t>分，每缺少一项扣</w:t>
            </w:r>
            <w:r>
              <w:rPr>
                <w:rFonts w:hint="eastAsia" w:ascii="宋体" w:hAnsi="宋体" w:eastAsia="宋体" w:cs="Times New Roman"/>
                <w:b/>
                <w:bCs w:val="0"/>
                <w:i w:val="0"/>
                <w:iCs w:val="0"/>
                <w:color w:val="auto"/>
                <w:sz w:val="24"/>
                <w:szCs w:val="20"/>
                <w:highlight w:val="none"/>
                <w:u w:val="single"/>
              </w:rPr>
              <w:t>1</w:t>
            </w:r>
            <w:r>
              <w:rPr>
                <w:rFonts w:hint="eastAsia" w:ascii="宋体" w:hAnsi="宋体" w:eastAsia="宋体" w:cs="Times New Roman"/>
                <w:b w:val="0"/>
                <w:bCs/>
                <w:i w:val="0"/>
                <w:iCs w:val="0"/>
                <w:color w:val="auto"/>
                <w:sz w:val="24"/>
                <w:szCs w:val="20"/>
                <w:highlight w:val="none"/>
              </w:rPr>
              <w:t>分；每有一项内容存在缺陷的扣</w:t>
            </w:r>
            <w:r>
              <w:rPr>
                <w:rFonts w:hint="eastAsia" w:ascii="宋体" w:hAnsi="宋体" w:eastAsia="宋体" w:cs="Times New Roman"/>
                <w:b/>
                <w:bCs w:val="0"/>
                <w:i w:val="0"/>
                <w:iCs w:val="0"/>
                <w:color w:val="auto"/>
                <w:sz w:val="24"/>
                <w:szCs w:val="20"/>
                <w:highlight w:val="none"/>
                <w:u w:val="single"/>
              </w:rPr>
              <w:t>0.5</w:t>
            </w:r>
            <w:r>
              <w:rPr>
                <w:rFonts w:hint="eastAsia" w:ascii="宋体" w:hAnsi="宋体" w:eastAsia="宋体" w:cs="Times New Roman"/>
                <w:b w:val="0"/>
                <w:bCs/>
                <w:i w:val="0"/>
                <w:iCs w:val="0"/>
                <w:color w:val="auto"/>
                <w:sz w:val="24"/>
                <w:szCs w:val="20"/>
                <w:highlight w:val="non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7B37B5A7">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190" w:type="dxa"/>
            <w:noWrap w:val="0"/>
            <w:vAlign w:val="center"/>
          </w:tcPr>
          <w:p w14:paraId="54D5A002">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4分</w:t>
            </w:r>
          </w:p>
        </w:tc>
      </w:tr>
      <w:tr w14:paraId="03D8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1BE0466D">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515" w:type="dxa"/>
            <w:noWrap w:val="0"/>
            <w:vAlign w:val="center"/>
          </w:tcPr>
          <w:p w14:paraId="1E33C284">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售后服务方案</w:t>
            </w:r>
            <w:r>
              <w:rPr>
                <w:rFonts w:hint="eastAsia" w:ascii="宋体" w:hAnsi="宋体" w:cs="宋体"/>
                <w:b/>
                <w:bCs/>
                <w:i w:val="0"/>
                <w:iCs w:val="0"/>
                <w:color w:val="auto"/>
                <w:sz w:val="24"/>
                <w:szCs w:val="24"/>
                <w:lang w:val="en-US" w:eastAsia="zh-CN"/>
              </w:rPr>
              <w:t>评审</w:t>
            </w:r>
          </w:p>
        </w:tc>
        <w:tc>
          <w:tcPr>
            <w:tcW w:w="6904" w:type="dxa"/>
            <w:noWrap w:val="0"/>
            <w:vAlign w:val="center"/>
          </w:tcPr>
          <w:p w14:paraId="58F234B0">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宋体" w:hAnsi="宋体" w:eastAsia="宋体" w:cs="宋体"/>
                <w:i w:val="0"/>
                <w:iCs w:val="0"/>
                <w:color w:val="auto"/>
                <w:sz w:val="24"/>
                <w:szCs w:val="24"/>
                <w:lang w:eastAsia="zh-CN"/>
              </w:rPr>
            </w:pPr>
            <w:r>
              <w:rPr>
                <w:rFonts w:hint="eastAsia" w:cs="宋体"/>
                <w:b/>
                <w:bCs/>
                <w:i w:val="0"/>
                <w:iCs w:val="0"/>
                <w:color w:val="auto"/>
                <w:sz w:val="24"/>
                <w:szCs w:val="24"/>
                <w:lang w:eastAsia="zh-CN"/>
              </w:rPr>
              <w:t>供应商</w:t>
            </w:r>
            <w:r>
              <w:rPr>
                <w:rFonts w:hint="eastAsia" w:ascii="宋体" w:hAnsi="宋体" w:eastAsia="宋体" w:cs="宋体"/>
                <w:i w:val="0"/>
                <w:iCs w:val="0"/>
                <w:color w:val="auto"/>
                <w:kern w:val="2"/>
                <w:sz w:val="24"/>
                <w:szCs w:val="24"/>
                <w:lang w:val="en-US" w:eastAsia="zh-CN" w:bidi="ar-SA"/>
              </w:rPr>
              <w:t>根据招标文件“第四章 采购需求及要求”</w:t>
            </w:r>
            <w:r>
              <w:rPr>
                <w:rFonts w:hint="eastAsia" w:ascii="宋体" w:hAnsi="宋体" w:eastAsia="宋体" w:cs="宋体"/>
                <w:b/>
                <w:bCs/>
                <w:i w:val="0"/>
                <w:iCs w:val="0"/>
                <w:color w:val="auto"/>
                <w:sz w:val="24"/>
                <w:szCs w:val="24"/>
                <w:lang w:val="en-US" w:eastAsia="zh-CN"/>
              </w:rPr>
              <w:t>编制售后服务方案</w:t>
            </w:r>
            <w:r>
              <w:rPr>
                <w:rFonts w:hint="eastAsia" w:ascii="宋体" w:hAnsi="宋体" w:eastAsia="宋体" w:cs="宋体"/>
                <w:b/>
                <w:bCs/>
                <w:i w:val="0"/>
                <w:iCs w:val="0"/>
                <w:color w:val="auto"/>
                <w:sz w:val="24"/>
                <w:szCs w:val="24"/>
                <w:lang w:eastAsia="zh-CN"/>
              </w:rPr>
              <w:t>：</w:t>
            </w:r>
          </w:p>
          <w:p w14:paraId="4E45244B">
            <w:pPr>
              <w:keepNext/>
              <w:keepLines/>
              <w:pageBreakBefore w:val="0"/>
              <w:widowControl w:val="0"/>
              <w:kinsoku/>
              <w:wordWrap w:val="0"/>
              <w:overflowPunct/>
              <w:autoSpaceDE/>
              <w:autoSpaceDN/>
              <w:bidi w:val="0"/>
              <w:adjustRightInd/>
              <w:snapToGrid/>
              <w:spacing w:line="360" w:lineRule="auto"/>
              <w:ind w:firstLine="480" w:firstLineChars="200"/>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方案包括：①售后服务</w:t>
            </w:r>
            <w:r>
              <w:rPr>
                <w:rFonts w:hint="eastAsia" w:ascii="宋体" w:hAnsi="宋体" w:cs="Times New Roman"/>
                <w:b w:val="0"/>
                <w:bCs/>
                <w:i w:val="0"/>
                <w:iCs w:val="0"/>
                <w:color w:val="auto"/>
                <w:sz w:val="24"/>
                <w:szCs w:val="20"/>
                <w:highlight w:val="none"/>
                <w:lang w:val="en-US" w:eastAsia="zh-CN"/>
              </w:rPr>
              <w:t>能力</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包括但不限于</w:t>
            </w:r>
            <w:r>
              <w:rPr>
                <w:rFonts w:hint="eastAsia" w:ascii="宋体" w:hAnsi="宋体" w:cs="Times New Roman"/>
                <w:b w:val="0"/>
                <w:bCs/>
                <w:i w:val="0"/>
                <w:iCs w:val="0"/>
                <w:color w:val="auto"/>
                <w:sz w:val="24"/>
                <w:szCs w:val="20"/>
                <w:highlight w:val="none"/>
                <w:lang w:val="en-US" w:eastAsia="zh-CN"/>
              </w:rPr>
              <w:t>本地</w:t>
            </w:r>
            <w:r>
              <w:rPr>
                <w:rFonts w:hint="eastAsia" w:ascii="宋体" w:hAnsi="宋体" w:eastAsia="宋体" w:cs="Times New Roman"/>
                <w:b w:val="0"/>
                <w:bCs/>
                <w:i w:val="0"/>
                <w:iCs w:val="0"/>
                <w:color w:val="auto"/>
                <w:sz w:val="24"/>
                <w:szCs w:val="20"/>
                <w:highlight w:val="none"/>
                <w:lang w:val="en-US" w:eastAsia="zh-CN"/>
              </w:rPr>
              <w:t>售后服务人员名单、售后服务联系方式</w:t>
            </w:r>
            <w:r>
              <w:rPr>
                <w:rFonts w:hint="eastAsia" w:ascii="宋体" w:hAnsi="宋体" w:cs="Times New Roman"/>
                <w:b w:val="0"/>
                <w:bCs/>
                <w:i w:val="0"/>
                <w:iCs w:val="0"/>
                <w:color w:val="auto"/>
                <w:sz w:val="24"/>
                <w:szCs w:val="20"/>
                <w:highlight w:val="none"/>
                <w:lang w:val="en-US" w:eastAsia="zh-CN"/>
              </w:rPr>
              <w:t>、专业证书</w:t>
            </w:r>
            <w:r>
              <w:rPr>
                <w:rFonts w:hint="eastAsia" w:ascii="宋体" w:hAnsi="宋体" w:eastAsia="宋体" w:cs="Times New Roman"/>
                <w:b w:val="0"/>
                <w:bCs/>
                <w:i w:val="0"/>
                <w:iCs w:val="0"/>
                <w:color w:val="auto"/>
                <w:sz w:val="24"/>
                <w:szCs w:val="20"/>
                <w:highlight w:val="none"/>
                <w:lang w:val="en-US" w:eastAsia="zh-CN"/>
              </w:rPr>
              <w:t>等</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②</w:t>
            </w:r>
            <w:r>
              <w:rPr>
                <w:rFonts w:hint="eastAsia" w:ascii="宋体" w:hAnsi="宋体" w:eastAsia="宋体" w:cs="Times New Roman"/>
                <w:b w:val="0"/>
                <w:bCs/>
                <w:i w:val="0"/>
                <w:iCs w:val="0"/>
                <w:color w:val="auto"/>
                <w:sz w:val="24"/>
                <w:szCs w:val="20"/>
                <w:highlight w:val="none"/>
              </w:rPr>
              <w:t>售后服务</w:t>
            </w:r>
            <w:r>
              <w:rPr>
                <w:rFonts w:hint="eastAsia" w:ascii="宋体" w:hAnsi="宋体" w:eastAsia="宋体" w:cs="Times New Roman"/>
                <w:b w:val="0"/>
                <w:bCs/>
                <w:i w:val="0"/>
                <w:iCs w:val="0"/>
                <w:color w:val="auto"/>
                <w:sz w:val="24"/>
                <w:szCs w:val="20"/>
                <w:highlight w:val="none"/>
                <w:lang w:val="en-US" w:eastAsia="zh-CN"/>
              </w:rPr>
              <w:t>内容</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包括但不限于</w:t>
            </w:r>
            <w:r>
              <w:rPr>
                <w:rFonts w:hint="eastAsia" w:ascii="宋体" w:hAnsi="宋体" w:cs="Times New Roman"/>
                <w:b w:val="0"/>
                <w:bCs/>
                <w:i w:val="0"/>
                <w:iCs w:val="0"/>
                <w:color w:val="auto"/>
                <w:sz w:val="24"/>
                <w:szCs w:val="20"/>
                <w:highlight w:val="none"/>
                <w:lang w:val="en-US" w:eastAsia="zh-CN"/>
              </w:rPr>
              <w:t>安装、维修、</w:t>
            </w:r>
            <w:r>
              <w:rPr>
                <w:rFonts w:hint="eastAsia" w:ascii="宋体" w:hAnsi="宋体" w:eastAsia="宋体" w:cs="Times New Roman"/>
                <w:b w:val="0"/>
                <w:bCs/>
                <w:i w:val="0"/>
                <w:iCs w:val="0"/>
                <w:color w:val="auto"/>
                <w:sz w:val="24"/>
                <w:szCs w:val="20"/>
                <w:highlight w:val="none"/>
                <w:lang w:eastAsia="zh-CN"/>
              </w:rPr>
              <w:t>巡检</w:t>
            </w:r>
            <w:r>
              <w:rPr>
                <w:rFonts w:hint="eastAsia" w:ascii="宋体" w:hAnsi="宋体" w:cs="Times New Roman"/>
                <w:b w:val="0"/>
                <w:bCs/>
                <w:i w:val="0"/>
                <w:iCs w:val="0"/>
                <w:color w:val="auto"/>
                <w:sz w:val="24"/>
                <w:szCs w:val="20"/>
                <w:highlight w:val="none"/>
                <w:lang w:val="en-US" w:eastAsia="zh-CN"/>
              </w:rPr>
              <w:t>保养</w:t>
            </w:r>
            <w:r>
              <w:rPr>
                <w:rFonts w:hint="eastAsia" w:ascii="宋体" w:hAnsi="宋体" w:eastAsia="宋体" w:cs="Times New Roman"/>
                <w:b w:val="0"/>
                <w:bCs/>
                <w:i w:val="0"/>
                <w:iCs w:val="0"/>
                <w:color w:val="auto"/>
                <w:sz w:val="24"/>
                <w:szCs w:val="20"/>
                <w:highlight w:val="none"/>
                <w:lang w:eastAsia="zh-CN"/>
              </w:rPr>
              <w:t>等方面</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val="en-US" w:eastAsia="zh-CN"/>
              </w:rPr>
              <w:t>③故障处理方案</w:t>
            </w:r>
            <w:r>
              <w:rPr>
                <w:rFonts w:hint="eastAsia" w:ascii="宋体" w:hAnsi="宋体" w:eastAsia="宋体" w:cs="Times New Roman"/>
                <w:b w:val="0"/>
                <w:bCs/>
                <w:i w:val="0"/>
                <w:iCs w:val="0"/>
                <w:color w:val="auto"/>
                <w:sz w:val="24"/>
                <w:szCs w:val="20"/>
                <w:highlight w:val="none"/>
              </w:rPr>
              <w:t>（包括但不限于</w:t>
            </w:r>
            <w:r>
              <w:rPr>
                <w:rFonts w:hint="eastAsia" w:ascii="宋体" w:hAnsi="宋体" w:eastAsia="宋体" w:cs="Times New Roman"/>
                <w:b w:val="0"/>
                <w:bCs/>
                <w:i w:val="0"/>
                <w:iCs w:val="0"/>
                <w:color w:val="auto"/>
                <w:sz w:val="24"/>
                <w:szCs w:val="20"/>
                <w:highlight w:val="none"/>
                <w:lang w:val="en-US" w:eastAsia="zh-CN"/>
              </w:rPr>
              <w:t>故障处理</w:t>
            </w:r>
            <w:r>
              <w:rPr>
                <w:rFonts w:hint="eastAsia" w:ascii="宋体" w:hAnsi="宋体" w:eastAsia="宋体" w:cs="Times New Roman"/>
                <w:b w:val="0"/>
                <w:bCs/>
                <w:i w:val="0"/>
                <w:iCs w:val="0"/>
                <w:color w:val="auto"/>
                <w:sz w:val="24"/>
                <w:szCs w:val="20"/>
                <w:highlight w:val="none"/>
                <w:lang w:eastAsia="zh-CN"/>
              </w:rPr>
              <w:t>流程、</w:t>
            </w:r>
            <w:r>
              <w:rPr>
                <w:rFonts w:hint="eastAsia" w:ascii="宋体" w:hAnsi="宋体" w:eastAsia="宋体" w:cs="Times New Roman"/>
                <w:b w:val="0"/>
                <w:bCs/>
                <w:i w:val="0"/>
                <w:iCs w:val="0"/>
                <w:color w:val="auto"/>
                <w:sz w:val="24"/>
                <w:szCs w:val="20"/>
                <w:highlight w:val="none"/>
                <w:lang w:val="en-US" w:eastAsia="zh-CN"/>
              </w:rPr>
              <w:t>故障</w:t>
            </w:r>
            <w:r>
              <w:rPr>
                <w:rFonts w:hint="eastAsia" w:ascii="宋体" w:hAnsi="宋体" w:eastAsia="宋体" w:cs="Times New Roman"/>
                <w:b w:val="0"/>
                <w:bCs/>
                <w:i w:val="0"/>
                <w:iCs w:val="0"/>
                <w:color w:val="auto"/>
                <w:sz w:val="24"/>
                <w:szCs w:val="20"/>
                <w:highlight w:val="none"/>
                <w:lang w:eastAsia="zh-CN"/>
              </w:rPr>
              <w:t>响应</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lang w:eastAsia="zh-CN"/>
              </w:rPr>
              <w:t>处理时间</w:t>
            </w:r>
            <w:r>
              <w:rPr>
                <w:rFonts w:hint="eastAsia" w:ascii="宋体" w:hAnsi="宋体" w:eastAsia="宋体" w:cs="Times New Roman"/>
                <w:b w:val="0"/>
                <w:bCs/>
                <w:i w:val="0"/>
                <w:iCs w:val="0"/>
                <w:color w:val="auto"/>
                <w:sz w:val="24"/>
                <w:szCs w:val="20"/>
                <w:highlight w:val="none"/>
              </w:rPr>
              <w:t>）</w:t>
            </w:r>
            <w:r>
              <w:rPr>
                <w:rFonts w:hint="eastAsia" w:ascii="宋体" w:hAnsi="宋体" w:eastAsia="宋体" w:cs="Times New Roman"/>
                <w:b w:val="0"/>
                <w:bCs/>
                <w:i w:val="0"/>
                <w:iCs w:val="0"/>
                <w:color w:val="auto"/>
                <w:sz w:val="24"/>
                <w:szCs w:val="20"/>
                <w:highlight w:val="none"/>
                <w:lang w:eastAsia="zh-CN"/>
              </w:rPr>
              <w:t>；</w:t>
            </w:r>
            <w:r>
              <w:rPr>
                <w:rFonts w:hint="eastAsia" w:ascii="宋体" w:hAnsi="宋体" w:eastAsia="宋体" w:cs="Times New Roman"/>
                <w:b w:val="0"/>
                <w:bCs/>
                <w:i w:val="0"/>
                <w:iCs w:val="0"/>
                <w:color w:val="auto"/>
                <w:sz w:val="24"/>
                <w:szCs w:val="20"/>
                <w:highlight w:val="none"/>
                <w:lang w:val="en-US" w:eastAsia="zh-CN"/>
              </w:rPr>
              <w:t>④质量</w:t>
            </w:r>
            <w:r>
              <w:rPr>
                <w:rFonts w:hint="eastAsia" w:ascii="宋体" w:hAnsi="宋体" w:cs="Times New Roman"/>
                <w:b w:val="0"/>
                <w:bCs/>
                <w:i w:val="0"/>
                <w:iCs w:val="0"/>
                <w:color w:val="auto"/>
                <w:sz w:val="24"/>
                <w:szCs w:val="20"/>
                <w:highlight w:val="none"/>
                <w:lang w:val="en-US" w:eastAsia="zh-CN"/>
              </w:rPr>
              <w:t>保证</w:t>
            </w:r>
            <w:r>
              <w:rPr>
                <w:rFonts w:hint="eastAsia" w:ascii="宋体" w:hAnsi="宋体" w:eastAsia="宋体" w:cs="Times New Roman"/>
                <w:b w:val="0"/>
                <w:bCs/>
                <w:i w:val="0"/>
                <w:iCs w:val="0"/>
                <w:color w:val="auto"/>
                <w:sz w:val="24"/>
                <w:szCs w:val="20"/>
                <w:highlight w:val="none"/>
                <w:lang w:val="en-US" w:eastAsia="zh-CN"/>
              </w:rPr>
              <w:t>及处罚措施（包含但不限于售后服务质量</w:t>
            </w:r>
            <w:r>
              <w:rPr>
                <w:rFonts w:hint="eastAsia" w:ascii="宋体" w:hAnsi="宋体" w:cs="Times New Roman"/>
                <w:b w:val="0"/>
                <w:bCs/>
                <w:i w:val="0"/>
                <w:iCs w:val="0"/>
                <w:color w:val="auto"/>
                <w:sz w:val="24"/>
                <w:szCs w:val="20"/>
                <w:highlight w:val="none"/>
                <w:lang w:val="en-US" w:eastAsia="zh-CN"/>
              </w:rPr>
              <w:t>保证</w:t>
            </w:r>
            <w:r>
              <w:rPr>
                <w:rFonts w:hint="eastAsia" w:ascii="宋体" w:hAnsi="宋体" w:eastAsia="宋体" w:cs="Times New Roman"/>
                <w:b w:val="0"/>
                <w:bCs/>
                <w:i w:val="0"/>
                <w:iCs w:val="0"/>
                <w:color w:val="auto"/>
                <w:sz w:val="24"/>
                <w:szCs w:val="20"/>
                <w:highlight w:val="none"/>
                <w:lang w:val="en-US" w:eastAsia="zh-CN"/>
              </w:rPr>
              <w:t>措施、处罚措施）</w:t>
            </w:r>
            <w:r>
              <w:rPr>
                <w:rFonts w:hint="eastAsia" w:ascii="宋体" w:hAnsi="宋体" w:eastAsia="宋体" w:cs="Times New Roman"/>
                <w:b w:val="0"/>
                <w:bCs/>
                <w:i w:val="0"/>
                <w:iCs w:val="0"/>
                <w:color w:val="auto"/>
                <w:sz w:val="24"/>
                <w:szCs w:val="20"/>
                <w:highlight w:val="none"/>
              </w:rPr>
              <w:t>。</w:t>
            </w:r>
          </w:p>
          <w:p w14:paraId="170AB6CE">
            <w:pPr>
              <w:keepNext/>
              <w:keepLines/>
              <w:pageBreakBefore w:val="0"/>
              <w:widowControl w:val="0"/>
              <w:kinsoku/>
              <w:wordWrap w:val="0"/>
              <w:overflowPunct/>
              <w:autoSpaceDE/>
              <w:autoSpaceDN/>
              <w:bidi w:val="0"/>
              <w:adjustRightInd/>
              <w:snapToGrid/>
              <w:spacing w:line="360" w:lineRule="auto"/>
              <w:rPr>
                <w:rFonts w:hint="eastAsia" w:ascii="宋体" w:hAnsi="宋体" w:eastAsia="宋体" w:cs="Times New Roman"/>
                <w:b w:val="0"/>
                <w:bCs/>
                <w:i w:val="0"/>
                <w:iCs w:val="0"/>
                <w:color w:val="auto"/>
                <w:sz w:val="24"/>
                <w:szCs w:val="20"/>
                <w:highlight w:val="none"/>
              </w:rPr>
            </w:pPr>
            <w:r>
              <w:rPr>
                <w:rFonts w:hint="eastAsia" w:ascii="宋体" w:hAnsi="宋体" w:eastAsia="宋体" w:cs="Times New Roman"/>
                <w:b w:val="0"/>
                <w:bCs/>
                <w:i w:val="0"/>
                <w:iCs w:val="0"/>
                <w:color w:val="auto"/>
                <w:sz w:val="24"/>
                <w:szCs w:val="20"/>
                <w:highlight w:val="none"/>
              </w:rPr>
              <w:t>以上4项内容每项</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bCs w:val="0"/>
                <w:i w:val="0"/>
                <w:iCs w:val="0"/>
                <w:color w:val="auto"/>
                <w:sz w:val="24"/>
                <w:szCs w:val="20"/>
                <w:highlight w:val="none"/>
                <w:u w:val="single"/>
              </w:rPr>
              <w:t>分</w:t>
            </w:r>
            <w:r>
              <w:rPr>
                <w:rFonts w:hint="eastAsia" w:ascii="宋体" w:hAnsi="宋体" w:eastAsia="宋体" w:cs="Times New Roman"/>
                <w:b w:val="0"/>
                <w:bCs/>
                <w:i w:val="0"/>
                <w:iCs w:val="0"/>
                <w:color w:val="auto"/>
                <w:sz w:val="24"/>
                <w:szCs w:val="20"/>
                <w:highlight w:val="none"/>
              </w:rPr>
              <w:t>，无漏项、无缺陷得</w:t>
            </w:r>
            <w:r>
              <w:rPr>
                <w:rFonts w:hint="eastAsia" w:ascii="宋体" w:hAnsi="宋体" w:cs="Times New Roman"/>
                <w:b/>
                <w:bCs w:val="0"/>
                <w:i w:val="0"/>
                <w:iCs w:val="0"/>
                <w:color w:val="auto"/>
                <w:sz w:val="24"/>
                <w:szCs w:val="20"/>
                <w:highlight w:val="none"/>
                <w:u w:val="single"/>
                <w:lang w:val="en-US" w:eastAsia="zh-CN"/>
              </w:rPr>
              <w:t>8</w:t>
            </w:r>
            <w:r>
              <w:rPr>
                <w:rFonts w:hint="eastAsia" w:ascii="宋体" w:hAnsi="宋体" w:eastAsia="宋体" w:cs="Times New Roman"/>
                <w:b/>
                <w:bCs w:val="0"/>
                <w:i w:val="0"/>
                <w:iCs w:val="0"/>
                <w:color w:val="auto"/>
                <w:sz w:val="24"/>
                <w:szCs w:val="20"/>
                <w:highlight w:val="none"/>
                <w:u w:val="single"/>
              </w:rPr>
              <w:t>分</w:t>
            </w:r>
            <w:r>
              <w:rPr>
                <w:rFonts w:hint="eastAsia" w:ascii="宋体" w:hAnsi="宋体" w:eastAsia="宋体" w:cs="Times New Roman"/>
                <w:b w:val="0"/>
                <w:bCs/>
                <w:i w:val="0"/>
                <w:iCs w:val="0"/>
                <w:color w:val="auto"/>
                <w:sz w:val="24"/>
                <w:szCs w:val="20"/>
                <w:highlight w:val="none"/>
              </w:rPr>
              <w:t>，每缺少一项扣</w:t>
            </w:r>
            <w:r>
              <w:rPr>
                <w:rFonts w:hint="eastAsia" w:ascii="宋体" w:hAnsi="宋体" w:cs="Times New Roman"/>
                <w:b/>
                <w:bCs w:val="0"/>
                <w:i w:val="0"/>
                <w:iCs w:val="0"/>
                <w:color w:val="auto"/>
                <w:sz w:val="24"/>
                <w:szCs w:val="20"/>
                <w:highlight w:val="none"/>
                <w:u w:val="single"/>
                <w:lang w:val="en-US" w:eastAsia="zh-CN"/>
              </w:rPr>
              <w:t>2</w:t>
            </w:r>
            <w:r>
              <w:rPr>
                <w:rFonts w:hint="eastAsia" w:ascii="宋体" w:hAnsi="宋体" w:eastAsia="宋体" w:cs="Times New Roman"/>
                <w:b/>
                <w:bCs w:val="0"/>
                <w:i w:val="0"/>
                <w:iCs w:val="0"/>
                <w:color w:val="auto"/>
                <w:sz w:val="24"/>
                <w:szCs w:val="20"/>
                <w:highlight w:val="none"/>
                <w:u w:val="single"/>
              </w:rPr>
              <w:t>分</w:t>
            </w:r>
            <w:r>
              <w:rPr>
                <w:rFonts w:hint="eastAsia" w:ascii="宋体" w:hAnsi="宋体" w:eastAsia="宋体" w:cs="Times New Roman"/>
                <w:b w:val="0"/>
                <w:bCs/>
                <w:i w:val="0"/>
                <w:iCs w:val="0"/>
                <w:color w:val="auto"/>
                <w:sz w:val="24"/>
                <w:szCs w:val="20"/>
                <w:highlight w:val="none"/>
              </w:rPr>
              <w:t>；每有一项内容存在缺陷的扣</w:t>
            </w:r>
            <w:r>
              <w:rPr>
                <w:rFonts w:hint="eastAsia" w:ascii="宋体" w:hAnsi="宋体" w:cs="Times New Roman"/>
                <w:b/>
                <w:bCs w:val="0"/>
                <w:i w:val="0"/>
                <w:iCs w:val="0"/>
                <w:color w:val="auto"/>
                <w:sz w:val="24"/>
                <w:szCs w:val="20"/>
                <w:highlight w:val="none"/>
                <w:u w:val="single"/>
                <w:lang w:val="en-US" w:eastAsia="zh-CN"/>
              </w:rPr>
              <w:t>1</w:t>
            </w:r>
            <w:r>
              <w:rPr>
                <w:rFonts w:hint="eastAsia" w:ascii="宋体" w:hAnsi="宋体" w:eastAsia="宋体" w:cs="Times New Roman"/>
                <w:b/>
                <w:bCs w:val="0"/>
                <w:i w:val="0"/>
                <w:iCs w:val="0"/>
                <w:color w:val="auto"/>
                <w:sz w:val="24"/>
                <w:szCs w:val="20"/>
                <w:highlight w:val="none"/>
                <w:u w:val="single"/>
              </w:rPr>
              <w:t>分</w:t>
            </w:r>
            <w:r>
              <w:rPr>
                <w:rFonts w:hint="eastAsia" w:ascii="宋体" w:hAnsi="宋体" w:eastAsia="宋体" w:cs="Times New Roman"/>
                <w:b w:val="0"/>
                <w:bCs/>
                <w:i w:val="0"/>
                <w:iCs w:val="0"/>
                <w:color w:val="auto"/>
                <w:sz w:val="24"/>
                <w:szCs w:val="20"/>
                <w:highlight w:val="none"/>
                <w:lang w:val="en-US" w:eastAsia="zh-CN"/>
              </w:rPr>
              <w:t>，</w:t>
            </w:r>
            <w:r>
              <w:rPr>
                <w:rFonts w:hint="eastAsia" w:ascii="宋体" w:hAnsi="宋体" w:eastAsia="宋体" w:cs="Times New Roman"/>
                <w:b w:val="0"/>
                <w:bCs/>
                <w:i w:val="0"/>
                <w:iCs w:val="0"/>
                <w:color w:val="auto"/>
                <w:sz w:val="24"/>
                <w:szCs w:val="20"/>
                <w:highlight w:val="none"/>
              </w:rPr>
              <w:t>未提供方案的不得分。</w:t>
            </w:r>
          </w:p>
          <w:p w14:paraId="055F3524">
            <w:pPr>
              <w:keepNext/>
              <w:keepLines/>
              <w:pageBreakBefore w:val="0"/>
              <w:widowControl w:val="0"/>
              <w:kinsoku/>
              <w:wordWrap w:val="0"/>
              <w:overflowPunct/>
              <w:topLinePunct/>
              <w:autoSpaceDE/>
              <w:autoSpaceDN/>
              <w:bidi w:val="0"/>
              <w:adjustRightInd/>
              <w:snapToGrid/>
              <w:spacing w:line="360" w:lineRule="auto"/>
              <w:ind w:firstLine="480" w:firstLineChars="200"/>
              <w:jc w:val="left"/>
              <w:rPr>
                <w:rFonts w:hint="eastAsia" w:ascii="宋体" w:hAnsi="宋体" w:eastAsia="宋体" w:cs="宋体"/>
                <w:i w:val="0"/>
                <w:iCs w:val="0"/>
                <w:color w:val="auto"/>
                <w:sz w:val="24"/>
                <w:szCs w:val="24"/>
              </w:rPr>
            </w:pPr>
            <w:r>
              <w:rPr>
                <w:rFonts w:hint="eastAsia" w:ascii="宋体" w:hAnsi="宋体" w:eastAsia="宋体" w:cs="Times New Roman"/>
                <w:b w:val="0"/>
                <w:bCs/>
                <w:i w:val="0"/>
                <w:iCs w:val="0"/>
                <w:color w:val="auto"/>
                <w:sz w:val="24"/>
                <w:szCs w:val="20"/>
                <w:highlight w:val="none"/>
              </w:rPr>
              <w:t>（缺陷是指：非专门针对本项目或不适用项目特性的情形、套用其他项目方案、内容前后矛盾、方案内容交叉混乱、缺乏重点、生搬硬造、套用错用、存在歧义、层次粗略、仅有标题或框架缺乏具体说明阐述的情形等任意一种情形。）</w:t>
            </w:r>
          </w:p>
        </w:tc>
        <w:tc>
          <w:tcPr>
            <w:tcW w:w="1190" w:type="dxa"/>
            <w:noWrap w:val="0"/>
            <w:vAlign w:val="center"/>
          </w:tcPr>
          <w:p w14:paraId="441B5641">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cs="宋体"/>
                <w:b/>
                <w:bCs/>
                <w:i w:val="0"/>
                <w:iCs w:val="0"/>
                <w:color w:val="auto"/>
                <w:sz w:val="24"/>
                <w:szCs w:val="24"/>
                <w:lang w:val="en-US" w:eastAsia="zh-CN"/>
              </w:rPr>
              <w:t>8</w:t>
            </w:r>
            <w:r>
              <w:rPr>
                <w:rFonts w:hint="eastAsia" w:ascii="宋体" w:hAnsi="宋体" w:eastAsia="宋体" w:cs="宋体"/>
                <w:b/>
                <w:bCs/>
                <w:i w:val="0"/>
                <w:iCs w:val="0"/>
                <w:color w:val="auto"/>
                <w:sz w:val="24"/>
                <w:szCs w:val="24"/>
                <w:lang w:val="en-US" w:eastAsia="zh-CN"/>
              </w:rPr>
              <w:t>分</w:t>
            </w:r>
          </w:p>
        </w:tc>
      </w:tr>
      <w:tr w14:paraId="7279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79" w:type="dxa"/>
            <w:noWrap w:val="0"/>
            <w:vAlign w:val="center"/>
          </w:tcPr>
          <w:p w14:paraId="52F48124">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1515" w:type="dxa"/>
            <w:noWrap w:val="0"/>
            <w:vAlign w:val="center"/>
          </w:tcPr>
          <w:p w14:paraId="58D57549">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b/>
                <w:bCs/>
                <w:i w:val="0"/>
                <w:iCs w:val="0"/>
                <w:color w:val="auto"/>
                <w:sz w:val="24"/>
                <w:szCs w:val="24"/>
                <w:lang w:eastAsia="zh-CN"/>
              </w:rPr>
            </w:pPr>
            <w:r>
              <w:rPr>
                <w:rFonts w:hint="eastAsia" w:ascii="宋体" w:hAnsi="宋体" w:eastAsia="宋体" w:cs="宋体"/>
                <w:b/>
                <w:bCs/>
                <w:i w:val="0"/>
                <w:iCs w:val="0"/>
                <w:color w:val="auto"/>
                <w:sz w:val="24"/>
                <w:szCs w:val="24"/>
                <w:lang w:eastAsia="zh-CN"/>
              </w:rPr>
              <w:t>类似业绩</w:t>
            </w:r>
          </w:p>
          <w:p w14:paraId="7D451609">
            <w:pPr>
              <w:keepNext/>
              <w:keepLines/>
              <w:pageBreakBefore w:val="0"/>
              <w:widowControl w:val="0"/>
              <w:kinsoku/>
              <w:wordWrap w:val="0"/>
              <w:overflowPunct/>
              <w:topLinePunct/>
              <w:autoSpaceDE/>
              <w:autoSpaceDN/>
              <w:bidi w:val="0"/>
              <w:adjustRightInd/>
              <w:snapToGrid/>
              <w:spacing w:line="360" w:lineRule="auto"/>
              <w:jc w:val="center"/>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eastAsia="zh-CN"/>
              </w:rPr>
              <w:t>评审</w:t>
            </w:r>
          </w:p>
        </w:tc>
        <w:tc>
          <w:tcPr>
            <w:tcW w:w="6904" w:type="dxa"/>
            <w:noWrap w:val="0"/>
            <w:vAlign w:val="center"/>
          </w:tcPr>
          <w:p w14:paraId="06F3291E">
            <w:pPr>
              <w:pStyle w:val="28"/>
              <w:keepNext/>
              <w:keepLines/>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宋体" w:hAnsi="宋体" w:eastAsia="宋体" w:cs="宋体"/>
                <w:b/>
                <w:bCs/>
                <w:i w:val="0"/>
                <w:iCs w:val="0"/>
                <w:color w:val="auto"/>
                <w:sz w:val="24"/>
                <w:szCs w:val="24"/>
                <w:lang w:eastAsia="zh-CN"/>
              </w:rPr>
            </w:pPr>
            <w:r>
              <w:rPr>
                <w:rFonts w:hint="eastAsia" w:ascii="宋体" w:hAnsi="宋体" w:eastAsia="宋体" w:cs="宋体"/>
                <w:b/>
                <w:bCs/>
                <w:i w:val="0"/>
                <w:iCs w:val="0"/>
                <w:color w:val="auto"/>
                <w:sz w:val="24"/>
                <w:szCs w:val="24"/>
                <w:lang w:eastAsia="zh-CN"/>
              </w:rPr>
              <w:t>类似业绩评审：</w:t>
            </w:r>
          </w:p>
          <w:p w14:paraId="70DCA5DF">
            <w:pPr>
              <w:pStyle w:val="28"/>
              <w:keepNext/>
              <w:keepLines/>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i w:val="0"/>
                <w:iCs w:val="0"/>
                <w:color w:val="auto"/>
                <w:sz w:val="24"/>
                <w:szCs w:val="24"/>
                <w:lang w:eastAsia="zh-CN"/>
              </w:rPr>
            </w:pPr>
            <w:r>
              <w:rPr>
                <w:rFonts w:hint="eastAsia"/>
                <w:i w:val="0"/>
                <w:iCs w:val="0"/>
                <w:color w:val="auto"/>
                <w:sz w:val="24"/>
                <w:szCs w:val="24"/>
                <w:highlight w:val="none"/>
                <w:lang w:eastAsia="zh-CN"/>
              </w:rPr>
              <w:t>供应商2021年12月1日起至投标截止时间前</w:t>
            </w:r>
            <w:r>
              <w:rPr>
                <w:rFonts w:hint="eastAsia"/>
                <w:i w:val="0"/>
                <w:iCs w:val="0"/>
                <w:color w:val="auto"/>
                <w:sz w:val="24"/>
                <w:szCs w:val="24"/>
                <w:highlight w:val="none"/>
                <w:lang w:val="en-US" w:eastAsia="zh-CN"/>
              </w:rPr>
              <w:t>的</w:t>
            </w:r>
            <w:r>
              <w:rPr>
                <w:rFonts w:hint="eastAsia"/>
                <w:i w:val="0"/>
                <w:iCs w:val="0"/>
                <w:color w:val="auto"/>
                <w:sz w:val="24"/>
                <w:szCs w:val="24"/>
                <w:highlight w:val="none"/>
                <w:lang w:eastAsia="zh-CN"/>
              </w:rPr>
              <w:t>类似业绩</w:t>
            </w:r>
            <w:r>
              <w:rPr>
                <w:rFonts w:hint="eastAsia" w:ascii="宋体" w:hAnsi="宋体"/>
                <w:i w:val="0"/>
                <w:iCs w:val="0"/>
                <w:color w:val="auto"/>
                <w:sz w:val="24"/>
                <w:szCs w:val="24"/>
                <w:highlight w:val="none"/>
              </w:rPr>
              <w:t>，每提供一项得</w:t>
            </w:r>
            <w:r>
              <w:rPr>
                <w:rFonts w:hint="eastAsia"/>
                <w:b/>
                <w:bCs/>
                <w:i w:val="0"/>
                <w:iCs w:val="0"/>
                <w:color w:val="auto"/>
                <w:sz w:val="24"/>
                <w:szCs w:val="24"/>
                <w:highlight w:val="none"/>
                <w:u w:val="single"/>
                <w:lang w:val="en-US" w:eastAsia="zh-CN"/>
              </w:rPr>
              <w:t>1</w:t>
            </w:r>
            <w:r>
              <w:rPr>
                <w:rFonts w:hint="eastAsia" w:ascii="宋体" w:hAnsi="宋体"/>
                <w:i w:val="0"/>
                <w:iCs w:val="0"/>
                <w:color w:val="auto"/>
                <w:sz w:val="24"/>
                <w:szCs w:val="24"/>
                <w:highlight w:val="none"/>
              </w:rPr>
              <w:t>分</w:t>
            </w:r>
            <w:r>
              <w:rPr>
                <w:rFonts w:hint="eastAsia" w:ascii="宋体" w:hAnsi="宋体" w:eastAsia="宋体" w:cs="宋体"/>
                <w:i w:val="0"/>
                <w:iCs w:val="0"/>
                <w:color w:val="auto"/>
                <w:sz w:val="24"/>
                <w:szCs w:val="24"/>
                <w:lang w:eastAsia="zh-CN"/>
              </w:rPr>
              <w:t>；</w:t>
            </w:r>
          </w:p>
          <w:p w14:paraId="50F8B34B">
            <w:pPr>
              <w:keepNext/>
              <w:keepLines/>
              <w:pageBreakBefore w:val="0"/>
              <w:widowControl w:val="0"/>
              <w:kinsoku/>
              <w:wordWrap w:val="0"/>
              <w:overflowPunct/>
              <w:autoSpaceDE/>
              <w:autoSpaceDN/>
              <w:bidi w:val="0"/>
              <w:adjustRightInd/>
              <w:snapToGrid/>
              <w:spacing w:line="360" w:lineRule="auto"/>
              <w:jc w:val="left"/>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注：</w:t>
            </w:r>
          </w:p>
          <w:p w14:paraId="605DE0FC">
            <w:pPr>
              <w:keepNext/>
              <w:keepLines/>
              <w:pageBreakBefore w:val="0"/>
              <w:widowControl w:val="0"/>
              <w:kinsoku/>
              <w:wordWrap w:val="0"/>
              <w:overflowPunct/>
              <w:autoSpaceDE/>
              <w:autoSpaceDN/>
              <w:bidi w:val="0"/>
              <w:adjustRightInd/>
              <w:snapToGrid/>
              <w:spacing w:line="360" w:lineRule="auto"/>
              <w:jc w:val="left"/>
              <w:rPr>
                <w:rFonts w:ascii="宋体" w:hAnsi="宋体"/>
                <w:b/>
                <w:i w:val="0"/>
                <w:iCs w:val="0"/>
                <w:color w:val="auto"/>
                <w:sz w:val="24"/>
                <w:szCs w:val="24"/>
                <w:highlight w:val="none"/>
              </w:rPr>
            </w:pPr>
            <w:r>
              <w:rPr>
                <w:rFonts w:hint="eastAsia" w:ascii="宋体" w:hAnsi="宋体"/>
                <w:b/>
                <w:i w:val="0"/>
                <w:iCs w:val="0"/>
                <w:color w:val="auto"/>
                <w:sz w:val="24"/>
                <w:szCs w:val="24"/>
                <w:highlight w:val="none"/>
              </w:rPr>
              <w:t>（</w:t>
            </w:r>
            <w:r>
              <w:rPr>
                <w:rFonts w:ascii="宋体" w:hAnsi="宋体"/>
                <w:b/>
                <w:i w:val="0"/>
                <w:iCs w:val="0"/>
                <w:color w:val="auto"/>
                <w:sz w:val="24"/>
                <w:szCs w:val="24"/>
                <w:highlight w:val="none"/>
              </w:rPr>
              <w:t>1</w:t>
            </w:r>
            <w:r>
              <w:rPr>
                <w:rFonts w:hint="eastAsia" w:ascii="宋体" w:hAnsi="宋体"/>
                <w:b/>
                <w:i w:val="0"/>
                <w:iCs w:val="0"/>
                <w:color w:val="auto"/>
                <w:sz w:val="24"/>
                <w:szCs w:val="24"/>
                <w:highlight w:val="none"/>
              </w:rPr>
              <w:t>）业绩时间按合同签订时间为准；</w:t>
            </w:r>
          </w:p>
          <w:p w14:paraId="63512891">
            <w:pPr>
              <w:keepNext/>
              <w:keepLines/>
              <w:pageBreakBefore w:val="0"/>
              <w:widowControl w:val="0"/>
              <w:kinsoku/>
              <w:wordWrap w:val="0"/>
              <w:overflowPunct/>
              <w:autoSpaceDE/>
              <w:autoSpaceDN/>
              <w:bidi w:val="0"/>
              <w:adjustRightInd/>
              <w:snapToGrid/>
              <w:spacing w:line="360" w:lineRule="auto"/>
              <w:rPr>
                <w:rFonts w:ascii="宋体" w:hAnsi="宋体"/>
                <w:b/>
                <w:bCs/>
                <w:i w:val="0"/>
                <w:iCs w:val="0"/>
                <w:color w:val="auto"/>
                <w:sz w:val="24"/>
                <w:szCs w:val="24"/>
                <w:highlight w:val="none"/>
              </w:rPr>
            </w:pPr>
            <w:r>
              <w:rPr>
                <w:rFonts w:hint="eastAsia" w:ascii="宋体" w:hAnsi="宋体"/>
                <w:b/>
                <w:bCs/>
                <w:i w:val="0"/>
                <w:iCs w:val="0"/>
                <w:color w:val="auto"/>
                <w:sz w:val="24"/>
                <w:szCs w:val="24"/>
                <w:highlight w:val="none"/>
              </w:rPr>
              <w:t>（</w:t>
            </w:r>
            <w:r>
              <w:rPr>
                <w:rFonts w:ascii="宋体" w:hAnsi="宋体"/>
                <w:b/>
                <w:bCs/>
                <w:i w:val="0"/>
                <w:iCs w:val="0"/>
                <w:color w:val="auto"/>
                <w:sz w:val="24"/>
                <w:szCs w:val="24"/>
                <w:highlight w:val="none"/>
              </w:rPr>
              <w:t>2</w:t>
            </w:r>
            <w:r>
              <w:rPr>
                <w:rFonts w:hint="eastAsia" w:ascii="宋体" w:hAnsi="宋体"/>
                <w:b/>
                <w:bCs/>
                <w:i w:val="0"/>
                <w:iCs w:val="0"/>
                <w:color w:val="auto"/>
                <w:sz w:val="24"/>
                <w:szCs w:val="24"/>
                <w:highlight w:val="none"/>
              </w:rPr>
              <w:t>）业绩证明须同时提供以下材料：</w:t>
            </w:r>
          </w:p>
          <w:p w14:paraId="22D57947">
            <w:pPr>
              <w:keepNext/>
              <w:keepLines/>
              <w:pageBreakBefore w:val="0"/>
              <w:widowControl w:val="0"/>
              <w:kinsoku/>
              <w:wordWrap w:val="0"/>
              <w:overflowPunct/>
              <w:topLinePunct/>
              <w:autoSpaceDE/>
              <w:autoSpaceDN/>
              <w:bidi w:val="0"/>
              <w:adjustRightInd/>
              <w:snapToGrid/>
              <w:spacing w:line="360" w:lineRule="auto"/>
              <w:ind w:firstLine="482" w:firstLineChars="20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b/>
                <w:bCs/>
                <w:i w:val="0"/>
                <w:iCs w:val="0"/>
                <w:color w:val="auto"/>
                <w:sz w:val="24"/>
                <w:szCs w:val="24"/>
                <w:highlight w:val="none"/>
              </w:rPr>
              <w:t>合同或协议原件扫描件加盖电子公章（所提供合同证明材料须包含合同首页、合同标的物所在页及合同签字盖章页的扫描件并加盖电子公章，</w:t>
            </w:r>
            <w:r>
              <w:rPr>
                <w:rFonts w:hint="eastAsia" w:ascii="宋体" w:hAnsi="宋体"/>
                <w:b/>
                <w:bCs/>
                <w:i w:val="0"/>
                <w:iCs w:val="0"/>
                <w:color w:val="auto"/>
                <w:kern w:val="0"/>
                <w:sz w:val="24"/>
                <w:szCs w:val="24"/>
                <w:highlight w:val="none"/>
              </w:rPr>
              <w:t>如无法体现项目内容、签订日期等，须另附业主证明材料，</w:t>
            </w:r>
            <w:r>
              <w:rPr>
                <w:rFonts w:hint="eastAsia" w:ascii="宋体" w:hAnsi="宋体"/>
                <w:b/>
                <w:bCs/>
                <w:i w:val="0"/>
                <w:iCs w:val="0"/>
                <w:color w:val="auto"/>
                <w:sz w:val="24"/>
                <w:szCs w:val="24"/>
                <w:highlight w:val="none"/>
              </w:rPr>
              <w:t>否则不作为评审依据）。</w:t>
            </w:r>
          </w:p>
        </w:tc>
        <w:tc>
          <w:tcPr>
            <w:tcW w:w="1190" w:type="dxa"/>
            <w:noWrap w:val="0"/>
            <w:vAlign w:val="center"/>
          </w:tcPr>
          <w:p w14:paraId="416A48BC">
            <w:pPr>
              <w:keepNext/>
              <w:keepLines/>
              <w:pageBreakBefore w:val="0"/>
              <w:widowControl w:val="0"/>
              <w:kinsoku/>
              <w:wordWrap w:val="0"/>
              <w:overflowPunct/>
              <w:topLinePunct/>
              <w:autoSpaceDE/>
              <w:autoSpaceDN/>
              <w:bidi w:val="0"/>
              <w:adjustRightInd/>
              <w:snapToGrid/>
              <w:spacing w:line="360" w:lineRule="auto"/>
              <w:jc w:val="center"/>
              <w:rPr>
                <w:rFonts w:hint="default" w:ascii="宋体" w:hAnsi="宋体" w:cs="宋体"/>
                <w:b/>
                <w:bCs/>
                <w:i w:val="0"/>
                <w:iCs w:val="0"/>
                <w:color w:val="auto"/>
                <w:sz w:val="24"/>
                <w:szCs w:val="24"/>
                <w:lang w:val="en-US" w:eastAsia="zh-CN"/>
              </w:rPr>
            </w:pPr>
            <w:r>
              <w:rPr>
                <w:rFonts w:hint="eastAsia" w:ascii="宋体" w:hAnsi="宋体" w:cs="宋体"/>
                <w:b/>
                <w:bCs/>
                <w:i w:val="0"/>
                <w:iCs w:val="0"/>
                <w:color w:val="auto"/>
                <w:sz w:val="24"/>
                <w:szCs w:val="24"/>
                <w:lang w:val="en-US" w:eastAsia="zh-CN"/>
              </w:rPr>
              <w:t>3分</w:t>
            </w:r>
          </w:p>
        </w:tc>
      </w:tr>
    </w:tbl>
    <w:p w14:paraId="08320CDA">
      <w:pPr>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br w:type="page"/>
      </w:r>
    </w:p>
    <w:p w14:paraId="41E0BF7B">
      <w:pPr>
        <w:keepNext w:val="0"/>
        <w:keepLines w:val="0"/>
        <w:pageBreakBefore w:val="0"/>
        <w:widowControl w:val="0"/>
        <w:kinsoku/>
        <w:wordWrap w:val="0"/>
        <w:overflowPunct/>
        <w:topLinePunct/>
        <w:autoSpaceDE/>
        <w:autoSpaceDN/>
        <w:bidi w:val="0"/>
        <w:adjustRightInd/>
        <w:snapToGrid/>
        <w:spacing w:line="360" w:lineRule="auto"/>
        <w:ind w:right="0" w:firstLine="482" w:firstLineChars="200"/>
        <w:textAlignment w:val="auto"/>
        <w:outlineLvl w:val="1"/>
        <w:rPr>
          <w:rStyle w:val="90"/>
          <w:rFonts w:hint="eastAsia" w:ascii="宋体" w:hAnsi="宋体" w:eastAsia="宋体" w:cs="宋体"/>
          <w:color w:val="auto"/>
          <w:sz w:val="24"/>
          <w:szCs w:val="24"/>
          <w:lang w:eastAsia="zh-CN"/>
        </w:rPr>
      </w:pPr>
      <w:r>
        <w:rPr>
          <w:rStyle w:val="90"/>
          <w:rFonts w:hint="eastAsia" w:ascii="宋体" w:hAnsi="宋体" w:eastAsia="宋体" w:cs="宋体"/>
          <w:color w:val="auto"/>
          <w:sz w:val="24"/>
          <w:szCs w:val="24"/>
          <w:lang w:val="en-US" w:eastAsia="zh-CN"/>
        </w:rPr>
        <w:t>2</w:t>
      </w:r>
      <w:r>
        <w:rPr>
          <w:rStyle w:val="90"/>
          <w:rFonts w:hint="eastAsia" w:ascii="宋体" w:hAnsi="宋体" w:eastAsia="宋体" w:cs="宋体"/>
          <w:color w:val="auto"/>
          <w:sz w:val="24"/>
          <w:szCs w:val="24"/>
          <w:lang w:eastAsia="zh-CN"/>
        </w:rPr>
        <w:t>.</w:t>
      </w:r>
      <w:r>
        <w:rPr>
          <w:rStyle w:val="90"/>
          <w:rFonts w:hint="eastAsia" w:ascii="宋体" w:hAnsi="宋体" w:cs="宋体"/>
          <w:color w:val="auto"/>
          <w:sz w:val="24"/>
          <w:szCs w:val="24"/>
          <w:lang w:eastAsia="zh-CN"/>
        </w:rPr>
        <w:t>评审</w:t>
      </w:r>
      <w:r>
        <w:rPr>
          <w:rStyle w:val="90"/>
          <w:rFonts w:hint="eastAsia" w:ascii="宋体" w:hAnsi="宋体" w:eastAsia="宋体" w:cs="宋体"/>
          <w:color w:val="auto"/>
          <w:sz w:val="24"/>
          <w:szCs w:val="24"/>
          <w:lang w:eastAsia="zh-CN"/>
        </w:rPr>
        <w:t>方法</w:t>
      </w:r>
    </w:p>
    <w:bookmarkEnd w:id="1188"/>
    <w:bookmarkEnd w:id="1190"/>
    <w:p w14:paraId="49F1CBE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本次</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采用综合评分法。</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委员会对满足招标文件全部实质性要求（即通过资格性评审及符合性评审）的投标文件，按照本章前附表规定的评分标准进行打分，并按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总得分计算公式计算</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总得分，按总得分由高到低的顺序推荐3名中标候选人；</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总得分相等时，</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将依次按技术部分得分高优先、价格部分得分高优先、商务部分得分高优先的顺序推荐；所有得分均相等的，按优先采购优质优价的可追溯产品，优先采购监狱企业、残疾人福利性单位、劳动关系和谐企业、新兴业态企业的产品和服务推荐中标候选人；所有得分均相等且政府采购政策条件也相等的，按主要技术指标高优先、质保期长优先、交货期短优先、故障到达时间短优先的顺序推荐中标候选人。</w:t>
      </w:r>
    </w:p>
    <w:p w14:paraId="6693345A">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1" w:name="_Toc21346"/>
      <w:bookmarkStart w:id="1192" w:name="_Toc28162"/>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程序及标准</w:t>
      </w:r>
      <w:bookmarkEnd w:id="1191"/>
      <w:bookmarkEnd w:id="1192"/>
    </w:p>
    <w:p w14:paraId="63243B6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.1 符合性评审</w:t>
      </w:r>
    </w:p>
    <w:p w14:paraId="27D499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依据招标文件的规定，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委员会对符合资格的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的投标文件从有效性、完整性和对招标文件的实质性响应程度等方面进行审查，见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163429A9">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3" w:name="_Toc9202"/>
      <w:bookmarkStart w:id="1194" w:name="_Toc5788"/>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详细评审</w:t>
      </w:r>
      <w:bookmarkEnd w:id="1193"/>
      <w:bookmarkEnd w:id="1194"/>
    </w:p>
    <w:p w14:paraId="2E57943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委员会按照招标文件中规定的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方法和标准，对符合性审查合格的投标文件进行商务和技术评估，综合比较与评价， 见</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w:t>
      </w:r>
    </w:p>
    <w:p w14:paraId="67163B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委员会各成员要依法独立评审，并对评审意见承担个人责任。对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的客观评分项的评分应当一致，对其他需要借助专业知识评判的主观评分项，应当严格按照评分细则公正评分。</w:t>
      </w:r>
    </w:p>
    <w:p w14:paraId="4EB28BC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委员会成员对需要共同认定的事项存在争议的，按照少数服从多数的原则作出结论。持不同意见的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委员会成员应当在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报告上签署不同意见并说明理由，否则视为同意。</w:t>
      </w:r>
    </w:p>
    <w:p w14:paraId="6EAEFA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.4 投标文件报价出现前后不一致的，按照下列规定修正：</w:t>
      </w:r>
    </w:p>
    <w:p w14:paraId="7AD2871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（一）投标文件中开标一览表（报价表）内容与投标文件中相应内容不一致的，以开标一览表（报价表）为准；</w:t>
      </w:r>
    </w:p>
    <w:p w14:paraId="01A2E95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（二）大写金额和小写金额不一致的，以大写金额为准；</w:t>
      </w:r>
    </w:p>
    <w:p w14:paraId="7E615A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（三）单价金额小数点或者百分比有明显错位的，以开标一览表的总价为准，并修改单价；</w:t>
      </w:r>
    </w:p>
    <w:p w14:paraId="2DB1668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（四）总价金额与按单价汇总金额不一致的，以单价金额计算结果为准。</w:t>
      </w:r>
    </w:p>
    <w:p w14:paraId="0F3C0DB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同时出现两种以上不一致的，按照前款规定的顺序修正。修正后的报价按照本章</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.2款的规定经</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确认后产生约束力，</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不确认的，其投标无效。</w:t>
      </w:r>
    </w:p>
    <w:p w14:paraId="566FACF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.5 </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部分按</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方法前附表规定的投标报价计算公式，计算出各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价格部分得分。商务技术部分得分由</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委员会成员独立评分，</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各项评分因素得分为该项因素各评委评分的算术平均值。所有计算结果均保留小数点后两位，小数点后第三位“四舍五入”。</w:t>
      </w:r>
    </w:p>
    <w:p w14:paraId="71BF91D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 xml:space="preserve">.6 </w:t>
      </w: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lang w:eastAsia="zh-CN"/>
        </w:rPr>
        <w:t>《政府采购货物和服务招标投标管理办法》（财政部令第87号）第六十条规定：</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委员会认为</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的报价明显低于其他通过符合性审查的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的报价，有可能影响产品质量或者不能诚信履约的，应当要求其在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现场合理的时间内提供书面说明，必要时提交相关证明材料；</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不能证明其报价合理性的，</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委员会应当将其作为无效投标处理。</w:t>
      </w:r>
    </w:p>
    <w:p w14:paraId="0E953078">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5" w:name="_Toc26669"/>
      <w:bookmarkStart w:id="1196" w:name="_Toc20474"/>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.投标文件的澄清</w:t>
      </w:r>
      <w:bookmarkEnd w:id="1195"/>
      <w:bookmarkEnd w:id="1196"/>
    </w:p>
    <w:p w14:paraId="461430E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.1在</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过程中，</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委员会可以书面形式要求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对所提交的投标文件中含义不明确、同类问题表述不一致或者有明显文字和计算错误的内容，进行书面澄清或说明。</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委员会不接受</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主动提出的澄清、说明。</w:t>
      </w:r>
    </w:p>
    <w:p w14:paraId="2FB9A10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的澄清、说明应当采用书面形式，由法定代表人或其授权的代表签字，澄清事项不得超出投标文件的范围并不得改变投标文件的实质性内容（算术性错误修正的除外）。</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的书面澄清、说明属于投标文件的组成部分。</w:t>
      </w:r>
    </w:p>
    <w:p w14:paraId="623657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.3</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提交的澄清、说明有疑问的，可以要求</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进一步澄清、说明。</w:t>
      </w:r>
    </w:p>
    <w:p w14:paraId="47E885BC">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left"/>
        <w:textAlignment w:val="auto"/>
        <w:rPr>
          <w:rFonts w:hint="eastAsia" w:ascii="宋体" w:hAnsi="宋体" w:eastAsia="宋体" w:cs="宋体"/>
          <w:color w:val="auto"/>
          <w:sz w:val="24"/>
          <w:szCs w:val="24"/>
          <w:lang w:eastAsia="zh-CN"/>
        </w:rPr>
      </w:pPr>
      <w:bookmarkStart w:id="1197" w:name="_Toc22536"/>
      <w:bookmarkStart w:id="1198" w:name="_Toc10415"/>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cs="宋体"/>
          <w:color w:val="auto"/>
          <w:sz w:val="24"/>
          <w:szCs w:val="24"/>
          <w:lang w:eastAsia="zh-CN"/>
        </w:rPr>
        <w:t>评审</w:t>
      </w:r>
      <w:r>
        <w:rPr>
          <w:rFonts w:hint="eastAsia" w:ascii="宋体" w:hAnsi="宋体" w:eastAsia="宋体" w:cs="宋体"/>
          <w:color w:val="auto"/>
          <w:sz w:val="24"/>
          <w:szCs w:val="24"/>
          <w:lang w:eastAsia="zh-CN"/>
        </w:rPr>
        <w:t>结果</w:t>
      </w:r>
      <w:bookmarkEnd w:id="1197"/>
      <w:bookmarkEnd w:id="1198"/>
    </w:p>
    <w:p w14:paraId="1A410CB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.1</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委员会按最终得分由高到低顺序推荐3名中标候选人，并提出书面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w:t>
      </w:r>
    </w:p>
    <w:p w14:paraId="132F86F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.2采购人根据</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委员会提出的书面</w:t>
      </w:r>
      <w:r>
        <w:rPr>
          <w:rFonts w:hint="eastAsia" w:ascii="宋体" w:hAnsi="宋体" w:cs="宋体"/>
          <w:color w:val="auto"/>
          <w:sz w:val="24"/>
          <w:szCs w:val="24"/>
          <w:lang w:eastAsia="zh-CN"/>
        </w:rPr>
        <w:t>评审</w:t>
      </w:r>
      <w:r>
        <w:rPr>
          <w:rFonts w:hint="eastAsia" w:ascii="宋体" w:hAnsi="宋体" w:eastAsia="宋体" w:cs="宋体"/>
          <w:color w:val="auto"/>
          <w:sz w:val="24"/>
          <w:szCs w:val="24"/>
          <w:lang w:eastAsia="zh-CN"/>
        </w:rPr>
        <w:t>报告和推荐的中标候选人名单，确定中标人。</w:t>
      </w:r>
    </w:p>
    <w:p w14:paraId="4A63B891">
      <w:pPr>
        <w:keepNext w:val="0"/>
        <w:keepLines w:val="0"/>
        <w:pageBreakBefore w:val="0"/>
        <w:widowControl w:val="0"/>
        <w:kinsoku/>
        <w:overflowPunct/>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eastAsia="zh-CN"/>
        </w:rPr>
        <w:t>提供虚假材料、串通等违法违规行为的，要及时向采购人或</w:t>
      </w:r>
      <w:r>
        <w:rPr>
          <w:rFonts w:hint="eastAsia" w:ascii="宋体" w:hAnsi="宋体" w:eastAsia="宋体" w:cs="宋体"/>
          <w:color w:val="auto"/>
          <w:sz w:val="24"/>
          <w:szCs w:val="24"/>
          <w:lang w:val="en-US" w:eastAsia="zh-CN"/>
        </w:rPr>
        <w:t>政府采购主管部门</w:t>
      </w:r>
      <w:r>
        <w:rPr>
          <w:rFonts w:hint="eastAsia" w:ascii="宋体" w:hAnsi="宋体" w:eastAsia="宋体" w:cs="宋体"/>
          <w:color w:val="auto"/>
          <w:sz w:val="24"/>
          <w:szCs w:val="24"/>
          <w:lang w:eastAsia="zh-CN"/>
        </w:rPr>
        <w:t>报告。</w:t>
      </w:r>
    </w:p>
    <w:p w14:paraId="43B9409E">
      <w:pPr>
        <w:keepNext w:val="0"/>
        <w:keepLines w:val="0"/>
        <w:pageBreakBefore w:val="0"/>
        <w:widowControl w:val="0"/>
        <w:kinsoku/>
        <w:wordWrap w:val="0"/>
        <w:overflowPunct/>
        <w:topLinePunct/>
        <w:autoSpaceDE/>
        <w:autoSpaceDN/>
        <w:bidi w:val="0"/>
        <w:adjustRightInd/>
        <w:snapToGrid/>
        <w:spacing w:line="360" w:lineRule="auto"/>
        <w:ind w:left="0" w:leftChars="0" w:right="0" w:firstLine="0"/>
        <w:jc w:val="center"/>
        <w:textAlignment w:val="auto"/>
        <w:outlineLvl w:val="9"/>
        <w:rPr>
          <w:rStyle w:val="685"/>
          <w:rFonts w:hint="eastAsia" w:ascii="宋体" w:hAnsi="宋体" w:eastAsia="宋体" w:cs="宋体"/>
          <w:b w:val="0"/>
          <w:bCs w:val="0"/>
          <w:color w:val="auto"/>
          <w:sz w:val="32"/>
          <w:szCs w:val="32"/>
          <w:lang w:val="en-US" w:eastAsia="zh-CN"/>
        </w:rPr>
      </w:pPr>
      <w:bookmarkStart w:id="1199" w:name="_Toc71734737"/>
      <w:r>
        <w:rPr>
          <w:rFonts w:ascii="宋体" w:hAnsi="宋体"/>
          <w:color w:val="auto"/>
          <w:highlight w:val="none"/>
        </w:rPr>
        <w:br w:type="page"/>
      </w:r>
      <w:bookmarkEnd w:id="1199"/>
    </w:p>
    <w:bookmarkEnd w:id="1161"/>
    <w:bookmarkEnd w:id="1162"/>
    <w:p w14:paraId="2E8223A4">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250"/>
          <w:rFonts w:hint="eastAsia" w:ascii="宋体" w:hAnsi="宋体" w:eastAsia="宋体" w:cs="宋体"/>
          <w:b/>
          <w:bCs w:val="0"/>
          <w:color w:val="auto"/>
          <w:sz w:val="28"/>
          <w:szCs w:val="28"/>
          <w:lang w:eastAsia="zh-CN"/>
        </w:rPr>
      </w:pPr>
      <w:bookmarkStart w:id="1200" w:name="_Toc497486320"/>
      <w:bookmarkStart w:id="1201" w:name="_Toc18113"/>
      <w:r>
        <w:rPr>
          <w:rFonts w:hint="eastAsia" w:ascii="宋体" w:hAnsi="宋体" w:eastAsia="宋体" w:cs="宋体"/>
          <w:color w:val="auto"/>
          <w:lang w:eastAsia="zh-CN"/>
        </w:rPr>
        <w:t>第</w:t>
      </w:r>
      <w:r>
        <w:rPr>
          <w:rFonts w:hint="eastAsia" w:ascii="宋体" w:hAnsi="宋体" w:eastAsia="宋体" w:cs="宋体"/>
          <w:color w:val="auto"/>
          <w:lang w:val="en-US" w:eastAsia="zh-CN"/>
        </w:rPr>
        <w:t>四</w:t>
      </w:r>
      <w:r>
        <w:rPr>
          <w:rFonts w:hint="eastAsia" w:ascii="宋体" w:hAnsi="宋体" w:eastAsia="宋体" w:cs="宋体"/>
          <w:color w:val="auto"/>
          <w:lang w:eastAsia="zh-CN"/>
        </w:rPr>
        <w:t>章</w:t>
      </w:r>
      <w:bookmarkEnd w:id="1200"/>
      <w:r>
        <w:rPr>
          <w:rFonts w:hint="eastAsia" w:ascii="宋体" w:hAnsi="宋体" w:eastAsia="宋体" w:cs="宋体"/>
          <w:color w:val="auto"/>
          <w:lang w:val="en-US" w:eastAsia="zh-CN"/>
        </w:rPr>
        <w:t xml:space="preserve"> 采购需求及要求</w:t>
      </w:r>
      <w:bookmarkEnd w:id="1201"/>
    </w:p>
    <w:p w14:paraId="758ABD88">
      <w:pPr>
        <w:pStyle w:val="28"/>
        <w:keepNext w:val="0"/>
        <w:keepLines w:val="0"/>
        <w:pageBreakBefore w:val="0"/>
        <w:widowControl w:val="0"/>
        <w:kinsoku/>
        <w:wordWrap w:val="0"/>
        <w:overflowPunct/>
        <w:topLinePunct/>
        <w:autoSpaceDE/>
        <w:autoSpaceDN/>
        <w:bidi w:val="0"/>
        <w:adjustRightInd/>
        <w:snapToGrid/>
        <w:spacing w:line="360" w:lineRule="auto"/>
        <w:ind w:left="102"/>
        <w:jc w:val="center"/>
        <w:textAlignment w:val="auto"/>
        <w:outlineLvl w:val="1"/>
        <w:rPr>
          <w:rStyle w:val="250"/>
          <w:rFonts w:hint="eastAsia" w:ascii="宋体" w:hAnsi="宋体" w:eastAsia="宋体" w:cs="宋体"/>
          <w:color w:val="auto"/>
          <w:sz w:val="30"/>
          <w:szCs w:val="30"/>
          <w:lang w:val="en-US" w:eastAsia="zh-CN"/>
        </w:rPr>
      </w:pPr>
      <w:bookmarkStart w:id="1202" w:name="_Toc9190"/>
      <w:r>
        <w:rPr>
          <w:rStyle w:val="250"/>
          <w:rFonts w:hint="eastAsia" w:ascii="宋体" w:hAnsi="宋体" w:eastAsia="宋体" w:cs="宋体"/>
          <w:color w:val="auto"/>
          <w:sz w:val="30"/>
          <w:szCs w:val="30"/>
          <w:lang w:val="en-US" w:eastAsia="zh-CN"/>
        </w:rPr>
        <w:t>一、特别说明与规定</w:t>
      </w:r>
      <w:bookmarkEnd w:id="1202"/>
    </w:p>
    <w:p w14:paraId="48590FB2">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本部分内容均为</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基本要求，如</w:t>
      </w:r>
      <w:r>
        <w:rPr>
          <w:rFonts w:hint="eastAsia" w:cs="宋体"/>
          <w:color w:val="auto"/>
          <w:sz w:val="24"/>
          <w:szCs w:val="24"/>
          <w:lang w:eastAsia="zh-CN"/>
        </w:rPr>
        <w:t>供应商</w:t>
      </w:r>
      <w:r>
        <w:rPr>
          <w:rFonts w:hint="eastAsia" w:ascii="宋体" w:hAnsi="宋体" w:eastAsia="宋体" w:cs="宋体"/>
          <w:color w:val="auto"/>
          <w:sz w:val="24"/>
          <w:szCs w:val="24"/>
        </w:rPr>
        <w:t>无法响应，须在《商务响应偏离表》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实质性响应一览表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中详细说明，未说明的，视为完全响应，中标后必须严格遵守，否则视为违约。</w:t>
      </w:r>
    </w:p>
    <w:p w14:paraId="3B5ACB39">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cs="宋体"/>
          <w:color w:val="auto"/>
          <w:sz w:val="24"/>
          <w:szCs w:val="24"/>
          <w:lang w:eastAsia="zh-CN"/>
        </w:rPr>
        <w:t>供应商</w:t>
      </w:r>
      <w:r>
        <w:rPr>
          <w:rFonts w:hint="eastAsia" w:ascii="宋体" w:hAnsi="宋体" w:eastAsia="宋体" w:cs="宋体"/>
          <w:color w:val="auto"/>
          <w:sz w:val="24"/>
          <w:szCs w:val="24"/>
        </w:rPr>
        <w:t>必须对标项内的所有内容发起投标响应。</w:t>
      </w:r>
      <w:r>
        <w:rPr>
          <w:rFonts w:hint="eastAsia" w:cs="宋体"/>
          <w:color w:val="auto"/>
          <w:sz w:val="24"/>
          <w:szCs w:val="24"/>
          <w:lang w:eastAsia="zh-CN"/>
        </w:rPr>
        <w:t>供应商</w:t>
      </w:r>
      <w:r>
        <w:rPr>
          <w:rFonts w:hint="eastAsia" w:ascii="宋体" w:hAnsi="宋体" w:eastAsia="宋体" w:cs="宋体"/>
          <w:color w:val="auto"/>
          <w:sz w:val="24"/>
          <w:szCs w:val="24"/>
        </w:rPr>
        <w:t>在投标时出现遗漏的内容视为“已包含在投标总价内”，</w:t>
      </w:r>
      <w:r>
        <w:rPr>
          <w:rFonts w:hint="eastAsia" w:cs="宋体"/>
          <w:color w:val="auto"/>
          <w:sz w:val="24"/>
          <w:szCs w:val="24"/>
          <w:lang w:eastAsia="zh-CN"/>
        </w:rPr>
        <w:t>供应商</w:t>
      </w:r>
      <w:r>
        <w:rPr>
          <w:rFonts w:hint="eastAsia" w:ascii="宋体" w:hAnsi="宋体" w:eastAsia="宋体" w:cs="宋体"/>
          <w:color w:val="auto"/>
          <w:sz w:val="24"/>
          <w:szCs w:val="24"/>
        </w:rPr>
        <w:t>如不接受将作无</w:t>
      </w:r>
      <w:r>
        <w:rPr>
          <w:rFonts w:hint="eastAsia" w:ascii="宋体" w:hAnsi="宋体" w:eastAsia="宋体" w:cs="宋体"/>
          <w:color w:val="auto"/>
          <w:sz w:val="24"/>
          <w:szCs w:val="24"/>
          <w:lang w:eastAsia="zh-CN"/>
        </w:rPr>
        <w:t>效投</w:t>
      </w:r>
      <w:r>
        <w:rPr>
          <w:rFonts w:hint="eastAsia" w:ascii="宋体" w:hAnsi="宋体" w:eastAsia="宋体" w:cs="宋体"/>
          <w:color w:val="auto"/>
          <w:sz w:val="24"/>
          <w:szCs w:val="24"/>
        </w:rPr>
        <w:t>标处理。采购人不接受</w:t>
      </w:r>
      <w:r>
        <w:rPr>
          <w:rFonts w:hint="eastAsia" w:cs="宋体"/>
          <w:color w:val="auto"/>
          <w:sz w:val="24"/>
          <w:szCs w:val="24"/>
          <w:lang w:eastAsia="zh-CN"/>
        </w:rPr>
        <w:t>供应商</w:t>
      </w:r>
      <w:r>
        <w:rPr>
          <w:rFonts w:hint="eastAsia" w:ascii="宋体" w:hAnsi="宋体" w:eastAsia="宋体" w:cs="宋体"/>
          <w:color w:val="auto"/>
          <w:sz w:val="24"/>
          <w:szCs w:val="24"/>
        </w:rPr>
        <w:t>给予的任何“赠品”或者与采购无关的其他商品、服务。</w:t>
      </w:r>
    </w:p>
    <w:p w14:paraId="2DE5427E">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所提供的设备必须为原厂生产的全新正品，来源合法。所有货物到达现场应有完整的包装，随机技术、服务性资料和软件齐全。</w:t>
      </w:r>
    </w:p>
    <w:p w14:paraId="01E8C1EA">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3、采购需求及要求中“技术要求”</w:t>
      </w:r>
      <w:r>
        <w:rPr>
          <w:rFonts w:hint="eastAsia" w:ascii="宋体" w:hAnsi="宋体" w:eastAsia="宋体" w:cs="宋体"/>
          <w:color w:val="auto"/>
          <w:sz w:val="24"/>
          <w:szCs w:val="24"/>
        </w:rPr>
        <w:t>的各项技术参数和规格要求如出现引用某一特定的专利技术、商标、名称、设计、原产地或供应者等情况，则仅起参考作用。供应商可选用实质上“相当于”或“优于”该参考技术规格要求的产品投标，同时填写“</w:t>
      </w:r>
      <w:r>
        <w:rPr>
          <w:rFonts w:hint="eastAsia" w:ascii="宋体" w:hAnsi="宋体" w:eastAsia="宋体" w:cs="宋体"/>
          <w:color w:val="auto"/>
          <w:sz w:val="24"/>
          <w:szCs w:val="24"/>
          <w:lang w:eastAsia="zh-CN"/>
        </w:rPr>
        <w:t>技术参数偏离表</w:t>
      </w:r>
      <w:r>
        <w:rPr>
          <w:rFonts w:hint="eastAsia" w:ascii="宋体" w:hAnsi="宋体" w:eastAsia="宋体" w:cs="宋体"/>
          <w:color w:val="auto"/>
          <w:sz w:val="24"/>
          <w:szCs w:val="24"/>
        </w:rPr>
        <w:t>”。</w:t>
      </w:r>
    </w:p>
    <w:p w14:paraId="1478A014">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本次</w:t>
      </w:r>
      <w:r>
        <w:rPr>
          <w:rFonts w:hint="eastAsia" w:ascii="宋体" w:hAnsi="宋体" w:eastAsia="宋体" w:cs="宋体"/>
          <w:color w:val="auto"/>
          <w:sz w:val="24"/>
          <w:szCs w:val="24"/>
          <w:lang w:val="en-US" w:eastAsia="zh-CN"/>
        </w:rPr>
        <w:t>采购需求及要求中“技术要求”</w:t>
      </w:r>
      <w:r>
        <w:rPr>
          <w:rFonts w:hint="eastAsia" w:ascii="宋体" w:hAnsi="宋体" w:eastAsia="宋体" w:cs="宋体"/>
          <w:color w:val="auto"/>
          <w:sz w:val="24"/>
          <w:szCs w:val="24"/>
        </w:rPr>
        <w:t>标注▲的条款为重要技术指标及要求，未标注“▲”的条款为一般技术条款。</w:t>
      </w:r>
    </w:p>
    <w:p w14:paraId="21676550">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5、供应商必须根据采购需求及要求中“技术要求” 在“技术参数偏离表”中作出全面、真实的反映，供应商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w:t>
      </w:r>
      <w:r>
        <w:rPr>
          <w:rFonts w:hint="eastAsia" w:cs="宋体"/>
          <w:color w:val="auto"/>
          <w:sz w:val="24"/>
          <w:szCs w:val="24"/>
          <w:lang w:val="en-US" w:eastAsia="zh-CN" w:bidi="ar-SA"/>
        </w:rPr>
        <w:t>评审</w:t>
      </w:r>
      <w:r>
        <w:rPr>
          <w:rFonts w:hint="eastAsia" w:ascii="宋体" w:hAnsi="宋体" w:eastAsia="宋体" w:cs="宋体"/>
          <w:color w:val="auto"/>
          <w:sz w:val="24"/>
          <w:szCs w:val="24"/>
          <w:lang w:val="en-US" w:eastAsia="zh-CN" w:bidi="ar-SA"/>
        </w:rPr>
        <w:t>委员会无法判断的，</w:t>
      </w:r>
      <w:r>
        <w:rPr>
          <w:rFonts w:hint="eastAsia" w:cs="宋体"/>
          <w:color w:val="auto"/>
          <w:sz w:val="24"/>
          <w:szCs w:val="24"/>
          <w:lang w:val="en-US" w:eastAsia="zh-CN" w:bidi="ar-SA"/>
        </w:rPr>
        <w:t>评审</w:t>
      </w:r>
      <w:r>
        <w:rPr>
          <w:rFonts w:hint="eastAsia" w:ascii="宋体" w:hAnsi="宋体" w:eastAsia="宋体" w:cs="宋体"/>
          <w:color w:val="auto"/>
          <w:sz w:val="24"/>
          <w:szCs w:val="24"/>
          <w:lang w:val="en-US" w:eastAsia="zh-CN" w:bidi="ar-SA"/>
        </w:rPr>
        <w:t>委员会可认定为不响应该条技术参数要求。若出现制造商公开发布的技术白皮书、检测报告、彩页资料等技术证明文件中，同一技术参数或指标互相矛盾，视为该项技术参数不响应招标文件要求。</w:t>
      </w:r>
    </w:p>
    <w:p w14:paraId="61A8C9E7">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本章内容是采购人需求的最基本组成，在满足此项目功能要求的前提条</w:t>
      </w:r>
      <w:r>
        <w:rPr>
          <w:rFonts w:hint="eastAsia" w:ascii="宋体" w:hAnsi="宋体" w:eastAsia="宋体" w:cs="宋体"/>
          <w:color w:val="auto"/>
          <w:sz w:val="24"/>
          <w:szCs w:val="24"/>
          <w:lang w:eastAsia="zh-CN"/>
        </w:rPr>
        <w:t>件下</w:t>
      </w:r>
      <w:r>
        <w:rPr>
          <w:rFonts w:hint="eastAsia" w:ascii="宋体" w:hAnsi="宋体" w:eastAsia="宋体" w:cs="宋体"/>
          <w:color w:val="auto"/>
          <w:sz w:val="24"/>
          <w:szCs w:val="24"/>
        </w:rPr>
        <w:t>，</w:t>
      </w:r>
      <w:r>
        <w:rPr>
          <w:rFonts w:hint="eastAsia" w:cs="宋体"/>
          <w:color w:val="auto"/>
          <w:sz w:val="24"/>
          <w:szCs w:val="24"/>
          <w:lang w:eastAsia="zh-CN"/>
        </w:rPr>
        <w:t>供应商</w:t>
      </w:r>
      <w:r>
        <w:rPr>
          <w:rFonts w:hint="eastAsia" w:ascii="宋体" w:hAnsi="宋体" w:eastAsia="宋体" w:cs="宋体"/>
          <w:color w:val="auto"/>
          <w:sz w:val="24"/>
          <w:szCs w:val="24"/>
        </w:rPr>
        <w:t>不可擅自改动或增减。如果</w:t>
      </w:r>
      <w:r>
        <w:rPr>
          <w:rFonts w:hint="eastAsia" w:cs="宋体"/>
          <w:color w:val="auto"/>
          <w:sz w:val="24"/>
          <w:szCs w:val="24"/>
          <w:lang w:eastAsia="zh-CN"/>
        </w:rPr>
        <w:t>供应商</w:t>
      </w:r>
      <w:r>
        <w:rPr>
          <w:rFonts w:hint="eastAsia" w:ascii="宋体" w:hAnsi="宋体" w:eastAsia="宋体" w:cs="宋体"/>
          <w:color w:val="auto"/>
          <w:sz w:val="24"/>
          <w:szCs w:val="24"/>
        </w:rPr>
        <w:t>认为采购需求中缺少了满足采购要求所必需的设备、材料或其他工作内容，</w:t>
      </w:r>
      <w:r>
        <w:rPr>
          <w:rFonts w:hint="eastAsia" w:cs="宋体"/>
          <w:color w:val="auto"/>
          <w:sz w:val="24"/>
          <w:szCs w:val="24"/>
          <w:lang w:eastAsia="zh-CN"/>
        </w:rPr>
        <w:t>供应商</w:t>
      </w:r>
      <w:r>
        <w:rPr>
          <w:rFonts w:hint="eastAsia" w:ascii="宋体" w:hAnsi="宋体" w:eastAsia="宋体" w:cs="宋体"/>
          <w:color w:val="auto"/>
          <w:sz w:val="24"/>
          <w:szCs w:val="24"/>
        </w:rPr>
        <w:t>应在投标时自行完成补齐，并在投标文件中详细说明增加内容及增加理由，同时由此产生的费用包含在投标总价内，并在报价明细表中单列一项（增加的内容如不是项目实施必需的，或者项目实施过程中未实际实施的，投标报价在价格分评审时不予</w:t>
      </w:r>
      <w:r>
        <w:rPr>
          <w:rFonts w:hint="eastAsia" w:ascii="宋体" w:hAnsi="宋体" w:eastAsia="宋体" w:cs="宋体"/>
          <w:color w:val="auto"/>
          <w:sz w:val="24"/>
          <w:szCs w:val="24"/>
          <w:lang w:eastAsia="zh-CN"/>
        </w:rPr>
        <w:t>扣减</w:t>
      </w:r>
      <w:r>
        <w:rPr>
          <w:rFonts w:hint="eastAsia" w:ascii="宋体" w:hAnsi="宋体" w:eastAsia="宋体" w:cs="宋体"/>
          <w:color w:val="auto"/>
          <w:sz w:val="24"/>
          <w:szCs w:val="24"/>
        </w:rPr>
        <w:t>，合同货款支付时该项费用不予支付）。对没有填报的费用，采购人将不予支付，并认为此项费用已包含在投标总价中。</w:t>
      </w:r>
    </w:p>
    <w:p w14:paraId="1EAECFE4">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招标文件中对技术的要求是采购人最低要求，一般指标负偏离在技术评审时按规定扣分，实质性指标负偏离做无效标处理。</w:t>
      </w:r>
      <w:r>
        <w:rPr>
          <w:rFonts w:hint="eastAsia" w:cs="宋体"/>
          <w:color w:val="auto"/>
          <w:sz w:val="24"/>
          <w:szCs w:val="24"/>
          <w:lang w:eastAsia="zh-CN"/>
        </w:rPr>
        <w:t>供应商</w:t>
      </w:r>
      <w:r>
        <w:rPr>
          <w:rFonts w:hint="eastAsia" w:ascii="宋体" w:hAnsi="宋体" w:eastAsia="宋体" w:cs="宋体"/>
          <w:color w:val="auto"/>
          <w:sz w:val="24"/>
          <w:szCs w:val="24"/>
        </w:rPr>
        <w:t>应尽可能</w:t>
      </w: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rPr>
        <w:t>选择符合采购人技术需求的产品参加投标。</w:t>
      </w:r>
      <w:r>
        <w:rPr>
          <w:rFonts w:hint="eastAsia" w:cs="宋体"/>
          <w:color w:val="auto"/>
          <w:sz w:val="24"/>
          <w:szCs w:val="24"/>
          <w:lang w:eastAsia="zh-CN"/>
        </w:rPr>
        <w:t>供应商</w:t>
      </w:r>
      <w:r>
        <w:rPr>
          <w:rFonts w:hint="eastAsia" w:ascii="宋体" w:hAnsi="宋体" w:eastAsia="宋体" w:cs="宋体"/>
          <w:color w:val="auto"/>
          <w:sz w:val="24"/>
          <w:szCs w:val="24"/>
        </w:rPr>
        <w:t>在投标文件中必须按招标文件载明的技术指标逐条进行投标响应（不得照搬抄袭招标要求），如果</w:t>
      </w:r>
      <w:r>
        <w:rPr>
          <w:rFonts w:hint="eastAsia" w:cs="宋体"/>
          <w:color w:val="auto"/>
          <w:sz w:val="24"/>
          <w:szCs w:val="24"/>
          <w:lang w:eastAsia="zh-CN"/>
        </w:rPr>
        <w:t>供应商</w:t>
      </w:r>
      <w:r>
        <w:rPr>
          <w:rFonts w:hint="eastAsia" w:ascii="宋体" w:hAnsi="宋体" w:eastAsia="宋体" w:cs="宋体"/>
          <w:color w:val="auto"/>
          <w:sz w:val="24"/>
          <w:szCs w:val="24"/>
        </w:rPr>
        <w:t>的投标文件对所投产品技术指标响应描述不清晰而导致</w:t>
      </w:r>
      <w:r>
        <w:rPr>
          <w:rFonts w:hint="eastAsia" w:cs="宋体"/>
          <w:color w:val="auto"/>
          <w:sz w:val="24"/>
          <w:szCs w:val="24"/>
          <w:lang w:eastAsia="zh-CN"/>
        </w:rPr>
        <w:t>评审</w:t>
      </w:r>
      <w:r>
        <w:rPr>
          <w:rFonts w:hint="eastAsia" w:ascii="宋体" w:hAnsi="宋体" w:eastAsia="宋体" w:cs="宋体"/>
          <w:color w:val="auto"/>
          <w:sz w:val="24"/>
          <w:szCs w:val="24"/>
        </w:rPr>
        <w:t>委员会有疑问的，</w:t>
      </w:r>
      <w:r>
        <w:rPr>
          <w:rFonts w:hint="eastAsia" w:cs="宋体"/>
          <w:color w:val="auto"/>
          <w:sz w:val="24"/>
          <w:szCs w:val="24"/>
          <w:lang w:eastAsia="zh-CN"/>
        </w:rPr>
        <w:t>供应商</w:t>
      </w:r>
      <w:r>
        <w:rPr>
          <w:rFonts w:hint="eastAsia" w:ascii="宋体" w:hAnsi="宋体" w:eastAsia="宋体" w:cs="宋体"/>
          <w:color w:val="auto"/>
          <w:sz w:val="24"/>
          <w:szCs w:val="24"/>
        </w:rPr>
        <w:t>必须提供相关证明材料，证明材料必须在</w:t>
      </w:r>
      <w:r>
        <w:rPr>
          <w:rFonts w:hint="eastAsia" w:cs="宋体"/>
          <w:color w:val="auto"/>
          <w:sz w:val="24"/>
          <w:szCs w:val="24"/>
          <w:lang w:eastAsia="zh-CN"/>
        </w:rPr>
        <w:t>评审</w:t>
      </w:r>
      <w:r>
        <w:rPr>
          <w:rFonts w:hint="eastAsia" w:ascii="宋体" w:hAnsi="宋体" w:eastAsia="宋体" w:cs="宋体"/>
          <w:color w:val="auto"/>
          <w:sz w:val="24"/>
          <w:szCs w:val="24"/>
        </w:rPr>
        <w:t>委员会规定的时间内提交，否则视为技术指标未响应。</w:t>
      </w:r>
    </w:p>
    <w:p w14:paraId="729078F3">
      <w:pPr>
        <w:pStyle w:val="28"/>
        <w:keepNext w:val="0"/>
        <w:keepLines w:val="0"/>
        <w:pageBreakBefore w:val="0"/>
        <w:widowControl w:val="0"/>
        <w:kinsoku/>
        <w:wordWrap/>
        <w:overflowPunct/>
        <w:topLinePunct w:val="0"/>
        <w:autoSpaceDE/>
        <w:autoSpaceDN/>
        <w:bidi w:val="0"/>
        <w:adjustRightInd/>
        <w:snapToGrid/>
        <w:spacing w:line="360" w:lineRule="auto"/>
        <w:ind w:left="102" w:firstLine="480" w:firstLineChars="200"/>
        <w:jc w:val="left"/>
        <w:textAlignment w:val="auto"/>
        <w:rPr>
          <w:rFonts w:hint="eastAsia" w:ascii="宋体" w:hAnsi="宋体" w:eastAsia="宋体" w:cs="宋体"/>
          <w:color w:val="auto"/>
          <w:sz w:val="24"/>
          <w:szCs w:val="24"/>
        </w:rPr>
      </w:pPr>
      <w:r>
        <w:rPr>
          <w:rFonts w:hint="eastAsia" w:cs="宋体"/>
          <w:color w:val="auto"/>
          <w:sz w:val="24"/>
          <w:szCs w:val="24"/>
          <w:lang w:val="en-US" w:eastAsia="zh-CN"/>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设备的各项要求（品牌、型号、配置）应</w:t>
      </w:r>
      <w:r>
        <w:rPr>
          <w:rFonts w:hint="eastAsia" w:ascii="宋体" w:hAnsi="宋体" w:eastAsia="宋体" w:cs="宋体"/>
          <w:color w:val="auto"/>
          <w:sz w:val="24"/>
          <w:szCs w:val="24"/>
          <w:lang w:eastAsia="zh-CN"/>
        </w:rPr>
        <w:t>以</w:t>
      </w:r>
      <w:r>
        <w:rPr>
          <w:rFonts w:hint="eastAsia" w:ascii="宋体" w:hAnsi="宋体" w:eastAsia="宋体" w:cs="宋体"/>
          <w:color w:val="auto"/>
          <w:sz w:val="24"/>
          <w:szCs w:val="24"/>
        </w:rPr>
        <w:t>中标</w:t>
      </w:r>
      <w:r>
        <w:rPr>
          <w:rFonts w:hint="eastAsia" w:cs="宋体"/>
          <w:color w:val="auto"/>
          <w:sz w:val="24"/>
          <w:szCs w:val="24"/>
          <w:lang w:eastAsia="zh-CN"/>
        </w:rPr>
        <w:t>供应商</w:t>
      </w:r>
      <w:r>
        <w:rPr>
          <w:rFonts w:hint="eastAsia" w:ascii="宋体" w:hAnsi="宋体" w:eastAsia="宋体" w:cs="宋体"/>
          <w:color w:val="auto"/>
          <w:sz w:val="24"/>
          <w:szCs w:val="24"/>
        </w:rPr>
        <w:t>投标承诺为准，不得擅自更改。</w:t>
      </w:r>
    </w:p>
    <w:p w14:paraId="618EE44E">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textAlignment w:val="auto"/>
        <w:outlineLvl w:val="9"/>
        <w:rPr>
          <w:rFonts w:hint="eastAsia" w:ascii="宋体" w:hAnsi="宋体" w:eastAsia="宋体" w:cs="宋体"/>
          <w:color w:val="auto"/>
          <w:sz w:val="24"/>
          <w:szCs w:val="24"/>
          <w:lang w:val="en-US" w:eastAsia="zh-CN"/>
        </w:rPr>
      </w:pPr>
    </w:p>
    <w:p w14:paraId="43D79531">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textAlignment w:val="auto"/>
        <w:outlineLvl w:val="9"/>
        <w:rPr>
          <w:rFonts w:hint="eastAsia" w:ascii="宋体" w:hAnsi="宋体" w:eastAsia="宋体" w:cs="宋体"/>
          <w:color w:val="auto"/>
          <w:sz w:val="24"/>
          <w:szCs w:val="24"/>
          <w:lang w:val="en-US" w:eastAsia="zh-CN"/>
        </w:rPr>
      </w:pPr>
    </w:p>
    <w:p w14:paraId="582C8A41">
      <w:pPr>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jc w:val="left"/>
        <w:textAlignment w:val="auto"/>
        <w:outlineLvl w:val="9"/>
        <w:rPr>
          <w:rFonts w:hint="eastAsia" w:ascii="宋体" w:hAnsi="宋体" w:eastAsia="宋体" w:cs="宋体"/>
          <w:color w:val="auto"/>
          <w:sz w:val="24"/>
          <w:szCs w:val="24"/>
          <w:lang w:val="en-US" w:eastAsia="zh-CN"/>
        </w:rPr>
        <w:sectPr>
          <w:pgSz w:w="11906" w:h="16838"/>
          <w:pgMar w:top="1440" w:right="1080" w:bottom="1440" w:left="1080" w:header="851" w:footer="992" w:gutter="0"/>
          <w:pgNumType w:fmt="decimal"/>
          <w:cols w:space="425" w:num="1"/>
          <w:rtlGutter w:val="0"/>
          <w:docGrid w:type="lines" w:linePitch="312" w:charSpace="0"/>
        </w:sectPr>
      </w:pPr>
    </w:p>
    <w:p w14:paraId="3C5D442A">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Style w:val="250"/>
          <w:rFonts w:hint="eastAsia" w:ascii="宋体" w:hAnsi="宋体" w:eastAsia="宋体" w:cs="宋体"/>
          <w:color w:val="auto"/>
          <w:sz w:val="30"/>
          <w:szCs w:val="30"/>
          <w:lang w:val="en-US" w:eastAsia="zh-CN"/>
        </w:rPr>
      </w:pPr>
      <w:bookmarkStart w:id="1203" w:name="_Toc9213"/>
      <w:r>
        <w:rPr>
          <w:rStyle w:val="250"/>
          <w:rFonts w:hint="eastAsia" w:ascii="宋体" w:hAnsi="宋体" w:eastAsia="宋体" w:cs="宋体"/>
          <w:color w:val="auto"/>
          <w:sz w:val="30"/>
          <w:szCs w:val="30"/>
          <w:lang w:val="en-US" w:eastAsia="zh-CN"/>
        </w:rPr>
        <w:t>二、</w:t>
      </w:r>
      <w:bookmarkEnd w:id="1203"/>
      <w:r>
        <w:rPr>
          <w:rStyle w:val="250"/>
          <w:rFonts w:hint="eastAsia" w:ascii="宋体" w:hAnsi="宋体" w:eastAsia="宋体" w:cs="宋体"/>
          <w:color w:val="auto"/>
          <w:sz w:val="30"/>
          <w:szCs w:val="30"/>
          <w:lang w:val="en-US" w:eastAsia="zh-CN"/>
        </w:rPr>
        <w:t>采购需求</w:t>
      </w:r>
    </w:p>
    <w:tbl>
      <w:tblPr>
        <w:tblStyle w:val="67"/>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2770"/>
        <w:gridCol w:w="926"/>
        <w:gridCol w:w="1419"/>
        <w:gridCol w:w="2035"/>
        <w:gridCol w:w="1386"/>
      </w:tblGrid>
      <w:tr w14:paraId="2359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82" w:type="dxa"/>
            <w:shd w:val="clear" w:color="auto" w:fill="auto"/>
            <w:vAlign w:val="center"/>
          </w:tcPr>
          <w:p w14:paraId="730C4908">
            <w:pPr>
              <w:widowControl/>
              <w:jc w:val="center"/>
              <w:textAlignment w:val="center"/>
              <w:rPr>
                <w:rFonts w:hint="eastAsia" w:ascii="宋体" w:hAnsi="宋体" w:eastAsia="宋体" w:cs="宋体"/>
                <w:b/>
                <w:bCs/>
                <w:color w:val="auto"/>
                <w:sz w:val="24"/>
                <w:szCs w:val="24"/>
              </w:rPr>
            </w:pPr>
            <w:bookmarkStart w:id="1204" w:name="_Toc1546"/>
            <w:bookmarkStart w:id="1205" w:name="_Toc497486326"/>
            <w:r>
              <w:rPr>
                <w:rFonts w:hint="eastAsia" w:ascii="宋体" w:hAnsi="宋体" w:eastAsia="宋体" w:cs="宋体"/>
                <w:b/>
                <w:bCs/>
                <w:color w:val="auto"/>
                <w:kern w:val="0"/>
                <w:sz w:val="24"/>
                <w:szCs w:val="24"/>
              </w:rPr>
              <w:t>序号</w:t>
            </w:r>
          </w:p>
        </w:tc>
        <w:tc>
          <w:tcPr>
            <w:tcW w:w="2770" w:type="dxa"/>
            <w:shd w:val="clear" w:color="auto" w:fill="auto"/>
            <w:noWrap/>
            <w:vAlign w:val="center"/>
          </w:tcPr>
          <w:p w14:paraId="3C7EB407">
            <w:pPr>
              <w:widowControl/>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rPr>
              <w:t>设备名称</w:t>
            </w:r>
          </w:p>
        </w:tc>
        <w:tc>
          <w:tcPr>
            <w:tcW w:w="926" w:type="dxa"/>
            <w:shd w:val="clear" w:color="auto" w:fill="auto"/>
            <w:noWrap/>
            <w:vAlign w:val="center"/>
          </w:tcPr>
          <w:p w14:paraId="5B1B0612">
            <w:pPr>
              <w:widowControl/>
              <w:jc w:val="center"/>
              <w:textAlignment w:val="center"/>
              <w:rPr>
                <w:rFonts w:hint="eastAsia" w:ascii="宋体" w:hAnsi="宋体" w:eastAsia="宋体" w:cs="宋体"/>
                <w:b/>
                <w:bCs/>
                <w:color w:val="auto"/>
                <w:sz w:val="24"/>
                <w:szCs w:val="24"/>
                <w:lang w:eastAsia="zh-CN"/>
              </w:rPr>
            </w:pPr>
            <w:r>
              <w:rPr>
                <w:rFonts w:hint="eastAsia" w:ascii="宋体" w:hAnsi="宋体" w:cs="宋体"/>
                <w:b/>
                <w:bCs/>
                <w:color w:val="auto"/>
                <w:kern w:val="0"/>
                <w:sz w:val="24"/>
                <w:szCs w:val="24"/>
                <w:lang w:eastAsia="zh-CN"/>
              </w:rPr>
              <w:t>数量</w:t>
            </w:r>
          </w:p>
        </w:tc>
        <w:tc>
          <w:tcPr>
            <w:tcW w:w="1419" w:type="dxa"/>
            <w:shd w:val="clear" w:color="auto" w:fill="auto"/>
            <w:vAlign w:val="center"/>
          </w:tcPr>
          <w:p w14:paraId="4F4A2913">
            <w:pPr>
              <w:widowControl/>
              <w:jc w:val="center"/>
              <w:textAlignment w:val="center"/>
              <w:rPr>
                <w:rFonts w:hint="eastAsia" w:ascii="宋体" w:hAnsi="宋体" w:eastAsia="宋体" w:cs="宋体"/>
                <w:b/>
                <w:bCs/>
                <w:color w:val="auto"/>
                <w:sz w:val="24"/>
                <w:szCs w:val="24"/>
                <w:lang w:eastAsia="zh-CN"/>
              </w:rPr>
            </w:pPr>
            <w:r>
              <w:rPr>
                <w:rFonts w:hint="eastAsia" w:ascii="宋体" w:hAnsi="宋体" w:cs="宋体"/>
                <w:b/>
                <w:bCs/>
                <w:color w:val="auto"/>
                <w:kern w:val="0"/>
                <w:sz w:val="24"/>
                <w:szCs w:val="24"/>
                <w:lang w:eastAsia="zh-CN"/>
              </w:rPr>
              <w:t>单位</w:t>
            </w:r>
          </w:p>
        </w:tc>
        <w:tc>
          <w:tcPr>
            <w:tcW w:w="2035" w:type="dxa"/>
            <w:shd w:val="clear" w:color="auto" w:fill="auto"/>
            <w:noWrap/>
            <w:vAlign w:val="center"/>
          </w:tcPr>
          <w:p w14:paraId="6E80D5D4">
            <w:pPr>
              <w:widowControl/>
              <w:jc w:val="center"/>
              <w:textAlignment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技术参数</w:t>
            </w:r>
          </w:p>
        </w:tc>
        <w:tc>
          <w:tcPr>
            <w:tcW w:w="1386" w:type="dxa"/>
            <w:vAlign w:val="center"/>
          </w:tcPr>
          <w:p w14:paraId="47655FC6">
            <w:pPr>
              <w:widowControl/>
              <w:jc w:val="center"/>
              <w:textAlignment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备注</w:t>
            </w:r>
          </w:p>
        </w:tc>
      </w:tr>
      <w:tr w14:paraId="2570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82" w:type="dxa"/>
            <w:shd w:val="clear" w:color="auto" w:fill="auto"/>
            <w:noWrap/>
            <w:vAlign w:val="center"/>
          </w:tcPr>
          <w:p w14:paraId="6B84C454">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1</w:t>
            </w:r>
          </w:p>
        </w:tc>
        <w:tc>
          <w:tcPr>
            <w:tcW w:w="2770" w:type="dxa"/>
            <w:shd w:val="clear" w:color="auto" w:fill="auto"/>
            <w:noWrap/>
            <w:vAlign w:val="bottom"/>
          </w:tcPr>
          <w:p w14:paraId="32AB2F3C">
            <w:pPr>
              <w:widowControl/>
              <w:jc w:val="center"/>
              <w:textAlignment w:val="bottom"/>
              <w:rPr>
                <w:rFonts w:hint="eastAsia" w:ascii="宋体" w:hAnsi="宋体" w:eastAsia="宋体" w:cs="宋体"/>
                <w:color w:val="auto"/>
                <w:sz w:val="24"/>
                <w:szCs w:val="24"/>
              </w:rPr>
            </w:pPr>
            <w:r>
              <w:rPr>
                <w:rFonts w:hint="eastAsia" w:ascii="宋体" w:hAnsi="宋体" w:eastAsia="宋体" w:cs="宋体"/>
                <w:i w:val="0"/>
                <w:iCs w:val="0"/>
                <w:color w:val="auto"/>
                <w:sz w:val="24"/>
                <w:szCs w:val="24"/>
                <w:vertAlign w:val="baseline"/>
                <w:lang w:val="en-US" w:eastAsia="zh-CN"/>
              </w:rPr>
              <w:t>宫颈细胞病理图像处理软件</w:t>
            </w:r>
          </w:p>
        </w:tc>
        <w:tc>
          <w:tcPr>
            <w:tcW w:w="926" w:type="dxa"/>
            <w:shd w:val="clear" w:color="auto" w:fill="auto"/>
            <w:noWrap/>
            <w:vAlign w:val="center"/>
          </w:tcPr>
          <w:p w14:paraId="256D8F07">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noWrap/>
            <w:vAlign w:val="center"/>
          </w:tcPr>
          <w:p w14:paraId="32F4E022">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套</w:t>
            </w:r>
          </w:p>
        </w:tc>
        <w:tc>
          <w:tcPr>
            <w:tcW w:w="2035" w:type="dxa"/>
            <w:shd w:val="clear" w:color="auto" w:fill="auto"/>
            <w:noWrap/>
            <w:vAlign w:val="center"/>
          </w:tcPr>
          <w:p w14:paraId="018BC41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1903FE75">
            <w:pPr>
              <w:widowControl/>
              <w:ind w:firstLine="240" w:firstLineChars="100"/>
              <w:jc w:val="center"/>
              <w:textAlignment w:val="center"/>
              <w:rPr>
                <w:rFonts w:hint="eastAsia" w:ascii="宋体" w:hAnsi="宋体" w:eastAsia="宋体" w:cs="宋体"/>
                <w:color w:val="auto"/>
                <w:sz w:val="24"/>
                <w:szCs w:val="24"/>
              </w:rPr>
            </w:pPr>
          </w:p>
        </w:tc>
      </w:tr>
      <w:tr w14:paraId="34C94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82" w:type="dxa"/>
            <w:shd w:val="clear" w:color="auto" w:fill="auto"/>
            <w:noWrap/>
            <w:vAlign w:val="center"/>
          </w:tcPr>
          <w:p w14:paraId="2C32FCCF">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2</w:t>
            </w:r>
          </w:p>
        </w:tc>
        <w:tc>
          <w:tcPr>
            <w:tcW w:w="2770" w:type="dxa"/>
            <w:shd w:val="clear" w:color="auto" w:fill="auto"/>
            <w:noWrap/>
            <w:vAlign w:val="bottom"/>
          </w:tcPr>
          <w:p w14:paraId="40DE9B1C">
            <w:pPr>
              <w:widowControl/>
              <w:jc w:val="center"/>
              <w:textAlignment w:val="bottom"/>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病理切片扫描仪</w:t>
            </w:r>
          </w:p>
        </w:tc>
        <w:tc>
          <w:tcPr>
            <w:tcW w:w="926" w:type="dxa"/>
            <w:shd w:val="clear" w:color="auto" w:fill="auto"/>
            <w:noWrap/>
            <w:vAlign w:val="center"/>
          </w:tcPr>
          <w:p w14:paraId="6DD6A304">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noWrap/>
            <w:vAlign w:val="center"/>
          </w:tcPr>
          <w:p w14:paraId="109D8A27">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noWrap/>
            <w:vAlign w:val="center"/>
          </w:tcPr>
          <w:p w14:paraId="641D13A3">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33433EA1">
            <w:pPr>
              <w:widowControl/>
              <w:jc w:val="center"/>
              <w:textAlignment w:val="center"/>
              <w:rPr>
                <w:rFonts w:hint="eastAsia" w:ascii="宋体" w:hAnsi="宋体" w:eastAsia="宋体" w:cs="宋体"/>
                <w:color w:val="auto"/>
                <w:sz w:val="24"/>
                <w:szCs w:val="24"/>
              </w:rPr>
            </w:pPr>
          </w:p>
        </w:tc>
      </w:tr>
      <w:tr w14:paraId="148E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82" w:type="dxa"/>
            <w:shd w:val="clear" w:color="auto" w:fill="auto"/>
            <w:noWrap/>
            <w:vAlign w:val="center"/>
          </w:tcPr>
          <w:p w14:paraId="0D82FB6A">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3</w:t>
            </w:r>
          </w:p>
        </w:tc>
        <w:tc>
          <w:tcPr>
            <w:tcW w:w="2770" w:type="dxa"/>
            <w:shd w:val="clear" w:color="auto" w:fill="auto"/>
            <w:noWrap/>
            <w:vAlign w:val="bottom"/>
          </w:tcPr>
          <w:p w14:paraId="37CD5E05">
            <w:pPr>
              <w:widowControl/>
              <w:jc w:val="center"/>
              <w:textAlignment w:val="bottom"/>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病理取材台</w:t>
            </w:r>
          </w:p>
        </w:tc>
        <w:tc>
          <w:tcPr>
            <w:tcW w:w="926" w:type="dxa"/>
            <w:shd w:val="clear" w:color="auto" w:fill="auto"/>
            <w:noWrap/>
            <w:vAlign w:val="center"/>
          </w:tcPr>
          <w:p w14:paraId="3098FFFD">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noWrap/>
            <w:vAlign w:val="center"/>
          </w:tcPr>
          <w:p w14:paraId="7E4BAAC9">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noWrap/>
            <w:vAlign w:val="center"/>
          </w:tcPr>
          <w:p w14:paraId="077D2DB0">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6812FF70">
            <w:pPr>
              <w:widowControl/>
              <w:jc w:val="center"/>
              <w:textAlignment w:val="center"/>
              <w:rPr>
                <w:rFonts w:hint="eastAsia" w:ascii="宋体" w:hAnsi="宋体" w:eastAsia="宋体" w:cs="宋体"/>
                <w:color w:val="auto"/>
                <w:sz w:val="24"/>
                <w:szCs w:val="24"/>
              </w:rPr>
            </w:pPr>
          </w:p>
        </w:tc>
      </w:tr>
      <w:tr w14:paraId="7575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82" w:type="dxa"/>
            <w:shd w:val="clear" w:color="auto" w:fill="auto"/>
            <w:noWrap/>
            <w:vAlign w:val="center"/>
          </w:tcPr>
          <w:p w14:paraId="56DBC01F">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4</w:t>
            </w:r>
          </w:p>
        </w:tc>
        <w:tc>
          <w:tcPr>
            <w:tcW w:w="2770" w:type="dxa"/>
            <w:shd w:val="clear" w:color="auto" w:fill="auto"/>
            <w:noWrap/>
            <w:vAlign w:val="center"/>
          </w:tcPr>
          <w:p w14:paraId="7DD92168">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生物显微镜</w:t>
            </w:r>
          </w:p>
        </w:tc>
        <w:tc>
          <w:tcPr>
            <w:tcW w:w="926" w:type="dxa"/>
            <w:shd w:val="clear" w:color="auto" w:fill="auto"/>
            <w:noWrap/>
            <w:vAlign w:val="center"/>
          </w:tcPr>
          <w:p w14:paraId="1E2A9A1C">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noWrap/>
            <w:vAlign w:val="center"/>
          </w:tcPr>
          <w:p w14:paraId="5BBF5E64">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noWrap/>
            <w:vAlign w:val="center"/>
          </w:tcPr>
          <w:p w14:paraId="6452BB63">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6B2212EC">
            <w:pPr>
              <w:widowControl/>
              <w:jc w:val="center"/>
              <w:textAlignment w:val="center"/>
              <w:rPr>
                <w:rFonts w:hint="eastAsia" w:ascii="宋体" w:hAnsi="宋体" w:eastAsia="宋体" w:cs="宋体"/>
                <w:color w:val="auto"/>
                <w:sz w:val="24"/>
                <w:szCs w:val="24"/>
              </w:rPr>
            </w:pPr>
          </w:p>
        </w:tc>
      </w:tr>
      <w:tr w14:paraId="6C7E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782" w:type="dxa"/>
            <w:shd w:val="clear" w:color="auto" w:fill="auto"/>
            <w:noWrap/>
            <w:vAlign w:val="center"/>
          </w:tcPr>
          <w:p w14:paraId="4DA0A6EF">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5</w:t>
            </w:r>
          </w:p>
        </w:tc>
        <w:tc>
          <w:tcPr>
            <w:tcW w:w="2770" w:type="dxa"/>
            <w:shd w:val="clear" w:color="auto" w:fill="auto"/>
            <w:vAlign w:val="center"/>
          </w:tcPr>
          <w:p w14:paraId="59680383">
            <w:pPr>
              <w:widowControl/>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eastAsia="zh-CN" w:bidi="ar-SA"/>
              </w:rPr>
              <w:t>HPV分型检测系统</w:t>
            </w:r>
          </w:p>
        </w:tc>
        <w:tc>
          <w:tcPr>
            <w:tcW w:w="926" w:type="dxa"/>
            <w:shd w:val="clear" w:color="auto" w:fill="auto"/>
            <w:vAlign w:val="center"/>
          </w:tcPr>
          <w:p w14:paraId="2A04FC99">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vAlign w:val="center"/>
          </w:tcPr>
          <w:p w14:paraId="474DA027">
            <w:pPr>
              <w:widowControl/>
              <w:jc w:val="center"/>
              <w:textAlignment w:val="center"/>
              <w:rPr>
                <w:rFonts w:hint="eastAsia" w:ascii="宋体" w:hAnsi="宋体" w:eastAsia="宋体" w:cs="宋体"/>
                <w:color w:val="auto"/>
                <w:sz w:val="24"/>
                <w:szCs w:val="24"/>
                <w:lang w:eastAsia="zh-CN"/>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vAlign w:val="center"/>
          </w:tcPr>
          <w:p w14:paraId="5A2E43B2">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68CDB05E">
            <w:pPr>
              <w:widowControl/>
              <w:jc w:val="center"/>
              <w:textAlignment w:val="center"/>
              <w:rPr>
                <w:rFonts w:hint="eastAsia" w:ascii="宋体" w:hAnsi="宋体" w:eastAsia="宋体" w:cs="宋体"/>
                <w:color w:val="auto"/>
                <w:sz w:val="24"/>
                <w:szCs w:val="24"/>
              </w:rPr>
            </w:pPr>
          </w:p>
        </w:tc>
      </w:tr>
      <w:tr w14:paraId="1E24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782" w:type="dxa"/>
            <w:shd w:val="clear" w:color="auto" w:fill="auto"/>
            <w:noWrap/>
            <w:vAlign w:val="center"/>
          </w:tcPr>
          <w:p w14:paraId="7FE34023">
            <w:pPr>
              <w:widowControl/>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rPr>
              <w:t>6</w:t>
            </w:r>
          </w:p>
        </w:tc>
        <w:tc>
          <w:tcPr>
            <w:tcW w:w="2770" w:type="dxa"/>
            <w:shd w:val="clear" w:color="auto" w:fill="auto"/>
            <w:vAlign w:val="center"/>
          </w:tcPr>
          <w:p w14:paraId="3D517875">
            <w:pPr>
              <w:widowControl/>
              <w:jc w:val="center"/>
              <w:textAlignment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2"/>
                <w:sz w:val="24"/>
                <w:szCs w:val="24"/>
                <w:lang w:val="en-US" w:eastAsia="zh-CN" w:bidi="ar-SA"/>
              </w:rPr>
              <w:t>液基薄层细胞制片机</w:t>
            </w:r>
          </w:p>
        </w:tc>
        <w:tc>
          <w:tcPr>
            <w:tcW w:w="926" w:type="dxa"/>
            <w:shd w:val="clear" w:color="auto" w:fill="auto"/>
            <w:vAlign w:val="center"/>
          </w:tcPr>
          <w:p w14:paraId="21C09229">
            <w:pPr>
              <w:widowControl/>
              <w:jc w:val="center"/>
              <w:textAlignment w:val="center"/>
              <w:rPr>
                <w:rFonts w:hint="eastAsia" w:ascii="宋体" w:hAnsi="宋体" w:eastAsia="宋体" w:cs="宋体"/>
                <w:color w:val="auto"/>
                <w:kern w:val="0"/>
                <w:sz w:val="24"/>
                <w:szCs w:val="24"/>
                <w:lang w:val="en-US" w:eastAsia="zh-CN" w:bidi="ar-SA"/>
              </w:rPr>
            </w:pPr>
            <w:r>
              <w:rPr>
                <w:rFonts w:hint="eastAsia" w:ascii="宋体" w:hAnsi="宋体" w:cs="宋体"/>
                <w:i w:val="0"/>
                <w:iCs w:val="0"/>
                <w:color w:val="auto"/>
                <w:sz w:val="24"/>
                <w:szCs w:val="24"/>
                <w:vertAlign w:val="baseline"/>
                <w:lang w:val="en-US" w:eastAsia="zh-CN"/>
              </w:rPr>
              <w:t>1</w:t>
            </w:r>
          </w:p>
        </w:tc>
        <w:tc>
          <w:tcPr>
            <w:tcW w:w="1419" w:type="dxa"/>
            <w:shd w:val="clear" w:color="auto" w:fill="auto"/>
            <w:vAlign w:val="center"/>
          </w:tcPr>
          <w:p w14:paraId="7A0F54F3">
            <w:pPr>
              <w:widowControl/>
              <w:jc w:val="center"/>
              <w:textAlignment w:val="center"/>
              <w:rPr>
                <w:rFonts w:hint="eastAsia" w:ascii="宋体" w:hAnsi="宋体" w:eastAsia="宋体" w:cs="宋体"/>
                <w:color w:val="auto"/>
                <w:kern w:val="0"/>
                <w:sz w:val="24"/>
                <w:szCs w:val="24"/>
                <w:lang w:val="en-US" w:eastAsia="zh-CN" w:bidi="ar-SA"/>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vAlign w:val="center"/>
          </w:tcPr>
          <w:p w14:paraId="14D7138E">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6733FBB1">
            <w:pPr>
              <w:widowControl/>
              <w:jc w:val="center"/>
              <w:textAlignment w:val="center"/>
              <w:rPr>
                <w:rFonts w:hint="eastAsia" w:ascii="宋体" w:hAnsi="宋体" w:eastAsia="宋体" w:cs="宋体"/>
                <w:color w:val="auto"/>
                <w:kern w:val="0"/>
                <w:sz w:val="24"/>
                <w:szCs w:val="24"/>
                <w:lang w:val="en-US" w:eastAsia="zh-CN" w:bidi="ar-SA"/>
              </w:rPr>
            </w:pPr>
          </w:p>
        </w:tc>
      </w:tr>
      <w:tr w14:paraId="6BAD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82" w:type="dxa"/>
            <w:shd w:val="clear" w:color="auto" w:fill="auto"/>
            <w:noWrap/>
            <w:vAlign w:val="center"/>
          </w:tcPr>
          <w:p w14:paraId="3BB1C1AA">
            <w:pPr>
              <w:widowControl/>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rPr>
              <w:t>7</w:t>
            </w:r>
          </w:p>
        </w:tc>
        <w:tc>
          <w:tcPr>
            <w:tcW w:w="2770" w:type="dxa"/>
            <w:shd w:val="clear" w:color="auto" w:fill="auto"/>
            <w:vAlign w:val="center"/>
          </w:tcPr>
          <w:p w14:paraId="0327F886">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医用离心机</w:t>
            </w:r>
          </w:p>
        </w:tc>
        <w:tc>
          <w:tcPr>
            <w:tcW w:w="926" w:type="dxa"/>
            <w:shd w:val="clear" w:color="auto" w:fill="auto"/>
            <w:vAlign w:val="center"/>
          </w:tcPr>
          <w:p w14:paraId="4E9743DA">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vAlign w:val="center"/>
          </w:tcPr>
          <w:p w14:paraId="589682FC">
            <w:pPr>
              <w:widowControl/>
              <w:jc w:val="center"/>
              <w:textAlignment w:val="center"/>
              <w:rPr>
                <w:rFonts w:hint="eastAsia" w:ascii="宋体" w:hAnsi="宋体" w:eastAsia="宋体" w:cs="宋体"/>
                <w:color w:val="auto"/>
                <w:sz w:val="24"/>
                <w:szCs w:val="24"/>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vAlign w:val="center"/>
          </w:tcPr>
          <w:p w14:paraId="3C57F4C1">
            <w:pPr>
              <w:widowControl/>
              <w:jc w:val="center"/>
              <w:textAlignment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5DD44045">
            <w:pPr>
              <w:widowControl/>
              <w:jc w:val="center"/>
              <w:textAlignment w:val="center"/>
              <w:rPr>
                <w:rFonts w:hint="eastAsia" w:ascii="宋体" w:hAnsi="宋体" w:eastAsia="宋体" w:cs="宋体"/>
                <w:color w:val="auto"/>
                <w:sz w:val="24"/>
                <w:szCs w:val="24"/>
              </w:rPr>
            </w:pPr>
          </w:p>
        </w:tc>
      </w:tr>
      <w:tr w14:paraId="1E1F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782" w:type="dxa"/>
            <w:shd w:val="clear" w:color="auto" w:fill="auto"/>
            <w:noWrap/>
            <w:vAlign w:val="center"/>
          </w:tcPr>
          <w:p w14:paraId="59396AA1">
            <w:pPr>
              <w:widowControl/>
              <w:jc w:val="center"/>
              <w:textAlignment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8</w:t>
            </w:r>
          </w:p>
        </w:tc>
        <w:tc>
          <w:tcPr>
            <w:tcW w:w="2770" w:type="dxa"/>
            <w:shd w:val="clear" w:color="auto" w:fill="auto"/>
            <w:noWrap/>
            <w:vAlign w:val="center"/>
          </w:tcPr>
          <w:p w14:paraId="77E2DEDE">
            <w:pPr>
              <w:widowControl/>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2"/>
                <w:sz w:val="24"/>
                <w:szCs w:val="24"/>
                <w:lang w:val="en-US" w:eastAsia="zh-CN" w:bidi="ar-SA"/>
              </w:rPr>
              <w:t>电热恒温培养箱</w:t>
            </w:r>
          </w:p>
        </w:tc>
        <w:tc>
          <w:tcPr>
            <w:tcW w:w="926" w:type="dxa"/>
            <w:shd w:val="clear" w:color="auto" w:fill="auto"/>
            <w:noWrap/>
            <w:vAlign w:val="center"/>
          </w:tcPr>
          <w:p w14:paraId="2D19EBFC">
            <w:pPr>
              <w:widowControl/>
              <w:jc w:val="center"/>
              <w:textAlignment w:val="center"/>
              <w:rPr>
                <w:rFonts w:hint="eastAsia" w:ascii="宋体" w:hAnsi="宋体" w:eastAsia="宋体" w:cs="宋体"/>
                <w:color w:val="auto"/>
                <w:kern w:val="0"/>
                <w:sz w:val="24"/>
                <w:szCs w:val="24"/>
              </w:rPr>
            </w:pPr>
            <w:r>
              <w:rPr>
                <w:rFonts w:hint="eastAsia" w:ascii="宋体" w:hAnsi="宋体" w:cs="宋体"/>
                <w:i w:val="0"/>
                <w:iCs w:val="0"/>
                <w:color w:val="auto"/>
                <w:sz w:val="24"/>
                <w:szCs w:val="24"/>
                <w:vertAlign w:val="baseline"/>
                <w:lang w:val="en-US" w:eastAsia="zh-CN"/>
              </w:rPr>
              <w:t>1</w:t>
            </w:r>
          </w:p>
        </w:tc>
        <w:tc>
          <w:tcPr>
            <w:tcW w:w="1419" w:type="dxa"/>
            <w:shd w:val="clear" w:color="auto" w:fill="auto"/>
            <w:noWrap/>
            <w:vAlign w:val="center"/>
          </w:tcPr>
          <w:p w14:paraId="789EA2FF">
            <w:pPr>
              <w:widowControl/>
              <w:jc w:val="center"/>
              <w:textAlignment w:val="center"/>
              <w:rPr>
                <w:rFonts w:hint="eastAsia" w:ascii="宋体" w:hAnsi="宋体" w:eastAsia="宋体" w:cs="宋体"/>
                <w:color w:val="auto"/>
                <w:kern w:val="0"/>
                <w:sz w:val="24"/>
                <w:szCs w:val="24"/>
              </w:rPr>
            </w:pPr>
            <w:r>
              <w:rPr>
                <w:rFonts w:hint="eastAsia" w:ascii="宋体" w:hAnsi="宋体" w:cs="宋体"/>
                <w:i w:val="0"/>
                <w:iCs w:val="0"/>
                <w:color w:val="auto"/>
                <w:kern w:val="2"/>
                <w:sz w:val="24"/>
                <w:szCs w:val="24"/>
                <w:vertAlign w:val="baseline"/>
                <w:lang w:val="en-US" w:eastAsia="zh-CN" w:bidi="ar-SA"/>
              </w:rPr>
              <w:t>台</w:t>
            </w:r>
          </w:p>
        </w:tc>
        <w:tc>
          <w:tcPr>
            <w:tcW w:w="2035" w:type="dxa"/>
            <w:shd w:val="clear" w:color="auto" w:fill="auto"/>
            <w:noWrap/>
            <w:vAlign w:val="center"/>
          </w:tcPr>
          <w:p w14:paraId="0941ABAC">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016114E2">
            <w:pPr>
              <w:ind w:firstLine="240" w:firstLineChars="100"/>
              <w:jc w:val="center"/>
              <w:rPr>
                <w:rFonts w:hint="eastAsia" w:ascii="宋体" w:hAnsi="宋体" w:eastAsia="宋体" w:cs="宋体"/>
                <w:color w:val="auto"/>
                <w:sz w:val="24"/>
                <w:szCs w:val="24"/>
              </w:rPr>
            </w:pPr>
          </w:p>
        </w:tc>
      </w:tr>
      <w:tr w14:paraId="19AA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82" w:type="dxa"/>
            <w:shd w:val="clear" w:color="auto" w:fill="auto"/>
            <w:noWrap/>
            <w:vAlign w:val="center"/>
          </w:tcPr>
          <w:p w14:paraId="3963860E">
            <w:pPr>
              <w:widowControl/>
              <w:jc w:val="center"/>
              <w:textAlignment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9</w:t>
            </w:r>
          </w:p>
        </w:tc>
        <w:tc>
          <w:tcPr>
            <w:tcW w:w="2770" w:type="dxa"/>
            <w:shd w:val="clear" w:color="auto" w:fill="auto"/>
            <w:noWrap/>
            <w:vAlign w:val="center"/>
          </w:tcPr>
          <w:p w14:paraId="10CF61E5">
            <w:pPr>
              <w:widowControl/>
              <w:jc w:val="center"/>
              <w:textAlignment w:val="center"/>
              <w:rPr>
                <w:rFonts w:hint="eastAsia" w:ascii="宋体" w:hAnsi="宋体" w:eastAsia="宋体" w:cs="宋体"/>
                <w:color w:val="auto"/>
                <w:kern w:val="0"/>
                <w:sz w:val="24"/>
                <w:szCs w:val="24"/>
              </w:rPr>
            </w:pPr>
            <w:r>
              <w:rPr>
                <w:rFonts w:hint="eastAsia" w:ascii="宋体" w:hAnsi="宋体" w:eastAsia="宋体" w:cs="宋体"/>
                <w:color w:val="auto"/>
                <w:kern w:val="2"/>
                <w:sz w:val="24"/>
                <w:szCs w:val="24"/>
                <w:lang w:val="en-US" w:eastAsia="zh-CN" w:bidi="ar-SA"/>
              </w:rPr>
              <w:t>化学品储存柜</w:t>
            </w:r>
          </w:p>
        </w:tc>
        <w:tc>
          <w:tcPr>
            <w:tcW w:w="926" w:type="dxa"/>
            <w:shd w:val="clear" w:color="auto" w:fill="auto"/>
            <w:noWrap/>
            <w:vAlign w:val="center"/>
          </w:tcPr>
          <w:p w14:paraId="26B8E210">
            <w:pPr>
              <w:widowControl/>
              <w:jc w:val="center"/>
              <w:textAlignment w:val="center"/>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w:t>
            </w:r>
          </w:p>
        </w:tc>
        <w:tc>
          <w:tcPr>
            <w:tcW w:w="1419" w:type="dxa"/>
            <w:shd w:val="clear" w:color="auto" w:fill="auto"/>
            <w:noWrap/>
            <w:vAlign w:val="center"/>
          </w:tcPr>
          <w:p w14:paraId="17BD1054">
            <w:pPr>
              <w:widowControl/>
              <w:jc w:val="center"/>
              <w:textAlignment w:val="center"/>
              <w:rPr>
                <w:rFonts w:hint="eastAsia" w:ascii="宋体" w:hAnsi="宋体" w:eastAsia="宋体" w:cs="宋体"/>
                <w:color w:val="auto"/>
                <w:kern w:val="0"/>
                <w:sz w:val="24"/>
                <w:szCs w:val="24"/>
              </w:rPr>
            </w:pPr>
            <w:r>
              <w:rPr>
                <w:rFonts w:hint="eastAsia" w:ascii="宋体" w:hAnsi="宋体" w:cs="宋体"/>
                <w:i w:val="0"/>
                <w:iCs w:val="0"/>
                <w:color w:val="auto"/>
                <w:kern w:val="2"/>
                <w:sz w:val="24"/>
                <w:szCs w:val="24"/>
                <w:vertAlign w:val="baseline"/>
                <w:lang w:val="en-US" w:eastAsia="zh-CN" w:bidi="ar-SA"/>
              </w:rPr>
              <w:t>个</w:t>
            </w:r>
          </w:p>
        </w:tc>
        <w:tc>
          <w:tcPr>
            <w:tcW w:w="2035" w:type="dxa"/>
            <w:shd w:val="clear" w:color="auto" w:fill="auto"/>
            <w:noWrap/>
            <w:vAlign w:val="center"/>
          </w:tcPr>
          <w:p w14:paraId="6DB0BD0F">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附后</w:t>
            </w:r>
          </w:p>
        </w:tc>
        <w:tc>
          <w:tcPr>
            <w:tcW w:w="1386" w:type="dxa"/>
            <w:shd w:val="clear" w:color="auto" w:fill="auto"/>
            <w:vAlign w:val="center"/>
          </w:tcPr>
          <w:p w14:paraId="7BF6372C">
            <w:pPr>
              <w:ind w:firstLine="240" w:firstLineChars="100"/>
              <w:jc w:val="center"/>
              <w:rPr>
                <w:rFonts w:hint="eastAsia" w:ascii="宋体" w:hAnsi="宋体" w:eastAsia="宋体" w:cs="宋体"/>
                <w:color w:val="auto"/>
                <w:kern w:val="0"/>
                <w:sz w:val="24"/>
                <w:szCs w:val="24"/>
              </w:rPr>
            </w:pPr>
          </w:p>
        </w:tc>
      </w:tr>
    </w:tbl>
    <w:p w14:paraId="396581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default" w:ascii="宋体" w:hAnsi="宋体" w:eastAsia="宋体" w:cs="宋体"/>
          <w:b/>
          <w:bCs/>
          <w:color w:val="auto"/>
          <w:sz w:val="24"/>
          <w:szCs w:val="24"/>
          <w:lang w:val="en-US" w:eastAsia="zh-CN"/>
        </w:rPr>
      </w:pPr>
    </w:p>
    <w:p w14:paraId="048B0B39">
      <w:pPr>
        <w:keepNext w:val="0"/>
        <w:keepLines w:val="0"/>
        <w:pageBreakBefore w:val="0"/>
        <w:kinsoku/>
        <w:wordWrap/>
        <w:overflowPunct/>
        <w:topLinePunct w:val="0"/>
        <w:autoSpaceDE/>
        <w:autoSpaceDN/>
        <w:bidi w:val="0"/>
        <w:spacing w:line="360" w:lineRule="auto"/>
        <w:jc w:val="center"/>
        <w:textAlignment w:val="auto"/>
        <w:outlineLvl w:val="9"/>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技术参数</w:t>
      </w:r>
    </w:p>
    <w:tbl>
      <w:tblPr>
        <w:tblStyle w:val="67"/>
        <w:tblW w:w="973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3"/>
        <w:gridCol w:w="1260"/>
        <w:gridCol w:w="7775"/>
      </w:tblGrid>
      <w:tr w14:paraId="3526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E01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12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F5C2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设备名称</w:t>
            </w: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3DD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产品技术要求</w:t>
            </w:r>
          </w:p>
        </w:tc>
      </w:tr>
      <w:tr w14:paraId="31787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CCA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1</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CA3F4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宫颈细胞病理图像处理软件</w:t>
            </w: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95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1、获得宫颈液基细胞图像处理软件二类医疗器械注册证</w:t>
            </w:r>
          </w:p>
        </w:tc>
      </w:tr>
      <w:tr w14:paraId="39045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EFE7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DECF5">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A16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2、▲完整的储存全景切片并判读，宫颈细胞病理切片图像分析时间低于40s。</w:t>
            </w:r>
          </w:p>
        </w:tc>
      </w:tr>
      <w:tr w14:paraId="425D8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F644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876A8">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CD0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3、具有对人工智能诊断报告单进行编辑保存功能，可在标准TBS报告模板中，根据医院情况定制修改报告表头等院内信息，可以设置阴性采图和阳性采图的像素尺寸。</w:t>
            </w:r>
          </w:p>
        </w:tc>
      </w:tr>
      <w:tr w14:paraId="7F184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AAD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B041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737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4、▲自动加载指定文件路径下的指定格式影像文件，自动生成任务，无需人工上传。</w:t>
            </w:r>
          </w:p>
        </w:tc>
      </w:tr>
      <w:tr w14:paraId="22975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90F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D8DD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82C9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5、在最大用户并发数内，登陆系统的时间＜1s；在单一用户登录的情况下，调阅存储量1GB的病理图像时间不超过3s。</w:t>
            </w:r>
          </w:p>
        </w:tc>
      </w:tr>
      <w:tr w14:paraId="37CA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AEB1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8290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088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6、多种微生物及细胞亚型识别功能，产品可识别包括真菌、滴虫、线索、疱疹、放线菌、炎症反应性鳞状上皮细胞细胞、内膜、子宫颈管腺细胞、化生细胞等亚型，并提供亚型列表方便快速定位查看。</w:t>
            </w:r>
          </w:p>
        </w:tc>
      </w:tr>
      <w:tr w14:paraId="3BFFE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3A6B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D862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F8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7、单一算法模型可同时兼容膜式法、沉降法、离心法制片形成的宫颈脱落细胞玻片数字图像的分析。</w:t>
            </w:r>
          </w:p>
        </w:tc>
      </w:tr>
      <w:tr w14:paraId="35C3F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802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7656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4F0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8、提供制片质量，玻片质量评估功能。</w:t>
            </w:r>
          </w:p>
        </w:tc>
      </w:tr>
      <w:tr w14:paraId="409B7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7143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B26BC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38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9、人工自主标注功能，医生可自行在软件内标注感兴趣区域，形成人工标注列表，可通过列表快速定位标注内容。</w:t>
            </w:r>
          </w:p>
        </w:tc>
      </w:tr>
      <w:tr w14:paraId="4D044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C46D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5717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8AD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10、▲可自定义24-100个ROI列表显示数量。</w:t>
            </w:r>
          </w:p>
        </w:tc>
      </w:tr>
      <w:tr w14:paraId="44795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5F8D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4F34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7A6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11、▲可连接扫码枪扫描切片标签打开对应病理扫描图像。</w:t>
            </w:r>
          </w:p>
        </w:tc>
      </w:tr>
      <w:tr w14:paraId="1E018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B292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9BB2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80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12、任务回收站和收藏夹功能，便于管理异常任务及高价值病例。</w:t>
            </w:r>
          </w:p>
        </w:tc>
      </w:tr>
      <w:tr w14:paraId="50A45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72A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C863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B69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13、管理账号可查看机构业务统计，包括任务进度情况、AI分析趋势、质控情况、人工复核情况、累计业务概况、病例分级分布等。</w:t>
            </w:r>
          </w:p>
        </w:tc>
      </w:tr>
      <w:tr w14:paraId="435FC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EF0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587D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D3A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14、▲宫颈液基细胞图像处理真实业务数量不低于100万例（并提供相应的使用数据盖章证明）。</w:t>
            </w:r>
          </w:p>
        </w:tc>
      </w:tr>
      <w:tr w14:paraId="694B3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994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1E84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0608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15、▲支持国产化适配，支持Arm架构，麒麟操作系统，和华为Atlas系统GPU服务器。</w:t>
            </w:r>
          </w:p>
        </w:tc>
      </w:tr>
      <w:tr w14:paraId="34F08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EE16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2</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B60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病理切片扫描仪</w:t>
            </w:r>
          </w:p>
          <w:p w14:paraId="61DF9B0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5AFA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1、一体化、箱式病理切片扫描仪主机。</w:t>
            </w:r>
          </w:p>
        </w:tc>
      </w:tr>
      <w:tr w14:paraId="0855E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5596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388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5EA1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2、▲标准切片扫描数量：全自动扫描，一次性装载切片数量≥200张切片,且可拓展。</w:t>
            </w:r>
          </w:p>
        </w:tc>
      </w:tr>
      <w:tr w14:paraId="36240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7029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988D5">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027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3、▲设备在扫描玻片的同时可装载，卸载切片，无需关停机。</w:t>
            </w:r>
          </w:p>
        </w:tc>
      </w:tr>
      <w:tr w14:paraId="60701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A2C6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343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8FDC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4、▲采用切片夹装载玻片方式上下片以防止上下玻片过程中出现卡片和碎片。</w:t>
            </w:r>
          </w:p>
        </w:tc>
      </w:tr>
      <w:tr w14:paraId="13323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0756">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192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9470">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5、图像采集相机：使用500万像素，全局曝光，含触发功能的CMOS彩色相机进行图像采集。</w:t>
            </w:r>
          </w:p>
        </w:tc>
      </w:tr>
      <w:tr w14:paraId="364F5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953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ABE36">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5102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6、具有图像质量评价和调整功能。用户可根据应用需要调节调节图像质量和色彩。</w:t>
            </w:r>
          </w:p>
        </w:tc>
      </w:tr>
      <w:tr w14:paraId="48E61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1EA36">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AEC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0E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7、▲物镜：配备电动物镜转换器，可同时装载不少于3个物镜。扫描分辨率：0.28μm/pixel(20X标准模式)。</w:t>
            </w:r>
          </w:p>
        </w:tc>
      </w:tr>
      <w:tr w14:paraId="0346E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86A4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3CD3">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71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8、▲明场切片扫描速度：在20X物镜下，最高扫描速度不低4.0cm²/min。</w:t>
            </w:r>
          </w:p>
        </w:tc>
      </w:tr>
      <w:tr w14:paraId="43B7E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2016">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9FE8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A5F6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9、OCR光学识别技术可自动识别切片标签信息，用于文件命名和存储；人工智能算法可自动识别样本扫描区域，支持连续扫描和采样扫描模式，在采样扫描模式下，用户可定义采样区域和采样数量。</w:t>
            </w:r>
          </w:p>
        </w:tc>
      </w:tr>
      <w:tr w14:paraId="46A4B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A70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8AB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FE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10、▲可选择直接输出JPEG/TIFF/SVS等格式全景大图或单视野小图，无需调用OpenSlide等第三方库，方便第三方人工智能接入；可同时保存全景大图和单视野小图，支持用户独立对图像进行处理 。</w:t>
            </w:r>
          </w:p>
        </w:tc>
      </w:tr>
      <w:tr w14:paraId="522E6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0C3B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26B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034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11、▲支持多层扫描模式且层数和层距可自定义设置。</w:t>
            </w:r>
          </w:p>
        </w:tc>
      </w:tr>
      <w:tr w14:paraId="28A1D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7981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80CD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9A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12、浏览模式下可快速切换到该区域的实时镜下视野，方便复核。</w:t>
            </w:r>
          </w:p>
        </w:tc>
      </w:tr>
      <w:tr w14:paraId="2024E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59C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842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24DE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13、扫描软件能提供切片查看、管理、测量的功能，可通过用户/密码登录以及设置应用权 限管理查看，数据分类管理、审计追踪、数据安全管理、提供数据高级检索。</w:t>
            </w:r>
          </w:p>
        </w:tc>
      </w:tr>
      <w:tr w14:paraId="0920C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2A2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3CFD32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0697CC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8FAA99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1C082F6">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B18787E">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0763191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EF6BCD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8BC9BF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A1B27B6">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B39FD1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62F372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38481B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9CFF19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4386746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577C80D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18010D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4D2619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7A9BE1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B84EC3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235F050">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0B9CDDF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6A9D725">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2B04FA6">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3DCBEB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rPr>
            </w:pPr>
            <w:r>
              <w:rPr>
                <w:rFonts w:hint="eastAsia" w:ascii="宋体" w:hAnsi="宋体" w:cs="宋体"/>
                <w:b/>
                <w:bCs/>
                <w:i w:val="0"/>
                <w:iCs w:val="0"/>
                <w:color w:val="auto"/>
                <w:sz w:val="22"/>
                <w:szCs w:val="22"/>
                <w:u w:val="none"/>
                <w:lang w:val="en-US" w:eastAsia="zh-CN"/>
              </w:rPr>
              <w:t>3</w:t>
            </w:r>
          </w:p>
        </w:tc>
        <w:tc>
          <w:tcPr>
            <w:tcW w:w="1260" w:type="dxa"/>
            <w:vMerge w:val="restart"/>
            <w:tcBorders>
              <w:top w:val="single" w:color="000000" w:sz="4" w:space="0"/>
              <w:left w:val="single" w:color="000000" w:sz="4" w:space="0"/>
              <w:bottom w:val="nil"/>
              <w:right w:val="single" w:color="000000" w:sz="4" w:space="0"/>
            </w:tcBorders>
            <w:shd w:val="clear" w:color="auto" w:fill="auto"/>
            <w:noWrap/>
            <w:vAlign w:val="center"/>
          </w:tcPr>
          <w:p w14:paraId="139F4A2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B294175">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98B7A3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1C0F1E5">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31D018D">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0610F7C">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B6633B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573C3D5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0ACE82E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02C0B4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091826A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33F9BD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0CBFD9C">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BF23014">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49B2811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556DEBC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02FEE19">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4147D60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7CC65CC5">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DB9D01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19397710">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6186DC9">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78F804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2CF0574E">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0D7EF3CE">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病理取材台</w:t>
            </w:r>
          </w:p>
          <w:p w14:paraId="16F5921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07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1、规格：≥1800*800*2000mm，台面厚度≥ 2mm，整体框架 304 不锈钢材质，材料厚度≥ 1.5mm，表面去除光污染。</w:t>
            </w:r>
          </w:p>
        </w:tc>
      </w:tr>
      <w:tr w14:paraId="19D81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D3FC">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9A3320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468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2、台面一次成型，四周无焊缝焊疤和裂缝。</w:t>
            </w:r>
          </w:p>
        </w:tc>
      </w:tr>
      <w:tr w14:paraId="13DD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9C7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FD061C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245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3、负压排气设计，腰部抽风，先进的气体导流系统，及时排除台面有害气体。</w:t>
            </w:r>
          </w:p>
        </w:tc>
      </w:tr>
      <w:tr w14:paraId="50D8A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C8E6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4617623">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334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具有强排风系统模式，气流模式：工作区气流向下，无漩涡，无向上气流及死点。下降气流流速0.25～0.50(m/s)，流入气流流速≥0.5(m/s)；（须提供第三方检测机构出具的取材台检测报告，并加盖投标单位公章予以佐证（附全国认证认可信息公共服务平台官网验证查询截图）。</w:t>
            </w:r>
          </w:p>
        </w:tc>
      </w:tr>
      <w:tr w14:paraId="39B4A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A2B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B79C36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88D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5、照明系统及紫外线杀菌系统，照度平均值≥650(lx)、紫外线≥400(mW/m²)。须提供第三方检测机构出具的取材台检测报告，并加盖投标单位公章予以佐证（附全国认证认可信息公共服务平台官网验证查询截图）。</w:t>
            </w:r>
          </w:p>
        </w:tc>
      </w:tr>
      <w:tr w14:paraId="0EFC7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38A9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0ECC40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79C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6、成像专用光源组件。</w:t>
            </w:r>
          </w:p>
        </w:tc>
      </w:tr>
      <w:tr w14:paraId="588E6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35FF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DE43D1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FB8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7、磁性吸附工具架。</w:t>
            </w:r>
          </w:p>
        </w:tc>
      </w:tr>
      <w:tr w14:paraId="7ECDC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46C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A97E35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87F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8.进口骨组织粉碎机，0.5马力，50HZ，全304 不锈钢内胆，性能可靠，保证下水通。</w:t>
            </w:r>
          </w:p>
        </w:tc>
      </w:tr>
      <w:tr w14:paraId="48A55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1F3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816A76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182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9、工作站整体电路保护组件。</w:t>
            </w:r>
          </w:p>
        </w:tc>
      </w:tr>
      <w:tr w14:paraId="40983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94AC">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7E45F7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FD4A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10、套全304 不锈钢取材工作站专用冷热水龙头。</w:t>
            </w:r>
          </w:p>
        </w:tc>
      </w:tr>
      <w:tr w14:paraId="4543D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DFF9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DC98BA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14CA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11、套全304 不锈钢取材工作站专用小喷枪，伸缩距离达到1米以上。</w:t>
            </w:r>
          </w:p>
        </w:tc>
      </w:tr>
      <w:tr w14:paraId="72691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1CD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30DD7C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D40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12、台面自动冲洗装置，304 不锈钢喷嘴，内部设计有防堵装置，可连续长时间不间断冲刷台面，保证台面上的福尔马林溶液以最快的速度被冲入下水道。</w:t>
            </w:r>
          </w:p>
        </w:tc>
      </w:tr>
      <w:tr w14:paraId="60D84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8C3CC">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37687E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BBA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13、配备至少2套多功能五孔插座。</w:t>
            </w:r>
          </w:p>
        </w:tc>
      </w:tr>
      <w:tr w14:paraId="3ABC8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8741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90D81E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1BC1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设备电气安全性能，保证使用人员的安全。须满足：带电体与外露金属绝缘电阻≥2MΩ，在1500V试验电压下持续≥1min无击穿或闪络现象。提供第三方检测机构出具的取材台检测报告，并加盖投标单位公章予以佐证（附全国认证认可信息公共服务平台官网验证查询截图）。</w:t>
            </w:r>
          </w:p>
        </w:tc>
      </w:tr>
      <w:tr w14:paraId="4BC9D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E70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197897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2B7F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15、取材台专用气流控制装置：产品满足档位风量260-280m³/h在阀前静压200Pa、250Pa、300Pa情况下，风量偏差≤±6%；档位风量500-525 m³/h在阀前静压200Pa、250Pa、300Pa情况下，风量偏差≤±6%；档位风量625-675 m³/h在阀前静压200Pa、250Pa、300Pa情况下，风量偏差≤±6%；提供第三方检测机构出具的取材台检测报告，并加盖投标单位公章予以佐证（附全国认证认可信息公共服务平台官网验证查询截图）。</w:t>
            </w:r>
          </w:p>
        </w:tc>
      </w:tr>
      <w:tr w14:paraId="5AF6C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07C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3A18A0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70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16.、产品外形尺寸偏差±5%。产品外观要求：焊接件应无脱焊、虚焊、错位，夹渣、气孔等现象，焊疤表面波纹应均匀、高低之差应不大于 1mm。在接触人体或收藏物品部位应无毛刺、刃口、棱角。取材台金属表面要求：平整度：门和桌面≤0.2(mm)，粗糙度 Ra≤1.25μm。抗盐雾度 200H 内 1.5mm 以下锈点≤20 点/dm²,其中≥1.0mm 锈点不超过 5 点。（须提供第三方检测机构出具的取材台检测报告，并加盖投标单位公章予以佐证（附全国认证认可信息公共服务平台官网验证查询截图）。</w:t>
            </w:r>
          </w:p>
        </w:tc>
      </w:tr>
      <w:tr w14:paraId="2E75A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B75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EFA4D7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FC03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17、病理标本高清成像系统：</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17.1、成像像素：≥2426万；</w:t>
            </w:r>
          </w:p>
        </w:tc>
      </w:tr>
      <w:tr w14:paraId="15E86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187F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CDFF5B8">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C8D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17.2、传感器尺寸：≥22.3*14.9（mm）；</w:t>
            </w:r>
          </w:p>
        </w:tc>
      </w:tr>
      <w:tr w14:paraId="2866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873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525AF7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DB6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17.3、最高分辨率：≥6000*4000；</w:t>
            </w:r>
          </w:p>
        </w:tc>
      </w:tr>
      <w:tr w14:paraId="2D8DB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9542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5034BE8">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C04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17.4、光学变焦：≥7.5倍（18-135）；</w:t>
            </w:r>
          </w:p>
        </w:tc>
      </w:tr>
      <w:tr w14:paraId="574F1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39F1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28F6488">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860E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17.5、全高清摄像：≥1080P；</w:t>
            </w:r>
          </w:p>
        </w:tc>
      </w:tr>
      <w:tr w14:paraId="36A87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757D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E976C5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6D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17.6、最大光圈：≥F3.5-F5.6；</w:t>
            </w:r>
          </w:p>
        </w:tc>
      </w:tr>
      <w:tr w14:paraId="60962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00DE0">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A85187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028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17.7、控制系统：电脑、手动、脚踏板无线控制；</w:t>
            </w:r>
          </w:p>
        </w:tc>
      </w:tr>
      <w:tr w14:paraId="548C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664F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62B65499">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8F4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17.8、支架上下调节范围：≥600mm；</w:t>
            </w:r>
          </w:p>
        </w:tc>
      </w:tr>
      <w:tr w14:paraId="1903C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B60B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nil"/>
              <w:right w:val="single" w:color="000000" w:sz="4" w:space="0"/>
            </w:tcBorders>
            <w:shd w:val="clear" w:color="auto" w:fill="auto"/>
            <w:noWrap/>
            <w:vAlign w:val="center"/>
          </w:tcPr>
          <w:p w14:paraId="163728F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A08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17.9、软件功能：软件可快速进行实时标注和测量，支持实时取景显示，支持文字输入，自动定标、自动测量面积、周长、长度、多重标注、切割标注。可与医院HIS、PACS连接。</w:t>
            </w:r>
          </w:p>
        </w:tc>
      </w:tr>
      <w:tr w14:paraId="5136F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CF26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4</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6190">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生物显微镜</w:t>
            </w:r>
          </w:p>
          <w:p w14:paraId="1A92F70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EE59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1、光学系统：采用无限远校正光学系统，可进行明场观察。</w:t>
            </w:r>
          </w:p>
        </w:tc>
      </w:tr>
      <w:tr w14:paraId="19650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CF1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AA4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6D3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2、▲物镜齐焦距离≤45mm。</w:t>
            </w:r>
          </w:p>
        </w:tc>
      </w:tr>
      <w:tr w14:paraId="5AFC7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57DF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F122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F3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3、调焦：载物台垂直移动，行程≤25mm，带聚焦粗调限位器，粗调旋钮扭矩可调，微调最小调节精度≤1微米。</w:t>
            </w:r>
          </w:p>
        </w:tc>
      </w:tr>
      <w:tr w14:paraId="40EE3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A21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0AC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2BA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4、▲照明装置：内置透射光柯勒照明器，高亮度高色彩还原LED光源，亮度最高支持26人共览（提供实物及装配图片）。</w:t>
            </w:r>
          </w:p>
        </w:tc>
      </w:tr>
      <w:tr w14:paraId="70EC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7298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9F3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EC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5、▲具有光强预设按钮、第二代光强管理按钮，光强通过预设后，转换物镜光强随之变化，无需再次进行调节，机身按钮≤4个，保证操作便利性。</w:t>
            </w:r>
          </w:p>
        </w:tc>
      </w:tr>
      <w:tr w14:paraId="113B1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8607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3CB5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410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r>
              <w:rPr>
                <w:rFonts w:ascii="仿宋" w:hAnsi="仿宋" w:eastAsia="仿宋" w:cs="仿宋"/>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物镜转盘：≥六孔编码物镜转盘，与软件连接后能够保存物镜信息，随物镜转换能够自动校准标尺。</w:t>
            </w:r>
          </w:p>
        </w:tc>
      </w:tr>
      <w:tr w14:paraId="7B93D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E1B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2558">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81E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r>
              <w:rPr>
                <w:rFonts w:ascii="仿宋" w:hAnsi="仿宋" w:eastAsia="仿宋" w:cs="仿宋"/>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主机观察筒：可倾斜三目观察筒，倾角为5—35°，三档分光，视野数≥26.5mm。</w:t>
            </w:r>
          </w:p>
        </w:tc>
      </w:tr>
      <w:tr w14:paraId="4534D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0447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53D9">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05C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8、物镜：万能平场消色差物镜</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4x(N.A.≥0.1，W.D.≥18.5mm)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10x(N.A.≥0.25，W.D.≥10.6mm)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20x(N.A.≥0.4，W.D.≥1.2mm，spring)</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40x(N.A.≥0.65，W.D.≥0.6mm，spring)</w:t>
            </w:r>
          </w:p>
        </w:tc>
      </w:tr>
      <w:tr w14:paraId="662CF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36EF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6E69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78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9、▲主机目镜：10X宽视场目镜，超宽视野数≥26.5mm,带屈光度校准，附目镜视野数≥22mm。</w:t>
            </w:r>
          </w:p>
        </w:tc>
      </w:tr>
      <w:tr w14:paraId="73F91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5B2E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D80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C3B0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10、载物台：钢丝传动油式载物台，运行静音无磨损，无突出的棱角和齿轮，避免意外误伤和划伤手指带有旋转装置和扭矩调节装置，高抗磨损性陶瓷覆盖层载物台。</w:t>
            </w:r>
          </w:p>
        </w:tc>
      </w:tr>
      <w:tr w14:paraId="51E1C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7225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2AEF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B022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11、聚光镜：通用低倍聚光镜，可满足1.25X-100X观察。</w:t>
            </w:r>
          </w:p>
        </w:tc>
      </w:tr>
      <w:tr w14:paraId="763F1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B6D5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3DF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7F7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12、▲共览附件：五人共览，包括一个主机观察筒和四个共览观察筒，各观察筒之间观察到的图像为高度一致的图像。</w:t>
            </w:r>
          </w:p>
        </w:tc>
      </w:tr>
      <w:tr w14:paraId="3B244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43C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FB93">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400E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13、各观察筒瞳距、屈光度可调节，可达到最佳人体舒适度，避免各观察者因瞳距、视力不同而影响观察效果。</w:t>
            </w:r>
          </w:p>
        </w:tc>
      </w:tr>
      <w:tr w14:paraId="55E0B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699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7CE3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26F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14、▲具有LED光标指指针，红绿两色可选，亮度可调，所有观察头均有一致指示。</w:t>
            </w:r>
          </w:p>
        </w:tc>
      </w:tr>
      <w:tr w14:paraId="1B5E9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3CCB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8F00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B7AE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15、带原厂培训合格证书工程师≥2名，售后问题及时解决。</w:t>
            </w:r>
          </w:p>
        </w:tc>
      </w:tr>
      <w:tr w14:paraId="665AE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2FD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2293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92C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16、提供广审版彩页及广告许可决定证书以供查验。</w:t>
            </w:r>
          </w:p>
        </w:tc>
      </w:tr>
      <w:tr w14:paraId="55951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0C75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5</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A6B9E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HPV分型检测系统</w:t>
            </w:r>
          </w:p>
          <w:p w14:paraId="1208250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C2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1、检测原理：基于PCR扩增技术实现HPV DNA核酸分型检测。</w:t>
            </w:r>
          </w:p>
        </w:tc>
      </w:tr>
      <w:tr w14:paraId="13A90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3A47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B686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268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2、全自动分子检测平台：加入样本后设备全程自动化完成核酸提取、纯化、扩增和基因分型检测，全程无需人工干预。</w:t>
            </w:r>
          </w:p>
        </w:tc>
      </w:tr>
      <w:tr w14:paraId="43096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A760">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7F40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AE4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3、▲检测系统一体机设计，单台检测设备满足全部检测需求，系统能实现样本进-结果出的全程无人工干预的自动化一体化HPV DNA分型检测。</w:t>
            </w:r>
          </w:p>
        </w:tc>
      </w:tr>
      <w:tr w14:paraId="78837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AA57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C2E9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8705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4、▲核酸检测全程密闭，不出现核酸在系统间或者反应管（孔）间的转移。</w:t>
            </w:r>
          </w:p>
        </w:tc>
      </w:tr>
      <w:tr w14:paraId="5353D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6808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C727D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2C6C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5、检测时间：不超过4小时。</w:t>
            </w:r>
          </w:p>
        </w:tc>
      </w:tr>
      <w:tr w14:paraId="4854F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2B0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E360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FB4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6、通量：检测通量比较灵活并适宜医院需求，可以实现24样本一批。</w:t>
            </w:r>
          </w:p>
        </w:tc>
      </w:tr>
      <w:tr w14:paraId="5B45B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AADF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83BA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9AC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7、实现HPV分型检测，同时可以检测HPV高危分型和低危分型检测，高危分型能力≥18种；低危分型能力≥6种。</w:t>
            </w:r>
          </w:p>
        </w:tc>
      </w:tr>
      <w:tr w14:paraId="265DC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848D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40CF9">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163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8、试剂盒检测性能：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检测HPV阳性参考品，检测结果的阳性符合率为100%；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检测HPV阴性参考品，检测结果的阴性符合率为100%；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批内精密度和批间精密度：实验室做批内精密度评估和批间精密度评估时，分析从检测仪器直接得到的测定数据，要求检测HPV精密度参考品，重复10次，结果均可以检出对应亚型。</w:t>
            </w:r>
          </w:p>
        </w:tc>
      </w:tr>
      <w:tr w14:paraId="1354D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4AAD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7136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89FD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9、试剂检测限：能稳定检出的HPV的病原体最小拷贝数为10³copies/ml。</w:t>
            </w:r>
          </w:p>
        </w:tc>
      </w:tr>
      <w:tr w14:paraId="27053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7F35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80FF6">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655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10、设备可具备紫外照射消毒灭菌功能。</w:t>
            </w:r>
          </w:p>
        </w:tc>
      </w:tr>
      <w:tr w14:paraId="7FBA6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473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8110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B88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11、数据结果可追溯：全自动对检测结果进行拍照存储，保证结果可以进行回溯。</w:t>
            </w:r>
          </w:p>
        </w:tc>
      </w:tr>
      <w:tr w14:paraId="120E0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298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B769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A6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每个样本检测过程均进行单样本独立质控，包括内参基因的引物和探针设计，保证样本制备提取纯化处于质量控制外，还包括空白探针以及阴性对照探针对单个样本进行设置空白和阴性对照，保证结果可靠。</w:t>
            </w:r>
          </w:p>
        </w:tc>
      </w:tr>
      <w:tr w14:paraId="1132E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B4FE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A506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E76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13、▲内参质控有梯度浓度设置，可以监控样本细胞的采集质量。</w:t>
            </w:r>
          </w:p>
        </w:tc>
      </w:tr>
      <w:tr w14:paraId="6233A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18A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F073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473D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14、数据管理：样品管上的条形码可被芯片控制仪自动识别，连接医院LIS系统，轻松实现检测结果的自动化存储与调用。</w:t>
            </w:r>
          </w:p>
        </w:tc>
      </w:tr>
      <w:tr w14:paraId="34684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8F51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3DB0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460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15、▲实验过程中无反应物核酸的开盖以及核酸在不同设备间的转移，防止试验过程中因此产生的气溶胶污染影响检测结果。</w:t>
            </w:r>
          </w:p>
        </w:tc>
      </w:tr>
      <w:tr w14:paraId="3CB3C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D0BE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A766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EC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16、▲生物废物处理：试验过程中加注的试剂、样本、反应过程产生的反应物质均自动封存在反应体系中，无生物废液的排出，防止废液外排产生的生物废物污染。</w:t>
            </w:r>
          </w:p>
        </w:tc>
      </w:tr>
      <w:tr w14:paraId="0CBBA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C9011">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6</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72558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液基薄层细胞制片机</w:t>
            </w:r>
          </w:p>
          <w:p w14:paraId="6E249CC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16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1、▲沉降式液基细胞学制片染色系统，可同时处理24张标本，制片染色时间≤33分钟</w:t>
            </w:r>
          </w:p>
        </w:tc>
      </w:tr>
      <w:tr w14:paraId="4D9BF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E28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FF0D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33C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2、适用于宫颈标本、痰标本、胸腹水标本、尿液标本、细针穿刺标本、浆膜腔积液、脑积液</w:t>
            </w:r>
          </w:p>
        </w:tc>
      </w:tr>
      <w:tr w14:paraId="66401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A6C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7596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7EB4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3、设备制片染色过程中由4根独立染色针转移工作避免交叉污染，制片染色过程中为了防止因离心旋转导致细胞分布不均及重叠，细胞始终处于自然沉淀及静止状态。</w:t>
            </w:r>
          </w:p>
        </w:tc>
      </w:tr>
      <w:tr w14:paraId="6784D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8B387">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2ED69">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B60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4、沉降式宫颈刷及耗材一次性使用避免交叉污染，一次性取到细胞≥140万个,采集简单无伤害. 同一标本可重复制片同质量标本10张同质量细胞薄片。</w:t>
            </w:r>
          </w:p>
        </w:tc>
      </w:tr>
      <w:tr w14:paraId="71577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642C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CD16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77C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5、细胞呈单层分布且分布直径1.3cm，分布均匀、集中不易重叠遮盖；细胞贴附牢固，不易脱落。</w:t>
            </w:r>
          </w:p>
        </w:tc>
      </w:tr>
      <w:tr w14:paraId="1B583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F371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F0AF8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9F5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6、细胞分离液(梯度离心液),去除大部分炎症细胞，减少遮挡；异常细胞比重较大，通过梯度离心、自然沉降能有效选择、集中有诊断价值的细胞。通过过滤网过滤标本可清除粘液杂质等.</w:t>
            </w:r>
          </w:p>
        </w:tc>
      </w:tr>
      <w:tr w14:paraId="190A5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F3F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5C39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36845">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7、染色试剂包装规格为200ML/瓶，玻片为防载脱玻片，试剂盒内配有:宫颈刷、保存液、缓冲液、苏木素EA染色液、过滤网、防载脱玻片、15ML离心管、3ML吸管、</w:t>
            </w:r>
          </w:p>
        </w:tc>
      </w:tr>
      <w:tr w14:paraId="3F01C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7BD2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20AA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96E1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8、▲Windows操作系统配有8寸液晶操作屏（无需单独配备电脑），制片染色过程全程监控,每个标本制片染色时间单独统计,设备自带故障报警、急停键、一键清洗等功能。</w:t>
            </w:r>
          </w:p>
        </w:tc>
      </w:tr>
      <w:tr w14:paraId="49F48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D70C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CA45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15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9、4根独立染色针单独染色、管路液路分液系统避免交差污染，耗材一次性使用，独立耗材，制片染色过程中无需人工接触。</w:t>
            </w:r>
          </w:p>
        </w:tc>
      </w:tr>
      <w:tr w14:paraId="5AE19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3C24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448F7">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018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10、▲过夜封针系统，保证染针过夜及节假期间的干净防止堵塞</w:t>
            </w:r>
          </w:p>
        </w:tc>
      </w:tr>
      <w:tr w14:paraId="7D3EA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4313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D01E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487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11、多种运行程序，windows操作系统可选择快速制片染色及标准制片染色两种运行程序，染色针镀膜处理，防腐防堵，精准加液，保证染色效果。</w:t>
            </w:r>
          </w:p>
        </w:tc>
      </w:tr>
      <w:tr w14:paraId="61E8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03500">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5874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0D3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12、设备自带盐酸酒精分化功能，使分化过程中细胞核更通透，便于诊断，配有液基细胞学图文系统，图像采集系统及SONY摄像头。</w:t>
            </w:r>
          </w:p>
        </w:tc>
      </w:tr>
      <w:tr w14:paraId="68A1C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0750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7</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E614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医用离心机</w:t>
            </w: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202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1、最高转速：6000rpm ，最大相对离心力：5502xg，转速精度：±10rpm</w:t>
            </w:r>
          </w:p>
        </w:tc>
      </w:tr>
      <w:tr w14:paraId="206E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D7B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3D97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6CA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2、驱动与控制：微电脑控制；无碳刷交流变频电机驱动，使用专用驱动模块。</w:t>
            </w:r>
          </w:p>
        </w:tc>
      </w:tr>
      <w:tr w14:paraId="36482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2D5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56C82">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F5F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3、大屏幕高清真彩显示屏，全触摸操作界面；直接设定：工作程序、离心力、转速、离心时间、升降速且与转子型号同步显示</w:t>
            </w:r>
          </w:p>
        </w:tc>
      </w:tr>
      <w:tr w14:paraId="72A99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7FE5">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ACE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A45B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4、工作程序选择：20组；升降速档：15加速档/15减速档。</w:t>
            </w:r>
          </w:p>
        </w:tc>
      </w:tr>
      <w:tr w14:paraId="20357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30CC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37DA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ED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5、具有定速计时（at set rpm）、启动计时、点动即瞬时离心（short spin）功能。</w:t>
            </w:r>
          </w:p>
        </w:tc>
      </w:tr>
      <w:tr w14:paraId="34D13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208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F1571">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2DD9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6、差速离心：预留5个差速离心程序。</w:t>
            </w:r>
          </w:p>
        </w:tc>
      </w:tr>
      <w:tr w14:paraId="35B62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6A12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113B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E7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7、RCF设定与显示：触屏直接设定离心力、转速且同屏显示。</w:t>
            </w:r>
          </w:p>
        </w:tc>
      </w:tr>
      <w:tr w14:paraId="5CC49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F2A6C">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FA4AC">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98A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8、定时范围1s～99H59min59s/连续/瞬时离心。</w:t>
            </w:r>
          </w:p>
        </w:tc>
      </w:tr>
      <w:tr w14:paraId="6DABE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250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19F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C1E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9、噪音≤60dB。</w:t>
            </w:r>
          </w:p>
        </w:tc>
      </w:tr>
      <w:tr w14:paraId="3E8C6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AD8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71D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A5D8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10、运行中可随时更改参数，无需停机。</w:t>
            </w:r>
          </w:p>
        </w:tc>
      </w:tr>
      <w:tr w14:paraId="23E6B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A7B4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8B82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51F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11、安全措施：钢制结构，不锈钢离心腔；电动安全门锁；不平衡保护，出错或不平衡时，声音信号提示；自动失衡识别。</w:t>
            </w:r>
          </w:p>
        </w:tc>
      </w:tr>
      <w:tr w14:paraId="6B6D5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5F58E">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873C5">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E75F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12、下沉式排气，安装过滤装置，预防离心过程中气溶胶污染。</w:t>
            </w:r>
          </w:p>
        </w:tc>
      </w:tr>
      <w:tr w14:paraId="2B3F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9F9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0578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950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13、最快升降速时间≤25秒。</w:t>
            </w:r>
          </w:p>
        </w:tc>
      </w:tr>
      <w:tr w14:paraId="136F9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8EAD">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39AD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635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14、试液温升：运转20分钟试液温升﹤10 ℃。</w:t>
            </w:r>
          </w:p>
        </w:tc>
      </w:tr>
      <w:tr w14:paraId="0A31D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1D82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E5F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8A3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15、具有倒计时功能，以秒为单位倒计时，实时显示剩余工作时间。</w:t>
            </w:r>
          </w:p>
        </w:tc>
      </w:tr>
      <w:tr w14:paraId="66ACF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BDF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211F">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D8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16、具有SOFT软刹车功能和多级阻尼减震设计。</w:t>
            </w:r>
          </w:p>
        </w:tc>
      </w:tr>
      <w:tr w14:paraId="03335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EDC1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A70B9">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0C1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17、配置：N01水平转子体： 100mlx4   4500rpm  3645xg</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适配器：100mlx4  50mlx8  15mlx24</w:t>
            </w:r>
          </w:p>
        </w:tc>
      </w:tr>
      <w:tr w14:paraId="575D3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A4BB">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8</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7BE56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电热恒温培养箱</w:t>
            </w:r>
          </w:p>
          <w:p w14:paraId="207AFF3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7D9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1、外形尺寸：≥725*809*830mm；工作区尺寸：≥598*548*638mm。</w:t>
            </w:r>
          </w:p>
        </w:tc>
      </w:tr>
      <w:tr w14:paraId="4C963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88A14">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62DC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6CFF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2、温度选择范围：RT+5-85℃。</w:t>
            </w:r>
          </w:p>
        </w:tc>
      </w:tr>
      <w:tr w14:paraId="1AF97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3D2F">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C376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330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3、设备容积；≥200L。</w:t>
            </w:r>
          </w:p>
        </w:tc>
      </w:tr>
      <w:tr w14:paraId="3A2E5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5EE0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1E365">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144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4、温度显示精度：0.1℃；温度均匀性：±2℃；温度波动度：±1℃。</w:t>
            </w:r>
          </w:p>
        </w:tc>
      </w:tr>
      <w:tr w14:paraId="3FC6D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688B0">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3CA5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8A79">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5、箱体侧面标配测试孔，可根据实际需求检测工作室内温度。</w:t>
            </w:r>
          </w:p>
        </w:tc>
      </w:tr>
      <w:tr w14:paraId="097F0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BA38">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1017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308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6、采用PID微电脑控温技术，多点校温，温度更精准。</w:t>
            </w:r>
          </w:p>
        </w:tc>
      </w:tr>
      <w:tr w14:paraId="4E5BE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B92B">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A086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01F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7、3.5寸显示屏，简单易懂易操作，便于观察。</w:t>
            </w:r>
          </w:p>
        </w:tc>
      </w:tr>
      <w:tr w14:paraId="2A223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87A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B85BD0">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6221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8、二类医疗器械注册证。</w:t>
            </w:r>
          </w:p>
        </w:tc>
      </w:tr>
      <w:tr w14:paraId="728D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2E85A">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1E0BE">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DCD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9、舱体采用不锈钢面板材质，多层可调节搁架，防滑脱隔板设计，方便装载。箱体外部为碳钢喷塑。</w:t>
            </w:r>
          </w:p>
        </w:tc>
      </w:tr>
      <w:tr w14:paraId="39924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3D881">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2E12D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5889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10、保温层采用硅酸铝棉，保温性能好，减少受外界环境温度的影响。</w:t>
            </w:r>
          </w:p>
        </w:tc>
      </w:tr>
      <w:tr w14:paraId="4B688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AED42">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39FAB">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1D02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11、单层门透视窗结构，采用硅胶密封条贴合密封设计，便于观察设备内部情况。</w:t>
            </w:r>
          </w:p>
        </w:tc>
      </w:tr>
      <w:tr w14:paraId="5F04B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4E033">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8F7E4">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8D2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12、具有限温报警系统功能，超过限制温度即自动中断，防止温度过高对仪器产生损害。</w:t>
            </w:r>
          </w:p>
        </w:tc>
      </w:tr>
      <w:tr w14:paraId="3843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B0360">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6F25A">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1A31A">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13、具有定时功能，声光报警提示，0-99.9H；具备开门报警，超温报警功能</w:t>
            </w:r>
          </w:p>
        </w:tc>
      </w:tr>
      <w:tr w14:paraId="7961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0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6854C">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5505D632">
            <w:pPr>
              <w:keepNext w:val="0"/>
              <w:keepLines w:val="0"/>
              <w:widowControl/>
              <w:suppressLineNumbers w:val="0"/>
              <w:jc w:val="both"/>
              <w:textAlignment w:val="center"/>
              <w:rPr>
                <w:rFonts w:hint="eastAsia" w:ascii="宋体" w:hAnsi="宋体" w:eastAsia="宋体" w:cs="宋体"/>
                <w:b/>
                <w:bCs/>
                <w:i w:val="0"/>
                <w:iCs w:val="0"/>
                <w:color w:val="auto"/>
                <w:kern w:val="0"/>
                <w:sz w:val="22"/>
                <w:szCs w:val="22"/>
                <w:u w:val="none"/>
                <w:lang w:val="en-US" w:eastAsia="zh-CN" w:bidi="ar"/>
              </w:rPr>
            </w:pPr>
          </w:p>
          <w:p w14:paraId="3925C6C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9</w:t>
            </w:r>
          </w:p>
        </w:tc>
        <w:tc>
          <w:tcPr>
            <w:tcW w:w="12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066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90D914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3E3C6C2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607888F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4B42AB73">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p>
          <w:p w14:paraId="453CDD9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化学品储存柜</w:t>
            </w:r>
          </w:p>
          <w:p w14:paraId="26833FF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5DE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1、其中2</w:t>
            </w:r>
            <w:r>
              <w:rPr>
                <w:rFonts w:hint="eastAsia" w:ascii="宋体" w:hAnsi="宋体" w:cs="宋体"/>
                <w:i w:val="0"/>
                <w:iCs w:val="0"/>
                <w:color w:val="auto"/>
                <w:kern w:val="0"/>
                <w:sz w:val="22"/>
                <w:szCs w:val="22"/>
                <w:u w:val="none"/>
                <w:lang w:val="en-US" w:eastAsia="zh-CN" w:bidi="ar"/>
              </w:rPr>
              <w:t>个</w:t>
            </w:r>
            <w:r>
              <w:rPr>
                <w:rFonts w:hint="eastAsia" w:ascii="宋体" w:hAnsi="宋体" w:eastAsia="宋体" w:cs="宋体"/>
                <w:i w:val="0"/>
                <w:iCs w:val="0"/>
                <w:color w:val="auto"/>
                <w:kern w:val="0"/>
                <w:sz w:val="22"/>
                <w:szCs w:val="22"/>
                <w:u w:val="none"/>
                <w:lang w:val="en-US" w:eastAsia="zh-CN" w:bidi="ar"/>
              </w:rPr>
              <w:t>要求：壳体尺寸(宽*深*高）（mm）：≤600*460*1650，净重(KG)：≤78。另外2</w:t>
            </w:r>
            <w:r>
              <w:rPr>
                <w:rFonts w:hint="eastAsia" w:ascii="宋体" w:hAnsi="宋体" w:cs="宋体"/>
                <w:i w:val="0"/>
                <w:iCs w:val="0"/>
                <w:color w:val="auto"/>
                <w:kern w:val="0"/>
                <w:sz w:val="22"/>
                <w:szCs w:val="22"/>
                <w:u w:val="none"/>
                <w:lang w:val="en-US" w:eastAsia="zh-CN" w:bidi="ar"/>
              </w:rPr>
              <w:t>个</w:t>
            </w:r>
            <w:r>
              <w:rPr>
                <w:rFonts w:hint="eastAsia" w:ascii="宋体" w:hAnsi="宋体" w:eastAsia="宋体" w:cs="宋体"/>
                <w:i w:val="0"/>
                <w:iCs w:val="0"/>
                <w:color w:val="auto"/>
                <w:kern w:val="0"/>
                <w:sz w:val="22"/>
                <w:szCs w:val="22"/>
                <w:u w:val="none"/>
                <w:lang w:val="en-US" w:eastAsia="zh-CN" w:bidi="ar"/>
              </w:rPr>
              <w:t>要求：壳体尺寸(宽*深*高）（mm）：≤1090*860*1650；净重(KG)：≤166</w:t>
            </w:r>
          </w:p>
        </w:tc>
      </w:tr>
      <w:tr w14:paraId="53384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2"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52EC9">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0D5D">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9F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2、其中2</w:t>
            </w:r>
            <w:r>
              <w:rPr>
                <w:rFonts w:hint="eastAsia" w:ascii="宋体" w:hAnsi="宋体" w:cs="宋体"/>
                <w:i w:val="0"/>
                <w:iCs w:val="0"/>
                <w:color w:val="auto"/>
                <w:kern w:val="0"/>
                <w:sz w:val="22"/>
                <w:szCs w:val="22"/>
                <w:u w:val="none"/>
                <w:lang w:val="en-US" w:eastAsia="zh-CN" w:bidi="ar"/>
              </w:rPr>
              <w:t>个</w:t>
            </w:r>
            <w:r>
              <w:rPr>
                <w:rFonts w:hint="eastAsia" w:ascii="宋体" w:hAnsi="宋体" w:eastAsia="宋体" w:cs="宋体"/>
                <w:i w:val="0"/>
                <w:iCs w:val="0"/>
                <w:color w:val="auto"/>
                <w:kern w:val="0"/>
                <w:sz w:val="22"/>
                <w:szCs w:val="22"/>
                <w:u w:val="none"/>
                <w:lang w:val="en-US" w:eastAsia="zh-CN" w:bidi="ar"/>
              </w:rPr>
              <w:t>要求：包装尺寸(宽*深*高)（mm）：≤680*540*1790，毛重(KG)：93。另外</w:t>
            </w:r>
            <w:r>
              <w:rPr>
                <w:rFonts w:hint="eastAsia" w:ascii="宋体" w:hAnsi="宋体" w:cs="宋体"/>
                <w:i w:val="0"/>
                <w:iCs w:val="0"/>
                <w:color w:val="auto"/>
                <w:kern w:val="0"/>
                <w:sz w:val="22"/>
                <w:szCs w:val="22"/>
                <w:u w:val="none"/>
                <w:lang w:val="en-US" w:eastAsia="zh-CN" w:bidi="ar"/>
              </w:rPr>
              <w:t>2个</w:t>
            </w:r>
            <w:r>
              <w:rPr>
                <w:rFonts w:hint="eastAsia" w:ascii="宋体" w:hAnsi="宋体" w:eastAsia="宋体" w:cs="宋体"/>
                <w:i w:val="0"/>
                <w:iCs w:val="0"/>
                <w:color w:val="auto"/>
                <w:kern w:val="0"/>
                <w:sz w:val="22"/>
                <w:szCs w:val="22"/>
                <w:u w:val="none"/>
                <w:lang w:val="en-US" w:eastAsia="zh-CN" w:bidi="ar"/>
              </w:rPr>
              <w:t>要求：壳体尺寸(宽*深*高）（mm）：≤1090*860*1650；净重(KG)：≤166</w:t>
            </w:r>
          </w:p>
        </w:tc>
      </w:tr>
      <w:tr w14:paraId="7B725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70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7D6C">
            <w:pPr>
              <w:jc w:val="center"/>
              <w:rPr>
                <w:rFonts w:hint="eastAsia" w:ascii="宋体" w:hAnsi="宋体" w:eastAsia="宋体" w:cs="宋体"/>
                <w:b/>
                <w:bCs/>
                <w:i w:val="0"/>
                <w:iCs w:val="0"/>
                <w:color w:val="auto"/>
                <w:sz w:val="22"/>
                <w:szCs w:val="22"/>
                <w:u w:val="none"/>
              </w:rPr>
            </w:pPr>
          </w:p>
        </w:tc>
        <w:tc>
          <w:tcPr>
            <w:tcW w:w="12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74686">
            <w:pPr>
              <w:jc w:val="center"/>
              <w:rPr>
                <w:rFonts w:hint="eastAsia" w:ascii="宋体" w:hAnsi="宋体" w:eastAsia="宋体" w:cs="宋体"/>
                <w:b/>
                <w:bCs/>
                <w:i w:val="0"/>
                <w:iCs w:val="0"/>
                <w:color w:val="auto"/>
                <w:sz w:val="22"/>
                <w:szCs w:val="22"/>
                <w:u w:val="none"/>
              </w:rPr>
            </w:pPr>
          </w:p>
        </w:tc>
        <w:tc>
          <w:tcPr>
            <w:tcW w:w="7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2D9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3、其中2</w:t>
            </w:r>
            <w:r>
              <w:rPr>
                <w:rFonts w:hint="eastAsia" w:ascii="宋体" w:hAnsi="宋体" w:cs="宋体"/>
                <w:i w:val="0"/>
                <w:iCs w:val="0"/>
                <w:color w:val="auto"/>
                <w:kern w:val="0"/>
                <w:sz w:val="22"/>
                <w:szCs w:val="22"/>
                <w:u w:val="none"/>
                <w:lang w:val="en-US" w:eastAsia="zh-CN" w:bidi="ar"/>
              </w:rPr>
              <w:t>个</w:t>
            </w:r>
            <w:r>
              <w:rPr>
                <w:rFonts w:hint="eastAsia" w:ascii="宋体" w:hAnsi="宋体" w:eastAsia="宋体" w:cs="宋体"/>
                <w:i w:val="0"/>
                <w:iCs w:val="0"/>
                <w:color w:val="auto"/>
                <w:kern w:val="0"/>
                <w:sz w:val="22"/>
                <w:szCs w:val="22"/>
                <w:u w:val="none"/>
                <w:lang w:val="en-US" w:eastAsia="zh-CN" w:bidi="ar"/>
              </w:rPr>
              <w:t>要求：标配层板：3；标配PP托盘：4；静电钳：1。另外2</w:t>
            </w:r>
            <w:r>
              <w:rPr>
                <w:rFonts w:hint="eastAsia" w:ascii="宋体" w:hAnsi="宋体" w:cs="宋体"/>
                <w:i w:val="0"/>
                <w:iCs w:val="0"/>
                <w:color w:val="auto"/>
                <w:kern w:val="0"/>
                <w:sz w:val="22"/>
                <w:szCs w:val="22"/>
                <w:u w:val="none"/>
                <w:lang w:val="en-US" w:eastAsia="zh-CN" w:bidi="ar"/>
              </w:rPr>
              <w:t>个</w:t>
            </w:r>
            <w:r>
              <w:rPr>
                <w:rFonts w:hint="eastAsia" w:ascii="宋体" w:hAnsi="宋体" w:eastAsia="宋体" w:cs="宋体"/>
                <w:i w:val="0"/>
                <w:iCs w:val="0"/>
                <w:color w:val="auto"/>
                <w:kern w:val="0"/>
                <w:sz w:val="22"/>
                <w:szCs w:val="22"/>
                <w:u w:val="none"/>
                <w:lang w:val="en-US" w:eastAsia="zh-CN" w:bidi="ar"/>
              </w:rPr>
              <w:t>要求：标配层板：2；标配PP托盘：3；静电钳：1。</w:t>
            </w:r>
          </w:p>
        </w:tc>
      </w:tr>
      <w:bookmarkEnd w:id="1204"/>
    </w:tbl>
    <w:p w14:paraId="130EE8B5">
      <w:pPr>
        <w:rPr>
          <w:rFonts w:hint="eastAsia" w:ascii="宋体" w:hAnsi="宋体" w:eastAsia="宋体" w:cs="宋体"/>
          <w:color w:val="auto"/>
          <w:lang w:eastAsia="zh-CN"/>
        </w:rPr>
      </w:pPr>
    </w:p>
    <w:p w14:paraId="40ACDB47">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Style w:val="250"/>
          <w:rFonts w:hint="eastAsia" w:ascii="宋体" w:hAnsi="宋体" w:eastAsia="宋体" w:cs="宋体"/>
          <w:color w:val="auto"/>
          <w:sz w:val="30"/>
          <w:szCs w:val="30"/>
          <w:lang w:val="en-US" w:eastAsia="zh-CN"/>
        </w:rPr>
      </w:pPr>
    </w:p>
    <w:p w14:paraId="0D42A79B">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Style w:val="250"/>
          <w:rFonts w:hint="eastAsia" w:ascii="宋体" w:hAnsi="宋体" w:eastAsia="宋体" w:cs="宋体"/>
          <w:color w:val="auto"/>
          <w:sz w:val="30"/>
          <w:szCs w:val="30"/>
          <w:lang w:val="en-US" w:eastAsia="zh-CN"/>
        </w:rPr>
      </w:pPr>
    </w:p>
    <w:p w14:paraId="419AD105">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Style w:val="250"/>
          <w:rFonts w:hint="eastAsia" w:ascii="宋体" w:hAnsi="宋体" w:eastAsia="宋体" w:cs="宋体"/>
          <w:color w:val="auto"/>
          <w:sz w:val="30"/>
          <w:szCs w:val="30"/>
          <w:lang w:val="en-US" w:eastAsia="zh-CN"/>
        </w:rPr>
      </w:pPr>
    </w:p>
    <w:p w14:paraId="355FD04F">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Style w:val="250"/>
          <w:rFonts w:hint="eastAsia" w:ascii="宋体" w:hAnsi="宋体" w:eastAsia="宋体" w:cs="宋体"/>
          <w:color w:val="auto"/>
          <w:sz w:val="30"/>
          <w:szCs w:val="30"/>
          <w:lang w:val="en-US" w:eastAsia="zh-CN"/>
        </w:rPr>
      </w:pPr>
    </w:p>
    <w:p w14:paraId="2EA89CD5">
      <w:pPr>
        <w:rPr>
          <w:rStyle w:val="250"/>
          <w:rFonts w:hint="eastAsia" w:ascii="宋体" w:hAnsi="宋体" w:eastAsia="宋体" w:cs="宋体"/>
          <w:color w:val="auto"/>
          <w:sz w:val="30"/>
          <w:szCs w:val="30"/>
          <w:lang w:val="en-US" w:eastAsia="zh-CN"/>
        </w:rPr>
      </w:pPr>
    </w:p>
    <w:p w14:paraId="535CD7A2">
      <w:pPr>
        <w:rPr>
          <w:rStyle w:val="250"/>
          <w:rFonts w:hint="eastAsia" w:ascii="宋体" w:hAnsi="宋体" w:eastAsia="宋体" w:cs="宋体"/>
          <w:color w:val="auto"/>
          <w:sz w:val="30"/>
          <w:szCs w:val="30"/>
          <w:lang w:val="en-US" w:eastAsia="zh-CN"/>
        </w:rPr>
      </w:pPr>
    </w:p>
    <w:p w14:paraId="4BF2CE33">
      <w:pPr>
        <w:rPr>
          <w:rStyle w:val="250"/>
          <w:rFonts w:hint="eastAsia" w:ascii="宋体" w:hAnsi="宋体" w:eastAsia="宋体" w:cs="宋体"/>
          <w:color w:val="auto"/>
          <w:sz w:val="30"/>
          <w:szCs w:val="30"/>
          <w:lang w:val="en-US" w:eastAsia="zh-CN"/>
        </w:rPr>
      </w:pPr>
    </w:p>
    <w:p w14:paraId="592DDB5B">
      <w:pPr>
        <w:rPr>
          <w:rStyle w:val="250"/>
          <w:rFonts w:hint="eastAsia" w:ascii="宋体" w:hAnsi="宋体" w:eastAsia="宋体" w:cs="宋体"/>
          <w:color w:val="auto"/>
          <w:sz w:val="30"/>
          <w:szCs w:val="30"/>
          <w:lang w:val="en-US" w:eastAsia="zh-CN"/>
        </w:rPr>
      </w:pPr>
    </w:p>
    <w:p w14:paraId="11C81C35">
      <w:pPr>
        <w:rPr>
          <w:rStyle w:val="250"/>
          <w:rFonts w:hint="eastAsia" w:ascii="宋体" w:hAnsi="宋体" w:eastAsia="宋体" w:cs="宋体"/>
          <w:color w:val="auto"/>
          <w:sz w:val="30"/>
          <w:szCs w:val="30"/>
          <w:lang w:val="en-US" w:eastAsia="zh-CN"/>
        </w:rPr>
      </w:pPr>
    </w:p>
    <w:p w14:paraId="1F2A0230">
      <w:pPr>
        <w:pStyle w:val="28"/>
        <w:keepNext w:val="0"/>
        <w:keepLines w:val="0"/>
        <w:pageBreakBefore w:val="0"/>
        <w:widowControl w:val="0"/>
        <w:kinsoku/>
        <w:wordWrap w:val="0"/>
        <w:overflowPunct/>
        <w:topLinePunct/>
        <w:autoSpaceDE/>
        <w:autoSpaceDN/>
        <w:bidi w:val="0"/>
        <w:adjustRightInd/>
        <w:snapToGrid/>
        <w:jc w:val="center"/>
        <w:textAlignment w:val="auto"/>
        <w:outlineLvl w:val="1"/>
        <w:rPr>
          <w:rFonts w:hint="eastAsia"/>
          <w:color w:val="auto"/>
          <w:sz w:val="30"/>
          <w:szCs w:val="30"/>
          <w:lang w:eastAsia="zh-CN"/>
        </w:rPr>
      </w:pPr>
      <w:r>
        <w:rPr>
          <w:rStyle w:val="250"/>
          <w:rFonts w:hint="eastAsia" w:ascii="宋体" w:hAnsi="宋体" w:eastAsia="宋体" w:cs="宋体"/>
          <w:color w:val="auto"/>
          <w:sz w:val="30"/>
          <w:szCs w:val="30"/>
          <w:lang w:val="en-US" w:eastAsia="zh-CN"/>
        </w:rPr>
        <w:t>三、其他商务要求</w:t>
      </w:r>
    </w:p>
    <w:tbl>
      <w:tblPr>
        <w:tblStyle w:val="67"/>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718"/>
        <w:gridCol w:w="7498"/>
      </w:tblGrid>
      <w:tr w14:paraId="2B0E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blHeader/>
          <w:jc w:val="center"/>
        </w:trPr>
        <w:tc>
          <w:tcPr>
            <w:tcW w:w="716" w:type="dxa"/>
            <w:shd w:val="pct10" w:color="auto" w:fill="auto"/>
            <w:vAlign w:val="center"/>
          </w:tcPr>
          <w:p w14:paraId="452871E5">
            <w:pPr>
              <w:widowControl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718" w:type="dxa"/>
            <w:shd w:val="pct10" w:color="auto" w:fill="auto"/>
            <w:vAlign w:val="center"/>
          </w:tcPr>
          <w:p w14:paraId="6A78D4F0">
            <w:pPr>
              <w:widowControl w:val="0"/>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要求条款</w:t>
            </w:r>
          </w:p>
        </w:tc>
        <w:tc>
          <w:tcPr>
            <w:tcW w:w="7498" w:type="dxa"/>
            <w:shd w:val="pct10" w:color="auto" w:fill="auto"/>
            <w:vAlign w:val="center"/>
          </w:tcPr>
          <w:p w14:paraId="60FEF01A">
            <w:pPr>
              <w:widowControl w:val="0"/>
              <w:spacing w:line="360" w:lineRule="auto"/>
              <w:ind w:firstLine="480" w:firstLineChars="200"/>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5CCEE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643BC9D9">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411CD1BE">
            <w:pPr>
              <w:widowControl w:val="0"/>
              <w:spacing w:line="360" w:lineRule="auto"/>
              <w:ind w:firstLine="240" w:firstLineChars="100"/>
              <w:jc w:val="both"/>
              <w:rPr>
                <w:rFonts w:hint="eastAsia" w:ascii="宋体" w:hAnsi="宋体" w:eastAsia="宋体" w:cs="宋体"/>
                <w:b/>
                <w:color w:val="auto"/>
                <w:sz w:val="24"/>
                <w:szCs w:val="24"/>
              </w:rPr>
            </w:pPr>
            <w:r>
              <w:rPr>
                <w:rFonts w:hint="eastAsia" w:ascii="宋体" w:hAnsi="宋体" w:eastAsia="宋体" w:cs="宋体"/>
                <w:color w:val="auto"/>
                <w:sz w:val="24"/>
                <w:szCs w:val="24"/>
              </w:rPr>
              <w:t>★</w:t>
            </w:r>
            <w:r>
              <w:rPr>
                <w:rFonts w:hint="eastAsia" w:ascii="宋体" w:hAnsi="宋体" w:eastAsia="宋体" w:cs="宋体"/>
                <w:b/>
                <w:color w:val="auto"/>
                <w:sz w:val="24"/>
                <w:szCs w:val="24"/>
              </w:rPr>
              <w:t>质保期</w:t>
            </w:r>
          </w:p>
        </w:tc>
        <w:tc>
          <w:tcPr>
            <w:tcW w:w="7498" w:type="dxa"/>
            <w:vAlign w:val="center"/>
          </w:tcPr>
          <w:p w14:paraId="44CDD017">
            <w:pPr>
              <w:widowControl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rPr>
              <w:t>自项目验收合格之日起保修：≥</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rPr>
              <w:t>年，设备使用生命周期内免费保养、培训、维护、软件免费升级。</w:t>
            </w:r>
          </w:p>
        </w:tc>
      </w:tr>
      <w:tr w14:paraId="7750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4" w:hRule="atLeast"/>
          <w:jc w:val="center"/>
        </w:trPr>
        <w:tc>
          <w:tcPr>
            <w:tcW w:w="716" w:type="dxa"/>
            <w:vAlign w:val="center"/>
          </w:tcPr>
          <w:p w14:paraId="05ACDF64">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3C6ACE0E">
            <w:pPr>
              <w:widowControl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产品质量</w:t>
            </w:r>
          </w:p>
        </w:tc>
        <w:tc>
          <w:tcPr>
            <w:tcW w:w="7498" w:type="dxa"/>
            <w:vAlign w:val="center"/>
          </w:tcPr>
          <w:p w14:paraId="4345C7F6">
            <w:pPr>
              <w:widowControl w:val="0"/>
              <w:tabs>
                <w:tab w:val="left" w:pos="351"/>
                <w:tab w:val="left" w:pos="690"/>
              </w:tabs>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①投标人所投产品</w:t>
            </w:r>
            <w:r>
              <w:rPr>
                <w:rFonts w:hint="eastAsia" w:ascii="宋体" w:hAnsi="宋体" w:cs="宋体"/>
                <w:bCs/>
                <w:color w:val="auto"/>
                <w:sz w:val="24"/>
                <w:szCs w:val="24"/>
                <w:lang w:eastAsia="zh-CN"/>
              </w:rPr>
              <w:t>的</w:t>
            </w:r>
            <w:r>
              <w:rPr>
                <w:rFonts w:hint="eastAsia" w:ascii="宋体" w:hAnsi="宋体" w:eastAsia="宋体" w:cs="宋体"/>
                <w:bCs/>
                <w:color w:val="auto"/>
                <w:sz w:val="24"/>
                <w:szCs w:val="24"/>
              </w:rPr>
              <w:t>生产日期需在</w:t>
            </w: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个月内</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产品质量应符合中华人民共和国国家安全质量标准、环保标准、行业标准或货物来源国官方标准；</w:t>
            </w:r>
          </w:p>
          <w:p w14:paraId="7E025E40">
            <w:pPr>
              <w:widowControl w:val="0"/>
              <w:tabs>
                <w:tab w:val="left" w:pos="351"/>
                <w:tab w:val="left" w:pos="690"/>
              </w:tabs>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供应商应保证提供的产品是全新未使用过的原厂合格正品（包括零部件），表面无划损、无任何缺陷隐患，在中国境内可依常规安全合法使用。如发现产品为翻新产品或充装假冒伪劣产品的，采购人有权取消中标人的中标资格，并追加相应的法律责任。 </w:t>
            </w:r>
          </w:p>
        </w:tc>
      </w:tr>
      <w:tr w14:paraId="38383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716" w:type="dxa"/>
            <w:vAlign w:val="center"/>
          </w:tcPr>
          <w:p w14:paraId="2D93C807">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356B4623">
            <w:pPr>
              <w:widowControl w:val="0"/>
              <w:spacing w:line="360" w:lineRule="auto"/>
              <w:jc w:val="center"/>
              <w:rPr>
                <w:rFonts w:hint="eastAsia" w:ascii="宋体" w:hAnsi="宋体" w:eastAsia="宋体" w:cs="宋体"/>
                <w:b/>
                <w:color w:val="auto"/>
                <w:kern w:val="2"/>
                <w:sz w:val="24"/>
                <w:szCs w:val="24"/>
              </w:rPr>
            </w:pPr>
            <w:r>
              <w:rPr>
                <w:rFonts w:hint="eastAsia" w:ascii="宋体" w:hAnsi="宋体" w:eastAsia="宋体" w:cs="宋体"/>
                <w:b/>
                <w:color w:val="auto"/>
                <w:sz w:val="24"/>
                <w:szCs w:val="24"/>
              </w:rPr>
              <w:t>安装调试</w:t>
            </w:r>
          </w:p>
        </w:tc>
        <w:tc>
          <w:tcPr>
            <w:tcW w:w="7498" w:type="dxa"/>
            <w:vAlign w:val="center"/>
          </w:tcPr>
          <w:p w14:paraId="707C543E">
            <w:pPr>
              <w:pStyle w:val="23"/>
              <w:widowControl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设备现场交货后，由供应商负责设备安装调试及技术指导：</w:t>
            </w:r>
          </w:p>
          <w:p w14:paraId="43D23980">
            <w:pPr>
              <w:pStyle w:val="23"/>
              <w:widowControl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1、由供应商负责派出技术人员到达现场后在买方技术人员在场的情况下开箱清点货物并进行安装、调试，负责调试至验收合格，期间产生的所有费用由供应商承担。</w:t>
            </w:r>
          </w:p>
          <w:p w14:paraId="33CF024B">
            <w:pPr>
              <w:pStyle w:val="23"/>
              <w:widowControl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2、供应商应在设备运抵现场一周前，向采购人提供安装、调试及试运行的进度计划表，并提供详细的场地布置规划方案。</w:t>
            </w:r>
          </w:p>
          <w:p w14:paraId="5C70D8FB">
            <w:pPr>
              <w:pStyle w:val="23"/>
              <w:widowControl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3、供应商</w:t>
            </w:r>
            <w:r>
              <w:rPr>
                <w:rFonts w:hint="eastAsia" w:ascii="宋体" w:hAnsi="宋体" w:eastAsia="宋体" w:cs="宋体"/>
                <w:color w:val="auto"/>
                <w:sz w:val="24"/>
                <w:szCs w:val="24"/>
              </w:rPr>
              <w:t>应在七天</w:t>
            </w:r>
            <w:r>
              <w:rPr>
                <w:rFonts w:hint="eastAsia" w:ascii="宋体" w:hAnsi="宋体" w:eastAsia="宋体" w:cs="宋体"/>
                <w:bCs/>
                <w:color w:val="auto"/>
                <w:sz w:val="24"/>
                <w:szCs w:val="24"/>
              </w:rPr>
              <w:t>内派技术人员到现场进行安装，负责完成安装调试并经用户组织的专家小组验收合格，相关费用由供应商自理。</w:t>
            </w:r>
          </w:p>
          <w:p w14:paraId="5878D7FF">
            <w:pPr>
              <w:pStyle w:val="23"/>
              <w:widowControl w:val="0"/>
              <w:spacing w:line="360" w:lineRule="auto"/>
              <w:ind w:firstLine="480" w:firstLineChars="200"/>
              <w:rPr>
                <w:rFonts w:hint="eastAsia" w:ascii="宋体" w:hAnsi="宋体" w:eastAsia="宋体" w:cs="宋体"/>
                <w:bCs/>
                <w:color w:val="auto"/>
                <w:kern w:val="2"/>
                <w:sz w:val="24"/>
                <w:szCs w:val="24"/>
              </w:rPr>
            </w:pPr>
            <w:r>
              <w:rPr>
                <w:rFonts w:hint="eastAsia" w:ascii="宋体" w:hAnsi="宋体" w:eastAsia="宋体" w:cs="宋体"/>
                <w:bCs/>
                <w:color w:val="auto"/>
                <w:sz w:val="24"/>
                <w:szCs w:val="24"/>
              </w:rPr>
              <w:t>4、送货上门费，咨询及技术培训费等相关费用由供应商承担。</w:t>
            </w:r>
          </w:p>
        </w:tc>
      </w:tr>
      <w:tr w14:paraId="310A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16" w:type="dxa"/>
            <w:vAlign w:val="center"/>
          </w:tcPr>
          <w:p w14:paraId="49654E67">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67D680A3">
            <w:pPr>
              <w:widowControl w:val="0"/>
              <w:spacing w:line="360" w:lineRule="auto"/>
              <w:jc w:val="center"/>
              <w:rPr>
                <w:rFonts w:hint="eastAsia" w:ascii="宋体" w:hAnsi="宋体" w:eastAsia="宋体" w:cs="宋体"/>
                <w:b/>
                <w:color w:val="auto"/>
                <w:kern w:val="2"/>
                <w:sz w:val="24"/>
                <w:szCs w:val="24"/>
              </w:rPr>
            </w:pPr>
            <w:r>
              <w:rPr>
                <w:rFonts w:hint="eastAsia" w:ascii="宋体" w:hAnsi="宋体" w:eastAsia="宋体" w:cs="宋体"/>
                <w:b/>
                <w:color w:val="auto"/>
                <w:sz w:val="24"/>
                <w:szCs w:val="24"/>
              </w:rPr>
              <w:t>验收</w:t>
            </w:r>
          </w:p>
        </w:tc>
        <w:tc>
          <w:tcPr>
            <w:tcW w:w="7498" w:type="dxa"/>
            <w:vAlign w:val="center"/>
          </w:tcPr>
          <w:p w14:paraId="16E2CBEF">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设备按国家行业标准验收，由供应商和采购人共同完成。供应商在验收前必须向采购人提供产品合格证、产品验收证/单、保修卡、设备安装报告等资料。</w:t>
            </w:r>
          </w:p>
          <w:p w14:paraId="2E45198E">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（一）验收规则</w:t>
            </w:r>
          </w:p>
          <w:p w14:paraId="7B137556">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1、验收标准：所有设备均需按照国家规定标准、制造商产品验收标准、本采购文件及投标文件相关内容进行验收。</w:t>
            </w:r>
          </w:p>
          <w:p w14:paraId="7BCD74A8">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2、验收程序：设备验收分供应商出厂检验、安装调试检验及最终验收三个阶段。</w:t>
            </w:r>
          </w:p>
          <w:p w14:paraId="37F9A70B">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（1）出厂检验：供应商在设备出厂前，应按产品技术标准规定的检验项目和试验方法进行全面检验。供应商应随同设备出具原产地证书、出厂检验报告及产品质量合格证等，结果必须符合前款验收标准的要求。</w:t>
            </w:r>
          </w:p>
          <w:p w14:paraId="6C7490A0">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（2）安装调试检验：</w:t>
            </w:r>
          </w:p>
          <w:p w14:paraId="59C72CBA">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①设备到达采购人现场后，由采购人会同有关部门进行基本数量和质量的检验（但不作为最终合格的认定），经检验的设备必须能完全达到合同规定的要求。</w:t>
            </w:r>
          </w:p>
          <w:p w14:paraId="712B008E">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②设备安装调试（包括整机性能测试）过程，供应商应作详细的检验记录。安装调试检验结果应符合制造厂产品标准和采购文件规定的技术要求，检验记录应真实，其原件必须提供给采购人。</w:t>
            </w:r>
          </w:p>
          <w:p w14:paraId="64A29865">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③最终验收：设备经安装调试后，由供应商向采购人提出验收申请，由采购人组织最终验收：首先进行现场设备验收，现场设备验收按国家行业标准进行，经验收的所有设备安装调试后的各项技术参数、性能指标配置及其质量等均必须符合招标文件要求及投标文件承诺，并达到国家强制标准，其结果由双方确认。验收时，供应商所供到场设备与投标文件响应性不相符，采购人可要求退货，</w:t>
            </w:r>
          </w:p>
          <w:p w14:paraId="419C66B9">
            <w:pPr>
              <w:widowControl w:val="0"/>
              <w:wordWrap w:val="0"/>
              <w:overflowPunct w:val="0"/>
              <w:topLinePunct/>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（二）单证齐全：供应商提供的投标应包含产品的合格证、使用说明、保修证明（厂家盖章的保修文件等）和其他应具有的单证。</w:t>
            </w:r>
          </w:p>
          <w:p w14:paraId="067A49F2">
            <w:pPr>
              <w:widowControl w:val="0"/>
              <w:wordWrap w:val="0"/>
              <w:overflowPunct w:val="0"/>
              <w:topLinePunct/>
              <w:spacing w:line="360" w:lineRule="auto"/>
              <w:ind w:firstLine="480" w:firstLineChars="200"/>
              <w:rPr>
                <w:rFonts w:hint="eastAsia" w:ascii="宋体" w:hAnsi="宋体" w:eastAsia="宋体" w:cs="宋体"/>
                <w:bCs/>
                <w:color w:val="auto"/>
                <w:kern w:val="2"/>
                <w:sz w:val="24"/>
                <w:szCs w:val="24"/>
              </w:rPr>
            </w:pPr>
            <w:r>
              <w:rPr>
                <w:rFonts w:hint="eastAsia" w:ascii="宋体" w:hAnsi="宋体" w:eastAsia="宋体" w:cs="宋体"/>
                <w:bCs/>
                <w:color w:val="auto"/>
                <w:sz w:val="24"/>
                <w:szCs w:val="24"/>
              </w:rPr>
              <w:t>（三）验收费用：设备最终检验、验收过程的费用由供应商承担。</w:t>
            </w:r>
          </w:p>
        </w:tc>
      </w:tr>
      <w:tr w14:paraId="7879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16" w:type="dxa"/>
            <w:vAlign w:val="center"/>
          </w:tcPr>
          <w:p w14:paraId="00028451">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3F2DF09B">
            <w:pPr>
              <w:widowControl w:val="0"/>
              <w:spacing w:line="360" w:lineRule="auto"/>
              <w:jc w:val="center"/>
              <w:rPr>
                <w:rFonts w:hint="eastAsia" w:ascii="宋体" w:hAnsi="宋体" w:eastAsia="宋体" w:cs="宋体"/>
                <w:b/>
                <w:color w:val="auto"/>
                <w:kern w:val="2"/>
                <w:sz w:val="24"/>
                <w:szCs w:val="24"/>
              </w:rPr>
            </w:pPr>
            <w:r>
              <w:rPr>
                <w:rFonts w:hint="eastAsia" w:ascii="宋体" w:hAnsi="宋体" w:eastAsia="宋体" w:cs="宋体"/>
                <w:b/>
                <w:color w:val="auto"/>
                <w:sz w:val="24"/>
                <w:szCs w:val="24"/>
              </w:rPr>
              <w:t>培训要求</w:t>
            </w:r>
          </w:p>
        </w:tc>
        <w:tc>
          <w:tcPr>
            <w:tcW w:w="7498" w:type="dxa"/>
            <w:vAlign w:val="center"/>
          </w:tcPr>
          <w:p w14:paraId="36A862A8">
            <w:pPr>
              <w:widowControl w:val="0"/>
              <w:tabs>
                <w:tab w:val="left" w:pos="351"/>
                <w:tab w:val="left" w:pos="690"/>
              </w:tabs>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（1）设备安装时提供操作培训、临床应用培训、清洁消毒培训及维修保养培训等设备使用及日常管理的相关培训，同时在后续使用中能根据采购人需要提供相关补充培训，确保设备使用维护良好；</w:t>
            </w:r>
          </w:p>
          <w:p w14:paraId="7D0A2DCF">
            <w:pPr>
              <w:widowControl w:val="0"/>
              <w:tabs>
                <w:tab w:val="left" w:pos="351"/>
                <w:tab w:val="left" w:pos="690"/>
              </w:tabs>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（2）临床应用培训：中标人负责安排具备设备原厂临床应用培训老师，上门提供设备临床应用培训，相关费用由中标人承担；</w:t>
            </w:r>
          </w:p>
          <w:p w14:paraId="14A2B181">
            <w:pPr>
              <w:widowControl w:val="0"/>
              <w:tabs>
                <w:tab w:val="left" w:pos="351"/>
                <w:tab w:val="left" w:pos="690"/>
              </w:tabs>
              <w:spacing w:line="360" w:lineRule="auto"/>
              <w:ind w:firstLine="480" w:firstLineChars="200"/>
              <w:rPr>
                <w:rFonts w:hint="eastAsia" w:ascii="宋体" w:hAnsi="宋体" w:eastAsia="宋体" w:cs="宋体"/>
                <w:bCs/>
                <w:color w:val="auto"/>
                <w:kern w:val="2"/>
                <w:sz w:val="24"/>
                <w:szCs w:val="24"/>
                <w:lang w:val="zh-CN"/>
              </w:rPr>
            </w:pPr>
            <w:r>
              <w:rPr>
                <w:rFonts w:hint="eastAsia" w:ascii="宋体" w:hAnsi="宋体" w:eastAsia="宋体" w:cs="宋体"/>
                <w:bCs/>
                <w:color w:val="auto"/>
                <w:sz w:val="24"/>
                <w:szCs w:val="24"/>
              </w:rPr>
              <w:t>（3）维修维护培训：中标人负责对采购人工程技术人员进行设备维修、保养、巡检、质控等设备后续运维相关的培训，相关费用由中标人承担。</w:t>
            </w:r>
          </w:p>
        </w:tc>
      </w:tr>
      <w:tr w14:paraId="46B3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1" w:hRule="atLeast"/>
          <w:jc w:val="center"/>
        </w:trPr>
        <w:tc>
          <w:tcPr>
            <w:tcW w:w="716" w:type="dxa"/>
            <w:vAlign w:val="center"/>
          </w:tcPr>
          <w:p w14:paraId="16704E2F">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3492961D">
            <w:pPr>
              <w:widowControl w:val="0"/>
              <w:spacing w:line="360" w:lineRule="auto"/>
              <w:jc w:val="center"/>
              <w:rPr>
                <w:rFonts w:hint="eastAsia" w:ascii="宋体" w:hAnsi="宋体" w:eastAsia="宋体" w:cs="宋体"/>
                <w:b/>
                <w:color w:val="auto"/>
                <w:kern w:val="2"/>
                <w:sz w:val="24"/>
                <w:szCs w:val="24"/>
              </w:rPr>
            </w:pPr>
            <w:r>
              <w:rPr>
                <w:rFonts w:hint="eastAsia" w:ascii="宋体" w:hAnsi="宋体" w:eastAsia="宋体" w:cs="宋体"/>
                <w:b/>
                <w:color w:val="auto"/>
                <w:sz w:val="24"/>
                <w:szCs w:val="24"/>
              </w:rPr>
              <w:t>售后服务</w:t>
            </w:r>
          </w:p>
        </w:tc>
        <w:tc>
          <w:tcPr>
            <w:tcW w:w="7498" w:type="dxa"/>
            <w:vAlign w:val="center"/>
          </w:tcPr>
          <w:p w14:paraId="3C446EAF">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1、质保期维修维护服务要求：</w:t>
            </w:r>
          </w:p>
          <w:p w14:paraId="12E5E1AA">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1.1质保期内设备运行发生故障或出现质量问题，供应商接到采购人故障通知后，响应时间≤2小时；若电话指导无法排除故障，供应商技术员应在</w:t>
            </w:r>
            <w:r>
              <w:rPr>
                <w:rFonts w:hint="eastAsia" w:ascii="宋体" w:hAnsi="宋体" w:eastAsia="宋体" w:cs="宋体"/>
                <w:bCs/>
                <w:color w:val="auto"/>
                <w:sz w:val="24"/>
                <w:szCs w:val="24"/>
                <w:lang w:val="en-US" w:eastAsia="zh-CN"/>
              </w:rPr>
              <w:t>48</w:t>
            </w:r>
            <w:r>
              <w:rPr>
                <w:rFonts w:hint="eastAsia" w:ascii="宋体" w:hAnsi="宋体" w:eastAsia="宋体" w:cs="宋体"/>
                <w:bCs/>
                <w:color w:val="auto"/>
                <w:sz w:val="24"/>
                <w:szCs w:val="24"/>
              </w:rPr>
              <w:t>小时内到场进行检查、维修、排除故障并出具维修维护报告，若机件损坏，供应商应免费更换损坏的零部件，修理费用由供应商负责，其差旅费用（包含住宿、交通、生活补助等）由供应商承担。</w:t>
            </w:r>
          </w:p>
          <w:p w14:paraId="5B165DC5">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质保期内供应商技术人员每年应现场免费保养至少2次，每次现场维修保养后均应及时向业主提交维修保养报告存档。</w:t>
            </w:r>
          </w:p>
          <w:p w14:paraId="6DEC3918">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质保期内若未按要求完成维保次数的，按维保周期相应延长保修期，在此期间设备发生故障所产生的一切费用由供应商承担。</w:t>
            </w:r>
          </w:p>
          <w:p w14:paraId="343A225F">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2、保修期满后的维修维护服务：</w:t>
            </w:r>
          </w:p>
          <w:p w14:paraId="464A3CDF">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2.1保修期满后，提供终身维修、维护服务。</w:t>
            </w:r>
          </w:p>
          <w:p w14:paraId="5F14E392">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2.2保修期满后，如遇设备故障，供应商应及时处理设备故障等质量问题，接到采购人故障通知，响应时间≤2小时；若电话指导无法排除故障，供应商技术员应在48小时内到场进行检查、维修并排除故障，仅收取零配件费用，免收修理费及其差旅费等费用。</w:t>
            </w:r>
          </w:p>
          <w:p w14:paraId="706CE659">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2.3质保期外供应商技术人员每年应现场免费保养至少2次，每次现场维修保养后均应及时向买受人提交维修保养报告存档。</w:t>
            </w:r>
          </w:p>
          <w:p w14:paraId="1941BF33">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3、其他商务及售后服务要求：</w:t>
            </w:r>
          </w:p>
          <w:p w14:paraId="4F44793D">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3.1如供应商被兼并或者代理商不再代理该产品，供应商须做好相关移交手续，原合同及协议一切条款继续有效。</w:t>
            </w:r>
          </w:p>
          <w:p w14:paraId="4A5B7C2F">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3.2为保证设备正常运行，制造商在中国大陆境内应设有投标机型的零配件仓库，电路板主要零配件能确保库存。</w:t>
            </w:r>
          </w:p>
          <w:p w14:paraId="25D99DF3">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3.3 零配件供货时间应≤7个日历日。</w:t>
            </w:r>
          </w:p>
          <w:p w14:paraId="088378A8">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3.4应能提供每周7×24小时的全天候售后服务，并确保有专人受理。</w:t>
            </w:r>
          </w:p>
          <w:p w14:paraId="1346FEEC">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3.5为确保设备安装和售后服务由生产厂家直接完成。要求列出售后服务人员名单、维修资质证件，联系电话等相关资料。</w:t>
            </w:r>
          </w:p>
          <w:p w14:paraId="4028D2AD">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3.6技术资料要求：供应商提供完整的技术资料包括：产品验收标准（含产品合格证验收清单等）、技术说明书、使用说明书、设备安装调试资料及其维修资料、出厂检验合格报告、合格证书、装箱单、零部件目录；备品备件易耗件清单及合同中要求的其他文件资料</w:t>
            </w:r>
            <w:r>
              <w:rPr>
                <w:rFonts w:hint="eastAsia" w:ascii="宋体" w:hAnsi="宋体" w:eastAsia="宋体" w:cs="宋体"/>
                <w:bCs/>
                <w:color w:val="auto"/>
                <w:sz w:val="24"/>
                <w:szCs w:val="24"/>
                <w:lang w:eastAsia="zh-CN"/>
              </w:rPr>
              <w:t>。</w:t>
            </w:r>
          </w:p>
        </w:tc>
      </w:tr>
      <w:tr w14:paraId="77CF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0C1129F3">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672E6C5A">
            <w:pPr>
              <w:widowControl w:val="0"/>
              <w:spacing w:line="360" w:lineRule="auto"/>
              <w:jc w:val="center"/>
              <w:rPr>
                <w:rFonts w:hint="eastAsia" w:ascii="宋体" w:hAnsi="宋体" w:eastAsia="宋体" w:cs="宋体"/>
                <w:bCs/>
                <w:color w:val="auto"/>
                <w:sz w:val="24"/>
                <w:szCs w:val="24"/>
              </w:rPr>
            </w:pPr>
            <w:r>
              <w:rPr>
                <w:rFonts w:hint="eastAsia" w:ascii="宋体" w:hAnsi="宋体" w:eastAsia="宋体" w:cs="宋体"/>
                <w:b/>
                <w:color w:val="auto"/>
                <w:sz w:val="24"/>
                <w:szCs w:val="24"/>
              </w:rPr>
              <w:t>软件更新升级</w:t>
            </w:r>
          </w:p>
        </w:tc>
        <w:tc>
          <w:tcPr>
            <w:tcW w:w="7498" w:type="dxa"/>
            <w:vAlign w:val="center"/>
          </w:tcPr>
          <w:p w14:paraId="2C1A321B">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设备所配备的基础应用软件和高端临床应用软件，设备保修期内根据厂家发布的最新版本软件随时更新升级，相关费用由中标人承担。</w:t>
            </w:r>
          </w:p>
        </w:tc>
      </w:tr>
      <w:tr w14:paraId="481AA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7" w:hRule="atLeast"/>
          <w:jc w:val="center"/>
        </w:trPr>
        <w:tc>
          <w:tcPr>
            <w:tcW w:w="716" w:type="dxa"/>
            <w:vAlign w:val="center"/>
          </w:tcPr>
          <w:p w14:paraId="553F6874">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6E36D058">
            <w:pPr>
              <w:widowControl w:val="0"/>
              <w:spacing w:line="360" w:lineRule="auto"/>
              <w:jc w:val="center"/>
              <w:rPr>
                <w:rFonts w:hint="eastAsia" w:ascii="宋体" w:hAnsi="宋体" w:eastAsia="宋体" w:cs="宋体"/>
                <w:b/>
                <w:color w:val="auto"/>
                <w:sz w:val="24"/>
                <w:szCs w:val="24"/>
              </w:rPr>
            </w:pPr>
            <w:r>
              <w:rPr>
                <w:rFonts w:hint="eastAsia" w:ascii="宋体" w:hAnsi="宋体" w:eastAsia="宋体" w:cs="宋体"/>
                <w:b/>
                <w:bCs/>
                <w:color w:val="auto"/>
                <w:spacing w:val="9"/>
                <w:sz w:val="24"/>
                <w:szCs w:val="24"/>
              </w:rPr>
              <w:t>知识产权</w:t>
            </w:r>
          </w:p>
        </w:tc>
        <w:tc>
          <w:tcPr>
            <w:tcW w:w="7498" w:type="dxa"/>
            <w:vAlign w:val="center"/>
          </w:tcPr>
          <w:p w14:paraId="26ABC19C">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供应商须保证采购方在设备和配套软件产品使用期不受第三方提出侵犯其专利权、商标权、工业设计权、著作权或其他知识产权的起诉，并提供承诺函。如果第三方提出侵权指控，中标人应承担由此而引起的一切法律责任和费用。</w:t>
            </w:r>
          </w:p>
        </w:tc>
      </w:tr>
      <w:tr w14:paraId="3AC3F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vAlign w:val="center"/>
          </w:tcPr>
          <w:p w14:paraId="7CB8B754">
            <w:pPr>
              <w:widowControl w:val="0"/>
              <w:numPr>
                <w:ilvl w:val="0"/>
                <w:numId w:val="16"/>
              </w:numPr>
              <w:tabs>
                <w:tab w:val="left" w:pos="130"/>
              </w:tabs>
              <w:spacing w:line="360" w:lineRule="auto"/>
              <w:jc w:val="center"/>
              <w:rPr>
                <w:rFonts w:hint="eastAsia" w:ascii="宋体" w:hAnsi="宋体" w:eastAsia="宋体" w:cs="宋体"/>
                <w:color w:val="auto"/>
                <w:kern w:val="2"/>
                <w:sz w:val="24"/>
                <w:szCs w:val="24"/>
              </w:rPr>
            </w:pPr>
          </w:p>
        </w:tc>
        <w:tc>
          <w:tcPr>
            <w:tcW w:w="1718" w:type="dxa"/>
            <w:vAlign w:val="center"/>
          </w:tcPr>
          <w:p w14:paraId="348295DE">
            <w:pPr>
              <w:widowControl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资料文书</w:t>
            </w:r>
          </w:p>
        </w:tc>
        <w:tc>
          <w:tcPr>
            <w:tcW w:w="7498" w:type="dxa"/>
            <w:vAlign w:val="center"/>
          </w:tcPr>
          <w:p w14:paraId="32409830">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供货时提供整套完整的中文技术文件，包括产品合格证、使用说明书、简明操作流程卡、维修保养手册等。</w:t>
            </w:r>
          </w:p>
        </w:tc>
      </w:tr>
      <w:tr w14:paraId="35E7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16" w:type="dxa"/>
            <w:vAlign w:val="center"/>
          </w:tcPr>
          <w:p w14:paraId="0B3C3D3E">
            <w:pPr>
              <w:widowControl w:val="0"/>
              <w:numPr>
                <w:ilvl w:val="0"/>
                <w:numId w:val="16"/>
              </w:numPr>
              <w:tabs>
                <w:tab w:val="left" w:pos="130"/>
              </w:tabs>
              <w:spacing w:line="360" w:lineRule="auto"/>
              <w:jc w:val="center"/>
              <w:rPr>
                <w:rFonts w:hint="eastAsia" w:ascii="宋体" w:hAnsi="宋体" w:eastAsia="宋体" w:cs="宋体"/>
                <w:color w:val="auto"/>
                <w:sz w:val="24"/>
                <w:szCs w:val="24"/>
              </w:rPr>
            </w:pPr>
          </w:p>
        </w:tc>
        <w:tc>
          <w:tcPr>
            <w:tcW w:w="1718" w:type="dxa"/>
            <w:vAlign w:val="center"/>
          </w:tcPr>
          <w:p w14:paraId="69322EFE">
            <w:pPr>
              <w:widowControl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违约责任</w:t>
            </w:r>
          </w:p>
        </w:tc>
        <w:tc>
          <w:tcPr>
            <w:tcW w:w="7498" w:type="dxa"/>
            <w:vAlign w:val="center"/>
          </w:tcPr>
          <w:p w14:paraId="066871F0">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（一）中标人的违约责任</w:t>
            </w:r>
          </w:p>
          <w:p w14:paraId="6511970C">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（1）中标人逾期交货（包括零部件）的，按总货款计算，向采购人偿付每日千分之五的违约金，并承担采购人因此所受的损失费用；中标人逾期交货超过</w:t>
            </w:r>
            <w:r>
              <w:rPr>
                <w:rFonts w:hint="eastAsia" w:ascii="宋体" w:hAnsi="宋体" w:eastAsia="宋体" w:cs="宋体"/>
                <w:color w:val="auto"/>
                <w:sz w:val="24"/>
                <w:szCs w:val="24"/>
                <w:lang w:val="en-US" w:eastAsia="zh-CN"/>
              </w:rPr>
              <w:t>35</w:t>
            </w:r>
            <w:r>
              <w:rPr>
                <w:rFonts w:hint="eastAsia" w:ascii="宋体" w:hAnsi="宋体" w:eastAsia="宋体" w:cs="宋体"/>
                <w:color w:val="auto"/>
                <w:sz w:val="24"/>
                <w:szCs w:val="24"/>
              </w:rPr>
              <w:t>天，中标人经采购人书面通知后仍未交货，视为中标人不能交货；中标人不能交货的，采购人有权拒付中标人剩余货款，中标人应向采购人偿付相当于货款的20%的违约金，且采购人有权解除合同，中标人还应当退回采购人已经支付的所有款项。中标人因特殊原因无法按时交货的，经采购人同意后方可延迟送货，并与采购人确定新的供货安装期限，免除此条违约责任；</w:t>
            </w:r>
          </w:p>
          <w:p w14:paraId="5328E48B">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中标人所交产品（包括零部件）品种、数量、规格、型号、质量、技术参数及配置不符合国家法律法规、招标文件和投标文件及合同规定的，由中标人负责包换或退货，并承担由此而支付的实际费用。换货的供货安装期限超过合同履约期的视为逾期交货，退货的视为不能交货，并承担逾期交货、不能交货的违约责任；</w:t>
            </w:r>
          </w:p>
          <w:p w14:paraId="3B62DDEF">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（二）采购人的违约责任：采购人无正当理由拒绝接货的，应当承担由此对中标人造成的损失，并向中标人偿付拒绝接收部分货款的20%的违约金。</w:t>
            </w:r>
          </w:p>
          <w:p w14:paraId="6B122A69">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（三）双方的违约责任： 除明确约定的违约情形和违约责任外，任何一方违反本合同约定内容的，守约方可视情况追究违约责任，根据违反约定的程度确定违约方偿付相当于货款3%至20%的违约金。 </w:t>
            </w:r>
          </w:p>
        </w:tc>
      </w:tr>
    </w:tbl>
    <w:p w14:paraId="5F858647">
      <w:pPr>
        <w:rPr>
          <w:color w:val="auto"/>
        </w:rPr>
      </w:pPr>
    </w:p>
    <w:p w14:paraId="6015AE8F">
      <w:pPr>
        <w:bidi w:val="0"/>
        <w:rPr>
          <w:rFonts w:hint="eastAsia" w:ascii="Calibri" w:hAnsi="Calibri" w:eastAsia="宋体" w:cs="Times New Roman"/>
          <w:color w:val="auto"/>
          <w:sz w:val="22"/>
          <w:szCs w:val="22"/>
          <w:lang w:val="en-US" w:eastAsia="zh-CN" w:bidi="ar-SA"/>
        </w:rPr>
      </w:pPr>
    </w:p>
    <w:p w14:paraId="274F0878">
      <w:pPr>
        <w:tabs>
          <w:tab w:val="center" w:pos="4873"/>
        </w:tabs>
        <w:bidi w:val="0"/>
        <w:jc w:val="left"/>
        <w:rPr>
          <w:rFonts w:hint="eastAsia"/>
          <w:color w:val="auto"/>
          <w:lang w:val="en-US" w:eastAsia="zh-CN"/>
        </w:rPr>
        <w:sectPr>
          <w:pgSz w:w="11906" w:h="16838"/>
          <w:pgMar w:top="1440" w:right="1080" w:bottom="1440" w:left="1080" w:header="851" w:footer="992" w:gutter="0"/>
          <w:pgNumType w:fmt="decimal"/>
          <w:cols w:space="425" w:num="1"/>
          <w:rtlGutter w:val="0"/>
          <w:docGrid w:type="lines" w:linePitch="312" w:charSpace="0"/>
        </w:sectPr>
      </w:pPr>
      <w:r>
        <w:rPr>
          <w:rFonts w:hint="eastAsia"/>
          <w:color w:val="auto"/>
          <w:lang w:val="en-US" w:eastAsia="zh-CN"/>
        </w:rPr>
        <w:tab/>
      </w:r>
    </w:p>
    <w:p w14:paraId="4446F0BC">
      <w:pPr>
        <w:pStyle w:val="2"/>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b/>
          <w:bCs/>
          <w:color w:val="auto"/>
          <w:lang w:eastAsia="zh-CN"/>
        </w:rPr>
      </w:pPr>
      <w:bookmarkStart w:id="1206" w:name="_Toc27474"/>
      <w:r>
        <w:rPr>
          <w:rFonts w:hint="eastAsia" w:ascii="宋体" w:hAnsi="宋体" w:eastAsia="宋体" w:cs="宋体"/>
          <w:color w:val="auto"/>
          <w:lang w:eastAsia="zh-CN"/>
        </w:rPr>
        <w:t>第</w:t>
      </w:r>
      <w:r>
        <w:rPr>
          <w:rFonts w:hint="eastAsia" w:ascii="宋体" w:hAnsi="宋体" w:eastAsia="宋体" w:cs="宋体"/>
          <w:color w:val="auto"/>
          <w:lang w:val="en-US" w:eastAsia="zh-CN"/>
        </w:rPr>
        <w:t>五</w:t>
      </w:r>
      <w:r>
        <w:rPr>
          <w:rFonts w:hint="eastAsia" w:ascii="宋体" w:hAnsi="宋体" w:eastAsia="宋体" w:cs="宋体"/>
          <w:color w:val="auto"/>
          <w:lang w:eastAsia="zh-CN"/>
        </w:rPr>
        <w:t>章</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合同条款及格式</w:t>
      </w:r>
      <w:bookmarkEnd w:id="1206"/>
    </w:p>
    <w:p w14:paraId="7EC3FBBC">
      <w:pPr>
        <w:pStyle w:val="16"/>
        <w:keepNext w:val="0"/>
        <w:keepLines w:val="0"/>
        <w:pageBreakBefore w:val="0"/>
        <w:widowControl w:val="0"/>
        <w:kinsoku/>
        <w:wordWrap w:val="0"/>
        <w:overflowPunct/>
        <w:topLinePunct/>
        <w:autoSpaceDE/>
        <w:autoSpaceDN/>
        <w:bidi w:val="0"/>
        <w:adjustRightInd/>
        <w:snapToGrid/>
        <w:ind w:left="0" w:leftChars="0" w:right="0" w:firstLine="0" w:firstLineChars="0"/>
        <w:jc w:val="both"/>
        <w:rPr>
          <w:rFonts w:hint="eastAsia" w:ascii="宋体" w:hAnsi="宋体" w:eastAsia="宋体" w:cs="宋体"/>
          <w:b/>
          <w:bCs/>
          <w:color w:val="auto"/>
          <w:kern w:val="2"/>
          <w:sz w:val="24"/>
          <w:lang w:eastAsia="zh-CN"/>
        </w:rPr>
      </w:pPr>
      <w:bookmarkStart w:id="1207" w:name="_Hlk133595334"/>
      <w:r>
        <w:rPr>
          <w:rFonts w:hint="eastAsia" w:ascii="宋体" w:hAnsi="宋体" w:eastAsia="宋体" w:cs="宋体"/>
          <w:b/>
          <w:bCs/>
          <w:color w:val="auto"/>
          <w:kern w:val="2"/>
          <w:sz w:val="24"/>
          <w:szCs w:val="24"/>
          <w:lang w:eastAsia="zh-CN"/>
        </w:rPr>
        <w:t>说明：合同基本格式及主要条款以中标人和采购人最终协商确定的内容为准，但</w:t>
      </w:r>
      <w:r>
        <w:rPr>
          <w:rFonts w:hint="eastAsia" w:ascii="宋体" w:hAnsi="宋体" w:eastAsia="宋体" w:cs="宋体"/>
          <w:b/>
          <w:bCs/>
          <w:color w:val="auto"/>
          <w:kern w:val="2"/>
          <w:sz w:val="24"/>
          <w:lang w:eastAsia="zh-CN"/>
        </w:rPr>
        <w:t>所签订的合同不得对招标文件确定的事项和中标人的投标文件作实质性修改。</w:t>
      </w:r>
    </w:p>
    <w:p w14:paraId="3A58542F">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val="en-US" w:eastAsia="zh-CN"/>
        </w:rPr>
      </w:pPr>
    </w:p>
    <w:p w14:paraId="50BCA96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p>
    <w:p w14:paraId="3631F89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lang w:eastAsia="zh-CN"/>
        </w:rPr>
      </w:pPr>
      <w:r>
        <w:rPr>
          <w:rFonts w:hint="eastAsia" w:ascii="宋体" w:hAnsi="宋体" w:eastAsia="宋体" w:cs="宋体"/>
          <w:color w:val="auto"/>
          <w:sz w:val="24"/>
          <w:lang w:eastAsia="zh-CN"/>
        </w:rPr>
        <w:t>●本合同须加盖甲乙双方骑缝章有效</w:t>
      </w:r>
    </w:p>
    <w:p w14:paraId="09B3A74C">
      <w:pPr>
        <w:keepNext w:val="0"/>
        <w:keepLines w:val="0"/>
        <w:pageBreakBefore w:val="0"/>
        <w:widowControl w:val="0"/>
        <w:kinsoku/>
        <w:wordWrap w:val="0"/>
        <w:overflowPunct/>
        <w:topLinePunct/>
        <w:autoSpaceDE/>
        <w:autoSpaceDN/>
        <w:bidi w:val="0"/>
        <w:adjustRightInd/>
        <w:snapToGrid/>
        <w:ind w:left="0" w:leftChars="0" w:right="0" w:hanging="425"/>
        <w:jc w:val="both"/>
        <w:textAlignment w:val="baseline"/>
        <w:rPr>
          <w:rFonts w:hint="eastAsia" w:ascii="宋体" w:hAnsi="宋体" w:eastAsia="宋体" w:cs="宋体"/>
          <w:color w:val="auto"/>
          <w:sz w:val="21"/>
          <w:szCs w:val="21"/>
          <w:lang w:eastAsia="zh-CN"/>
        </w:rPr>
      </w:pPr>
    </w:p>
    <w:p w14:paraId="6934ACCC">
      <w:pPr>
        <w:keepNext w:val="0"/>
        <w:keepLines w:val="0"/>
        <w:pageBreakBefore w:val="0"/>
        <w:widowControl w:val="0"/>
        <w:kinsoku/>
        <w:wordWrap w:val="0"/>
        <w:overflowPunct/>
        <w:topLinePunct/>
        <w:autoSpaceDE/>
        <w:autoSpaceDN/>
        <w:bidi w:val="0"/>
        <w:adjustRightInd/>
        <w:snapToGrid/>
        <w:ind w:right="0"/>
        <w:jc w:val="both"/>
        <w:textAlignment w:val="baseline"/>
        <w:rPr>
          <w:rFonts w:hint="eastAsia" w:ascii="宋体" w:hAnsi="宋体" w:eastAsia="宋体" w:cs="宋体"/>
          <w:color w:val="auto"/>
          <w:sz w:val="48"/>
          <w:szCs w:val="48"/>
          <w:lang w:val="zh-CN" w:eastAsia="zh-CN"/>
        </w:rPr>
      </w:pPr>
      <w:r>
        <w:rPr>
          <w:rFonts w:hint="eastAsia" w:ascii="宋体" w:hAnsi="宋体" w:eastAsia="宋体" w:cs="宋体"/>
          <w:color w:val="auto"/>
          <w:sz w:val="21"/>
          <w:szCs w:val="21"/>
          <w:lang w:eastAsia="zh-CN"/>
        </w:rPr>
        <w:t>合同编号：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合同自编号：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项目编号：</w:t>
      </w:r>
      <w:r>
        <w:rPr>
          <w:rFonts w:hint="eastAsia" w:ascii="宋体" w:hAnsi="宋体" w:eastAsia="宋体" w:cs="宋体"/>
          <w:color w:val="auto"/>
          <w:sz w:val="21"/>
          <w:szCs w:val="21"/>
          <w:u w:val="single"/>
          <w:lang w:val="en-US" w:eastAsia="zh-CN"/>
        </w:rPr>
        <w:t xml:space="preserve">               </w:t>
      </w:r>
    </w:p>
    <w:p w14:paraId="16CFD8A0">
      <w:pPr>
        <w:keepNext w:val="0"/>
        <w:keepLines w:val="0"/>
        <w:pageBreakBefore w:val="0"/>
        <w:widowControl w:val="0"/>
        <w:kinsoku/>
        <w:wordWrap w:val="0"/>
        <w:overflowPunct/>
        <w:topLinePunct/>
        <w:autoSpaceDE/>
        <w:autoSpaceDN/>
        <w:bidi w:val="0"/>
        <w:adjustRightInd/>
        <w:snapToGrid/>
        <w:spacing w:line="800" w:lineRule="exact"/>
        <w:ind w:left="0" w:leftChars="0" w:right="0" w:firstLine="3360" w:firstLineChars="700"/>
        <w:jc w:val="both"/>
        <w:rPr>
          <w:rFonts w:hint="eastAsia" w:ascii="宋体" w:hAnsi="宋体" w:eastAsia="宋体" w:cs="宋体"/>
          <w:color w:val="auto"/>
          <w:sz w:val="48"/>
          <w:szCs w:val="48"/>
          <w:lang w:val="zh-CN" w:eastAsia="zh-CN"/>
        </w:rPr>
      </w:pPr>
      <w:r>
        <w:rPr>
          <w:rFonts w:hint="eastAsia" w:ascii="宋体" w:hAnsi="宋体" w:cs="宋体"/>
          <w:color w:val="auto"/>
          <w:sz w:val="48"/>
          <w:szCs w:val="48"/>
          <w:lang w:val="zh-CN" w:eastAsia="zh-CN"/>
        </w:rPr>
        <w:t>南华县人民医院</w:t>
      </w:r>
    </w:p>
    <w:p w14:paraId="78BB6DFF">
      <w:pPr>
        <w:keepNext w:val="0"/>
        <w:keepLines w:val="0"/>
        <w:pageBreakBefore w:val="0"/>
        <w:widowControl w:val="0"/>
        <w:kinsoku/>
        <w:wordWrap w:val="0"/>
        <w:overflowPunct/>
        <w:topLinePunct/>
        <w:autoSpaceDE/>
        <w:autoSpaceDN/>
        <w:bidi w:val="0"/>
        <w:adjustRightInd/>
        <w:snapToGrid/>
        <w:spacing w:line="800" w:lineRule="exact"/>
        <w:ind w:left="0" w:leftChars="0" w:right="0"/>
        <w:jc w:val="center"/>
        <w:rPr>
          <w:rFonts w:hint="eastAsia" w:ascii="宋体" w:hAnsi="宋体" w:eastAsia="宋体" w:cs="宋体"/>
          <w:color w:val="auto"/>
          <w:sz w:val="72"/>
          <w:szCs w:val="56"/>
          <w:lang w:val="zh-CN" w:eastAsia="zh-CN"/>
        </w:rPr>
      </w:pPr>
    </w:p>
    <w:p w14:paraId="2EF9CFB1">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合</w:t>
      </w:r>
    </w:p>
    <w:p w14:paraId="3EEC518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同</w:t>
      </w:r>
    </w:p>
    <w:p w14:paraId="0CA4BB5D">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宋体" w:hAnsi="宋体" w:eastAsia="宋体" w:cs="宋体"/>
          <w:color w:val="auto"/>
          <w:sz w:val="72"/>
          <w:szCs w:val="56"/>
          <w:lang w:val="zh-CN" w:eastAsia="zh-CN"/>
        </w:rPr>
      </w:pPr>
      <w:r>
        <w:rPr>
          <w:rFonts w:hint="eastAsia" w:ascii="宋体" w:hAnsi="宋体" w:eastAsia="宋体" w:cs="宋体"/>
          <w:color w:val="auto"/>
          <w:sz w:val="72"/>
          <w:szCs w:val="56"/>
          <w:lang w:val="zh-CN" w:eastAsia="zh-CN"/>
        </w:rPr>
        <w:t>书</w:t>
      </w:r>
    </w:p>
    <w:p w14:paraId="1CF7B44D">
      <w:pPr>
        <w:pStyle w:val="28"/>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val="zh-CN" w:eastAsia="zh-CN"/>
        </w:rPr>
      </w:pPr>
    </w:p>
    <w:p w14:paraId="41D794D6">
      <w:pPr>
        <w:keepNext w:val="0"/>
        <w:keepLines w:val="0"/>
        <w:pageBreakBefore w:val="0"/>
        <w:widowControl w:val="0"/>
        <w:kinsoku/>
        <w:wordWrap w:val="0"/>
        <w:overflowPunct/>
        <w:topLinePunct/>
        <w:autoSpaceDE/>
        <w:autoSpaceDN/>
        <w:bidi w:val="0"/>
        <w:adjustRightInd/>
        <w:snapToGrid/>
        <w:spacing w:line="840" w:lineRule="exact"/>
        <w:ind w:left="0" w:leftChars="0" w:right="0"/>
        <w:rPr>
          <w:rFonts w:hint="eastAsia" w:ascii="宋体" w:hAnsi="宋体" w:eastAsia="宋体" w:cs="宋体"/>
          <w:color w:val="auto"/>
          <w:sz w:val="32"/>
          <w:lang w:val="zh-CN" w:eastAsia="zh-CN"/>
        </w:rPr>
      </w:pPr>
    </w:p>
    <w:p w14:paraId="4F72ECD0">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val="zh-CN" w:eastAsia="zh-CN"/>
        </w:rPr>
      </w:pPr>
      <w:r>
        <w:rPr>
          <w:rFonts w:hint="eastAsia" w:ascii="宋体" w:hAnsi="宋体" w:eastAsia="宋体" w:cs="宋体"/>
          <w:color w:val="auto"/>
          <w:sz w:val="32"/>
          <w:lang w:val="zh-CN" w:eastAsia="zh-CN"/>
        </w:rPr>
        <w:t>采</w:t>
      </w:r>
      <w:r>
        <w:rPr>
          <w:rFonts w:hint="eastAsia" w:ascii="宋体" w:hAnsi="宋体" w:eastAsia="宋体" w:cs="宋体"/>
          <w:color w:val="auto"/>
          <w:sz w:val="32"/>
          <w:lang w:eastAsia="zh-CN"/>
        </w:rPr>
        <w:t xml:space="preserve"> </w:t>
      </w:r>
      <w:r>
        <w:rPr>
          <w:rFonts w:hint="eastAsia" w:ascii="宋体" w:hAnsi="宋体" w:eastAsia="宋体" w:cs="宋体"/>
          <w:color w:val="auto"/>
          <w:sz w:val="32"/>
          <w:lang w:val="zh-CN" w:eastAsia="zh-CN"/>
        </w:rPr>
        <w:t>购 人（甲方）：</w:t>
      </w:r>
      <w:r>
        <w:rPr>
          <w:rFonts w:hint="eastAsia" w:ascii="宋体" w:hAnsi="宋体" w:cs="宋体"/>
          <w:color w:val="auto"/>
          <w:sz w:val="32"/>
          <w:u w:val="single"/>
          <w:lang w:val="zh-CN" w:eastAsia="zh-CN"/>
        </w:rPr>
        <w:t>南华县人民医院</w:t>
      </w:r>
    </w:p>
    <w:p w14:paraId="2C6FBFDD">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eastAsia="zh-CN"/>
        </w:rPr>
      </w:pPr>
      <w:r>
        <w:rPr>
          <w:rFonts w:hint="eastAsia" w:ascii="宋体" w:hAnsi="宋体" w:eastAsia="宋体" w:cs="宋体"/>
          <w:color w:val="auto"/>
          <w:sz w:val="32"/>
          <w:lang w:eastAsia="zh-CN"/>
        </w:rPr>
        <w:t>供 应 商（乙方）：</w:t>
      </w:r>
      <w:r>
        <w:rPr>
          <w:rFonts w:hint="eastAsia" w:ascii="宋体" w:hAnsi="宋体" w:eastAsia="宋体" w:cs="宋体"/>
          <w:color w:val="auto"/>
          <w:sz w:val="32"/>
          <w:u w:val="single"/>
          <w:lang w:eastAsia="zh-CN"/>
        </w:rPr>
        <w:t xml:space="preserve">                      </w:t>
      </w:r>
    </w:p>
    <w:p w14:paraId="51C5EFC6">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single"/>
          <w:lang w:val="en-US" w:eastAsia="zh-CN"/>
        </w:rPr>
      </w:pPr>
      <w:r>
        <w:rPr>
          <w:rFonts w:hint="eastAsia" w:ascii="宋体" w:hAnsi="宋体" w:eastAsia="宋体" w:cs="宋体"/>
          <w:color w:val="auto"/>
          <w:sz w:val="32"/>
          <w:lang w:eastAsia="zh-CN"/>
        </w:rPr>
        <w:t>项目名称：</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single"/>
          <w:lang w:val="en-US" w:eastAsia="zh-CN"/>
        </w:rPr>
        <w:t xml:space="preserve">       </w:t>
      </w:r>
    </w:p>
    <w:p w14:paraId="62D56081">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28"/>
          <w:szCs w:val="18"/>
          <w:u w:val="single"/>
          <w:lang w:eastAsia="zh-CN"/>
        </w:rPr>
      </w:pPr>
      <w:r>
        <w:rPr>
          <w:rFonts w:hint="eastAsia" w:ascii="宋体" w:hAnsi="宋体" w:eastAsia="宋体" w:cs="宋体"/>
          <w:color w:val="auto"/>
          <w:sz w:val="32"/>
          <w:lang w:eastAsia="zh-CN"/>
        </w:rPr>
        <w:t>代理机构（</w:t>
      </w:r>
      <w:r>
        <w:rPr>
          <w:rFonts w:hint="eastAsia" w:ascii="宋体" w:hAnsi="宋体" w:eastAsia="宋体" w:cs="宋体"/>
          <w:color w:val="auto"/>
          <w:sz w:val="32"/>
          <w:lang w:val="en-US" w:eastAsia="zh-CN"/>
        </w:rPr>
        <w:t>见证方</w:t>
      </w:r>
      <w:r>
        <w:rPr>
          <w:rFonts w:hint="eastAsia" w:ascii="宋体" w:hAnsi="宋体" w:eastAsia="宋体" w:cs="宋体"/>
          <w:color w:val="auto"/>
          <w:sz w:val="32"/>
          <w:lang w:eastAsia="zh-CN"/>
        </w:rPr>
        <w:t>）</w:t>
      </w:r>
      <w:r>
        <w:rPr>
          <w:rFonts w:hint="eastAsia" w:ascii="宋体" w:hAnsi="宋体" w:eastAsia="宋体" w:cs="宋体"/>
          <w:color w:val="auto"/>
          <w:sz w:val="32"/>
          <w:lang w:val="zh-CN" w:eastAsia="zh-CN"/>
        </w:rPr>
        <w:t>：</w:t>
      </w:r>
      <w:r>
        <w:rPr>
          <w:rFonts w:hint="eastAsia" w:ascii="宋体" w:hAnsi="宋体" w:cs="宋体"/>
          <w:color w:val="auto"/>
          <w:sz w:val="32"/>
          <w:u w:val="single"/>
          <w:lang w:eastAsia="zh-CN"/>
        </w:rPr>
        <w:t>楚雄腾凯工程项目管理有限公司</w:t>
      </w:r>
    </w:p>
    <w:p w14:paraId="4424F072">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lang w:eastAsia="zh-CN"/>
        </w:rPr>
      </w:pPr>
      <w:r>
        <w:rPr>
          <w:rFonts w:hint="eastAsia" w:ascii="宋体" w:hAnsi="宋体" w:eastAsia="宋体" w:cs="宋体"/>
          <w:color w:val="auto"/>
          <w:sz w:val="32"/>
          <w:lang w:eastAsia="zh-CN"/>
        </w:rPr>
        <w:t>合同签订地点：</w:t>
      </w:r>
      <w:r>
        <w:rPr>
          <w:rFonts w:hint="eastAsia" w:ascii="宋体" w:hAnsi="宋体" w:eastAsia="宋体" w:cs="宋体"/>
          <w:color w:val="auto"/>
          <w:sz w:val="32"/>
          <w:u w:val="single"/>
          <w:lang w:eastAsia="zh-CN"/>
        </w:rPr>
        <w:t>云南省</w:t>
      </w:r>
      <w:r>
        <w:rPr>
          <w:rFonts w:hint="eastAsia" w:ascii="宋体" w:hAnsi="宋体" w:cs="宋体"/>
          <w:color w:val="auto"/>
          <w:sz w:val="32"/>
          <w:u w:val="single"/>
          <w:lang w:eastAsia="zh-CN"/>
        </w:rPr>
        <w:t>南华县</w:t>
      </w:r>
    </w:p>
    <w:p w14:paraId="3F0D6445">
      <w:pPr>
        <w:keepNext w:val="0"/>
        <w:keepLines w:val="0"/>
        <w:pageBreakBefore w:val="0"/>
        <w:widowControl w:val="0"/>
        <w:kinsoku/>
        <w:wordWrap w:val="0"/>
        <w:overflowPunct/>
        <w:topLinePunct/>
        <w:autoSpaceDE/>
        <w:autoSpaceDN/>
        <w:bidi w:val="0"/>
        <w:adjustRightInd/>
        <w:snapToGrid/>
        <w:spacing w:line="480" w:lineRule="auto"/>
        <w:ind w:left="0" w:leftChars="0" w:right="0"/>
        <w:textAlignment w:val="auto"/>
        <w:rPr>
          <w:rFonts w:hint="eastAsia" w:ascii="宋体" w:hAnsi="宋体" w:eastAsia="宋体" w:cs="宋体"/>
          <w:color w:val="auto"/>
          <w:sz w:val="32"/>
          <w:u w:val="none"/>
          <w:lang w:eastAsia="zh-CN"/>
        </w:rPr>
      </w:pPr>
      <w:r>
        <w:rPr>
          <w:rFonts w:hint="eastAsia" w:ascii="宋体" w:hAnsi="宋体" w:eastAsia="宋体" w:cs="宋体"/>
          <w:color w:val="auto"/>
          <w:sz w:val="32"/>
          <w:lang w:eastAsia="zh-CN"/>
        </w:rPr>
        <w:t>合同签订时间：</w:t>
      </w:r>
      <w:r>
        <w:rPr>
          <w:rFonts w:hint="eastAsia" w:ascii="宋体" w:hAnsi="宋体" w:eastAsia="宋体" w:cs="宋体"/>
          <w:color w:val="auto"/>
          <w:sz w:val="32"/>
          <w:u w:val="single"/>
          <w:lang w:eastAsia="zh-CN"/>
        </w:rPr>
        <w:t>202</w:t>
      </w:r>
      <w:r>
        <w:rPr>
          <w:rFonts w:hint="eastAsia" w:ascii="宋体" w:hAnsi="宋体" w:cs="宋体"/>
          <w:color w:val="auto"/>
          <w:sz w:val="32"/>
          <w:u w:val="single"/>
          <w:lang w:val="en-US" w:eastAsia="zh-CN"/>
        </w:rPr>
        <w:t>5</w:t>
      </w:r>
      <w:r>
        <w:rPr>
          <w:rFonts w:hint="eastAsia" w:ascii="宋体" w:hAnsi="宋体" w:eastAsia="宋体" w:cs="宋体"/>
          <w:color w:val="auto"/>
          <w:sz w:val="32"/>
          <w:u w:val="none"/>
          <w:lang w:eastAsia="zh-CN"/>
        </w:rPr>
        <w:t>年</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月</w:t>
      </w:r>
      <w:r>
        <w:rPr>
          <w:rFonts w:hint="eastAsia" w:ascii="宋体" w:hAnsi="宋体" w:eastAsia="宋体" w:cs="宋体"/>
          <w:color w:val="auto"/>
          <w:sz w:val="32"/>
          <w:u w:val="single"/>
          <w:lang w:eastAsia="zh-CN"/>
        </w:rPr>
        <w:t xml:space="preserve">   </w:t>
      </w:r>
      <w:r>
        <w:rPr>
          <w:rFonts w:hint="eastAsia" w:ascii="宋体" w:hAnsi="宋体" w:eastAsia="宋体" w:cs="宋体"/>
          <w:color w:val="auto"/>
          <w:sz w:val="32"/>
          <w:u w:val="none"/>
          <w:lang w:eastAsia="zh-CN"/>
        </w:rPr>
        <w:t>日</w:t>
      </w:r>
      <w:bookmarkEnd w:id="1207"/>
    </w:p>
    <w:p w14:paraId="42F2160C">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textAlignment w:val="auto"/>
        <w:rPr>
          <w:rStyle w:val="685"/>
          <w:rFonts w:hint="eastAsia" w:ascii="宋体" w:hAnsi="宋体" w:eastAsia="宋体" w:cs="宋体"/>
          <w:color w:val="auto"/>
          <w:sz w:val="32"/>
          <w:szCs w:val="32"/>
        </w:rPr>
        <w:sectPr>
          <w:pgSz w:w="11906" w:h="16838"/>
          <w:pgMar w:top="1440" w:right="1080" w:bottom="1440" w:left="1080" w:header="567" w:footer="907" w:gutter="0"/>
          <w:pgNumType w:fmt="decimal"/>
          <w:cols w:space="720" w:num="1"/>
          <w:titlePg/>
          <w:rtlGutter w:val="0"/>
          <w:docGrid w:linePitch="299" w:charSpace="0"/>
        </w:sectPr>
      </w:pPr>
      <w:bookmarkStart w:id="1208" w:name="_Toc12284"/>
    </w:p>
    <w:bookmarkEnd w:id="1208"/>
    <w:p w14:paraId="59558955">
      <w:pPr>
        <w:pStyle w:val="5"/>
        <w:spacing w:line="443" w:lineRule="exact"/>
        <w:ind w:left="2973" w:firstLine="301" w:firstLineChars="100"/>
        <w:rPr>
          <w:rFonts w:hint="eastAsia" w:ascii="Microsoft JhengHei" w:hAnsi="Microsoft JhengHei" w:eastAsia="宋体"/>
          <w:color w:val="auto"/>
          <w:kern w:val="0"/>
          <w:sz w:val="30"/>
          <w:szCs w:val="32"/>
          <w:highlight w:val="none"/>
        </w:rPr>
      </w:pPr>
      <w:bookmarkStart w:id="1209" w:name="_Toc27999"/>
      <w:r>
        <w:rPr>
          <w:rFonts w:hint="eastAsia" w:ascii="Microsoft JhengHei" w:hAnsi="Microsoft JhengHei" w:eastAsia="宋体"/>
          <w:b/>
          <w:bCs/>
          <w:color w:val="auto"/>
          <w:kern w:val="0"/>
          <w:sz w:val="30"/>
          <w:szCs w:val="32"/>
          <w:highlight w:val="none"/>
        </w:rPr>
        <w:t>第</w:t>
      </w:r>
      <w:r>
        <w:rPr>
          <w:rFonts w:hint="eastAsia" w:ascii="Microsoft JhengHei" w:hAnsi="Microsoft JhengHei"/>
          <w:b/>
          <w:bCs/>
          <w:color w:val="auto"/>
          <w:sz w:val="30"/>
          <w:highlight w:val="none"/>
        </w:rPr>
        <w:t>一部分</w:t>
      </w:r>
      <w:r>
        <w:rPr>
          <w:rFonts w:hint="eastAsia" w:ascii="Microsoft JhengHei" w:hAnsi="Microsoft JhengHei" w:eastAsia="宋体"/>
          <w:b/>
          <w:bCs/>
          <w:color w:val="auto"/>
          <w:kern w:val="0"/>
          <w:sz w:val="30"/>
          <w:szCs w:val="32"/>
          <w:highlight w:val="none"/>
        </w:rPr>
        <w:t xml:space="preserve"> 政府采购合同协议书</w:t>
      </w:r>
      <w:bookmarkEnd w:id="1209"/>
    </w:p>
    <w:p w14:paraId="79A4CA78">
      <w:pPr>
        <w:wordWrap w:val="0"/>
        <w:topLinePunct/>
        <w:spacing w:line="360" w:lineRule="auto"/>
        <w:ind w:firstLine="480" w:firstLineChars="200"/>
        <w:jc w:val="left"/>
        <w:rPr>
          <w:rFonts w:hint="eastAsia" w:ascii="宋体" w:hAnsi="宋体" w:cs="宋体"/>
          <w:color w:val="auto"/>
          <w:sz w:val="24"/>
          <w:szCs w:val="24"/>
          <w:highlight w:val="none"/>
        </w:rPr>
      </w:pPr>
    </w:p>
    <w:p w14:paraId="336B2530">
      <w:pPr>
        <w:wordWrap w:val="0"/>
        <w:topLinePunct/>
        <w:spacing w:line="360" w:lineRule="auto"/>
        <w:ind w:left="4560" w:hanging="4560" w:hangingChars="19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（采购人、受采购人委托签订合同的单位或采购文件约定的合同甲方）</w:t>
      </w:r>
    </w:p>
    <w:p w14:paraId="16D20826">
      <w:pPr>
        <w:wordWrap w:val="0"/>
        <w:topLinePunct/>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乙方1（全称）：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w:t>
      </w:r>
    </w:p>
    <w:p w14:paraId="30B9AF46">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乙方2（全称）：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1238408F">
      <w:pPr>
        <w:wordWrap w:val="0"/>
        <w:topLinePunct/>
        <w:spacing w:line="360" w:lineRule="auto"/>
        <w:ind w:left="4800" w:hanging="4800" w:hangingChars="20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乙方3（全称）：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（联合体成员</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或其他合同主体）（如有）</w:t>
      </w:r>
    </w:p>
    <w:p w14:paraId="2132A436">
      <w:pPr>
        <w:wordWrap w:val="0"/>
        <w:topLinePunct/>
        <w:spacing w:line="360" w:lineRule="auto"/>
        <w:ind w:firstLine="480" w:firstLineChars="200"/>
        <w:jc w:val="left"/>
        <w:rPr>
          <w:rFonts w:hint="eastAsia" w:ascii="宋体" w:hAnsi="宋体" w:cs="宋体"/>
          <w:color w:val="auto"/>
          <w:sz w:val="24"/>
          <w:szCs w:val="24"/>
          <w:highlight w:val="none"/>
        </w:rPr>
      </w:pPr>
    </w:p>
    <w:p w14:paraId="6CC9C96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345F301">
      <w:pPr>
        <w:pStyle w:val="6"/>
        <w:rPr>
          <w:rFonts w:hint="eastAsia" w:ascii="宋体" w:hAnsi="宋体" w:cs="宋体"/>
          <w:color w:val="auto"/>
          <w:szCs w:val="24"/>
          <w:highlight w:val="none"/>
        </w:rPr>
      </w:pPr>
      <w:bookmarkStart w:id="1210" w:name="_Toc26267"/>
      <w:r>
        <w:rPr>
          <w:rFonts w:hint="eastAsia" w:ascii="宋体" w:hAnsi="宋体" w:cs="宋体"/>
          <w:color w:val="auto"/>
          <w:highlight w:val="none"/>
        </w:rPr>
        <w:t>1.项目信息</w:t>
      </w:r>
      <w:bookmarkEnd w:id="1210"/>
    </w:p>
    <w:p w14:paraId="51CD3BD1">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（1）采购项目名称：</w:t>
      </w:r>
      <w:r>
        <w:rPr>
          <w:rFonts w:hint="eastAsia" w:ascii="宋体" w:hAnsi="宋体" w:cs="宋体"/>
          <w:color w:val="auto"/>
          <w:sz w:val="24"/>
          <w:szCs w:val="24"/>
          <w:highlight w:val="none"/>
          <w:u w:val="single"/>
        </w:rPr>
        <w:t xml:space="preserve">                                                  </w:t>
      </w:r>
    </w:p>
    <w:p w14:paraId="4E529C85">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采购项目编号：</w:t>
      </w:r>
      <w:r>
        <w:rPr>
          <w:rFonts w:hint="eastAsia" w:ascii="宋体" w:hAnsi="宋体" w:cs="宋体"/>
          <w:color w:val="auto"/>
          <w:sz w:val="24"/>
          <w:szCs w:val="24"/>
          <w:highlight w:val="none"/>
          <w:u w:val="single"/>
        </w:rPr>
        <w:t xml:space="preserve">                                                  </w:t>
      </w:r>
    </w:p>
    <w:p w14:paraId="20E62FF7">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（2）采购计划编号：</w:t>
      </w:r>
      <w:r>
        <w:rPr>
          <w:rFonts w:hint="eastAsia" w:ascii="宋体" w:hAnsi="宋体" w:cs="宋体"/>
          <w:color w:val="auto"/>
          <w:sz w:val="24"/>
          <w:szCs w:val="24"/>
          <w:highlight w:val="none"/>
          <w:u w:val="single"/>
        </w:rPr>
        <w:t xml:space="preserve">                                                  </w:t>
      </w:r>
    </w:p>
    <w:p w14:paraId="649E9FD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（3）项目内容：</w:t>
      </w:r>
    </w:p>
    <w:p w14:paraId="33FBCA1A">
      <w:pPr>
        <w:wordWrap w:val="0"/>
        <w:topLinePunct/>
        <w:spacing w:line="360" w:lineRule="auto"/>
        <w:ind w:firstLine="960" w:firstLineChars="4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采购标的及数量（台/套</w:t>
      </w:r>
      <w:r>
        <w:rPr>
          <w:rFonts w:hint="eastAsia" w:ascii="宋体" w:hAnsi="宋体" w:cs="宋体"/>
          <w:color w:val="auto"/>
          <w:sz w:val="24"/>
          <w:szCs w:val="24"/>
          <w:highlight w:val="none"/>
          <w:lang w:val="en"/>
        </w:rPr>
        <w:t>/个/架/组等</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lang w:val="en"/>
        </w:rPr>
        <w:t xml:space="preserve">   </w:t>
      </w:r>
      <w:r>
        <w:rPr>
          <w:rFonts w:hint="eastAsia" w:ascii="宋体" w:hAnsi="宋体" w:cs="宋体"/>
          <w:color w:val="auto"/>
          <w:sz w:val="24"/>
          <w:szCs w:val="24"/>
          <w:highlight w:val="none"/>
        </w:rPr>
        <w:t>规格型号：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p>
    <w:p w14:paraId="1663D53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采购标的的技术要求、商务要求具体见附件。</w:t>
      </w:r>
    </w:p>
    <w:p w14:paraId="4303E735">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①涉及信息类产品，请填写该产品关键部件的品牌、型号：</w:t>
      </w:r>
    </w:p>
    <w:p w14:paraId="17382CB4">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
        </w:rPr>
        <w:t xml:space="preserve">               </w:t>
      </w:r>
      <w:r>
        <w:rPr>
          <w:rFonts w:hint="eastAsia" w:ascii="宋体" w:hAnsi="宋体" w:cs="宋体"/>
          <w:color w:val="auto"/>
          <w:sz w:val="24"/>
          <w:szCs w:val="24"/>
          <w:highlight w:val="none"/>
          <w:u w:val="single"/>
        </w:rPr>
        <w:t xml:space="preserve">                       </w:t>
      </w:r>
    </w:p>
    <w:p w14:paraId="43221F68">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5DC7DAC3">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37FB167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关键部件：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型号：</w:t>
      </w:r>
      <w:r>
        <w:rPr>
          <w:rFonts w:hint="eastAsia" w:ascii="宋体" w:hAnsi="宋体" w:cs="宋体"/>
          <w:color w:val="auto"/>
          <w:sz w:val="24"/>
          <w:szCs w:val="24"/>
          <w:highlight w:val="none"/>
          <w:u w:val="single"/>
        </w:rPr>
        <w:t xml:space="preserve">          </w:t>
      </w:r>
    </w:p>
    <w:p w14:paraId="34A52D2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（注：关键部件是指财政部会同有关部门发布的政府采购需求标准规定的需要通过国家有关部门指定的测评机构开展的安全可靠测评的软硬件，如CPU芯片、操作系统、数据库等。）</w:t>
      </w:r>
    </w:p>
    <w:p w14:paraId="298B3F8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②涉及车辆采购，请填写是否属于新能源汽车：</w:t>
      </w:r>
    </w:p>
    <w:p w14:paraId="0B5C0FE8">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是，《政府采购品目分类目录》底级品目名称：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31AE7300">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DF9484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4</w:t>
      </w:r>
      <w:r>
        <w:rPr>
          <w:rFonts w:hint="eastAsia" w:ascii="宋体" w:hAnsi="宋体" w:cs="宋体"/>
          <w:color w:val="auto"/>
          <w:sz w:val="24"/>
          <w:szCs w:val="24"/>
          <w:highlight w:val="none"/>
        </w:rPr>
        <w:t>）政府采购组织形式：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政府集中采购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部门集中采购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分散采购</w:t>
      </w:r>
    </w:p>
    <w:p w14:paraId="37F3E00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5</w:t>
      </w:r>
      <w:r>
        <w:rPr>
          <w:rFonts w:hint="eastAsia" w:ascii="宋体" w:hAnsi="宋体" w:cs="宋体"/>
          <w:color w:val="auto"/>
          <w:sz w:val="24"/>
          <w:szCs w:val="24"/>
          <w:highlight w:val="none"/>
        </w:rPr>
        <w:t>）政府采购方式：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公开招标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邀请招标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竞争性谈判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竞争性磋商</w:t>
      </w:r>
    </w:p>
    <w:p w14:paraId="22571A4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询价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单一来源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框架协议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其他：          </w:t>
      </w:r>
    </w:p>
    <w:p w14:paraId="4E7AB11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（注：在框架协议采购的第二阶段，可选择使用该合同文本）</w:t>
      </w:r>
    </w:p>
    <w:p w14:paraId="4DF3FDA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6</w:t>
      </w:r>
      <w:r>
        <w:rPr>
          <w:rFonts w:hint="eastAsia" w:ascii="宋体" w:hAnsi="宋体" w:cs="宋体"/>
          <w:color w:val="auto"/>
          <w:sz w:val="24"/>
          <w:szCs w:val="24"/>
          <w:highlight w:val="none"/>
        </w:rPr>
        <w:t>）中标（成交）采购标的制造商是否为中小企业：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3150199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本合同是否为专门面向中小企业的采购合同（中小企业预留合同）：</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0F69DCD5">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若本项目不专门面向中小企业采购，是否给予小微企业评审优惠：</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40A8ED2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中标（成交）采购标的制造商是否为残疾人福利性单位：</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6E14301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中标（成交）采购标的制造商是否为监狱企业：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9AAB68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7</w:t>
      </w:r>
      <w:r>
        <w:rPr>
          <w:rFonts w:hint="eastAsia" w:ascii="宋体" w:hAnsi="宋体" w:cs="宋体"/>
          <w:color w:val="auto"/>
          <w:sz w:val="24"/>
          <w:szCs w:val="24"/>
          <w:highlight w:val="none"/>
        </w:rPr>
        <w:t>）合同是否分包：</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16EC374B">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分包主要内容：</w:t>
      </w:r>
      <w:r>
        <w:rPr>
          <w:rFonts w:hint="eastAsia" w:ascii="宋体" w:hAnsi="宋体" w:cs="宋体"/>
          <w:color w:val="auto"/>
          <w:sz w:val="24"/>
          <w:szCs w:val="24"/>
          <w:highlight w:val="none"/>
          <w:u w:val="single"/>
        </w:rPr>
        <w:t xml:space="preserve">                                                  </w:t>
      </w:r>
    </w:p>
    <w:p w14:paraId="01D97D1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/制造商名称（如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和制造商不同，请分别填写）：</w:t>
      </w:r>
    </w:p>
    <w:p w14:paraId="60D5A7D1">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39D415D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分包</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/制造商类型（如果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和制造商不同，只填写制造商类型）：</w:t>
      </w:r>
    </w:p>
    <w:p w14:paraId="006B9F76">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大型企业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中型企业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小微型企业  </w:t>
      </w:r>
    </w:p>
    <w:p w14:paraId="54962CC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残疾人福利性单位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监狱企业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其他</w:t>
      </w:r>
    </w:p>
    <w:p w14:paraId="58C99EA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8</w:t>
      </w:r>
      <w:r>
        <w:rPr>
          <w:rFonts w:hint="eastAsia" w:ascii="宋体" w:hAnsi="宋体" w:cs="宋体"/>
          <w:color w:val="auto"/>
          <w:sz w:val="24"/>
          <w:szCs w:val="24"/>
          <w:highlight w:val="none"/>
        </w:rPr>
        <w:t>）中标（成交）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是否为外商投资企业：</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5E95430">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外商投资企业类型：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全部由外国投资者投资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部分由外国投资者投资</w:t>
      </w:r>
    </w:p>
    <w:p w14:paraId="1D52121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
        </w:rPr>
        <w:t>9</w:t>
      </w:r>
      <w:r>
        <w:rPr>
          <w:rFonts w:hint="eastAsia" w:ascii="宋体" w:hAnsi="宋体" w:cs="宋体"/>
          <w:color w:val="auto"/>
          <w:sz w:val="24"/>
          <w:szCs w:val="24"/>
          <w:highlight w:val="none"/>
        </w:rPr>
        <w:t>）是否涉及进口产品：</w:t>
      </w:r>
    </w:p>
    <w:p w14:paraId="0425F71D">
      <w:pPr>
        <w:wordWrap w:val="0"/>
        <w:topLinePunct/>
        <w:spacing w:line="360" w:lineRule="auto"/>
        <w:ind w:left="2639" w:leftChars="436" w:hanging="1680" w:hangingChars="7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是，《政府采购品目分类目录》底级品目名称：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金额：</w:t>
      </w:r>
      <w:r>
        <w:rPr>
          <w:rFonts w:hint="eastAsia" w:ascii="宋体" w:hAnsi="宋体" w:cs="宋体"/>
          <w:color w:val="auto"/>
          <w:sz w:val="24"/>
          <w:szCs w:val="24"/>
          <w:highlight w:val="none"/>
          <w:u w:val="single"/>
        </w:rPr>
        <w:t xml:space="preserve">          </w:t>
      </w:r>
    </w:p>
    <w:p w14:paraId="6FF0C480">
      <w:pPr>
        <w:wordWrap w:val="0"/>
        <w:topLinePunct/>
        <w:spacing w:line="360" w:lineRule="auto"/>
        <w:ind w:left="2638" w:leftChars="119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国别：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品牌：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规格型号：</w:t>
      </w:r>
      <w:r>
        <w:rPr>
          <w:rFonts w:hint="eastAsia" w:ascii="宋体" w:hAnsi="宋体" w:cs="宋体"/>
          <w:color w:val="auto"/>
          <w:sz w:val="24"/>
          <w:szCs w:val="24"/>
          <w:highlight w:val="none"/>
          <w:u w:val="single"/>
        </w:rPr>
        <w:t xml:space="preserve">           </w:t>
      </w:r>
    </w:p>
    <w:p w14:paraId="425FA118">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FC8059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
        </w:rPr>
        <w:t>0</w:t>
      </w:r>
      <w:r>
        <w:rPr>
          <w:rFonts w:hint="eastAsia" w:ascii="宋体" w:hAnsi="宋体" w:cs="宋体"/>
          <w:color w:val="auto"/>
          <w:sz w:val="24"/>
          <w:szCs w:val="24"/>
          <w:highlight w:val="none"/>
        </w:rPr>
        <w:t>）是否涉及节能产品：</w:t>
      </w:r>
    </w:p>
    <w:p w14:paraId="7EF0A291">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是，《节能产品政府采购品目清单》的底级品目名称：</w:t>
      </w:r>
      <w:r>
        <w:rPr>
          <w:rFonts w:hint="eastAsia" w:ascii="宋体" w:hAnsi="宋体" w:cs="宋体"/>
          <w:color w:val="auto"/>
          <w:sz w:val="24"/>
          <w:szCs w:val="24"/>
          <w:highlight w:val="none"/>
          <w:u w:val="single"/>
        </w:rPr>
        <w:t xml:space="preserve">              </w:t>
      </w:r>
    </w:p>
    <w:p w14:paraId="7F9CF1C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1D07E39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263F0F4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9349CFF">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是否涉及环境标志产品：</w:t>
      </w:r>
    </w:p>
    <w:p w14:paraId="38B6908A">
      <w:pPr>
        <w:wordWrap w:val="0"/>
        <w:topLinePunct/>
        <w:spacing w:line="360" w:lineRule="auto"/>
        <w:ind w:firstLine="960" w:firstLineChars="4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是，《环境标志产品政府采购品目清单》的底级品目名称：</w:t>
      </w:r>
      <w:r>
        <w:rPr>
          <w:rFonts w:hint="eastAsia" w:ascii="宋体" w:hAnsi="宋体" w:cs="宋体"/>
          <w:color w:val="auto"/>
          <w:sz w:val="24"/>
          <w:szCs w:val="24"/>
          <w:highlight w:val="none"/>
          <w:u w:val="single"/>
        </w:rPr>
        <w:t xml:space="preserve">          </w:t>
      </w:r>
    </w:p>
    <w:p w14:paraId="54551CC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31A912A1">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4D3B7739">
      <w:pPr>
        <w:wordWrap w:val="0"/>
        <w:topLinePunct/>
        <w:spacing w:line="360" w:lineRule="auto"/>
        <w:ind w:firstLine="960" w:firstLineChars="400"/>
        <w:jc w:val="left"/>
        <w:rPr>
          <w:rFonts w:hint="eastAsia" w:ascii="宋体" w:hAnsi="宋体" w:cs="宋体"/>
          <w:color w:val="auto"/>
          <w:sz w:val="24"/>
          <w:szCs w:val="24"/>
          <w:highlight w:val="none"/>
        </w:rPr>
      </w:pPr>
    </w:p>
    <w:p w14:paraId="1C6FDF3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是否涉及绿色产品： </w:t>
      </w:r>
    </w:p>
    <w:p w14:paraId="4EFC7BB3">
      <w:pPr>
        <w:wordWrap w:val="0"/>
        <w:topLinePunct/>
        <w:spacing w:line="360" w:lineRule="auto"/>
        <w:ind w:firstLine="1440" w:firstLineChars="6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是，绿色产品政府采购相关政策确定的底级品目名称：</w:t>
      </w:r>
      <w:r>
        <w:rPr>
          <w:rFonts w:hint="eastAsia" w:ascii="宋体" w:hAnsi="宋体" w:cs="宋体"/>
          <w:color w:val="auto"/>
          <w:sz w:val="24"/>
          <w:szCs w:val="24"/>
          <w:highlight w:val="none"/>
          <w:u w:val="single"/>
        </w:rPr>
        <w:t xml:space="preserve">         </w:t>
      </w:r>
    </w:p>
    <w:p w14:paraId="0A1AF47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强制采购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优先采购    </w:t>
      </w:r>
    </w:p>
    <w:p w14:paraId="52A11A2C">
      <w:pPr>
        <w:wordWrap w:val="0"/>
        <w:topLinePunct/>
        <w:spacing w:line="360" w:lineRule="auto"/>
        <w:ind w:firstLine="1440" w:firstLineChars="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26F8D7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
        </w:rPr>
        <w:t>1</w:t>
      </w:r>
      <w:r>
        <w:rPr>
          <w:rFonts w:hint="eastAsia" w:ascii="宋体" w:hAnsi="宋体" w:cs="宋体"/>
          <w:color w:val="auto"/>
          <w:sz w:val="24"/>
          <w:szCs w:val="24"/>
          <w:highlight w:val="none"/>
        </w:rPr>
        <w:t>）涉及商品包装和快递包装的，是否参考《商品包装政府采购需求标准（试行）》《快递包装政府采购需求标准（试行）》明确产品及相关快递服务的具体包装要求：</w:t>
      </w:r>
    </w:p>
    <w:p w14:paraId="489AFB54">
      <w:pPr>
        <w:wordWrap w:val="0"/>
        <w:topLinePunct/>
        <w:spacing w:line="360" w:lineRule="auto"/>
        <w:ind w:firstLine="1440" w:firstLineChars="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否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不涉及</w:t>
      </w:r>
    </w:p>
    <w:p w14:paraId="5A989290">
      <w:pPr>
        <w:pStyle w:val="6"/>
        <w:rPr>
          <w:rFonts w:hint="eastAsia" w:ascii="宋体" w:hAnsi="宋体" w:cs="宋体"/>
          <w:color w:val="auto"/>
          <w:szCs w:val="24"/>
          <w:highlight w:val="none"/>
        </w:rPr>
      </w:pPr>
      <w:bookmarkStart w:id="1211" w:name="_Toc21390"/>
      <w:r>
        <w:rPr>
          <w:rFonts w:hint="eastAsia" w:ascii="宋体" w:hAnsi="宋体" w:cs="宋体"/>
          <w:color w:val="auto"/>
          <w:highlight w:val="none"/>
        </w:rPr>
        <w:t>2.合同金额</w:t>
      </w:r>
      <w:bookmarkEnd w:id="1211"/>
    </w:p>
    <w:p w14:paraId="05C13EF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（1）合同金额小写：</w:t>
      </w:r>
      <w:r>
        <w:rPr>
          <w:rFonts w:hint="eastAsia" w:ascii="宋体" w:hAnsi="宋体" w:cs="宋体"/>
          <w:color w:val="auto"/>
          <w:sz w:val="24"/>
          <w:szCs w:val="24"/>
          <w:highlight w:val="none"/>
          <w:u w:val="single"/>
        </w:rPr>
        <w:t xml:space="preserve">                                                  </w:t>
      </w:r>
    </w:p>
    <w:p w14:paraId="3E0CC24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大写：</w:t>
      </w:r>
      <w:r>
        <w:rPr>
          <w:rFonts w:hint="eastAsia" w:ascii="宋体" w:hAnsi="宋体" w:cs="宋体"/>
          <w:color w:val="auto"/>
          <w:sz w:val="24"/>
          <w:szCs w:val="24"/>
          <w:highlight w:val="none"/>
          <w:u w:val="single"/>
        </w:rPr>
        <w:t xml:space="preserve">                                                  </w:t>
      </w:r>
    </w:p>
    <w:p w14:paraId="26C9705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分包金额（如有）小写：</w:t>
      </w:r>
      <w:r>
        <w:rPr>
          <w:rFonts w:hint="eastAsia" w:ascii="宋体" w:hAnsi="宋体" w:cs="宋体"/>
          <w:color w:val="auto"/>
          <w:sz w:val="24"/>
          <w:szCs w:val="24"/>
          <w:highlight w:val="none"/>
          <w:u w:val="single"/>
        </w:rPr>
        <w:t xml:space="preserve">                                          </w:t>
      </w:r>
    </w:p>
    <w:p w14:paraId="2E70151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（注：固定单价合同应填写单价和最高限价）</w:t>
      </w:r>
    </w:p>
    <w:p w14:paraId="0C4FF0A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（2）合同定价方式（采用组合定价方式的，可以勾选多项）：</w:t>
      </w:r>
    </w:p>
    <w:p w14:paraId="4649293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固定总价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固定单价   </w:t>
      </w:r>
      <w:r>
        <w:rPr>
          <w:rFonts w:hint="eastAsia" w:ascii="宋体" w:hAnsi="宋体" w:cs="宋体"/>
          <w:color w:val="auto"/>
          <w:sz w:val="24"/>
          <w:szCs w:val="24"/>
          <w:highlight w:val="none"/>
        </w:rPr>
        <w:sym w:font="Wingdings" w:char="00FE"/>
      </w:r>
      <w:r>
        <w:rPr>
          <w:rFonts w:hint="eastAsia" w:ascii="宋体" w:hAnsi="宋体" w:cs="宋体"/>
          <w:color w:val="auto"/>
          <w:sz w:val="24"/>
          <w:szCs w:val="24"/>
          <w:highlight w:val="none"/>
        </w:rPr>
        <w:t xml:space="preserve">固定费率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成本补偿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绩效激励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其他 </w:t>
      </w:r>
    </w:p>
    <w:p w14:paraId="033D962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（3）付款方式（按项目实际勾选填写）：</w:t>
      </w:r>
    </w:p>
    <w:p w14:paraId="7EBBD25D">
      <w:pPr>
        <w:wordWrap w:val="0"/>
        <w:topLinePunct/>
        <w:spacing w:line="360" w:lineRule="auto"/>
        <w:ind w:firstLine="480" w:firstLineChars="200"/>
        <w:jc w:val="left"/>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sym w:font="Wingdings" w:char="00A8"/>
      </w:r>
      <w:r>
        <w:rPr>
          <w:rFonts w:hint="eastAsia" w:ascii="宋体" w:hAnsi="宋体" w:cs="宋体"/>
          <w:i w:val="0"/>
          <w:iCs w:val="0"/>
          <w:color w:val="auto"/>
          <w:sz w:val="24"/>
          <w:szCs w:val="24"/>
          <w:highlight w:val="none"/>
        </w:rPr>
        <w:t>全额付款：</w:t>
      </w:r>
      <w:r>
        <w:rPr>
          <w:rFonts w:hint="eastAsia" w:ascii="宋体" w:hAnsi="宋体" w:cs="宋体"/>
          <w:i w:val="0"/>
          <w:iCs w:val="0"/>
          <w:color w:val="auto"/>
          <w:sz w:val="24"/>
          <w:szCs w:val="24"/>
          <w:highlight w:val="none"/>
          <w:lang w:eastAsia="zh-CN"/>
        </w:rPr>
        <w:t>设备安装调试并由医院组织验收合格、使用人员进行培训，并提供仪器操作规程后60天内支付合同总金额的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w:t>
      </w:r>
      <w:r>
        <w:rPr>
          <w:rFonts w:hint="eastAsia" w:ascii="宋体" w:hAnsi="宋体" w:cs="宋体"/>
          <w:i w:val="0"/>
          <w:iCs w:val="0"/>
          <w:color w:val="auto"/>
          <w:sz w:val="24"/>
          <w:szCs w:val="24"/>
          <w:highlight w:val="none"/>
        </w:rPr>
        <w:t xml:space="preserve"> </w:t>
      </w:r>
      <w:r>
        <w:rPr>
          <w:rFonts w:hint="eastAsia" w:ascii="宋体" w:hAnsi="宋体" w:cs="宋体"/>
          <w:i w:val="0"/>
          <w:iCs w:val="0"/>
          <w:color w:val="auto"/>
          <w:sz w:val="24"/>
          <w:szCs w:val="24"/>
          <w:highlight w:val="none"/>
          <w:lang w:val="en-US" w:eastAsia="zh-CN"/>
        </w:rPr>
        <w:t>……</w:t>
      </w:r>
    </w:p>
    <w:p w14:paraId="30AF80DC">
      <w:pPr>
        <w:wordWrap w:val="0"/>
        <w:topLinePunct/>
        <w:spacing w:line="360" w:lineRule="auto"/>
        <w:ind w:firstLine="480" w:firstLineChars="200"/>
        <w:jc w:val="left"/>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sym w:font="Wingdings" w:char="00A8"/>
      </w:r>
      <w:r>
        <w:rPr>
          <w:rFonts w:hint="eastAsia" w:ascii="宋体" w:hAnsi="宋体" w:cs="宋体"/>
          <w:i w:val="0"/>
          <w:iCs w:val="0"/>
          <w:color w:val="auto"/>
          <w:sz w:val="24"/>
          <w:szCs w:val="24"/>
          <w:highlight w:val="none"/>
        </w:rPr>
        <w:t>分期付款：</w:t>
      </w:r>
      <w:r>
        <w:rPr>
          <w:rFonts w:hint="eastAsia" w:ascii="宋体" w:hAnsi="宋体" w:cs="宋体"/>
          <w:i w:val="0"/>
          <w:iCs w:val="0"/>
          <w:color w:val="auto"/>
          <w:sz w:val="24"/>
          <w:szCs w:val="24"/>
          <w:highlight w:val="none"/>
          <w:lang w:eastAsia="zh-CN"/>
        </w:rPr>
        <w:t>合同签订后支付合同总金额的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），设备开始安装支付合同总金额的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），设备安装调试并由医院组织验收合格、使用人员进行培训，并提供仪器操作规程后60天内支付合同总金额的</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%（人民币：</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元；大写：</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lang w:eastAsia="zh-CN"/>
        </w:rPr>
        <w:t>）。乙方承诺的质保期内仍须按原有承诺承担相关质保义务，否则甲方将追究乙方的相关法律责任。</w:t>
      </w:r>
      <w:r>
        <w:rPr>
          <w:rFonts w:hint="eastAsia" w:ascii="宋体" w:hAnsi="宋体" w:cs="宋体"/>
          <w:i w:val="0"/>
          <w:iCs w:val="0"/>
          <w:color w:val="auto"/>
          <w:sz w:val="24"/>
          <w:szCs w:val="24"/>
          <w:highlight w:val="none"/>
        </w:rPr>
        <w:t xml:space="preserve"> </w:t>
      </w:r>
    </w:p>
    <w:p w14:paraId="695204C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成本补偿：</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（应明确按照成本补偿方式的支付方式和支付条件）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绩效激励：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（应明确按照绩效激励方式的支付方式和支付条件</w:t>
      </w:r>
    </w:p>
    <w:p w14:paraId="2702FB57">
      <w:pPr>
        <w:pStyle w:val="6"/>
        <w:rPr>
          <w:rFonts w:hint="eastAsia" w:ascii="宋体" w:hAnsi="宋体" w:cs="宋体"/>
          <w:color w:val="auto"/>
          <w:highlight w:val="none"/>
        </w:rPr>
      </w:pPr>
      <w:bookmarkStart w:id="1212" w:name="_Toc6893"/>
      <w:r>
        <w:rPr>
          <w:rFonts w:hint="eastAsia"/>
          <w:color w:val="auto"/>
          <w:highlight w:val="none"/>
        </w:rPr>
        <w:t>3.合同履行</w:t>
      </w:r>
      <w:bookmarkEnd w:id="1212"/>
    </w:p>
    <w:p w14:paraId="166B30C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（1）起始日期：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日，完成日期：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3A91E66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（2）履约地点：                             </w:t>
      </w:r>
    </w:p>
    <w:p w14:paraId="19BB78A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（3）履约担保：是否收取履约保证金：</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245E8EE">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收取履约保证金形式：</w:t>
      </w:r>
      <w:r>
        <w:rPr>
          <w:rFonts w:hint="eastAsia" w:ascii="宋体" w:hAnsi="宋体" w:cs="宋体"/>
          <w:color w:val="auto"/>
          <w:sz w:val="24"/>
          <w:szCs w:val="24"/>
          <w:highlight w:val="none"/>
          <w:u w:val="single"/>
        </w:rPr>
        <w:t xml:space="preserve">                                         </w:t>
      </w:r>
    </w:p>
    <w:p w14:paraId="5B509FC4">
      <w:pPr>
        <w:wordWrap w:val="0"/>
        <w:topLinePunct/>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收取履约保证金金额：</w:t>
      </w:r>
      <w:r>
        <w:rPr>
          <w:rFonts w:hint="eastAsia" w:ascii="宋体" w:hAnsi="宋体" w:cs="宋体"/>
          <w:color w:val="auto"/>
          <w:sz w:val="24"/>
          <w:szCs w:val="24"/>
          <w:highlight w:val="none"/>
          <w:u w:val="single"/>
        </w:rPr>
        <w:t xml:space="preserve">                                         </w:t>
      </w:r>
    </w:p>
    <w:p w14:paraId="468ADB77">
      <w:pPr>
        <w:wordWrap w:val="0"/>
        <w:topLinePunct/>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履约担保期限：</w:t>
      </w:r>
      <w:r>
        <w:rPr>
          <w:rFonts w:hint="eastAsia" w:ascii="宋体" w:hAnsi="宋体" w:cs="宋体"/>
          <w:color w:val="auto"/>
          <w:sz w:val="24"/>
          <w:szCs w:val="24"/>
          <w:highlight w:val="none"/>
          <w:u w:val="single"/>
        </w:rPr>
        <w:t xml:space="preserve">                                               </w:t>
      </w:r>
    </w:p>
    <w:p w14:paraId="76361A20">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（4）分期履行要求：</w:t>
      </w:r>
      <w:r>
        <w:rPr>
          <w:rFonts w:hint="eastAsia" w:ascii="宋体" w:hAnsi="宋体" w:cs="宋体"/>
          <w:color w:val="auto"/>
          <w:sz w:val="24"/>
          <w:szCs w:val="24"/>
          <w:highlight w:val="none"/>
          <w:u w:val="single"/>
        </w:rPr>
        <w:t xml:space="preserve">                                               </w:t>
      </w:r>
    </w:p>
    <w:p w14:paraId="5365A607">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（5）风险处置措施和替代方案：</w:t>
      </w:r>
      <w:r>
        <w:rPr>
          <w:rFonts w:hint="eastAsia" w:ascii="宋体" w:hAnsi="宋体" w:cs="宋体"/>
          <w:color w:val="auto"/>
          <w:sz w:val="24"/>
          <w:szCs w:val="24"/>
          <w:highlight w:val="none"/>
          <w:u w:val="single"/>
        </w:rPr>
        <w:t xml:space="preserve">                                       </w:t>
      </w:r>
    </w:p>
    <w:p w14:paraId="6F919BB7">
      <w:pPr>
        <w:pStyle w:val="6"/>
        <w:rPr>
          <w:rFonts w:hint="eastAsia" w:ascii="等线 Light" w:hAnsi="等线 Light" w:eastAsia="等线 Light"/>
          <w:color w:val="auto"/>
          <w:highlight w:val="none"/>
        </w:rPr>
      </w:pPr>
      <w:bookmarkStart w:id="1213" w:name="_Toc4506"/>
      <w:r>
        <w:rPr>
          <w:rFonts w:hint="eastAsia" w:ascii="等线 Light" w:hAnsi="等线 Light" w:eastAsia="等线 Light"/>
          <w:color w:val="auto"/>
          <w:highlight w:val="none"/>
        </w:rPr>
        <w:t>4.合同验收</w:t>
      </w:r>
      <w:bookmarkEnd w:id="1213"/>
    </w:p>
    <w:p w14:paraId="4FCC77A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验收组织方式：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自行组织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委托第三方组织</w:t>
      </w:r>
    </w:p>
    <w:p w14:paraId="62A35A08">
      <w:pPr>
        <w:wordWrap w:val="0"/>
        <w:topLinePunct/>
        <w:spacing w:line="360" w:lineRule="auto"/>
        <w:ind w:firstLine="960" w:firstLineChars="4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验收主体：</w:t>
      </w:r>
      <w:r>
        <w:rPr>
          <w:rFonts w:hint="eastAsia" w:ascii="宋体" w:hAnsi="宋体" w:cs="宋体"/>
          <w:color w:val="auto"/>
          <w:sz w:val="24"/>
          <w:szCs w:val="24"/>
          <w:highlight w:val="none"/>
          <w:u w:val="single"/>
          <w:lang w:val="en-US" w:eastAsia="zh-CN"/>
        </w:rPr>
        <w:t>南华县人民医院</w:t>
      </w:r>
    </w:p>
    <w:p w14:paraId="4E83148E">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是否邀请本项目的其他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CCFB652">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是否邀请专家参加验收：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6C716F2">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是否邀请服务对象参加验收：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0313A3EB">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是否邀请第三方检测机构参加验收：</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2F4C97C">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是否进行抽查检测：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是，抽查比例：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7B6D9839">
      <w:pPr>
        <w:wordWrap w:val="0"/>
        <w:topLinePunct/>
        <w:spacing w:line="360" w:lineRule="auto"/>
        <w:ind w:firstLine="960" w:firstLineChars="4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是否存在破坏性检测：</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是，（应明确对被破坏的检测产品的处理方式）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34045ADC">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验收组织的其他事项：</w:t>
      </w:r>
      <w:r>
        <w:rPr>
          <w:rFonts w:hint="eastAsia" w:ascii="宋体" w:hAnsi="宋体" w:cs="宋体"/>
          <w:color w:val="auto"/>
          <w:sz w:val="24"/>
          <w:szCs w:val="24"/>
          <w:highlight w:val="none"/>
          <w:u w:val="single"/>
        </w:rPr>
        <w:t xml:space="preserve">                                               </w:t>
      </w:r>
    </w:p>
    <w:p w14:paraId="29690B51">
      <w:pPr>
        <w:wordWrap w:val="0"/>
        <w:topLinePunct/>
        <w:spacing w:line="360" w:lineRule="auto"/>
        <w:ind w:left="480" w:leftChars="218"/>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（2）履约验收时间：（计划于何时验收/</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提出验收申请之日起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日内组织验收）（3）履约验收方式：</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一次性验收         </w:t>
      </w:r>
    </w:p>
    <w:p w14:paraId="4FAE1B2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分期/分项验收：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（应明确分期</w:t>
      </w:r>
      <w:r>
        <w:rPr>
          <w:rFonts w:hint="eastAsia" w:ascii="宋体" w:hAnsi="宋体" w:cs="宋体"/>
          <w:color w:val="auto"/>
          <w:sz w:val="24"/>
          <w:szCs w:val="24"/>
          <w:highlight w:val="none"/>
          <w:lang w:val="en"/>
        </w:rPr>
        <w:t>/分项验收的工作安排</w:t>
      </w:r>
      <w:r>
        <w:rPr>
          <w:rFonts w:hint="eastAsia" w:ascii="宋体" w:hAnsi="宋体" w:cs="宋体"/>
          <w:color w:val="auto"/>
          <w:sz w:val="24"/>
          <w:szCs w:val="24"/>
          <w:highlight w:val="none"/>
        </w:rPr>
        <w:t>）</w:t>
      </w:r>
    </w:p>
    <w:p w14:paraId="475FD8D8">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（4）履约验收程序：</w:t>
      </w:r>
      <w:r>
        <w:rPr>
          <w:rFonts w:hint="eastAsia" w:ascii="宋体" w:hAnsi="宋体" w:cs="宋体"/>
          <w:color w:val="auto"/>
          <w:sz w:val="24"/>
          <w:szCs w:val="24"/>
          <w:highlight w:val="none"/>
          <w:u w:val="single"/>
        </w:rPr>
        <w:t xml:space="preserve">                                                 </w:t>
      </w:r>
    </w:p>
    <w:p w14:paraId="53A7BD8A">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（5）履约验收的内容：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（应当包括每一项技术和商务要求的履约情况，特别是落实政府采购扶持中小企业，支持绿色发展和乡村振兴等政策情况）</w:t>
      </w:r>
    </w:p>
    <w:p w14:paraId="6A21BBD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（6）履约验收标准：                                         </w:t>
      </w:r>
    </w:p>
    <w:p w14:paraId="7E61C11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（7）是否以采购活动中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提供的样品作为参考：</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 xml:space="preserve">是  </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否</w:t>
      </w:r>
    </w:p>
    <w:p w14:paraId="5860AA4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（8）履约验收其他事项：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（产权过户登记等）          </w:t>
      </w:r>
    </w:p>
    <w:p w14:paraId="3A1713AE">
      <w:pPr>
        <w:pStyle w:val="6"/>
        <w:rPr>
          <w:rFonts w:hint="eastAsia" w:ascii="宋体" w:hAnsi="宋体" w:cs="宋体"/>
          <w:color w:val="auto"/>
          <w:szCs w:val="24"/>
          <w:highlight w:val="none"/>
        </w:rPr>
      </w:pPr>
      <w:bookmarkStart w:id="1214" w:name="_Toc8421"/>
      <w:r>
        <w:rPr>
          <w:rFonts w:hint="eastAsia" w:ascii="宋体" w:hAnsi="宋体" w:cs="宋体"/>
          <w:color w:val="auto"/>
          <w:highlight w:val="none"/>
        </w:rPr>
        <w:t>5.组成合同的文件</w:t>
      </w:r>
      <w:bookmarkEnd w:id="1214"/>
    </w:p>
    <w:p w14:paraId="1227872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本协议书与下列文件一起构成合同文件，如下述文件之间有任何抵触、矛盾或歧义，应按以下顺序解释：</w:t>
      </w:r>
    </w:p>
    <w:p w14:paraId="527F969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（1）政府采购合同协议书及其变更、补充协议</w:t>
      </w:r>
    </w:p>
    <w:p w14:paraId="7D7D357D">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（2）政府采购合同专用条款</w:t>
      </w:r>
    </w:p>
    <w:p w14:paraId="68987BCB">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（3）政府采购合同通用条款</w:t>
      </w:r>
    </w:p>
    <w:p w14:paraId="27BBCFA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（4）中标（成交）通知书</w:t>
      </w:r>
    </w:p>
    <w:p w14:paraId="5987526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（5）投标（响应）文件</w:t>
      </w:r>
    </w:p>
    <w:p w14:paraId="036F5FC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（6）采购文件</w:t>
      </w:r>
    </w:p>
    <w:p w14:paraId="21FF1D1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（7）有关技术文件，图纸</w:t>
      </w:r>
    </w:p>
    <w:p w14:paraId="1A825947">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（8）国家法律、行政法规和规章制度规定或合同约定的作为合同组成部分的其他文件</w:t>
      </w:r>
    </w:p>
    <w:p w14:paraId="3C91479D">
      <w:pPr>
        <w:pStyle w:val="6"/>
        <w:rPr>
          <w:rFonts w:hint="eastAsia" w:ascii="宋体" w:hAnsi="宋体" w:cs="宋体"/>
          <w:color w:val="auto"/>
          <w:highlight w:val="none"/>
        </w:rPr>
      </w:pPr>
      <w:bookmarkStart w:id="1215" w:name="_Toc19459"/>
      <w:r>
        <w:rPr>
          <w:rFonts w:hint="eastAsia" w:ascii="宋体" w:hAnsi="宋体" w:cs="宋体"/>
          <w:color w:val="auto"/>
          <w:highlight w:val="none"/>
        </w:rPr>
        <w:t>6.合同生效</w:t>
      </w:r>
      <w:bookmarkEnd w:id="1215"/>
    </w:p>
    <w:p w14:paraId="7B9B6079">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生效。</w:t>
      </w:r>
    </w:p>
    <w:p w14:paraId="06E8B9DC">
      <w:pPr>
        <w:pStyle w:val="6"/>
        <w:rPr>
          <w:rFonts w:hint="eastAsia" w:ascii="宋体" w:hAnsi="宋体" w:cs="宋体"/>
          <w:color w:val="auto"/>
          <w:szCs w:val="24"/>
          <w:highlight w:val="none"/>
        </w:rPr>
      </w:pPr>
      <w:bookmarkStart w:id="1216" w:name="_Toc26328"/>
      <w:r>
        <w:rPr>
          <w:rFonts w:hint="eastAsia" w:ascii="宋体" w:hAnsi="宋体" w:cs="宋体"/>
          <w:color w:val="auto"/>
          <w:highlight w:val="none"/>
        </w:rPr>
        <w:t>7.合同份数</w:t>
      </w:r>
      <w:bookmarkEnd w:id="1216"/>
    </w:p>
    <w:p w14:paraId="36F1ECC3">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份，均具有同等法律效力。</w:t>
      </w:r>
    </w:p>
    <w:p w14:paraId="41E8E09F">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合同订立时间：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8A450EA">
      <w:pPr>
        <w:wordWrap w:val="0"/>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合同订立地点：</w:t>
      </w:r>
      <w:r>
        <w:rPr>
          <w:rFonts w:hint="eastAsia" w:ascii="宋体" w:hAnsi="宋体" w:cs="宋体"/>
          <w:color w:val="auto"/>
          <w:sz w:val="24"/>
          <w:szCs w:val="24"/>
          <w:highlight w:val="none"/>
          <w:u w:val="single"/>
        </w:rPr>
        <w:t xml:space="preserve">                                                    </w:t>
      </w:r>
    </w:p>
    <w:p w14:paraId="2CDC4FE0">
      <w:pPr>
        <w:wordWrap w:val="0"/>
        <w:topLinePunct/>
        <w:spacing w:line="360" w:lineRule="auto"/>
        <w:ind w:firstLine="480" w:firstLineChars="200"/>
        <w:rPr>
          <w:rFonts w:hint="eastAsia" w:ascii="宋体" w:hAnsi="宋体" w:cs="宋体"/>
          <w:bCs/>
          <w:color w:val="auto"/>
          <w:sz w:val="24"/>
          <w:szCs w:val="24"/>
          <w:highlight w:val="none"/>
        </w:rPr>
      </w:pPr>
      <w:r>
        <w:rPr>
          <w:rFonts w:hint="eastAsia" w:ascii="宋体" w:hAnsi="宋体" w:cs="宋体"/>
          <w:color w:val="auto"/>
          <w:sz w:val="24"/>
          <w:szCs w:val="24"/>
          <w:highlight w:val="none"/>
        </w:rPr>
        <w:t>附件：具体标的及其技术要求和商务要求、联合协议、分包意向协议等</w:t>
      </w:r>
      <w:r>
        <w:rPr>
          <w:rFonts w:hint="eastAsia" w:ascii="宋体" w:hAnsi="宋体" w:cs="宋体"/>
          <w:bCs/>
          <w:color w:val="auto"/>
          <w:sz w:val="24"/>
          <w:szCs w:val="24"/>
          <w:highlight w:val="none"/>
        </w:rPr>
        <w:t>。</w:t>
      </w:r>
    </w:p>
    <w:p w14:paraId="67349F1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【以下无正文，为签署页】</w:t>
      </w:r>
    </w:p>
    <w:p w14:paraId="3B938973">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567" w:footer="596" w:gutter="0"/>
          <w:pgNumType w:fmt="decimal"/>
          <w:cols w:space="720" w:num="1"/>
          <w:titlePg/>
          <w:docGrid w:linePitch="299" w:charSpace="0"/>
        </w:sectPr>
      </w:pPr>
    </w:p>
    <w:p w14:paraId="47B413F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甲方（采购人单位章）名称：</w:t>
      </w:r>
      <w:r>
        <w:rPr>
          <w:rFonts w:hint="eastAsia" w:ascii="宋体" w:hAnsi="宋体" w:cs="宋体"/>
          <w:color w:val="auto"/>
          <w:sz w:val="24"/>
          <w:szCs w:val="24"/>
          <w:highlight w:val="none"/>
          <w:lang w:eastAsia="zh-CN"/>
        </w:rPr>
        <w:t>南华县人民医院</w:t>
      </w:r>
      <w:r>
        <w:rPr>
          <w:rFonts w:hint="eastAsia" w:ascii="宋体" w:hAnsi="宋体" w:cs="宋体"/>
          <w:color w:val="auto"/>
          <w:sz w:val="24"/>
          <w:szCs w:val="24"/>
          <w:highlight w:val="none"/>
        </w:rPr>
        <w:t xml:space="preserve"> </w:t>
      </w:r>
    </w:p>
    <w:p w14:paraId="465BA2DB">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址：南华县龙川镇华强路</w:t>
      </w:r>
    </w:p>
    <w:p w14:paraId="4FF85CC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472B703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1BEF183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项目（技术）负责人：</w:t>
      </w:r>
    </w:p>
    <w:p w14:paraId="29161A4B">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1619454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w:t>
      </w:r>
    </w:p>
    <w:p w14:paraId="2620A255">
      <w:pPr>
        <w:wordWrap w:val="0"/>
        <w:topLinePunct/>
        <w:spacing w:line="360" w:lineRule="auto"/>
        <w:ind w:firstLine="480" w:firstLineChars="200"/>
        <w:rPr>
          <w:rFonts w:hint="eastAsia" w:ascii="宋体" w:hAnsi="宋体" w:cs="宋体"/>
          <w:color w:val="auto"/>
          <w:sz w:val="24"/>
          <w:szCs w:val="24"/>
          <w:highlight w:val="none"/>
        </w:rPr>
      </w:pPr>
    </w:p>
    <w:p w14:paraId="44E1CDA3">
      <w:pPr>
        <w:wordWrap w:val="0"/>
        <w:topLinePunct/>
        <w:spacing w:line="360" w:lineRule="auto"/>
        <w:ind w:firstLine="480" w:firstLineChars="200"/>
        <w:rPr>
          <w:rFonts w:hint="eastAsia" w:ascii="宋体" w:hAnsi="宋体" w:cs="宋体"/>
          <w:color w:val="auto"/>
          <w:sz w:val="24"/>
          <w:szCs w:val="24"/>
          <w:highlight w:val="none"/>
        </w:rPr>
      </w:pPr>
    </w:p>
    <w:p w14:paraId="5FC1525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单位章）名称：</w:t>
      </w:r>
    </w:p>
    <w:p w14:paraId="170155E7">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p>
    <w:p w14:paraId="7CB41EAC">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邮    编：</w:t>
      </w:r>
    </w:p>
    <w:p w14:paraId="6CAFE9A3">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    </w:t>
      </w:r>
    </w:p>
    <w:p w14:paraId="1B7B47B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50C977BE">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电        话：</w:t>
      </w:r>
    </w:p>
    <w:p w14:paraId="29254C5A">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签 订 日 期 ：</w:t>
      </w:r>
    </w:p>
    <w:p w14:paraId="15D03703">
      <w:pPr>
        <w:wordWrap w:val="0"/>
        <w:topLinePunct/>
        <w:spacing w:line="360" w:lineRule="auto"/>
        <w:ind w:firstLine="480" w:firstLineChars="200"/>
        <w:rPr>
          <w:rFonts w:hint="eastAsia" w:ascii="宋体" w:hAnsi="宋体" w:cs="宋体"/>
          <w:color w:val="auto"/>
          <w:sz w:val="24"/>
          <w:szCs w:val="24"/>
          <w:highlight w:val="none"/>
        </w:rPr>
      </w:pPr>
    </w:p>
    <w:p w14:paraId="54A00CEA">
      <w:pPr>
        <w:wordWrap w:val="0"/>
        <w:topLinePunct/>
        <w:spacing w:line="360" w:lineRule="auto"/>
        <w:ind w:firstLine="480" w:firstLineChars="200"/>
        <w:rPr>
          <w:rFonts w:hint="eastAsia" w:ascii="宋体" w:hAnsi="宋体" w:cs="宋体"/>
          <w:color w:val="auto"/>
          <w:sz w:val="24"/>
          <w:szCs w:val="24"/>
          <w:highlight w:val="none"/>
        </w:rPr>
      </w:pPr>
    </w:p>
    <w:p w14:paraId="59E018E7">
      <w:pPr>
        <w:wordWrap w:val="0"/>
        <w:topLinePunct/>
        <w:spacing w:line="360" w:lineRule="auto"/>
        <w:ind w:firstLine="480" w:firstLineChars="200"/>
        <w:rPr>
          <w:rFonts w:hint="eastAsia" w:ascii="宋体" w:hAnsi="宋体" w:cs="宋体"/>
          <w:vanish/>
          <w:color w:val="auto"/>
          <w:sz w:val="24"/>
          <w:szCs w:val="24"/>
          <w:highlight w:val="none"/>
        </w:rPr>
      </w:pPr>
    </w:p>
    <w:p w14:paraId="5C3F5E78">
      <w:pPr>
        <w:wordWrap w:val="0"/>
        <w:topLinePunct/>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丙方（鉴证方单位章）名称：</w:t>
      </w:r>
      <w:r>
        <w:rPr>
          <w:rFonts w:hint="eastAsia" w:ascii="宋体" w:hAnsi="宋体" w:cs="宋体"/>
          <w:color w:val="auto"/>
          <w:sz w:val="24"/>
          <w:szCs w:val="24"/>
          <w:highlight w:val="none"/>
          <w:lang w:eastAsia="zh-CN"/>
        </w:rPr>
        <w:t>楚雄腾凯工程项目管理有限公司</w:t>
      </w:r>
    </w:p>
    <w:p w14:paraId="5B8619E4">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址：南华县龙川镇两旗书苑52号</w:t>
      </w:r>
    </w:p>
    <w:p w14:paraId="21EB8FF8">
      <w:pPr>
        <w:wordWrap w:val="0"/>
        <w:topLinePunct/>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邮    编：</w:t>
      </w:r>
    </w:p>
    <w:p w14:paraId="4AFB7770">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p>
    <w:p w14:paraId="7A2EFCD2">
      <w:pPr>
        <w:wordWrap w:val="0"/>
        <w:topLinePunct/>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经　办　人：</w:t>
      </w:r>
    </w:p>
    <w:p w14:paraId="031C8983">
      <w:pPr>
        <w:wordWrap w:val="0"/>
        <w:topLinePunct/>
        <w:spacing w:line="360" w:lineRule="auto"/>
        <w:ind w:firstLine="480" w:firstLineChars="200"/>
        <w:rPr>
          <w:rFonts w:hint="eastAsia" w:ascii="宋体" w:hAnsi="宋体" w:cs="宋体"/>
          <w:color w:val="auto"/>
          <w:sz w:val="24"/>
          <w:szCs w:val="24"/>
          <w:highlight w:val="none"/>
        </w:rPr>
        <w:sectPr>
          <w:pgSz w:w="11906" w:h="16838"/>
          <w:pgMar w:top="1440" w:right="1080" w:bottom="1440" w:left="1080" w:header="340" w:footer="596" w:gutter="0"/>
          <w:pgNumType w:fmt="decimal"/>
          <w:cols w:space="720" w:num="1"/>
          <w:titlePg/>
          <w:docGrid w:linePitch="299" w:charSpace="0"/>
        </w:sectPr>
      </w:pPr>
      <w:r>
        <w:rPr>
          <w:rFonts w:hint="eastAsia" w:ascii="宋体" w:hAnsi="宋体" w:cs="宋体"/>
          <w:color w:val="auto"/>
          <w:sz w:val="24"/>
          <w:szCs w:val="24"/>
          <w:highlight w:val="none"/>
        </w:rPr>
        <w:t>电   话：</w:t>
      </w:r>
    </w:p>
    <w:p w14:paraId="07982E1D">
      <w:pPr>
        <w:pStyle w:val="5"/>
        <w:spacing w:line="443" w:lineRule="exact"/>
        <w:jc w:val="center"/>
        <w:rPr>
          <w:rFonts w:hint="eastAsia" w:ascii="Microsoft JhengHei" w:hAnsi="Microsoft JhengHei" w:eastAsia="宋体"/>
          <w:b/>
          <w:bCs/>
          <w:color w:val="auto"/>
          <w:sz w:val="30"/>
          <w:szCs w:val="32"/>
          <w:highlight w:val="none"/>
        </w:rPr>
      </w:pPr>
      <w:bookmarkStart w:id="1217" w:name="_Toc3129"/>
      <w:bookmarkStart w:id="1218" w:name="_Toc27624"/>
      <w:r>
        <w:rPr>
          <w:rFonts w:hint="eastAsia" w:ascii="Microsoft JhengHei" w:hAnsi="Microsoft JhengHei"/>
          <w:b/>
          <w:bCs/>
          <w:color w:val="auto"/>
          <w:sz w:val="30"/>
          <w:szCs w:val="32"/>
          <w:highlight w:val="none"/>
        </w:rPr>
        <w:t>第二</w:t>
      </w:r>
      <w:r>
        <w:rPr>
          <w:rFonts w:hint="eastAsia" w:ascii="Microsoft JhengHei" w:hAnsi="Microsoft JhengHei"/>
          <w:b/>
          <w:bCs/>
          <w:color w:val="auto"/>
          <w:sz w:val="30"/>
          <w:highlight w:val="none"/>
        </w:rPr>
        <w:t>部分</w:t>
      </w:r>
      <w:r>
        <w:rPr>
          <w:rFonts w:hint="eastAsia" w:ascii="Microsoft JhengHei" w:hAnsi="Microsoft JhengHei"/>
          <w:b/>
          <w:bCs/>
          <w:color w:val="auto"/>
          <w:sz w:val="30"/>
          <w:szCs w:val="32"/>
          <w:highlight w:val="none"/>
        </w:rPr>
        <w:t xml:space="preserve"> 政府采购合同通用条款</w:t>
      </w:r>
      <w:bookmarkEnd w:id="1217"/>
      <w:bookmarkEnd w:id="1218"/>
    </w:p>
    <w:p w14:paraId="334F42FB">
      <w:pPr>
        <w:pStyle w:val="6"/>
        <w:rPr>
          <w:rFonts w:hint="eastAsia" w:ascii="宋体" w:hAnsi="宋体" w:cs="宋体"/>
          <w:color w:val="auto"/>
          <w:sz w:val="24"/>
          <w:szCs w:val="24"/>
          <w:highlight w:val="none"/>
        </w:rPr>
      </w:pPr>
      <w:bookmarkStart w:id="1219" w:name="_Toc6950"/>
      <w:r>
        <w:rPr>
          <w:rFonts w:hint="eastAsia" w:ascii="宋体" w:hAnsi="宋体" w:cs="宋体"/>
          <w:color w:val="auto"/>
          <w:sz w:val="24"/>
          <w:szCs w:val="24"/>
          <w:highlight w:val="none"/>
        </w:rPr>
        <w:t>1.定义</w:t>
      </w:r>
      <w:bookmarkEnd w:id="1219"/>
    </w:p>
    <w:p w14:paraId="5FAE2CB4">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1.1合同当事人</w:t>
      </w:r>
    </w:p>
    <w:p w14:paraId="51947B5E">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（1）采购人（以下称甲方）是指使用财政性资金，通过政府采购方式向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购买货物及其相关服务的国家机关、事业单位、团体组织。</w:t>
      </w:r>
    </w:p>
    <w:p w14:paraId="2EAAA1DC">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（以下称乙方）是指参加政府采购活动并且中标（成交），向采购人提供合同约定的货物及其相关服务的法人、非法人组织或者自然人。</w:t>
      </w:r>
    </w:p>
    <w:p w14:paraId="64B74CB0">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（3）其他合同主体是指除采购人和</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以外，</w:t>
      </w:r>
      <w:r>
        <w:rPr>
          <w:rFonts w:hint="eastAsia" w:ascii="宋体" w:hAnsi="宋体" w:cs="宋体"/>
          <w:bCs/>
          <w:color w:val="auto"/>
          <w:sz w:val="24"/>
          <w:szCs w:val="24"/>
          <w:highlight w:val="none"/>
        </w:rPr>
        <w:t>依法参与合同缔结或履行，享有权利、承担义务的合同当事人</w:t>
      </w:r>
      <w:r>
        <w:rPr>
          <w:rFonts w:hint="eastAsia" w:ascii="宋体" w:hAnsi="宋体" w:cs="宋体"/>
          <w:color w:val="auto"/>
          <w:sz w:val="24"/>
          <w:szCs w:val="24"/>
          <w:highlight w:val="none"/>
        </w:rPr>
        <w:t>。</w:t>
      </w:r>
    </w:p>
    <w:p w14:paraId="41A71F85">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1.2本合同下列术语应解释为：</w:t>
      </w:r>
    </w:p>
    <w:p w14:paraId="138A1BC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（1）“合同”系指</w:t>
      </w:r>
      <w:r>
        <w:rPr>
          <w:rFonts w:hint="eastAsia" w:ascii="宋体" w:hAnsi="宋体" w:cs="宋体"/>
          <w:bCs/>
          <w:color w:val="auto"/>
          <w:sz w:val="24"/>
          <w:szCs w:val="24"/>
          <w:highlight w:val="none"/>
        </w:rPr>
        <w:t>合同当事人意思表示达成一致的任何协议，包括签署的</w:t>
      </w:r>
      <w:r>
        <w:rPr>
          <w:rFonts w:hint="eastAsia" w:ascii="宋体" w:hAnsi="宋体" w:cs="宋体"/>
          <w:color w:val="auto"/>
          <w:sz w:val="24"/>
          <w:szCs w:val="24"/>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241B366">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（2）“合同价款”系指根据本合同规定乙方在全面履行合同义务后甲方应支付给乙方的价款。</w:t>
      </w:r>
    </w:p>
    <w:p w14:paraId="1E3F65A4">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（3）“货物”系指乙方根据本合同规定须向甲方提供的各种形态和种类的物品，包括原材料、设备、产品（包括软件）及相关的其备品备件、工具、手册及</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技术资料和材料等。</w:t>
      </w:r>
    </w:p>
    <w:p w14:paraId="511453B2">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（4）“相关服务”系指根据合同规定，乙方应提供的与货物有关的技术、管理和</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义务。</w:t>
      </w:r>
    </w:p>
    <w:p w14:paraId="65D2B986">
      <w:pPr>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（5）“分包”系指中标（成交）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按采购文件、投标（响应）文件的规定，根据分包意向协议，将中标（成交）项目中的部分履约内容，分给具有相应资质条件的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履行合同的行为。</w:t>
      </w:r>
    </w:p>
    <w:p w14:paraId="7A94E9FD">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（6）“联合体”系指由两个以上的自然人、法人或者非法人组织组成，以一个</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75A22D0F">
      <w:pPr>
        <w:tabs>
          <w:tab w:val="left" w:pos="570"/>
          <w:tab w:val="left" w:pos="9240"/>
          <w:tab w:val="left" w:pos="9555"/>
        </w:tabs>
        <w:wordWrap w:val="0"/>
        <w:topLinePunct/>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（7）其他术语解释，见【</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w:t>
      </w:r>
    </w:p>
    <w:p w14:paraId="0A79F162">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0" w:name="_Toc3875"/>
      <w:r>
        <w:rPr>
          <w:rFonts w:hint="eastAsia" w:ascii="宋体" w:hAnsi="宋体" w:cs="宋体"/>
          <w:color w:val="auto"/>
          <w:sz w:val="24"/>
          <w:szCs w:val="24"/>
          <w:highlight w:val="none"/>
        </w:rPr>
        <w:t>2.合同标的及金额</w:t>
      </w:r>
      <w:bookmarkEnd w:id="1220"/>
    </w:p>
    <w:p w14:paraId="0B712DC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b/>
          <w:bCs/>
          <w:i/>
          <w:iCs/>
          <w:color w:val="auto"/>
          <w:sz w:val="24"/>
          <w:szCs w:val="24"/>
          <w:highlight w:val="none"/>
        </w:rPr>
      </w:pPr>
      <w:r>
        <w:rPr>
          <w:rFonts w:hint="eastAsia" w:ascii="宋体" w:hAnsi="宋体" w:cs="宋体"/>
          <w:color w:val="auto"/>
          <w:sz w:val="24"/>
          <w:szCs w:val="24"/>
          <w:highlight w:val="none"/>
        </w:rPr>
        <w:t>2.1 合同标的及金额应与中标（成交）结果一致。乙方为履行本合同而发生的所有费用均应包含在合同价款中，甲方不再另行支付</w:t>
      </w:r>
      <w:r>
        <w:rPr>
          <w:rFonts w:hint="eastAsia" w:ascii="宋体" w:hAnsi="宋体" w:cs="宋体"/>
          <w:color w:val="auto"/>
          <w:sz w:val="24"/>
          <w:szCs w:val="24"/>
          <w:highlight w:val="none"/>
          <w:lang w:val="en"/>
        </w:rPr>
        <w:t>其他</w:t>
      </w:r>
      <w:r>
        <w:rPr>
          <w:rFonts w:hint="eastAsia" w:ascii="宋体" w:hAnsi="宋体" w:cs="宋体"/>
          <w:color w:val="auto"/>
          <w:sz w:val="24"/>
          <w:szCs w:val="24"/>
          <w:highlight w:val="none"/>
        </w:rPr>
        <w:t>任何费用。</w:t>
      </w:r>
    </w:p>
    <w:p w14:paraId="1662A3E0">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1" w:name="_Toc16651"/>
      <w:r>
        <w:rPr>
          <w:rFonts w:hint="eastAsia" w:ascii="宋体" w:hAnsi="宋体" w:cs="宋体"/>
          <w:color w:val="auto"/>
          <w:sz w:val="24"/>
          <w:szCs w:val="24"/>
          <w:highlight w:val="none"/>
        </w:rPr>
        <w:t>3.履行合同的时间、地点和方式</w:t>
      </w:r>
      <w:bookmarkEnd w:id="1221"/>
    </w:p>
    <w:p w14:paraId="34A303B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3.1 乙方应当在约定的时间、地点，按照约定方式履行合同。</w:t>
      </w:r>
    </w:p>
    <w:p w14:paraId="40529EDF">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2" w:name="_Toc13701"/>
      <w:r>
        <w:rPr>
          <w:rFonts w:hint="eastAsia" w:ascii="宋体" w:hAnsi="宋体" w:cs="宋体"/>
          <w:color w:val="auto"/>
          <w:sz w:val="24"/>
          <w:szCs w:val="24"/>
          <w:highlight w:val="none"/>
        </w:rPr>
        <w:t>4.甲方的权利和义务</w:t>
      </w:r>
      <w:bookmarkEnd w:id="1222"/>
    </w:p>
    <w:p w14:paraId="58EFF46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4B53154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4.2 甲方有权要求乙方按时提交各阶段有关安排计划，并有权定期核对乙方提供货物数量、规格、质量等内容。甲方有权督促乙方工作并要求乙方更换不符合要求的货物。</w:t>
      </w:r>
    </w:p>
    <w:p w14:paraId="24E38E7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4.3 甲方有权要求乙方对缺陷部分予以修复，并按合同约定享有货物保修及其他合同约定的权利。</w:t>
      </w:r>
    </w:p>
    <w:p w14:paraId="094680C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4.4 甲方应当按照合同约定及时对交付的货物进行验收，未在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约定的期限内对乙方履约提出任何异议或者向乙方作出任何说明的，视为验收通过。</w:t>
      </w:r>
    </w:p>
    <w:p w14:paraId="24CBF5C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4.5 甲方应当根据合同约定及时向乙方支付合同价款，不得以内部人员变更、履行内部付款流程等为由，拒绝或迟延支付。</w:t>
      </w:r>
    </w:p>
    <w:p w14:paraId="1E9F507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4.6 国家法律法规规定及</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约定应由甲方承担的其他义务和责任。</w:t>
      </w:r>
    </w:p>
    <w:p w14:paraId="68FE7A1B">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3" w:name="_Toc6600"/>
      <w:r>
        <w:rPr>
          <w:rFonts w:hint="eastAsia" w:ascii="宋体" w:hAnsi="宋体" w:cs="宋体"/>
          <w:color w:val="auto"/>
          <w:sz w:val="24"/>
          <w:szCs w:val="24"/>
          <w:highlight w:val="none"/>
        </w:rPr>
        <w:t>5.乙方的权利和义务</w:t>
      </w:r>
      <w:bookmarkEnd w:id="1223"/>
    </w:p>
    <w:p w14:paraId="4F2C455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5.1 签署合同后，乙方应确定项目负责人（或项目联系人），负责与本合同有关的事务。</w:t>
      </w:r>
    </w:p>
    <w:p w14:paraId="2244ADA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4332AA4">
      <w:pPr>
        <w:pStyle w:val="28"/>
        <w:keepNext w:val="0"/>
        <w:keepLines w:val="0"/>
        <w:pageBreakBefore w:val="0"/>
        <w:widowControl w:val="0"/>
        <w:kinsoku/>
        <w:wordWrap w:val="0"/>
        <w:overflowPunct/>
        <w:topLinePunct/>
        <w:autoSpaceDE/>
        <w:autoSpaceDN/>
        <w:bidi w:val="0"/>
        <w:adjustRightInd/>
        <w:snapToGrid/>
        <w:spacing w:line="360" w:lineRule="auto"/>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5.3乙方有权根据合同约定向甲方收取合同价款。</w:t>
      </w:r>
    </w:p>
    <w:p w14:paraId="526B1A28">
      <w:pPr>
        <w:pStyle w:val="28"/>
        <w:keepNext w:val="0"/>
        <w:keepLines w:val="0"/>
        <w:pageBreakBefore w:val="0"/>
        <w:widowControl w:val="0"/>
        <w:kinsoku/>
        <w:wordWrap w:val="0"/>
        <w:overflowPunct/>
        <w:topLinePunct/>
        <w:autoSpaceDE/>
        <w:autoSpaceDN/>
        <w:bidi w:val="0"/>
        <w:adjustRightInd/>
        <w:snapToGrid/>
        <w:spacing w:line="360" w:lineRule="auto"/>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5.4国家法律法规规定及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约定应由乙方承担的其他义务和责任。</w:t>
      </w:r>
    </w:p>
    <w:p w14:paraId="13CC4E04">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4" w:name="_Toc32021"/>
      <w:r>
        <w:rPr>
          <w:rFonts w:hint="eastAsia" w:ascii="宋体" w:hAnsi="宋体" w:cs="宋体"/>
          <w:color w:val="auto"/>
          <w:sz w:val="24"/>
          <w:szCs w:val="24"/>
          <w:highlight w:val="none"/>
        </w:rPr>
        <w:t>6.合同履行</w:t>
      </w:r>
      <w:bookmarkEnd w:id="1224"/>
    </w:p>
    <w:p w14:paraId="30E14A7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6.1 甲乙双方应当按照</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约定顺序履行合同义务；如果没有先后顺序的，应当同时履行。</w:t>
      </w:r>
    </w:p>
    <w:p w14:paraId="0A2DD1E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6.2 甲乙双方按照合同约定顺序履行合同义务时，应当先履行一方未履行的，后履行一方有权拒绝其履行请求。先履行一方履行不符合约定的，后履行一方有权拒绝其相应的履行请求。</w:t>
      </w:r>
    </w:p>
    <w:p w14:paraId="518C0B4C">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5" w:name="_Toc32417"/>
      <w:r>
        <w:rPr>
          <w:rFonts w:hint="eastAsia" w:ascii="宋体" w:hAnsi="宋体" w:cs="宋体"/>
          <w:color w:val="auto"/>
          <w:sz w:val="24"/>
          <w:szCs w:val="24"/>
          <w:highlight w:val="none"/>
        </w:rPr>
        <w:t>7.货物包装、运输、保险和交付要求</w:t>
      </w:r>
      <w:bookmarkEnd w:id="1225"/>
    </w:p>
    <w:p w14:paraId="67CA2E8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7.1 本合同</w:t>
      </w:r>
      <w:r>
        <w:rPr>
          <w:rFonts w:hint="eastAsia" w:ascii="宋体" w:hAnsi="宋体" w:cs="宋体"/>
          <w:bCs/>
          <w:color w:val="auto"/>
          <w:sz w:val="24"/>
          <w:szCs w:val="24"/>
          <w:highlight w:val="none"/>
        </w:rPr>
        <w:t>涉及商品包装、快递包装的，</w:t>
      </w:r>
      <w:r>
        <w:rPr>
          <w:rFonts w:hint="eastAsia" w:ascii="宋体" w:hAnsi="宋体" w:cs="宋体"/>
          <w:color w:val="auto"/>
          <w:sz w:val="24"/>
          <w:szCs w:val="24"/>
          <w:highlight w:val="none"/>
        </w:rPr>
        <w:t>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包装应适应远距离运输、防潮、防震、防锈和防野蛮装卸等要求，确保货物安全无损地运抵</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约定的</w:t>
      </w:r>
      <w:r>
        <w:rPr>
          <w:rFonts w:hint="eastAsia" w:ascii="宋体" w:hAnsi="宋体" w:cs="宋体"/>
          <w:color w:val="auto"/>
          <w:sz w:val="24"/>
          <w:szCs w:val="24"/>
          <w:highlight w:val="none"/>
        </w:rPr>
        <w:t>指定现场。</w:t>
      </w:r>
    </w:p>
    <w:p w14:paraId="662BCB6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7.2 除</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另有约定外，</w:t>
      </w:r>
      <w:r>
        <w:rPr>
          <w:rFonts w:hint="eastAsia" w:ascii="宋体" w:hAnsi="宋体" w:cs="宋体"/>
          <w:color w:val="auto"/>
          <w:sz w:val="24"/>
          <w:szCs w:val="24"/>
          <w:highlight w:val="none"/>
        </w:rPr>
        <w:t>乙方负责办理将货物运抵本合同规定的交货地点，并装卸、交付至甲方的一切运输事项，相关费用应包含在合同价款中。</w:t>
      </w:r>
    </w:p>
    <w:p w14:paraId="01C40A3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7.3 货物保险要求按</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规定执行</w:t>
      </w:r>
      <w:r>
        <w:rPr>
          <w:rFonts w:hint="eastAsia" w:ascii="宋体" w:hAnsi="宋体" w:cs="宋体"/>
          <w:color w:val="auto"/>
          <w:sz w:val="24"/>
          <w:szCs w:val="24"/>
          <w:highlight w:val="none"/>
        </w:rPr>
        <w:t>。</w:t>
      </w:r>
    </w:p>
    <w:p w14:paraId="0EFDC8E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7.4 除采购活动对商品包装、快递包装达成具体约定外，乙方提供产品及相关快递服务涉及具体包装要求的，应不低于《商品包装政府采购需求标准（试行）》《快递包装政府采购需求标准（试行）</w:t>
      </w:r>
      <w:r>
        <w:rPr>
          <w:rFonts w:hint="eastAsia" w:ascii="宋体" w:hAnsi="宋体" w:cs="宋体"/>
          <w:color w:val="auto"/>
          <w:sz w:val="24"/>
          <w:szCs w:val="24"/>
          <w:highlight w:val="none"/>
          <w:lang w:eastAsia="zh-CN"/>
        </w:rPr>
        <w:t>》等</w:t>
      </w:r>
      <w:r>
        <w:rPr>
          <w:rFonts w:hint="eastAsia" w:ascii="宋体" w:hAnsi="宋体" w:cs="宋体"/>
          <w:color w:val="auto"/>
          <w:sz w:val="24"/>
          <w:szCs w:val="24"/>
          <w:highlight w:val="none"/>
        </w:rPr>
        <w:t>标准，并作为履约验收的内容，必要时甲方可以要求乙方在履约验收环节出具检测报告。</w:t>
      </w:r>
    </w:p>
    <w:p w14:paraId="6238AAE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7.5 乙方在运输到达之前应提前通知甲方，并提示货物运输装卸的注意事项，甲方配合乙方做好货物的接收工作。</w:t>
      </w:r>
    </w:p>
    <w:p w14:paraId="430F714E">
      <w:pPr>
        <w:pStyle w:val="86"/>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7.6 如因包装、运输问题导致货物损毁、丢失或者品质下降，甲方有权要求降价、换货、拒收部分或整批货物，由此产生的费用和损失，均由乙方承担。</w:t>
      </w:r>
    </w:p>
    <w:p w14:paraId="7F4B64DA">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6" w:name="_Toc1643"/>
      <w:r>
        <w:rPr>
          <w:rFonts w:hint="eastAsia" w:ascii="宋体" w:hAnsi="宋体" w:cs="宋体"/>
          <w:color w:val="auto"/>
          <w:sz w:val="24"/>
          <w:szCs w:val="24"/>
          <w:highlight w:val="none"/>
        </w:rPr>
        <w:t>8.质量标准和保证</w:t>
      </w:r>
      <w:bookmarkEnd w:id="1226"/>
    </w:p>
    <w:p w14:paraId="784807EC">
      <w:pPr>
        <w:pStyle w:val="36"/>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b/>
          <w:color w:val="auto"/>
          <w:sz w:val="24"/>
          <w:szCs w:val="24"/>
          <w:highlight w:val="none"/>
        </w:rPr>
      </w:pPr>
      <w:r>
        <w:rPr>
          <w:rFonts w:hint="eastAsia" w:ascii="宋体" w:hAnsi="宋体" w:cs="宋体"/>
          <w:color w:val="auto"/>
          <w:sz w:val="24"/>
          <w:szCs w:val="24"/>
          <w:highlight w:val="none"/>
        </w:rPr>
        <w:t>8.1 质量标准</w:t>
      </w:r>
    </w:p>
    <w:p w14:paraId="0918951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1B9C67C">
      <w:pPr>
        <w:pStyle w:val="36"/>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（2）采用中华人民共和国法定计量单位。</w:t>
      </w:r>
    </w:p>
    <w:p w14:paraId="5B40214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（3）乙方所提供的货物应符合国家有关安全、环保、卫生的规定。</w:t>
      </w:r>
    </w:p>
    <w:p w14:paraId="2EFD8E4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（4）乙方应向甲方提交所提供货物的技术文件，包括相应的中文技术文件，如：产品目录、图纸、操作手册、使用说明、维护手册或服务指南等。上述文件应包装好随货物一同发运。</w:t>
      </w:r>
    </w:p>
    <w:p w14:paraId="7A21F38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8.2 保证</w:t>
      </w:r>
    </w:p>
    <w:p w14:paraId="0D1E1F8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规定或乙方书面承诺（两者以较长的为准）的质量保证期内，本保证保持有效。</w:t>
      </w:r>
    </w:p>
    <w:p w14:paraId="4B75F52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（2）在质量保证期内所发现的缺陷，甲方应尽快以书面形式通知乙方。</w:t>
      </w:r>
    </w:p>
    <w:p w14:paraId="080F7A9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（3）乙方收到通知后，应在</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规定的响应时间内以合理的速度免费维修或更换有缺陷的货物或部件。</w:t>
      </w:r>
    </w:p>
    <w:p w14:paraId="72F27B4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AC13E8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（5）乙方在约定的时间内未能弥补缺陷，甲方可采取必要的补救措施，但其风险和费用将由乙方承担，甲方根据合同约定对乙方行使的其他权利不受影响。</w:t>
      </w:r>
    </w:p>
    <w:p w14:paraId="0D54F876">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7" w:name="_Toc22158"/>
      <w:r>
        <w:rPr>
          <w:rFonts w:hint="eastAsia" w:ascii="宋体" w:hAnsi="宋体" w:cs="宋体"/>
          <w:color w:val="auto"/>
          <w:sz w:val="24"/>
          <w:szCs w:val="24"/>
          <w:highlight w:val="none"/>
        </w:rPr>
        <w:t>9.权利瑕疵担保</w:t>
      </w:r>
      <w:bookmarkEnd w:id="1227"/>
    </w:p>
    <w:p w14:paraId="1F63972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9.1 乙方保证对其出售的货物享有合法的权利。</w:t>
      </w:r>
    </w:p>
    <w:p w14:paraId="183851B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9.2 乙方保证在交付的货物上不存在抵押权等担保物权。</w:t>
      </w:r>
    </w:p>
    <w:p w14:paraId="2807930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9.3 如甲方使用上述货物构成对第三人侵权的，则由乙方承担全部责任。</w:t>
      </w:r>
    </w:p>
    <w:p w14:paraId="37831F84">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10.知识产权保护</w:t>
      </w:r>
    </w:p>
    <w:p w14:paraId="1FE24F29">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10.1 乙方对其所销售的货物应当享有知识产权或经权利人合法授权，保证没有侵犯任何第三人的知识产权等权利。</w:t>
      </w:r>
      <w:bookmarkStart w:id="1228" w:name="_Hlk163047038"/>
      <w:r>
        <w:rPr>
          <w:rFonts w:hint="eastAsia" w:ascii="宋体" w:hAnsi="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1228"/>
      <w:r>
        <w:rPr>
          <w:rFonts w:hint="eastAsia" w:ascii="宋体" w:hAnsi="宋体" w:cs="宋体"/>
          <w:color w:val="auto"/>
          <w:sz w:val="24"/>
          <w:szCs w:val="24"/>
          <w:highlight w:val="none"/>
        </w:rPr>
        <w:t>。</w:t>
      </w:r>
    </w:p>
    <w:p w14:paraId="73C248F4">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29" w:name="_Toc27775"/>
      <w:r>
        <w:rPr>
          <w:rFonts w:hint="eastAsia" w:ascii="宋体" w:hAnsi="宋体" w:cs="宋体"/>
          <w:color w:val="auto"/>
          <w:sz w:val="24"/>
          <w:szCs w:val="24"/>
          <w:highlight w:val="none"/>
        </w:rPr>
        <w:t>11.保密义务</w:t>
      </w:r>
      <w:bookmarkEnd w:id="1229"/>
    </w:p>
    <w:p w14:paraId="19C59DC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p>
    <w:p w14:paraId="592598CA">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0" w:name="_Toc12869"/>
      <w:r>
        <w:rPr>
          <w:rFonts w:hint="eastAsia" w:ascii="宋体" w:hAnsi="宋体" w:cs="宋体"/>
          <w:color w:val="auto"/>
          <w:sz w:val="24"/>
          <w:szCs w:val="24"/>
          <w:highlight w:val="none"/>
        </w:rPr>
        <w:t>12.合同价款支付</w:t>
      </w:r>
      <w:bookmarkEnd w:id="1230"/>
    </w:p>
    <w:p w14:paraId="7D8ADF2A">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12.1 合同价款支付按照国库集中支付制度及财政管理相关规定执行。</w:t>
      </w:r>
    </w:p>
    <w:p w14:paraId="2165B4D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bookmarkStart w:id="1231" w:name="_Toc20583"/>
      <w:bookmarkStart w:id="1232" w:name="_Toc16240"/>
      <w:bookmarkStart w:id="1233" w:name="_Toc11744"/>
      <w:r>
        <w:rPr>
          <w:rFonts w:hint="eastAsia" w:ascii="宋体" w:hAnsi="宋体" w:cs="宋体"/>
          <w:color w:val="auto"/>
          <w:sz w:val="24"/>
          <w:szCs w:val="24"/>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中约定。</w:t>
      </w:r>
      <w:bookmarkEnd w:id="1231"/>
      <w:bookmarkEnd w:id="1232"/>
      <w:bookmarkEnd w:id="1233"/>
    </w:p>
    <w:p w14:paraId="25E321F0">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4" w:name="_Toc19133"/>
      <w:r>
        <w:rPr>
          <w:rFonts w:hint="eastAsia" w:ascii="宋体" w:hAnsi="宋体" w:cs="宋体"/>
          <w:color w:val="auto"/>
          <w:sz w:val="24"/>
          <w:szCs w:val="24"/>
          <w:highlight w:val="none"/>
        </w:rPr>
        <w:t>13.履约保证金</w:t>
      </w:r>
      <w:bookmarkEnd w:id="1234"/>
    </w:p>
    <w:p w14:paraId="48A804C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13.1 乙方应当以支票、汇票、本票或者金融机构、担保机构出具的保函等非现金形式提交。</w:t>
      </w:r>
    </w:p>
    <w:p w14:paraId="79FD4B2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13.2 如果乙方出现</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约定情形的，履约保证金不予退还；如果乙方未能按合同约定全面履行义务，甲方有权从履约保证金中取得补偿或赔偿，且不影响甲方要求乙方承担合同约定的超过履约保证金的违约责任的权利。</w:t>
      </w:r>
    </w:p>
    <w:p w14:paraId="0A45ACF7">
      <w:pPr>
        <w:keepNext w:val="0"/>
        <w:keepLines w:val="0"/>
        <w:pageBreakBefore w:val="0"/>
        <w:widowControl w:val="0"/>
        <w:kinsoku/>
        <w:wordWrap w:val="0"/>
        <w:overflowPunct/>
        <w:topLinePunct/>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13.3 甲方在项目通过验收后按照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规定的时间内将履约保证金退还乙方；逾期退还的，乙方可要求甲方支付违约金，违约金按照</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规定支付。</w:t>
      </w:r>
    </w:p>
    <w:p w14:paraId="5160AF59">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5" w:name="_Toc8648"/>
      <w:r>
        <w:rPr>
          <w:rFonts w:hint="eastAsia" w:ascii="宋体" w:hAnsi="宋体" w:cs="宋体"/>
          <w:color w:val="auto"/>
          <w:sz w:val="24"/>
          <w:szCs w:val="24"/>
          <w:highlight w:val="none"/>
        </w:rPr>
        <w:t>14.售后服务</w:t>
      </w:r>
      <w:bookmarkEnd w:id="1235"/>
    </w:p>
    <w:p w14:paraId="684B1C4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14.1 除项目不涉及或采购活动中明确约定无须承担外，乙方还应提供下列服务：</w:t>
      </w:r>
    </w:p>
    <w:p w14:paraId="1C8A1CD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（1）货物的现场移动、安装、调试、启动监督及技术支持；</w:t>
      </w:r>
    </w:p>
    <w:p w14:paraId="4ECA843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（2）提供货物组装和维修所需的专用工具和辅助材料；</w:t>
      </w:r>
    </w:p>
    <w:p w14:paraId="2835173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（3）在</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约定的期限内对所有的货物实施运行监督、维修，但前提条件是该服务并不能免除乙方在质量保证期内所承担的义务；</w:t>
      </w:r>
    </w:p>
    <w:p w14:paraId="0FA4FFC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（4）在制造商所在地或指定现场就货物的安装、启动、运营、维护、废弃处置等对甲方操作人员进行培训；</w:t>
      </w:r>
    </w:p>
    <w:p w14:paraId="5BC691CA">
      <w:pPr>
        <w:pStyle w:val="86"/>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19D9AD9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规定由乙方提供的其他服务。</w:t>
      </w:r>
    </w:p>
    <w:p w14:paraId="745A10F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14.2 乙方提供的售后服务的费用已包含在合同价款中，甲方不再另行支付。</w:t>
      </w:r>
    </w:p>
    <w:p w14:paraId="0ECE62AB">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6" w:name="_Toc15795"/>
      <w:r>
        <w:rPr>
          <w:rFonts w:hint="eastAsia" w:ascii="宋体" w:hAnsi="宋体" w:cs="宋体"/>
          <w:color w:val="auto"/>
          <w:sz w:val="24"/>
          <w:szCs w:val="24"/>
          <w:highlight w:val="none"/>
        </w:rPr>
        <w:t>15.违约责任</w:t>
      </w:r>
      <w:bookmarkEnd w:id="1236"/>
    </w:p>
    <w:p w14:paraId="3152483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15.1质量瑕疵的违约责任</w:t>
      </w:r>
    </w:p>
    <w:p w14:paraId="0B984A2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乙方提供的产品不符合合同约定的质量标准或存在产品质量缺陷，甲方有权要求乙方根据</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要求</w:t>
      </w:r>
      <w:r>
        <w:rPr>
          <w:rFonts w:hint="eastAsia" w:ascii="宋体" w:hAnsi="宋体" w:cs="宋体"/>
          <w:color w:val="auto"/>
          <w:sz w:val="24"/>
          <w:szCs w:val="24"/>
          <w:highlight w:val="none"/>
        </w:rPr>
        <w:t>及时修理、重作、更换，并承担由此给甲方造成的损失。</w:t>
      </w:r>
    </w:p>
    <w:p w14:paraId="45AE654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15.2 迟延交货的违约责任</w:t>
      </w:r>
    </w:p>
    <w:p w14:paraId="1E969BF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E0F303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auto"/>
          <w:sz w:val="24"/>
          <w:szCs w:val="24"/>
          <w:highlight w:val="none"/>
        </w:rPr>
        <w:t>【政府采购合同专用条款】</w:t>
      </w:r>
      <w:r>
        <w:rPr>
          <w:rFonts w:hint="eastAsia" w:ascii="宋体" w:hAnsi="宋体" w:cs="宋体"/>
          <w:color w:val="auto"/>
          <w:sz w:val="24"/>
          <w:szCs w:val="24"/>
          <w:highlight w:val="none"/>
        </w:rPr>
        <w:t>规定执行。如果涉及公共利益，且赔偿金额无法弥补公共利益损失，甲方可要求继续履行或者采取其他补救措施。</w:t>
      </w:r>
    </w:p>
    <w:p w14:paraId="090CEBF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15.3 迟延支付的违约责任</w:t>
      </w:r>
    </w:p>
    <w:p w14:paraId="0F25150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甲方存在迟延支付乙方合同款项的，应当承担</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规定的逾期付款利息。</w:t>
      </w:r>
    </w:p>
    <w:p w14:paraId="386E4E6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15.4其他违约责任根据项目实际需要按</w:t>
      </w:r>
      <w:r>
        <w:rPr>
          <w:rFonts w:hint="eastAsia" w:ascii="宋体" w:hAnsi="宋体" w:cs="宋体"/>
          <w:b/>
          <w:bCs/>
          <w:color w:val="auto"/>
          <w:sz w:val="24"/>
          <w:szCs w:val="24"/>
          <w:highlight w:val="none"/>
        </w:rPr>
        <w:t>【政府采购合同专用条款】</w:t>
      </w:r>
      <w:r>
        <w:rPr>
          <w:rFonts w:hint="eastAsia" w:ascii="宋体" w:hAnsi="宋体" w:cs="宋体"/>
          <w:color w:val="auto"/>
          <w:sz w:val="24"/>
          <w:szCs w:val="24"/>
          <w:highlight w:val="none"/>
        </w:rPr>
        <w:t>规定执行。</w:t>
      </w:r>
    </w:p>
    <w:p w14:paraId="53B3B937">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7" w:name="_Toc18687"/>
      <w:r>
        <w:rPr>
          <w:rFonts w:hint="eastAsia" w:ascii="宋体" w:hAnsi="宋体" w:cs="宋体"/>
          <w:color w:val="auto"/>
          <w:sz w:val="24"/>
          <w:szCs w:val="24"/>
          <w:highlight w:val="none"/>
        </w:rPr>
        <w:t>16.合同变更、中止与终止</w:t>
      </w:r>
      <w:bookmarkEnd w:id="1237"/>
    </w:p>
    <w:p w14:paraId="3A3287A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16.1合同的变更</w:t>
      </w:r>
    </w:p>
    <w:p w14:paraId="1CF4478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386FECA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16.2合同的终止</w:t>
      </w:r>
    </w:p>
    <w:p w14:paraId="492CECF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（1）合同履行过程中因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就采购文件、采购过程或结果提起投诉的，甲方认为有必要的，可以中止合同的履行。</w:t>
      </w:r>
    </w:p>
    <w:p w14:paraId="7931EA8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8BE43B">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25CA80D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（4）甲方不得以行政区划调整、政府换届、机构或者职能调整以及相关责任人更替为由终止合同。</w:t>
      </w:r>
    </w:p>
    <w:p w14:paraId="47DA21E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16.3合同的终止</w:t>
      </w:r>
    </w:p>
    <w:p w14:paraId="41205568">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（1）合同因有效期限届满而终止；</w:t>
      </w:r>
    </w:p>
    <w:p w14:paraId="6BAF79E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（2）乙方未按合同约定履行，构成根本性违约的，甲方有权终止合同，并追究乙方的违约责任。</w:t>
      </w:r>
    </w:p>
    <w:p w14:paraId="06FA97DE">
      <w:pPr>
        <w:pStyle w:val="86"/>
        <w:keepNext w:val="0"/>
        <w:keepLines w:val="0"/>
        <w:pageBreakBefore w:val="0"/>
        <w:widowControl w:val="0"/>
        <w:kinsoku/>
        <w:wordWrap w:val="0"/>
        <w:overflowPunct/>
        <w:topLinePunct/>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kern w:val="2"/>
          <w:sz w:val="24"/>
          <w:szCs w:val="24"/>
          <w:highlight w:val="none"/>
        </w:rPr>
        <w:t>涉及国家利益、社会公共利益的情形</w:t>
      </w:r>
    </w:p>
    <w:p w14:paraId="044C92EF">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792B24EC">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8" w:name="_Toc861"/>
      <w:r>
        <w:rPr>
          <w:rFonts w:hint="eastAsia" w:ascii="宋体" w:hAnsi="宋体" w:cs="宋体"/>
          <w:color w:val="auto"/>
          <w:sz w:val="24"/>
          <w:szCs w:val="24"/>
          <w:highlight w:val="none"/>
        </w:rPr>
        <w:t>17.合同分包</w:t>
      </w:r>
      <w:bookmarkEnd w:id="1238"/>
    </w:p>
    <w:p w14:paraId="27C05A3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17.1 乙方不得将合同转包给其他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。涉及合同分包的，乙方应根据采购文件和投标（响应）文件规定进行合同分包。</w:t>
      </w:r>
    </w:p>
    <w:p w14:paraId="65C2AF6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17.2 乙方执行政府采购政策向中小企业依法分包的，乙方应当按采购文件和投标（响应）文件签订分包意向协议，分包意向协议属于本合同组成部分。</w:t>
      </w:r>
    </w:p>
    <w:p w14:paraId="5646A9EF">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39" w:name="_Toc4913"/>
      <w:r>
        <w:rPr>
          <w:rFonts w:hint="eastAsia" w:ascii="宋体" w:hAnsi="宋体" w:cs="宋体"/>
          <w:color w:val="auto"/>
          <w:sz w:val="24"/>
          <w:szCs w:val="24"/>
          <w:highlight w:val="none"/>
        </w:rPr>
        <w:t>18.不可抗力</w:t>
      </w:r>
      <w:bookmarkEnd w:id="1239"/>
    </w:p>
    <w:p w14:paraId="30D76C3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18.1 不可抗力是指合同双方不能预见、不能避免且不能克服的客观情况。</w:t>
      </w:r>
    </w:p>
    <w:p w14:paraId="6D75FA5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18.2 任何一方对由于不可抗力造成的部分或全部不能履行合同不承担违约责任。但迟延履行后发生不可抗力的，不能免除责任。</w:t>
      </w:r>
    </w:p>
    <w:p w14:paraId="1C1F315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B4E2D5C">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40" w:name="_Toc27615"/>
      <w:r>
        <w:rPr>
          <w:rFonts w:hint="eastAsia" w:ascii="宋体" w:hAnsi="宋体" w:cs="宋体"/>
          <w:color w:val="auto"/>
          <w:sz w:val="24"/>
          <w:szCs w:val="24"/>
          <w:highlight w:val="none"/>
        </w:rPr>
        <w:t>19.解决争议的方法</w:t>
      </w:r>
      <w:bookmarkEnd w:id="1240"/>
    </w:p>
    <w:p w14:paraId="12B886DD">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46B0603">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D7D60DB">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如甲乙双方有争议的事项不影响合同其他部分的履行，在争议解决期间，合同其他部分应当继续履行。</w:t>
      </w:r>
    </w:p>
    <w:p w14:paraId="52D20DC9">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41" w:name="_Toc14981"/>
      <w:r>
        <w:rPr>
          <w:rFonts w:hint="eastAsia" w:ascii="宋体" w:hAnsi="宋体" w:cs="宋体"/>
          <w:color w:val="auto"/>
          <w:sz w:val="24"/>
          <w:szCs w:val="24"/>
          <w:highlight w:val="none"/>
        </w:rPr>
        <w:t>20.政府采购政策</w:t>
      </w:r>
      <w:bookmarkEnd w:id="1241"/>
    </w:p>
    <w:p w14:paraId="1D6D5AF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w:t>
      </w:r>
      <w:r>
        <w:rPr>
          <w:rFonts w:hint="eastAsia" w:ascii="宋体" w:hAnsi="宋体" w:cs="宋体"/>
          <w:color w:val="auto"/>
          <w:sz w:val="24"/>
          <w:szCs w:val="24"/>
          <w:highlight w:val="none"/>
          <w:lang w:val="en-GB"/>
        </w:rPr>
        <w:t>本合同应当按照规定执行政府采购政策。</w:t>
      </w:r>
    </w:p>
    <w:p w14:paraId="6874EA4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20.2 本合同依法执行政府采购政策的方式和内容，属于合同履约验收的范围。甲乙双方</w:t>
      </w:r>
      <w:r>
        <w:rPr>
          <w:rFonts w:hint="eastAsia" w:ascii="宋体" w:hAnsi="宋体" w:cs="宋体"/>
          <w:color w:val="auto"/>
          <w:sz w:val="24"/>
          <w:szCs w:val="24"/>
          <w:highlight w:val="none"/>
          <w:lang w:val="en-GB"/>
        </w:rPr>
        <w:t>未按规定要求执行政府采购政策造成损失的</w:t>
      </w:r>
      <w:r>
        <w:rPr>
          <w:rFonts w:hint="eastAsia" w:ascii="宋体" w:hAnsi="宋体" w:cs="宋体"/>
          <w:color w:val="auto"/>
          <w:sz w:val="24"/>
          <w:szCs w:val="24"/>
          <w:highlight w:val="none"/>
        </w:rPr>
        <w:t>，有过错的一方应当承担赔偿责任，双方都有过错的，各自承担相应的责任。</w:t>
      </w:r>
    </w:p>
    <w:p w14:paraId="494E3D7D">
      <w:pPr>
        <w:pStyle w:val="28"/>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97C880F">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42" w:name="_Toc12531"/>
      <w:r>
        <w:rPr>
          <w:rFonts w:hint="eastAsia" w:ascii="宋体" w:hAnsi="宋体" w:cs="宋体"/>
          <w:color w:val="auto"/>
          <w:sz w:val="24"/>
          <w:szCs w:val="24"/>
          <w:highlight w:val="none"/>
        </w:rPr>
        <w:t>21.法律适用</w:t>
      </w:r>
      <w:bookmarkEnd w:id="1242"/>
    </w:p>
    <w:p w14:paraId="37B05A26">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本合同的订立、生效、解释、履行及与本合同有关的争议解决，均适用法律、行政法规。</w:t>
      </w:r>
    </w:p>
    <w:p w14:paraId="2C2D41F2">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本合同条款与法律、行政法规的强制性规定不一致的，双方当事人应按照法律、行政法规的强制性规定修改本合同的相关条款。</w:t>
      </w:r>
    </w:p>
    <w:p w14:paraId="6B66B636">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43" w:name="_Toc8506"/>
      <w:r>
        <w:rPr>
          <w:rFonts w:hint="eastAsia" w:ascii="宋体" w:hAnsi="宋体" w:cs="宋体"/>
          <w:color w:val="auto"/>
          <w:sz w:val="24"/>
          <w:szCs w:val="24"/>
          <w:highlight w:val="none"/>
        </w:rPr>
        <w:t>22.通知</w:t>
      </w:r>
      <w:bookmarkEnd w:id="1243"/>
    </w:p>
    <w:p w14:paraId="2A407DF5">
      <w:pPr>
        <w:pStyle w:val="86"/>
        <w:keepNext w:val="0"/>
        <w:keepLines w:val="0"/>
        <w:pageBreakBefore w:val="0"/>
        <w:widowControl w:val="0"/>
        <w:kinsoku/>
        <w:wordWrap w:val="0"/>
        <w:overflowPunct/>
        <w:topLinePunct/>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本合同任何一方向对方发出的通知、信件、数据电文等，应当发送至本合同第一部分《政府采购合同协议书》所约定的通讯地址、联系人、联系电话或电子邮箱。</w:t>
      </w:r>
    </w:p>
    <w:p w14:paraId="64F78824">
      <w:pPr>
        <w:pStyle w:val="86"/>
        <w:keepNext w:val="0"/>
        <w:keepLines w:val="0"/>
        <w:pageBreakBefore w:val="0"/>
        <w:widowControl w:val="0"/>
        <w:kinsoku/>
        <w:wordWrap w:val="0"/>
        <w:overflowPunct/>
        <w:topLinePunct/>
        <w:autoSpaceDE/>
        <w:autoSpaceDN/>
        <w:bidi w:val="0"/>
        <w:adjustRightInd/>
        <w:snapToGrid/>
        <w:spacing w:line="360" w:lineRule="auto"/>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p>
    <w:p w14:paraId="6AB3B2D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22.3本合同一方给另一方的通知均应采用书面形式，传真或快递送到本合同中规定的对方的地址和办理签收手续。</w:t>
      </w:r>
    </w:p>
    <w:p w14:paraId="69F788D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22.4通知以送达之日或通知书中规定的生效之日起生效，两者中以较迟之日为准。</w:t>
      </w:r>
    </w:p>
    <w:p w14:paraId="05B4CCDC">
      <w:pPr>
        <w:pStyle w:val="6"/>
        <w:keepNext w:val="0"/>
        <w:keepLines w:val="0"/>
        <w:pageBreakBefore w:val="0"/>
        <w:widowControl w:val="0"/>
        <w:kinsoku/>
        <w:overflowPunct/>
        <w:autoSpaceDE/>
        <w:autoSpaceDN/>
        <w:bidi w:val="0"/>
        <w:adjustRightInd/>
        <w:snapToGrid/>
        <w:spacing w:line="360" w:lineRule="auto"/>
        <w:textAlignment w:val="auto"/>
        <w:rPr>
          <w:rFonts w:hint="eastAsia" w:ascii="宋体" w:hAnsi="宋体" w:cs="宋体"/>
          <w:color w:val="auto"/>
          <w:sz w:val="24"/>
          <w:szCs w:val="24"/>
          <w:highlight w:val="none"/>
        </w:rPr>
      </w:pPr>
      <w:bookmarkStart w:id="1244" w:name="_Toc9629"/>
      <w:r>
        <w:rPr>
          <w:rFonts w:hint="eastAsia" w:ascii="宋体" w:hAnsi="宋体" w:cs="宋体"/>
          <w:color w:val="auto"/>
          <w:sz w:val="24"/>
          <w:szCs w:val="24"/>
          <w:highlight w:val="none"/>
        </w:rPr>
        <w:t>23.合同未尽事项</w:t>
      </w:r>
      <w:bookmarkEnd w:id="1244"/>
    </w:p>
    <w:p w14:paraId="0B40FDC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23.1合同未尽事项见</w:t>
      </w:r>
      <w:r>
        <w:rPr>
          <w:rFonts w:hint="eastAsia" w:ascii="宋体" w:hAnsi="宋体" w:cs="宋体"/>
          <w:b/>
          <w:color w:val="auto"/>
          <w:sz w:val="24"/>
          <w:szCs w:val="24"/>
          <w:highlight w:val="none"/>
        </w:rPr>
        <w:t>【政府采购合同专用条款】</w:t>
      </w:r>
      <w:r>
        <w:rPr>
          <w:rFonts w:hint="eastAsia" w:ascii="宋体" w:hAnsi="宋体" w:cs="宋体"/>
          <w:bCs/>
          <w:color w:val="auto"/>
          <w:sz w:val="24"/>
          <w:szCs w:val="24"/>
          <w:highlight w:val="none"/>
        </w:rPr>
        <w:t>。</w:t>
      </w:r>
    </w:p>
    <w:p w14:paraId="246D391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23.2 合同附件与合同正文具有同等的法律效力。</w:t>
      </w:r>
    </w:p>
    <w:p w14:paraId="5B3D3086">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NumType w:fmt="decimal"/>
          <w:cols w:space="720" w:num="1"/>
          <w:docGrid w:type="lines" w:linePitch="312" w:charSpace="0"/>
        </w:sectPr>
      </w:pPr>
    </w:p>
    <w:p w14:paraId="6B2790F5">
      <w:pPr>
        <w:pStyle w:val="5"/>
        <w:spacing w:line="443" w:lineRule="exact"/>
        <w:jc w:val="center"/>
        <w:rPr>
          <w:rFonts w:hint="eastAsia" w:ascii="Microsoft JhengHei" w:hAnsi="Microsoft JhengHei"/>
          <w:b/>
          <w:bCs/>
          <w:color w:val="auto"/>
          <w:sz w:val="30"/>
          <w:szCs w:val="32"/>
          <w:highlight w:val="none"/>
        </w:rPr>
      </w:pPr>
      <w:bookmarkStart w:id="1245" w:name="_Toc31902"/>
      <w:r>
        <w:rPr>
          <w:rFonts w:hint="eastAsia" w:ascii="Microsoft JhengHei" w:hAnsi="Microsoft JhengHei"/>
          <w:b/>
          <w:bCs/>
          <w:color w:val="auto"/>
          <w:sz w:val="30"/>
          <w:szCs w:val="32"/>
          <w:highlight w:val="none"/>
        </w:rPr>
        <w:t>第三部分 政府采购合同专用条款</w:t>
      </w:r>
      <w:bookmarkEnd w:id="1245"/>
    </w:p>
    <w:tbl>
      <w:tblPr>
        <w:tblStyle w:val="67"/>
        <w:tblW w:w="1031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56"/>
        <w:gridCol w:w="1416"/>
        <w:gridCol w:w="7746"/>
      </w:tblGrid>
      <w:tr w14:paraId="33E705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2021A4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D9A1C8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第1.2（6）项</w:t>
            </w:r>
          </w:p>
        </w:tc>
        <w:tc>
          <w:tcPr>
            <w:tcW w:w="1416" w:type="dxa"/>
            <w:noWrap w:val="0"/>
            <w:vAlign w:val="center"/>
          </w:tcPr>
          <w:p w14:paraId="32677E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联合体具体要求</w:t>
            </w:r>
          </w:p>
        </w:tc>
        <w:tc>
          <w:tcPr>
            <w:tcW w:w="7746" w:type="dxa"/>
            <w:noWrap w:val="0"/>
            <w:vAlign w:val="center"/>
          </w:tcPr>
          <w:p w14:paraId="0DAD424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无（本项目不接受联合体投标）</w:t>
            </w:r>
          </w:p>
        </w:tc>
      </w:tr>
      <w:tr w14:paraId="4A2C1B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7677FF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5A649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第1.2（7）项</w:t>
            </w:r>
          </w:p>
        </w:tc>
        <w:tc>
          <w:tcPr>
            <w:tcW w:w="1416" w:type="dxa"/>
            <w:noWrap w:val="0"/>
            <w:vAlign w:val="center"/>
          </w:tcPr>
          <w:p w14:paraId="599A2BC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其他术语解释</w:t>
            </w:r>
          </w:p>
        </w:tc>
        <w:tc>
          <w:tcPr>
            <w:tcW w:w="7746" w:type="dxa"/>
            <w:noWrap w:val="0"/>
            <w:vAlign w:val="center"/>
          </w:tcPr>
          <w:p w14:paraId="4E2B65A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035376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78D9DDA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ABD7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第4.4款</w:t>
            </w:r>
          </w:p>
        </w:tc>
        <w:tc>
          <w:tcPr>
            <w:tcW w:w="1416" w:type="dxa"/>
            <w:noWrap w:val="0"/>
            <w:vAlign w:val="center"/>
          </w:tcPr>
          <w:p w14:paraId="1D6615B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履约验收中甲方提出异议或作出说明的期限</w:t>
            </w:r>
          </w:p>
        </w:tc>
        <w:tc>
          <w:tcPr>
            <w:tcW w:w="7746" w:type="dxa"/>
            <w:noWrap w:val="0"/>
            <w:vAlign w:val="center"/>
          </w:tcPr>
          <w:p w14:paraId="4FC792A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如有质量异议，甲方在货到一个月内向乙方提出，乙方应在接到甲方异议的7天内做出书面答复，逾期则视为乙方同意甲方提出的异议和处理意见。</w:t>
            </w:r>
          </w:p>
        </w:tc>
      </w:tr>
      <w:tr w14:paraId="62085F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771A4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41A011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第4.6款</w:t>
            </w:r>
          </w:p>
        </w:tc>
        <w:tc>
          <w:tcPr>
            <w:tcW w:w="1416" w:type="dxa"/>
            <w:noWrap w:val="0"/>
            <w:vAlign w:val="center"/>
          </w:tcPr>
          <w:p w14:paraId="1AC296F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约定甲方承担的其他义务和责任</w:t>
            </w:r>
          </w:p>
        </w:tc>
        <w:tc>
          <w:tcPr>
            <w:tcW w:w="7746" w:type="dxa"/>
            <w:noWrap w:val="0"/>
            <w:vAlign w:val="center"/>
          </w:tcPr>
          <w:p w14:paraId="3DBE110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甲方无正当理由拒绝接货的，</w:t>
            </w:r>
            <w:r>
              <w:rPr>
                <w:rFonts w:hint="eastAsia" w:ascii="宋体" w:hAnsi="宋体" w:cs="宋体"/>
                <w:i w:val="0"/>
                <w:iCs w:val="0"/>
                <w:color w:val="auto"/>
                <w:sz w:val="24"/>
                <w:szCs w:val="24"/>
                <w:highlight w:val="none"/>
                <w:lang w:eastAsia="zh-CN"/>
              </w:rPr>
              <w:t>经乙方书面催告后</w:t>
            </w:r>
            <w:r>
              <w:rPr>
                <w:rFonts w:hint="eastAsia" w:ascii="宋体" w:hAnsi="宋体" w:cs="宋体"/>
                <w:i w:val="0"/>
                <w:iCs w:val="0"/>
                <w:color w:val="auto"/>
                <w:sz w:val="24"/>
                <w:szCs w:val="24"/>
                <w:highlight w:val="none"/>
                <w:u w:val="single"/>
                <w:lang w:val="en-US" w:eastAsia="zh-CN"/>
              </w:rPr>
              <w:t xml:space="preserve"> 30 </w:t>
            </w:r>
            <w:r>
              <w:rPr>
                <w:rFonts w:hint="eastAsia" w:ascii="宋体" w:hAnsi="宋体" w:cs="宋体"/>
                <w:i w:val="0"/>
                <w:iCs w:val="0"/>
                <w:color w:val="auto"/>
                <w:sz w:val="24"/>
                <w:szCs w:val="24"/>
                <w:highlight w:val="none"/>
                <w:lang w:val="en-US" w:eastAsia="zh-CN"/>
              </w:rPr>
              <w:t>日，</w:t>
            </w:r>
            <w:r>
              <w:rPr>
                <w:rFonts w:hint="eastAsia" w:ascii="宋体" w:hAnsi="宋体" w:cs="宋体"/>
                <w:i w:val="0"/>
                <w:iCs w:val="0"/>
                <w:color w:val="auto"/>
                <w:sz w:val="24"/>
                <w:szCs w:val="24"/>
                <w:highlight w:val="none"/>
              </w:rPr>
              <w:t>应当承担由此对乙方造成的损失，并向乙方偿付拒绝接收部分货款的</w:t>
            </w:r>
            <w:r>
              <w:rPr>
                <w:rFonts w:hint="eastAsia" w:ascii="宋体" w:hAnsi="宋体" w:cs="宋体"/>
                <w:i w:val="0"/>
                <w:iCs w:val="0"/>
                <w:color w:val="auto"/>
                <w:sz w:val="24"/>
                <w:szCs w:val="24"/>
                <w:highlight w:val="none"/>
                <w:u w:val="single"/>
              </w:rPr>
              <w:t xml:space="preserve"> 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p w14:paraId="14DEC29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outlineLvl w:val="2"/>
              <w:rPr>
                <w:rFonts w:hint="eastAsia" w:ascii="宋体" w:hAnsi="宋体" w:cs="宋体"/>
                <w:i w:val="0"/>
                <w:iCs w:val="0"/>
                <w:color w:val="auto"/>
                <w:sz w:val="24"/>
                <w:szCs w:val="24"/>
                <w:highlight w:val="none"/>
              </w:rPr>
            </w:pPr>
            <w:bookmarkStart w:id="1246" w:name="_Toc26881"/>
            <w:bookmarkStart w:id="1247" w:name="_Toc13053"/>
            <w:bookmarkStart w:id="1248" w:name="_Toc31259"/>
            <w:bookmarkStart w:id="1249" w:name="_Toc4628"/>
            <w:bookmarkStart w:id="1250" w:name="_Toc873"/>
            <w:bookmarkStart w:id="1251" w:name="_Toc6073"/>
            <w:r>
              <w:rPr>
                <w:rFonts w:hint="eastAsia" w:ascii="宋体" w:hAnsi="宋体" w:cs="宋体"/>
                <w:i w:val="0"/>
                <w:iCs w:val="0"/>
                <w:color w:val="auto"/>
                <w:sz w:val="24"/>
                <w:szCs w:val="24"/>
                <w:highlight w:val="none"/>
              </w:rPr>
              <w:t>（三）双方的违约责任：</w:t>
            </w:r>
            <w:bookmarkEnd w:id="1246"/>
            <w:bookmarkEnd w:id="1247"/>
            <w:bookmarkEnd w:id="1248"/>
            <w:bookmarkEnd w:id="1249"/>
            <w:bookmarkEnd w:id="1250"/>
            <w:bookmarkEnd w:id="1251"/>
          </w:p>
          <w:p w14:paraId="30F03A9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除明确约定的违约情形和违约责任外，任何一方违反本合同约定内容的，守约方可视情况追究违约责任，根据违反约定的程度确定违约方偿付相当于货款</w:t>
            </w:r>
            <w:r>
              <w:rPr>
                <w:rFonts w:hint="eastAsia" w:ascii="宋体" w:hAnsi="宋体" w:cs="宋体"/>
                <w:i w:val="0"/>
                <w:iCs w:val="0"/>
                <w:color w:val="auto"/>
                <w:sz w:val="24"/>
                <w:szCs w:val="24"/>
                <w:highlight w:val="none"/>
                <w:u w:val="single"/>
              </w:rPr>
              <w:t>3</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u w:val="single"/>
              </w:rPr>
              <w:t>至20</w:t>
            </w:r>
            <w:r>
              <w:rPr>
                <w:rFonts w:hint="eastAsia" w:ascii="宋体" w:hAnsi="宋体" w:cs="宋体"/>
                <w:i w:val="0"/>
                <w:iCs w:val="0"/>
                <w:color w:val="auto"/>
                <w:sz w:val="24"/>
                <w:szCs w:val="24"/>
                <w:highlight w:val="none"/>
                <w:u w:val="single"/>
                <w:lang w:val="en-US" w:eastAsia="zh-CN"/>
              </w:rPr>
              <w:t>‰</w:t>
            </w:r>
            <w:r>
              <w:rPr>
                <w:rFonts w:hint="eastAsia" w:ascii="宋体" w:hAnsi="宋体" w:cs="宋体"/>
                <w:i w:val="0"/>
                <w:iCs w:val="0"/>
                <w:color w:val="auto"/>
                <w:sz w:val="24"/>
                <w:szCs w:val="24"/>
                <w:highlight w:val="none"/>
              </w:rPr>
              <w:t>的违约金。</w:t>
            </w:r>
          </w:p>
        </w:tc>
      </w:tr>
      <w:tr w14:paraId="25262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05ADD21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34CEFD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第5.4款</w:t>
            </w:r>
          </w:p>
        </w:tc>
        <w:tc>
          <w:tcPr>
            <w:tcW w:w="1416" w:type="dxa"/>
            <w:noWrap w:val="0"/>
            <w:vAlign w:val="center"/>
          </w:tcPr>
          <w:p w14:paraId="6AE26DB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约定乙方承担的其他义务和责任</w:t>
            </w:r>
          </w:p>
        </w:tc>
        <w:tc>
          <w:tcPr>
            <w:tcW w:w="7746" w:type="dxa"/>
            <w:noWrap w:val="0"/>
            <w:vAlign w:val="center"/>
          </w:tcPr>
          <w:p w14:paraId="048EB308">
            <w:pPr>
              <w:widowControl w:val="0"/>
              <w:tabs>
                <w:tab w:val="left" w:pos="351"/>
                <w:tab w:val="left" w:pos="690"/>
              </w:tabs>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（1）中标人逾期交货（包括零部件）的，按总货款计算，向采购人偿付每日千分之五的违约金，并承担采购人因此所受的损失费用；中标人逾期交货超过</w:t>
            </w:r>
            <w:r>
              <w:rPr>
                <w:rFonts w:hint="eastAsia" w:ascii="宋体" w:hAnsi="宋体" w:eastAsia="宋体" w:cs="宋体"/>
                <w:color w:val="auto"/>
                <w:sz w:val="24"/>
                <w:szCs w:val="24"/>
                <w:lang w:val="en-US" w:eastAsia="zh-CN"/>
              </w:rPr>
              <w:t>35</w:t>
            </w:r>
            <w:r>
              <w:rPr>
                <w:rFonts w:hint="eastAsia" w:ascii="宋体" w:hAnsi="宋体" w:eastAsia="宋体" w:cs="宋体"/>
                <w:color w:val="auto"/>
                <w:sz w:val="24"/>
                <w:szCs w:val="24"/>
              </w:rPr>
              <w:t>天，中标人经采购人书面通知后仍未交货，视为中标人不能交货；中标人不能交货的，采购人有权拒付中标人剩余货款，中标人应向采购人偿付相当于货款的20%的违约金，且采购人有权解除合同，中标人还应当退回采购人已经支付的所有款项。中标人因特殊原因无法按时交货的，经采购人同意后方可延迟送货，并与采购人确定新的供货安装期限，免除此条违约责任；</w:t>
            </w:r>
          </w:p>
          <w:p w14:paraId="12C541CB">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color w:val="auto"/>
                <w:sz w:val="24"/>
                <w:szCs w:val="24"/>
              </w:rPr>
              <w:t>（2）中标人所交产品（包括零部件）品种、数量、规格、型号、质量、技术参数及配置不符合国家法律法规、招标文件和投标文件及合同规定的，由中标人负责包换或退货，并承担由此而支付的实际费用。换货的供货安装期限超过合同履约期的视为逾期交货，退货的视为不能交货，并承担逾期交货、不能交货的违约责任；</w:t>
            </w:r>
          </w:p>
        </w:tc>
      </w:tr>
      <w:tr w14:paraId="195AD3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6FE595D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381B312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第6.1款</w:t>
            </w:r>
          </w:p>
        </w:tc>
        <w:tc>
          <w:tcPr>
            <w:tcW w:w="1416" w:type="dxa"/>
            <w:noWrap w:val="0"/>
            <w:vAlign w:val="center"/>
          </w:tcPr>
          <w:p w14:paraId="13B0719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履行合同义务的顺序</w:t>
            </w:r>
          </w:p>
        </w:tc>
        <w:tc>
          <w:tcPr>
            <w:tcW w:w="7746" w:type="dxa"/>
            <w:noWrap w:val="0"/>
            <w:vAlign w:val="center"/>
          </w:tcPr>
          <w:p w14:paraId="2E27F300">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FE"/>
            </w:r>
            <w:r>
              <w:rPr>
                <w:rFonts w:hint="eastAsia" w:ascii="宋体" w:hAnsi="宋体" w:cs="宋体"/>
                <w:color w:val="auto"/>
                <w:sz w:val="24"/>
                <w:szCs w:val="24"/>
                <w:highlight w:val="none"/>
              </w:rPr>
              <w:t>同时履行。当事人双方在合同中没有约定履行顺序的，应当同时履行。一方在对方履行之前有权拒绝其履行请求，一方在对方履行债务不符合约定时，有权拒绝其相应的履行请求</w:t>
            </w:r>
          </w:p>
          <w:p w14:paraId="1B0EE9B5">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先履行。当事人互负债务，有先后履行顺序，应当先履行债务一方未履行的，后履行一方有权拒绝其履行请求。先履行一方履行债务不符合约定的，后履行一方有权</w:t>
            </w: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拒绝其相应的履行请求。</w:t>
            </w:r>
          </w:p>
          <w:p w14:paraId="27489E8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sym w:font="Wingdings" w:char="00A8"/>
            </w:r>
            <w:r>
              <w:rPr>
                <w:rFonts w:hint="eastAsia" w:ascii="宋体" w:hAnsi="宋体" w:cs="宋体"/>
                <w:color w:val="auto"/>
                <w:sz w:val="24"/>
                <w:szCs w:val="24"/>
                <w:highlight w:val="none"/>
              </w:rPr>
              <w:t>后履行。当事人互负债务，有先后履行顺序，应当先履行债务一方未履行的，后履行一方有权留置其财物以担保其债权的实现。</w:t>
            </w:r>
          </w:p>
        </w:tc>
      </w:tr>
      <w:tr w14:paraId="6F45B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restart"/>
            <w:noWrap w:val="0"/>
            <w:vAlign w:val="center"/>
          </w:tcPr>
          <w:p w14:paraId="3EA2268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C5C660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第7.1款</w:t>
            </w:r>
          </w:p>
        </w:tc>
        <w:tc>
          <w:tcPr>
            <w:tcW w:w="1416" w:type="dxa"/>
            <w:noWrap w:val="0"/>
            <w:vAlign w:val="center"/>
          </w:tcPr>
          <w:p w14:paraId="5B6F2AF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包装特殊要求</w:t>
            </w:r>
          </w:p>
        </w:tc>
        <w:tc>
          <w:tcPr>
            <w:tcW w:w="7746" w:type="dxa"/>
            <w:noWrap w:val="0"/>
            <w:vAlign w:val="center"/>
          </w:tcPr>
          <w:p w14:paraId="27DF36C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654D89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vMerge w:val="continue"/>
            <w:noWrap w:val="0"/>
            <w:vAlign w:val="center"/>
          </w:tcPr>
          <w:p w14:paraId="2DFADF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p>
        </w:tc>
        <w:tc>
          <w:tcPr>
            <w:tcW w:w="1416" w:type="dxa"/>
            <w:noWrap w:val="0"/>
            <w:vAlign w:val="center"/>
          </w:tcPr>
          <w:p w14:paraId="75AC6B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指定现场</w:t>
            </w:r>
          </w:p>
        </w:tc>
        <w:tc>
          <w:tcPr>
            <w:tcW w:w="7746" w:type="dxa"/>
            <w:noWrap w:val="0"/>
            <w:vAlign w:val="center"/>
          </w:tcPr>
          <w:p w14:paraId="29D08B1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南华县人民医院</w:t>
            </w:r>
          </w:p>
        </w:tc>
      </w:tr>
      <w:tr w14:paraId="696C96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156" w:type="dxa"/>
            <w:noWrap w:val="0"/>
            <w:vAlign w:val="center"/>
          </w:tcPr>
          <w:p w14:paraId="561703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E4DF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第7.2款</w:t>
            </w:r>
          </w:p>
        </w:tc>
        <w:tc>
          <w:tcPr>
            <w:tcW w:w="1416" w:type="dxa"/>
            <w:noWrap w:val="0"/>
            <w:vAlign w:val="center"/>
          </w:tcPr>
          <w:p w14:paraId="3381FFB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运输特殊要求</w:t>
            </w:r>
          </w:p>
        </w:tc>
        <w:tc>
          <w:tcPr>
            <w:tcW w:w="7746" w:type="dxa"/>
            <w:noWrap w:val="0"/>
            <w:vAlign w:val="center"/>
          </w:tcPr>
          <w:p w14:paraId="3BC3B39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4DB38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156" w:type="dxa"/>
            <w:noWrap w:val="0"/>
            <w:vAlign w:val="center"/>
          </w:tcPr>
          <w:p w14:paraId="1907EB5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89AFD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第7.3款</w:t>
            </w:r>
          </w:p>
        </w:tc>
        <w:tc>
          <w:tcPr>
            <w:tcW w:w="1416" w:type="dxa"/>
            <w:noWrap w:val="0"/>
            <w:vAlign w:val="center"/>
          </w:tcPr>
          <w:p w14:paraId="3FFB84D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保险要求</w:t>
            </w:r>
          </w:p>
        </w:tc>
        <w:tc>
          <w:tcPr>
            <w:tcW w:w="7746" w:type="dxa"/>
            <w:noWrap w:val="0"/>
            <w:vAlign w:val="center"/>
          </w:tcPr>
          <w:p w14:paraId="39DC375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5D6A5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135837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8261C7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第8.2（1）项</w:t>
            </w:r>
          </w:p>
        </w:tc>
        <w:tc>
          <w:tcPr>
            <w:tcW w:w="1416" w:type="dxa"/>
            <w:noWrap w:val="0"/>
            <w:vAlign w:val="center"/>
          </w:tcPr>
          <w:p w14:paraId="4819A8C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质量保证期</w:t>
            </w:r>
          </w:p>
        </w:tc>
        <w:tc>
          <w:tcPr>
            <w:tcW w:w="7746" w:type="dxa"/>
            <w:noWrap w:val="0"/>
            <w:vAlign w:val="center"/>
          </w:tcPr>
          <w:p w14:paraId="7F1900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01B82B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14942CB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A03020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第8.2（3）项</w:t>
            </w:r>
          </w:p>
        </w:tc>
        <w:tc>
          <w:tcPr>
            <w:tcW w:w="1416" w:type="dxa"/>
            <w:noWrap w:val="0"/>
            <w:vAlign w:val="center"/>
          </w:tcPr>
          <w:p w14:paraId="6F57FD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货物质量缺陷</w:t>
            </w:r>
          </w:p>
          <w:p w14:paraId="0CBFBC0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响应时间</w:t>
            </w:r>
          </w:p>
        </w:tc>
        <w:tc>
          <w:tcPr>
            <w:tcW w:w="7746" w:type="dxa"/>
            <w:noWrap w:val="0"/>
            <w:vAlign w:val="center"/>
          </w:tcPr>
          <w:p w14:paraId="3C03C0F1">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1、质保期维修维护服务要求：</w:t>
            </w:r>
          </w:p>
          <w:p w14:paraId="791CB08E">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1.1质保期内设备运行发生故障或出现质量问题，供应商接到采购人故障通知后，响应时间≤2小时；若电话指导无法排除故障，供应商技术员应在</w:t>
            </w:r>
            <w:r>
              <w:rPr>
                <w:rFonts w:hint="eastAsia" w:ascii="宋体" w:hAnsi="宋体" w:eastAsia="宋体" w:cs="宋体"/>
                <w:bCs/>
                <w:color w:val="auto"/>
                <w:sz w:val="24"/>
                <w:szCs w:val="24"/>
                <w:lang w:val="en-US" w:eastAsia="zh-CN"/>
              </w:rPr>
              <w:t>48</w:t>
            </w:r>
            <w:r>
              <w:rPr>
                <w:rFonts w:hint="eastAsia" w:ascii="宋体" w:hAnsi="宋体" w:eastAsia="宋体" w:cs="宋体"/>
                <w:bCs/>
                <w:color w:val="auto"/>
                <w:sz w:val="24"/>
                <w:szCs w:val="24"/>
              </w:rPr>
              <w:t>小时内到场进行检查、维修、排除故障并出具维修维护报告，若机件损坏，供应商应免费更换损坏的零部件，修理费用由供应商负责，其差旅费用（包含住宿、交通、生活补助等）由供应商承担。</w:t>
            </w:r>
          </w:p>
          <w:p w14:paraId="17A7511B">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质保期内供应商技术人员每年应现场免费保养至少2次，每次现场维修保养后均应及时向业主提交维修保养报告存档。</w:t>
            </w:r>
          </w:p>
          <w:p w14:paraId="115F2607">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质保期内若未按要求完成维保次数的，按维保周期相应延长保修期，在此期间设备发生故障所产生的一切费用由供应商承担。</w:t>
            </w:r>
          </w:p>
          <w:p w14:paraId="7AA24CF1">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2、保修期满后的维修维护服务：</w:t>
            </w:r>
          </w:p>
          <w:p w14:paraId="2134D861">
            <w:pPr>
              <w:widowControl w:val="0"/>
              <w:tabs>
                <w:tab w:val="left" w:pos="351"/>
                <w:tab w:val="left" w:pos="690"/>
              </w:tabs>
              <w:spacing w:line="360" w:lineRule="auto"/>
              <w:ind w:firstLine="480" w:firstLineChars="20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2.1保修期满后，提供终身维修、维护服务。</w:t>
            </w:r>
          </w:p>
          <w:p w14:paraId="7E471C5F">
            <w:pPr>
              <w:widowControl w:val="0"/>
              <w:tabs>
                <w:tab w:val="left" w:pos="351"/>
                <w:tab w:val="left" w:pos="690"/>
              </w:tabs>
              <w:spacing w:line="360" w:lineRule="auto"/>
              <w:ind w:firstLine="480" w:firstLineChars="200"/>
              <w:jc w:val="both"/>
              <w:rPr>
                <w:rFonts w:hint="eastAsia" w:ascii="宋体" w:hAnsi="宋体" w:cs="宋体"/>
                <w:color w:val="auto"/>
                <w:sz w:val="24"/>
                <w:szCs w:val="24"/>
                <w:highlight w:val="none"/>
              </w:rPr>
            </w:pPr>
            <w:r>
              <w:rPr>
                <w:rFonts w:hint="eastAsia" w:ascii="宋体" w:hAnsi="宋体" w:eastAsia="宋体" w:cs="宋体"/>
                <w:bCs/>
                <w:color w:val="auto"/>
                <w:sz w:val="24"/>
                <w:szCs w:val="24"/>
              </w:rPr>
              <w:t>2.2保修期满后，如遇设备故障，供应商应及时处理设备故障等质量问题，接到采购人故障通知，响应时间≤2小时；若电话指导无法排除故障，供应商技术员应在48小时内到场进行检查、维修并排除故障，仅收取零配件费用，免收修理费及其差旅费等费用。</w:t>
            </w:r>
          </w:p>
        </w:tc>
      </w:tr>
      <w:tr w14:paraId="6D7004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48C39B5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39BB2B6">
            <w:pPr>
              <w:pStyle w:val="86"/>
              <w:keepNext w:val="0"/>
              <w:keepLines w:val="0"/>
              <w:pageBreakBefore w:val="0"/>
              <w:widowControl w:val="0"/>
              <w:kinsoku/>
              <w:wordWrap w:val="0"/>
              <w:overflowPunct/>
              <w:topLinePunct/>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第11.1款</w:t>
            </w:r>
          </w:p>
        </w:tc>
        <w:tc>
          <w:tcPr>
            <w:tcW w:w="1416" w:type="dxa"/>
            <w:noWrap w:val="0"/>
            <w:vAlign w:val="center"/>
          </w:tcPr>
          <w:p w14:paraId="6CA613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其他应当保密的信息</w:t>
            </w:r>
          </w:p>
        </w:tc>
        <w:tc>
          <w:tcPr>
            <w:tcW w:w="7746" w:type="dxa"/>
            <w:noWrap w:val="0"/>
            <w:vAlign w:val="center"/>
          </w:tcPr>
          <w:p w14:paraId="5186337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eastAsia="zh-CN"/>
              </w:rPr>
              <w:t>中华人民共和国反不正当竞争法</w:t>
            </w:r>
            <w:r>
              <w:rPr>
                <w:rFonts w:hint="eastAsia" w:ascii="宋体" w:hAnsi="宋体" w:cs="宋体"/>
                <w:color w:val="auto"/>
                <w:sz w:val="24"/>
                <w:szCs w:val="24"/>
                <w:highlight w:val="none"/>
              </w:rPr>
              <w:t>》，商业秘密，是指不为公众所知悉、能为权利人带来经济利益、具有实用性并经权利人采取保密措施的技术信息和经营信息。</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的投标文件和响应性文件可能会涉及商业秘密，采购人、采购代理机构、评审专家在政府采购活动中知悉的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的商业秘密应当予以保密。泄露商业秘密将依法承担法律责任。</w:t>
            </w:r>
          </w:p>
        </w:tc>
      </w:tr>
      <w:tr w14:paraId="044A4D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3817436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DC6B69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第12.2款</w:t>
            </w:r>
          </w:p>
        </w:tc>
        <w:tc>
          <w:tcPr>
            <w:tcW w:w="1416" w:type="dxa"/>
            <w:noWrap w:val="0"/>
            <w:vAlign w:val="center"/>
          </w:tcPr>
          <w:p w14:paraId="12D43AE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合同价款支付时间</w:t>
            </w:r>
          </w:p>
        </w:tc>
        <w:tc>
          <w:tcPr>
            <w:tcW w:w="7746" w:type="dxa"/>
            <w:noWrap w:val="0"/>
            <w:vAlign w:val="center"/>
          </w:tcPr>
          <w:p w14:paraId="3758F5D2">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按先票后款原则，自货物交付验收合格之后收到符合甲方要求的发票60日内支付响应款项。</w:t>
            </w:r>
          </w:p>
        </w:tc>
      </w:tr>
      <w:tr w14:paraId="307190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156" w:type="dxa"/>
            <w:noWrap w:val="0"/>
            <w:vAlign w:val="center"/>
          </w:tcPr>
          <w:p w14:paraId="69EEDCC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BD43AB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第13.2款</w:t>
            </w:r>
          </w:p>
        </w:tc>
        <w:tc>
          <w:tcPr>
            <w:tcW w:w="1416" w:type="dxa"/>
            <w:noWrap w:val="0"/>
            <w:vAlign w:val="center"/>
          </w:tcPr>
          <w:p w14:paraId="332E7A6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履约保证金不予退还的情形</w:t>
            </w:r>
          </w:p>
        </w:tc>
        <w:tc>
          <w:tcPr>
            <w:tcW w:w="7746" w:type="dxa"/>
            <w:noWrap w:val="0"/>
            <w:vAlign w:val="center"/>
          </w:tcPr>
          <w:p w14:paraId="58CE5B0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一、采用招标采购方式不予退还保证金的情形1.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在提交投标文件截止时间之后撤销投标文件的；2.中标人无正当理由不与采购人订立合同，在签订合同时向采购人提出附加条件，或者不按照招标文件要求提交履约保证金的</w:t>
            </w:r>
            <w:r>
              <w:rPr>
                <w:rFonts w:hint="eastAsia" w:ascii="宋体" w:hAnsi="宋体" w:cs="宋体"/>
                <w:color w:val="auto"/>
                <w:sz w:val="24"/>
                <w:szCs w:val="24"/>
                <w:highlight w:val="none"/>
                <w:lang w:eastAsia="zh-CN"/>
              </w:rPr>
              <w:t>或者其他导致采购无法进行的。</w:t>
            </w:r>
          </w:p>
          <w:p w14:paraId="31ECCFA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二、非招标采购方式中不予退还保证金的情形1.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在提交响应文件截止时间后撤回响应文件的；2.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在响应文件中提供虚假材料的；3.除因不可抗力或谈判文件、询价通知书认可的情形以外，成交</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不与采购人签订合同的；4.</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与采购人、其他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或者采购代理机构恶意串通的；5.采购文件规定的其他情形。</w:t>
            </w:r>
          </w:p>
        </w:tc>
      </w:tr>
      <w:tr w14:paraId="4BBE0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3102D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16CB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第13.3款</w:t>
            </w:r>
          </w:p>
        </w:tc>
        <w:tc>
          <w:tcPr>
            <w:tcW w:w="1416" w:type="dxa"/>
            <w:noWrap w:val="0"/>
            <w:vAlign w:val="center"/>
          </w:tcPr>
          <w:p w14:paraId="32EABA8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履约保证金退还时间及逾期退还的违约金</w:t>
            </w:r>
          </w:p>
        </w:tc>
        <w:tc>
          <w:tcPr>
            <w:tcW w:w="7746" w:type="dxa"/>
            <w:noWrap w:val="0"/>
            <w:vAlign w:val="center"/>
          </w:tcPr>
          <w:p w14:paraId="046C9C4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货物交付验收合格之后收到乙方退还履约保证金的申请之日起60日内退还履约保证金</w:t>
            </w:r>
            <w:r>
              <w:rPr>
                <w:rFonts w:hint="eastAsia" w:ascii="宋体" w:hAnsi="宋体" w:cs="宋体"/>
                <w:color w:val="auto"/>
                <w:sz w:val="24"/>
                <w:szCs w:val="24"/>
                <w:highlight w:val="none"/>
              </w:rPr>
              <w:t>。</w:t>
            </w:r>
          </w:p>
        </w:tc>
      </w:tr>
      <w:tr w14:paraId="776499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1EC068B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0369F4B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第14.1（3）项</w:t>
            </w:r>
          </w:p>
        </w:tc>
        <w:tc>
          <w:tcPr>
            <w:tcW w:w="1416" w:type="dxa"/>
            <w:noWrap w:val="0"/>
            <w:vAlign w:val="center"/>
          </w:tcPr>
          <w:p w14:paraId="278386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运行监督、维修期限</w:t>
            </w:r>
          </w:p>
        </w:tc>
        <w:tc>
          <w:tcPr>
            <w:tcW w:w="7746" w:type="dxa"/>
            <w:noWrap w:val="0"/>
            <w:vAlign w:val="center"/>
          </w:tcPr>
          <w:p w14:paraId="2222AA33">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6963ED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156" w:type="dxa"/>
            <w:noWrap w:val="0"/>
            <w:vAlign w:val="center"/>
          </w:tcPr>
          <w:p w14:paraId="6AB3AB2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A585D0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第14.1（5）项</w:t>
            </w:r>
          </w:p>
        </w:tc>
        <w:tc>
          <w:tcPr>
            <w:tcW w:w="1416" w:type="dxa"/>
            <w:noWrap w:val="0"/>
            <w:vAlign w:val="center"/>
          </w:tcPr>
          <w:p w14:paraId="33F7F04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货物回收的约定</w:t>
            </w:r>
          </w:p>
        </w:tc>
        <w:tc>
          <w:tcPr>
            <w:tcW w:w="7746" w:type="dxa"/>
            <w:noWrap w:val="0"/>
            <w:vAlign w:val="center"/>
          </w:tcPr>
          <w:p w14:paraId="07023C8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r>
      <w:tr w14:paraId="1D319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512458F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BE33B1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第14.1（6）项</w:t>
            </w:r>
          </w:p>
        </w:tc>
        <w:tc>
          <w:tcPr>
            <w:tcW w:w="1416" w:type="dxa"/>
            <w:noWrap w:val="0"/>
            <w:vAlign w:val="center"/>
          </w:tcPr>
          <w:p w14:paraId="6DBC10E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乙方提供的其他服务</w:t>
            </w:r>
          </w:p>
        </w:tc>
        <w:tc>
          <w:tcPr>
            <w:tcW w:w="7746" w:type="dxa"/>
            <w:noWrap w:val="0"/>
            <w:vAlign w:val="center"/>
          </w:tcPr>
          <w:p w14:paraId="36A4E33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 </w:t>
            </w:r>
            <w:r>
              <w:rPr>
                <w:rFonts w:hint="eastAsia" w:ascii="宋体" w:hAnsi="宋体" w:cs="宋体"/>
                <w:color w:val="auto"/>
                <w:sz w:val="24"/>
                <w:szCs w:val="24"/>
                <w:highlight w:val="none"/>
                <w:lang w:val="en-US" w:eastAsia="zh-CN"/>
              </w:rPr>
              <w:t>采购需求及要求</w:t>
            </w:r>
            <w:r>
              <w:rPr>
                <w:rFonts w:hint="eastAsia" w:ascii="宋体" w:hAnsi="宋体" w:cs="宋体"/>
                <w:color w:val="auto"/>
                <w:sz w:val="24"/>
                <w:szCs w:val="24"/>
                <w:highlight w:val="none"/>
              </w:rPr>
              <w:t>。</w:t>
            </w:r>
          </w:p>
        </w:tc>
      </w:tr>
      <w:tr w14:paraId="73AE7B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156" w:type="dxa"/>
            <w:noWrap w:val="0"/>
            <w:vAlign w:val="center"/>
          </w:tcPr>
          <w:p w14:paraId="35EFE26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195FEFA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第15.1款</w:t>
            </w:r>
          </w:p>
        </w:tc>
        <w:tc>
          <w:tcPr>
            <w:tcW w:w="1416" w:type="dxa"/>
            <w:noWrap w:val="0"/>
            <w:vAlign w:val="center"/>
          </w:tcPr>
          <w:p w14:paraId="7902F30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修理、重作、更换相关具体规定</w:t>
            </w:r>
          </w:p>
        </w:tc>
        <w:tc>
          <w:tcPr>
            <w:tcW w:w="7746" w:type="dxa"/>
            <w:noWrap w:val="0"/>
            <w:vAlign w:val="center"/>
          </w:tcPr>
          <w:p w14:paraId="3EEEF047">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根据《中华人民共和国产品质量法》《中华人民共和国消费者权益保护法》及有关规定执行。</w:t>
            </w:r>
          </w:p>
        </w:tc>
      </w:tr>
      <w:tr w14:paraId="2FC742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36" w:hRule="atLeast"/>
          <w:jc w:val="center"/>
        </w:trPr>
        <w:tc>
          <w:tcPr>
            <w:tcW w:w="1156" w:type="dxa"/>
            <w:noWrap w:val="0"/>
            <w:vAlign w:val="center"/>
          </w:tcPr>
          <w:p w14:paraId="0BBE483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6E97A9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第15.2（2）项</w:t>
            </w:r>
          </w:p>
        </w:tc>
        <w:tc>
          <w:tcPr>
            <w:tcW w:w="1416" w:type="dxa"/>
            <w:noWrap w:val="0"/>
            <w:vAlign w:val="center"/>
          </w:tcPr>
          <w:p w14:paraId="40694E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迟延交货赔偿费</w:t>
            </w:r>
          </w:p>
        </w:tc>
        <w:tc>
          <w:tcPr>
            <w:tcW w:w="7746" w:type="dxa"/>
            <w:noWrap w:val="0"/>
            <w:vAlign w:val="center"/>
          </w:tcPr>
          <w:p w14:paraId="4BE70CC6">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（一）每延误一周</w:t>
            </w:r>
            <w:r>
              <w:rPr>
                <w:rFonts w:hint="eastAsia" w:ascii="宋体" w:hAnsi="宋体" w:cs="宋体"/>
                <w:color w:val="auto"/>
                <w:sz w:val="24"/>
                <w:szCs w:val="24"/>
                <w:highlight w:val="none"/>
                <w:lang w:eastAsia="zh-CN"/>
              </w:rPr>
              <w:t>的、每周</w:t>
            </w:r>
            <w:r>
              <w:rPr>
                <w:rFonts w:hint="eastAsia" w:ascii="宋体" w:hAnsi="宋体" w:cs="宋体"/>
                <w:color w:val="auto"/>
                <w:sz w:val="24"/>
                <w:szCs w:val="24"/>
                <w:highlight w:val="none"/>
              </w:rPr>
              <w:t>的赔偿费按迟交货物交货价或未提供服务的服务费用的</w:t>
            </w:r>
            <w:r>
              <w:rPr>
                <w:rFonts w:hint="eastAsia" w:ascii="宋体" w:hAnsi="宋体" w:cs="宋体"/>
                <w:i/>
                <w:iCs/>
                <w:color w:val="auto"/>
                <w:sz w:val="24"/>
                <w:szCs w:val="24"/>
                <w:highlight w:val="none"/>
              </w:rPr>
              <w:t>0.5%</w:t>
            </w:r>
            <w:r>
              <w:rPr>
                <w:rFonts w:hint="eastAsia" w:ascii="宋体" w:hAnsi="宋体" w:cs="宋体"/>
                <w:color w:val="auto"/>
                <w:sz w:val="24"/>
                <w:szCs w:val="24"/>
                <w:highlight w:val="none"/>
              </w:rPr>
              <w:t>计收，直至交货或提供服务为止。如果因供货方原因导致不能全部或部分交货，应依照合同约定的违约金比例乘以不能交货的部分货款计算违约金。若违约金不足以偿付采购方所受到的实际损失，可以修改违约金，使实际受到的损失得到合理的补偿。</w:t>
            </w:r>
          </w:p>
          <w:p w14:paraId="51D5B7EC">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二）供货方不能如期交货的行为又可以进一步区分为逾期交货和提前交货两种情况。只要发生供货方逾期交货的情况，即不论合同内规定由它将设备送到指定地点交接，还是采购方去自提，均要按照合同约定依据逾期交货部分货款总价计算违约金。发生逾期交货事件后，供货方还应在发货前与采购方就发货的有关事宜进行协商。采购方仍需要时，可继续发货照数补齐，并承担逾期付货责任；如果采购方认为已经不再需要，有权在接到发货商通知后的15天内，通知供货方办理解除合同手续。</w:t>
            </w:r>
            <w:r>
              <w:rPr>
                <w:rFonts w:hint="eastAsia" w:ascii="宋体" w:hAnsi="宋体" w:cs="宋体"/>
                <w:b w:val="0"/>
                <w:bCs w:val="0"/>
                <w:color w:val="auto"/>
                <w:sz w:val="24"/>
                <w:szCs w:val="24"/>
                <w:highlight w:val="none"/>
                <w:lang w:eastAsia="zh-CN"/>
              </w:rPr>
              <w:t>甲方可书面通知乙方解除合同，甲方不支付乙方剩余款项，乙方</w:t>
            </w:r>
            <w:r>
              <w:rPr>
                <w:rFonts w:hint="eastAsia" w:ascii="宋体" w:hAnsi="宋体" w:cs="宋体"/>
                <w:b w:val="0"/>
                <w:bCs w:val="0"/>
                <w:color w:val="auto"/>
                <w:sz w:val="24"/>
                <w:szCs w:val="24"/>
                <w:highlight w:val="none"/>
              </w:rPr>
              <w:t>向甲方偿付相当于</w:t>
            </w:r>
            <w:r>
              <w:rPr>
                <w:rFonts w:hint="eastAsia" w:ascii="宋体" w:hAnsi="宋体" w:cs="宋体"/>
                <w:b w:val="0"/>
                <w:bCs w:val="0"/>
                <w:i w:val="0"/>
                <w:iCs w:val="0"/>
                <w:color w:val="auto"/>
                <w:sz w:val="24"/>
                <w:szCs w:val="24"/>
                <w:highlight w:val="none"/>
              </w:rPr>
              <w:t>货款20%的违约金</w:t>
            </w:r>
            <w:r>
              <w:rPr>
                <w:rFonts w:hint="eastAsia" w:ascii="宋体" w:hAnsi="宋体" w:cs="宋体"/>
                <w:b w:val="0"/>
                <w:bCs w:val="0"/>
                <w:color w:val="auto"/>
                <w:sz w:val="24"/>
                <w:szCs w:val="24"/>
                <w:highlight w:val="none"/>
              </w:rPr>
              <w:t>及退回甲方已经支付的所有款项，</w:t>
            </w:r>
            <w:r>
              <w:rPr>
                <w:rFonts w:hint="eastAsia" w:ascii="宋体" w:hAnsi="宋体" w:cs="宋体"/>
                <w:b w:val="0"/>
                <w:bCs w:val="0"/>
                <w:color w:val="auto"/>
                <w:sz w:val="24"/>
                <w:szCs w:val="24"/>
                <w:highlight w:val="none"/>
                <w:lang w:eastAsia="zh-CN"/>
              </w:rPr>
              <w:t>并由乙方赔偿甲方受到的损失</w:t>
            </w:r>
            <w:r>
              <w:rPr>
                <w:rFonts w:hint="eastAsia" w:ascii="宋体" w:hAnsi="宋体" w:cs="宋体"/>
                <w:b w:val="0"/>
                <w:bCs w:val="0"/>
                <w:color w:val="auto"/>
                <w:sz w:val="24"/>
                <w:szCs w:val="24"/>
                <w:highlight w:val="none"/>
              </w:rPr>
              <w:t>。</w:t>
            </w:r>
          </w:p>
        </w:tc>
      </w:tr>
      <w:tr w14:paraId="0DE836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56" w:type="dxa"/>
            <w:noWrap w:val="0"/>
            <w:vAlign w:val="center"/>
          </w:tcPr>
          <w:p w14:paraId="374F9B0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209B339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第15.3款</w:t>
            </w:r>
          </w:p>
        </w:tc>
        <w:tc>
          <w:tcPr>
            <w:tcW w:w="1416" w:type="dxa"/>
            <w:noWrap w:val="0"/>
            <w:vAlign w:val="center"/>
          </w:tcPr>
          <w:p w14:paraId="5E741DF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逾期付款利息</w:t>
            </w:r>
          </w:p>
        </w:tc>
        <w:tc>
          <w:tcPr>
            <w:tcW w:w="7746" w:type="dxa"/>
            <w:noWrap w:val="0"/>
            <w:vAlign w:val="center"/>
          </w:tcPr>
          <w:p w14:paraId="650DD6B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按照合同订立时1年期贷款市场支付逾期付款履约金。</w:t>
            </w:r>
          </w:p>
        </w:tc>
      </w:tr>
      <w:tr w14:paraId="43F3BA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156" w:type="dxa"/>
            <w:tcBorders>
              <w:bottom w:val="single" w:color="auto" w:sz="2" w:space="0"/>
              <w:right w:val="single" w:color="auto" w:sz="2" w:space="0"/>
            </w:tcBorders>
            <w:noWrap w:val="0"/>
            <w:vAlign w:val="center"/>
          </w:tcPr>
          <w:p w14:paraId="404CDF8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7DDD4D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第15.4款</w:t>
            </w:r>
          </w:p>
        </w:tc>
        <w:tc>
          <w:tcPr>
            <w:tcW w:w="1416" w:type="dxa"/>
            <w:tcBorders>
              <w:left w:val="single" w:color="auto" w:sz="2" w:space="0"/>
              <w:bottom w:val="single" w:color="auto" w:sz="2" w:space="0"/>
              <w:right w:val="single" w:color="auto" w:sz="2" w:space="0"/>
            </w:tcBorders>
            <w:noWrap w:val="0"/>
            <w:vAlign w:val="center"/>
          </w:tcPr>
          <w:p w14:paraId="20460C7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其他违约责任</w:t>
            </w:r>
          </w:p>
        </w:tc>
        <w:tc>
          <w:tcPr>
            <w:tcW w:w="7746" w:type="dxa"/>
            <w:tcBorders>
              <w:left w:val="single" w:color="auto" w:sz="2" w:space="0"/>
              <w:bottom w:val="single" w:color="auto" w:sz="2" w:space="0"/>
            </w:tcBorders>
            <w:noWrap w:val="0"/>
            <w:vAlign w:val="center"/>
          </w:tcPr>
          <w:p w14:paraId="5C94E4D4">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由于乙方产品自身的质量问题，造成甲方的损失，如患者、陪护人员及其他人员的人身或财产损害的，由乙方承担赔偿责任。若甲方因此承担了责任的，有权向乙方追偿。同时，乙方还应当赔偿甲方受到的损失以及维护自身权益而产生的支出（如：</w:t>
            </w:r>
            <w:r>
              <w:rPr>
                <w:rFonts w:hint="eastAsia" w:ascii="宋体" w:hAnsi="宋体" w:cs="宋体"/>
                <w:color w:val="auto"/>
                <w:sz w:val="24"/>
                <w:szCs w:val="24"/>
                <w:highlight w:val="none"/>
                <w:lang w:val="en-US" w:eastAsia="zh-CN"/>
              </w:rPr>
              <w:t>违约金、诉讼费、保全费、律师费、保函费、鉴定费、公告费</w:t>
            </w:r>
            <w:r>
              <w:rPr>
                <w:rFonts w:hint="eastAsia" w:ascii="宋体" w:hAnsi="宋体" w:cs="宋体"/>
                <w:color w:val="auto"/>
                <w:sz w:val="24"/>
                <w:szCs w:val="24"/>
                <w:highlight w:val="none"/>
              </w:rPr>
              <w:t>等）。</w:t>
            </w:r>
          </w:p>
        </w:tc>
      </w:tr>
      <w:tr w14:paraId="1F2BB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7" w:hRule="atLeast"/>
          <w:jc w:val="center"/>
        </w:trPr>
        <w:tc>
          <w:tcPr>
            <w:tcW w:w="1156" w:type="dxa"/>
            <w:tcBorders>
              <w:top w:val="single" w:color="auto" w:sz="2" w:space="0"/>
              <w:right w:val="single" w:color="auto" w:sz="2" w:space="0"/>
            </w:tcBorders>
            <w:noWrap w:val="0"/>
            <w:vAlign w:val="center"/>
          </w:tcPr>
          <w:p w14:paraId="1AA208C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4057C21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第19.2款</w:t>
            </w:r>
          </w:p>
        </w:tc>
        <w:tc>
          <w:tcPr>
            <w:tcW w:w="1416" w:type="dxa"/>
            <w:tcBorders>
              <w:top w:val="single" w:color="auto" w:sz="2" w:space="0"/>
              <w:left w:val="single" w:color="auto" w:sz="2" w:space="0"/>
              <w:right w:val="single" w:color="auto" w:sz="2" w:space="0"/>
            </w:tcBorders>
            <w:noWrap w:val="0"/>
            <w:vAlign w:val="center"/>
          </w:tcPr>
          <w:p w14:paraId="1EFC50C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解决争议的方法</w:t>
            </w:r>
          </w:p>
        </w:tc>
        <w:tc>
          <w:tcPr>
            <w:tcW w:w="7746" w:type="dxa"/>
            <w:tcBorders>
              <w:top w:val="single" w:color="auto" w:sz="2" w:space="0"/>
              <w:left w:val="single" w:color="auto" w:sz="2" w:space="0"/>
            </w:tcBorders>
            <w:noWrap w:val="0"/>
            <w:vAlign w:val="center"/>
          </w:tcPr>
          <w:p w14:paraId="5EFE02B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因本合同及合同有关事项发生的争议，按下列第</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2</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种方式解决：</w:t>
            </w:r>
          </w:p>
          <w:p w14:paraId="6BFEBCFD">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iCs/>
                <w:color w:val="auto"/>
                <w:sz w:val="24"/>
                <w:szCs w:val="24"/>
                <w:highlight w:val="none"/>
              </w:rPr>
            </w:pPr>
            <w:r>
              <w:rPr>
                <w:rFonts w:hint="eastAsia" w:ascii="宋体" w:hAnsi="宋体" w:cs="宋体"/>
                <w:iCs/>
                <w:color w:val="auto"/>
                <w:sz w:val="24"/>
                <w:szCs w:val="24"/>
                <w:highlight w:val="none"/>
              </w:rPr>
              <w:t>（1）向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rPr>
              <w:t>仲裁委员会申请仲裁，仲裁地点为</w:t>
            </w:r>
            <w:r>
              <w:rPr>
                <w:rFonts w:hint="eastAsia" w:ascii="宋体" w:hAnsi="宋体" w:cs="宋体"/>
                <w:iCs/>
                <w:color w:val="auto"/>
                <w:sz w:val="24"/>
                <w:szCs w:val="24"/>
                <w:highlight w:val="none"/>
                <w:u w:val="single"/>
              </w:rPr>
              <w:t xml:space="preserve"> 云南省</w:t>
            </w:r>
            <w:r>
              <w:rPr>
                <w:rFonts w:hint="eastAsia" w:ascii="宋体" w:hAnsi="宋体" w:cs="宋体"/>
                <w:iCs/>
                <w:color w:val="auto"/>
                <w:sz w:val="24"/>
                <w:szCs w:val="24"/>
                <w:highlight w:val="none"/>
                <w:u w:val="single"/>
                <w:lang w:eastAsia="zh-CN"/>
              </w:rPr>
              <w:t>南华县</w:t>
            </w:r>
            <w:r>
              <w:rPr>
                <w:rFonts w:hint="eastAsia" w:ascii="宋体" w:hAnsi="宋体" w:cs="宋体"/>
                <w:iCs/>
                <w:color w:val="auto"/>
                <w:sz w:val="24"/>
                <w:szCs w:val="24"/>
                <w:highlight w:val="none"/>
              </w:rPr>
              <w:t>；</w:t>
            </w:r>
          </w:p>
          <w:p w14:paraId="13E7FF0E">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u w:val="single"/>
              </w:rPr>
            </w:pPr>
            <w:r>
              <w:rPr>
                <w:rFonts w:hint="eastAsia" w:ascii="宋体" w:hAnsi="宋体" w:cs="宋体"/>
                <w:iCs/>
                <w:color w:val="auto"/>
                <w:sz w:val="24"/>
                <w:szCs w:val="24"/>
                <w:highlight w:val="none"/>
              </w:rPr>
              <w:t>（2）向</w:t>
            </w:r>
            <w:r>
              <w:rPr>
                <w:rFonts w:hint="eastAsia" w:ascii="宋体" w:hAnsi="宋体" w:cs="宋体"/>
                <w:iCs/>
                <w:color w:val="auto"/>
                <w:sz w:val="24"/>
                <w:szCs w:val="24"/>
                <w:highlight w:val="none"/>
                <w:u w:val="single"/>
              </w:rPr>
              <w:t xml:space="preserve"> 甲方所在地 </w:t>
            </w:r>
            <w:r>
              <w:rPr>
                <w:rFonts w:hint="eastAsia" w:ascii="宋体" w:hAnsi="宋体" w:cs="宋体"/>
                <w:iCs/>
                <w:color w:val="auto"/>
                <w:sz w:val="24"/>
                <w:szCs w:val="24"/>
                <w:highlight w:val="none"/>
                <w:u w:val="none"/>
                <w:lang w:eastAsia="zh-CN"/>
              </w:rPr>
              <w:t>有管辖权的</w:t>
            </w:r>
            <w:r>
              <w:rPr>
                <w:rFonts w:hint="eastAsia" w:ascii="宋体" w:hAnsi="宋体" w:cs="宋体"/>
                <w:iCs/>
                <w:color w:val="auto"/>
                <w:sz w:val="24"/>
                <w:szCs w:val="24"/>
                <w:highlight w:val="none"/>
              </w:rPr>
              <w:t>人民法院起诉。</w:t>
            </w:r>
          </w:p>
        </w:tc>
      </w:tr>
      <w:tr w14:paraId="327D6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3" w:hRule="atLeast"/>
          <w:jc w:val="center"/>
        </w:trPr>
        <w:tc>
          <w:tcPr>
            <w:tcW w:w="1156" w:type="dxa"/>
            <w:noWrap w:val="0"/>
            <w:vAlign w:val="center"/>
          </w:tcPr>
          <w:p w14:paraId="7EFEB7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第二节</w:t>
            </w:r>
          </w:p>
          <w:p w14:paraId="5D7F6CB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第23.1</w:t>
            </w:r>
          </w:p>
        </w:tc>
        <w:tc>
          <w:tcPr>
            <w:tcW w:w="1416" w:type="dxa"/>
            <w:noWrap w:val="0"/>
            <w:vAlign w:val="center"/>
          </w:tcPr>
          <w:p w14:paraId="57B1898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cs="宋体"/>
                <w:color w:val="auto"/>
                <w:sz w:val="24"/>
                <w:szCs w:val="24"/>
                <w:highlight w:val="none"/>
              </w:rPr>
            </w:pPr>
            <w:r>
              <w:rPr>
                <w:rFonts w:hint="eastAsia" w:ascii="宋体" w:hAnsi="宋体" w:cs="宋体"/>
                <w:bCs/>
                <w:color w:val="auto"/>
                <w:sz w:val="24"/>
                <w:szCs w:val="24"/>
                <w:highlight w:val="none"/>
              </w:rPr>
              <w:t>其他专用条款</w:t>
            </w:r>
          </w:p>
        </w:tc>
        <w:tc>
          <w:tcPr>
            <w:tcW w:w="7746" w:type="dxa"/>
            <w:noWrap w:val="0"/>
            <w:vAlign w:val="center"/>
          </w:tcPr>
          <w:p w14:paraId="10DA6E6F">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rPr>
            </w:pPr>
            <w:r>
              <w:rPr>
                <w:rFonts w:hint="eastAsia" w:ascii="宋体" w:hAnsi="宋体" w:cs="宋体"/>
                <w:color w:val="auto"/>
                <w:sz w:val="24"/>
                <w:szCs w:val="24"/>
                <w:highlight w:val="none"/>
              </w:rPr>
              <w:t>/</w:t>
            </w:r>
          </w:p>
        </w:tc>
      </w:tr>
    </w:tbl>
    <w:p w14:paraId="7A469AB0">
      <w:pPr>
        <w:rPr>
          <w:rFonts w:hint="eastAsia"/>
          <w:color w:val="auto"/>
          <w:highlight w:val="none"/>
        </w:rPr>
      </w:pPr>
    </w:p>
    <w:p w14:paraId="24085CA9">
      <w:pPr>
        <w:adjustRightInd w:val="0"/>
        <w:snapToGrid w:val="0"/>
        <w:spacing w:line="360" w:lineRule="auto"/>
        <w:rPr>
          <w:rFonts w:hint="eastAsia" w:ascii="宋体" w:hAnsi="宋体" w:cs="宋体"/>
          <w:b/>
          <w:bCs/>
          <w:color w:val="auto"/>
          <w:sz w:val="24"/>
          <w:szCs w:val="24"/>
          <w:highlight w:val="none"/>
        </w:rPr>
        <w:sectPr>
          <w:pgSz w:w="11906" w:h="16838"/>
          <w:pgMar w:top="1440" w:right="1080" w:bottom="1440" w:left="1080" w:header="851" w:footer="907" w:gutter="0"/>
          <w:pgNumType w:fmt="decimal"/>
          <w:cols w:space="720" w:num="1"/>
          <w:rtlGutter w:val="0"/>
          <w:docGrid w:type="lines" w:linePitch="312" w:charSpace="0"/>
        </w:sectPr>
      </w:pPr>
    </w:p>
    <w:p w14:paraId="2E024383">
      <w:pPr>
        <w:adjustRightInd w:val="0"/>
        <w:snapToGrid w:val="0"/>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附件一：</w:t>
      </w:r>
    </w:p>
    <w:p w14:paraId="03404CBC">
      <w:pPr>
        <w:adjustRightInd w:val="0"/>
        <w:snapToGrid w:val="0"/>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技术支持及售后服务条款</w:t>
      </w:r>
    </w:p>
    <w:p w14:paraId="1CA0BB87">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一、概况</w:t>
      </w:r>
    </w:p>
    <w:p w14:paraId="0C1757DB">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1、仪器名称：</w:t>
      </w:r>
      <w:r>
        <w:rPr>
          <w:rFonts w:hint="eastAsia" w:ascii="宋体" w:hAnsi="宋体" w:eastAsia="宋体" w:cs="宋体"/>
          <w:color w:val="auto"/>
          <w:sz w:val="24"/>
          <w:szCs w:val="24"/>
          <w:highlight w:val="none"/>
          <w:u w:val="single"/>
          <w:lang w:val="en-US"/>
        </w:rPr>
        <w:t xml:space="preserve">                    </w:t>
      </w:r>
    </w:p>
    <w:p w14:paraId="07712EE7">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2、数量：</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lang w:val="en-US"/>
        </w:rPr>
        <w:t xml:space="preserve">                      </w:t>
      </w:r>
    </w:p>
    <w:p w14:paraId="20DECCA8">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3、使用科室：</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负责人：</w:t>
      </w:r>
      <w:r>
        <w:rPr>
          <w:rFonts w:hint="eastAsia" w:ascii="宋体" w:hAnsi="宋体" w:eastAsia="宋体" w:cs="宋体"/>
          <w:color w:val="auto"/>
          <w:sz w:val="24"/>
          <w:szCs w:val="24"/>
          <w:highlight w:val="none"/>
          <w:u w:val="single"/>
          <w:lang w:val="en-US"/>
        </w:rPr>
        <w:t xml:space="preserve">                    </w:t>
      </w:r>
    </w:p>
    <w:p w14:paraId="219DDF37">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4、产地：</w:t>
      </w:r>
      <w:r>
        <w:rPr>
          <w:rFonts w:hint="eastAsia" w:ascii="宋体" w:hAnsi="宋体" w:eastAsia="宋体" w:cs="宋体"/>
          <w:color w:val="auto"/>
          <w:sz w:val="24"/>
          <w:szCs w:val="24"/>
          <w:highlight w:val="none"/>
          <w:u w:val="single"/>
          <w:lang w:val="en-US"/>
        </w:rPr>
        <w:t xml:space="preserve">                                                      </w:t>
      </w:r>
    </w:p>
    <w:p w14:paraId="1C37AC88">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lang w:val="en-US"/>
        </w:rPr>
        <w:t xml:space="preserve">                                                    </w:t>
      </w:r>
    </w:p>
    <w:p w14:paraId="37A15E83">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w:t>
      </w:r>
    </w:p>
    <w:p w14:paraId="1239EA66">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p>
    <w:p w14:paraId="447AE054">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6、生产商：</w:t>
      </w:r>
      <w:r>
        <w:rPr>
          <w:rFonts w:hint="eastAsia" w:ascii="宋体" w:hAnsi="宋体" w:eastAsia="宋体" w:cs="宋体"/>
          <w:color w:val="auto"/>
          <w:sz w:val="24"/>
          <w:szCs w:val="24"/>
          <w:highlight w:val="none"/>
          <w:u w:val="single"/>
          <w:lang w:val="en-US"/>
        </w:rPr>
        <w:t xml:space="preserve">                                                    </w:t>
      </w:r>
    </w:p>
    <w:p w14:paraId="4778AE6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  地址：</w:t>
      </w:r>
      <w:r>
        <w:rPr>
          <w:rFonts w:hint="eastAsia" w:ascii="宋体" w:hAnsi="宋体" w:eastAsia="宋体" w:cs="宋体"/>
          <w:color w:val="auto"/>
          <w:sz w:val="24"/>
          <w:szCs w:val="24"/>
          <w:highlight w:val="none"/>
          <w:u w:val="single"/>
          <w:lang w:val="en-US"/>
        </w:rPr>
        <w:t xml:space="preserve">                                                    </w:t>
      </w:r>
    </w:p>
    <w:p w14:paraId="24D196F0">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p>
    <w:p w14:paraId="52294C21">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7、维修商：</w:t>
      </w:r>
      <w:r>
        <w:rPr>
          <w:rFonts w:hint="eastAsia" w:ascii="宋体" w:hAnsi="宋体" w:eastAsia="宋体" w:cs="宋体"/>
          <w:color w:val="auto"/>
          <w:sz w:val="24"/>
          <w:szCs w:val="24"/>
          <w:highlight w:val="none"/>
          <w:u w:val="single"/>
          <w:lang w:val="en-US"/>
        </w:rPr>
        <w:t xml:space="preserve">                                                    </w:t>
      </w:r>
    </w:p>
    <w:p w14:paraId="2C05DD1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lang w:val="en-US"/>
        </w:rPr>
        <w:t xml:space="preserve">                                                    </w:t>
      </w:r>
    </w:p>
    <w:p w14:paraId="29AF0171">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   </w:t>
      </w:r>
    </w:p>
    <w:p w14:paraId="51381D1A">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二、技术资料</w:t>
      </w:r>
    </w:p>
    <w:p w14:paraId="581EF564">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1、该仪器使用说明书留存使用科室：中文1套、英文1套（</w:t>
      </w:r>
      <w:r>
        <w:rPr>
          <w:rFonts w:hint="eastAsia" w:ascii="宋体" w:hAnsi="宋体" w:eastAsia="宋体" w:cs="宋体"/>
          <w:color w:val="auto"/>
          <w:sz w:val="24"/>
          <w:szCs w:val="24"/>
          <w:highlight w:val="none"/>
          <w:lang w:val="en-US"/>
        </w:rPr>
        <w:t>若有</w:t>
      </w:r>
      <w:r>
        <w:rPr>
          <w:rFonts w:hint="eastAsia" w:ascii="宋体" w:hAnsi="宋体" w:eastAsia="宋体" w:cs="宋体"/>
          <w:color w:val="auto"/>
          <w:sz w:val="24"/>
          <w:szCs w:val="24"/>
          <w:highlight w:val="none"/>
        </w:rPr>
        <w:t>）、光盘1张</w:t>
      </w:r>
      <w:r>
        <w:rPr>
          <w:rFonts w:hint="eastAsia" w:cs="宋体"/>
          <w:color w:val="auto"/>
          <w:sz w:val="24"/>
          <w:szCs w:val="24"/>
          <w:highlight w:val="none"/>
        </w:rPr>
        <w:t>。</w:t>
      </w:r>
    </w:p>
    <w:p w14:paraId="464B94D7">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2、出厂报告及出厂合格证书，随设备的配套工具及清单目录留存使用科室。</w:t>
      </w:r>
    </w:p>
    <w:p w14:paraId="70166296">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3、设备配置清单应与投标文件及招标现场约定的配置清单一致并加至附件二，若不一致造成的所有损失均由乙方承担。</w:t>
      </w:r>
    </w:p>
    <w:p w14:paraId="40F4950B">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4、提供原厂质保函原件加至合同附件三，若不提供则视为设备验收未通过，因此造成的所有损失均由乙方承担。</w:t>
      </w:r>
    </w:p>
    <w:p w14:paraId="6665FF21">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5、设备整体彩页或实物照片加至附件四。</w:t>
      </w:r>
    </w:p>
    <w:p w14:paraId="28A92F09">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6、需计量的仪器应提供的计量检测证书留存使用科室。</w:t>
      </w:r>
    </w:p>
    <w:p w14:paraId="25DEE636">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三、质量保证承诺</w:t>
      </w:r>
    </w:p>
    <w:p w14:paraId="10E97432">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1、质量保证期：本合同经双方签字盖章后生效，生效后自该仪器安装调试验收合格，并经甲方确认签字后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个月为质量保证期限。在此期间保证免费维修。</w:t>
      </w:r>
    </w:p>
    <w:p w14:paraId="26C8EDE9">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2、在保修期内，如出现故障无法修复的，则无条件退货，一切费用由乙方承担。</w:t>
      </w:r>
    </w:p>
    <w:p w14:paraId="17B37AEE">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3、保修期满后的维修承诺，只收取配件费，不收取人工服务费。</w:t>
      </w:r>
    </w:p>
    <w:p w14:paraId="5AFE5E6F">
      <w:pPr>
        <w:pStyle w:val="28"/>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4、仪器预留升级空间，及时免费提供升级的配置资料。</w:t>
      </w:r>
    </w:p>
    <w:p w14:paraId="27694DDE">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四、技术服务</w:t>
      </w:r>
    </w:p>
    <w:p w14:paraId="5A1CAEAA">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维护、巡检时间，按招标约定执行，并将由甲方科室负责人签字并加盖乙方公司公章的维护、巡检报告送至甲方供应处医学工程科。</w:t>
      </w:r>
    </w:p>
    <w:p w14:paraId="01ACE4E0">
      <w:pPr>
        <w:pStyle w:val="2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五、技术培训要求</w:t>
      </w:r>
    </w:p>
    <w:p w14:paraId="1F3DC3F9">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1、免费培训使用人员，培训地点：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时间：合同生效安装验收合格后</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日</w:t>
      </w:r>
      <w:r>
        <w:rPr>
          <w:rFonts w:hint="eastAsia" w:ascii="宋体" w:hAnsi="宋体" w:eastAsia="宋体" w:cs="宋体"/>
          <w:color w:val="auto"/>
          <w:sz w:val="24"/>
          <w:szCs w:val="24"/>
          <w:highlight w:val="none"/>
        </w:rPr>
        <w:t>内。</w:t>
      </w:r>
    </w:p>
    <w:p w14:paraId="163E7005">
      <w:pPr>
        <w:pStyle w:val="2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2、免费培训维修人员，培训地点：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时间：合同生效安装验收合格后</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lang w:val="en-US"/>
        </w:rPr>
        <w:t>日</w:t>
      </w:r>
      <w:r>
        <w:rPr>
          <w:rFonts w:hint="eastAsia" w:ascii="宋体" w:hAnsi="宋体" w:eastAsia="宋体" w:cs="宋体"/>
          <w:color w:val="auto"/>
          <w:sz w:val="24"/>
          <w:szCs w:val="24"/>
          <w:highlight w:val="none"/>
        </w:rPr>
        <w:t>内。</w:t>
      </w:r>
    </w:p>
    <w:p w14:paraId="33840D59">
      <w:pPr>
        <w:pStyle w:val="28"/>
        <w:spacing w:line="360" w:lineRule="auto"/>
        <w:rPr>
          <w:rFonts w:hint="eastAsia" w:ascii="宋体" w:hAnsi="宋体" w:eastAsia="宋体" w:cs="宋体"/>
          <w:color w:val="auto"/>
          <w:sz w:val="24"/>
          <w:szCs w:val="24"/>
          <w:highlight w:val="none"/>
        </w:rPr>
      </w:pPr>
    </w:p>
    <w:p w14:paraId="655C6A55">
      <w:pPr>
        <w:pStyle w:val="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7B291F4">
      <w:pPr>
        <w:pStyle w:val="28"/>
        <w:spacing w:line="360" w:lineRule="auto"/>
        <w:rPr>
          <w:rFonts w:hint="eastAsia" w:ascii="宋体" w:hAnsi="宋体" w:eastAsia="宋体" w:cs="宋体"/>
          <w:color w:val="auto"/>
          <w:sz w:val="24"/>
          <w:szCs w:val="24"/>
          <w:highlight w:val="none"/>
        </w:rPr>
      </w:pPr>
    </w:p>
    <w:p w14:paraId="124B3180">
      <w:pPr>
        <w:pStyle w:val="28"/>
        <w:spacing w:line="360" w:lineRule="auto"/>
        <w:rPr>
          <w:rFonts w:hint="eastAsia" w:ascii="宋体" w:hAnsi="宋体" w:eastAsia="宋体" w:cs="宋体"/>
          <w:color w:val="auto"/>
          <w:sz w:val="24"/>
          <w:szCs w:val="24"/>
          <w:highlight w:val="none"/>
        </w:rPr>
      </w:pPr>
    </w:p>
    <w:p w14:paraId="6250C0CB">
      <w:pPr>
        <w:pStyle w:val="28"/>
        <w:spacing w:line="360" w:lineRule="auto"/>
        <w:rPr>
          <w:rFonts w:hint="eastAsia" w:ascii="宋体" w:hAnsi="宋体" w:eastAsia="宋体" w:cs="宋体"/>
          <w:color w:val="auto"/>
          <w:sz w:val="24"/>
          <w:szCs w:val="24"/>
          <w:highlight w:val="none"/>
        </w:rPr>
      </w:pPr>
    </w:p>
    <w:p w14:paraId="5BEFB364">
      <w:pPr>
        <w:pStyle w:val="28"/>
        <w:spacing w:line="360" w:lineRule="auto"/>
        <w:rPr>
          <w:rFonts w:hint="eastAsia" w:ascii="宋体" w:hAnsi="宋体" w:eastAsia="宋体" w:cs="宋体"/>
          <w:color w:val="auto"/>
          <w:sz w:val="24"/>
          <w:szCs w:val="24"/>
          <w:highlight w:val="none"/>
        </w:rPr>
      </w:pPr>
    </w:p>
    <w:p w14:paraId="6E0C856B">
      <w:pPr>
        <w:pStyle w:val="28"/>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乙方签字盖章</w:t>
      </w:r>
    </w:p>
    <w:p w14:paraId="00E15C2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color w:val="auto"/>
          <w:sz w:val="24"/>
          <w:szCs w:val="24"/>
          <w:highlight w:val="none"/>
        </w:rPr>
        <w:sectPr>
          <w:pgSz w:w="11906" w:h="16838"/>
          <w:pgMar w:top="1440" w:right="1080" w:bottom="1440" w:left="1080" w:header="851" w:footer="907" w:gutter="0"/>
          <w:pgNumType w:fmt="decimal"/>
          <w:cols w:space="720" w:num="1"/>
          <w:rtlGutter w:val="0"/>
          <w:docGrid w:type="lines" w:linePitch="312" w:charSpace="0"/>
        </w:sect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48F668CC">
      <w:pPr>
        <w:keepNext w:val="0"/>
        <w:keepLines w:val="0"/>
        <w:pageBreakBefore w:val="0"/>
        <w:widowControl w:val="0"/>
        <w:kinsoku/>
        <w:wordWrap w:val="0"/>
        <w:overflowPunct/>
        <w:topLinePunct/>
        <w:autoSpaceDE/>
        <w:autoSpaceDN/>
        <w:bidi w:val="0"/>
        <w:adjustRightInd/>
        <w:snapToGrid/>
        <w:spacing w:line="360" w:lineRule="auto"/>
        <w:ind w:left="0" w:leftChars="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附件二：</w:t>
      </w:r>
    </w:p>
    <w:p w14:paraId="3451E2B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配置清单</w:t>
      </w:r>
    </w:p>
    <w:p w14:paraId="704925F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1C63047">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78C5B7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B5E33E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659D0C4">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6CF284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8A489A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480482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7EAD13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650B429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5C4D6D3">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12F693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0866D1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E5C19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910C4D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4E2F29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4293ED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FDF3D1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D4A7E2F">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C38B6A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5D5E0F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0AB22F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C1AF43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B80C9F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0DB6B2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ED9119">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076C73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027101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F097C5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25DFF8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F3E129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3B35225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011C29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586D13D">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6B8D34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7F3FE11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BF13796">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7850A22">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16321DC">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07B825D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5E1ED26E">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4D145D0A">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EDAF495">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1EE857B0">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pPr>
    </w:p>
    <w:p w14:paraId="28C551AC">
      <w:pPr>
        <w:keepNext w:val="0"/>
        <w:keepLines w:val="0"/>
        <w:pageBreakBefore w:val="0"/>
        <w:widowControl w:val="0"/>
        <w:kinsoku/>
        <w:wordWrap w:val="0"/>
        <w:overflowPunct/>
        <w:topLinePunct/>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p>
    <w:p w14:paraId="78BD98A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保密协议</w:t>
      </w:r>
    </w:p>
    <w:p w14:paraId="5CF77DA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eastAsia="zh-CN"/>
        </w:rPr>
        <w:t>：</w:t>
      </w:r>
      <w:r>
        <w:rPr>
          <w:rFonts w:hint="eastAsia" w:ascii="宋体" w:hAnsi="宋体" w:cs="宋体"/>
          <w:color w:val="auto"/>
          <w:sz w:val="24"/>
          <w:szCs w:val="24"/>
          <w:u w:val="single"/>
          <w:lang w:val="en-US" w:eastAsia="zh-CN"/>
        </w:rPr>
        <w:t>南华县人民医院</w:t>
      </w:r>
    </w:p>
    <w:p w14:paraId="30F7574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乙方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28E00A4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因乙方为甲方提供服务和履行职务，已经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或将要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知悉甲方的工作秘密。为了明确乙方的保密义务，有效保护甲方的工作秘密，防止该工作秘密被公开披露或以任何形式泄漏，根据《中华人民共和国民法典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中华人民共和国国家安全法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中华人民共和国知识产权法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中华人民共和国保守国家秘密法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中华人民共和国反不正当竞争法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中华人民共和国劳动合同法》及国务院有关部委和云南省的相关规定，甲乙双方本着平等、自愿、公平和诚实信用的原则签订本保密协议。</w:t>
      </w:r>
    </w:p>
    <w:p w14:paraId="7E8C252E">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一、工作秘密</w:t>
      </w:r>
    </w:p>
    <w:p w14:paraId="76C704D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1.本协议所称工作秘密包括但不限于</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信息系统中的用户数据、业务数据、网络拓扑、设备配置、信息化项目、人力资源及其他技术信息的各类文档。乙方对此工作秘密承担保密义务；未经甲方同意不得对外转让或泄漏任何内容。双方确认，甲方已对上述工作秘密采取了合理的保密措施。乙方有责任对本协议的内容进行保密。</w:t>
      </w:r>
    </w:p>
    <w:p w14:paraId="3911773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2.甲方依照法律规定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如在缔约过程中知悉其他相对人的工作秘密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和在有关协议的约定（如技术合同）中对外承担保密义务的事项，也属本保密协议所称的工作秘密。</w:t>
      </w:r>
    </w:p>
    <w:p w14:paraId="1161BFB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甲方为完成项目提供的任何其他信息资料并且在提供时未说明是公开信息；乙方应当视为保密的口头和书面信息，而不论该等信息是否被指定为保密的：未经甲方书面许可乙方无权单方面对第三方公开的信息均属本保密协议所称的工作秘密。</w:t>
      </w:r>
    </w:p>
    <w:p w14:paraId="3E9CAD9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4.在乙方履行项目过程中，某一信息的泄露会造成下列后果之一的，也属于甲方秘密</w:t>
      </w:r>
      <w:r>
        <w:rPr>
          <w:rFonts w:hint="eastAsia" w:ascii="宋体" w:hAnsi="宋体" w:eastAsia="宋体" w:cs="宋体"/>
          <w:color w:val="auto"/>
          <w:sz w:val="24"/>
          <w:szCs w:val="24"/>
          <w:lang w:eastAsia="zh-CN"/>
        </w:rPr>
        <w:t>：</w:t>
      </w:r>
    </w:p>
    <w:p w14:paraId="710254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4.1使甲方利益受到损害的事项；</w:t>
      </w:r>
    </w:p>
    <w:p w14:paraId="061397B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4.2影响甲方对外交流顺利进行的事项；</w:t>
      </w:r>
    </w:p>
    <w:p w14:paraId="55DFCA6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4.3影响甲方对外承担保密义务的事项。</w:t>
      </w:r>
    </w:p>
    <w:p w14:paraId="1642EE0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二、保密义务人</w:t>
      </w:r>
    </w:p>
    <w:p w14:paraId="10B45A4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乙方为本协议所称的保密义务人，包括但不限于乙方雇员、代理人、顾问等。</w:t>
      </w:r>
    </w:p>
    <w:p w14:paraId="7308A2CB">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三、保密义务人的保密义务</w:t>
      </w:r>
    </w:p>
    <w:p w14:paraId="74E4871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1.乙方应保证保密义务人对甲方工作秘密严格保守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保证甲方工作秘密不被披露或使用，无论保密义务人有无过错，无论意外或过失。即使这些信息甚至可能是全部地由保密义务人本人因工作而构思或取得的。</w:t>
      </w:r>
    </w:p>
    <w:p w14:paraId="6D5AF0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2.在服务关系存续期间，乙方保证保密义务人未经授权，不得以竞争为目的</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出于私利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为第三人谋利</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为故意加害于甲方，擅自披露、使用工作秘密、制造再现工作秘密的器材、取走与工作秘密有关的物件；不得刺探与本职工作或本身业务无关的工作秘密；不得直接或间接地向乙方内部、外部的无关人员泄露；不得向不承担保密义务的任何第三人披露甲方的工作秘密；不得允许（出借、</w:t>
      </w:r>
      <w:r>
        <w:rPr>
          <w:rFonts w:hint="eastAsia" w:ascii="宋体" w:hAnsi="宋体" w:eastAsia="宋体" w:cs="宋体"/>
          <w:color w:val="auto"/>
          <w:sz w:val="24"/>
          <w:szCs w:val="24"/>
          <w:lang w:eastAsia="zh-CN"/>
        </w:rPr>
        <w:t>赠予</w:t>
      </w:r>
      <w:r>
        <w:rPr>
          <w:rFonts w:hint="eastAsia" w:ascii="宋体" w:hAnsi="宋体" w:eastAsia="宋体" w:cs="宋体"/>
          <w:color w:val="auto"/>
          <w:sz w:val="24"/>
          <w:szCs w:val="24"/>
        </w:rPr>
        <w:t>、出租、转让等处分甲方工作秘密的行为皆属于“允许”）或协助不承担保密义务的任何第三人使用甲方的工作秘密；不得复制或公开包含甲方工作秘密的文件或文件副本；对因工作所保管、接触的有关甲方的文件应妥善对待，未经许可不得超出工作范围使用。</w:t>
      </w:r>
    </w:p>
    <w:p w14:paraId="057315C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3.如果发现工作秘密被泄露或者自己过失泄露工作秘密，乙方应当采取有效措施防止泄密进一步扩大，并及时向甲方报告。</w:t>
      </w:r>
    </w:p>
    <w:p w14:paraId="4FD3444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4.服务关系结束后，乙方应将与工作有关的技术资料、程序源代码等交还甲方。未经甲方书面授权，乙方永久不得擅自披露甲方的工作秘密。</w:t>
      </w:r>
    </w:p>
    <w:p w14:paraId="7503A08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5.乙方保证所有有机会接触到甲方保密信息的参与成员，受不低于本合同要求的保密协议要求，且协议的保密期限为长期，除非甲方书面明确信息为可公开的信息外。</w:t>
      </w:r>
    </w:p>
    <w:p w14:paraId="3DAD76D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6.乙方人员是否在职、劳动合同是否履行完毕，均不影响其保密义务的承担。</w:t>
      </w:r>
    </w:p>
    <w:p w14:paraId="3B8C0EF3">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四、保密义务的终止</w:t>
      </w:r>
    </w:p>
    <w:p w14:paraId="57580D8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1.甲方授权同意披露或使用工作秘密。</w:t>
      </w:r>
    </w:p>
    <w:p w14:paraId="5EFC348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2.有关的信息、技术等已进入公共领域。</w:t>
      </w:r>
    </w:p>
    <w:p w14:paraId="65FFD845">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五、违约责任</w:t>
      </w:r>
    </w:p>
    <w:p w14:paraId="7FBF4C7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乙方违反本协议，应按主合同金额的20%向甲方支付违约金：违约金不足以弥补甲方损失的，由乙方另行进行赔偿，甲方损失范围包括但不限于：甲方实际经济损失、律师费、调查费、采取补</w:t>
      </w:r>
      <w:r>
        <w:rPr>
          <w:rFonts w:hint="eastAsia" w:ascii="宋体" w:hAnsi="宋体" w:eastAsia="宋体" w:cs="宋体"/>
          <w:color w:val="auto"/>
          <w:sz w:val="24"/>
          <w:szCs w:val="24"/>
          <w:lang w:eastAsia="zh-CN"/>
        </w:rPr>
        <w:t>救</w:t>
      </w:r>
      <w:r>
        <w:rPr>
          <w:rFonts w:hint="eastAsia" w:ascii="宋体" w:hAnsi="宋体" w:eastAsia="宋体" w:cs="宋体"/>
          <w:color w:val="auto"/>
          <w:sz w:val="24"/>
          <w:szCs w:val="24"/>
        </w:rPr>
        <w:t>措施所引起的所有费用和损失、乙方及其泄密对象因违约行为的获益等。</w:t>
      </w:r>
    </w:p>
    <w:p w14:paraId="11CF7C76">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六、争议的解决方法</w:t>
      </w:r>
    </w:p>
    <w:p w14:paraId="3E537FB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因执行本协议而发生纠纷的，可以由双方协商解决或共同委托双方信任的第三方调解。协商、调解不成，或者一方不愿意协商、调解的，按照主合同约定的争议处理方式处理。</w:t>
      </w:r>
    </w:p>
    <w:p w14:paraId="3E1F17B0">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七、双方确认</w:t>
      </w:r>
    </w:p>
    <w:p w14:paraId="7910A15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1.在签署本协议前，双方已经详细审阅了协议的内容，并完全了解协议各条款的法律含义。</w:t>
      </w:r>
    </w:p>
    <w:p w14:paraId="046DCCA2">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2.双方在本协议履行过程中相互发出或者提供的所有通知、文件、文书、资料等，均以本协议所列明的地址送达。一方如果迁址或者变更电话，应当及时通知对方，否则自行承担相应后果。</w:t>
      </w:r>
    </w:p>
    <w:p w14:paraId="3BC66CF7">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八、协议的效力和变更</w:t>
      </w:r>
    </w:p>
    <w:p w14:paraId="0482513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1.本协议自双方签字并加盖公章后生效</w:t>
      </w:r>
    </w:p>
    <w:p w14:paraId="5F4132A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2.本协议的任何修改必须经过双方的书面同意。</w:t>
      </w:r>
    </w:p>
    <w:p w14:paraId="243C26D0">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3.本协议为主合同不可缺少之部分，与主合同具有同等法律效力。</w:t>
      </w:r>
    </w:p>
    <w:p w14:paraId="7DDD2191">
      <w:pPr>
        <w:keepNext w:val="0"/>
        <w:keepLines w:val="0"/>
        <w:pageBreakBefore w:val="0"/>
        <w:widowControl w:val="0"/>
        <w:kinsoku/>
        <w:wordWrap w:val="0"/>
        <w:overflowPunct/>
        <w:topLinePunct/>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九、本协议一式叁份，其中甲方执贰份，乙方执壹份，具有同等法律效力。</w:t>
      </w:r>
    </w:p>
    <w:p w14:paraId="1E7D0C1F">
      <w:pPr>
        <w:outlineLvl w:val="9"/>
        <w:rPr>
          <w:rFonts w:hint="eastAsia" w:ascii="宋体" w:hAnsi="宋体" w:eastAsia="宋体" w:cs="宋体"/>
          <w:color w:val="auto"/>
          <w:sz w:val="24"/>
          <w:szCs w:val="24"/>
        </w:rPr>
      </w:pPr>
    </w:p>
    <w:p w14:paraId="4368C4F3">
      <w:pPr>
        <w:rPr>
          <w:rFonts w:hint="eastAsia" w:ascii="宋体" w:hAnsi="宋体" w:eastAsia="宋体" w:cs="宋体"/>
          <w:color w:val="auto"/>
          <w:sz w:val="24"/>
          <w:szCs w:val="24"/>
        </w:rPr>
      </w:pPr>
    </w:p>
    <w:p w14:paraId="6C33991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FECBB8C">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00A478CB">
      <w:pPr>
        <w:wordWrap w:val="0"/>
        <w:topLinePunct/>
        <w:spacing w:line="360" w:lineRule="auto"/>
        <w:ind w:firstLine="480" w:firstLineChars="200"/>
        <w:jc w:val="left"/>
        <w:rPr>
          <w:rFonts w:hint="eastAsia" w:ascii="宋体" w:hAnsi="宋体" w:eastAsia="宋体" w:cs="宋体"/>
          <w:color w:val="auto"/>
          <w:sz w:val="24"/>
        </w:rPr>
      </w:pPr>
    </w:p>
    <w:p w14:paraId="45B20078">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65D66AD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6F33ED09">
      <w:pPr>
        <w:wordWrap w:val="0"/>
        <w:topLinePunct/>
        <w:spacing w:line="360" w:lineRule="auto"/>
        <w:ind w:firstLine="480" w:firstLineChars="200"/>
        <w:jc w:val="left"/>
        <w:rPr>
          <w:rFonts w:hint="eastAsia" w:ascii="宋体" w:hAnsi="宋体" w:eastAsia="宋体" w:cs="宋体"/>
          <w:color w:val="auto"/>
        </w:rPr>
        <w:sectPr>
          <w:pgSz w:w="11906" w:h="16838"/>
          <w:pgMar w:top="1134" w:right="1134" w:bottom="1134" w:left="1134" w:header="340" w:footer="907" w:gutter="0"/>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782C71D0">
      <w:pPr>
        <w:wordWrap w:val="0"/>
        <w:topLinePunct/>
        <w:spacing w:line="0" w:lineRule="atLeas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p>
    <w:p w14:paraId="32F1710E">
      <w:pPr>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医疗卫生机构医药产品廉洁购销合同</w:t>
      </w:r>
    </w:p>
    <w:p w14:paraId="252F91CE">
      <w:pPr>
        <w:jc w:val="center"/>
        <w:rPr>
          <w:rFonts w:hint="eastAsia" w:ascii="宋体" w:hAnsi="宋体" w:eastAsia="宋体" w:cs="宋体"/>
          <w:b/>
          <w:color w:val="auto"/>
          <w:sz w:val="44"/>
          <w:szCs w:val="44"/>
        </w:rPr>
      </w:pPr>
    </w:p>
    <w:p w14:paraId="13F5AEF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b/>
          <w:color w:val="auto"/>
          <w:sz w:val="24"/>
        </w:rPr>
      </w:pPr>
      <w:r>
        <w:rPr>
          <w:rFonts w:hint="eastAsia" w:ascii="宋体" w:hAnsi="宋体" w:eastAsia="宋体" w:cs="宋体"/>
          <w:b/>
          <w:color w:val="auto"/>
          <w:sz w:val="24"/>
        </w:rPr>
        <w:t>项目名称：</w:t>
      </w:r>
      <w:r>
        <w:rPr>
          <w:rFonts w:hint="eastAsia" w:ascii="宋体" w:hAnsi="宋体" w:eastAsia="宋体" w:cs="宋体"/>
          <w:b/>
          <w:color w:val="auto"/>
          <w:sz w:val="24"/>
          <w:u w:val="single"/>
        </w:rPr>
        <w:t xml:space="preserve">                                    </w:t>
      </w:r>
    </w:p>
    <w:p w14:paraId="0D81A2D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p>
    <w:p w14:paraId="781EB8F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lang w:eastAsia="zh-CN"/>
        </w:rPr>
      </w:pPr>
      <w:r>
        <w:rPr>
          <w:rFonts w:hint="eastAsia" w:ascii="宋体" w:hAnsi="宋体" w:eastAsia="宋体" w:cs="宋体"/>
          <w:color w:val="auto"/>
          <w:sz w:val="24"/>
        </w:rPr>
        <w:t>甲方：</w:t>
      </w:r>
      <w:r>
        <w:rPr>
          <w:rFonts w:hint="eastAsia" w:ascii="宋体" w:hAnsi="宋体" w:cs="宋体"/>
          <w:color w:val="auto"/>
          <w:sz w:val="24"/>
          <w:u w:val="single"/>
          <w:lang w:val="en-US" w:eastAsia="zh-CN"/>
        </w:rPr>
        <w:t>南华县人民医院</w:t>
      </w:r>
    </w:p>
    <w:p w14:paraId="2C5D67B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b/>
          <w:color w:val="auto"/>
          <w:sz w:val="24"/>
          <w:u w:val="single"/>
        </w:rPr>
        <w:t xml:space="preserve">                        </w:t>
      </w:r>
    </w:p>
    <w:p w14:paraId="477F598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为进一步加强医疗卫生行风建设，规范医疗卫生机构医药购销行为，有效防范商业贿赂行为，营造公平交易、诚实守信的购销环境，经甲、乙双方协商，同意签订本合同，并共同遵守：</w:t>
      </w:r>
    </w:p>
    <w:p w14:paraId="4CE52D3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一、甲乙双方按照《</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》及医药产品购销合同约定购销药品、医用设备、医用耗材等医药产品。</w:t>
      </w:r>
    </w:p>
    <w:p w14:paraId="2933E42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二、甲方应当严格执行医药产品购销合同验收、入库制度，对采购医药产品及发票进行查验，不得违反有关规定合同外采购、违价采购或从非规定渠道采购。</w:t>
      </w:r>
    </w:p>
    <w:p w14:paraId="4AA474ED">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40D93D79">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四、严禁甲方工作人员利用任何途径和方式，为乙方统计医师个人及临床科室有关医药产品用量信息，或为乙方统计提供便利。</w:t>
      </w:r>
    </w:p>
    <w:p w14:paraId="45703CE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五、乙方不得以回扣、宴请等方式影响甲方工作人员采购或使用医药产品的选择权，不得在学术活动中提供旅游、超标准支付食宿费用。</w:t>
      </w:r>
    </w:p>
    <w:p w14:paraId="054512B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六、乙方指定</w:t>
      </w:r>
      <w:r>
        <w:rPr>
          <w:rFonts w:hint="eastAsia" w:ascii="宋体" w:hAnsi="宋体" w:eastAsia="宋体" w:cs="宋体"/>
          <w:color w:val="auto"/>
          <w:sz w:val="24"/>
          <w:u w:val="single"/>
        </w:rPr>
        <w:t xml:space="preserve">           </w:t>
      </w: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r>
        <w:rPr>
          <w:rFonts w:hint="eastAsia" w:ascii="宋体" w:hAnsi="宋体" w:eastAsia="宋体" w:cs="宋体"/>
          <w:color w:val="auto"/>
          <w:sz w:val="24"/>
        </w:rPr>
        <w:t>） 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578E7E08">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45902A7B">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八、本合同作为医药产品购销合同的重要组成部分，与购销合同一并执行，具有同等的法律效力。</w:t>
      </w:r>
    </w:p>
    <w:p w14:paraId="2B9FEF01">
      <w:pPr>
        <w:keepNext w:val="0"/>
        <w:keepLines w:val="0"/>
        <w:pageBreakBefore w:val="0"/>
        <w:widowControl w:val="0"/>
        <w:kinsoku/>
        <w:wordWrap w:val="0"/>
        <w:overflowPunct/>
        <w:topLinePunct/>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九、本合同一式三份，甲、乙双方各执一份，甲方纪检监察部门执一份，并从签订之日起生效。</w:t>
      </w:r>
    </w:p>
    <w:p w14:paraId="6C1AF415">
      <w:pPr>
        <w:wordWrap w:val="0"/>
        <w:topLinePunct/>
        <w:spacing w:line="360" w:lineRule="auto"/>
        <w:ind w:firstLine="480" w:firstLineChars="200"/>
        <w:jc w:val="left"/>
        <w:rPr>
          <w:rFonts w:hint="eastAsia" w:ascii="宋体" w:hAnsi="宋体" w:eastAsia="宋体" w:cs="宋体"/>
          <w:color w:val="auto"/>
          <w:sz w:val="24"/>
        </w:rPr>
      </w:pPr>
    </w:p>
    <w:p w14:paraId="0444772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甲方：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3D4E4D07">
      <w:pPr>
        <w:wordWrap w:val="0"/>
        <w:topLinePunct/>
        <w:spacing w:line="360" w:lineRule="auto"/>
        <w:ind w:firstLine="480" w:firstLineChars="20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50EFAEEE">
      <w:pPr>
        <w:wordWrap w:val="0"/>
        <w:topLinePunct/>
        <w:spacing w:line="360" w:lineRule="auto"/>
        <w:ind w:firstLine="480" w:firstLineChars="200"/>
        <w:jc w:val="left"/>
        <w:rPr>
          <w:rFonts w:hint="eastAsia" w:ascii="宋体" w:hAnsi="宋体" w:eastAsia="宋体" w:cs="宋体"/>
          <w:color w:val="auto"/>
          <w:sz w:val="24"/>
        </w:rPr>
      </w:pPr>
    </w:p>
    <w:p w14:paraId="4C7F04F5">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乙方：</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06BC8C04">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42CDF7A1">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宋体" w:hAnsi="宋体" w:eastAsia="宋体" w:cs="宋体"/>
          <w:b/>
          <w:bCs/>
          <w:color w:val="auto"/>
          <w:sz w:val="24"/>
          <w:szCs w:val="24"/>
          <w:highlight w:val="none"/>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color w:val="auto"/>
          <w:sz w:val="24"/>
        </w:rPr>
        <w:t>日期：202</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年  月   日</w:t>
      </w:r>
    </w:p>
    <w:p w14:paraId="3289089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rPr>
      </w:pPr>
      <w:r>
        <w:rPr>
          <w:rFonts w:hint="eastAsia" w:ascii="宋体" w:hAnsi="宋体" w:eastAsia="宋体" w:cs="宋体"/>
          <w:b w:val="0"/>
          <w:bCs/>
          <w:color w:val="auto"/>
        </w:rPr>
        <w:t>附件：</w:t>
      </w:r>
    </w:p>
    <w:tbl>
      <w:tblPr>
        <w:tblStyle w:val="67"/>
        <w:tblW w:w="0" w:type="auto"/>
        <w:jc w:val="center"/>
        <w:tblLayout w:type="fixed"/>
        <w:tblCellMar>
          <w:top w:w="0" w:type="dxa"/>
          <w:left w:w="108" w:type="dxa"/>
          <w:bottom w:w="0" w:type="dxa"/>
          <w:right w:w="108" w:type="dxa"/>
        </w:tblCellMar>
      </w:tblPr>
      <w:tblGrid>
        <w:gridCol w:w="4620"/>
        <w:gridCol w:w="4840"/>
        <w:gridCol w:w="1280"/>
        <w:gridCol w:w="1600"/>
        <w:gridCol w:w="1740"/>
      </w:tblGrid>
      <w:tr w14:paraId="714571B4">
        <w:tblPrEx>
          <w:tblCellMar>
            <w:top w:w="0" w:type="dxa"/>
            <w:left w:w="108" w:type="dxa"/>
            <w:bottom w:w="0" w:type="dxa"/>
            <w:right w:w="108" w:type="dxa"/>
          </w:tblCellMar>
        </w:tblPrEx>
        <w:trPr>
          <w:trHeight w:val="495" w:hRule="atLeast"/>
          <w:jc w:val="center"/>
        </w:trPr>
        <w:tc>
          <w:tcPr>
            <w:tcW w:w="14080" w:type="dxa"/>
            <w:gridSpan w:val="5"/>
            <w:tcBorders>
              <w:top w:val="nil"/>
              <w:left w:val="nil"/>
              <w:bottom w:val="nil"/>
              <w:right w:val="nil"/>
            </w:tcBorders>
            <w:noWrap w:val="0"/>
            <w:vAlign w:val="center"/>
          </w:tcPr>
          <w:p w14:paraId="70AF4A7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val="0"/>
                <w:color w:val="auto"/>
                <w:kern w:val="0"/>
                <w:sz w:val="48"/>
                <w:szCs w:val="48"/>
              </w:rPr>
            </w:pPr>
            <w:r>
              <w:rPr>
                <w:rFonts w:hint="eastAsia" w:ascii="宋体" w:hAnsi="宋体" w:eastAsia="宋体" w:cs="宋体"/>
                <w:b/>
                <w:bCs w:val="0"/>
                <w:color w:val="auto"/>
                <w:kern w:val="0"/>
                <w:sz w:val="48"/>
                <w:szCs w:val="48"/>
              </w:rPr>
              <w:t>政 府 采 购 项 目 验 收 单</w:t>
            </w:r>
          </w:p>
        </w:tc>
      </w:tr>
      <w:tr w14:paraId="009E5E88">
        <w:tblPrEx>
          <w:tblCellMar>
            <w:top w:w="0" w:type="dxa"/>
            <w:left w:w="108" w:type="dxa"/>
            <w:bottom w:w="0" w:type="dxa"/>
            <w:right w:w="108" w:type="dxa"/>
          </w:tblCellMar>
        </w:tblPrEx>
        <w:trPr>
          <w:trHeight w:val="570" w:hRule="atLeast"/>
          <w:jc w:val="center"/>
        </w:trPr>
        <w:tc>
          <w:tcPr>
            <w:tcW w:w="14080" w:type="dxa"/>
            <w:gridSpan w:val="5"/>
            <w:tcBorders>
              <w:top w:val="nil"/>
              <w:left w:val="nil"/>
              <w:bottom w:val="nil"/>
              <w:right w:val="nil"/>
            </w:tcBorders>
            <w:noWrap w:val="0"/>
            <w:vAlign w:val="center"/>
          </w:tcPr>
          <w:p w14:paraId="0E55B2D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项目名称：</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w:t>
            </w:r>
            <w:r>
              <w:rPr>
                <w:rFonts w:hint="eastAsia" w:ascii="宋体" w:hAnsi="宋体" w:eastAsia="宋体" w:cs="宋体"/>
                <w:b w:val="0"/>
                <w:bCs/>
                <w:color w:val="auto"/>
                <w:kern w:val="0"/>
                <w:sz w:val="24"/>
                <w:lang w:eastAsia="zh-CN"/>
              </w:rPr>
              <w:t>项目编号</w:t>
            </w:r>
            <w:r>
              <w:rPr>
                <w:rFonts w:hint="eastAsia" w:ascii="宋体" w:hAnsi="宋体" w:eastAsia="宋体" w:cs="宋体"/>
                <w:b w:val="0"/>
                <w:bCs/>
                <w:color w:val="auto"/>
                <w:kern w:val="0"/>
                <w:sz w:val="24"/>
              </w:rPr>
              <w:t>：</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合同编号：</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 </w:t>
            </w:r>
          </w:p>
        </w:tc>
      </w:tr>
      <w:tr w14:paraId="1ACFBE93">
        <w:tblPrEx>
          <w:tblCellMar>
            <w:top w:w="0" w:type="dxa"/>
            <w:left w:w="108" w:type="dxa"/>
            <w:bottom w:w="0" w:type="dxa"/>
            <w:right w:w="108" w:type="dxa"/>
          </w:tblCellMar>
        </w:tblPrEx>
        <w:trPr>
          <w:trHeight w:val="297" w:hRule="atLeast"/>
          <w:jc w:val="center"/>
        </w:trPr>
        <w:tc>
          <w:tcPr>
            <w:tcW w:w="14080" w:type="dxa"/>
            <w:gridSpan w:val="5"/>
            <w:tcBorders>
              <w:top w:val="nil"/>
              <w:left w:val="nil"/>
              <w:bottom w:val="nil"/>
              <w:right w:val="nil"/>
            </w:tcBorders>
            <w:noWrap w:val="0"/>
            <w:vAlign w:val="center"/>
          </w:tcPr>
          <w:p w14:paraId="30FFFBB7">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以下项目已采购到位并验收合格，项目验收时提供。</w:t>
            </w:r>
          </w:p>
        </w:tc>
      </w:tr>
      <w:tr w14:paraId="3C83DAE6">
        <w:tblPrEx>
          <w:tblCellMar>
            <w:top w:w="0" w:type="dxa"/>
            <w:left w:w="108" w:type="dxa"/>
            <w:bottom w:w="0" w:type="dxa"/>
            <w:right w:w="108" w:type="dxa"/>
          </w:tblCellMar>
        </w:tblPrEx>
        <w:trPr>
          <w:trHeight w:val="90" w:hRule="atLeast"/>
          <w:jc w:val="center"/>
        </w:trPr>
        <w:tc>
          <w:tcPr>
            <w:tcW w:w="4620" w:type="dxa"/>
            <w:tcBorders>
              <w:top w:val="single" w:color="auto" w:sz="4" w:space="0"/>
              <w:left w:val="single" w:color="auto" w:sz="4" w:space="0"/>
              <w:bottom w:val="nil"/>
              <w:right w:val="single" w:color="auto" w:sz="4" w:space="0"/>
            </w:tcBorders>
            <w:noWrap w:val="0"/>
            <w:vAlign w:val="center"/>
          </w:tcPr>
          <w:p w14:paraId="32A39D5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采购货物名称</w:t>
            </w:r>
          </w:p>
        </w:tc>
        <w:tc>
          <w:tcPr>
            <w:tcW w:w="4840" w:type="dxa"/>
            <w:tcBorders>
              <w:top w:val="single" w:color="auto" w:sz="4" w:space="0"/>
              <w:left w:val="nil"/>
              <w:bottom w:val="nil"/>
              <w:right w:val="single" w:color="auto" w:sz="4" w:space="0"/>
            </w:tcBorders>
            <w:noWrap w:val="0"/>
            <w:vAlign w:val="center"/>
          </w:tcPr>
          <w:p w14:paraId="569C12C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规格、型号</w:t>
            </w:r>
          </w:p>
        </w:tc>
        <w:tc>
          <w:tcPr>
            <w:tcW w:w="1280" w:type="dxa"/>
            <w:tcBorders>
              <w:top w:val="single" w:color="auto" w:sz="4" w:space="0"/>
              <w:left w:val="nil"/>
              <w:bottom w:val="nil"/>
              <w:right w:val="single" w:color="auto" w:sz="4" w:space="0"/>
            </w:tcBorders>
            <w:noWrap w:val="0"/>
            <w:vAlign w:val="center"/>
          </w:tcPr>
          <w:p w14:paraId="34A80F3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数量</w:t>
            </w:r>
          </w:p>
        </w:tc>
        <w:tc>
          <w:tcPr>
            <w:tcW w:w="1600" w:type="dxa"/>
            <w:tcBorders>
              <w:top w:val="single" w:color="auto" w:sz="4" w:space="0"/>
              <w:left w:val="nil"/>
              <w:bottom w:val="nil"/>
              <w:right w:val="single" w:color="auto" w:sz="4" w:space="0"/>
            </w:tcBorders>
            <w:noWrap w:val="0"/>
            <w:vAlign w:val="center"/>
          </w:tcPr>
          <w:p w14:paraId="3638E11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核定总价</w:t>
            </w:r>
          </w:p>
        </w:tc>
        <w:tc>
          <w:tcPr>
            <w:tcW w:w="1740" w:type="dxa"/>
            <w:tcBorders>
              <w:top w:val="single" w:color="auto" w:sz="4" w:space="0"/>
              <w:left w:val="nil"/>
              <w:bottom w:val="single" w:color="auto" w:sz="4" w:space="0"/>
              <w:right w:val="single" w:color="auto" w:sz="4" w:space="0"/>
            </w:tcBorders>
            <w:noWrap w:val="0"/>
            <w:vAlign w:val="center"/>
          </w:tcPr>
          <w:p w14:paraId="5BB2AEF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lang w:eastAsia="zh-CN"/>
              </w:rPr>
            </w:pPr>
            <w:r>
              <w:rPr>
                <w:rFonts w:hint="eastAsia" w:ascii="宋体" w:hAnsi="宋体" w:eastAsia="宋体" w:cs="宋体"/>
                <w:b w:val="0"/>
                <w:bCs/>
                <w:color w:val="auto"/>
                <w:kern w:val="0"/>
                <w:sz w:val="24"/>
                <w:lang w:eastAsia="zh-CN"/>
              </w:rPr>
              <w:t>采购人</w:t>
            </w:r>
          </w:p>
          <w:p w14:paraId="31EFA0B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验收意见</w:t>
            </w:r>
          </w:p>
        </w:tc>
      </w:tr>
      <w:tr w14:paraId="18ED3970">
        <w:tblPrEx>
          <w:tblCellMar>
            <w:top w:w="0" w:type="dxa"/>
            <w:left w:w="108" w:type="dxa"/>
            <w:bottom w:w="0" w:type="dxa"/>
            <w:right w:w="108" w:type="dxa"/>
          </w:tblCellMar>
        </w:tblPrEx>
        <w:trPr>
          <w:trHeight w:val="90"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5C362BE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4840" w:type="dxa"/>
            <w:tcBorders>
              <w:top w:val="single" w:color="auto" w:sz="4" w:space="0"/>
              <w:left w:val="nil"/>
              <w:bottom w:val="single" w:color="auto" w:sz="4" w:space="0"/>
              <w:right w:val="single" w:color="auto" w:sz="4" w:space="0"/>
            </w:tcBorders>
            <w:noWrap w:val="0"/>
            <w:vAlign w:val="center"/>
          </w:tcPr>
          <w:p w14:paraId="7D7BA2B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280" w:type="dxa"/>
            <w:tcBorders>
              <w:top w:val="single" w:color="auto" w:sz="4" w:space="0"/>
              <w:left w:val="nil"/>
              <w:bottom w:val="single" w:color="auto" w:sz="4" w:space="0"/>
              <w:right w:val="single" w:color="auto" w:sz="4" w:space="0"/>
            </w:tcBorders>
            <w:noWrap w:val="0"/>
            <w:vAlign w:val="center"/>
          </w:tcPr>
          <w:p w14:paraId="3470D25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600" w:type="dxa"/>
            <w:tcBorders>
              <w:top w:val="single" w:color="auto" w:sz="4" w:space="0"/>
              <w:left w:val="nil"/>
              <w:bottom w:val="single" w:color="auto" w:sz="4" w:space="0"/>
              <w:right w:val="single" w:color="auto" w:sz="4" w:space="0"/>
            </w:tcBorders>
            <w:noWrap w:val="0"/>
            <w:vAlign w:val="center"/>
          </w:tcPr>
          <w:p w14:paraId="518D96D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1740" w:type="dxa"/>
            <w:tcBorders>
              <w:top w:val="nil"/>
              <w:left w:val="nil"/>
              <w:bottom w:val="single" w:color="auto" w:sz="4" w:space="0"/>
              <w:right w:val="single" w:color="auto" w:sz="4" w:space="0"/>
            </w:tcBorders>
            <w:noWrap w:val="0"/>
            <w:vAlign w:val="bottom"/>
          </w:tcPr>
          <w:p w14:paraId="00D5E7D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5B2B669D">
        <w:tblPrEx>
          <w:tblCellMar>
            <w:top w:w="0" w:type="dxa"/>
            <w:left w:w="108" w:type="dxa"/>
            <w:bottom w:w="0" w:type="dxa"/>
            <w:right w:w="108" w:type="dxa"/>
          </w:tblCellMar>
        </w:tblPrEx>
        <w:trPr>
          <w:trHeight w:val="228"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1048508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6DEDEA1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474EA44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F8F137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0477EE01">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5A16E20C">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3DF53B0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0448578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01FFF61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2642D19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2B76B77">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260DB47D">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29C263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3AE8332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5C68311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6BB39B7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2826F020">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12F5BA49">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2C7577C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5BDE5A2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057084C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B05870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6CC9D2C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35C1B49B">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5E57066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2E87EAC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2AC74F1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51B4816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3E2C4CC">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4B05B5B5">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4A10A4A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01256FC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106532F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77E7ADC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399BCC1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05D3826E">
        <w:tblPrEx>
          <w:tblCellMar>
            <w:top w:w="0" w:type="dxa"/>
            <w:left w:w="108" w:type="dxa"/>
            <w:bottom w:w="0" w:type="dxa"/>
            <w:right w:w="108" w:type="dxa"/>
          </w:tblCellMar>
        </w:tblPrEx>
        <w:trPr>
          <w:trHeight w:val="9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6F0F8C9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4DAB10B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44799A58">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4D991E3E">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4635302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6C26F5CE">
        <w:tblPrEx>
          <w:tblCellMar>
            <w:top w:w="0" w:type="dxa"/>
            <w:left w:w="108" w:type="dxa"/>
            <w:bottom w:w="0" w:type="dxa"/>
            <w:right w:w="108" w:type="dxa"/>
          </w:tblCellMar>
        </w:tblPrEx>
        <w:trPr>
          <w:trHeight w:val="201"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center"/>
          </w:tcPr>
          <w:p w14:paraId="7F85418D">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4840" w:type="dxa"/>
            <w:tcBorders>
              <w:top w:val="single" w:color="auto" w:sz="4" w:space="0"/>
              <w:left w:val="nil"/>
              <w:bottom w:val="single" w:color="auto" w:sz="4" w:space="0"/>
              <w:right w:val="single" w:color="auto" w:sz="4" w:space="0"/>
            </w:tcBorders>
            <w:noWrap w:val="0"/>
            <w:vAlign w:val="center"/>
          </w:tcPr>
          <w:p w14:paraId="28DB2773">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280" w:type="dxa"/>
            <w:tcBorders>
              <w:top w:val="single" w:color="auto" w:sz="4" w:space="0"/>
              <w:left w:val="nil"/>
              <w:bottom w:val="single" w:color="auto" w:sz="4" w:space="0"/>
              <w:right w:val="single" w:color="auto" w:sz="4" w:space="0"/>
            </w:tcBorders>
            <w:noWrap w:val="0"/>
            <w:vAlign w:val="center"/>
          </w:tcPr>
          <w:p w14:paraId="5FC06B6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600" w:type="dxa"/>
            <w:tcBorders>
              <w:top w:val="single" w:color="auto" w:sz="4" w:space="0"/>
              <w:left w:val="nil"/>
              <w:bottom w:val="single" w:color="auto" w:sz="4" w:space="0"/>
              <w:right w:val="single" w:color="auto" w:sz="4" w:space="0"/>
            </w:tcBorders>
            <w:noWrap w:val="0"/>
            <w:vAlign w:val="center"/>
          </w:tcPr>
          <w:p w14:paraId="0F7DD4C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p>
        </w:tc>
        <w:tc>
          <w:tcPr>
            <w:tcW w:w="1740" w:type="dxa"/>
            <w:tcBorders>
              <w:top w:val="nil"/>
              <w:left w:val="nil"/>
              <w:bottom w:val="single" w:color="auto" w:sz="4" w:space="0"/>
              <w:right w:val="single" w:color="auto" w:sz="4" w:space="0"/>
            </w:tcBorders>
            <w:noWrap w:val="0"/>
            <w:vAlign w:val="bottom"/>
          </w:tcPr>
          <w:p w14:paraId="070155E6">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p>
        </w:tc>
      </w:tr>
      <w:tr w14:paraId="64688734">
        <w:tblPrEx>
          <w:tblCellMar>
            <w:top w:w="0" w:type="dxa"/>
            <w:left w:w="108" w:type="dxa"/>
            <w:bottom w:w="0" w:type="dxa"/>
            <w:right w:w="108" w:type="dxa"/>
          </w:tblCellMar>
        </w:tblPrEx>
        <w:trPr>
          <w:trHeight w:val="420" w:hRule="atLeast"/>
          <w:jc w:val="center"/>
        </w:trPr>
        <w:tc>
          <w:tcPr>
            <w:tcW w:w="4620" w:type="dxa"/>
            <w:tcBorders>
              <w:top w:val="nil"/>
              <w:left w:val="single" w:color="auto" w:sz="4" w:space="0"/>
              <w:bottom w:val="single" w:color="auto" w:sz="4" w:space="0"/>
              <w:right w:val="single" w:color="auto" w:sz="4" w:space="0"/>
            </w:tcBorders>
            <w:noWrap w:val="0"/>
            <w:vAlign w:val="center"/>
          </w:tcPr>
          <w:p w14:paraId="7D18F8D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合计总价款（人民币）</w:t>
            </w:r>
          </w:p>
        </w:tc>
        <w:tc>
          <w:tcPr>
            <w:tcW w:w="9460" w:type="dxa"/>
            <w:gridSpan w:val="4"/>
            <w:tcBorders>
              <w:top w:val="nil"/>
              <w:left w:val="nil"/>
              <w:bottom w:val="single" w:color="auto" w:sz="4" w:space="0"/>
              <w:right w:val="single" w:color="000000" w:sz="4" w:space="0"/>
            </w:tcBorders>
            <w:noWrap w:val="0"/>
            <w:vAlign w:val="center"/>
          </w:tcPr>
          <w:p w14:paraId="4C24CF4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人民币</w:t>
            </w:r>
            <w:r>
              <w:rPr>
                <w:rFonts w:hint="eastAsia" w:ascii="宋体" w:hAnsi="宋体" w:eastAsia="宋体" w:cs="宋体"/>
                <w:b w:val="0"/>
                <w:bCs/>
                <w:color w:val="auto"/>
                <w:kern w:val="0"/>
                <w:sz w:val="24"/>
                <w:u w:val="single"/>
              </w:rPr>
              <w:t xml:space="preserve">                 </w:t>
            </w:r>
            <w:r>
              <w:rPr>
                <w:rFonts w:hint="eastAsia" w:ascii="宋体" w:hAnsi="宋体" w:eastAsia="宋体" w:cs="宋体"/>
                <w:b w:val="0"/>
                <w:bCs/>
                <w:color w:val="auto"/>
                <w:kern w:val="0"/>
                <w:sz w:val="24"/>
              </w:rPr>
              <w:t xml:space="preserve">元整。       ￥: </w:t>
            </w:r>
            <w:r>
              <w:rPr>
                <w:rFonts w:hint="eastAsia" w:ascii="宋体" w:hAnsi="宋体" w:eastAsia="宋体" w:cs="宋体"/>
                <w:b w:val="0"/>
                <w:bCs/>
                <w:color w:val="auto"/>
                <w:kern w:val="0"/>
                <w:sz w:val="24"/>
                <w:u w:val="single"/>
              </w:rPr>
              <w:t xml:space="preserve">             </w:t>
            </w:r>
          </w:p>
        </w:tc>
      </w:tr>
      <w:tr w14:paraId="3C4E751C">
        <w:tblPrEx>
          <w:tblCellMar>
            <w:top w:w="0" w:type="dxa"/>
            <w:left w:w="108" w:type="dxa"/>
            <w:bottom w:w="0" w:type="dxa"/>
            <w:right w:w="108" w:type="dxa"/>
          </w:tblCellMar>
        </w:tblPrEx>
        <w:trPr>
          <w:trHeight w:val="690" w:hRule="atLeast"/>
          <w:jc w:val="center"/>
        </w:trPr>
        <w:tc>
          <w:tcPr>
            <w:tcW w:w="4620" w:type="dxa"/>
            <w:tcBorders>
              <w:top w:val="nil"/>
              <w:left w:val="single" w:color="auto" w:sz="4" w:space="0"/>
              <w:bottom w:val="nil"/>
              <w:right w:val="nil"/>
            </w:tcBorders>
            <w:noWrap w:val="0"/>
            <w:vAlign w:val="bottom"/>
          </w:tcPr>
          <w:p w14:paraId="08C7C21F">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xml:space="preserve">供货单位（盖章）：                     </w:t>
            </w:r>
          </w:p>
        </w:tc>
        <w:tc>
          <w:tcPr>
            <w:tcW w:w="4840" w:type="dxa"/>
            <w:tcBorders>
              <w:top w:val="nil"/>
              <w:left w:val="nil"/>
              <w:bottom w:val="nil"/>
              <w:right w:val="nil"/>
            </w:tcBorders>
            <w:noWrap w:val="0"/>
            <w:vAlign w:val="center"/>
          </w:tcPr>
          <w:p w14:paraId="4D4FD83B">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lang w:eastAsia="zh-CN"/>
              </w:rPr>
              <w:t>采购人</w:t>
            </w:r>
            <w:r>
              <w:rPr>
                <w:rFonts w:hint="eastAsia" w:ascii="宋体" w:hAnsi="宋体" w:eastAsia="宋体" w:cs="宋体"/>
                <w:b w:val="0"/>
                <w:bCs/>
                <w:color w:val="auto"/>
                <w:kern w:val="0"/>
                <w:sz w:val="24"/>
              </w:rPr>
              <w:t>（盖章）</w:t>
            </w:r>
            <w:r>
              <w:rPr>
                <w:rFonts w:hint="eastAsia" w:ascii="宋体" w:hAnsi="宋体" w:eastAsia="宋体" w:cs="宋体"/>
                <w:b w:val="0"/>
                <w:bCs/>
                <w:color w:val="auto"/>
                <w:kern w:val="0"/>
                <w:sz w:val="24"/>
                <w:lang w:eastAsia="zh-CN"/>
              </w:rPr>
              <w:t>：</w:t>
            </w:r>
          </w:p>
        </w:tc>
        <w:tc>
          <w:tcPr>
            <w:tcW w:w="4620" w:type="dxa"/>
            <w:gridSpan w:val="3"/>
            <w:tcBorders>
              <w:top w:val="nil"/>
              <w:left w:val="nil"/>
              <w:bottom w:val="nil"/>
              <w:right w:val="single" w:color="auto" w:sz="4" w:space="0"/>
            </w:tcBorders>
            <w:noWrap w:val="0"/>
            <w:vAlign w:val="bottom"/>
          </w:tcPr>
          <w:p w14:paraId="3867631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42425C3B">
        <w:tblPrEx>
          <w:tblCellMar>
            <w:top w:w="0" w:type="dxa"/>
            <w:left w:w="108" w:type="dxa"/>
            <w:bottom w:w="0" w:type="dxa"/>
            <w:right w:w="108" w:type="dxa"/>
          </w:tblCellMar>
        </w:tblPrEx>
        <w:trPr>
          <w:trHeight w:val="525" w:hRule="atLeast"/>
          <w:jc w:val="center"/>
        </w:trPr>
        <w:tc>
          <w:tcPr>
            <w:tcW w:w="4620" w:type="dxa"/>
            <w:tcBorders>
              <w:top w:val="nil"/>
              <w:left w:val="single" w:color="auto" w:sz="4" w:space="0"/>
              <w:bottom w:val="nil"/>
              <w:right w:val="nil"/>
            </w:tcBorders>
            <w:noWrap w:val="0"/>
            <w:vAlign w:val="bottom"/>
          </w:tcPr>
          <w:p w14:paraId="5AA51A39">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经办项目负责人：</w:t>
            </w:r>
          </w:p>
        </w:tc>
        <w:tc>
          <w:tcPr>
            <w:tcW w:w="4840" w:type="dxa"/>
            <w:tcBorders>
              <w:top w:val="nil"/>
              <w:left w:val="nil"/>
              <w:bottom w:val="nil"/>
              <w:right w:val="nil"/>
            </w:tcBorders>
            <w:noWrap w:val="0"/>
            <w:vAlign w:val="center"/>
          </w:tcPr>
          <w:p w14:paraId="37262F5F">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项目验收组主任：</w:t>
            </w:r>
          </w:p>
        </w:tc>
        <w:tc>
          <w:tcPr>
            <w:tcW w:w="4620" w:type="dxa"/>
            <w:gridSpan w:val="3"/>
            <w:tcBorders>
              <w:top w:val="nil"/>
              <w:left w:val="nil"/>
              <w:bottom w:val="nil"/>
              <w:right w:val="single" w:color="auto" w:sz="4" w:space="0"/>
            </w:tcBorders>
            <w:noWrap w:val="0"/>
            <w:vAlign w:val="bottom"/>
          </w:tcPr>
          <w:p w14:paraId="39BC8933">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41B2B235">
        <w:tblPrEx>
          <w:tblCellMar>
            <w:top w:w="0" w:type="dxa"/>
            <w:left w:w="108" w:type="dxa"/>
            <w:bottom w:w="0" w:type="dxa"/>
            <w:right w:w="108" w:type="dxa"/>
          </w:tblCellMar>
        </w:tblPrEx>
        <w:trPr>
          <w:trHeight w:val="525" w:hRule="atLeast"/>
          <w:jc w:val="center"/>
        </w:trPr>
        <w:tc>
          <w:tcPr>
            <w:tcW w:w="4620" w:type="dxa"/>
            <w:tcBorders>
              <w:top w:val="nil"/>
              <w:left w:val="single" w:color="auto" w:sz="4" w:space="0"/>
              <w:bottom w:val="nil"/>
              <w:right w:val="nil"/>
            </w:tcBorders>
            <w:noWrap w:val="0"/>
            <w:vAlign w:val="bottom"/>
          </w:tcPr>
          <w:p w14:paraId="6454DE21">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联系电话：</w:t>
            </w:r>
          </w:p>
        </w:tc>
        <w:tc>
          <w:tcPr>
            <w:tcW w:w="4840" w:type="dxa"/>
            <w:tcBorders>
              <w:top w:val="nil"/>
              <w:left w:val="nil"/>
              <w:bottom w:val="nil"/>
              <w:right w:val="nil"/>
            </w:tcBorders>
            <w:noWrap w:val="0"/>
            <w:vAlign w:val="center"/>
          </w:tcPr>
          <w:p w14:paraId="14D4C5EB">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联系电话：</w:t>
            </w:r>
          </w:p>
        </w:tc>
        <w:tc>
          <w:tcPr>
            <w:tcW w:w="4620" w:type="dxa"/>
            <w:gridSpan w:val="3"/>
            <w:tcBorders>
              <w:top w:val="nil"/>
              <w:left w:val="nil"/>
              <w:bottom w:val="nil"/>
              <w:right w:val="single" w:color="auto" w:sz="4" w:space="0"/>
            </w:tcBorders>
            <w:noWrap w:val="0"/>
            <w:vAlign w:val="bottom"/>
          </w:tcPr>
          <w:p w14:paraId="12FC489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54B4FF1A">
        <w:tblPrEx>
          <w:tblCellMar>
            <w:top w:w="0" w:type="dxa"/>
            <w:left w:w="108" w:type="dxa"/>
            <w:bottom w:w="0" w:type="dxa"/>
            <w:right w:w="108" w:type="dxa"/>
          </w:tblCellMar>
        </w:tblPrEx>
        <w:trPr>
          <w:trHeight w:val="540" w:hRule="atLeast"/>
          <w:jc w:val="center"/>
        </w:trPr>
        <w:tc>
          <w:tcPr>
            <w:tcW w:w="4620" w:type="dxa"/>
            <w:tcBorders>
              <w:top w:val="nil"/>
              <w:left w:val="single" w:color="auto" w:sz="4" w:space="0"/>
              <w:bottom w:val="nil"/>
              <w:right w:val="nil"/>
            </w:tcBorders>
            <w:noWrap w:val="0"/>
            <w:vAlign w:val="bottom"/>
          </w:tcPr>
          <w:p w14:paraId="57EAE024">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开户银行：</w:t>
            </w:r>
          </w:p>
        </w:tc>
        <w:tc>
          <w:tcPr>
            <w:tcW w:w="4840" w:type="dxa"/>
            <w:tcBorders>
              <w:top w:val="nil"/>
              <w:left w:val="nil"/>
              <w:bottom w:val="nil"/>
              <w:right w:val="nil"/>
            </w:tcBorders>
            <w:noWrap w:val="0"/>
            <w:vAlign w:val="center"/>
          </w:tcPr>
          <w:p w14:paraId="5632A135">
            <w:pPr>
              <w:keepNext w:val="0"/>
              <w:keepLines w:val="0"/>
              <w:pageBreakBefore w:val="0"/>
              <w:widowControl w:val="0"/>
              <w:kinsoku/>
              <w:wordWrap w:val="0"/>
              <w:overflowPunct/>
              <w:topLinePunct/>
              <w:autoSpaceDE/>
              <w:autoSpaceDN/>
              <w:bidi w:val="0"/>
              <w:adjustRightInd/>
              <w:snapToGrid/>
              <w:ind w:left="0" w:leftChars="0" w:right="0"/>
              <w:jc w:val="righ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项目验收组成员（签名）：</w:t>
            </w:r>
          </w:p>
        </w:tc>
        <w:tc>
          <w:tcPr>
            <w:tcW w:w="4620" w:type="dxa"/>
            <w:gridSpan w:val="3"/>
            <w:tcBorders>
              <w:top w:val="nil"/>
              <w:left w:val="nil"/>
              <w:bottom w:val="nil"/>
              <w:right w:val="single" w:color="auto" w:sz="4" w:space="0"/>
            </w:tcBorders>
            <w:noWrap w:val="0"/>
            <w:vAlign w:val="bottom"/>
          </w:tcPr>
          <w:p w14:paraId="72BAA38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r>
      <w:tr w14:paraId="075253AD">
        <w:tblPrEx>
          <w:tblCellMar>
            <w:top w:w="0" w:type="dxa"/>
            <w:left w:w="108" w:type="dxa"/>
            <w:bottom w:w="0" w:type="dxa"/>
            <w:right w:w="108" w:type="dxa"/>
          </w:tblCellMar>
        </w:tblPrEx>
        <w:trPr>
          <w:trHeight w:val="519" w:hRule="atLeast"/>
          <w:jc w:val="center"/>
        </w:trPr>
        <w:tc>
          <w:tcPr>
            <w:tcW w:w="4620" w:type="dxa"/>
            <w:tcBorders>
              <w:top w:val="nil"/>
              <w:left w:val="single" w:color="auto" w:sz="4" w:space="0"/>
              <w:bottom w:val="single" w:color="auto" w:sz="4" w:space="0"/>
              <w:right w:val="nil"/>
            </w:tcBorders>
            <w:noWrap w:val="0"/>
            <w:vAlign w:val="center"/>
          </w:tcPr>
          <w:p w14:paraId="63799ED9">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kern w:val="0"/>
                <w:sz w:val="24"/>
              </w:rPr>
            </w:pPr>
            <w:r>
              <w:rPr>
                <w:rFonts w:hint="eastAsia" w:ascii="宋体" w:hAnsi="宋体" w:eastAsia="宋体" w:cs="宋体"/>
                <w:b w:val="0"/>
                <w:bCs/>
                <w:color w:val="auto"/>
                <w:kern w:val="0"/>
                <w:sz w:val="24"/>
                <w:lang w:eastAsia="zh-CN"/>
              </w:rPr>
              <w:t>银行账号</w:t>
            </w:r>
            <w:r>
              <w:rPr>
                <w:rFonts w:hint="eastAsia" w:ascii="宋体" w:hAnsi="宋体" w:eastAsia="宋体" w:cs="宋体"/>
                <w:b w:val="0"/>
                <w:bCs/>
                <w:color w:val="auto"/>
                <w:kern w:val="0"/>
                <w:sz w:val="24"/>
              </w:rPr>
              <w:t>：</w:t>
            </w:r>
          </w:p>
        </w:tc>
        <w:tc>
          <w:tcPr>
            <w:tcW w:w="4840" w:type="dxa"/>
            <w:tcBorders>
              <w:top w:val="nil"/>
              <w:left w:val="nil"/>
              <w:bottom w:val="single" w:color="auto" w:sz="4" w:space="0"/>
              <w:right w:val="nil"/>
            </w:tcBorders>
            <w:noWrap w:val="0"/>
            <w:vAlign w:val="bottom"/>
          </w:tcPr>
          <w:p w14:paraId="24B0AD9D">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　</w:t>
            </w:r>
          </w:p>
        </w:tc>
        <w:tc>
          <w:tcPr>
            <w:tcW w:w="4620" w:type="dxa"/>
            <w:gridSpan w:val="3"/>
            <w:tcBorders>
              <w:top w:val="nil"/>
              <w:left w:val="nil"/>
              <w:bottom w:val="single" w:color="auto" w:sz="4" w:space="0"/>
              <w:right w:val="single" w:color="000000" w:sz="4" w:space="0"/>
            </w:tcBorders>
            <w:noWrap w:val="0"/>
            <w:vAlign w:val="center"/>
          </w:tcPr>
          <w:p w14:paraId="5692422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验收时间：       年     月     日</w:t>
            </w:r>
          </w:p>
        </w:tc>
      </w:tr>
      <w:tr w14:paraId="395C0403">
        <w:tblPrEx>
          <w:tblCellMar>
            <w:top w:w="0" w:type="dxa"/>
            <w:left w:w="108" w:type="dxa"/>
            <w:bottom w:w="0" w:type="dxa"/>
            <w:right w:w="108" w:type="dxa"/>
          </w:tblCellMar>
        </w:tblPrEx>
        <w:trPr>
          <w:trHeight w:val="345" w:hRule="atLeast"/>
          <w:jc w:val="center"/>
        </w:trPr>
        <w:tc>
          <w:tcPr>
            <w:tcW w:w="14080" w:type="dxa"/>
            <w:gridSpan w:val="5"/>
            <w:tcBorders>
              <w:top w:val="single" w:color="auto" w:sz="4" w:space="0"/>
              <w:left w:val="nil"/>
              <w:bottom w:val="nil"/>
              <w:right w:val="nil"/>
            </w:tcBorders>
            <w:noWrap w:val="0"/>
            <w:vAlign w:val="center"/>
          </w:tcPr>
          <w:p w14:paraId="2981A8DB">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val="0"/>
                <w:bCs/>
                <w:color w:val="auto"/>
                <w:kern w:val="0"/>
                <w:sz w:val="24"/>
              </w:rPr>
            </w:pPr>
            <w:r>
              <w:rPr>
                <w:rFonts w:hint="eastAsia" w:ascii="宋体" w:hAnsi="宋体" w:eastAsia="宋体" w:cs="宋体"/>
                <w:b w:val="0"/>
                <w:bCs/>
                <w:color w:val="auto"/>
                <w:kern w:val="0"/>
                <w:sz w:val="24"/>
              </w:rPr>
              <w:t>本单一式四联：第一联</w:t>
            </w:r>
            <w:r>
              <w:rPr>
                <w:rFonts w:hint="eastAsia" w:ascii="宋体" w:hAnsi="宋体" w:eastAsia="宋体" w:cs="宋体"/>
                <w:b w:val="0"/>
                <w:bCs/>
                <w:color w:val="auto"/>
                <w:kern w:val="0"/>
                <w:sz w:val="24"/>
                <w:lang w:eastAsia="zh-CN"/>
              </w:rPr>
              <w:t>采购人</w:t>
            </w:r>
            <w:r>
              <w:rPr>
                <w:rFonts w:hint="eastAsia" w:ascii="宋体" w:hAnsi="宋体" w:eastAsia="宋体" w:cs="宋体"/>
                <w:b w:val="0"/>
                <w:bCs/>
                <w:color w:val="auto"/>
                <w:kern w:val="0"/>
                <w:sz w:val="24"/>
              </w:rPr>
              <w:t>留存，第二联作为财政支付凭证，第三联供货单位留存，第四联采购办存档备案。</w:t>
            </w:r>
          </w:p>
        </w:tc>
      </w:tr>
    </w:tbl>
    <w:p w14:paraId="57DA389B">
      <w:pPr>
        <w:pStyle w:val="66"/>
        <w:keepNext w:val="0"/>
        <w:keepLines w:val="0"/>
        <w:pageBreakBefore w:val="0"/>
        <w:widowControl w:val="0"/>
        <w:kinsoku/>
        <w:wordWrap w:val="0"/>
        <w:overflowPunct/>
        <w:topLinePunct/>
        <w:autoSpaceDE/>
        <w:autoSpaceDN/>
        <w:bidi w:val="0"/>
        <w:adjustRightInd/>
        <w:snapToGrid/>
        <w:spacing w:after="0"/>
        <w:ind w:left="0" w:leftChars="0" w:right="0" w:firstLine="0" w:firstLineChars="0"/>
        <w:rPr>
          <w:rFonts w:hint="eastAsia" w:ascii="宋体" w:hAnsi="宋体" w:eastAsia="宋体" w:cs="宋体"/>
          <w:color w:val="auto"/>
          <w:lang w:eastAsia="zh-CN"/>
        </w:rPr>
        <w:sectPr>
          <w:pgSz w:w="16838" w:h="11906" w:orient="landscape"/>
          <w:pgMar w:top="1440" w:right="1080" w:bottom="1440" w:left="1080" w:header="340" w:footer="850" w:gutter="0"/>
          <w:pgNumType w:fmt="decimal"/>
          <w:cols w:space="720" w:num="1"/>
          <w:titlePg/>
          <w:rtlGutter w:val="0"/>
          <w:docGrid w:linePitch="299" w:charSpace="0"/>
        </w:sectPr>
      </w:pPr>
    </w:p>
    <w:p w14:paraId="0275FB1A">
      <w:pPr>
        <w:pStyle w:val="28"/>
        <w:keepNext w:val="0"/>
        <w:keepLines w:val="0"/>
        <w:pageBreakBefore w:val="0"/>
        <w:widowControl w:val="0"/>
        <w:kinsoku/>
        <w:wordWrap w:val="0"/>
        <w:overflowPunct/>
        <w:topLinePunct/>
        <w:autoSpaceDE/>
        <w:autoSpaceDN/>
        <w:bidi w:val="0"/>
        <w:adjustRightInd/>
        <w:snapToGrid/>
        <w:ind w:left="0" w:leftChars="0" w:right="0"/>
        <w:jc w:val="center"/>
        <w:rPr>
          <w:rStyle w:val="89"/>
          <w:rFonts w:hint="eastAsia" w:ascii="宋体" w:hAnsi="宋体" w:eastAsia="宋体" w:cs="宋体"/>
          <w:color w:val="auto"/>
          <w:lang w:eastAsia="zh-CN"/>
        </w:rPr>
      </w:pPr>
      <w:bookmarkStart w:id="1252" w:name="_Toc3828"/>
      <w:r>
        <w:rPr>
          <w:rStyle w:val="89"/>
          <w:rFonts w:hint="eastAsia" w:ascii="宋体" w:hAnsi="宋体" w:eastAsia="宋体" w:cs="宋体"/>
          <w:color w:val="auto"/>
          <w:lang w:eastAsia="zh-CN"/>
        </w:rPr>
        <w:t>第六章</w:t>
      </w:r>
      <w:r>
        <w:rPr>
          <w:rStyle w:val="89"/>
          <w:rFonts w:hint="eastAsia" w:ascii="宋体" w:hAnsi="宋体" w:eastAsia="宋体" w:cs="宋体"/>
          <w:color w:val="auto"/>
          <w:lang w:val="en-US" w:eastAsia="zh-CN"/>
        </w:rPr>
        <w:t xml:space="preserve"> </w:t>
      </w:r>
      <w:r>
        <w:rPr>
          <w:rStyle w:val="89"/>
          <w:rFonts w:hint="eastAsia" w:ascii="宋体" w:hAnsi="宋体" w:eastAsia="宋体" w:cs="宋体"/>
          <w:color w:val="auto"/>
          <w:lang w:eastAsia="zh-CN"/>
        </w:rPr>
        <w:t>投标文件格式</w:t>
      </w:r>
      <w:bookmarkEnd w:id="1205"/>
    </w:p>
    <w:bookmarkEnd w:id="1252"/>
    <w:p w14:paraId="20CDC40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b/>
          <w:color w:val="auto"/>
          <w:sz w:val="36"/>
          <w:szCs w:val="40"/>
          <w:lang w:eastAsia="zh-CN"/>
        </w:rPr>
      </w:pPr>
    </w:p>
    <w:p w14:paraId="134975ED">
      <w:pPr>
        <w:pStyle w:val="36"/>
        <w:keepNext w:val="0"/>
        <w:keepLines w:val="0"/>
        <w:pageBreakBefore w:val="0"/>
        <w:widowControl w:val="0"/>
        <w:kinsoku/>
        <w:wordWrap w:val="0"/>
        <w:overflowPunct/>
        <w:topLinePunct/>
        <w:autoSpaceDE/>
        <w:autoSpaceDN/>
        <w:bidi w:val="0"/>
        <w:adjustRightInd/>
        <w:snapToGrid/>
        <w:spacing w:line="480" w:lineRule="auto"/>
        <w:jc w:val="left"/>
        <w:textAlignment w:val="auto"/>
        <w:rPr>
          <w:rFonts w:hint="eastAsia" w:ascii="宋体" w:hAnsi="宋体" w:eastAsia="宋体" w:cs="宋体"/>
          <w:b/>
          <w:bCs w:val="0"/>
          <w:color w:val="auto"/>
          <w:sz w:val="24"/>
          <w:szCs w:val="24"/>
        </w:rPr>
      </w:pPr>
      <w:r>
        <w:rPr>
          <w:rFonts w:hint="eastAsia" w:hAnsi="宋体" w:cs="宋体"/>
          <w:b/>
          <w:bCs w:val="0"/>
          <w:color w:val="auto"/>
          <w:sz w:val="24"/>
          <w:szCs w:val="24"/>
          <w:lang w:val="en-US" w:eastAsia="zh-CN"/>
        </w:rPr>
        <w:t>供应商</w:t>
      </w:r>
      <w:r>
        <w:rPr>
          <w:rFonts w:hint="eastAsia" w:ascii="宋体" w:hAnsi="宋体" w:eastAsia="宋体" w:cs="宋体"/>
          <w:b/>
          <w:bCs w:val="0"/>
          <w:color w:val="auto"/>
          <w:sz w:val="24"/>
          <w:szCs w:val="24"/>
          <w:lang w:val="en-US" w:eastAsia="zh-CN"/>
        </w:rPr>
        <w:t xml:space="preserve">编制文件须知 </w:t>
      </w:r>
    </w:p>
    <w:p w14:paraId="468DF962">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bCs w:val="0"/>
          <w:color w:val="auto"/>
          <w:sz w:val="24"/>
          <w:szCs w:val="24"/>
          <w:u w:val="none"/>
        </w:rPr>
      </w:pPr>
      <w:r>
        <w:rPr>
          <w:rFonts w:hint="eastAsia" w:ascii="宋体" w:hAnsi="宋体" w:eastAsia="宋体" w:cs="宋体"/>
          <w:bCs/>
          <w:color w:val="auto"/>
          <w:sz w:val="24"/>
          <w:szCs w:val="24"/>
          <w:lang w:val="en-US" w:eastAsia="zh-CN"/>
        </w:rPr>
        <w:t>1.</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按照本部分的顺序编制投标文件，编制中涉及格式资料的，应按照本部分提供的内容和格式（所有表格的格式可扩展）填写提交。</w:t>
      </w:r>
      <w:r>
        <w:rPr>
          <w:rFonts w:hint="eastAsia" w:ascii="宋体" w:hAnsi="宋体" w:eastAsia="宋体" w:cs="宋体"/>
          <w:b/>
          <w:bCs w:val="0"/>
          <w:color w:val="auto"/>
          <w:sz w:val="24"/>
          <w:szCs w:val="24"/>
          <w:u w:val="none"/>
          <w:lang w:val="en-US" w:eastAsia="zh-CN"/>
        </w:rPr>
        <w:t>投标文件封面、目录为非实质性要求，无需制作电子文件上传至政采云平台，仅限成交</w:t>
      </w:r>
      <w:r>
        <w:rPr>
          <w:rFonts w:hint="eastAsia" w:hAnsi="宋体" w:cs="宋体"/>
          <w:b/>
          <w:bCs w:val="0"/>
          <w:color w:val="auto"/>
          <w:sz w:val="24"/>
          <w:szCs w:val="24"/>
          <w:u w:val="none"/>
          <w:lang w:val="en-US" w:eastAsia="zh-CN"/>
        </w:rPr>
        <w:t>供应商</w:t>
      </w:r>
      <w:r>
        <w:rPr>
          <w:rFonts w:hint="eastAsia" w:ascii="宋体" w:hAnsi="宋体" w:eastAsia="宋体" w:cs="宋体"/>
          <w:b/>
          <w:bCs w:val="0"/>
          <w:color w:val="auto"/>
          <w:sz w:val="24"/>
          <w:szCs w:val="24"/>
          <w:u w:val="none"/>
          <w:lang w:val="en-US" w:eastAsia="zh-CN"/>
        </w:rPr>
        <w:t xml:space="preserve">在签订合同时提交纸质投标文件时按顺序编制用。 </w:t>
      </w:r>
    </w:p>
    <w:p w14:paraId="37B78786">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2.对于招标文件中标记了“实质性格式”文件的，</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val="0"/>
          <w:color w:val="auto"/>
          <w:sz w:val="24"/>
          <w:szCs w:val="24"/>
          <w:lang w:val="en-US" w:eastAsia="zh-CN"/>
        </w:rPr>
        <w:t>响应无效</w:t>
      </w:r>
      <w:r>
        <w:rPr>
          <w:rFonts w:hint="eastAsia" w:ascii="宋体" w:hAnsi="宋体" w:eastAsia="宋体" w:cs="宋体"/>
          <w:bCs/>
          <w:color w:val="auto"/>
          <w:sz w:val="24"/>
          <w:szCs w:val="24"/>
          <w:lang w:val="en-US" w:eastAsia="zh-CN"/>
        </w:rPr>
        <w:t>。未标记“实质性格式”的文件和招标文件未提供格式的内容，可由</w:t>
      </w:r>
      <w:r>
        <w:rPr>
          <w:rFonts w:hint="eastAsia" w:hAnsi="宋体" w:cs="宋体"/>
          <w:bCs/>
          <w:color w:val="auto"/>
          <w:sz w:val="24"/>
          <w:szCs w:val="24"/>
          <w:lang w:val="en-US" w:eastAsia="zh-CN"/>
        </w:rPr>
        <w:t>供应商</w:t>
      </w:r>
      <w:r>
        <w:rPr>
          <w:rFonts w:hint="eastAsia" w:ascii="宋体" w:hAnsi="宋体" w:eastAsia="宋体" w:cs="宋体"/>
          <w:bCs/>
          <w:color w:val="auto"/>
          <w:sz w:val="24"/>
          <w:szCs w:val="24"/>
          <w:lang w:val="en-US" w:eastAsia="zh-CN"/>
        </w:rPr>
        <w:t xml:space="preserve">自行编写。 </w:t>
      </w:r>
    </w:p>
    <w:p w14:paraId="137B6611">
      <w:pPr>
        <w:pStyle w:val="36"/>
        <w:keepNext w:val="0"/>
        <w:keepLines w:val="0"/>
        <w:pageBreakBefore w:val="0"/>
        <w:widowControl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b/>
          <w:color w:val="auto"/>
          <w:sz w:val="40"/>
          <w:szCs w:val="40"/>
          <w:lang w:eastAsia="zh-CN"/>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bCs/>
          <w:color w:val="auto"/>
          <w:sz w:val="24"/>
          <w:szCs w:val="24"/>
          <w:lang w:val="en-US" w:eastAsia="zh-CN"/>
        </w:rPr>
        <w:t>3.全部声明和问题的回答及所附材料必须是真实的、准确的和完整的。</w:t>
      </w:r>
    </w:p>
    <w:p w14:paraId="77660ADA">
      <w:pPr>
        <w:widowControl w:val="0"/>
        <w:wordWrap w:val="0"/>
        <w:spacing w:line="360" w:lineRule="auto"/>
        <w:jc w:val="left"/>
        <w:rPr>
          <w:rFonts w:hint="eastAsia"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封面格式：</w:t>
      </w:r>
    </w:p>
    <w:p w14:paraId="4B952F0F">
      <w:pPr>
        <w:widowControl w:val="0"/>
        <w:wordWrap w:val="0"/>
        <w:spacing w:line="360" w:lineRule="auto"/>
        <w:jc w:val="center"/>
        <w:rPr>
          <w:rFonts w:hint="eastAsia" w:ascii="宋体" w:hAnsi="宋体" w:eastAsia="宋体" w:cs="宋体"/>
          <w:b/>
          <w:color w:val="auto"/>
          <w:kern w:val="2"/>
          <w:sz w:val="44"/>
          <w:szCs w:val="48"/>
          <w:lang w:val="en-US" w:eastAsia="zh-CN" w:bidi="ar-SA"/>
        </w:rPr>
      </w:pPr>
    </w:p>
    <w:p w14:paraId="76C28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r>
        <w:rPr>
          <w:rFonts w:hint="eastAsia" w:hAnsi="宋体" w:eastAsia="宋体" w:cs="宋体"/>
          <w:b/>
          <w:color w:val="auto"/>
          <w:sz w:val="44"/>
          <w:szCs w:val="48"/>
          <w:lang w:eastAsia="zh-CN"/>
        </w:rPr>
        <w:t>南华县人民医院病理科设备采购项目</w:t>
      </w:r>
    </w:p>
    <w:p w14:paraId="3D69EAC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6"/>
          <w:szCs w:val="40"/>
          <w:lang w:eastAsia="zh-CN"/>
        </w:rPr>
      </w:pPr>
    </w:p>
    <w:p w14:paraId="16EBA3F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40"/>
          <w:szCs w:val="44"/>
          <w:lang w:eastAsia="zh-CN"/>
        </w:rPr>
      </w:pPr>
    </w:p>
    <w:p w14:paraId="2E4F76B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40"/>
          <w:szCs w:val="44"/>
          <w:lang w:eastAsia="zh-CN"/>
        </w:rPr>
      </w:pPr>
    </w:p>
    <w:p w14:paraId="60A51AFE">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34D0B502">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宋体" w:hAnsi="宋体" w:eastAsia="宋体" w:cs="宋体"/>
          <w:b/>
          <w:color w:val="auto"/>
          <w:sz w:val="36"/>
          <w:szCs w:val="36"/>
          <w:lang w:val="en-US" w:eastAsia="zh-CN"/>
        </w:rPr>
      </w:pPr>
      <w:r>
        <w:rPr>
          <w:rFonts w:hint="eastAsia" w:ascii="宋体" w:hAnsi="宋体" w:eastAsia="宋体" w:cs="宋体"/>
          <w:b/>
          <w:color w:val="auto"/>
          <w:spacing w:val="-1"/>
          <w:sz w:val="36"/>
          <w:szCs w:val="36"/>
          <w:lang w:val="zh-CN" w:eastAsia="zh-CN"/>
        </w:rPr>
        <w:t>项目编号</w:t>
      </w:r>
      <w:r>
        <w:rPr>
          <w:rFonts w:hint="eastAsia" w:ascii="宋体" w:hAnsi="宋体" w:eastAsia="宋体" w:cs="宋体"/>
          <w:b/>
          <w:color w:val="auto"/>
          <w:spacing w:val="-1"/>
          <w:sz w:val="36"/>
          <w:szCs w:val="36"/>
          <w:lang w:eastAsia="zh-CN"/>
        </w:rPr>
        <w:t>：</w:t>
      </w:r>
      <w:r>
        <w:rPr>
          <w:rFonts w:hint="eastAsia" w:ascii="宋体" w:hAnsi="宋体" w:eastAsia="宋体" w:cs="宋体"/>
          <w:b/>
          <w:color w:val="auto"/>
          <w:spacing w:val="-1"/>
          <w:sz w:val="36"/>
          <w:szCs w:val="36"/>
          <w:u w:val="single"/>
          <w:lang w:val="en-US" w:eastAsia="zh-CN"/>
        </w:rPr>
        <w:t xml:space="preserve">              </w:t>
      </w:r>
    </w:p>
    <w:p w14:paraId="20641018">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宋体" w:hAnsi="宋体" w:eastAsia="宋体" w:cs="宋体"/>
          <w:b/>
          <w:color w:val="auto"/>
          <w:sz w:val="40"/>
          <w:szCs w:val="44"/>
          <w:lang w:eastAsia="zh-CN"/>
        </w:rPr>
      </w:pPr>
      <w:r>
        <w:rPr>
          <w:rFonts w:hint="eastAsia" w:ascii="宋体" w:hAnsi="宋体" w:eastAsia="宋体" w:cs="宋体"/>
          <w:b/>
          <w:color w:val="auto"/>
          <w:spacing w:val="-1"/>
          <w:sz w:val="36"/>
          <w:szCs w:val="36"/>
          <w:lang w:val="en-US" w:eastAsia="zh-CN"/>
        </w:rPr>
        <w:t xml:space="preserve">   </w:t>
      </w:r>
    </w:p>
    <w:p w14:paraId="0255758A">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宋体" w:hAnsi="宋体" w:eastAsia="宋体" w:cs="宋体"/>
          <w:b/>
          <w:color w:val="auto"/>
          <w:sz w:val="40"/>
          <w:szCs w:val="44"/>
          <w:lang w:eastAsia="zh-CN"/>
        </w:rPr>
      </w:pPr>
    </w:p>
    <w:p w14:paraId="40FAAB5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sz w:val="72"/>
          <w:szCs w:val="28"/>
          <w:lang w:eastAsia="zh-CN"/>
        </w:rPr>
      </w:pPr>
      <w:r>
        <w:rPr>
          <w:rFonts w:hint="eastAsia" w:ascii="宋体" w:hAnsi="宋体" w:eastAsia="宋体" w:cs="宋体"/>
          <w:b/>
          <w:bCs/>
          <w:color w:val="auto"/>
          <w:sz w:val="72"/>
          <w:szCs w:val="28"/>
          <w:lang w:eastAsia="zh-CN"/>
        </w:rPr>
        <w:t>投 标 文 件</w:t>
      </w:r>
    </w:p>
    <w:p w14:paraId="5F4BDB1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0B7BE79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40"/>
          <w:szCs w:val="44"/>
          <w:lang w:eastAsia="zh-CN"/>
        </w:rPr>
      </w:pPr>
    </w:p>
    <w:p w14:paraId="4E262414">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54A5180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lang w:eastAsia="zh-CN"/>
        </w:rPr>
      </w:pPr>
    </w:p>
    <w:p w14:paraId="4E95AC99">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3016BC08">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宋体" w:hAnsi="宋体" w:eastAsia="宋体" w:cs="宋体"/>
          <w:b/>
          <w:color w:val="auto"/>
          <w:sz w:val="24"/>
          <w:szCs w:val="28"/>
          <w:lang w:eastAsia="zh-CN"/>
        </w:rPr>
      </w:pPr>
    </w:p>
    <w:p w14:paraId="2634F58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lang w:eastAsia="zh-CN"/>
        </w:rPr>
      </w:pPr>
      <w:r>
        <w:rPr>
          <w:rFonts w:hint="eastAsia" w:ascii="宋体" w:hAnsi="宋体" w:eastAsia="宋体" w:cs="宋体"/>
          <w:b/>
          <w:color w:val="auto"/>
          <w:sz w:val="24"/>
          <w:szCs w:val="28"/>
          <w:lang w:eastAsia="zh-CN"/>
        </w:rPr>
        <w:t>供应商：</w:t>
      </w:r>
      <w:r>
        <w:rPr>
          <w:rFonts w:hint="eastAsia" w:ascii="宋体" w:hAnsi="宋体" w:eastAsia="宋体" w:cs="宋体"/>
          <w:b/>
          <w:color w:val="auto"/>
          <w:sz w:val="24"/>
          <w:szCs w:val="28"/>
          <w:u w:val="single"/>
          <w:lang w:val="en-US" w:eastAsia="zh-CN"/>
        </w:rPr>
        <w:t xml:space="preserve">                                </w:t>
      </w:r>
      <w:r>
        <w:rPr>
          <w:rFonts w:hint="eastAsia" w:ascii="宋体" w:hAnsi="宋体" w:eastAsia="宋体" w:cs="宋体"/>
          <w:b/>
          <w:color w:val="auto"/>
          <w:sz w:val="24"/>
          <w:szCs w:val="28"/>
          <w:lang w:eastAsia="zh-CN"/>
        </w:rPr>
        <w:t>（电子公章）</w:t>
      </w:r>
    </w:p>
    <w:p w14:paraId="7D792F3F">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宋体" w:hAnsi="宋体" w:eastAsia="宋体" w:cs="宋体"/>
          <w:b/>
          <w:color w:val="auto"/>
          <w:spacing w:val="-1"/>
          <w:sz w:val="24"/>
          <w:szCs w:val="28"/>
          <w:lang w:eastAsia="zh-CN"/>
        </w:rPr>
      </w:pPr>
    </w:p>
    <w:p w14:paraId="3A0A624F">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pacing w:val="-1"/>
          <w:sz w:val="24"/>
          <w:szCs w:val="28"/>
          <w:lang w:eastAsia="zh-CN"/>
        </w:rPr>
      </w:pPr>
      <w:r>
        <w:rPr>
          <w:rFonts w:hint="eastAsia" w:ascii="宋体" w:hAnsi="宋体" w:eastAsia="宋体" w:cs="宋体"/>
          <w:b/>
          <w:color w:val="auto"/>
          <w:spacing w:val="-1"/>
          <w:sz w:val="24"/>
          <w:szCs w:val="28"/>
          <w:lang w:eastAsia="zh-CN"/>
        </w:rPr>
        <w:t>法定代表人或其委托代理人：</w:t>
      </w:r>
      <w:r>
        <w:rPr>
          <w:rFonts w:hint="eastAsia" w:ascii="宋体" w:hAnsi="宋体" w:eastAsia="宋体" w:cs="宋体"/>
          <w:b/>
          <w:color w:val="auto"/>
          <w:spacing w:val="-1"/>
          <w:sz w:val="24"/>
          <w:szCs w:val="28"/>
          <w:u w:val="single"/>
          <w:lang w:val="en-US" w:eastAsia="zh-CN"/>
        </w:rPr>
        <w:t xml:space="preserve">              </w:t>
      </w:r>
      <w:r>
        <w:rPr>
          <w:rFonts w:hint="eastAsia" w:ascii="宋体" w:hAnsi="宋体" w:eastAsia="宋体" w:cs="宋体"/>
          <w:b/>
          <w:color w:val="auto"/>
          <w:spacing w:val="-1"/>
          <w:sz w:val="24"/>
          <w:szCs w:val="28"/>
          <w:lang w:eastAsia="zh-CN"/>
        </w:rPr>
        <w:t>（电子签名）</w:t>
      </w:r>
    </w:p>
    <w:p w14:paraId="5747DFF0">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color w:val="auto"/>
          <w:sz w:val="24"/>
          <w:szCs w:val="28"/>
          <w:u w:val="none" w:color="auto"/>
          <w:lang w:val="en-US" w:eastAsia="zh-CN"/>
        </w:rPr>
      </w:pPr>
    </w:p>
    <w:p w14:paraId="012FFE9C">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1"/>
          <w:lang w:eastAsia="zh-CN"/>
        </w:rPr>
        <w:sectPr>
          <w:pgSz w:w="11906" w:h="16838"/>
          <w:pgMar w:top="1440" w:right="1080" w:bottom="1440" w:left="1080" w:header="340" w:footer="596" w:gutter="0"/>
          <w:pgNumType w:fmt="decimal"/>
          <w:cols w:space="720" w:num="1"/>
          <w:titlePg/>
          <w:rtlGutter w:val="0"/>
          <w:docGrid w:linePitch="299" w:charSpace="0"/>
        </w:sectPr>
      </w:pPr>
      <w:r>
        <w:rPr>
          <w:rFonts w:hint="eastAsia" w:ascii="宋体" w:hAnsi="宋体" w:eastAsia="宋体" w:cs="宋体"/>
          <w:b/>
          <w:color w:val="auto"/>
          <w:sz w:val="24"/>
          <w:szCs w:val="28"/>
          <w:u w:val="none" w:color="auto"/>
          <w:lang w:val="en-US" w:eastAsia="zh-CN"/>
        </w:rPr>
        <w:t>日期：</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年</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月</w:t>
      </w:r>
      <w:r>
        <w:rPr>
          <w:rFonts w:hint="eastAsia" w:ascii="宋体" w:hAnsi="宋体" w:eastAsia="宋体" w:cs="宋体"/>
          <w:b/>
          <w:color w:val="auto"/>
          <w:sz w:val="24"/>
          <w:szCs w:val="28"/>
          <w:u w:val="single" w:color="auto"/>
          <w:lang w:val="en-US" w:eastAsia="zh-CN"/>
        </w:rPr>
        <w:t xml:space="preserve">     </w:t>
      </w:r>
      <w:r>
        <w:rPr>
          <w:rFonts w:hint="eastAsia" w:ascii="宋体" w:hAnsi="宋体" w:eastAsia="宋体" w:cs="宋体"/>
          <w:b/>
          <w:color w:val="auto"/>
          <w:sz w:val="24"/>
          <w:szCs w:val="28"/>
          <w:lang w:eastAsia="zh-CN"/>
        </w:rPr>
        <w:t>日</w:t>
      </w:r>
      <w:bookmarkStart w:id="1253" w:name="_Toc10117026"/>
      <w:bookmarkStart w:id="1254" w:name="_Toc486584248"/>
      <w:bookmarkStart w:id="1255" w:name="_Toc451856213"/>
      <w:bookmarkStart w:id="1256" w:name="_Toc389644551"/>
      <w:bookmarkStart w:id="1257" w:name="_Toc520749005"/>
      <w:bookmarkStart w:id="1258" w:name="_Toc145164057"/>
      <w:bookmarkStart w:id="1259" w:name="_Toc529957200"/>
      <w:bookmarkStart w:id="1260" w:name="_Toc450064600"/>
    </w:p>
    <w:bookmarkEnd w:id="1253"/>
    <w:bookmarkEnd w:id="1254"/>
    <w:bookmarkEnd w:id="1255"/>
    <w:bookmarkEnd w:id="1256"/>
    <w:bookmarkEnd w:id="1257"/>
    <w:bookmarkEnd w:id="1258"/>
    <w:bookmarkEnd w:id="1259"/>
    <w:bookmarkEnd w:id="1260"/>
    <w:p w14:paraId="343769EA">
      <w:pPr>
        <w:keepNext w:val="0"/>
        <w:keepLines w:val="0"/>
        <w:pageBreakBefore w:val="0"/>
        <w:widowControl w:val="0"/>
        <w:kinsoku/>
        <w:wordWrap w:val="0"/>
        <w:overflowPunct/>
        <w:topLinePunct/>
        <w:autoSpaceDE/>
        <w:autoSpaceDN/>
        <w:bidi w:val="0"/>
        <w:adjustRightInd/>
        <w:snapToGrid/>
        <w:spacing w:before="0" w:after="0"/>
        <w:ind w:left="0" w:leftChars="0" w:right="0"/>
        <w:jc w:val="center"/>
        <w:outlineLvl w:val="1"/>
        <w:rPr>
          <w:rFonts w:hint="eastAsia" w:ascii="宋体" w:hAnsi="宋体" w:eastAsia="宋体" w:cs="宋体"/>
          <w:b/>
          <w:color w:val="auto"/>
          <w:sz w:val="32"/>
          <w:szCs w:val="32"/>
          <w:lang w:val="en-US" w:eastAsia="zh-CN" w:bidi="ar-SA"/>
        </w:rPr>
      </w:pPr>
      <w:bookmarkStart w:id="1261" w:name="_Toc10117027"/>
      <w:bookmarkStart w:id="1262" w:name="_Toc9744"/>
      <w:bookmarkStart w:id="1263" w:name="_Toc520749006"/>
      <w:bookmarkStart w:id="1264" w:name="_Toc8694"/>
      <w:r>
        <w:rPr>
          <w:rFonts w:hint="eastAsia" w:ascii="宋体" w:hAnsi="宋体" w:eastAsia="宋体" w:cs="宋体"/>
          <w:b/>
          <w:color w:val="auto"/>
          <w:sz w:val="44"/>
          <w:szCs w:val="44"/>
          <w:lang w:val="en-US" w:eastAsia="zh-CN" w:bidi="ar-SA"/>
        </w:rPr>
        <w:t>资格审查部分</w:t>
      </w:r>
      <w:bookmarkEnd w:id="1261"/>
      <w:bookmarkEnd w:id="1262"/>
      <w:bookmarkEnd w:id="1263"/>
      <w:bookmarkEnd w:id="1264"/>
      <w:bookmarkStart w:id="1265" w:name="_Toc12446"/>
      <w:bookmarkStart w:id="1266" w:name="_Toc11975"/>
      <w:bookmarkStart w:id="1267" w:name="_Toc16060"/>
      <w:bookmarkStart w:id="1268" w:name="_Toc21991"/>
      <w:bookmarkStart w:id="1269" w:name="_Toc12779"/>
      <w:bookmarkStart w:id="1270" w:name="_Toc4306"/>
      <w:bookmarkStart w:id="1271" w:name="_Toc30229"/>
      <w:bookmarkStart w:id="1272" w:name="_Toc10812"/>
      <w:bookmarkStart w:id="1273" w:name="_Toc30478"/>
      <w:bookmarkStart w:id="1274" w:name="_Toc14819"/>
      <w:bookmarkStart w:id="1275" w:name="_Toc20556"/>
      <w:bookmarkStart w:id="1276" w:name="_Toc145164058"/>
      <w:bookmarkStart w:id="1277" w:name="_Toc17869"/>
    </w:p>
    <w:bookmarkEnd w:id="1265"/>
    <w:bookmarkEnd w:id="1266"/>
    <w:bookmarkEnd w:id="1267"/>
    <w:bookmarkEnd w:id="1268"/>
    <w:bookmarkEnd w:id="1269"/>
    <w:bookmarkEnd w:id="1270"/>
    <w:bookmarkEnd w:id="1271"/>
    <w:bookmarkEnd w:id="1272"/>
    <w:bookmarkEnd w:id="1273"/>
    <w:bookmarkEnd w:id="1274"/>
    <w:bookmarkEnd w:id="1275"/>
    <w:bookmarkEnd w:id="1276"/>
    <w:bookmarkEnd w:id="1277"/>
    <w:p w14:paraId="1710D2C2">
      <w:pPr>
        <w:widowControl w:val="0"/>
        <w:numPr>
          <w:ilvl w:val="0"/>
          <w:numId w:val="0"/>
        </w:numPr>
        <w:tabs>
          <w:tab w:val="left" w:pos="900"/>
          <w:tab w:val="left" w:pos="1588"/>
        </w:tabs>
        <w:wordWrap w:val="0"/>
        <w:overflowPunct w:val="0"/>
        <w:topLinePunct/>
        <w:adjustRightInd/>
        <w:ind w:left="0" w:leftChars="0" w:firstLine="0" w:firstLineChars="0"/>
        <w:jc w:val="center"/>
        <w:outlineLvl w:val="2"/>
        <w:rPr>
          <w:rFonts w:hint="eastAsia" w:ascii="宋体" w:hAnsi="宋体" w:eastAsia="宋体" w:cs="宋体"/>
          <w:b/>
          <w:bCs/>
          <w:color w:val="auto"/>
          <w:sz w:val="28"/>
          <w:szCs w:val="28"/>
          <w:lang w:val="en-US" w:eastAsia="en-US" w:bidi="ar-SA"/>
        </w:rPr>
      </w:pPr>
      <w:bookmarkStart w:id="1278" w:name="_Toc25187"/>
      <w:bookmarkStart w:id="1279" w:name="_Toc9112"/>
      <w:bookmarkStart w:id="1280" w:name="_Toc8669"/>
      <w:bookmarkStart w:id="1281" w:name="_Toc9399"/>
      <w:bookmarkStart w:id="1282" w:name="_Toc12367"/>
      <w:bookmarkStart w:id="1283" w:name="_Toc21495"/>
      <w:bookmarkStart w:id="1284" w:name="_Toc485"/>
      <w:bookmarkStart w:id="1285" w:name="_Toc17095"/>
      <w:bookmarkStart w:id="1286" w:name="_Toc28205"/>
      <w:bookmarkStart w:id="1287" w:name="_Toc29724"/>
      <w:bookmarkStart w:id="1288" w:name="_Toc17112"/>
      <w:bookmarkStart w:id="1289" w:name="_Toc24304"/>
      <w:bookmarkStart w:id="1290" w:name="_Toc11495"/>
      <w:bookmarkStart w:id="1291" w:name="_Toc7165"/>
      <w:bookmarkStart w:id="1292" w:name="_Toc28803"/>
      <w:bookmarkStart w:id="1293" w:name="_Toc32506"/>
      <w:bookmarkStart w:id="1294" w:name="_Toc16314"/>
      <w:bookmarkStart w:id="1295" w:name="_Toc6430"/>
      <w:bookmarkStart w:id="1296" w:name="_Toc27820"/>
      <w:bookmarkStart w:id="1297" w:name="_Toc8362"/>
      <w:bookmarkStart w:id="1298" w:name="_Toc520749007"/>
      <w:bookmarkStart w:id="1299" w:name="_Toc89951837"/>
      <w:bookmarkStart w:id="1300" w:name="_Toc8243"/>
      <w:bookmarkStart w:id="1301" w:name="_Toc29111"/>
      <w:bookmarkStart w:id="1302" w:name="_Toc14046"/>
      <w:bookmarkStart w:id="1303" w:name="_Toc13388"/>
      <w:bookmarkStart w:id="1304" w:name="_Toc10117028"/>
      <w:bookmarkStart w:id="1305" w:name="_Toc25201"/>
      <w:bookmarkStart w:id="1306" w:name="_Toc25485"/>
      <w:bookmarkStart w:id="1307" w:name="_Toc2489"/>
      <w:r>
        <w:rPr>
          <w:rFonts w:hint="eastAsia" w:ascii="宋体" w:hAnsi="宋体" w:eastAsia="宋体" w:cs="宋体"/>
          <w:b/>
          <w:bCs/>
          <w:color w:val="auto"/>
          <w:kern w:val="0"/>
          <w:sz w:val="28"/>
          <w:szCs w:val="28"/>
          <w:lang w:val="en-US" w:eastAsia="zh-CN" w:bidi="ar-SA"/>
        </w:rPr>
        <w:t>一、</w:t>
      </w:r>
      <w:r>
        <w:rPr>
          <w:rFonts w:hint="eastAsia" w:ascii="宋体" w:hAnsi="宋体" w:eastAsia="宋体" w:cs="宋体"/>
          <w:b/>
          <w:bCs/>
          <w:color w:val="auto"/>
          <w:sz w:val="28"/>
          <w:szCs w:val="28"/>
          <w:lang w:val="en-US" w:eastAsia="en-US" w:bidi="ar-SA"/>
        </w:rPr>
        <w:t>具有独立承担民事责任的能力</w:t>
      </w:r>
      <w:bookmarkEnd w:id="1278"/>
      <w:bookmarkEnd w:id="1279"/>
      <w:bookmarkEnd w:id="1280"/>
      <w:bookmarkEnd w:id="1281"/>
      <w:bookmarkEnd w:id="1282"/>
      <w:r>
        <w:rPr>
          <w:rFonts w:hint="eastAsia" w:ascii="宋体" w:hAnsi="宋体" w:eastAsia="宋体" w:cs="宋体"/>
          <w:b/>
          <w:bCs/>
          <w:color w:val="auto"/>
          <w:sz w:val="28"/>
          <w:szCs w:val="28"/>
          <w:lang w:val="en-US" w:eastAsia="zh-CN" w:bidi="ar-SA"/>
        </w:rPr>
        <w:t>（实质性格式）</w:t>
      </w:r>
      <w:bookmarkEnd w:id="1283"/>
      <w:r>
        <w:rPr>
          <w:rFonts w:hint="eastAsia" w:ascii="宋体" w:hAnsi="宋体" w:eastAsia="宋体" w:cs="宋体"/>
          <w:b/>
          <w:bCs/>
          <w:color w:val="auto"/>
          <w:sz w:val="28"/>
          <w:szCs w:val="28"/>
          <w:lang w:val="en-US" w:eastAsia="zh-CN" w:bidi="ar-SA"/>
        </w:rPr>
        <w:t xml:space="preserve"> </w:t>
      </w:r>
    </w:p>
    <w:p w14:paraId="42ACC3DF">
      <w:pPr>
        <w:widowControl w:val="0"/>
        <w:numPr>
          <w:ilvl w:val="0"/>
          <w:numId w:val="0"/>
        </w:numPr>
        <w:tabs>
          <w:tab w:val="left" w:pos="900"/>
          <w:tab w:val="left" w:pos="1588"/>
        </w:tabs>
        <w:wordWrap w:val="0"/>
        <w:overflowPunct w:val="0"/>
        <w:topLinePunct/>
        <w:adjustRightInd/>
        <w:ind w:left="100" w:leftChars="0"/>
        <w:jc w:val="center"/>
        <w:outlineLvl w:val="2"/>
        <w:rPr>
          <w:rFonts w:hint="eastAsia" w:ascii="宋体" w:hAnsi="宋体" w:eastAsia="宋体" w:cs="宋体"/>
          <w:b/>
          <w:bCs/>
          <w:color w:val="auto"/>
          <w:sz w:val="30"/>
          <w:szCs w:val="32"/>
          <w:lang w:val="en-US" w:eastAsia="en-US" w:bidi="ar-SA"/>
        </w:rPr>
      </w:pPr>
      <w:bookmarkStart w:id="1308" w:name="_Toc23360"/>
      <w:bookmarkStart w:id="1309" w:name="_Toc29767"/>
      <w:bookmarkStart w:id="1310" w:name="_Toc2516"/>
      <w:bookmarkStart w:id="1311" w:name="_Toc18023"/>
      <w:bookmarkStart w:id="1312" w:name="_Toc825"/>
      <w:bookmarkStart w:id="1313" w:name="_Toc331"/>
      <w:r>
        <w:rPr>
          <w:rFonts w:hint="eastAsia" w:ascii="宋体" w:hAnsi="宋体" w:eastAsia="宋体" w:cs="宋体"/>
          <w:b/>
          <w:bCs/>
          <w:color w:val="auto"/>
          <w:sz w:val="28"/>
          <w:szCs w:val="28"/>
          <w:lang w:val="en-US" w:eastAsia="zh-CN" w:bidi="ar-SA"/>
        </w:rPr>
        <w:t>（1）供应商</w:t>
      </w:r>
      <w:r>
        <w:rPr>
          <w:rFonts w:hint="eastAsia" w:ascii="宋体" w:hAnsi="宋体" w:eastAsia="宋体" w:cs="宋体"/>
          <w:b/>
          <w:bCs/>
          <w:color w:val="auto"/>
          <w:sz w:val="28"/>
          <w:szCs w:val="28"/>
          <w:lang w:val="en-US" w:eastAsia="en-US" w:bidi="ar-SA"/>
        </w:rPr>
        <w:t>基本情况表</w:t>
      </w:r>
      <w:bookmarkEnd w:id="1284"/>
      <w:bookmarkEnd w:id="1285"/>
      <w:bookmarkEnd w:id="1286"/>
      <w:bookmarkEnd w:id="1287"/>
      <w:bookmarkEnd w:id="1288"/>
      <w:bookmarkEnd w:id="1289"/>
      <w:bookmarkEnd w:id="1290"/>
      <w:bookmarkEnd w:id="1291"/>
      <w:bookmarkEnd w:id="1292"/>
      <w:bookmarkEnd w:id="1308"/>
      <w:bookmarkEnd w:id="1309"/>
      <w:bookmarkEnd w:id="1310"/>
      <w:bookmarkEnd w:id="1311"/>
      <w:bookmarkEnd w:id="1312"/>
      <w:bookmarkEnd w:id="1313"/>
    </w:p>
    <w:tbl>
      <w:tblPr>
        <w:tblStyle w:val="67"/>
        <w:tblW w:w="9179"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204"/>
        <w:gridCol w:w="981"/>
        <w:gridCol w:w="2506"/>
      </w:tblGrid>
      <w:tr w14:paraId="24DA6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noWrap w:val="0"/>
            <w:vAlign w:val="center"/>
          </w:tcPr>
          <w:p w14:paraId="0992DFB9">
            <w:pPr>
              <w:widowControl/>
              <w:spacing w:line="360" w:lineRule="auto"/>
              <w:jc w:val="center"/>
              <w:rPr>
                <w:rFonts w:hint="eastAsia" w:ascii="宋体" w:hAnsi="宋体" w:cs="宋体"/>
                <w:color w:val="auto"/>
                <w:szCs w:val="21"/>
              </w:rPr>
            </w:pPr>
            <w:r>
              <w:rPr>
                <w:rFonts w:hint="eastAsia" w:ascii="宋体" w:hAnsi="宋体" w:cs="宋体"/>
                <w:color w:val="auto"/>
                <w:szCs w:val="21"/>
              </w:rPr>
              <w:t>公司名称</w:t>
            </w:r>
          </w:p>
        </w:tc>
        <w:tc>
          <w:tcPr>
            <w:tcW w:w="6407" w:type="dxa"/>
            <w:gridSpan w:val="4"/>
            <w:tcBorders>
              <w:left w:val="single" w:color="auto" w:sz="4" w:space="0"/>
            </w:tcBorders>
            <w:noWrap w:val="0"/>
            <w:vAlign w:val="center"/>
          </w:tcPr>
          <w:p w14:paraId="1509AEE9">
            <w:pPr>
              <w:widowControl/>
              <w:spacing w:line="360" w:lineRule="auto"/>
              <w:jc w:val="left"/>
              <w:rPr>
                <w:rFonts w:hint="eastAsia" w:ascii="宋体" w:hAnsi="宋体" w:cs="宋体"/>
                <w:color w:val="auto"/>
                <w:szCs w:val="21"/>
              </w:rPr>
            </w:pPr>
          </w:p>
        </w:tc>
      </w:tr>
      <w:tr w14:paraId="4FA3F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noWrap w:val="0"/>
            <w:vAlign w:val="center"/>
          </w:tcPr>
          <w:p w14:paraId="029F0F1D">
            <w:pPr>
              <w:widowControl/>
              <w:spacing w:line="360" w:lineRule="auto"/>
              <w:jc w:val="center"/>
              <w:rPr>
                <w:rFonts w:hint="eastAsia" w:ascii="宋体" w:hAnsi="宋体" w:cs="宋体"/>
                <w:color w:val="auto"/>
                <w:szCs w:val="21"/>
              </w:rPr>
            </w:pPr>
            <w:r>
              <w:rPr>
                <w:rFonts w:hint="eastAsia" w:ascii="宋体" w:hAnsi="宋体" w:cs="宋体"/>
                <w:color w:val="auto"/>
                <w:szCs w:val="21"/>
              </w:rPr>
              <w:t>公司地址</w:t>
            </w:r>
          </w:p>
        </w:tc>
        <w:tc>
          <w:tcPr>
            <w:tcW w:w="6407" w:type="dxa"/>
            <w:gridSpan w:val="4"/>
            <w:tcBorders>
              <w:left w:val="single" w:color="auto" w:sz="4" w:space="0"/>
            </w:tcBorders>
            <w:noWrap w:val="0"/>
            <w:vAlign w:val="center"/>
          </w:tcPr>
          <w:p w14:paraId="6F593808">
            <w:pPr>
              <w:widowControl/>
              <w:spacing w:line="360" w:lineRule="auto"/>
              <w:jc w:val="center"/>
              <w:rPr>
                <w:rFonts w:hint="eastAsia" w:ascii="宋体" w:hAnsi="宋体" w:cs="宋体"/>
                <w:color w:val="auto"/>
                <w:szCs w:val="21"/>
              </w:rPr>
            </w:pPr>
          </w:p>
        </w:tc>
      </w:tr>
      <w:tr w14:paraId="7B53BC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noWrap w:val="0"/>
            <w:vAlign w:val="center"/>
          </w:tcPr>
          <w:p w14:paraId="2CB2B523">
            <w:pPr>
              <w:widowControl/>
              <w:spacing w:line="360" w:lineRule="auto"/>
              <w:jc w:val="center"/>
              <w:rPr>
                <w:rFonts w:hint="eastAsia" w:ascii="宋体" w:hAnsi="宋体" w:cs="宋体"/>
                <w:color w:val="auto"/>
                <w:szCs w:val="21"/>
              </w:rPr>
            </w:pPr>
            <w:r>
              <w:rPr>
                <w:rFonts w:hint="eastAsia" w:ascii="宋体" w:hAnsi="宋体" w:cs="宋体"/>
                <w:color w:val="auto"/>
                <w:szCs w:val="21"/>
              </w:rPr>
              <w:t>公司性质</w:t>
            </w:r>
          </w:p>
        </w:tc>
        <w:tc>
          <w:tcPr>
            <w:tcW w:w="1716" w:type="dxa"/>
            <w:tcBorders>
              <w:left w:val="single" w:color="auto" w:sz="4" w:space="0"/>
              <w:right w:val="single" w:color="auto" w:sz="4" w:space="0"/>
            </w:tcBorders>
            <w:noWrap w:val="0"/>
            <w:vAlign w:val="center"/>
          </w:tcPr>
          <w:p w14:paraId="082975D2">
            <w:pPr>
              <w:widowControl/>
              <w:spacing w:line="360" w:lineRule="auto"/>
              <w:jc w:val="center"/>
              <w:rPr>
                <w:rFonts w:hint="eastAsia" w:ascii="宋体" w:hAnsi="宋体" w:cs="宋体"/>
                <w:color w:val="auto"/>
                <w:szCs w:val="21"/>
              </w:rPr>
            </w:pPr>
          </w:p>
        </w:tc>
        <w:tc>
          <w:tcPr>
            <w:tcW w:w="2185" w:type="dxa"/>
            <w:gridSpan w:val="2"/>
            <w:tcBorders>
              <w:left w:val="single" w:color="auto" w:sz="4" w:space="0"/>
              <w:right w:val="single" w:color="auto" w:sz="4" w:space="0"/>
            </w:tcBorders>
            <w:noWrap w:val="0"/>
            <w:vAlign w:val="center"/>
          </w:tcPr>
          <w:p w14:paraId="6BEBDBF6">
            <w:pPr>
              <w:widowControl/>
              <w:spacing w:line="360" w:lineRule="auto"/>
              <w:jc w:val="center"/>
              <w:rPr>
                <w:rFonts w:hint="eastAsia" w:ascii="宋体" w:hAnsi="宋体" w:cs="宋体"/>
                <w:color w:val="auto"/>
                <w:szCs w:val="21"/>
              </w:rPr>
            </w:pPr>
            <w:r>
              <w:rPr>
                <w:rFonts w:hint="eastAsia" w:ascii="宋体" w:hAnsi="宋体" w:cs="宋体"/>
                <w:color w:val="auto"/>
                <w:szCs w:val="21"/>
              </w:rPr>
              <w:t>公司类型</w:t>
            </w:r>
          </w:p>
        </w:tc>
        <w:tc>
          <w:tcPr>
            <w:tcW w:w="2506" w:type="dxa"/>
            <w:tcBorders>
              <w:left w:val="single" w:color="auto" w:sz="4" w:space="0"/>
            </w:tcBorders>
            <w:noWrap w:val="0"/>
            <w:vAlign w:val="center"/>
          </w:tcPr>
          <w:p w14:paraId="13473F00">
            <w:pPr>
              <w:widowControl/>
              <w:spacing w:line="360" w:lineRule="auto"/>
              <w:jc w:val="center"/>
              <w:rPr>
                <w:rFonts w:hint="eastAsia" w:ascii="宋体" w:hAnsi="宋体" w:cs="宋体"/>
                <w:color w:val="auto"/>
                <w:szCs w:val="21"/>
              </w:rPr>
            </w:pPr>
          </w:p>
        </w:tc>
      </w:tr>
      <w:tr w14:paraId="7D8986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noWrap w:val="0"/>
            <w:vAlign w:val="center"/>
          </w:tcPr>
          <w:p w14:paraId="33C87AD4">
            <w:pPr>
              <w:widowControl/>
              <w:spacing w:line="360" w:lineRule="auto"/>
              <w:jc w:val="center"/>
              <w:rPr>
                <w:rFonts w:hint="eastAsia" w:ascii="宋体" w:hAnsi="宋体" w:cs="宋体"/>
                <w:color w:val="auto"/>
                <w:szCs w:val="21"/>
              </w:rPr>
            </w:pPr>
            <w:r>
              <w:rPr>
                <w:rFonts w:hint="eastAsia" w:ascii="宋体" w:hAnsi="宋体" w:cs="宋体"/>
                <w:color w:val="auto"/>
                <w:szCs w:val="21"/>
              </w:rPr>
              <w:t>法定代表人</w:t>
            </w:r>
          </w:p>
        </w:tc>
        <w:tc>
          <w:tcPr>
            <w:tcW w:w="1716" w:type="dxa"/>
            <w:noWrap w:val="0"/>
            <w:vAlign w:val="center"/>
          </w:tcPr>
          <w:p w14:paraId="364C5C81">
            <w:pPr>
              <w:widowControl/>
              <w:spacing w:line="360" w:lineRule="auto"/>
              <w:jc w:val="center"/>
              <w:rPr>
                <w:rFonts w:hint="eastAsia" w:ascii="宋体" w:hAnsi="宋体" w:cs="宋体"/>
                <w:color w:val="auto"/>
                <w:szCs w:val="21"/>
              </w:rPr>
            </w:pPr>
          </w:p>
        </w:tc>
        <w:tc>
          <w:tcPr>
            <w:tcW w:w="2185" w:type="dxa"/>
            <w:gridSpan w:val="2"/>
            <w:tcBorders>
              <w:right w:val="single" w:color="auto" w:sz="4" w:space="0"/>
            </w:tcBorders>
            <w:noWrap w:val="0"/>
            <w:vAlign w:val="center"/>
          </w:tcPr>
          <w:p w14:paraId="3AEBDBE1">
            <w:pPr>
              <w:widowControl/>
              <w:spacing w:line="360" w:lineRule="auto"/>
              <w:jc w:val="center"/>
              <w:rPr>
                <w:rFonts w:hint="eastAsia" w:ascii="宋体" w:hAnsi="宋体" w:cs="宋体"/>
                <w:color w:val="auto"/>
                <w:szCs w:val="21"/>
              </w:rPr>
            </w:pPr>
            <w:r>
              <w:rPr>
                <w:rFonts w:hint="eastAsia" w:ascii="宋体" w:hAnsi="宋体" w:cs="宋体"/>
                <w:color w:val="auto"/>
                <w:szCs w:val="21"/>
              </w:rPr>
              <w:t>注册资金</w:t>
            </w:r>
          </w:p>
        </w:tc>
        <w:tc>
          <w:tcPr>
            <w:tcW w:w="2506" w:type="dxa"/>
            <w:tcBorders>
              <w:left w:val="single" w:color="auto" w:sz="4" w:space="0"/>
            </w:tcBorders>
            <w:noWrap w:val="0"/>
            <w:vAlign w:val="center"/>
          </w:tcPr>
          <w:p w14:paraId="2266E1D5">
            <w:pPr>
              <w:widowControl/>
              <w:spacing w:line="360" w:lineRule="auto"/>
              <w:jc w:val="center"/>
              <w:rPr>
                <w:rFonts w:hint="eastAsia" w:ascii="宋体" w:hAnsi="宋体" w:cs="宋体"/>
                <w:color w:val="auto"/>
                <w:szCs w:val="21"/>
              </w:rPr>
            </w:pPr>
          </w:p>
        </w:tc>
      </w:tr>
      <w:tr w14:paraId="15297F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noWrap w:val="0"/>
            <w:vAlign w:val="center"/>
          </w:tcPr>
          <w:p w14:paraId="2336145C">
            <w:pPr>
              <w:widowControl/>
              <w:spacing w:line="360" w:lineRule="auto"/>
              <w:jc w:val="center"/>
              <w:rPr>
                <w:rFonts w:hint="eastAsia" w:ascii="宋体" w:hAnsi="宋体" w:cs="宋体"/>
                <w:color w:val="auto"/>
                <w:szCs w:val="21"/>
              </w:rPr>
            </w:pPr>
            <w:r>
              <w:rPr>
                <w:rFonts w:hint="eastAsia" w:ascii="宋体" w:hAnsi="宋体" w:cs="宋体"/>
                <w:color w:val="auto"/>
                <w:szCs w:val="21"/>
              </w:rPr>
              <w:t>注册日期</w:t>
            </w:r>
          </w:p>
        </w:tc>
        <w:tc>
          <w:tcPr>
            <w:tcW w:w="1716" w:type="dxa"/>
            <w:vMerge w:val="restart"/>
            <w:noWrap w:val="0"/>
            <w:vAlign w:val="center"/>
          </w:tcPr>
          <w:p w14:paraId="45E44638">
            <w:pPr>
              <w:widowControl/>
              <w:spacing w:line="360" w:lineRule="auto"/>
              <w:jc w:val="center"/>
              <w:rPr>
                <w:rFonts w:hint="eastAsia" w:ascii="宋体" w:hAnsi="宋体" w:cs="宋体"/>
                <w:color w:val="auto"/>
                <w:szCs w:val="21"/>
              </w:rPr>
            </w:pPr>
          </w:p>
        </w:tc>
        <w:tc>
          <w:tcPr>
            <w:tcW w:w="2185" w:type="dxa"/>
            <w:gridSpan w:val="2"/>
            <w:tcBorders>
              <w:bottom w:val="single" w:color="auto" w:sz="4" w:space="0"/>
            </w:tcBorders>
            <w:noWrap w:val="0"/>
            <w:vAlign w:val="center"/>
          </w:tcPr>
          <w:p w14:paraId="1E4EB79C">
            <w:pPr>
              <w:widowControl/>
              <w:spacing w:line="360" w:lineRule="auto"/>
              <w:jc w:val="center"/>
              <w:rPr>
                <w:rFonts w:hint="eastAsia" w:ascii="宋体" w:hAnsi="宋体" w:cs="宋体"/>
                <w:color w:val="auto"/>
                <w:szCs w:val="21"/>
              </w:rPr>
            </w:pPr>
            <w:r>
              <w:rPr>
                <w:rFonts w:hint="eastAsia" w:ascii="宋体" w:hAnsi="宋体" w:cs="宋体"/>
                <w:color w:val="auto"/>
                <w:szCs w:val="21"/>
              </w:rPr>
              <w:t>开户银行</w:t>
            </w:r>
          </w:p>
        </w:tc>
        <w:tc>
          <w:tcPr>
            <w:tcW w:w="2506" w:type="dxa"/>
            <w:tcBorders>
              <w:bottom w:val="single" w:color="auto" w:sz="4" w:space="0"/>
            </w:tcBorders>
            <w:noWrap w:val="0"/>
            <w:vAlign w:val="center"/>
          </w:tcPr>
          <w:p w14:paraId="4698434E">
            <w:pPr>
              <w:widowControl/>
              <w:spacing w:line="360" w:lineRule="auto"/>
              <w:jc w:val="center"/>
              <w:rPr>
                <w:rFonts w:hint="eastAsia" w:ascii="宋体" w:hAnsi="宋体" w:cs="宋体"/>
                <w:color w:val="auto"/>
                <w:szCs w:val="21"/>
              </w:rPr>
            </w:pPr>
          </w:p>
        </w:tc>
      </w:tr>
      <w:tr w14:paraId="301D60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noWrap w:val="0"/>
            <w:vAlign w:val="center"/>
          </w:tcPr>
          <w:p w14:paraId="09806960">
            <w:pPr>
              <w:widowControl/>
              <w:spacing w:line="360" w:lineRule="auto"/>
              <w:jc w:val="center"/>
              <w:rPr>
                <w:rFonts w:hint="eastAsia" w:ascii="宋体" w:hAnsi="宋体" w:cs="宋体"/>
                <w:color w:val="auto"/>
                <w:szCs w:val="21"/>
              </w:rPr>
            </w:pPr>
          </w:p>
        </w:tc>
        <w:tc>
          <w:tcPr>
            <w:tcW w:w="1716" w:type="dxa"/>
            <w:vMerge w:val="continue"/>
            <w:noWrap w:val="0"/>
            <w:vAlign w:val="center"/>
          </w:tcPr>
          <w:p w14:paraId="13E3CC27">
            <w:pPr>
              <w:widowControl/>
              <w:spacing w:line="360" w:lineRule="auto"/>
              <w:jc w:val="center"/>
              <w:rPr>
                <w:rFonts w:hint="eastAsia" w:ascii="宋体" w:hAnsi="宋体" w:cs="宋体"/>
                <w:color w:val="auto"/>
                <w:szCs w:val="21"/>
              </w:rPr>
            </w:pPr>
          </w:p>
        </w:tc>
        <w:tc>
          <w:tcPr>
            <w:tcW w:w="2185" w:type="dxa"/>
            <w:gridSpan w:val="2"/>
            <w:tcBorders>
              <w:top w:val="single" w:color="auto" w:sz="4" w:space="0"/>
            </w:tcBorders>
            <w:noWrap w:val="0"/>
            <w:vAlign w:val="center"/>
          </w:tcPr>
          <w:p w14:paraId="5D462D34">
            <w:pPr>
              <w:widowControl/>
              <w:spacing w:line="360" w:lineRule="auto"/>
              <w:jc w:val="center"/>
              <w:rPr>
                <w:rFonts w:hint="eastAsia" w:ascii="宋体" w:hAnsi="宋体" w:cs="宋体"/>
                <w:color w:val="auto"/>
                <w:szCs w:val="21"/>
              </w:rPr>
            </w:pPr>
            <w:r>
              <w:rPr>
                <w:rFonts w:hint="eastAsia" w:ascii="宋体" w:hAnsi="宋体" w:cs="宋体"/>
                <w:color w:val="auto"/>
                <w:szCs w:val="21"/>
              </w:rPr>
              <w:t>开户基本账号</w:t>
            </w:r>
          </w:p>
        </w:tc>
        <w:tc>
          <w:tcPr>
            <w:tcW w:w="2506" w:type="dxa"/>
            <w:tcBorders>
              <w:top w:val="single" w:color="auto" w:sz="4" w:space="0"/>
            </w:tcBorders>
            <w:noWrap w:val="0"/>
            <w:vAlign w:val="center"/>
          </w:tcPr>
          <w:p w14:paraId="0E07F847">
            <w:pPr>
              <w:widowControl/>
              <w:spacing w:line="360" w:lineRule="auto"/>
              <w:jc w:val="center"/>
              <w:rPr>
                <w:rFonts w:hint="eastAsia" w:ascii="宋体" w:hAnsi="宋体" w:cs="宋体"/>
                <w:color w:val="auto"/>
                <w:szCs w:val="21"/>
              </w:rPr>
            </w:pPr>
          </w:p>
        </w:tc>
      </w:tr>
      <w:tr w14:paraId="6EFD1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noWrap w:val="0"/>
            <w:vAlign w:val="center"/>
          </w:tcPr>
          <w:p w14:paraId="0A1104BE">
            <w:pPr>
              <w:widowControl/>
              <w:spacing w:line="360" w:lineRule="auto"/>
              <w:jc w:val="center"/>
              <w:rPr>
                <w:rFonts w:hint="eastAsia" w:ascii="宋体" w:hAnsi="宋体" w:cs="宋体"/>
                <w:color w:val="auto"/>
                <w:szCs w:val="21"/>
              </w:rPr>
            </w:pPr>
            <w:r>
              <w:rPr>
                <w:rFonts w:hint="eastAsia" w:ascii="宋体" w:hAnsi="宋体" w:cs="宋体"/>
                <w:color w:val="auto"/>
                <w:szCs w:val="21"/>
              </w:rPr>
              <w:t>联系人</w:t>
            </w:r>
          </w:p>
        </w:tc>
        <w:tc>
          <w:tcPr>
            <w:tcW w:w="1716" w:type="dxa"/>
            <w:vMerge w:val="restart"/>
            <w:noWrap w:val="0"/>
            <w:vAlign w:val="center"/>
          </w:tcPr>
          <w:p w14:paraId="1768D02C">
            <w:pPr>
              <w:widowControl/>
              <w:spacing w:line="360" w:lineRule="auto"/>
              <w:jc w:val="center"/>
              <w:rPr>
                <w:rFonts w:hint="eastAsia" w:ascii="宋体" w:hAnsi="宋体" w:cs="宋体"/>
                <w:color w:val="auto"/>
                <w:szCs w:val="21"/>
              </w:rPr>
            </w:pPr>
          </w:p>
        </w:tc>
        <w:tc>
          <w:tcPr>
            <w:tcW w:w="1204" w:type="dxa"/>
            <w:vMerge w:val="restart"/>
            <w:noWrap w:val="0"/>
            <w:vAlign w:val="center"/>
          </w:tcPr>
          <w:p w14:paraId="40A2A760">
            <w:pPr>
              <w:widowControl/>
              <w:spacing w:line="360" w:lineRule="auto"/>
              <w:jc w:val="center"/>
              <w:rPr>
                <w:rFonts w:hint="eastAsia" w:ascii="宋体" w:hAnsi="宋体" w:cs="宋体"/>
                <w:color w:val="auto"/>
                <w:szCs w:val="21"/>
              </w:rPr>
            </w:pPr>
            <w:r>
              <w:rPr>
                <w:rFonts w:hint="eastAsia" w:ascii="宋体" w:hAnsi="宋体" w:cs="宋体"/>
                <w:color w:val="auto"/>
                <w:szCs w:val="21"/>
              </w:rPr>
              <w:t>联系电话</w:t>
            </w:r>
          </w:p>
        </w:tc>
        <w:tc>
          <w:tcPr>
            <w:tcW w:w="981" w:type="dxa"/>
            <w:noWrap w:val="0"/>
            <w:vAlign w:val="center"/>
          </w:tcPr>
          <w:p w14:paraId="2A58589C">
            <w:pPr>
              <w:widowControl/>
              <w:spacing w:line="360" w:lineRule="auto"/>
              <w:jc w:val="center"/>
              <w:rPr>
                <w:rFonts w:hint="eastAsia" w:ascii="宋体" w:hAnsi="宋体" w:cs="宋体"/>
                <w:color w:val="auto"/>
                <w:szCs w:val="21"/>
              </w:rPr>
            </w:pPr>
            <w:r>
              <w:rPr>
                <w:rFonts w:hint="eastAsia" w:ascii="宋体" w:hAnsi="宋体" w:cs="宋体"/>
                <w:color w:val="auto"/>
                <w:szCs w:val="21"/>
              </w:rPr>
              <w:t>手机</w:t>
            </w:r>
          </w:p>
        </w:tc>
        <w:tc>
          <w:tcPr>
            <w:tcW w:w="2506" w:type="dxa"/>
            <w:noWrap w:val="0"/>
            <w:vAlign w:val="center"/>
          </w:tcPr>
          <w:p w14:paraId="2D2EB1C4">
            <w:pPr>
              <w:widowControl/>
              <w:spacing w:line="360" w:lineRule="auto"/>
              <w:jc w:val="center"/>
              <w:rPr>
                <w:rFonts w:hint="eastAsia" w:ascii="宋体" w:hAnsi="宋体" w:cs="宋体"/>
                <w:color w:val="auto"/>
                <w:szCs w:val="21"/>
              </w:rPr>
            </w:pPr>
          </w:p>
        </w:tc>
      </w:tr>
      <w:tr w14:paraId="0E04B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noWrap w:val="0"/>
            <w:vAlign w:val="center"/>
          </w:tcPr>
          <w:p w14:paraId="22F8DD3B">
            <w:pPr>
              <w:widowControl/>
              <w:spacing w:line="360" w:lineRule="auto"/>
              <w:jc w:val="center"/>
              <w:rPr>
                <w:rFonts w:hint="eastAsia" w:ascii="宋体" w:hAnsi="宋体" w:cs="宋体"/>
                <w:color w:val="auto"/>
                <w:szCs w:val="21"/>
              </w:rPr>
            </w:pPr>
          </w:p>
        </w:tc>
        <w:tc>
          <w:tcPr>
            <w:tcW w:w="1716" w:type="dxa"/>
            <w:vMerge w:val="continue"/>
            <w:noWrap w:val="0"/>
            <w:vAlign w:val="center"/>
          </w:tcPr>
          <w:p w14:paraId="5D7099D1">
            <w:pPr>
              <w:widowControl/>
              <w:spacing w:line="360" w:lineRule="auto"/>
              <w:jc w:val="center"/>
              <w:rPr>
                <w:rFonts w:hint="eastAsia" w:ascii="宋体" w:hAnsi="宋体" w:cs="宋体"/>
                <w:color w:val="auto"/>
                <w:szCs w:val="21"/>
              </w:rPr>
            </w:pPr>
          </w:p>
        </w:tc>
        <w:tc>
          <w:tcPr>
            <w:tcW w:w="1204" w:type="dxa"/>
            <w:vMerge w:val="continue"/>
            <w:noWrap w:val="0"/>
            <w:vAlign w:val="center"/>
          </w:tcPr>
          <w:p w14:paraId="58A07529">
            <w:pPr>
              <w:widowControl/>
              <w:spacing w:line="360" w:lineRule="auto"/>
              <w:jc w:val="center"/>
              <w:rPr>
                <w:rFonts w:hint="eastAsia" w:ascii="宋体" w:hAnsi="宋体" w:cs="宋体"/>
                <w:color w:val="auto"/>
                <w:szCs w:val="21"/>
              </w:rPr>
            </w:pPr>
          </w:p>
        </w:tc>
        <w:tc>
          <w:tcPr>
            <w:tcW w:w="981" w:type="dxa"/>
            <w:noWrap w:val="0"/>
            <w:vAlign w:val="center"/>
          </w:tcPr>
          <w:p w14:paraId="1907109A">
            <w:pPr>
              <w:widowControl/>
              <w:spacing w:line="360" w:lineRule="auto"/>
              <w:jc w:val="center"/>
              <w:rPr>
                <w:rFonts w:hint="eastAsia" w:ascii="宋体" w:hAnsi="宋体" w:cs="宋体"/>
                <w:color w:val="auto"/>
                <w:szCs w:val="21"/>
              </w:rPr>
            </w:pPr>
            <w:r>
              <w:rPr>
                <w:rFonts w:hint="eastAsia" w:ascii="宋体" w:hAnsi="宋体" w:cs="宋体"/>
                <w:color w:val="auto"/>
                <w:szCs w:val="21"/>
              </w:rPr>
              <w:t>固话</w:t>
            </w:r>
          </w:p>
        </w:tc>
        <w:tc>
          <w:tcPr>
            <w:tcW w:w="2506" w:type="dxa"/>
            <w:noWrap w:val="0"/>
            <w:vAlign w:val="center"/>
          </w:tcPr>
          <w:p w14:paraId="5F08E62F">
            <w:pPr>
              <w:widowControl/>
              <w:spacing w:line="360" w:lineRule="auto"/>
              <w:jc w:val="center"/>
              <w:rPr>
                <w:rFonts w:hint="eastAsia" w:ascii="宋体" w:hAnsi="宋体" w:cs="宋体"/>
                <w:color w:val="auto"/>
                <w:szCs w:val="21"/>
              </w:rPr>
            </w:pPr>
          </w:p>
        </w:tc>
      </w:tr>
      <w:tr w14:paraId="4673E3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noWrap w:val="0"/>
            <w:vAlign w:val="center"/>
          </w:tcPr>
          <w:p w14:paraId="5771F820">
            <w:pPr>
              <w:widowControl/>
              <w:spacing w:line="360" w:lineRule="auto"/>
              <w:jc w:val="center"/>
              <w:rPr>
                <w:rFonts w:hint="eastAsia" w:ascii="宋体" w:hAnsi="宋体" w:cs="宋体"/>
                <w:color w:val="auto"/>
                <w:szCs w:val="21"/>
              </w:rPr>
            </w:pPr>
            <w:r>
              <w:rPr>
                <w:rFonts w:hint="eastAsia" w:ascii="宋体" w:hAnsi="宋体" w:cs="宋体"/>
                <w:color w:val="auto"/>
                <w:szCs w:val="21"/>
              </w:rPr>
              <w:t>联系传真</w:t>
            </w:r>
          </w:p>
        </w:tc>
        <w:tc>
          <w:tcPr>
            <w:tcW w:w="1716" w:type="dxa"/>
            <w:noWrap w:val="0"/>
            <w:vAlign w:val="center"/>
          </w:tcPr>
          <w:p w14:paraId="11EA7753">
            <w:pPr>
              <w:widowControl/>
              <w:spacing w:line="360" w:lineRule="auto"/>
              <w:jc w:val="center"/>
              <w:rPr>
                <w:rFonts w:hint="eastAsia" w:ascii="宋体" w:hAnsi="宋体" w:cs="宋体"/>
                <w:color w:val="auto"/>
                <w:szCs w:val="21"/>
              </w:rPr>
            </w:pPr>
          </w:p>
        </w:tc>
        <w:tc>
          <w:tcPr>
            <w:tcW w:w="2185" w:type="dxa"/>
            <w:gridSpan w:val="2"/>
            <w:noWrap w:val="0"/>
            <w:vAlign w:val="center"/>
          </w:tcPr>
          <w:p w14:paraId="70E93C1F">
            <w:pPr>
              <w:widowControl/>
              <w:spacing w:line="360" w:lineRule="auto"/>
              <w:jc w:val="center"/>
              <w:rPr>
                <w:rFonts w:hint="eastAsia" w:ascii="宋体" w:hAnsi="宋体" w:cs="宋体"/>
                <w:color w:val="auto"/>
                <w:szCs w:val="21"/>
              </w:rPr>
            </w:pPr>
            <w:r>
              <w:rPr>
                <w:rFonts w:hint="eastAsia" w:ascii="宋体" w:hAnsi="宋体" w:cs="宋体"/>
                <w:color w:val="auto"/>
                <w:szCs w:val="21"/>
              </w:rPr>
              <w:t>联系邮箱</w:t>
            </w:r>
          </w:p>
        </w:tc>
        <w:tc>
          <w:tcPr>
            <w:tcW w:w="2506" w:type="dxa"/>
            <w:noWrap w:val="0"/>
            <w:vAlign w:val="center"/>
          </w:tcPr>
          <w:p w14:paraId="7943EBA4">
            <w:pPr>
              <w:widowControl/>
              <w:spacing w:line="360" w:lineRule="auto"/>
              <w:jc w:val="center"/>
              <w:rPr>
                <w:rFonts w:hint="eastAsia" w:ascii="宋体" w:hAnsi="宋体" w:cs="宋体"/>
                <w:color w:val="auto"/>
                <w:szCs w:val="21"/>
              </w:rPr>
            </w:pPr>
          </w:p>
        </w:tc>
      </w:tr>
      <w:tr w14:paraId="71486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noWrap w:val="0"/>
            <w:vAlign w:val="center"/>
          </w:tcPr>
          <w:p w14:paraId="11B0C415">
            <w:pPr>
              <w:widowControl/>
              <w:spacing w:line="360" w:lineRule="auto"/>
              <w:jc w:val="center"/>
              <w:rPr>
                <w:rFonts w:hint="eastAsia" w:ascii="宋体" w:hAnsi="宋体" w:cs="宋体"/>
                <w:color w:val="auto"/>
                <w:szCs w:val="21"/>
              </w:rPr>
            </w:pPr>
            <w:r>
              <w:rPr>
                <w:rFonts w:hint="eastAsia" w:ascii="宋体" w:hAnsi="宋体" w:cs="宋体"/>
                <w:color w:val="auto"/>
                <w:szCs w:val="21"/>
              </w:rPr>
              <w:t>经营范围</w:t>
            </w:r>
          </w:p>
        </w:tc>
        <w:tc>
          <w:tcPr>
            <w:tcW w:w="6407" w:type="dxa"/>
            <w:gridSpan w:val="4"/>
            <w:noWrap w:val="0"/>
            <w:vAlign w:val="center"/>
          </w:tcPr>
          <w:p w14:paraId="67E1C18D">
            <w:pPr>
              <w:widowControl/>
              <w:spacing w:line="360" w:lineRule="auto"/>
              <w:jc w:val="center"/>
              <w:rPr>
                <w:rFonts w:hint="eastAsia" w:ascii="宋体" w:hAnsi="宋体" w:cs="宋体"/>
                <w:color w:val="auto"/>
                <w:szCs w:val="21"/>
              </w:rPr>
            </w:pPr>
          </w:p>
        </w:tc>
      </w:tr>
      <w:tr w14:paraId="05909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noWrap w:val="0"/>
            <w:vAlign w:val="center"/>
          </w:tcPr>
          <w:p w14:paraId="2D993583">
            <w:pPr>
              <w:widowControl/>
              <w:spacing w:line="360" w:lineRule="auto"/>
              <w:jc w:val="center"/>
              <w:rPr>
                <w:rFonts w:hint="eastAsia" w:ascii="宋体" w:hAnsi="宋体" w:cs="宋体"/>
                <w:color w:val="auto"/>
                <w:szCs w:val="21"/>
              </w:rPr>
            </w:pPr>
            <w:r>
              <w:rPr>
                <w:rFonts w:hint="eastAsia" w:ascii="宋体" w:hAnsi="宋体" w:cs="宋体"/>
                <w:color w:val="auto"/>
                <w:szCs w:val="21"/>
              </w:rPr>
              <w:t>公司管理体系认证</w:t>
            </w:r>
          </w:p>
        </w:tc>
        <w:tc>
          <w:tcPr>
            <w:tcW w:w="6407" w:type="dxa"/>
            <w:gridSpan w:val="4"/>
            <w:noWrap w:val="0"/>
            <w:vAlign w:val="center"/>
          </w:tcPr>
          <w:p w14:paraId="0DC497BD">
            <w:pPr>
              <w:widowControl/>
              <w:spacing w:line="360" w:lineRule="auto"/>
              <w:jc w:val="center"/>
              <w:rPr>
                <w:rFonts w:hint="eastAsia" w:ascii="宋体" w:hAnsi="宋体" w:cs="宋体"/>
                <w:color w:val="auto"/>
                <w:szCs w:val="21"/>
              </w:rPr>
            </w:pPr>
            <w:r>
              <w:rPr>
                <w:rFonts w:hint="eastAsia" w:ascii="宋体" w:hAnsi="宋体" w:cs="宋体"/>
                <w:color w:val="auto"/>
                <w:szCs w:val="21"/>
              </w:rPr>
              <w:t>（质量、职业、环境管理体系）</w:t>
            </w:r>
          </w:p>
        </w:tc>
      </w:tr>
      <w:tr w14:paraId="5929C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noWrap w:val="0"/>
            <w:vAlign w:val="center"/>
          </w:tcPr>
          <w:p w14:paraId="0967E946">
            <w:pPr>
              <w:widowControl/>
              <w:spacing w:line="360" w:lineRule="auto"/>
              <w:jc w:val="left"/>
              <w:rPr>
                <w:rFonts w:hint="eastAsia" w:ascii="宋体" w:hAnsi="宋体" w:cs="宋体"/>
                <w:color w:val="auto"/>
                <w:szCs w:val="21"/>
              </w:rPr>
            </w:pPr>
            <w:r>
              <w:rPr>
                <w:rFonts w:hint="eastAsia" w:ascii="宋体" w:hAnsi="宋体" w:cs="宋体"/>
                <w:color w:val="auto"/>
                <w:szCs w:val="21"/>
              </w:rPr>
              <w:t>公司资质及各类生产、经营许可</w:t>
            </w:r>
          </w:p>
        </w:tc>
      </w:tr>
      <w:tr w14:paraId="259DE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noWrap w:val="0"/>
            <w:vAlign w:val="center"/>
          </w:tcPr>
          <w:p w14:paraId="7CD66546">
            <w:pPr>
              <w:widowControl/>
              <w:spacing w:line="360" w:lineRule="auto"/>
              <w:rPr>
                <w:rFonts w:hint="eastAsia" w:ascii="宋体" w:hAnsi="宋体" w:cs="宋体"/>
                <w:color w:val="auto"/>
                <w:szCs w:val="21"/>
              </w:rPr>
            </w:pPr>
            <w:r>
              <w:rPr>
                <w:rFonts w:hint="eastAsia" w:ascii="宋体" w:hAnsi="宋体" w:cs="宋体"/>
                <w:color w:val="auto"/>
                <w:szCs w:val="21"/>
              </w:rPr>
              <w:t>如：工程类资质（工程单位）、设备制造商</w:t>
            </w:r>
            <w:bookmarkStart w:id="1314" w:name="OLE_LINK21"/>
            <w:bookmarkStart w:id="1315" w:name="OLE_LINK22"/>
            <w:r>
              <w:rPr>
                <w:rFonts w:hint="eastAsia" w:ascii="宋体" w:hAnsi="宋体" w:cs="宋体"/>
                <w:color w:val="auto"/>
                <w:szCs w:val="21"/>
              </w:rPr>
              <w:t>、经销商（生产、经营许可证</w:t>
            </w:r>
            <w:bookmarkEnd w:id="1314"/>
            <w:bookmarkEnd w:id="1315"/>
            <w:r>
              <w:rPr>
                <w:rFonts w:hint="eastAsia" w:ascii="宋体" w:hAnsi="宋体" w:cs="宋体"/>
                <w:color w:val="auto"/>
                <w:szCs w:val="21"/>
              </w:rPr>
              <w:t>、产品认证）、其它资质。</w:t>
            </w:r>
          </w:p>
        </w:tc>
      </w:tr>
      <w:tr w14:paraId="1016A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noWrap w:val="0"/>
            <w:vAlign w:val="center"/>
          </w:tcPr>
          <w:p w14:paraId="6C591636">
            <w:pPr>
              <w:widowControl/>
              <w:spacing w:line="360" w:lineRule="auto"/>
              <w:jc w:val="center"/>
              <w:rPr>
                <w:rFonts w:hint="eastAsia" w:ascii="宋体" w:hAnsi="宋体" w:cs="宋体"/>
                <w:color w:val="auto"/>
                <w:szCs w:val="21"/>
              </w:rPr>
            </w:pPr>
            <w:r>
              <w:rPr>
                <w:rFonts w:hint="eastAsia" w:ascii="宋体" w:hAnsi="宋体" w:cs="宋体"/>
                <w:color w:val="auto"/>
                <w:szCs w:val="21"/>
              </w:rPr>
              <w:t>备注</w:t>
            </w:r>
          </w:p>
        </w:tc>
        <w:tc>
          <w:tcPr>
            <w:tcW w:w="7812" w:type="dxa"/>
            <w:gridSpan w:val="5"/>
            <w:noWrap w:val="0"/>
            <w:vAlign w:val="center"/>
          </w:tcPr>
          <w:p w14:paraId="5A9B1976">
            <w:pPr>
              <w:widowControl/>
              <w:spacing w:line="360" w:lineRule="auto"/>
              <w:jc w:val="center"/>
              <w:rPr>
                <w:rFonts w:hint="eastAsia" w:ascii="宋体" w:hAnsi="宋体" w:cs="宋体"/>
                <w:color w:val="auto"/>
                <w:szCs w:val="21"/>
              </w:rPr>
            </w:pPr>
          </w:p>
        </w:tc>
      </w:tr>
    </w:tbl>
    <w:p w14:paraId="367759F3">
      <w:pPr>
        <w:wordWrap w:val="0"/>
        <w:overflowPunct w:val="0"/>
        <w:topLinePunct/>
        <w:spacing w:line="360" w:lineRule="auto"/>
        <w:jc w:val="left"/>
        <w:rPr>
          <w:rFonts w:hint="eastAsia" w:ascii="宋体" w:hAnsi="宋体" w:eastAsia="宋体" w:cs="宋体"/>
          <w:color w:val="auto"/>
          <w:sz w:val="24"/>
          <w:lang w:eastAsia="zh-CN"/>
        </w:rPr>
      </w:pPr>
    </w:p>
    <w:p w14:paraId="4541B2A7">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w:t>
      </w:r>
      <w:r>
        <w:rPr>
          <w:rFonts w:hint="eastAsia" w:ascii="宋体" w:hAnsi="宋体" w:eastAsia="宋体" w:cs="宋体"/>
          <w:color w:val="auto"/>
          <w:sz w:val="24"/>
          <w:u w:val="none"/>
          <w:lang w:val="en-US" w:eastAsia="zh-CN"/>
        </w:rPr>
        <w:t>电子</w:t>
      </w:r>
      <w:r>
        <w:rPr>
          <w:rFonts w:hint="eastAsia" w:ascii="宋体" w:hAnsi="宋体" w:eastAsia="宋体" w:cs="宋体"/>
          <w:color w:val="auto"/>
          <w:sz w:val="24"/>
        </w:rPr>
        <w:t>公章）</w:t>
      </w:r>
    </w:p>
    <w:p w14:paraId="29648AA6">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1C9970FD">
      <w:pPr>
        <w:autoSpaceDE w:val="0"/>
        <w:autoSpaceDN w:val="0"/>
        <w:spacing w:line="360" w:lineRule="auto"/>
        <w:ind w:firstLine="0" w:firstLineChars="0"/>
        <w:jc w:val="left"/>
        <w:textAlignment w:val="baseline"/>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日</w:t>
      </w:r>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Start w:id="1316" w:name="_Toc16622"/>
      <w:bookmarkStart w:id="1317" w:name="_Toc1847"/>
      <w:bookmarkStart w:id="1318" w:name="_Toc9627"/>
      <w:bookmarkStart w:id="1319" w:name="_Toc17892"/>
      <w:bookmarkStart w:id="1320" w:name="_Toc24615"/>
      <w:bookmarkStart w:id="1321" w:name="_Toc12102"/>
      <w:bookmarkStart w:id="1322" w:name="_Toc32253"/>
      <w:bookmarkStart w:id="1323" w:name="_Toc19280"/>
      <w:bookmarkStart w:id="1324" w:name="_Toc8357"/>
      <w:bookmarkStart w:id="1325" w:name="_Toc10601"/>
      <w:bookmarkStart w:id="1326" w:name="_Toc2887"/>
    </w:p>
    <w:p w14:paraId="1E324A16">
      <w:pPr>
        <w:widowControl w:val="0"/>
        <w:autoSpaceDE w:val="0"/>
        <w:autoSpaceDN w:val="0"/>
        <w:spacing w:line="360" w:lineRule="auto"/>
        <w:ind w:firstLine="0" w:firstLineChars="0"/>
        <w:jc w:val="center"/>
        <w:textAlignment w:val="baseline"/>
        <w:rPr>
          <w:rFonts w:hint="eastAsia" w:ascii="宋体" w:hAnsi="宋体" w:eastAsia="宋体" w:cs="宋体"/>
          <w:color w:val="auto"/>
          <w:kern w:val="2"/>
          <w:sz w:val="21"/>
          <w:szCs w:val="24"/>
          <w:lang w:val="en-US" w:eastAsia="zh-CN" w:bidi="ar-SA"/>
        </w:rPr>
      </w:pPr>
      <w:r>
        <w:rPr>
          <w:rFonts w:hint="eastAsia" w:ascii="宋体" w:hAnsi="宋体" w:eastAsia="宋体" w:cs="宋体"/>
          <w:b/>
          <w:bCs/>
          <w:color w:val="auto"/>
          <w:kern w:val="2"/>
          <w:sz w:val="28"/>
          <w:szCs w:val="28"/>
          <w:lang w:val="en-US" w:eastAsia="zh-CN" w:bidi="ar-SA"/>
        </w:rPr>
        <w:t>（2）提供具有独立承担民事责任的能力的证明材料</w:t>
      </w:r>
      <w:bookmarkEnd w:id="1306"/>
      <w:bookmarkEnd w:id="1307"/>
      <w:bookmarkEnd w:id="1316"/>
      <w:bookmarkEnd w:id="1317"/>
      <w:bookmarkEnd w:id="1318"/>
      <w:bookmarkEnd w:id="1319"/>
      <w:bookmarkEnd w:id="1320"/>
      <w:bookmarkEnd w:id="1321"/>
      <w:bookmarkEnd w:id="1322"/>
      <w:bookmarkEnd w:id="1323"/>
      <w:bookmarkEnd w:id="1324"/>
      <w:bookmarkEnd w:id="1325"/>
      <w:bookmarkEnd w:id="1326"/>
    </w:p>
    <w:p w14:paraId="737B9C28">
      <w:pPr>
        <w:widowControl w:val="0"/>
        <w:tabs>
          <w:tab w:val="left" w:pos="900"/>
          <w:tab w:val="left" w:pos="1588"/>
        </w:tabs>
        <w:wordWrap w:val="0"/>
        <w:overflowPunct w:val="0"/>
        <w:topLinePunct/>
        <w:adjustRightInd/>
        <w:ind w:left="0" w:firstLine="0"/>
        <w:jc w:val="center"/>
        <w:textAlignment w:val="auto"/>
        <w:outlineLvl w:val="2"/>
        <w:rPr>
          <w:rFonts w:hint="eastAsia" w:ascii="宋体" w:hAnsi="宋体" w:eastAsia="宋体" w:cs="宋体"/>
          <w:b/>
          <w:bCs/>
          <w:color w:val="auto"/>
          <w:sz w:val="30"/>
          <w:szCs w:val="32"/>
          <w:lang w:val="en-US" w:eastAsia="en-US" w:bidi="ar-SA"/>
        </w:rPr>
      </w:pPr>
      <w:bookmarkStart w:id="1327" w:name="_Toc5232"/>
      <w:bookmarkStart w:id="1328" w:name="_Toc13192"/>
      <w:bookmarkStart w:id="1329" w:name="_Toc30146"/>
      <w:bookmarkStart w:id="1330" w:name="_Toc20568"/>
      <w:bookmarkStart w:id="1331" w:name="_Toc4872"/>
      <w:bookmarkStart w:id="1332" w:name="_Toc1054"/>
      <w:bookmarkStart w:id="1333" w:name="_Toc1949"/>
      <w:bookmarkStart w:id="1334" w:name="_Toc8937"/>
      <w:bookmarkStart w:id="1335" w:name="_Toc4695"/>
      <w:bookmarkStart w:id="1336" w:name="_Toc31389"/>
      <w:bookmarkStart w:id="1337" w:name="_Toc1262"/>
      <w:bookmarkStart w:id="1338" w:name="_Toc27526"/>
      <w:bookmarkStart w:id="1339" w:name="_Toc21998"/>
      <w:bookmarkStart w:id="1340" w:name="_Toc32342"/>
      <w:bookmarkStart w:id="1341" w:name="_Toc21345"/>
      <w:bookmarkStart w:id="1342" w:name="_Toc28525"/>
      <w:bookmarkStart w:id="1343" w:name="_Toc5280"/>
      <w:bookmarkStart w:id="1344" w:name="_Toc15414"/>
      <w:bookmarkStart w:id="1345" w:name="_Toc11620"/>
      <w:bookmarkStart w:id="1346" w:name="_Toc22651"/>
      <w:bookmarkStart w:id="1347" w:name="_Toc13025"/>
      <w:r>
        <w:rPr>
          <w:rFonts w:hint="eastAsia" w:ascii="宋体" w:hAnsi="宋体" w:eastAsia="宋体" w:cs="宋体"/>
          <w:b/>
          <w:bCs/>
          <w:color w:val="auto"/>
          <w:sz w:val="24"/>
          <w:szCs w:val="24"/>
          <w:lang w:val="en-US" w:eastAsia="en-US" w:bidi="ar-SA"/>
        </w:rPr>
        <w:t>（</w:t>
      </w:r>
      <w:r>
        <w:rPr>
          <w:rFonts w:hint="eastAsia" w:ascii="宋体" w:hAnsi="宋体" w:eastAsia="宋体" w:cs="宋体"/>
          <w:b/>
          <w:bCs/>
          <w:color w:val="auto"/>
          <w:sz w:val="24"/>
          <w:szCs w:val="24"/>
          <w:lang w:val="en-US" w:eastAsia="zh-CN" w:bidi="ar-SA"/>
        </w:rPr>
        <w:t>扫描件电子公章</w:t>
      </w:r>
      <w:r>
        <w:rPr>
          <w:rFonts w:hint="eastAsia" w:ascii="宋体" w:hAnsi="宋体" w:eastAsia="宋体" w:cs="宋体"/>
          <w:b/>
          <w:bCs/>
          <w:color w:val="auto"/>
          <w:sz w:val="24"/>
          <w:szCs w:val="24"/>
          <w:lang w:val="en-US" w:eastAsia="en-US" w:bidi="ar-SA"/>
        </w:rPr>
        <w:t>）</w:t>
      </w:r>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14:paraId="127E49E5">
      <w:pPr>
        <w:jc w:val="center"/>
        <w:rPr>
          <w:rFonts w:hint="eastAsia" w:ascii="宋体" w:hAnsi="宋体" w:eastAsia="宋体" w:cs="宋体"/>
          <w:color w:val="auto"/>
          <w:sz w:val="24"/>
          <w:lang w:val="en-US" w:eastAsia="zh-CN"/>
        </w:rPr>
      </w:pPr>
      <w:bookmarkStart w:id="1348" w:name="_Toc30029"/>
      <w:bookmarkStart w:id="1349" w:name="_Toc13488"/>
      <w:bookmarkStart w:id="1350" w:name="_Toc14718"/>
      <w:bookmarkStart w:id="1351" w:name="_Toc21719"/>
      <w:bookmarkStart w:id="1352" w:name="_Toc18700"/>
      <w:bookmarkStart w:id="1353" w:name="_Toc20522"/>
      <w:bookmarkStart w:id="1354" w:name="_Toc1417"/>
      <w:bookmarkStart w:id="1355" w:name="_Toc7508"/>
      <w:bookmarkStart w:id="1356" w:name="_Toc25932"/>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资格审查标准</w:t>
      </w:r>
    </w:p>
    <w:p w14:paraId="4A4B10C4">
      <w:pPr>
        <w:jc w:val="center"/>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rPr>
        <w:t>相关要求。</w:t>
      </w:r>
    </w:p>
    <w:p w14:paraId="624D4FFF">
      <w:pPr>
        <w:jc w:val="center"/>
        <w:rPr>
          <w:rFonts w:hint="eastAsia" w:ascii="宋体" w:hAnsi="宋体" w:eastAsia="宋体" w:cs="宋体"/>
          <w:color w:val="auto"/>
          <w:sz w:val="22"/>
          <w:szCs w:val="22"/>
        </w:rPr>
      </w:pPr>
      <w:r>
        <w:rPr>
          <w:rFonts w:hint="eastAsia" w:ascii="宋体" w:hAnsi="宋体" w:eastAsia="宋体" w:cs="宋体"/>
          <w:b/>
          <w:bCs/>
          <w:color w:val="auto"/>
          <w:sz w:val="28"/>
          <w:szCs w:val="28"/>
          <w:lang w:val="en-US" w:eastAsia="zh-CN"/>
        </w:rPr>
        <w:t>（3）</w:t>
      </w:r>
      <w:r>
        <w:rPr>
          <w:rFonts w:hint="eastAsia" w:ascii="宋体" w:hAnsi="宋体" w:eastAsia="宋体" w:cs="宋体"/>
          <w:b/>
          <w:bCs/>
          <w:color w:val="auto"/>
          <w:sz w:val="28"/>
          <w:szCs w:val="28"/>
        </w:rPr>
        <w:t>法定代表人（负责人）身份证明书</w:t>
      </w:r>
      <w:bookmarkEnd w:id="1348"/>
      <w:bookmarkEnd w:id="1349"/>
      <w:bookmarkEnd w:id="1350"/>
      <w:bookmarkEnd w:id="1351"/>
      <w:bookmarkEnd w:id="1352"/>
      <w:bookmarkEnd w:id="1353"/>
      <w:bookmarkEnd w:id="1354"/>
      <w:bookmarkEnd w:id="1355"/>
      <w:bookmarkEnd w:id="1356"/>
    </w:p>
    <w:p w14:paraId="71D04964">
      <w:pPr>
        <w:wordWrap w:val="0"/>
        <w:overflowPunct w:val="0"/>
        <w:topLinePunct/>
        <w:spacing w:line="360" w:lineRule="auto"/>
        <w:rPr>
          <w:rFonts w:hint="eastAsia" w:ascii="宋体" w:hAnsi="宋体" w:eastAsia="宋体" w:cs="宋体"/>
          <w:color w:val="auto"/>
          <w:szCs w:val="21"/>
        </w:rPr>
      </w:pPr>
    </w:p>
    <w:p w14:paraId="02B5A5FE">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投 标 人</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p>
    <w:p w14:paraId="0EA4BFE1">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5035FDC6">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0C2C7333">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CB30179">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7DD6B207">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    别：</w:t>
      </w:r>
      <w:r>
        <w:rPr>
          <w:rFonts w:hint="eastAsia" w:ascii="宋体" w:hAnsi="宋体" w:eastAsia="宋体" w:cs="宋体"/>
          <w:color w:val="auto"/>
          <w:sz w:val="24"/>
          <w:u w:val="single"/>
        </w:rPr>
        <w:t xml:space="preserve">               </w:t>
      </w:r>
    </w:p>
    <w:p w14:paraId="4CB2CA0A">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p>
    <w:p w14:paraId="244DF50A">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供应商</w:t>
      </w:r>
      <w:r>
        <w:rPr>
          <w:rFonts w:hint="eastAsia" w:ascii="宋体" w:hAnsi="宋体" w:eastAsia="宋体" w:cs="宋体"/>
          <w:color w:val="auto"/>
          <w:sz w:val="24"/>
        </w:rPr>
        <w:t>名称）的法定代表人（负责人）。</w:t>
      </w:r>
    </w:p>
    <w:p w14:paraId="3889F5F5">
      <w:pPr>
        <w:wordWrap w:val="0"/>
        <w:overflowPunct w:val="0"/>
        <w:topLinePunct/>
        <w:spacing w:line="360" w:lineRule="auto"/>
        <w:rPr>
          <w:rFonts w:hint="eastAsia" w:ascii="宋体" w:hAnsi="宋体" w:eastAsia="宋体" w:cs="宋体"/>
          <w:b/>
          <w:color w:val="auto"/>
          <w:szCs w:val="21"/>
        </w:rPr>
      </w:pPr>
      <w:r>
        <w:rPr>
          <w:rFonts w:hint="eastAsia" w:ascii="宋体" w:hAnsi="宋体" w:eastAsia="宋体" w:cs="宋体"/>
          <w:color w:val="auto"/>
          <w:sz w:val="24"/>
        </w:rPr>
        <w:t>特此证明。</w:t>
      </w:r>
    </w:p>
    <w:p w14:paraId="64D56DE3">
      <w:pPr>
        <w:wordWrap w:val="0"/>
        <w:overflowPunct w:val="0"/>
        <w:topLinePunct/>
        <w:spacing w:line="360" w:lineRule="auto"/>
        <w:rPr>
          <w:rFonts w:hint="eastAsia" w:ascii="宋体" w:hAnsi="宋体" w:eastAsia="宋体" w:cs="宋体"/>
          <w:b/>
          <w:color w:val="auto"/>
          <w:szCs w:val="21"/>
        </w:rPr>
      </w:pPr>
    </w:p>
    <w:p w14:paraId="2629AF6F">
      <w:pPr>
        <w:wordWrap w:val="0"/>
        <w:overflowPunct w:val="0"/>
        <w:topLinePunct/>
        <w:spacing w:line="360" w:lineRule="auto"/>
        <w:rPr>
          <w:rFonts w:hint="eastAsia" w:ascii="宋体" w:hAnsi="宋体" w:eastAsia="宋体" w:cs="宋体"/>
          <w:b/>
          <w:color w:val="auto"/>
          <w:szCs w:val="21"/>
        </w:rPr>
      </w:pPr>
    </w:p>
    <w:p w14:paraId="38D994A6">
      <w:pPr>
        <w:wordWrap w:val="0"/>
        <w:overflowPunct w:val="0"/>
        <w:topLinePunct/>
        <w:spacing w:line="360" w:lineRule="auto"/>
        <w:rPr>
          <w:rFonts w:hint="eastAsia" w:ascii="宋体" w:hAnsi="宋体" w:eastAsia="宋体" w:cs="宋体"/>
          <w:color w:val="auto"/>
          <w:szCs w:val="21"/>
        </w:rPr>
      </w:pPr>
      <w:r>
        <w:rPr>
          <w:rFonts w:hint="eastAsia" w:ascii="宋体" w:hAnsi="宋体" w:eastAsia="宋体" w:cs="宋体"/>
          <w:b/>
          <w:color w:val="auto"/>
          <w:szCs w:val="21"/>
        </w:rPr>
        <w:t>注：附法定代表人（负责人）身份证原件</w:t>
      </w:r>
      <w:r>
        <w:rPr>
          <w:rFonts w:hint="eastAsia" w:ascii="宋体" w:hAnsi="宋体" w:eastAsia="宋体" w:cs="宋体"/>
          <w:b/>
          <w:color w:val="auto"/>
          <w:szCs w:val="21"/>
          <w:lang w:eastAsia="zh-CN"/>
        </w:rPr>
        <w:t>扫描件</w:t>
      </w:r>
      <w:r>
        <w:rPr>
          <w:rFonts w:hint="eastAsia" w:ascii="宋体" w:hAnsi="宋体" w:eastAsia="宋体" w:cs="宋体"/>
          <w:b/>
          <w:color w:val="auto"/>
          <w:szCs w:val="21"/>
        </w:rPr>
        <w:t>。</w:t>
      </w: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5C73258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7361FB8F">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1B746099">
            <w:pPr>
              <w:wordWrap w:val="0"/>
              <w:overflowPunct w:val="0"/>
              <w:topLinePunct/>
              <w:spacing w:line="460" w:lineRule="exact"/>
              <w:jc w:val="center"/>
              <w:rPr>
                <w:rFonts w:hint="eastAsia" w:ascii="宋体" w:hAnsi="宋体" w:eastAsia="宋体" w:cs="宋体"/>
                <w:color w:val="auto"/>
                <w:szCs w:val="21"/>
              </w:rPr>
            </w:pPr>
          </w:p>
          <w:p w14:paraId="5C935077">
            <w:pPr>
              <w:wordWrap w:val="0"/>
              <w:overflowPunct w:val="0"/>
              <w:topLinePunct/>
              <w:spacing w:line="460" w:lineRule="exact"/>
              <w:jc w:val="center"/>
              <w:rPr>
                <w:rFonts w:hint="eastAsia" w:ascii="宋体" w:hAnsi="宋体" w:eastAsia="宋体" w:cs="宋体"/>
                <w:color w:val="auto"/>
                <w:szCs w:val="21"/>
              </w:rPr>
            </w:pPr>
          </w:p>
        </w:tc>
        <w:tc>
          <w:tcPr>
            <w:tcW w:w="4793" w:type="dxa"/>
            <w:vAlign w:val="center"/>
          </w:tcPr>
          <w:p w14:paraId="2F2877A3">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法定代表人（负责人）身份证原件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61CDECFB">
      <w:pPr>
        <w:wordWrap w:val="0"/>
        <w:overflowPunct w:val="0"/>
        <w:topLinePunct/>
        <w:spacing w:line="360" w:lineRule="auto"/>
        <w:rPr>
          <w:rFonts w:hint="eastAsia" w:ascii="宋体" w:hAnsi="宋体" w:eastAsia="宋体" w:cs="宋体"/>
          <w:color w:val="auto"/>
          <w:szCs w:val="21"/>
        </w:rPr>
      </w:pPr>
    </w:p>
    <w:p w14:paraId="0E8F6FD9">
      <w:pPr>
        <w:wordWrap w:val="0"/>
        <w:overflowPunct w:val="0"/>
        <w:topLinePunct/>
        <w:spacing w:line="360" w:lineRule="auto"/>
        <w:jc w:val="center"/>
        <w:outlineLvl w:val="2"/>
        <w:rPr>
          <w:rFonts w:hint="eastAsia" w:ascii="宋体" w:hAnsi="宋体" w:eastAsia="宋体" w:cs="宋体"/>
          <w:color w:val="auto"/>
          <w:sz w:val="24"/>
        </w:rPr>
      </w:pPr>
      <w:bookmarkStart w:id="1357" w:name="_Toc14214"/>
      <w:bookmarkStart w:id="1358" w:name="_Toc18649"/>
      <w:bookmarkStart w:id="1359" w:name="_Toc29157"/>
      <w:bookmarkStart w:id="1360" w:name="_Toc24067"/>
      <w:bookmarkStart w:id="1361" w:name="_Toc27032"/>
      <w:bookmarkStart w:id="1362" w:name="_Toc30689"/>
      <w:bookmarkStart w:id="1363" w:name="_Toc15523"/>
      <w:bookmarkStart w:id="1364" w:name="_Toc29647"/>
      <w:bookmarkStart w:id="1365" w:name="_Toc16464"/>
      <w:bookmarkStart w:id="1366" w:name="_Toc10268"/>
      <w:bookmarkStart w:id="1367" w:name="_Toc22256"/>
      <w:bookmarkStart w:id="1368" w:name="_Toc1220"/>
      <w:bookmarkStart w:id="1369" w:name="_Toc29456"/>
      <w:bookmarkStart w:id="1370" w:name="_Toc22906"/>
    </w:p>
    <w:p w14:paraId="59935178">
      <w:pPr>
        <w:wordWrap w:val="0"/>
        <w:overflowPunct w:val="0"/>
        <w:topLinePunct/>
        <w:spacing w:line="360" w:lineRule="auto"/>
        <w:jc w:val="center"/>
        <w:outlineLvl w:val="2"/>
        <w:rPr>
          <w:rFonts w:hint="eastAsia" w:ascii="宋体" w:hAnsi="宋体" w:eastAsia="宋体" w:cs="宋体"/>
          <w:color w:val="auto"/>
          <w:sz w:val="24"/>
        </w:rPr>
      </w:pPr>
      <w:bookmarkStart w:id="1371" w:name="_Toc55"/>
      <w:bookmarkStart w:id="1372" w:name="_Toc14843"/>
      <w:bookmarkStart w:id="1373" w:name="_Toc21889"/>
      <w:bookmarkStart w:id="1374" w:name="_Toc10294"/>
      <w:bookmarkStart w:id="1375" w:name="_Toc29348"/>
      <w:bookmarkStart w:id="1376" w:name="_Toc18027"/>
      <w:bookmarkStart w:id="1377" w:name="_Toc24102"/>
      <w:bookmarkStart w:id="1378" w:name="_Toc28749"/>
      <w:bookmarkStart w:id="1379" w:name="_Toc9484"/>
      <w:bookmarkStart w:id="1380" w:name="_Toc15985"/>
      <w:bookmarkStart w:id="1381" w:name="_Toc3578"/>
      <w:bookmarkStart w:id="1382" w:name="_Toc31219"/>
      <w:bookmarkStart w:id="1383" w:name="_Toc27445"/>
      <w:bookmarkStart w:id="1384" w:name="_Toc28300"/>
      <w:bookmarkStart w:id="1385" w:name="_Toc31415"/>
      <w:bookmarkStart w:id="1386" w:name="_Toc15051"/>
      <w:bookmarkStart w:id="1387" w:name="_Toc30450"/>
      <w:bookmarkStart w:id="1388" w:name="_Toc32741"/>
      <w:bookmarkStart w:id="1389" w:name="_Toc25270"/>
      <w:bookmarkStart w:id="1390" w:name="_Toc22991"/>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p>
    <w:p w14:paraId="7A86955D">
      <w:pPr>
        <w:wordWrap w:val="0"/>
        <w:overflowPunct w:val="0"/>
        <w:topLinePunct/>
        <w:spacing w:line="360" w:lineRule="auto"/>
        <w:jc w:val="center"/>
        <w:outlineLvl w:val="1"/>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bookmarkStart w:id="1391" w:name="_Toc26113"/>
      <w:bookmarkStart w:id="1392" w:name="_Toc23556"/>
      <w:bookmarkStart w:id="1393" w:name="_Toc2876"/>
      <w:bookmarkStart w:id="1394" w:name="_Toc31942"/>
      <w:bookmarkStart w:id="1395" w:name="_Toc7571"/>
      <w:bookmarkStart w:id="1396" w:name="_Toc23390"/>
      <w:bookmarkStart w:id="1397" w:name="_Toc10705"/>
      <w:bookmarkStart w:id="1398" w:name="_Toc8856"/>
      <w:bookmarkStart w:id="1399" w:name="_Toc15294"/>
      <w:bookmarkStart w:id="1400" w:name="_Toc18576"/>
      <w:bookmarkStart w:id="1401" w:name="_Toc20508"/>
      <w:bookmarkStart w:id="1402" w:name="_Toc23041"/>
      <w:bookmarkStart w:id="1403" w:name="_Toc4487"/>
      <w:bookmarkStart w:id="1404" w:name="_Toc23117"/>
      <w:bookmarkStart w:id="1405" w:name="_Toc20023"/>
      <w:bookmarkStart w:id="1406" w:name="_Toc2136"/>
      <w:bookmarkStart w:id="1407" w:name="_Toc12133"/>
      <w:bookmarkStart w:id="1408" w:name="_Toc19695"/>
      <w:bookmarkStart w:id="1409" w:name="_Toc14874"/>
      <w:bookmarkStart w:id="1410" w:name="_Toc11794"/>
      <w:bookmarkStart w:id="1411" w:name="_Toc28135"/>
      <w:bookmarkStart w:id="1412" w:name="_Toc11384"/>
      <w:bookmarkStart w:id="1413" w:name="_Toc22087"/>
      <w:bookmarkStart w:id="1414" w:name="_Toc12658"/>
      <w:bookmarkStart w:id="1415" w:name="_Toc32288"/>
      <w:bookmarkStart w:id="1416" w:name="_Toc9847"/>
      <w:bookmarkStart w:id="1417" w:name="_Toc18846"/>
      <w:bookmarkStart w:id="1418" w:name="_Toc17725"/>
      <w:bookmarkStart w:id="1419" w:name="_Toc22685"/>
      <w:bookmarkStart w:id="1420" w:name="_Toc23274"/>
      <w:bookmarkStart w:id="1421" w:name="_Toc11921"/>
      <w:bookmarkStart w:id="1422" w:name="_Toc6487"/>
      <w:bookmarkStart w:id="1423" w:name="_Toc6752"/>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bookmarkStart w:id="1424" w:name="_Toc1763"/>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Start w:id="1425" w:name="_Toc89951846"/>
      <w:bookmarkStart w:id="1426" w:name="_Toc30636"/>
      <w:bookmarkStart w:id="1427" w:name="_Toc22693"/>
      <w:bookmarkStart w:id="1428" w:name="_Toc10117038"/>
      <w:bookmarkStart w:id="1429" w:name="_Toc16490"/>
      <w:bookmarkStart w:id="1430" w:name="_Toc6637"/>
      <w:bookmarkStart w:id="1431" w:name="_Toc5395"/>
      <w:bookmarkStart w:id="1432" w:name="_Toc17855"/>
      <w:bookmarkStart w:id="1433" w:name="_Toc5043"/>
      <w:bookmarkStart w:id="1434" w:name="_Toc18991"/>
      <w:bookmarkStart w:id="1435" w:name="_Toc2962"/>
      <w:bookmarkStart w:id="1436" w:name="_Toc14073"/>
      <w:bookmarkStart w:id="1437" w:name="_Toc21113"/>
      <w:bookmarkStart w:id="1438" w:name="_Toc30066"/>
      <w:bookmarkStart w:id="1439" w:name="_Toc17641"/>
      <w:bookmarkStart w:id="1440" w:name="_Toc23322"/>
      <w:bookmarkStart w:id="1441" w:name="_Toc20369"/>
      <w:bookmarkStart w:id="1442" w:name="_Toc27274"/>
      <w:bookmarkStart w:id="1443" w:name="_Toc8164"/>
      <w:bookmarkStart w:id="1444" w:name="_Toc19112"/>
      <w:bookmarkStart w:id="1445" w:name="_Toc20029"/>
      <w:bookmarkStart w:id="1446" w:name="_Toc5101"/>
      <w:bookmarkStart w:id="1447" w:name="_Toc13689"/>
      <w:bookmarkStart w:id="1448" w:name="_Toc18667"/>
      <w:bookmarkStart w:id="1449" w:name="_Toc16717"/>
      <w:bookmarkStart w:id="1450" w:name="_Toc4950"/>
      <w:bookmarkStart w:id="1451" w:name="_Toc22953"/>
      <w:bookmarkStart w:id="1452" w:name="_Toc18494"/>
    </w:p>
    <w:p w14:paraId="415635BD">
      <w:pPr>
        <w:wordWrap w:val="0"/>
        <w:overflowPunct w:val="0"/>
        <w:topLinePunct/>
        <w:spacing w:line="360" w:lineRule="auto"/>
        <w:jc w:val="center"/>
        <w:outlineLvl w:val="1"/>
        <w:rPr>
          <w:rFonts w:hint="eastAsia" w:ascii="宋体" w:hAnsi="宋体" w:eastAsia="宋体" w:cs="宋体"/>
          <w:b/>
          <w:bCs/>
          <w:color w:val="auto"/>
          <w:sz w:val="21"/>
          <w:szCs w:val="21"/>
        </w:rPr>
      </w:pPr>
      <w:bookmarkStart w:id="1453" w:name="_Toc17381"/>
      <w:bookmarkStart w:id="1454" w:name="_Toc26278"/>
      <w:bookmarkStart w:id="1455" w:name="_Toc20637"/>
      <w:bookmarkStart w:id="1456" w:name="_Toc32670"/>
      <w:r>
        <w:rPr>
          <w:rFonts w:hint="eastAsia" w:ascii="宋体" w:hAnsi="宋体" w:cs="宋体"/>
          <w:b/>
          <w:bCs/>
          <w:color w:val="auto"/>
          <w:sz w:val="28"/>
          <w:szCs w:val="28"/>
          <w:lang w:eastAsia="zh-CN"/>
        </w:rPr>
        <w:t>（</w:t>
      </w:r>
      <w:r>
        <w:rPr>
          <w:rFonts w:hint="eastAsia" w:ascii="宋体" w:hAnsi="宋体" w:cs="宋体"/>
          <w:b/>
          <w:bCs/>
          <w:color w:val="auto"/>
          <w:sz w:val="28"/>
          <w:szCs w:val="28"/>
          <w:lang w:val="en-US" w:eastAsia="zh-CN"/>
        </w:rPr>
        <w:t>4</w:t>
      </w:r>
      <w:r>
        <w:rPr>
          <w:rFonts w:hint="eastAsia" w:ascii="宋体" w:hAnsi="宋体" w:cs="宋体"/>
          <w:b/>
          <w:bCs/>
          <w:color w:val="auto"/>
          <w:sz w:val="28"/>
          <w:szCs w:val="28"/>
          <w:lang w:eastAsia="zh-CN"/>
        </w:rPr>
        <w:t>）</w:t>
      </w:r>
      <w:r>
        <w:rPr>
          <w:rFonts w:hint="eastAsia" w:ascii="宋体" w:hAnsi="宋体" w:eastAsia="宋体" w:cs="宋体"/>
          <w:b/>
          <w:bCs/>
          <w:color w:val="auto"/>
          <w:sz w:val="28"/>
          <w:szCs w:val="28"/>
        </w:rPr>
        <w:t>法定代表人（负责人）授权委托书</w:t>
      </w:r>
      <w:bookmarkEnd w:id="1425"/>
      <w:bookmarkEnd w:id="1426"/>
      <w:bookmarkEnd w:id="1427"/>
      <w:bookmarkEnd w:id="1428"/>
      <w:r>
        <w:rPr>
          <w:rFonts w:hint="eastAsia" w:ascii="宋体" w:hAnsi="宋体" w:eastAsia="宋体" w:cs="宋体"/>
          <w:b/>
          <w:bCs/>
          <w:color w:val="auto"/>
          <w:sz w:val="28"/>
          <w:szCs w:val="28"/>
        </w:rPr>
        <w:t>（若有）</w:t>
      </w:r>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p>
    <w:p w14:paraId="6BC48DA3">
      <w:pPr>
        <w:wordWrap w:val="0"/>
        <w:overflowPunct w:val="0"/>
        <w:topLinePunct/>
        <w:spacing w:line="360" w:lineRule="auto"/>
        <w:rPr>
          <w:rFonts w:hint="eastAsia" w:ascii="宋体" w:hAnsi="宋体" w:eastAsia="宋体" w:cs="宋体"/>
          <w:color w:val="auto"/>
          <w:szCs w:val="21"/>
        </w:rPr>
      </w:pPr>
    </w:p>
    <w:p w14:paraId="79FC8F41">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本授权委托书声明：我</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名称）</w:t>
      </w:r>
      <w:r>
        <w:rPr>
          <w:rFonts w:hint="eastAsia" w:ascii="宋体" w:hAnsi="宋体" w:eastAsia="宋体" w:cs="宋体"/>
          <w:color w:val="auto"/>
          <w:sz w:val="24"/>
        </w:rPr>
        <w:t>的法定代表人（负责人），现授权委托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 xml:space="preserve">名称）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为我方代理人，以我方名义签署、澄清、说明、补正、递交、撤回、修改（</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投标文件</w:t>
      </w:r>
      <w:r>
        <w:rPr>
          <w:rFonts w:hint="eastAsia" w:ascii="宋体" w:hAnsi="宋体" w:eastAsia="宋体" w:cs="宋体"/>
          <w:color w:val="auto"/>
          <w:sz w:val="24"/>
        </w:rPr>
        <w:t>、签订合同和处理有关事宜，其法律后果由我方承担。</w:t>
      </w:r>
    </w:p>
    <w:p w14:paraId="7FF1D7AB">
      <w:pPr>
        <w:wordWrap w:val="0"/>
        <w:overflowPunct w:val="0"/>
        <w:topLinePunct/>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33B51203">
      <w:pPr>
        <w:wordWrap w:val="0"/>
        <w:overflowPunct w:val="0"/>
        <w:topLinePunct/>
        <w:spacing w:line="360" w:lineRule="auto"/>
        <w:rPr>
          <w:rFonts w:hint="eastAsia" w:ascii="宋体" w:hAnsi="宋体" w:eastAsia="宋体" w:cs="宋体"/>
          <w:color w:val="auto"/>
          <w:sz w:val="24"/>
        </w:rPr>
      </w:pPr>
    </w:p>
    <w:p w14:paraId="19C98BC8">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供 应 商</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3DAA4FA8">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法定代表人（负责人）：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电子签章</w:t>
      </w:r>
      <w:r>
        <w:rPr>
          <w:rFonts w:hint="eastAsia" w:ascii="宋体" w:hAnsi="宋体" w:eastAsia="宋体" w:cs="宋体"/>
          <w:color w:val="auto"/>
          <w:sz w:val="24"/>
        </w:rPr>
        <w:t>）</w:t>
      </w:r>
    </w:p>
    <w:p w14:paraId="0937FC52">
      <w:pPr>
        <w:wordWrap w:val="0"/>
        <w:overflowPunct w:val="0"/>
        <w:topLinePunc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645EFB7D">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p>
    <w:p w14:paraId="3C1EEF55">
      <w:pPr>
        <w:wordWrap w:val="0"/>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身份证号码：</w:t>
      </w:r>
      <w:r>
        <w:rPr>
          <w:rFonts w:hint="eastAsia" w:ascii="宋体" w:hAnsi="宋体" w:eastAsia="宋体" w:cs="宋体"/>
          <w:color w:val="auto"/>
          <w:sz w:val="24"/>
          <w:u w:val="single"/>
        </w:rPr>
        <w:t xml:space="preserve">                         </w:t>
      </w:r>
    </w:p>
    <w:p w14:paraId="4A61B4E5">
      <w:pPr>
        <w:wordWrap w:val="0"/>
        <w:overflowPunct w:val="0"/>
        <w:topLinePunct/>
        <w:spacing w:line="360" w:lineRule="auto"/>
        <w:jc w:val="center"/>
        <w:rPr>
          <w:rFonts w:hint="eastAsia" w:ascii="宋体" w:hAnsi="宋体" w:eastAsia="宋体" w:cs="宋体"/>
          <w:color w:val="auto"/>
          <w:szCs w:val="21"/>
        </w:rPr>
      </w:pPr>
      <w:r>
        <w:rPr>
          <w:rFonts w:hint="eastAsia" w:ascii="宋体" w:hAnsi="宋体" w:eastAsia="宋体" w:cs="宋体"/>
          <w:color w:val="auto"/>
          <w:sz w:val="24"/>
        </w:rPr>
        <w:t>授权委托日期：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BD36CF6">
      <w:pPr>
        <w:wordWrap w:val="0"/>
        <w:overflowPunct w:val="0"/>
        <w:topLinePunct/>
        <w:spacing w:line="360" w:lineRule="auto"/>
        <w:rPr>
          <w:rFonts w:hint="eastAsia" w:ascii="宋体" w:hAnsi="宋体" w:eastAsia="宋体" w:cs="宋体"/>
          <w:color w:val="auto"/>
          <w:szCs w:val="21"/>
        </w:rPr>
      </w:pPr>
    </w:p>
    <w:tbl>
      <w:tblPr>
        <w:tblStyle w:val="67"/>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4C496C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8409A30">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正面</w:t>
            </w:r>
          </w:p>
        </w:tc>
        <w:tc>
          <w:tcPr>
            <w:tcW w:w="257" w:type="dxa"/>
            <w:tcBorders>
              <w:top w:val="nil"/>
              <w:bottom w:val="nil"/>
            </w:tcBorders>
            <w:vAlign w:val="center"/>
          </w:tcPr>
          <w:p w14:paraId="738FC6AC">
            <w:pPr>
              <w:wordWrap w:val="0"/>
              <w:overflowPunct w:val="0"/>
              <w:topLinePunct/>
              <w:spacing w:line="460" w:lineRule="exact"/>
              <w:jc w:val="center"/>
              <w:rPr>
                <w:rFonts w:hint="eastAsia" w:ascii="宋体" w:hAnsi="宋体" w:eastAsia="宋体" w:cs="宋体"/>
                <w:color w:val="auto"/>
                <w:szCs w:val="21"/>
              </w:rPr>
            </w:pPr>
          </w:p>
          <w:p w14:paraId="5FA68276">
            <w:pPr>
              <w:wordWrap w:val="0"/>
              <w:overflowPunct w:val="0"/>
              <w:topLinePunct/>
              <w:spacing w:line="460" w:lineRule="exact"/>
              <w:jc w:val="center"/>
              <w:rPr>
                <w:rFonts w:hint="eastAsia" w:ascii="宋体" w:hAnsi="宋体" w:eastAsia="宋体" w:cs="宋体"/>
                <w:color w:val="auto"/>
                <w:szCs w:val="21"/>
              </w:rPr>
            </w:pPr>
          </w:p>
        </w:tc>
        <w:tc>
          <w:tcPr>
            <w:tcW w:w="4674" w:type="dxa"/>
            <w:vAlign w:val="center"/>
          </w:tcPr>
          <w:p w14:paraId="08920193">
            <w:pPr>
              <w:wordWrap w:val="0"/>
              <w:overflowPunct w:val="0"/>
              <w:topLinePunct/>
              <w:spacing w:line="460" w:lineRule="exact"/>
              <w:jc w:val="center"/>
              <w:rPr>
                <w:rFonts w:hint="eastAsia" w:ascii="宋体" w:hAnsi="宋体" w:eastAsia="宋体" w:cs="宋体"/>
                <w:color w:val="auto"/>
                <w:szCs w:val="21"/>
              </w:rPr>
            </w:pPr>
            <w:r>
              <w:rPr>
                <w:rFonts w:hint="eastAsia" w:ascii="宋体" w:hAnsi="宋体" w:eastAsia="宋体" w:cs="宋体"/>
                <w:color w:val="auto"/>
                <w:szCs w:val="21"/>
              </w:rPr>
              <w:t>代理人身份证原件</w:t>
            </w:r>
            <w:r>
              <w:rPr>
                <w:rFonts w:hint="eastAsia" w:ascii="宋体" w:hAnsi="宋体" w:eastAsia="宋体" w:cs="宋体"/>
                <w:color w:val="auto"/>
                <w:szCs w:val="21"/>
                <w:lang w:eastAsia="zh-CN"/>
              </w:rPr>
              <w:t>扫描件</w:t>
            </w:r>
            <w:r>
              <w:rPr>
                <w:rFonts w:hint="eastAsia" w:ascii="宋体" w:hAnsi="宋体" w:eastAsia="宋体" w:cs="宋体"/>
                <w:color w:val="auto"/>
                <w:szCs w:val="21"/>
              </w:rPr>
              <w:t>背面</w:t>
            </w:r>
          </w:p>
        </w:tc>
      </w:tr>
    </w:tbl>
    <w:p w14:paraId="61F5E5FF">
      <w:pPr>
        <w:wordWrap w:val="0"/>
        <w:overflowPunct w:val="0"/>
        <w:topLinePunct/>
        <w:spacing w:line="360" w:lineRule="auto"/>
        <w:rPr>
          <w:rFonts w:hint="eastAsia" w:ascii="宋体" w:hAnsi="宋体" w:eastAsia="宋体" w:cs="宋体"/>
          <w:color w:val="auto"/>
          <w:szCs w:val="21"/>
        </w:rPr>
      </w:pPr>
    </w:p>
    <w:p w14:paraId="1246DC0D">
      <w:pPr>
        <w:widowControl w:val="0"/>
        <w:wordWrap w:val="0"/>
        <w:overflowPunct w:val="0"/>
        <w:topLinePunct/>
        <w:spacing w:after="0"/>
        <w:ind w:left="0" w:firstLine="422" w:firstLineChars="200"/>
        <w:jc w:val="left"/>
        <w:rPr>
          <w:rFonts w:hint="eastAsia" w:ascii="宋体" w:hAnsi="宋体" w:eastAsia="宋体" w:cs="宋体"/>
          <w:b/>
          <w:color w:val="auto"/>
          <w:kern w:val="2"/>
          <w:sz w:val="21"/>
          <w:szCs w:val="21"/>
          <w:lang w:val="en-US" w:eastAsia="zh-CN" w:bidi="ar-SA"/>
        </w:rPr>
      </w:pPr>
    </w:p>
    <w:p w14:paraId="1660A9C8">
      <w:pPr>
        <w:rPr>
          <w:rFonts w:hint="eastAsia" w:ascii="宋体" w:hAnsi="宋体" w:eastAsia="宋体" w:cs="宋体"/>
          <w:b/>
          <w:color w:val="auto"/>
          <w:sz w:val="21"/>
          <w:szCs w:val="21"/>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color w:val="auto"/>
          <w:kern w:val="2"/>
          <w:sz w:val="21"/>
          <w:szCs w:val="21"/>
          <w:lang w:val="en-US" w:eastAsia="zh-CN" w:bidi="ar-SA"/>
        </w:rPr>
        <w:t>注：附授权委托人身份证原件扫描件，如供应商由法定代表人（负责人）亲自签署响应文件并参与相关活动，则不需要办理授权。如有被授权的代理人签署上述文件，则必须按本格式规定填报并提交授权书，否则被授权的代理人将不被认可。</w:t>
      </w:r>
      <w:bookmarkStart w:id="1457" w:name="_Toc5671"/>
      <w:bookmarkStart w:id="1458" w:name="_Toc19503"/>
      <w:bookmarkStart w:id="1459" w:name="_Toc3751"/>
      <w:bookmarkStart w:id="1460" w:name="_Toc14030"/>
      <w:bookmarkStart w:id="1461" w:name="_Toc7472"/>
      <w:bookmarkStart w:id="1462" w:name="_Toc25082"/>
      <w:bookmarkStart w:id="1463" w:name="_Toc20304"/>
      <w:bookmarkStart w:id="1464" w:name="_Toc3893"/>
      <w:bookmarkStart w:id="1465" w:name="_Toc23833"/>
      <w:bookmarkStart w:id="1466" w:name="_Toc21664"/>
      <w:bookmarkStart w:id="1467" w:name="_Toc2811"/>
      <w:bookmarkStart w:id="1468" w:name="_Toc4341"/>
      <w:bookmarkStart w:id="1469" w:name="_Toc4795"/>
      <w:bookmarkStart w:id="1470" w:name="_Toc12747"/>
      <w:bookmarkStart w:id="1471" w:name="_Toc8211"/>
      <w:bookmarkStart w:id="1472" w:name="_Toc18692"/>
      <w:bookmarkStart w:id="1473" w:name="_Toc11687"/>
      <w:bookmarkStart w:id="1474" w:name="_Toc30079"/>
      <w:bookmarkStart w:id="1475" w:name="_Toc4894"/>
      <w:bookmarkStart w:id="1476" w:name="_Toc25299"/>
      <w:bookmarkStart w:id="1477" w:name="_Toc28918"/>
      <w:bookmarkStart w:id="1478" w:name="_Toc24423"/>
    </w:p>
    <w:p w14:paraId="2920A91B">
      <w:pPr>
        <w:widowControl w:val="0"/>
        <w:spacing w:after="120" w:line="240" w:lineRule="auto"/>
        <w:ind w:left="0" w:leftChars="0" w:firstLine="0" w:firstLineChars="0"/>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28"/>
          <w:szCs w:val="28"/>
          <w:lang w:val="en-US" w:eastAsia="zh-CN" w:bidi="ar-SA"/>
        </w:rPr>
        <w:t>二、具有良好的商业信誉和健全的财务会计制度</w:t>
      </w:r>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r>
        <w:rPr>
          <w:rFonts w:hint="eastAsia" w:ascii="宋体" w:hAnsi="宋体" w:eastAsia="宋体" w:cs="宋体"/>
          <w:b/>
          <w:bCs/>
          <w:color w:val="auto"/>
          <w:kern w:val="2"/>
          <w:sz w:val="28"/>
          <w:szCs w:val="28"/>
          <w:lang w:val="en-US" w:eastAsia="zh-CN" w:bidi="ar-SA"/>
        </w:rPr>
        <w:t>（实质性格式）</w:t>
      </w:r>
      <w:r>
        <w:rPr>
          <w:rFonts w:hint="eastAsia" w:ascii="宋体" w:hAnsi="宋体" w:eastAsia="宋体" w:cs="宋体"/>
          <w:b/>
          <w:bCs/>
          <w:color w:val="auto"/>
          <w:kern w:val="2"/>
          <w:sz w:val="32"/>
          <w:szCs w:val="32"/>
          <w:lang w:val="en-US" w:eastAsia="zh-CN" w:bidi="ar-SA"/>
        </w:rPr>
        <w:t xml:space="preserve"> </w:t>
      </w:r>
    </w:p>
    <w:p w14:paraId="200C8D0D">
      <w:pPr>
        <w:wordWrap w:val="0"/>
        <w:overflowPunct w:val="0"/>
        <w:topLinePunct/>
        <w:jc w:val="center"/>
        <w:outlineLvl w:val="2"/>
        <w:rPr>
          <w:rFonts w:hint="eastAsia" w:ascii="宋体" w:hAnsi="宋体" w:eastAsia="宋体" w:cs="宋体"/>
          <w:b/>
          <w:bCs/>
          <w:color w:val="auto"/>
          <w:sz w:val="32"/>
          <w:szCs w:val="32"/>
        </w:rPr>
      </w:pPr>
      <w:bookmarkStart w:id="1479" w:name="_Toc31866"/>
      <w:bookmarkStart w:id="1480" w:name="_Toc4499"/>
      <w:bookmarkStart w:id="1481" w:name="_Toc11588"/>
      <w:bookmarkStart w:id="1482" w:name="_Toc21457"/>
      <w:bookmarkStart w:id="1483" w:name="_Toc27974"/>
      <w:bookmarkStart w:id="1484" w:name="_Toc7774"/>
      <w:bookmarkStart w:id="1485" w:name="_Toc13341"/>
      <w:bookmarkStart w:id="1486" w:name="_Toc13801"/>
      <w:bookmarkStart w:id="1487" w:name="_Toc18630"/>
      <w:bookmarkStart w:id="1488" w:name="_Toc23018"/>
      <w:bookmarkStart w:id="1489" w:name="_Toc955"/>
      <w:bookmarkStart w:id="1490" w:name="_Toc32074"/>
      <w:bookmarkStart w:id="1491" w:name="_Toc28956"/>
    </w:p>
    <w:p w14:paraId="34BD678C">
      <w:pPr>
        <w:wordWrap w:val="0"/>
        <w:overflowPunct w:val="0"/>
        <w:topLinePunct/>
        <w:jc w:val="center"/>
        <w:outlineLvl w:val="2"/>
        <w:rPr>
          <w:rFonts w:hint="eastAsia" w:ascii="宋体" w:hAnsi="宋体" w:eastAsia="宋体" w:cs="宋体"/>
          <w:color w:val="auto"/>
          <w:sz w:val="22"/>
          <w:szCs w:val="21"/>
        </w:rPr>
      </w:pPr>
      <w:bookmarkStart w:id="1492" w:name="_Toc5127"/>
      <w:bookmarkStart w:id="1493" w:name="_Toc6626"/>
      <w:bookmarkStart w:id="1494" w:name="_Toc8527"/>
      <w:bookmarkStart w:id="1495" w:name="_Toc8588"/>
      <w:bookmarkStart w:id="1496" w:name="_Toc29924"/>
      <w:bookmarkStart w:id="1497" w:name="_Toc8129"/>
      <w:bookmarkStart w:id="1498" w:name="_Toc9153"/>
      <w:bookmarkStart w:id="1499" w:name="_Toc31350"/>
      <w:bookmarkStart w:id="1500" w:name="_Toc5692"/>
      <w:bookmarkStart w:id="1501" w:name="_Toc22015"/>
      <w:bookmarkStart w:id="1502" w:name="_Toc7655"/>
      <w:bookmarkStart w:id="1503" w:name="_Toc29101"/>
      <w:bookmarkStart w:id="1504" w:name="_Toc4169"/>
      <w:bookmarkStart w:id="1505" w:name="_Toc18310"/>
      <w:bookmarkStart w:id="1506" w:name="_Toc25189"/>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商业信誉承诺书</w:t>
      </w:r>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p>
    <w:p w14:paraId="5BC3FB6B">
      <w:pPr>
        <w:wordWrap w:val="0"/>
        <w:overflowPunct w:val="0"/>
        <w:topLinePunct/>
        <w:spacing w:line="360" w:lineRule="auto"/>
        <w:jc w:val="left"/>
        <w:rPr>
          <w:rFonts w:hint="default" w:ascii="宋体" w:hAnsi="宋体" w:eastAsia="宋体" w:cs="宋体"/>
          <w:color w:val="auto"/>
          <w:sz w:val="24"/>
          <w:u w:val="single"/>
          <w:lang w:val="en-US"/>
        </w:rPr>
      </w:pPr>
      <w:r>
        <w:rPr>
          <w:rFonts w:hint="eastAsia" w:ascii="宋体" w:hAnsi="宋体" w:eastAsia="宋体" w:cs="宋体"/>
          <w:color w:val="auto"/>
          <w:sz w:val="24"/>
        </w:rPr>
        <w:t>致：</w:t>
      </w: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、楚雄腾凯工程项目管理有限公司</w:t>
      </w:r>
      <w:r>
        <w:rPr>
          <w:rFonts w:hint="eastAsia" w:ascii="宋体" w:hAnsi="宋体" w:eastAsia="宋体" w:cs="宋体"/>
          <w:i w:val="0"/>
          <w:iCs w:val="0"/>
          <w:color w:val="auto"/>
          <w:sz w:val="24"/>
          <w:szCs w:val="24"/>
          <w:u w:val="single"/>
          <w:lang w:val="en-US" w:eastAsia="zh-CN"/>
        </w:rPr>
        <w:t>（采购代理机构）</w:t>
      </w:r>
    </w:p>
    <w:p w14:paraId="31C2C281">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根据贵方组织的（</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采购活动的资质审查标准规定，我单位郑重承诺：</w:t>
      </w:r>
    </w:p>
    <w:p w14:paraId="115BC09D">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最近三年内，我方无被责令停业或破产的情况；没有被暂停或取消过投标资格；财产没有被接管或冻结；无骗取中标或严重违约现象；法定代表人、财务及其他部门负责人最近三年内无违反法律法规的行为；未发生过重大责任性质量事故；未受到过行政主管部门的通报和处罚；无不良记录。</w:t>
      </w:r>
    </w:p>
    <w:p w14:paraId="1CB881B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我方所做上述承诺信息真实有效，若有不实，我方愿意无条件自动放弃投、中标资格，并自愿放弃退还投标保证金。</w:t>
      </w:r>
    </w:p>
    <w:p w14:paraId="1F9A4E0E">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7B02399C">
      <w:pPr>
        <w:widowControl w:val="0"/>
        <w:wordWrap w:val="0"/>
        <w:overflowPunct w:val="0"/>
        <w:topLinePunct/>
        <w:ind w:left="0" w:leftChars="0" w:firstLine="0" w:firstLineChars="0"/>
        <w:rPr>
          <w:rFonts w:hint="eastAsia" w:ascii="宋体" w:hAnsi="宋体" w:eastAsia="宋体" w:cs="宋体"/>
          <w:color w:val="auto"/>
          <w:sz w:val="21"/>
          <w:szCs w:val="21"/>
          <w:lang w:val="en-US" w:eastAsia="en-US" w:bidi="ar-SA"/>
        </w:rPr>
      </w:pPr>
    </w:p>
    <w:p w14:paraId="0FDD6C7E">
      <w:pPr>
        <w:wordWrap w:val="0"/>
        <w:overflowPunct w:val="0"/>
        <w:topLinePunct/>
        <w:rPr>
          <w:rFonts w:hint="eastAsia" w:ascii="宋体" w:hAnsi="宋体" w:eastAsia="宋体" w:cs="宋体"/>
          <w:color w:val="auto"/>
        </w:rPr>
      </w:pPr>
    </w:p>
    <w:p w14:paraId="44053C54">
      <w:pPr>
        <w:wordWrap w:val="0"/>
        <w:overflowPunct w:val="0"/>
        <w:topLinePunct/>
        <w:spacing w:line="360" w:lineRule="auto"/>
        <w:rPr>
          <w:rFonts w:hint="eastAsia" w:ascii="宋体" w:hAnsi="宋体" w:eastAsia="宋体" w:cs="宋体"/>
          <w:color w:val="auto"/>
          <w:sz w:val="24"/>
        </w:rPr>
      </w:pPr>
    </w:p>
    <w:p w14:paraId="5B41CFC5">
      <w:pPr>
        <w:wordWrap w:val="0"/>
        <w:overflowPunct w:val="0"/>
        <w:topLinePunct/>
        <w:spacing w:line="360" w:lineRule="auto"/>
        <w:jc w:val="center"/>
        <w:rPr>
          <w:rFonts w:hint="eastAsia" w:ascii="宋体" w:hAnsi="宋体" w:eastAsia="宋体" w:cs="宋体"/>
          <w:color w:val="auto"/>
          <w:sz w:val="24"/>
        </w:rPr>
      </w:pPr>
    </w:p>
    <w:p w14:paraId="2BF88C83">
      <w:pPr>
        <w:wordWrap w:val="0"/>
        <w:overflowPunct w:val="0"/>
        <w:topLinePunct/>
        <w:spacing w:line="360" w:lineRule="auto"/>
        <w:jc w:val="center"/>
        <w:rPr>
          <w:rFonts w:hint="eastAsia" w:ascii="宋体" w:hAnsi="宋体" w:eastAsia="宋体" w:cs="宋体"/>
          <w:color w:val="auto"/>
          <w:sz w:val="24"/>
        </w:rPr>
      </w:pPr>
    </w:p>
    <w:p w14:paraId="0733C2DE">
      <w:pPr>
        <w:wordWrap w:val="0"/>
        <w:overflowPunct w:val="0"/>
        <w:topLinePunct/>
        <w:spacing w:line="360" w:lineRule="auto"/>
        <w:rPr>
          <w:rFonts w:hint="eastAsia" w:ascii="宋体" w:hAnsi="宋体" w:eastAsia="宋体" w:cs="宋体"/>
          <w:color w:val="auto"/>
          <w:sz w:val="24"/>
        </w:rPr>
      </w:pPr>
    </w:p>
    <w:p w14:paraId="231A4F7B">
      <w:pPr>
        <w:wordWrap w:val="0"/>
        <w:overflowPunct w:val="0"/>
        <w:topLinePunct/>
        <w:spacing w:line="360" w:lineRule="auto"/>
        <w:jc w:val="left"/>
        <w:rPr>
          <w:rFonts w:hint="eastAsia" w:ascii="宋体" w:hAnsi="宋体" w:eastAsia="宋体" w:cs="宋体"/>
          <w:color w:val="auto"/>
          <w:sz w:val="24"/>
          <w:lang w:eastAsia="zh-CN"/>
        </w:rPr>
      </w:pPr>
    </w:p>
    <w:p w14:paraId="59E143EB">
      <w:pPr>
        <w:wordWrap w:val="0"/>
        <w:overflowPunct w:val="0"/>
        <w:topLinePunct/>
        <w:spacing w:line="360" w:lineRule="auto"/>
        <w:jc w:val="left"/>
        <w:rPr>
          <w:rFonts w:hint="eastAsia" w:ascii="宋体" w:hAnsi="宋体" w:eastAsia="宋体" w:cs="宋体"/>
          <w:color w:val="auto"/>
          <w:sz w:val="24"/>
          <w:lang w:eastAsia="zh-CN"/>
        </w:rPr>
      </w:pPr>
    </w:p>
    <w:p w14:paraId="28C11555">
      <w:pPr>
        <w:wordWrap w:val="0"/>
        <w:overflowPunct w:val="0"/>
        <w:topLinePunct/>
        <w:spacing w:line="360" w:lineRule="auto"/>
        <w:jc w:val="left"/>
        <w:rPr>
          <w:rFonts w:hint="eastAsia" w:ascii="宋体" w:hAnsi="宋体" w:eastAsia="宋体" w:cs="宋体"/>
          <w:color w:val="auto"/>
          <w:sz w:val="24"/>
          <w:lang w:eastAsia="zh-CN"/>
        </w:rPr>
      </w:pPr>
    </w:p>
    <w:p w14:paraId="42053746">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A077D47">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60F00F34">
      <w:pPr>
        <w:wordWrap w:val="0"/>
        <w:overflowPunct w:val="0"/>
        <w:topLinePunct/>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sz w:val="24"/>
          <w:szCs w:val="21"/>
          <w:lang w:val="en-US" w:eastAsia="en-US" w:bidi="ar-SA"/>
        </w:rPr>
        <w:t>日期：</w:t>
      </w:r>
      <w:r>
        <w:rPr>
          <w:rFonts w:hint="eastAsia" w:ascii="宋体" w:hAnsi="宋体" w:eastAsia="宋体" w:cs="宋体"/>
          <w:color w:val="auto"/>
          <w:sz w:val="24"/>
          <w:szCs w:val="21"/>
          <w:u w:val="single"/>
          <w:lang w:val="en-US" w:eastAsia="en-US" w:bidi="ar-SA"/>
        </w:rPr>
        <w:t xml:space="preserve">     </w:t>
      </w:r>
      <w:r>
        <w:rPr>
          <w:rFonts w:hint="eastAsia" w:ascii="宋体" w:hAnsi="宋体" w:eastAsia="宋体" w:cs="宋体"/>
          <w:color w:val="auto"/>
          <w:sz w:val="24"/>
          <w:szCs w:val="21"/>
          <w:lang w:val="en-US" w:eastAsia="en-US" w:bidi="ar-SA"/>
        </w:rPr>
        <w:t>年</w:t>
      </w:r>
      <w:r>
        <w:rPr>
          <w:rFonts w:hint="eastAsia" w:ascii="宋体" w:hAnsi="宋体" w:eastAsia="宋体" w:cs="宋体"/>
          <w:color w:val="auto"/>
          <w:sz w:val="24"/>
          <w:szCs w:val="21"/>
          <w:u w:val="single"/>
          <w:lang w:val="en-US" w:eastAsia="en-US" w:bidi="ar-SA"/>
        </w:rPr>
        <w:t xml:space="preserve">     </w:t>
      </w:r>
      <w:r>
        <w:rPr>
          <w:rFonts w:hint="eastAsia" w:ascii="宋体" w:hAnsi="宋体" w:eastAsia="宋体" w:cs="宋体"/>
          <w:color w:val="auto"/>
          <w:sz w:val="24"/>
          <w:szCs w:val="21"/>
          <w:lang w:val="en-US" w:eastAsia="en-US" w:bidi="ar-SA"/>
        </w:rPr>
        <w:t>月</w:t>
      </w:r>
      <w:r>
        <w:rPr>
          <w:rFonts w:hint="eastAsia" w:ascii="宋体" w:hAnsi="宋体" w:eastAsia="宋体" w:cs="宋体"/>
          <w:color w:val="auto"/>
          <w:sz w:val="24"/>
          <w:szCs w:val="21"/>
          <w:u w:val="single"/>
          <w:lang w:val="en-US" w:eastAsia="en-US" w:bidi="ar-SA"/>
        </w:rPr>
        <w:t xml:space="preserve">     </w:t>
      </w:r>
      <w:r>
        <w:rPr>
          <w:rFonts w:hint="eastAsia" w:ascii="宋体" w:hAnsi="宋体" w:eastAsia="宋体" w:cs="宋体"/>
          <w:color w:val="auto"/>
          <w:sz w:val="24"/>
          <w:szCs w:val="21"/>
          <w:lang w:val="en-US" w:eastAsia="en-US" w:bidi="ar-SA"/>
        </w:rPr>
        <w:t>日</w:t>
      </w:r>
    </w:p>
    <w:p w14:paraId="59F3C1D1">
      <w:pPr>
        <w:widowControl w:val="0"/>
        <w:wordWrap w:val="0"/>
        <w:overflowPunct w:val="0"/>
        <w:topLinePunct/>
        <w:ind w:left="100"/>
        <w:jc w:val="center"/>
        <w:rPr>
          <w:rFonts w:hint="eastAsia" w:ascii="宋体" w:hAnsi="宋体" w:eastAsia="宋体" w:cs="宋体"/>
          <w:b/>
          <w:color w:val="auto"/>
          <w:sz w:val="32"/>
          <w:szCs w:val="32"/>
          <w:lang w:val="en-US" w:eastAsia="en-US" w:bidi="ar-SA"/>
        </w:rPr>
      </w:pPr>
      <w:r>
        <w:rPr>
          <w:rFonts w:hint="eastAsia" w:ascii="宋体" w:hAnsi="宋体" w:eastAsia="宋体" w:cs="宋体"/>
          <w:b/>
          <w:bCs/>
          <w:color w:val="auto"/>
          <w:sz w:val="28"/>
          <w:szCs w:val="28"/>
          <w:lang w:val="en-US" w:eastAsia="zh-CN" w:bidi="ar-SA"/>
        </w:rPr>
        <w:t>（2）</w:t>
      </w:r>
      <w:r>
        <w:rPr>
          <w:rFonts w:hint="eastAsia" w:ascii="宋体" w:hAnsi="宋体" w:eastAsia="宋体" w:cs="宋体"/>
          <w:b/>
          <w:bCs/>
          <w:color w:val="auto"/>
          <w:sz w:val="28"/>
          <w:szCs w:val="28"/>
          <w:lang w:val="en-US" w:eastAsia="en-US" w:bidi="ar-SA"/>
        </w:rPr>
        <w:t>具有健全的财务会计制度的承诺函</w:t>
      </w:r>
    </w:p>
    <w:p w14:paraId="6F9C6A22">
      <w:pPr>
        <w:wordWrap w:val="0"/>
        <w:spacing w:line="360" w:lineRule="auto"/>
        <w:jc w:val="left"/>
        <w:rPr>
          <w:rFonts w:hint="eastAsia" w:ascii="宋体" w:hAnsi="宋体" w:eastAsia="宋体" w:cs="宋体"/>
          <w:color w:val="auto"/>
          <w:sz w:val="24"/>
        </w:rPr>
      </w:pPr>
    </w:p>
    <w:p w14:paraId="1EE3ECD4">
      <w:pPr>
        <w:wordWrap w:val="0"/>
        <w:spacing w:line="360" w:lineRule="auto"/>
        <w:jc w:val="left"/>
        <w:rPr>
          <w:rFonts w:hint="default" w:ascii="宋体" w:hAnsi="宋体" w:eastAsia="宋体" w:cs="宋体"/>
          <w:color w:val="auto"/>
          <w:kern w:val="0"/>
          <w:sz w:val="24"/>
          <w:lang w:val="en-US" w:eastAsia="zh-CN" w:bidi="ar"/>
        </w:rPr>
      </w:pPr>
      <w:r>
        <w:rPr>
          <w:rFonts w:hint="eastAsia" w:ascii="宋体" w:hAnsi="宋体" w:eastAsia="宋体" w:cs="宋体"/>
          <w:color w:val="auto"/>
          <w:sz w:val="24"/>
        </w:rPr>
        <w:t>致：</w:t>
      </w: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、楚雄腾凯工程项目管理有限公司</w:t>
      </w:r>
      <w:r>
        <w:rPr>
          <w:rFonts w:hint="eastAsia" w:ascii="宋体" w:hAnsi="宋体" w:eastAsia="宋体" w:cs="宋体"/>
          <w:i w:val="0"/>
          <w:iCs w:val="0"/>
          <w:color w:val="auto"/>
          <w:sz w:val="24"/>
          <w:szCs w:val="24"/>
          <w:u w:val="single"/>
          <w:lang w:val="en-US" w:eastAsia="zh-CN"/>
        </w:rPr>
        <w:t>（采购代理机构）</w:t>
      </w:r>
    </w:p>
    <w:p w14:paraId="235D426D">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1、我公司认真贯彻执行国家有关财务管理的</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，确保财务工作的合法性。 </w:t>
      </w:r>
    </w:p>
    <w:p w14:paraId="4FE14812">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2、遵照《</w:t>
      </w:r>
      <w:r>
        <w:rPr>
          <w:rFonts w:hint="eastAsia" w:ascii="宋体" w:hAnsi="宋体" w:eastAsia="宋体" w:cs="宋体"/>
          <w:color w:val="auto"/>
          <w:sz w:val="24"/>
          <w:lang w:eastAsia="zh-CN"/>
        </w:rPr>
        <w:t>中华人民共和国会计法》《</w:t>
      </w:r>
      <w:r>
        <w:rPr>
          <w:rFonts w:hint="eastAsia" w:ascii="宋体" w:hAnsi="宋体" w:eastAsia="宋体" w:cs="宋体"/>
          <w:color w:val="auto"/>
          <w:sz w:val="24"/>
        </w:rPr>
        <w:t>企业会计准则》和国家相关法规要求，建立账册、财务制度。</w:t>
      </w:r>
    </w:p>
    <w:p w14:paraId="2F46674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3、及时进行账务处理和财务报表出具，分析财务预算、计划的执行情况，检查监督财务纪律的执行情况。</w:t>
      </w:r>
    </w:p>
    <w:p w14:paraId="502071A5">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4、积极为经营管理服务，通过财务监督发现问题，提出改进意见，促进公司取得较好的经济效益。</w:t>
      </w:r>
    </w:p>
    <w:p w14:paraId="390B296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5、积极主动与有关机构及财政、税务、银行部门沟通，及时掌握相关法律法规的变化，有效规范财务工作，及时提供财务报表和有关资料。</w:t>
      </w:r>
    </w:p>
    <w:p w14:paraId="67693E75">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6、及时依法上缴各项税收，在合规合法条件下做好纳税筹划等。</w:t>
      </w:r>
    </w:p>
    <w:p w14:paraId="13F9013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7、自觉接受财政、税务、审计等部门的监督，如实提供会计凭证、会计账簿、会计报表和其他会计资料以及有关情况，不拒绝、隐匿、谎报。</w:t>
      </w:r>
    </w:p>
    <w:p w14:paraId="0CB77A0F">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我公司承诺严格执行国家统一的会计</w:t>
      </w:r>
      <w:r>
        <w:rPr>
          <w:rFonts w:hint="eastAsia" w:ascii="宋体" w:hAnsi="宋体" w:eastAsia="宋体" w:cs="宋体"/>
          <w:color w:val="auto"/>
          <w:sz w:val="24"/>
          <w:lang w:eastAsia="zh-CN"/>
        </w:rPr>
        <w:t>法律法规</w:t>
      </w:r>
      <w:r>
        <w:rPr>
          <w:rFonts w:hint="eastAsia" w:ascii="宋体" w:hAnsi="宋体" w:eastAsia="宋体" w:cs="宋体"/>
          <w:color w:val="auto"/>
          <w:sz w:val="24"/>
        </w:rPr>
        <w:t xml:space="preserve">，具有健全的财务会计制度如查询我公司有违反国家法律法规所规定，我公司将自愿接受处罚。 </w:t>
      </w:r>
    </w:p>
    <w:p w14:paraId="567443E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特此承诺!</w:t>
      </w:r>
    </w:p>
    <w:p w14:paraId="50738AB9">
      <w:pPr>
        <w:wordWrap w:val="0"/>
        <w:overflowPunct w:val="0"/>
        <w:topLinePunct/>
        <w:spacing w:line="360" w:lineRule="auto"/>
        <w:jc w:val="both"/>
        <w:rPr>
          <w:rFonts w:hint="eastAsia" w:ascii="宋体" w:hAnsi="宋体" w:eastAsia="宋体" w:cs="宋体"/>
          <w:color w:val="auto"/>
          <w:sz w:val="24"/>
        </w:rPr>
      </w:pPr>
    </w:p>
    <w:p w14:paraId="0110C13D">
      <w:pPr>
        <w:wordWrap w:val="0"/>
        <w:overflowPunct w:val="0"/>
        <w:topLinePunct/>
        <w:spacing w:line="360" w:lineRule="auto"/>
        <w:jc w:val="left"/>
        <w:rPr>
          <w:rFonts w:hint="eastAsia" w:ascii="宋体" w:hAnsi="宋体" w:eastAsia="宋体" w:cs="宋体"/>
          <w:color w:val="auto"/>
          <w:sz w:val="24"/>
          <w:lang w:eastAsia="zh-CN"/>
        </w:rPr>
      </w:pPr>
    </w:p>
    <w:p w14:paraId="2201EC9C">
      <w:pPr>
        <w:wordWrap w:val="0"/>
        <w:overflowPunct w:val="0"/>
        <w:topLinePunct/>
        <w:spacing w:line="360" w:lineRule="auto"/>
        <w:jc w:val="left"/>
        <w:rPr>
          <w:rFonts w:hint="eastAsia" w:ascii="宋体" w:hAnsi="宋体" w:eastAsia="宋体" w:cs="宋体"/>
          <w:color w:val="auto"/>
          <w:sz w:val="24"/>
          <w:lang w:eastAsia="zh-CN"/>
        </w:rPr>
      </w:pPr>
    </w:p>
    <w:p w14:paraId="1CA08C89">
      <w:pPr>
        <w:wordWrap w:val="0"/>
        <w:overflowPunct w:val="0"/>
        <w:topLinePunct/>
        <w:spacing w:line="360" w:lineRule="auto"/>
        <w:jc w:val="left"/>
        <w:rPr>
          <w:rFonts w:hint="eastAsia" w:ascii="宋体" w:hAnsi="宋体" w:eastAsia="宋体" w:cs="宋体"/>
          <w:color w:val="auto"/>
          <w:sz w:val="24"/>
          <w:lang w:eastAsia="zh-CN"/>
        </w:rPr>
      </w:pPr>
    </w:p>
    <w:p w14:paraId="330BE532">
      <w:pPr>
        <w:wordWrap w:val="0"/>
        <w:overflowPunct w:val="0"/>
        <w:topLinePunct/>
        <w:spacing w:line="360" w:lineRule="auto"/>
        <w:jc w:val="left"/>
        <w:rPr>
          <w:rFonts w:hint="eastAsia" w:ascii="宋体" w:hAnsi="宋体" w:eastAsia="宋体" w:cs="宋体"/>
          <w:color w:val="auto"/>
          <w:sz w:val="24"/>
          <w:lang w:eastAsia="zh-CN"/>
        </w:rPr>
      </w:pPr>
    </w:p>
    <w:p w14:paraId="53FC21E1">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6658E16A">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7BC3E4EC">
      <w:pPr>
        <w:ind w:left="0" w:leftChars="0" w:firstLine="0" w:firstLineChars="0"/>
        <w:jc w:val="left"/>
        <w:rPr>
          <w:rFonts w:hint="eastAsia" w:ascii="宋体" w:hAnsi="宋体" w:eastAsia="宋体" w:cs="宋体"/>
          <w:color w:val="auto"/>
          <w:sz w:val="24"/>
          <w:szCs w:val="24"/>
        </w:rPr>
        <w:sectPr>
          <w:pgSz w:w="11906" w:h="16838"/>
          <w:pgMar w:top="1440" w:right="1080" w:bottom="1440" w:left="1080" w:header="851" w:footer="992" w:gutter="0"/>
          <w:pgNumType w:fmt="decimal"/>
          <w:cols w:space="425" w:num="1"/>
          <w:rtlGutter w:val="0"/>
          <w:docGrid w:type="lines" w:linePitch="312" w:charSpace="0"/>
        </w:sectPr>
      </w:pPr>
      <w:bookmarkStart w:id="1507" w:name="_Toc24317"/>
      <w:bookmarkStart w:id="1508" w:name="_Toc17428"/>
      <w:bookmarkStart w:id="1509" w:name="_Toc14277"/>
      <w:bookmarkStart w:id="1510" w:name="_Toc23539"/>
      <w:bookmarkStart w:id="1511" w:name="_Toc26191"/>
      <w:r>
        <w:rPr>
          <w:rFonts w:hint="eastAsia" w:ascii="宋体" w:hAnsi="宋体" w:eastAsia="宋体" w:cs="宋体"/>
          <w:b w:val="0"/>
          <w:color w:val="auto"/>
          <w:kern w:val="2"/>
          <w:sz w:val="24"/>
          <w:szCs w:val="24"/>
          <w:lang w:val="en-US" w:eastAsia="zh-CN" w:bidi="ar-SA"/>
        </w:rPr>
        <w:t>日期：</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年</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月</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日</w:t>
      </w:r>
      <w:bookmarkEnd w:id="1507"/>
      <w:bookmarkEnd w:id="1508"/>
      <w:bookmarkEnd w:id="1509"/>
      <w:bookmarkEnd w:id="1510"/>
      <w:bookmarkEnd w:id="1511"/>
      <w:bookmarkStart w:id="1512" w:name="_Toc29987"/>
      <w:bookmarkStart w:id="1513" w:name="_Toc21554"/>
      <w:bookmarkStart w:id="1514" w:name="_Toc11937"/>
      <w:bookmarkStart w:id="1515" w:name="_Toc16897"/>
      <w:bookmarkStart w:id="1516" w:name="_Toc16253"/>
      <w:bookmarkStart w:id="1517" w:name="_Toc24217"/>
      <w:bookmarkStart w:id="1518" w:name="_Toc9048"/>
      <w:bookmarkStart w:id="1519" w:name="_Toc29390"/>
      <w:bookmarkStart w:id="1520" w:name="_Toc32071"/>
      <w:bookmarkStart w:id="1521" w:name="_Toc11047"/>
      <w:bookmarkStart w:id="1522" w:name="_Toc32653"/>
      <w:bookmarkStart w:id="1523" w:name="_Toc18160"/>
      <w:bookmarkStart w:id="1524" w:name="_Toc6785"/>
      <w:bookmarkStart w:id="1525" w:name="_Toc9776"/>
      <w:bookmarkStart w:id="1526" w:name="_Toc3873"/>
      <w:bookmarkStart w:id="1527" w:name="_Toc25957"/>
      <w:bookmarkStart w:id="1528" w:name="_Toc32727"/>
    </w:p>
    <w:p w14:paraId="22BEB0A7">
      <w:pPr>
        <w:widowControl w:val="0"/>
        <w:spacing w:after="120" w:line="240" w:lineRule="auto"/>
        <w:ind w:left="0" w:leftChars="0" w:firstLine="0" w:firstLineChars="0"/>
        <w:jc w:val="center"/>
        <w:rPr>
          <w:rFonts w:hint="eastAsia" w:ascii="宋体" w:hAnsi="宋体" w:eastAsia="宋体" w:cs="宋体"/>
          <w:b/>
          <w:bCs/>
          <w:color w:val="auto"/>
          <w:kern w:val="0"/>
          <w:sz w:val="28"/>
          <w:szCs w:val="28"/>
          <w:lang w:val="en-US" w:eastAsia="zh-CN" w:bidi="ar"/>
        </w:rPr>
      </w:pPr>
      <w:r>
        <w:rPr>
          <w:rFonts w:hint="eastAsia" w:ascii="宋体" w:hAnsi="宋体" w:eastAsia="宋体" w:cs="宋体"/>
          <w:b/>
          <w:bCs/>
          <w:color w:val="auto"/>
          <w:kern w:val="2"/>
          <w:sz w:val="28"/>
          <w:szCs w:val="28"/>
          <w:lang w:val="en-US" w:eastAsia="zh-CN" w:bidi="ar-SA"/>
        </w:rPr>
        <w:t>三、</w:t>
      </w:r>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r>
        <w:rPr>
          <w:rFonts w:hint="eastAsia" w:ascii="宋体" w:hAnsi="宋体" w:eastAsia="宋体" w:cs="宋体"/>
          <w:b/>
          <w:bCs/>
          <w:color w:val="auto"/>
          <w:kern w:val="0"/>
          <w:sz w:val="28"/>
          <w:szCs w:val="28"/>
          <w:lang w:val="en-US" w:eastAsia="zh-CN" w:bidi="ar"/>
        </w:rPr>
        <w:t>具有履行合同所必需的设备和专业技术能力的承诺函（实质性格式）</w:t>
      </w:r>
    </w:p>
    <w:p w14:paraId="1175AE6D">
      <w:pPr>
        <w:wordWrap w:val="0"/>
        <w:overflowPunct w:val="0"/>
        <w:topLinePunct/>
        <w:spacing w:line="360" w:lineRule="auto"/>
        <w:ind w:firstLine="480" w:firstLineChars="200"/>
        <w:jc w:val="left"/>
        <w:rPr>
          <w:rFonts w:hint="eastAsia" w:ascii="宋体" w:hAnsi="宋体" w:eastAsia="宋体" w:cs="宋体"/>
          <w:color w:val="auto"/>
          <w:kern w:val="0"/>
          <w:sz w:val="24"/>
          <w:lang w:bidi="ar"/>
        </w:rPr>
      </w:pPr>
    </w:p>
    <w:p w14:paraId="69D7E01C">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做出如下承诺： </w:t>
      </w:r>
    </w:p>
    <w:p w14:paraId="2FE4ED9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本公司完全具备履行本项目合同所必需的供货、安装、专业售后团队、培训相关人员能力，随时接受</w:t>
      </w:r>
      <w:r>
        <w:rPr>
          <w:rFonts w:hint="eastAsia" w:ascii="宋体" w:hAnsi="宋体" w:eastAsia="宋体" w:cs="宋体"/>
          <w:color w:val="auto"/>
          <w:kern w:val="0"/>
          <w:sz w:val="24"/>
          <w:lang w:eastAsia="zh-CN" w:bidi="ar"/>
        </w:rPr>
        <w:t>采购人</w:t>
      </w:r>
      <w:r>
        <w:rPr>
          <w:rFonts w:hint="eastAsia" w:ascii="宋体" w:hAnsi="宋体" w:eastAsia="宋体" w:cs="宋体"/>
          <w:color w:val="auto"/>
          <w:kern w:val="0"/>
          <w:sz w:val="24"/>
          <w:lang w:bidi="ar"/>
        </w:rPr>
        <w:t xml:space="preserve">的检查验证。如违反上述承诺，本公司将按照政府采购法有关规定接受处罚，并通过相关政府采购媒体予以公布。 </w:t>
      </w:r>
    </w:p>
    <w:p w14:paraId="17BEF7A7">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 xml:space="preserve">其他需要说明的事项（如无可不填报）： </w:t>
      </w:r>
    </w:p>
    <w:p w14:paraId="77101808">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u w:val="single"/>
          <w:lang w:bidi="ar"/>
        </w:rPr>
        <w:t xml:space="preserve">                                                               </w:t>
      </w:r>
      <w:r>
        <w:rPr>
          <w:rFonts w:hint="eastAsia" w:ascii="宋体" w:hAnsi="宋体" w:eastAsia="宋体" w:cs="宋体"/>
          <w:color w:val="auto"/>
          <w:kern w:val="0"/>
          <w:sz w:val="24"/>
          <w:lang w:bidi="ar"/>
        </w:rPr>
        <w:t xml:space="preserve">。 </w:t>
      </w:r>
    </w:p>
    <w:p w14:paraId="05B37279">
      <w:pPr>
        <w:wordWrap w:val="0"/>
        <w:overflowPunct w:val="0"/>
        <w:topLinePunct/>
        <w:spacing w:line="360" w:lineRule="auto"/>
        <w:ind w:firstLine="480" w:firstLineChars="200"/>
        <w:jc w:val="left"/>
        <w:rPr>
          <w:rFonts w:hint="eastAsia" w:ascii="宋体" w:hAnsi="宋体" w:eastAsia="宋体" w:cs="宋体"/>
          <w:color w:val="auto"/>
        </w:rPr>
      </w:pPr>
      <w:r>
        <w:rPr>
          <w:rFonts w:hint="eastAsia" w:ascii="宋体" w:hAnsi="宋体" w:eastAsia="宋体" w:cs="宋体"/>
          <w:color w:val="auto"/>
          <w:kern w:val="0"/>
          <w:sz w:val="24"/>
          <w:lang w:bidi="ar"/>
        </w:rPr>
        <w:t>特此承诺。</w:t>
      </w:r>
    </w:p>
    <w:p w14:paraId="5EE21B5B">
      <w:pPr>
        <w:wordWrap w:val="0"/>
        <w:overflowPunct w:val="0"/>
        <w:topLinePunct/>
        <w:spacing w:line="360" w:lineRule="auto"/>
        <w:jc w:val="center"/>
        <w:rPr>
          <w:rFonts w:hint="eastAsia" w:ascii="宋体" w:hAnsi="宋体" w:eastAsia="宋体" w:cs="宋体"/>
          <w:color w:val="auto"/>
          <w:sz w:val="24"/>
        </w:rPr>
      </w:pPr>
    </w:p>
    <w:p w14:paraId="164494AF">
      <w:pPr>
        <w:wordWrap w:val="0"/>
        <w:overflowPunct w:val="0"/>
        <w:topLinePunct/>
        <w:spacing w:line="360" w:lineRule="auto"/>
        <w:jc w:val="center"/>
        <w:rPr>
          <w:rFonts w:hint="eastAsia" w:ascii="宋体" w:hAnsi="宋体" w:eastAsia="宋体" w:cs="宋体"/>
          <w:color w:val="auto"/>
          <w:sz w:val="24"/>
        </w:rPr>
      </w:pPr>
    </w:p>
    <w:p w14:paraId="15CC70AF">
      <w:pPr>
        <w:wordWrap w:val="0"/>
        <w:overflowPunct w:val="0"/>
        <w:topLinePunct/>
        <w:spacing w:line="360" w:lineRule="auto"/>
        <w:jc w:val="center"/>
        <w:rPr>
          <w:rFonts w:hint="eastAsia" w:ascii="宋体" w:hAnsi="宋体" w:eastAsia="宋体" w:cs="宋体"/>
          <w:color w:val="auto"/>
          <w:sz w:val="24"/>
        </w:rPr>
      </w:pPr>
    </w:p>
    <w:p w14:paraId="704B2336">
      <w:pPr>
        <w:wordWrap w:val="0"/>
        <w:overflowPunct w:val="0"/>
        <w:topLinePunct/>
        <w:spacing w:line="360" w:lineRule="auto"/>
        <w:jc w:val="both"/>
        <w:rPr>
          <w:rFonts w:hint="eastAsia" w:ascii="宋体" w:hAnsi="宋体" w:eastAsia="宋体" w:cs="宋体"/>
          <w:color w:val="auto"/>
          <w:sz w:val="24"/>
        </w:rPr>
      </w:pPr>
    </w:p>
    <w:p w14:paraId="1BAB5D4E">
      <w:pPr>
        <w:wordWrap w:val="0"/>
        <w:overflowPunct w:val="0"/>
        <w:topLinePunct/>
        <w:spacing w:line="360" w:lineRule="auto"/>
        <w:jc w:val="center"/>
        <w:rPr>
          <w:rFonts w:hint="eastAsia" w:ascii="宋体" w:hAnsi="宋体" w:eastAsia="宋体" w:cs="宋体"/>
          <w:color w:val="auto"/>
          <w:sz w:val="24"/>
        </w:rPr>
      </w:pPr>
    </w:p>
    <w:p w14:paraId="6FA733F7">
      <w:pPr>
        <w:wordWrap w:val="0"/>
        <w:overflowPunct w:val="0"/>
        <w:topLinePunct/>
        <w:spacing w:line="360" w:lineRule="auto"/>
        <w:jc w:val="center"/>
        <w:rPr>
          <w:rFonts w:hint="eastAsia" w:ascii="宋体" w:hAnsi="宋体" w:eastAsia="宋体" w:cs="宋体"/>
          <w:color w:val="auto"/>
          <w:sz w:val="24"/>
        </w:rPr>
      </w:pPr>
    </w:p>
    <w:p w14:paraId="0736E56C">
      <w:pPr>
        <w:wordWrap w:val="0"/>
        <w:overflowPunct w:val="0"/>
        <w:topLinePunct/>
        <w:spacing w:line="360" w:lineRule="auto"/>
        <w:jc w:val="center"/>
        <w:rPr>
          <w:rFonts w:hint="eastAsia" w:ascii="宋体" w:hAnsi="宋体" w:eastAsia="宋体" w:cs="宋体"/>
          <w:color w:val="auto"/>
          <w:sz w:val="24"/>
        </w:rPr>
      </w:pPr>
    </w:p>
    <w:p w14:paraId="4EB61712">
      <w:pPr>
        <w:wordWrap w:val="0"/>
        <w:overflowPunct w:val="0"/>
        <w:topLinePunct/>
        <w:spacing w:line="360" w:lineRule="auto"/>
        <w:rPr>
          <w:rFonts w:hint="eastAsia" w:ascii="宋体" w:hAnsi="宋体" w:eastAsia="宋体" w:cs="宋体"/>
          <w:color w:val="auto"/>
          <w:sz w:val="24"/>
        </w:rPr>
      </w:pPr>
    </w:p>
    <w:p w14:paraId="14BBD4BC">
      <w:pPr>
        <w:wordWrap w:val="0"/>
        <w:overflowPunct w:val="0"/>
        <w:topLinePunct/>
        <w:spacing w:line="360" w:lineRule="auto"/>
        <w:jc w:val="center"/>
        <w:rPr>
          <w:rFonts w:hint="eastAsia" w:ascii="宋体" w:hAnsi="宋体" w:eastAsia="宋体" w:cs="宋体"/>
          <w:color w:val="auto"/>
          <w:sz w:val="24"/>
        </w:rPr>
      </w:pPr>
    </w:p>
    <w:p w14:paraId="5522A910">
      <w:pPr>
        <w:wordWrap w:val="0"/>
        <w:overflowPunct w:val="0"/>
        <w:topLinePunct/>
        <w:spacing w:line="360" w:lineRule="auto"/>
        <w:jc w:val="left"/>
        <w:rPr>
          <w:rFonts w:hint="eastAsia" w:ascii="宋体" w:hAnsi="宋体" w:eastAsia="宋体" w:cs="宋体"/>
          <w:color w:val="auto"/>
          <w:sz w:val="24"/>
          <w:lang w:eastAsia="zh-CN"/>
        </w:rPr>
      </w:pPr>
    </w:p>
    <w:p w14:paraId="2805438D">
      <w:pPr>
        <w:wordWrap w:val="0"/>
        <w:overflowPunct w:val="0"/>
        <w:topLinePunct/>
        <w:spacing w:line="360" w:lineRule="auto"/>
        <w:jc w:val="left"/>
        <w:rPr>
          <w:rFonts w:hint="eastAsia" w:ascii="宋体" w:hAnsi="宋体" w:eastAsia="宋体" w:cs="宋体"/>
          <w:color w:val="auto"/>
          <w:sz w:val="24"/>
          <w:lang w:eastAsia="zh-CN"/>
        </w:rPr>
      </w:pPr>
    </w:p>
    <w:p w14:paraId="5D5D2CF6">
      <w:pPr>
        <w:wordWrap w:val="0"/>
        <w:overflowPunct w:val="0"/>
        <w:topLinePunct/>
        <w:spacing w:line="360" w:lineRule="auto"/>
        <w:jc w:val="left"/>
        <w:rPr>
          <w:rFonts w:hint="eastAsia" w:ascii="宋体" w:hAnsi="宋体" w:eastAsia="宋体" w:cs="宋体"/>
          <w:color w:val="auto"/>
          <w:sz w:val="24"/>
          <w:lang w:eastAsia="zh-CN"/>
        </w:rPr>
      </w:pPr>
    </w:p>
    <w:p w14:paraId="73D2DCA4">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69F14DB">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5A28EA06">
      <w:pPr>
        <w:ind w:left="0" w:leftChars="0" w:firstLine="0" w:firstLineChars="0"/>
        <w:jc w:val="left"/>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日</w:t>
      </w:r>
      <w:bookmarkStart w:id="1529" w:name="_Toc14942"/>
      <w:bookmarkStart w:id="1530" w:name="_Toc28472"/>
      <w:bookmarkStart w:id="1531" w:name="_Toc12656"/>
      <w:bookmarkStart w:id="1532" w:name="_Toc19171"/>
      <w:bookmarkStart w:id="1533" w:name="_Toc15385"/>
      <w:bookmarkStart w:id="1534" w:name="_Toc26614"/>
    </w:p>
    <w:p w14:paraId="15EA709B">
      <w:pPr>
        <w:widowControl w:val="0"/>
        <w:spacing w:after="120"/>
        <w:ind w:left="0" w:leftChars="0" w:firstLine="0" w:firstLineChars="0"/>
        <w:jc w:val="center"/>
        <w:rPr>
          <w:rFonts w:hint="eastAsia" w:ascii="宋体" w:hAnsi="宋体" w:eastAsia="宋体" w:cs="宋体"/>
          <w:b/>
          <w:bCs/>
          <w:color w:val="auto"/>
          <w:kern w:val="2"/>
          <w:sz w:val="32"/>
          <w:szCs w:val="32"/>
          <w:lang w:val="en-US" w:eastAsia="zh-CN" w:bidi="ar-SA"/>
        </w:rPr>
      </w:pPr>
      <w:r>
        <w:rPr>
          <w:rFonts w:hint="eastAsia" w:ascii="宋体" w:hAnsi="宋体" w:eastAsia="宋体" w:cs="宋体"/>
          <w:b/>
          <w:bCs/>
          <w:color w:val="auto"/>
          <w:kern w:val="2"/>
          <w:sz w:val="28"/>
          <w:szCs w:val="28"/>
          <w:lang w:val="en-US" w:eastAsia="zh-CN" w:bidi="ar-SA"/>
        </w:rPr>
        <w:t>四、依法缴纳税收和社会保障资金承诺书</w:t>
      </w:r>
      <w:bookmarkEnd w:id="1529"/>
      <w:bookmarkEnd w:id="1530"/>
      <w:bookmarkEnd w:id="1531"/>
      <w:bookmarkEnd w:id="1532"/>
      <w:bookmarkEnd w:id="1533"/>
      <w:bookmarkEnd w:id="1534"/>
      <w:r>
        <w:rPr>
          <w:rFonts w:hint="eastAsia" w:ascii="宋体" w:hAnsi="宋体" w:eastAsia="宋体" w:cs="宋体"/>
          <w:b/>
          <w:bCs/>
          <w:color w:val="auto"/>
          <w:kern w:val="2"/>
          <w:sz w:val="28"/>
          <w:szCs w:val="28"/>
          <w:lang w:val="en-US" w:eastAsia="zh-CN" w:bidi="ar-SA"/>
        </w:rPr>
        <w:t>（实质性格式）</w:t>
      </w:r>
      <w:r>
        <w:rPr>
          <w:rFonts w:hint="eastAsia" w:ascii="宋体" w:hAnsi="宋体" w:eastAsia="宋体" w:cs="宋体"/>
          <w:b/>
          <w:bCs/>
          <w:color w:val="auto"/>
          <w:kern w:val="2"/>
          <w:sz w:val="32"/>
          <w:szCs w:val="32"/>
          <w:lang w:val="en-US" w:eastAsia="zh-CN" w:bidi="ar-SA"/>
        </w:rPr>
        <w:t xml:space="preserve"> </w:t>
      </w:r>
    </w:p>
    <w:p w14:paraId="58F57CB6">
      <w:pPr>
        <w:wordWrap w:val="0"/>
        <w:topLinePunct/>
        <w:spacing w:line="360" w:lineRule="auto"/>
        <w:ind w:firstLine="480" w:firstLineChars="200"/>
        <w:jc w:val="left"/>
        <w:rPr>
          <w:rFonts w:hint="eastAsia" w:ascii="宋体" w:hAnsi="宋体" w:eastAsia="宋体" w:cs="宋体"/>
          <w:color w:val="auto"/>
          <w:kern w:val="0"/>
          <w:sz w:val="24"/>
          <w:lang w:bidi="ar"/>
        </w:rPr>
      </w:pPr>
    </w:p>
    <w:p w14:paraId="27CB4819">
      <w:pPr>
        <w:wordWrap w:val="0"/>
        <w:topLinePunct/>
        <w:spacing w:line="360" w:lineRule="auto"/>
        <w:jc w:val="left"/>
        <w:rPr>
          <w:rFonts w:hint="eastAsia" w:ascii="宋体" w:hAnsi="宋体" w:eastAsia="宋体" w:cs="宋体"/>
          <w:color w:val="auto"/>
          <w:kern w:val="0"/>
          <w:sz w:val="24"/>
          <w:lang w:bidi="ar"/>
        </w:rPr>
      </w:pPr>
      <w:r>
        <w:rPr>
          <w:rFonts w:hint="eastAsia" w:ascii="宋体" w:hAnsi="宋体" w:eastAsia="宋体" w:cs="宋体"/>
          <w:color w:val="auto"/>
          <w:sz w:val="24"/>
        </w:rPr>
        <w:t>致：</w:t>
      </w: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、楚雄腾凯工程项目管理有限公司</w:t>
      </w:r>
      <w:r>
        <w:rPr>
          <w:rFonts w:hint="eastAsia" w:ascii="宋体" w:hAnsi="宋体" w:eastAsia="宋体" w:cs="宋体"/>
          <w:i w:val="0"/>
          <w:iCs w:val="0"/>
          <w:color w:val="auto"/>
          <w:sz w:val="24"/>
          <w:szCs w:val="24"/>
          <w:u w:val="single"/>
          <w:lang w:val="en-US" w:eastAsia="zh-CN"/>
        </w:rPr>
        <w:t>（采购代理机构）</w:t>
      </w:r>
    </w:p>
    <w:p w14:paraId="07B12FF9">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本承诺书声明：本公司参与贵方组织的</w:t>
      </w:r>
      <w:r>
        <w:rPr>
          <w:rFonts w:hint="eastAsia" w:ascii="宋体" w:hAnsi="宋体" w:eastAsia="宋体" w:cs="宋体"/>
          <w:color w:val="auto"/>
          <w:sz w:val="24"/>
        </w:rPr>
        <w:t>（</w:t>
      </w:r>
      <w:r>
        <w:rPr>
          <w:rFonts w:hint="eastAsia" w:ascii="宋体" w:hAnsi="宋体" w:eastAsia="宋体" w:cs="宋体"/>
          <w:color w:val="auto"/>
          <w:sz w:val="24"/>
          <w:lang w:eastAsia="zh-CN"/>
        </w:rPr>
        <w:t>项目名称：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rPr>
        <w:t>）</w:t>
      </w:r>
      <w:r>
        <w:rPr>
          <w:rFonts w:hint="eastAsia" w:ascii="宋体" w:hAnsi="宋体" w:eastAsia="宋体" w:cs="宋体"/>
          <w:color w:val="auto"/>
          <w:sz w:val="24"/>
          <w:u w:val="single"/>
          <w:lang w:eastAsia="zh-CN"/>
        </w:rPr>
        <w:t>公开招标</w:t>
      </w:r>
      <w:r>
        <w:rPr>
          <w:rFonts w:hint="eastAsia" w:ascii="宋体" w:hAnsi="宋体" w:eastAsia="宋体" w:cs="宋体"/>
          <w:color w:val="auto"/>
          <w:sz w:val="24"/>
        </w:rPr>
        <w:t>采购活动</w:t>
      </w:r>
      <w:r>
        <w:rPr>
          <w:rFonts w:hint="eastAsia" w:ascii="宋体" w:hAnsi="宋体" w:eastAsia="宋体" w:cs="宋体"/>
          <w:color w:val="auto"/>
          <w:kern w:val="0"/>
          <w:sz w:val="24"/>
          <w:lang w:bidi="ar"/>
        </w:rPr>
        <w:t xml:space="preserve">作出如下承诺： </w:t>
      </w:r>
    </w:p>
    <w:p w14:paraId="4446000D">
      <w:pPr>
        <w:wordWrap w:val="0"/>
        <w:topLinePunct/>
        <w:spacing w:line="360" w:lineRule="auto"/>
        <w:ind w:firstLine="480" w:firstLineChars="200"/>
        <w:jc w:val="left"/>
        <w:rPr>
          <w:rFonts w:hint="eastAsia" w:ascii="宋体" w:hAnsi="宋体" w:eastAsia="宋体" w:cs="宋体"/>
          <w:color w:val="auto"/>
          <w:kern w:val="0"/>
          <w:sz w:val="24"/>
          <w:lang w:bidi="ar"/>
        </w:rPr>
      </w:pPr>
      <w:r>
        <w:rPr>
          <w:rFonts w:hint="eastAsia" w:ascii="宋体" w:hAnsi="宋体" w:eastAsia="宋体" w:cs="宋体"/>
          <w:color w:val="auto"/>
          <w:kern w:val="0"/>
          <w:sz w:val="24"/>
          <w:lang w:bidi="ar"/>
        </w:rPr>
        <w:t>我方在参加本次采购活动前严格依法缴纳税收或依法享受国家免税优惠政策，并依法给单位职工缴纳社会保障金或依法不需要缴纳社会保障金的证明文件。</w:t>
      </w:r>
    </w:p>
    <w:p w14:paraId="24B695D5">
      <w:pPr>
        <w:wordWrap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p>
    <w:p w14:paraId="78F5E1E4">
      <w:pPr>
        <w:wordWrap w:val="0"/>
        <w:overflowPunct w:val="0"/>
        <w:topLinePunct/>
        <w:spacing w:line="360" w:lineRule="auto"/>
        <w:ind w:firstLine="540" w:firstLineChars="225"/>
        <w:rPr>
          <w:rFonts w:hint="eastAsia" w:ascii="宋体" w:hAnsi="宋体" w:eastAsia="宋体" w:cs="宋体"/>
          <w:color w:val="auto"/>
        </w:rPr>
      </w:pPr>
      <w:r>
        <w:rPr>
          <w:rFonts w:hint="eastAsia" w:ascii="宋体" w:hAnsi="宋体" w:eastAsia="宋体" w:cs="宋体"/>
          <w:color w:val="auto"/>
          <w:kern w:val="0"/>
          <w:sz w:val="24"/>
          <w:lang w:bidi="ar"/>
        </w:rPr>
        <w:t>特此承诺</w:t>
      </w:r>
      <w:r>
        <w:rPr>
          <w:rFonts w:hint="eastAsia" w:ascii="宋体" w:hAnsi="宋体" w:eastAsia="宋体" w:cs="宋体"/>
          <w:color w:val="auto"/>
          <w:sz w:val="24"/>
        </w:rPr>
        <w:t>。</w:t>
      </w:r>
    </w:p>
    <w:p w14:paraId="2A7F2C71">
      <w:pPr>
        <w:wordWrap w:val="0"/>
        <w:overflowPunct w:val="0"/>
        <w:topLinePunct/>
        <w:spacing w:line="360" w:lineRule="auto"/>
        <w:jc w:val="center"/>
        <w:rPr>
          <w:rFonts w:hint="eastAsia" w:ascii="宋体" w:hAnsi="宋体" w:eastAsia="宋体" w:cs="宋体"/>
          <w:color w:val="auto"/>
          <w:sz w:val="24"/>
        </w:rPr>
      </w:pPr>
    </w:p>
    <w:p w14:paraId="7EB3ACAB">
      <w:pPr>
        <w:wordWrap w:val="0"/>
        <w:overflowPunct w:val="0"/>
        <w:topLinePunct/>
        <w:spacing w:line="360" w:lineRule="auto"/>
        <w:jc w:val="center"/>
        <w:rPr>
          <w:rFonts w:hint="eastAsia" w:ascii="宋体" w:hAnsi="宋体" w:eastAsia="宋体" w:cs="宋体"/>
          <w:color w:val="auto"/>
          <w:sz w:val="24"/>
        </w:rPr>
      </w:pPr>
    </w:p>
    <w:p w14:paraId="12EF6EA5">
      <w:pPr>
        <w:wordWrap w:val="0"/>
        <w:overflowPunct w:val="0"/>
        <w:topLinePunct/>
        <w:spacing w:line="360" w:lineRule="auto"/>
        <w:jc w:val="center"/>
        <w:rPr>
          <w:rFonts w:hint="eastAsia" w:ascii="宋体" w:hAnsi="宋体" w:eastAsia="宋体" w:cs="宋体"/>
          <w:color w:val="auto"/>
          <w:sz w:val="24"/>
        </w:rPr>
      </w:pPr>
    </w:p>
    <w:p w14:paraId="2C39468C">
      <w:pPr>
        <w:wordWrap w:val="0"/>
        <w:overflowPunct w:val="0"/>
        <w:topLinePunct/>
        <w:spacing w:line="360" w:lineRule="auto"/>
        <w:jc w:val="center"/>
        <w:rPr>
          <w:rFonts w:hint="eastAsia" w:ascii="宋体" w:hAnsi="宋体" w:eastAsia="宋体" w:cs="宋体"/>
          <w:color w:val="auto"/>
          <w:sz w:val="24"/>
        </w:rPr>
      </w:pPr>
    </w:p>
    <w:p w14:paraId="160579DA">
      <w:pPr>
        <w:wordWrap w:val="0"/>
        <w:overflowPunct w:val="0"/>
        <w:topLinePunct/>
        <w:spacing w:line="360" w:lineRule="auto"/>
        <w:jc w:val="center"/>
        <w:rPr>
          <w:rFonts w:hint="eastAsia" w:ascii="宋体" w:hAnsi="宋体" w:eastAsia="宋体" w:cs="宋体"/>
          <w:color w:val="auto"/>
          <w:sz w:val="24"/>
        </w:rPr>
      </w:pPr>
    </w:p>
    <w:p w14:paraId="2764C076">
      <w:pPr>
        <w:wordWrap w:val="0"/>
        <w:overflowPunct w:val="0"/>
        <w:topLinePunct/>
        <w:spacing w:line="360" w:lineRule="auto"/>
        <w:jc w:val="center"/>
        <w:rPr>
          <w:rFonts w:hint="eastAsia" w:ascii="宋体" w:hAnsi="宋体" w:eastAsia="宋体" w:cs="宋体"/>
          <w:color w:val="auto"/>
          <w:sz w:val="24"/>
        </w:rPr>
      </w:pPr>
    </w:p>
    <w:p w14:paraId="7E476986">
      <w:pPr>
        <w:wordWrap w:val="0"/>
        <w:overflowPunct w:val="0"/>
        <w:topLinePunct/>
        <w:spacing w:line="360" w:lineRule="auto"/>
        <w:jc w:val="both"/>
        <w:rPr>
          <w:rFonts w:hint="eastAsia" w:ascii="宋体" w:hAnsi="宋体" w:eastAsia="宋体" w:cs="宋体"/>
          <w:color w:val="auto"/>
          <w:sz w:val="24"/>
        </w:rPr>
      </w:pPr>
    </w:p>
    <w:p w14:paraId="6203FF8E">
      <w:pPr>
        <w:wordWrap w:val="0"/>
        <w:overflowPunct w:val="0"/>
        <w:topLinePunct/>
        <w:spacing w:line="360" w:lineRule="auto"/>
        <w:jc w:val="center"/>
        <w:rPr>
          <w:rFonts w:hint="eastAsia" w:ascii="宋体" w:hAnsi="宋体" w:eastAsia="宋体" w:cs="宋体"/>
          <w:color w:val="auto"/>
          <w:sz w:val="24"/>
        </w:rPr>
      </w:pPr>
    </w:p>
    <w:p w14:paraId="3E3EE33E">
      <w:pPr>
        <w:wordWrap w:val="0"/>
        <w:overflowPunct w:val="0"/>
        <w:topLinePunct/>
        <w:spacing w:line="360" w:lineRule="auto"/>
        <w:rPr>
          <w:rFonts w:hint="eastAsia" w:ascii="宋体" w:hAnsi="宋体" w:eastAsia="宋体" w:cs="宋体"/>
          <w:color w:val="auto"/>
          <w:sz w:val="24"/>
        </w:rPr>
      </w:pPr>
    </w:p>
    <w:p w14:paraId="39985207">
      <w:pPr>
        <w:wordWrap w:val="0"/>
        <w:overflowPunct w:val="0"/>
        <w:topLinePunct/>
        <w:spacing w:line="360" w:lineRule="auto"/>
        <w:jc w:val="left"/>
        <w:rPr>
          <w:rFonts w:hint="eastAsia" w:ascii="宋体" w:hAnsi="宋体" w:eastAsia="宋体" w:cs="宋体"/>
          <w:color w:val="auto"/>
          <w:sz w:val="24"/>
          <w:lang w:eastAsia="zh-CN"/>
        </w:rPr>
      </w:pPr>
    </w:p>
    <w:p w14:paraId="29D9442D">
      <w:pPr>
        <w:wordWrap w:val="0"/>
        <w:overflowPunct w:val="0"/>
        <w:topLinePunct/>
        <w:spacing w:line="360" w:lineRule="auto"/>
        <w:jc w:val="left"/>
        <w:rPr>
          <w:rFonts w:hint="eastAsia" w:ascii="宋体" w:hAnsi="宋体" w:eastAsia="宋体" w:cs="宋体"/>
          <w:color w:val="auto"/>
          <w:sz w:val="24"/>
          <w:lang w:eastAsia="zh-CN"/>
        </w:rPr>
      </w:pPr>
    </w:p>
    <w:p w14:paraId="6D857199">
      <w:pPr>
        <w:wordWrap w:val="0"/>
        <w:overflowPunct w:val="0"/>
        <w:topLinePunct/>
        <w:spacing w:line="360" w:lineRule="auto"/>
        <w:jc w:val="left"/>
        <w:rPr>
          <w:rFonts w:hint="eastAsia" w:ascii="宋体" w:hAnsi="宋体" w:eastAsia="宋体" w:cs="宋体"/>
          <w:color w:val="auto"/>
          <w:sz w:val="24"/>
          <w:lang w:eastAsia="zh-CN"/>
        </w:rPr>
      </w:pPr>
    </w:p>
    <w:p w14:paraId="20FFDBA9">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1905BBCB">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4D1D22B7">
      <w:pPr>
        <w:jc w:val="left"/>
        <w:rPr>
          <w:rFonts w:hint="eastAsia" w:ascii="宋体" w:hAnsi="宋体" w:eastAsia="宋体" w:cs="宋体"/>
          <w:color w:val="auto"/>
          <w:sz w:val="24"/>
          <w:szCs w:val="24"/>
        </w:rPr>
        <w:sectPr>
          <w:pgSz w:w="11906" w:h="16838"/>
          <w:pgMar w:top="1440" w:right="1080" w:bottom="1440" w:left="1080" w:header="851" w:footer="992" w:gutter="0"/>
          <w:pgNumType w:fmt="decimal"/>
          <w:cols w:space="425" w:num="1"/>
          <w:rtlGutter w:val="0"/>
          <w:docGrid w:type="lines" w:linePitch="312" w:charSpace="0"/>
        </w:sectPr>
      </w:pPr>
      <w:bookmarkStart w:id="1535" w:name="_Toc951"/>
      <w:bookmarkStart w:id="1536" w:name="_Toc26677"/>
      <w:bookmarkStart w:id="1537" w:name="_Toc1206"/>
      <w:bookmarkStart w:id="1538" w:name="_Toc21304"/>
      <w:bookmarkStart w:id="1539" w:name="_Toc17375"/>
      <w:bookmarkStart w:id="1540" w:name="_Toc22954"/>
      <w:bookmarkStart w:id="1541" w:name="_Toc25918"/>
      <w:bookmarkStart w:id="1542" w:name="_Toc6499"/>
      <w:bookmarkStart w:id="1543" w:name="_Toc1938"/>
      <w:bookmarkStart w:id="1544" w:name="_Toc12551"/>
      <w:bookmarkStart w:id="1545" w:name="_Toc27102"/>
      <w:bookmarkStart w:id="1546" w:name="_Toc28027"/>
      <w:bookmarkStart w:id="1547" w:name="_Toc9859"/>
      <w:bookmarkStart w:id="1548" w:name="_Toc2730"/>
      <w:bookmarkStart w:id="1549" w:name="_Toc6427"/>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Start w:id="1550" w:name="_Toc1258"/>
      <w:bookmarkStart w:id="1551" w:name="_Toc13148"/>
      <w:bookmarkStart w:id="1552" w:name="_Toc27660"/>
      <w:bookmarkStart w:id="1553" w:name="_Toc18483"/>
      <w:bookmarkStart w:id="1554" w:name="_Toc15699"/>
      <w:bookmarkStart w:id="1555" w:name="_Toc24121"/>
      <w:bookmarkStart w:id="1556" w:name="_Toc26515"/>
      <w:bookmarkStart w:id="1557" w:name="_Toc29572"/>
      <w:bookmarkStart w:id="1558" w:name="_Toc18486"/>
      <w:bookmarkStart w:id="1559" w:name="_Toc17246"/>
      <w:bookmarkStart w:id="1560" w:name="_Toc5784"/>
      <w:bookmarkStart w:id="1561" w:name="_Toc24824"/>
      <w:bookmarkStart w:id="1562" w:name="_Toc27342"/>
      <w:bookmarkStart w:id="1563" w:name="_Toc20354"/>
      <w:bookmarkStart w:id="1564" w:name="_Toc9115"/>
      <w:bookmarkStart w:id="1565" w:name="_Toc16508"/>
      <w:bookmarkStart w:id="1566" w:name="_Toc12192"/>
      <w:bookmarkStart w:id="1567" w:name="_Toc16541"/>
      <w:bookmarkStart w:id="1568" w:name="_Toc4512"/>
      <w:bookmarkStart w:id="1569" w:name="_Toc23251"/>
      <w:bookmarkStart w:id="1570" w:name="_Toc29999"/>
      <w:bookmarkStart w:id="1571" w:name="_Toc2606"/>
      <w:bookmarkStart w:id="1572" w:name="_Toc31843"/>
    </w:p>
    <w:p w14:paraId="5D8D8C52">
      <w:pPr>
        <w:numPr>
          <w:ilvl w:val="0"/>
          <w:numId w:val="17"/>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参加采购活动前三年内在经营活动中没有重大违法记录书面声明</w:t>
      </w:r>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p>
    <w:p w14:paraId="3BD69DC9">
      <w:pPr>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（实质性格式）</w:t>
      </w:r>
    </w:p>
    <w:p w14:paraId="6F9E0030">
      <w:pPr>
        <w:widowControl w:val="0"/>
        <w:wordWrap w:val="0"/>
        <w:overflowPunct w:val="0"/>
        <w:topLinePunct/>
        <w:ind w:left="100"/>
        <w:rPr>
          <w:rFonts w:hint="eastAsia" w:ascii="宋体" w:hAnsi="宋体" w:eastAsia="宋体" w:cs="宋体"/>
          <w:i w:val="0"/>
          <w:iCs w:val="0"/>
          <w:color w:val="auto"/>
          <w:sz w:val="21"/>
          <w:szCs w:val="21"/>
          <w:lang w:val="en-US" w:eastAsia="en-US" w:bidi="ar-SA"/>
        </w:rPr>
      </w:pPr>
    </w:p>
    <w:p w14:paraId="0F9BC320">
      <w:pPr>
        <w:wordWrap w:val="0"/>
        <w:overflowPunct w:val="0"/>
        <w:topLinePunct/>
        <w:spacing w:line="360" w:lineRule="auto"/>
        <w:jc w:val="left"/>
        <w:rPr>
          <w:rFonts w:hint="eastAsia" w:ascii="宋体" w:hAnsi="宋体" w:eastAsia="宋体" w:cs="宋体"/>
          <w:i w:val="0"/>
          <w:iCs w:val="0"/>
          <w:color w:val="auto"/>
          <w:sz w:val="24"/>
        </w:rPr>
      </w:pPr>
      <w:r>
        <w:rPr>
          <w:rFonts w:hint="eastAsia" w:ascii="宋体" w:hAnsi="宋体" w:eastAsia="宋体" w:cs="宋体"/>
          <w:i w:val="0"/>
          <w:iCs w:val="0"/>
          <w:color w:val="auto"/>
          <w:sz w:val="24"/>
        </w:rPr>
        <w:t>致：</w:t>
      </w:r>
      <w:r>
        <w:rPr>
          <w:rFonts w:hint="eastAsia" w:ascii="宋体" w:hAnsi="宋体" w:eastAsia="宋体" w:cs="宋体"/>
          <w:i w:val="0"/>
          <w:iCs w:val="0"/>
          <w:color w:val="auto"/>
          <w:sz w:val="24"/>
          <w:szCs w:val="24"/>
          <w:u w:val="single"/>
          <w:lang w:val="en-US" w:eastAsia="zh-CN"/>
        </w:rPr>
        <w:t>南华县人民医院</w:t>
      </w:r>
      <w:r>
        <w:rPr>
          <w:rFonts w:hint="eastAsia" w:ascii="宋体" w:hAnsi="宋体" w:eastAsia="宋体" w:cs="宋体"/>
          <w:i w:val="0"/>
          <w:iCs w:val="0"/>
          <w:color w:val="auto"/>
          <w:sz w:val="24"/>
          <w:szCs w:val="24"/>
          <w:u w:val="single"/>
          <w:lang w:eastAsia="zh-CN"/>
        </w:rPr>
        <w:t>、楚雄腾凯工程项目管理有限公司</w:t>
      </w:r>
      <w:r>
        <w:rPr>
          <w:rFonts w:hint="eastAsia" w:ascii="宋体" w:hAnsi="宋体" w:eastAsia="宋体" w:cs="宋体"/>
          <w:i w:val="0"/>
          <w:iCs w:val="0"/>
          <w:color w:val="auto"/>
          <w:sz w:val="24"/>
          <w:szCs w:val="24"/>
          <w:u w:val="single"/>
          <w:lang w:val="en-US" w:eastAsia="zh-CN"/>
        </w:rPr>
        <w:t>（采购代理机构）</w:t>
      </w:r>
    </w:p>
    <w:p w14:paraId="6795BFCB">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我方在此声明，我方在参加本次政府采购活动前三年内，在经营活动中没有以下重大违法记录：</w:t>
      </w:r>
    </w:p>
    <w:p w14:paraId="15AE3B4F">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1.我方因违法经营被追究过刑事责任；</w:t>
      </w:r>
    </w:p>
    <w:p w14:paraId="108D9473">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2.我方因违法经营被责令停产停业、吊销许可证或者执照；</w:t>
      </w:r>
    </w:p>
    <w:p w14:paraId="1F288A10">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3.我方因违法经营被处以较大数额罚款等行政处罚。</w:t>
      </w:r>
    </w:p>
    <w:p w14:paraId="22FA0194">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4BA06645">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5.我方保证上述信息的完整、客观、真实、准确，若在本项目的招标投标的全过程中，被查实我方提供的资料及上述承诺不属实，或提供的相关资料不属实或不满足</w:t>
      </w:r>
      <w:r>
        <w:rPr>
          <w:rFonts w:hint="eastAsia" w:ascii="宋体" w:hAnsi="宋体" w:eastAsia="宋体" w:cs="宋体"/>
          <w:color w:val="auto"/>
          <w:sz w:val="24"/>
          <w:lang w:eastAsia="zh-CN"/>
        </w:rPr>
        <w:t>投标文件</w:t>
      </w:r>
      <w:r>
        <w:rPr>
          <w:rFonts w:hint="eastAsia" w:ascii="宋体" w:hAnsi="宋体" w:eastAsia="宋体" w:cs="宋体"/>
          <w:color w:val="auto"/>
          <w:sz w:val="24"/>
        </w:rPr>
        <w:t>的要求，则</w:t>
      </w:r>
      <w:r>
        <w:rPr>
          <w:rFonts w:hint="eastAsia" w:ascii="宋体" w:hAnsi="宋体" w:eastAsia="宋体" w:cs="宋体"/>
          <w:color w:val="auto"/>
          <w:sz w:val="24"/>
          <w:lang w:eastAsia="zh-CN"/>
        </w:rPr>
        <w:t>采购人</w:t>
      </w:r>
      <w:r>
        <w:rPr>
          <w:rFonts w:hint="eastAsia" w:ascii="宋体" w:hAnsi="宋体" w:eastAsia="宋体" w:cs="宋体"/>
          <w:color w:val="auto"/>
          <w:sz w:val="24"/>
        </w:rPr>
        <w:t>有权取消我方的投标及中标资格，且我方将无条件并愿意承担我方因提供虚假材料谋骗取中标、成交所引起的一切法律后果（包括经济损失）。</w:t>
      </w:r>
    </w:p>
    <w:p w14:paraId="20FBE131">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2FB5A821">
      <w:pPr>
        <w:widowControl w:val="0"/>
        <w:wordWrap w:val="0"/>
        <w:overflowPunct w:val="0"/>
        <w:topLinePunct/>
        <w:ind w:left="0" w:leftChars="0" w:firstLine="0" w:firstLineChars="0"/>
        <w:rPr>
          <w:rFonts w:hint="eastAsia" w:ascii="宋体" w:hAnsi="宋体" w:eastAsia="宋体" w:cs="宋体"/>
          <w:color w:val="auto"/>
          <w:sz w:val="21"/>
          <w:szCs w:val="21"/>
          <w:lang w:val="en-US" w:eastAsia="en-US" w:bidi="ar-SA"/>
        </w:rPr>
      </w:pPr>
    </w:p>
    <w:p w14:paraId="7BCAABCA">
      <w:pPr>
        <w:wordWrap w:val="0"/>
        <w:overflowPunct w:val="0"/>
        <w:topLinePunct/>
        <w:spacing w:line="360" w:lineRule="auto"/>
        <w:jc w:val="left"/>
        <w:rPr>
          <w:rFonts w:hint="eastAsia" w:ascii="宋体" w:hAnsi="宋体" w:eastAsia="宋体" w:cs="宋体"/>
          <w:color w:val="auto"/>
          <w:sz w:val="24"/>
          <w:lang w:eastAsia="zh-CN"/>
        </w:rPr>
      </w:pPr>
    </w:p>
    <w:p w14:paraId="57E39E2E">
      <w:pPr>
        <w:wordWrap w:val="0"/>
        <w:overflowPunct w:val="0"/>
        <w:topLinePunct/>
        <w:spacing w:line="360" w:lineRule="auto"/>
        <w:jc w:val="left"/>
        <w:rPr>
          <w:rFonts w:hint="eastAsia" w:ascii="宋体" w:hAnsi="宋体" w:eastAsia="宋体" w:cs="宋体"/>
          <w:color w:val="auto"/>
          <w:sz w:val="24"/>
          <w:lang w:eastAsia="zh-CN"/>
        </w:rPr>
      </w:pPr>
    </w:p>
    <w:p w14:paraId="1493CCFB">
      <w:pPr>
        <w:wordWrap w:val="0"/>
        <w:overflowPunct w:val="0"/>
        <w:topLinePunct/>
        <w:spacing w:line="360" w:lineRule="auto"/>
        <w:jc w:val="left"/>
        <w:rPr>
          <w:rFonts w:hint="eastAsia" w:ascii="宋体" w:hAnsi="宋体" w:eastAsia="宋体" w:cs="宋体"/>
          <w:color w:val="auto"/>
          <w:sz w:val="24"/>
          <w:lang w:eastAsia="zh-CN"/>
        </w:rPr>
      </w:pPr>
    </w:p>
    <w:p w14:paraId="5B4326C5">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2B9BC425">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7E13038C">
      <w:pPr>
        <w:wordWrap w:val="0"/>
        <w:overflowPunct w:val="0"/>
        <w:topLinePunct/>
        <w:jc w:val="left"/>
        <w:rPr>
          <w:rFonts w:hint="eastAsia" w:ascii="宋体" w:hAnsi="宋体" w:eastAsia="宋体" w:cs="宋体"/>
          <w:color w:val="auto"/>
          <w:sz w:val="24"/>
        </w:r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8C877B7">
      <w:pPr>
        <w:wordWrap w:val="0"/>
        <w:overflowPunct w:val="0"/>
        <w:topLinePunct/>
        <w:rPr>
          <w:rFonts w:hint="eastAsia" w:ascii="宋体" w:hAnsi="宋体" w:eastAsia="宋体" w:cs="宋体"/>
          <w:color w:val="auto"/>
          <w:szCs w:val="21"/>
        </w:rPr>
      </w:pPr>
    </w:p>
    <w:p w14:paraId="1B339001">
      <w:pPr>
        <w:wordWrap w:val="0"/>
        <w:overflowPunct w:val="0"/>
        <w:topLinePunct/>
        <w:spacing w:line="0" w:lineRule="atLeast"/>
        <w:ind w:firstLine="442" w:firstLineChars="200"/>
        <w:jc w:val="left"/>
        <w:rPr>
          <w:rFonts w:hint="eastAsia" w:ascii="宋体" w:hAnsi="宋体" w:eastAsia="宋体" w:cs="宋体"/>
          <w:b/>
          <w:bCs/>
          <w:color w:val="auto"/>
          <w:szCs w:val="21"/>
        </w:rPr>
      </w:pPr>
    </w:p>
    <w:p w14:paraId="1FDA1E56">
      <w:pPr>
        <w:widowControl w:val="0"/>
        <w:spacing w:after="120" w:line="240" w:lineRule="auto"/>
        <w:ind w:left="0" w:leftChars="0" w:firstLine="422" w:firstLineChars="200"/>
        <w:jc w:val="both"/>
        <w:rPr>
          <w:rFonts w:hint="eastAsia" w:ascii="宋体" w:hAnsi="宋体" w:eastAsia="宋体" w:cs="宋体"/>
          <w:b/>
          <w:bCs/>
          <w:color w:val="auto"/>
          <w:kern w:val="2"/>
          <w:sz w:val="21"/>
          <w:szCs w:val="21"/>
          <w:lang w:val="en-US" w:eastAsia="zh-CN" w:bidi="ar-SA"/>
        </w:rPr>
      </w:pPr>
    </w:p>
    <w:p w14:paraId="56215A3E">
      <w:pPr>
        <w:widowControl w:val="0"/>
        <w:spacing w:after="120" w:line="240" w:lineRule="auto"/>
        <w:ind w:left="0" w:leftChars="0" w:firstLine="422" w:firstLineChars="200"/>
        <w:jc w:val="both"/>
        <w:rPr>
          <w:rFonts w:hint="eastAsia" w:ascii="宋体" w:hAnsi="宋体" w:eastAsia="宋体" w:cs="宋体"/>
          <w:b/>
          <w:bCs/>
          <w:color w:val="auto"/>
          <w:kern w:val="2"/>
          <w:sz w:val="21"/>
          <w:szCs w:val="21"/>
          <w:lang w:val="en-US" w:eastAsia="zh-CN" w:bidi="ar-SA"/>
        </w:rPr>
      </w:pPr>
    </w:p>
    <w:p w14:paraId="61253C59">
      <w:pPr>
        <w:ind w:left="0" w:leftChars="0" w:firstLine="422" w:firstLineChars="200"/>
        <w:rPr>
          <w:rFonts w:hint="eastAsia" w:ascii="宋体" w:hAnsi="宋体" w:eastAsia="宋体" w:cs="宋体"/>
          <w:b/>
          <w:bCs/>
          <w:color w:val="auto"/>
          <w:szCs w:val="21"/>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bCs/>
          <w:color w:val="auto"/>
          <w:kern w:val="2"/>
          <w:sz w:val="21"/>
          <w:szCs w:val="21"/>
          <w:lang w:val="en-US" w:eastAsia="zh-CN" w:bidi="ar-SA"/>
        </w:rPr>
        <w:t>解释：参加采购活动前3年内，在经营活动中没有重大违法记录：参照投标函相关承诺格式内容。重大违法记录，是指供应商因违法经营受到刑事处罚或者责令停产停业、吊销许可证或者执照、较大数额罚款（较大数额罚款是指200万元以上罚款）等行政处罚。供应商在参加政府采购活动前3年内因违法经营被禁止在一定期限内参加政府采购活动，期限届满的，可以参加政府采购活动。</w:t>
      </w:r>
      <w:bookmarkStart w:id="1573" w:name="_Toc3236"/>
      <w:bookmarkStart w:id="1574" w:name="_Toc18125"/>
      <w:bookmarkStart w:id="1575" w:name="_Toc28798"/>
      <w:bookmarkStart w:id="1576" w:name="_Toc26414"/>
      <w:bookmarkStart w:id="1577" w:name="_Toc31196"/>
      <w:bookmarkStart w:id="1578" w:name="_Toc11659"/>
      <w:bookmarkStart w:id="1579" w:name="_Toc16458"/>
      <w:bookmarkStart w:id="1580" w:name="_Toc423"/>
      <w:bookmarkStart w:id="1581" w:name="_Toc27915"/>
      <w:bookmarkStart w:id="1582" w:name="_Toc15161"/>
      <w:bookmarkStart w:id="1583" w:name="_Toc9639"/>
      <w:bookmarkStart w:id="1584" w:name="_Toc21278"/>
      <w:bookmarkStart w:id="1585" w:name="_Toc6906"/>
      <w:bookmarkStart w:id="1586" w:name="_Toc9599"/>
      <w:bookmarkStart w:id="1587" w:name="_Toc29489"/>
      <w:bookmarkStart w:id="1588" w:name="_Toc32760"/>
      <w:bookmarkStart w:id="1589" w:name="_Toc13604"/>
      <w:bookmarkStart w:id="1590" w:name="_Toc13406"/>
      <w:bookmarkStart w:id="1591" w:name="_Toc29298"/>
      <w:bookmarkStart w:id="1592" w:name="_Toc10094"/>
      <w:bookmarkStart w:id="1593" w:name="_Toc25115"/>
      <w:bookmarkStart w:id="1594" w:name="_Toc22564"/>
      <w:bookmarkStart w:id="1595" w:name="_Toc27336"/>
      <w:bookmarkStart w:id="1596" w:name="_Toc11016"/>
      <w:bookmarkStart w:id="1597" w:name="_Toc21558"/>
    </w:p>
    <w:p w14:paraId="1C21B8CF">
      <w:pPr>
        <w:widowControl w:val="0"/>
        <w:spacing w:after="120" w:line="240" w:lineRule="auto"/>
        <w:ind w:left="0" w:leftChars="0" w:firstLine="0" w:firstLineChars="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六、</w:t>
      </w:r>
      <w:bookmarkEnd w:id="1573"/>
      <w:bookmarkEnd w:id="1574"/>
      <w:bookmarkEnd w:id="1575"/>
      <w:bookmarkEnd w:id="1576"/>
      <w:bookmarkEnd w:id="1577"/>
      <w:bookmarkEnd w:id="1578"/>
      <w:bookmarkEnd w:id="1579"/>
      <w:bookmarkEnd w:id="1580"/>
      <w:bookmarkEnd w:id="1581"/>
      <w:r>
        <w:rPr>
          <w:rFonts w:hint="eastAsia" w:ascii="宋体" w:hAnsi="宋体" w:eastAsia="宋体" w:cs="宋体"/>
          <w:b/>
          <w:bCs/>
          <w:color w:val="auto"/>
          <w:kern w:val="2"/>
          <w:sz w:val="28"/>
          <w:szCs w:val="28"/>
          <w:lang w:val="en-US" w:eastAsia="zh-CN" w:bidi="ar-SA"/>
        </w:rPr>
        <w:t>法律、行政法规规定的其他条件</w:t>
      </w:r>
      <w:bookmarkEnd w:id="1582"/>
      <w:bookmarkEnd w:id="1583"/>
      <w:r>
        <w:rPr>
          <w:rFonts w:hint="eastAsia" w:ascii="宋体" w:hAnsi="宋体" w:eastAsia="宋体" w:cs="宋体"/>
          <w:b/>
          <w:bCs/>
          <w:color w:val="auto"/>
          <w:kern w:val="2"/>
          <w:sz w:val="28"/>
          <w:szCs w:val="28"/>
          <w:lang w:val="en-US" w:eastAsia="zh-CN" w:bidi="ar-SA"/>
        </w:rPr>
        <w:t xml:space="preserve">（实质性格式） </w:t>
      </w:r>
    </w:p>
    <w:p w14:paraId="261AB820">
      <w:pPr>
        <w:widowControl w:val="0"/>
        <w:tabs>
          <w:tab w:val="left" w:pos="900"/>
          <w:tab w:val="left" w:pos="1588"/>
        </w:tabs>
        <w:wordWrap w:val="0"/>
        <w:overflowPunct w:val="0"/>
        <w:topLinePunct/>
        <w:adjustRightInd/>
        <w:ind w:left="0" w:firstLine="0"/>
        <w:jc w:val="center"/>
        <w:textAlignment w:val="auto"/>
        <w:outlineLvl w:val="2"/>
        <w:rPr>
          <w:rFonts w:hint="eastAsia" w:ascii="宋体" w:hAnsi="宋体" w:eastAsia="宋体" w:cs="宋体"/>
          <w:b/>
          <w:bCs/>
          <w:color w:val="auto"/>
          <w:sz w:val="24"/>
          <w:szCs w:val="24"/>
          <w:lang w:val="en-US" w:eastAsia="en-US" w:bidi="ar"/>
        </w:rPr>
      </w:pPr>
      <w:bookmarkStart w:id="1598" w:name="_Toc3079"/>
      <w:bookmarkStart w:id="1599" w:name="_Toc17663"/>
      <w:bookmarkStart w:id="1600" w:name="_Toc23157"/>
      <w:bookmarkStart w:id="1601" w:name="_Toc4613"/>
      <w:bookmarkStart w:id="1602" w:name="_Toc24546"/>
      <w:bookmarkStart w:id="1603" w:name="_Toc22023"/>
      <w:r>
        <w:rPr>
          <w:rFonts w:hint="eastAsia" w:ascii="宋体" w:hAnsi="宋体" w:eastAsia="宋体" w:cs="宋体"/>
          <w:b/>
          <w:bCs/>
          <w:color w:val="auto"/>
          <w:sz w:val="28"/>
          <w:szCs w:val="28"/>
          <w:lang w:val="en-US" w:eastAsia="zh-CN" w:bidi="ar-SA"/>
        </w:rPr>
        <w:t>（1）</w:t>
      </w:r>
      <w:r>
        <w:rPr>
          <w:rFonts w:hint="eastAsia" w:ascii="宋体" w:hAnsi="宋体" w:eastAsia="宋体" w:cs="宋体"/>
          <w:b/>
          <w:bCs/>
          <w:color w:val="auto"/>
          <w:sz w:val="28"/>
          <w:szCs w:val="28"/>
          <w:lang w:val="en-US" w:eastAsia="en-US" w:bidi="ar-SA"/>
        </w:rPr>
        <w:t>未被列入失信被执行人、重大税收违法案件当事人、政府采购严重违法失信行为名单的承诺函</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14:paraId="7E40888E">
      <w:pPr>
        <w:widowControl w:val="0"/>
        <w:wordWrap w:val="0"/>
        <w:overflowPunct w:val="0"/>
        <w:topLinePunct/>
        <w:spacing w:before="0" w:beforeLines="0" w:line="360" w:lineRule="auto"/>
        <w:ind w:firstLine="0" w:firstLineChars="0"/>
        <w:jc w:val="left"/>
        <w:rPr>
          <w:rFonts w:hint="eastAsia" w:ascii="宋体" w:hAnsi="宋体" w:eastAsia="宋体" w:cs="宋体"/>
          <w:color w:val="auto"/>
          <w:sz w:val="24"/>
          <w:szCs w:val="22"/>
          <w:lang w:val="en-US" w:eastAsia="en-US" w:bidi="ar-SA"/>
        </w:rPr>
      </w:pPr>
    </w:p>
    <w:p w14:paraId="157D4EDD">
      <w:pPr>
        <w:widowControl w:val="0"/>
        <w:wordWrap w:val="0"/>
        <w:overflowPunct w:val="0"/>
        <w:topLinePunct/>
        <w:spacing w:before="0" w:beforeLines="0" w:line="360" w:lineRule="auto"/>
        <w:ind w:firstLine="0" w:firstLineChars="0"/>
        <w:jc w:val="left"/>
        <w:rPr>
          <w:rFonts w:hint="eastAsia" w:ascii="宋体" w:hAnsi="宋体" w:eastAsia="宋体" w:cs="宋体"/>
          <w:color w:val="auto"/>
          <w:kern w:val="0"/>
          <w:sz w:val="24"/>
          <w:szCs w:val="22"/>
          <w:lang w:val="en-US" w:eastAsia="en-US" w:bidi="ar"/>
        </w:rPr>
      </w:pPr>
      <w:r>
        <w:rPr>
          <w:rFonts w:hint="eastAsia" w:ascii="宋体" w:hAnsi="宋体" w:eastAsia="宋体" w:cs="宋体"/>
          <w:color w:val="auto"/>
          <w:sz w:val="24"/>
          <w:szCs w:val="22"/>
          <w:lang w:val="en-US" w:eastAsia="en-US" w:bidi="ar-SA"/>
        </w:rPr>
        <w:t>致：</w:t>
      </w:r>
      <w:r>
        <w:rPr>
          <w:rFonts w:hint="eastAsia" w:ascii="宋体" w:hAnsi="宋体" w:eastAsia="宋体" w:cs="宋体"/>
          <w:color w:val="auto"/>
          <w:sz w:val="24"/>
          <w:szCs w:val="24"/>
          <w:u w:val="single"/>
          <w:lang w:val="en-US" w:eastAsia="zh-CN" w:bidi="ar-SA"/>
        </w:rPr>
        <w:t>南华县人民医院、楚雄腾凯工程项目管理有限公司</w:t>
      </w:r>
      <w:r>
        <w:rPr>
          <w:rFonts w:hint="eastAsia" w:ascii="宋体" w:hAnsi="宋体" w:eastAsia="宋体" w:cs="宋体"/>
          <w:i w:val="0"/>
          <w:iCs w:val="0"/>
          <w:color w:val="auto"/>
          <w:sz w:val="24"/>
          <w:szCs w:val="24"/>
          <w:u w:val="single"/>
          <w:lang w:val="en-US" w:eastAsia="zh-CN" w:bidi="ar-SA"/>
        </w:rPr>
        <w:t>（采购代理机构）</w:t>
      </w:r>
    </w:p>
    <w:p w14:paraId="13DFAE42">
      <w:pPr>
        <w:widowControl w:val="0"/>
        <w:wordWrap w:val="0"/>
        <w:overflowPunct w:val="0"/>
        <w:topLinePunct/>
        <w:spacing w:before="0" w:beforeLines="0" w:line="360" w:lineRule="auto"/>
        <w:ind w:firstLine="480" w:firstLineChars="200"/>
        <w:jc w:val="left"/>
        <w:rPr>
          <w:rFonts w:hint="eastAsia" w:ascii="宋体" w:hAnsi="宋体" w:eastAsia="宋体" w:cs="宋体"/>
          <w:color w:val="auto"/>
          <w:kern w:val="0"/>
          <w:sz w:val="24"/>
          <w:szCs w:val="22"/>
          <w:lang w:val="en-US" w:eastAsia="en-US" w:bidi="ar"/>
        </w:rPr>
      </w:pPr>
      <w:r>
        <w:rPr>
          <w:rFonts w:hint="eastAsia" w:ascii="宋体" w:hAnsi="宋体" w:eastAsia="宋体" w:cs="宋体"/>
          <w:color w:val="auto"/>
          <w:kern w:val="0"/>
          <w:sz w:val="24"/>
          <w:szCs w:val="22"/>
          <w:lang w:val="en-US" w:eastAsia="en-US" w:bidi="ar"/>
        </w:rPr>
        <w:t>我公司依法参加贵单位组织的</w:t>
      </w:r>
      <w:r>
        <w:rPr>
          <w:rFonts w:hint="eastAsia" w:ascii="宋体" w:hAnsi="宋体" w:eastAsia="宋体" w:cs="宋体"/>
          <w:color w:val="auto"/>
          <w:sz w:val="24"/>
          <w:szCs w:val="22"/>
          <w:lang w:val="en-US" w:eastAsia="en-US" w:bidi="ar-SA"/>
        </w:rPr>
        <w:t>（</w:t>
      </w:r>
      <w:r>
        <w:rPr>
          <w:rFonts w:hint="eastAsia" w:ascii="宋体" w:hAnsi="宋体" w:eastAsia="宋体" w:cs="宋体"/>
          <w:color w:val="auto"/>
          <w:sz w:val="24"/>
          <w:szCs w:val="22"/>
          <w:lang w:val="en-US" w:eastAsia="zh-CN" w:bidi="ar-SA"/>
        </w:rPr>
        <w:t>项目名称：</w:t>
      </w:r>
      <w:r>
        <w:rPr>
          <w:rFonts w:hint="eastAsia" w:ascii="宋体" w:hAnsi="宋体" w:eastAsia="宋体" w:cs="宋体"/>
          <w:color w:val="auto"/>
          <w:sz w:val="24"/>
          <w:szCs w:val="22"/>
          <w:u w:val="single"/>
          <w:lang w:val="en-US" w:eastAsia="zh-CN" w:bidi="ar-SA"/>
        </w:rPr>
        <w:t xml:space="preserve">         </w:t>
      </w:r>
      <w:r>
        <w:rPr>
          <w:rFonts w:hint="eastAsia" w:ascii="宋体" w:hAnsi="宋体" w:eastAsia="宋体" w:cs="宋体"/>
          <w:color w:val="auto"/>
          <w:sz w:val="24"/>
          <w:szCs w:val="22"/>
          <w:lang w:val="en-US" w:eastAsia="zh-CN" w:bidi="ar-SA"/>
        </w:rPr>
        <w:t>、项目编号：</w:t>
      </w:r>
      <w:r>
        <w:rPr>
          <w:rFonts w:hint="eastAsia" w:ascii="宋体" w:hAnsi="宋体" w:eastAsia="宋体" w:cs="宋体"/>
          <w:color w:val="auto"/>
          <w:sz w:val="24"/>
          <w:szCs w:val="22"/>
          <w:u w:val="single"/>
          <w:lang w:val="en-US" w:eastAsia="zh-CN" w:bidi="ar-SA"/>
        </w:rPr>
        <w:t xml:space="preserve">         </w:t>
      </w:r>
      <w:r>
        <w:rPr>
          <w:rFonts w:hint="eastAsia" w:ascii="宋体" w:hAnsi="宋体" w:eastAsia="宋体" w:cs="宋体"/>
          <w:color w:val="auto"/>
          <w:sz w:val="24"/>
          <w:szCs w:val="22"/>
          <w:lang w:val="en-US" w:eastAsia="en-US" w:bidi="ar-SA"/>
        </w:rPr>
        <w:t>）</w:t>
      </w:r>
      <w:r>
        <w:rPr>
          <w:rFonts w:hint="eastAsia" w:ascii="宋体" w:hAnsi="宋体" w:eastAsia="宋体" w:cs="宋体"/>
          <w:color w:val="auto"/>
          <w:sz w:val="24"/>
          <w:szCs w:val="22"/>
          <w:u w:val="single"/>
          <w:lang w:val="en-US" w:eastAsia="zh-CN" w:bidi="ar-SA"/>
        </w:rPr>
        <w:t>公开招标</w:t>
      </w:r>
      <w:r>
        <w:rPr>
          <w:rFonts w:hint="eastAsia" w:ascii="宋体" w:hAnsi="宋体" w:eastAsia="宋体" w:cs="宋体"/>
          <w:color w:val="auto"/>
          <w:sz w:val="24"/>
          <w:szCs w:val="22"/>
          <w:lang w:val="en-US" w:eastAsia="en-US" w:bidi="ar-SA"/>
        </w:rPr>
        <w:t>采购活动</w:t>
      </w:r>
      <w:r>
        <w:rPr>
          <w:rFonts w:hint="eastAsia" w:ascii="宋体" w:hAnsi="宋体" w:eastAsia="宋体" w:cs="宋体"/>
          <w:color w:val="auto"/>
          <w:kern w:val="0"/>
          <w:sz w:val="24"/>
          <w:szCs w:val="22"/>
          <w:lang w:val="en-US" w:eastAsia="en-US" w:bidi="ar"/>
        </w:rPr>
        <w:t>。现本公司郑重承诺：</w:t>
      </w:r>
    </w:p>
    <w:p w14:paraId="542C657B">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1、我公司在参加政府采购活动前3年内未因违法经营被禁止在一定期限内参加政府采购活动，可以参加本次政府采购活动。</w:t>
      </w:r>
    </w:p>
    <w:p w14:paraId="23B4110A">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2、我方未被列入“信用中国”网站失信被执行人名单。</w:t>
      </w:r>
    </w:p>
    <w:p w14:paraId="7FA0EF6F">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3、我方未被列入“信用中国”网站重大税收违法案件当事人名单。</w:t>
      </w:r>
    </w:p>
    <w:p w14:paraId="1FD21CB3">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4、我方未被列入“中国政府采购网”政府采购严重违法失信行为记录名单。</w:t>
      </w:r>
    </w:p>
    <w:p w14:paraId="4E9963B9">
      <w:pPr>
        <w:wordWrap w:val="0"/>
        <w:overflowPunct w:val="0"/>
        <w:topLinePunct/>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kern w:val="0"/>
          <w:sz w:val="24"/>
          <w:lang w:bidi="ar"/>
        </w:rPr>
        <w:t>以上承诺信息如有虚假或隐瞒，我方愿意承担一切后果，并不再寻求任何旨在减轻或免除法律责任的辩解。</w:t>
      </w: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r>
        <w:rPr>
          <w:rFonts w:hint="eastAsia" w:ascii="宋体" w:hAnsi="宋体" w:eastAsia="宋体" w:cs="宋体"/>
          <w:color w:val="auto"/>
          <w:kern w:val="0"/>
          <w:sz w:val="24"/>
          <w:lang w:bidi="ar"/>
        </w:rPr>
        <w:t>。</w:t>
      </w:r>
    </w:p>
    <w:p w14:paraId="789BA1D7">
      <w:pPr>
        <w:wordWrap w:val="0"/>
        <w:overflowPunct w:val="0"/>
        <w:topLinePunct/>
        <w:spacing w:line="360" w:lineRule="auto"/>
        <w:jc w:val="both"/>
        <w:rPr>
          <w:rFonts w:hint="eastAsia" w:ascii="宋体" w:hAnsi="宋体" w:eastAsia="宋体" w:cs="宋体"/>
          <w:color w:val="auto"/>
          <w:sz w:val="24"/>
        </w:rPr>
      </w:pPr>
    </w:p>
    <w:p w14:paraId="27A8217B">
      <w:pPr>
        <w:wordWrap w:val="0"/>
        <w:overflowPunct w:val="0"/>
        <w:topLinePunct/>
        <w:spacing w:line="360" w:lineRule="auto"/>
        <w:jc w:val="center"/>
        <w:rPr>
          <w:rFonts w:hint="eastAsia" w:ascii="宋体" w:hAnsi="宋体" w:eastAsia="宋体" w:cs="宋体"/>
          <w:color w:val="auto"/>
          <w:sz w:val="24"/>
        </w:rPr>
      </w:pPr>
    </w:p>
    <w:p w14:paraId="45DD1032">
      <w:pPr>
        <w:wordWrap w:val="0"/>
        <w:overflowPunct w:val="0"/>
        <w:topLinePunct/>
        <w:spacing w:line="360" w:lineRule="auto"/>
        <w:jc w:val="center"/>
        <w:rPr>
          <w:rFonts w:hint="eastAsia" w:ascii="宋体" w:hAnsi="宋体" w:eastAsia="宋体" w:cs="宋体"/>
          <w:color w:val="auto"/>
          <w:sz w:val="24"/>
          <w:lang w:eastAsia="zh-CN"/>
        </w:rPr>
      </w:pPr>
    </w:p>
    <w:p w14:paraId="2C6AC659">
      <w:pPr>
        <w:wordWrap w:val="0"/>
        <w:overflowPunct w:val="0"/>
        <w:topLinePunct/>
        <w:spacing w:line="360" w:lineRule="auto"/>
        <w:jc w:val="center"/>
        <w:rPr>
          <w:rFonts w:hint="eastAsia" w:ascii="宋体" w:hAnsi="宋体" w:eastAsia="宋体" w:cs="宋体"/>
          <w:color w:val="auto"/>
          <w:sz w:val="24"/>
          <w:lang w:eastAsia="zh-CN"/>
        </w:rPr>
      </w:pPr>
    </w:p>
    <w:p w14:paraId="5B7F0098">
      <w:pPr>
        <w:wordWrap w:val="0"/>
        <w:overflowPunct w:val="0"/>
        <w:topLinePunct/>
        <w:spacing w:line="360" w:lineRule="auto"/>
        <w:jc w:val="center"/>
        <w:rPr>
          <w:rFonts w:hint="eastAsia" w:ascii="宋体" w:hAnsi="宋体" w:eastAsia="宋体" w:cs="宋体"/>
          <w:color w:val="auto"/>
          <w:sz w:val="24"/>
          <w:lang w:eastAsia="zh-CN"/>
        </w:rPr>
      </w:pPr>
    </w:p>
    <w:p w14:paraId="36CD597A">
      <w:pPr>
        <w:wordWrap w:val="0"/>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25061EF8">
      <w:pPr>
        <w:widowControl w:val="0"/>
        <w:wordWrap w:val="0"/>
        <w:overflowPunct w:val="0"/>
        <w:topLinePunct/>
        <w:spacing w:before="0" w:beforeLines="0" w:line="360" w:lineRule="auto"/>
        <w:ind w:firstLine="480" w:firstLineChars="200"/>
        <w:jc w:val="center"/>
        <w:rPr>
          <w:rFonts w:hint="eastAsia" w:ascii="宋体" w:hAnsi="宋体" w:eastAsia="宋体" w:cs="宋体"/>
          <w:color w:val="auto"/>
          <w:sz w:val="24"/>
          <w:szCs w:val="22"/>
          <w:lang w:val="en-US" w:eastAsia="en-US" w:bidi="ar-SA"/>
        </w:rPr>
      </w:pPr>
      <w:r>
        <w:rPr>
          <w:rFonts w:hint="eastAsia" w:ascii="宋体" w:hAnsi="宋体" w:eastAsia="宋体" w:cs="宋体"/>
          <w:color w:val="auto"/>
          <w:sz w:val="24"/>
          <w:szCs w:val="22"/>
          <w:lang w:val="en-US" w:eastAsia="en-US" w:bidi="ar-SA"/>
        </w:rPr>
        <w:t>日期：</w:t>
      </w:r>
      <w:r>
        <w:rPr>
          <w:rFonts w:hint="eastAsia" w:ascii="宋体" w:hAnsi="宋体" w:eastAsia="宋体" w:cs="宋体"/>
          <w:color w:val="auto"/>
          <w:sz w:val="24"/>
          <w:szCs w:val="22"/>
          <w:u w:val="single"/>
          <w:lang w:val="en-US" w:eastAsia="en-US" w:bidi="ar-SA"/>
        </w:rPr>
        <w:t xml:space="preserve">     </w:t>
      </w:r>
      <w:r>
        <w:rPr>
          <w:rFonts w:hint="eastAsia" w:ascii="宋体" w:hAnsi="宋体" w:eastAsia="宋体" w:cs="宋体"/>
          <w:color w:val="auto"/>
          <w:sz w:val="24"/>
          <w:szCs w:val="22"/>
          <w:lang w:val="en-US" w:eastAsia="en-US" w:bidi="ar-SA"/>
        </w:rPr>
        <w:t>年</w:t>
      </w:r>
      <w:r>
        <w:rPr>
          <w:rFonts w:hint="eastAsia" w:ascii="宋体" w:hAnsi="宋体" w:eastAsia="宋体" w:cs="宋体"/>
          <w:color w:val="auto"/>
          <w:sz w:val="24"/>
          <w:szCs w:val="22"/>
          <w:u w:val="single"/>
          <w:lang w:val="en-US" w:eastAsia="en-US" w:bidi="ar-SA"/>
        </w:rPr>
        <w:t xml:space="preserve">     </w:t>
      </w:r>
      <w:r>
        <w:rPr>
          <w:rFonts w:hint="eastAsia" w:ascii="宋体" w:hAnsi="宋体" w:eastAsia="宋体" w:cs="宋体"/>
          <w:color w:val="auto"/>
          <w:sz w:val="24"/>
          <w:szCs w:val="22"/>
          <w:lang w:val="en-US" w:eastAsia="en-US" w:bidi="ar-SA"/>
        </w:rPr>
        <w:t>月</w:t>
      </w:r>
      <w:r>
        <w:rPr>
          <w:rFonts w:hint="eastAsia" w:ascii="宋体" w:hAnsi="宋体" w:eastAsia="宋体" w:cs="宋体"/>
          <w:color w:val="auto"/>
          <w:sz w:val="24"/>
          <w:szCs w:val="22"/>
          <w:u w:val="single"/>
          <w:lang w:val="en-US" w:eastAsia="en-US" w:bidi="ar-SA"/>
        </w:rPr>
        <w:t xml:space="preserve">     </w:t>
      </w:r>
      <w:r>
        <w:rPr>
          <w:rFonts w:hint="eastAsia" w:ascii="宋体" w:hAnsi="宋体" w:eastAsia="宋体" w:cs="宋体"/>
          <w:color w:val="auto"/>
          <w:sz w:val="24"/>
          <w:szCs w:val="22"/>
          <w:lang w:val="en-US" w:eastAsia="en-US" w:bidi="ar-SA"/>
        </w:rPr>
        <w:t>日</w:t>
      </w:r>
    </w:p>
    <w:p w14:paraId="349F4965">
      <w:pPr>
        <w:widowControl w:val="0"/>
        <w:wordWrap w:val="0"/>
        <w:overflowPunct w:val="0"/>
        <w:topLinePunct/>
        <w:spacing w:before="0" w:beforeLines="0" w:line="360" w:lineRule="auto"/>
        <w:ind w:firstLineChars="200"/>
        <w:jc w:val="both"/>
        <w:rPr>
          <w:rFonts w:hint="eastAsia" w:ascii="宋体" w:hAnsi="宋体" w:eastAsia="宋体" w:cs="宋体"/>
          <w:color w:val="auto"/>
          <w:sz w:val="24"/>
          <w:szCs w:val="22"/>
          <w:lang w:val="en-US" w:eastAsia="en-US" w:bidi="ar-SA"/>
        </w:rPr>
      </w:pPr>
    </w:p>
    <w:p w14:paraId="3FA86F89">
      <w:pPr>
        <w:wordWrap w:val="0"/>
        <w:overflowPunct w:val="0"/>
        <w:topLinePunct/>
        <w:spacing w:line="0" w:lineRule="atLeast"/>
        <w:ind w:firstLine="482" w:firstLineChars="200"/>
        <w:jc w:val="left"/>
        <w:rPr>
          <w:rFonts w:hint="eastAsia" w:ascii="宋体" w:hAnsi="宋体" w:eastAsia="宋体" w:cs="宋体"/>
          <w:b/>
          <w:bCs/>
          <w:color w:val="auto"/>
          <w:sz w:val="24"/>
        </w:rPr>
      </w:pPr>
    </w:p>
    <w:p w14:paraId="727C6484">
      <w:pPr>
        <w:widowControl w:val="0"/>
        <w:spacing w:after="120"/>
        <w:ind w:left="0" w:firstLine="211" w:firstLineChars="100"/>
        <w:jc w:val="both"/>
        <w:rPr>
          <w:rFonts w:hint="eastAsia" w:ascii="宋体" w:hAnsi="宋体" w:eastAsia="宋体" w:cs="宋体"/>
          <w:b/>
          <w:bCs/>
          <w:color w:val="auto"/>
          <w:kern w:val="2"/>
          <w:sz w:val="21"/>
          <w:szCs w:val="21"/>
          <w:lang w:val="en-US" w:eastAsia="zh-CN" w:bidi="ar-SA"/>
        </w:rPr>
      </w:pPr>
    </w:p>
    <w:p w14:paraId="15EE0FB9">
      <w:pPr>
        <w:widowControl w:val="0"/>
        <w:spacing w:after="120"/>
        <w:ind w:left="0" w:firstLine="211" w:firstLineChars="100"/>
        <w:jc w:val="both"/>
        <w:rPr>
          <w:rFonts w:hint="eastAsia" w:ascii="宋体" w:hAnsi="宋体" w:eastAsia="宋体" w:cs="宋体"/>
          <w:b/>
          <w:bCs/>
          <w:color w:val="auto"/>
          <w:kern w:val="2"/>
          <w:sz w:val="21"/>
          <w:szCs w:val="21"/>
          <w:lang w:val="en-US" w:eastAsia="zh-CN" w:bidi="ar-SA"/>
        </w:rPr>
      </w:pPr>
    </w:p>
    <w:p w14:paraId="034F9A96">
      <w:pPr>
        <w:rPr>
          <w:rFonts w:hint="eastAsia" w:ascii="宋体" w:hAnsi="宋体" w:eastAsia="宋体" w:cs="宋体"/>
          <w:b/>
          <w:bCs/>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bCs/>
          <w:color w:val="auto"/>
          <w:kern w:val="2"/>
          <w:sz w:val="21"/>
          <w:szCs w:val="21"/>
          <w:lang w:val="en-US" w:eastAsia="zh-CN" w:bidi="ar-SA"/>
        </w:rPr>
        <w:t>注：3年内因违法经营被禁止在一定期限内参加政府采购，处罚期限届满可以参加政府采购活动的，但应提供期限届满的证明材料。</w:t>
      </w:r>
      <w:bookmarkStart w:id="1604" w:name="_Toc28900"/>
      <w:bookmarkStart w:id="1605" w:name="_Toc7287"/>
      <w:bookmarkStart w:id="1606" w:name="_Toc3606"/>
      <w:bookmarkStart w:id="1607" w:name="_Toc4806"/>
      <w:bookmarkStart w:id="1608" w:name="_Toc23880"/>
      <w:bookmarkStart w:id="1609" w:name="_Toc32199"/>
      <w:bookmarkStart w:id="1610" w:name="_Toc16693"/>
      <w:bookmarkStart w:id="1611" w:name="_Toc18012"/>
      <w:bookmarkStart w:id="1612" w:name="_Toc16572"/>
      <w:bookmarkStart w:id="1613" w:name="_Toc25072"/>
      <w:bookmarkStart w:id="1614" w:name="_Toc4238"/>
    </w:p>
    <w:bookmarkEnd w:id="1604"/>
    <w:bookmarkEnd w:id="1605"/>
    <w:bookmarkEnd w:id="1606"/>
    <w:bookmarkEnd w:id="1607"/>
    <w:bookmarkEnd w:id="1608"/>
    <w:bookmarkEnd w:id="1609"/>
    <w:bookmarkEnd w:id="1610"/>
    <w:bookmarkEnd w:id="1611"/>
    <w:bookmarkEnd w:id="1612"/>
    <w:bookmarkEnd w:id="1613"/>
    <w:bookmarkEnd w:id="1614"/>
    <w:p w14:paraId="7E2800A4">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bookmarkStart w:id="1615" w:name="_Toc19537"/>
      <w:bookmarkStart w:id="1616" w:name="_Toc120277425"/>
      <w:bookmarkStart w:id="1617" w:name="_Toc698"/>
      <w:bookmarkStart w:id="1618" w:name="_Toc112677164"/>
      <w:bookmarkStart w:id="1619" w:name="_Toc27828"/>
      <w:bookmarkStart w:id="1620" w:name="_Toc7266"/>
      <w:bookmarkStart w:id="1621" w:name="_Toc22394"/>
      <w:bookmarkStart w:id="1622" w:name="_Toc1648"/>
      <w:bookmarkStart w:id="1623" w:name="_Toc22406"/>
      <w:bookmarkStart w:id="1624" w:name="_Toc31270"/>
      <w:bookmarkStart w:id="1625" w:name="_Toc21545"/>
      <w:bookmarkStart w:id="1626" w:name="_Toc20757"/>
      <w:bookmarkStart w:id="1627" w:name="_Toc15174"/>
      <w:bookmarkStart w:id="1628" w:name="_Toc7746"/>
      <w:bookmarkStart w:id="1629" w:name="_Toc23889"/>
      <w:bookmarkStart w:id="1630" w:name="_Toc9578"/>
      <w:r>
        <w:rPr>
          <w:rFonts w:hint="eastAsia" w:ascii="宋体" w:hAnsi="宋体" w:eastAsia="宋体" w:cs="宋体"/>
          <w:b/>
          <w:bCs/>
          <w:color w:val="auto"/>
          <w:kern w:val="2"/>
          <w:sz w:val="28"/>
          <w:szCs w:val="28"/>
          <w:lang w:val="en-US" w:eastAsia="zh-CN" w:bidi="ar-SA"/>
        </w:rPr>
        <w:t>（2）资格声明函（实质性格式）</w:t>
      </w:r>
    </w:p>
    <w:p w14:paraId="4BDEFEFD">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rPr>
        <w:t>致：</w:t>
      </w: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u w:val="single"/>
          <w:lang w:eastAsia="zh-CN"/>
        </w:rPr>
        <w:t>、楚雄腾凯工程项目管理有限公司</w:t>
      </w:r>
      <w:r>
        <w:rPr>
          <w:rFonts w:hint="eastAsia" w:ascii="宋体" w:hAnsi="宋体" w:eastAsia="宋体" w:cs="宋体"/>
          <w:i w:val="0"/>
          <w:iCs w:val="0"/>
          <w:color w:val="auto"/>
          <w:sz w:val="24"/>
          <w:szCs w:val="24"/>
          <w:u w:val="single"/>
          <w:lang w:val="en-US" w:eastAsia="zh-CN"/>
        </w:rPr>
        <w:t>（采购代理机构）</w:t>
      </w:r>
    </w:p>
    <w:p w14:paraId="5A1E7B3D">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关于贵方组织的（</w:t>
      </w:r>
      <w:r>
        <w:rPr>
          <w:rFonts w:hint="eastAsia" w:ascii="宋体" w:hAnsi="宋体" w:eastAsia="宋体" w:cs="宋体"/>
          <w:color w:val="auto"/>
          <w:sz w:val="24"/>
          <w:szCs w:val="24"/>
          <w:lang w:eastAsia="zh-CN"/>
        </w:rPr>
        <w:t>项目名称：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eastAsia="zh-CN"/>
        </w:rPr>
        <w:t>公开招标</w:t>
      </w:r>
      <w:r>
        <w:rPr>
          <w:rFonts w:hint="eastAsia" w:ascii="宋体" w:hAnsi="宋体" w:eastAsia="宋体" w:cs="宋体"/>
          <w:color w:val="auto"/>
          <w:sz w:val="24"/>
          <w:szCs w:val="24"/>
        </w:rPr>
        <w:t>采购活动，我公司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（公司名称）愿意参加，提供</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中规定的货物及服务，并针对本项目的相关资格条款，我公司作出以下声明；</w:t>
      </w:r>
    </w:p>
    <w:p w14:paraId="60F44EC9">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highlight w:val="yellow"/>
          <w:lang w:val="en-US" w:eastAsia="zh-CN"/>
        </w:rPr>
      </w:pPr>
      <w:bookmarkStart w:id="1631" w:name="_Toc3450"/>
      <w:bookmarkStart w:id="1632" w:name="_Toc30423"/>
      <w:bookmarkStart w:id="1633" w:name="_Toc5283"/>
      <w:bookmarkStart w:id="1634" w:name="_Toc10065"/>
      <w:bookmarkStart w:id="1635" w:name="_Toc14160"/>
      <w:bookmarkStart w:id="1636" w:name="_Toc23865"/>
      <w:bookmarkStart w:id="1637" w:name="_Toc26981"/>
      <w:bookmarkStart w:id="1638" w:name="_Toc26904"/>
      <w:bookmarkStart w:id="1639" w:name="_Toc28986"/>
      <w:r>
        <w:rPr>
          <w:rFonts w:hint="eastAsia" w:ascii="宋体" w:hAnsi="宋体" w:eastAsia="宋体" w:cs="宋体"/>
          <w:color w:val="auto"/>
          <w:sz w:val="24"/>
          <w:szCs w:val="24"/>
        </w:rPr>
        <w:t>1.我公司是依法注册的法人，在法律上、财务上和运作上完全独立于</w:t>
      </w: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u w:val="single"/>
          <w:lang w:eastAsia="zh-CN"/>
        </w:rPr>
        <w:t>楚雄腾凯工程项目管理有限公司</w:t>
      </w:r>
    </w:p>
    <w:p w14:paraId="639F3B09">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lang w:val="en-US"/>
        </w:rPr>
      </w:pPr>
      <w:r>
        <w:rPr>
          <w:rFonts w:hint="eastAsia" w:ascii="宋体" w:hAnsi="宋体" w:eastAsia="宋体" w:cs="宋体"/>
          <w:b w:val="0"/>
          <w:bCs w:val="0"/>
          <w:color w:val="auto"/>
          <w:sz w:val="24"/>
          <w:szCs w:val="24"/>
          <w:lang w:val="en-US" w:eastAsia="zh-CN"/>
        </w:rPr>
        <w:t>2、</w:t>
      </w:r>
      <w:r>
        <w:rPr>
          <w:rFonts w:hint="eastAsia" w:ascii="宋体" w:hAnsi="宋体" w:eastAsia="宋体" w:cs="宋体"/>
          <w:color w:val="auto"/>
          <w:sz w:val="24"/>
          <w:szCs w:val="24"/>
        </w:rPr>
        <w:t>我公司</w:t>
      </w:r>
      <w:r>
        <w:rPr>
          <w:rFonts w:hint="eastAsia" w:ascii="宋体" w:hAnsi="宋体" w:eastAsia="宋体" w:cs="宋体"/>
          <w:b w:val="0"/>
          <w:bCs w:val="0"/>
          <w:color w:val="auto"/>
          <w:sz w:val="24"/>
          <w:szCs w:val="24"/>
          <w:lang w:eastAsia="zh-CN"/>
        </w:rPr>
        <w:t>遵守国家有关的法律、法令和条例，以及符合并承认和履行招标文件中的各项规定。</w:t>
      </w:r>
    </w:p>
    <w:p w14:paraId="5743DBE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bookmarkEnd w:id="1631"/>
      <w:bookmarkEnd w:id="1632"/>
      <w:bookmarkEnd w:id="1633"/>
      <w:bookmarkEnd w:id="1634"/>
      <w:bookmarkEnd w:id="1635"/>
      <w:bookmarkEnd w:id="1636"/>
      <w:bookmarkEnd w:id="1637"/>
      <w:bookmarkEnd w:id="1638"/>
      <w:bookmarkEnd w:id="1639"/>
      <w:r>
        <w:rPr>
          <w:rFonts w:hint="eastAsia" w:ascii="宋体" w:hAnsi="宋体" w:eastAsia="宋体" w:cs="宋体"/>
          <w:color w:val="auto"/>
          <w:sz w:val="24"/>
          <w:szCs w:val="24"/>
        </w:rPr>
        <w:t>我单位不属于政府采购法律、行政法规规定的公益一类事业单位</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使用事业编制且由财政拨款保障的群团组织（仅适用于政府购买服务项目）</w:t>
      </w:r>
      <w:r>
        <w:rPr>
          <w:rFonts w:hint="eastAsia" w:ascii="宋体" w:hAnsi="宋体" w:eastAsia="宋体" w:cs="宋体"/>
          <w:color w:val="auto"/>
          <w:sz w:val="24"/>
          <w:szCs w:val="24"/>
          <w:lang w:eastAsia="zh-CN"/>
        </w:rPr>
        <w:t>；</w:t>
      </w:r>
    </w:p>
    <w:p w14:paraId="1C27D3F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auto"/>
          <w:sz w:val="24"/>
          <w:szCs w:val="24"/>
          <w:lang w:eastAsia="zh-CN"/>
        </w:rPr>
        <w:t>；</w:t>
      </w:r>
    </w:p>
    <w:p w14:paraId="6687EFD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与我单位存在“单位负责人为同一人或者存在直接控股、管理关系”的其他法人单位信息如下（如有，不论其是否参加同一合同项下的政府采购活动均须填写）：</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12CB6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A61D6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5102" w:type="dxa"/>
            <w:noWrap w:val="0"/>
            <w:vAlign w:val="center"/>
          </w:tcPr>
          <w:p w14:paraId="41EC569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3320" w:type="dxa"/>
            <w:noWrap w:val="0"/>
            <w:vAlign w:val="center"/>
          </w:tcPr>
          <w:p w14:paraId="666CCDDD">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相互关系</w:t>
            </w:r>
          </w:p>
        </w:tc>
      </w:tr>
      <w:tr w14:paraId="55A83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9061ED4">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5102" w:type="dxa"/>
            <w:noWrap w:val="0"/>
            <w:vAlign w:val="center"/>
          </w:tcPr>
          <w:p w14:paraId="6249DC3F">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2474194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0BBED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13E7B4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5102" w:type="dxa"/>
            <w:noWrap w:val="0"/>
            <w:vAlign w:val="center"/>
          </w:tcPr>
          <w:p w14:paraId="7100E4D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7A68EF3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r w14:paraId="0B407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266AF2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5102" w:type="dxa"/>
            <w:noWrap w:val="0"/>
            <w:vAlign w:val="center"/>
          </w:tcPr>
          <w:p w14:paraId="025D473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c>
          <w:tcPr>
            <w:tcW w:w="3320" w:type="dxa"/>
            <w:noWrap w:val="0"/>
            <w:vAlign w:val="center"/>
          </w:tcPr>
          <w:p w14:paraId="5D94034F">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宋体" w:hAnsi="宋体" w:eastAsia="宋体" w:cs="宋体"/>
                <w:color w:val="auto"/>
                <w:sz w:val="24"/>
                <w:szCs w:val="24"/>
              </w:rPr>
            </w:pPr>
          </w:p>
        </w:tc>
      </w:tr>
    </w:tbl>
    <w:p w14:paraId="1BB94C4C">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.我公司完全符合本项目的投标资格，我公司对上述声明内容事项真实性负责。如经查实上述承诺声明的内容事项存在虚假或未履行，本单位愿意接受相关处罚并追究法律责任。</w:t>
      </w:r>
    </w:p>
    <w:p w14:paraId="53E53FA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2FDC3BAD">
      <w:pPr>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宋体" w:hAnsi="宋体" w:eastAsia="宋体" w:cs="宋体"/>
          <w:color w:val="auto"/>
          <w:kern w:val="0"/>
          <w:sz w:val="24"/>
          <w:szCs w:val="24"/>
          <w:u w:val="single"/>
          <w:lang w:val="en-US" w:eastAsia="zh-CN" w:bidi="ar-SA"/>
        </w:rPr>
      </w:pPr>
    </w:p>
    <w:p w14:paraId="25D7790F">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08C8B83B">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lang w:eastAsia="zh-CN"/>
        </w:rPr>
      </w:pPr>
    </w:p>
    <w:p w14:paraId="33895EE4">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rPr>
        <w:t>）</w:t>
      </w:r>
    </w:p>
    <w:p w14:paraId="7F0CC1CA">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法定代表人（负责人）或授权委托人：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签字或电子签章</w:t>
      </w:r>
      <w:r>
        <w:rPr>
          <w:rFonts w:hint="eastAsia" w:ascii="宋体" w:hAnsi="宋体" w:eastAsia="宋体" w:cs="宋体"/>
          <w:color w:val="auto"/>
          <w:sz w:val="24"/>
          <w:szCs w:val="24"/>
        </w:rPr>
        <w:t>）</w:t>
      </w:r>
    </w:p>
    <w:p w14:paraId="6A6CF6FC">
      <w:pPr>
        <w:keepNext w:val="0"/>
        <w:keepLines w:val="0"/>
        <w:pageBreakBefore w:val="0"/>
        <w:widowControl w:val="0"/>
        <w:kinsoku/>
        <w:bidi w:val="0"/>
        <w:adjustRightInd/>
        <w:snapToGrid/>
        <w:spacing w:before="63" w:beforeLines="20" w:after="63" w:afterLines="20" w:line="0" w:lineRule="atLeast"/>
        <w:jc w:val="lef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38CDEEA">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6E0DE37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448701CE">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1F87A616">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p>
    <w:p w14:paraId="7D0582DD">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注：</w:t>
      </w:r>
    </w:p>
    <w:p w14:paraId="62FE3C8F">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1、单位负责人，是指单位法定代表人或者法律、行政法规规定代表单位行使职权的主要负责人。</w:t>
      </w:r>
    </w:p>
    <w:p w14:paraId="41B591C2">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2、直接控股关系，</w:t>
      </w:r>
      <w:r>
        <w:rPr>
          <w:rFonts w:hint="eastAsia" w:ascii="宋体" w:hAnsi="宋体" w:eastAsia="宋体" w:cs="宋体"/>
          <w:b/>
          <w:color w:val="auto"/>
          <w:sz w:val="21"/>
          <w:szCs w:val="21"/>
          <w:shd w:val="clear" w:color="auto" w:fill="FFFFFF"/>
        </w:rPr>
        <w:t>是指单位或个人股东的直接控股关系；控股股东，是指其出资额占有限责任公司资本总额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以上或者其持有的股份占股份有限公司股本总额</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以上的股东；出资额或者持有股份的比例虽然不足</w:t>
      </w:r>
      <w:r>
        <w:rPr>
          <w:rFonts w:hint="eastAsia" w:ascii="宋体" w:hAnsi="宋体" w:eastAsia="宋体" w:cs="宋体"/>
          <w:b/>
          <w:color w:val="auto"/>
          <w:sz w:val="21"/>
          <w:szCs w:val="21"/>
          <w:shd w:val="clear" w:color="auto" w:fill="FFFFFF"/>
          <w:lang w:eastAsia="zh-CN"/>
        </w:rPr>
        <w:t>50%</w:t>
      </w:r>
      <w:r>
        <w:rPr>
          <w:rFonts w:hint="eastAsia" w:ascii="宋体" w:hAnsi="宋体" w:eastAsia="宋体" w:cs="宋体"/>
          <w:b/>
          <w:color w:val="auto"/>
          <w:sz w:val="21"/>
          <w:szCs w:val="21"/>
          <w:shd w:val="clear" w:color="auto" w:fill="FFFFFF"/>
        </w:rPr>
        <w:t>，但依其出资额或者持有的股份所享有的表决权已足以对股东会、股东大会的决议产生重大影响的股东</w:t>
      </w:r>
      <w:r>
        <w:rPr>
          <w:rFonts w:hint="eastAsia" w:ascii="宋体" w:hAnsi="宋体" w:eastAsia="宋体" w:cs="宋体"/>
          <w:b/>
          <w:color w:val="auto"/>
          <w:sz w:val="21"/>
          <w:szCs w:val="21"/>
        </w:rPr>
        <w:t>。</w:t>
      </w:r>
    </w:p>
    <w:p w14:paraId="2F989732">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宋体" w:hAnsi="宋体" w:eastAsia="宋体" w:cs="宋体"/>
          <w:color w:val="auto"/>
          <w:sz w:val="24"/>
        </w:rPr>
        <w:sectPr>
          <w:pgSz w:w="11906" w:h="16838"/>
          <w:pgMar w:top="1440" w:right="1080" w:bottom="1440" w:left="1080" w:header="851" w:footer="992" w:gutter="0"/>
          <w:pgNumType w:fmt="decimal"/>
          <w:cols w:space="425" w:num="1"/>
          <w:rtlGutter w:val="0"/>
          <w:docGrid w:type="lines" w:linePitch="312" w:charSpace="0"/>
        </w:sectPr>
      </w:pPr>
      <w:r>
        <w:rPr>
          <w:rFonts w:hint="eastAsia" w:ascii="宋体" w:hAnsi="宋体" w:eastAsia="宋体" w:cs="宋体"/>
          <w:b/>
          <w:color w:val="auto"/>
          <w:sz w:val="21"/>
          <w:szCs w:val="21"/>
        </w:rPr>
        <w:t>3、直接管理关系，是指不具有出资持股关系的其他单位之间存在的直接管理与被管理关系，如上下级关系的事业单位和团体组织。</w:t>
      </w:r>
    </w:p>
    <w:p w14:paraId="5B76E781">
      <w:pPr>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3"/>
        <w:jc w:val="center"/>
        <w:textAlignment w:val="auto"/>
        <w:outlineLvl w:val="1"/>
        <w:rPr>
          <w:rFonts w:hint="eastAsia" w:ascii="宋体" w:hAnsi="宋体" w:eastAsia="宋体" w:cs="宋体"/>
          <w:b/>
          <w:color w:val="auto"/>
          <w:sz w:val="40"/>
          <w:szCs w:val="24"/>
          <w:lang w:val="en-US" w:eastAsia="en-US" w:bidi="ar-SA"/>
        </w:rPr>
      </w:pPr>
      <w:bookmarkStart w:id="1640" w:name="_Toc7250"/>
      <w:r>
        <w:rPr>
          <w:rFonts w:hint="eastAsia" w:ascii="宋体" w:hAnsi="宋体" w:eastAsia="宋体" w:cs="宋体"/>
          <w:b/>
          <w:color w:val="auto"/>
          <w:sz w:val="28"/>
          <w:szCs w:val="28"/>
          <w:lang w:val="en-US" w:eastAsia="zh-CN" w:bidi="ar-SA"/>
        </w:rPr>
        <w:t>七、</w:t>
      </w:r>
      <w:r>
        <w:rPr>
          <w:rFonts w:hint="eastAsia" w:ascii="宋体" w:hAnsi="宋体" w:eastAsia="宋体" w:cs="宋体"/>
          <w:b/>
          <w:color w:val="auto"/>
          <w:sz w:val="28"/>
          <w:szCs w:val="28"/>
          <w:lang w:val="en-US" w:eastAsia="en-US" w:bidi="ar-SA"/>
        </w:rPr>
        <w:t>无串通投标行为的承诺函</w:t>
      </w:r>
      <w:bookmarkEnd w:id="1615"/>
      <w:bookmarkEnd w:id="1616"/>
      <w:bookmarkEnd w:id="1617"/>
      <w:bookmarkEnd w:id="1618"/>
      <w:r>
        <w:rPr>
          <w:rFonts w:hint="eastAsia" w:ascii="宋体" w:hAnsi="宋体" w:eastAsia="宋体" w:cs="宋体"/>
          <w:b/>
          <w:color w:val="auto"/>
          <w:sz w:val="28"/>
          <w:szCs w:val="28"/>
          <w:lang w:val="en-US" w:eastAsia="zh-CN" w:bidi="ar-SA"/>
        </w:rPr>
        <w:t>（实质性格式）</w:t>
      </w:r>
      <w:bookmarkEnd w:id="1640"/>
      <w:r>
        <w:rPr>
          <w:rFonts w:hint="eastAsia" w:ascii="宋体" w:hAnsi="宋体" w:eastAsia="宋体" w:cs="宋体"/>
          <w:b/>
          <w:color w:val="auto"/>
          <w:sz w:val="28"/>
          <w:szCs w:val="28"/>
          <w:lang w:val="en-US" w:eastAsia="zh-CN" w:bidi="ar-SA"/>
        </w:rPr>
        <w:t xml:space="preserve"> </w:t>
      </w:r>
    </w:p>
    <w:p w14:paraId="772F830B">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一、有下列情形之一的，属于恶意串通投标：</w:t>
      </w:r>
    </w:p>
    <w:p w14:paraId="6AB7C837">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直接或者间接从采购人或者采购代理机构处获得其他</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的相关情况并修改其投标文件或者响应文件；</w:t>
      </w:r>
    </w:p>
    <w:p w14:paraId="7D6DC33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按照采购人或者采购代理机构的授意撤换、修改投标文件或者响应文件；</w:t>
      </w:r>
    </w:p>
    <w:p w14:paraId="12585AB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之间协商报价、技术方案等投标文件或者响应文件的实质性内容；</w:t>
      </w:r>
    </w:p>
    <w:p w14:paraId="752BCF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（四）属于同一集团、协会、商会等组织成员的</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按照该组织要求协同参加政府采购活动；</w:t>
      </w:r>
    </w:p>
    <w:p w14:paraId="39F0899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之间事先约定由某一特定</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中标、成交；</w:t>
      </w:r>
    </w:p>
    <w:p w14:paraId="755E68F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之间商定部分</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放弃参加政府采购活动或者放弃中标、成交；</w:t>
      </w:r>
    </w:p>
    <w:p w14:paraId="7B8F071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（七）</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与采购人或者采购代理机构之间、</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相互之间，为谋求特定</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中标、成交或者排斥其他</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的其他串通行为。</w:t>
      </w:r>
    </w:p>
    <w:p w14:paraId="7D98B0E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color w:val="auto"/>
          <w:kern w:val="0"/>
          <w:sz w:val="24"/>
        </w:rPr>
      </w:pPr>
      <w:r>
        <w:rPr>
          <w:rFonts w:hint="eastAsia" w:ascii="宋体" w:hAnsi="宋体" w:eastAsia="宋体" w:cs="宋体"/>
          <w:b/>
          <w:color w:val="auto"/>
          <w:kern w:val="0"/>
          <w:sz w:val="24"/>
        </w:rPr>
        <w:t>二、有下列情形之一的，视为</w:t>
      </w:r>
      <w:r>
        <w:rPr>
          <w:rFonts w:hint="eastAsia" w:ascii="宋体" w:hAnsi="宋体" w:eastAsia="宋体" w:cs="宋体"/>
          <w:b/>
          <w:color w:val="auto"/>
          <w:kern w:val="0"/>
          <w:sz w:val="24"/>
          <w:lang w:eastAsia="zh-CN"/>
        </w:rPr>
        <w:t>供应商</w:t>
      </w:r>
      <w:r>
        <w:rPr>
          <w:rFonts w:hint="eastAsia" w:ascii="宋体" w:hAnsi="宋体" w:eastAsia="宋体" w:cs="宋体"/>
          <w:b/>
          <w:color w:val="auto"/>
          <w:kern w:val="0"/>
          <w:sz w:val="24"/>
        </w:rPr>
        <w:t>串通投标，其投标无效：</w:t>
      </w:r>
    </w:p>
    <w:p w14:paraId="4FE4EEC4">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的投标文件由同一单位或者个人编制；</w:t>
      </w:r>
    </w:p>
    <w:p w14:paraId="52A33980">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委托同一单位或者个人办理投标事宜；</w:t>
      </w:r>
    </w:p>
    <w:p w14:paraId="71017E14">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的投标文件载明的项目管理成员或者联系人员为同一人；</w:t>
      </w:r>
    </w:p>
    <w:p w14:paraId="00C4495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的投标文件异常一致或者投标报价呈规律性差异；</w:t>
      </w:r>
    </w:p>
    <w:p w14:paraId="7AFC4DD6">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的投标文件相互混装；</w:t>
      </w:r>
    </w:p>
    <w:p w14:paraId="115847C8">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（六）不同</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的投标保证金从同一单位或者个人的账户转出。</w:t>
      </w:r>
    </w:p>
    <w:p w14:paraId="385751EF">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请</w:t>
      </w:r>
      <w:r>
        <w:rPr>
          <w:rFonts w:hint="eastAsia" w:ascii="宋体" w:hAnsi="宋体" w:eastAsia="宋体" w:cs="宋体"/>
          <w:b/>
          <w:color w:val="auto"/>
          <w:kern w:val="0"/>
          <w:sz w:val="24"/>
          <w:lang w:eastAsia="zh-CN"/>
        </w:rPr>
        <w:t>供应商</w:t>
      </w:r>
      <w:r>
        <w:rPr>
          <w:rFonts w:hint="eastAsia" w:ascii="宋体" w:hAnsi="宋体" w:eastAsia="宋体" w:cs="宋体"/>
          <w:b/>
          <w:color w:val="auto"/>
          <w:kern w:val="0"/>
          <w:sz w:val="24"/>
        </w:rPr>
        <w:t>出具是否存在上述情形的承诺函（内容自拟），如出现上述情形的，将向财政部门报告，依照政府采购法第七十七条第一款的规定追究法律责任。</w:t>
      </w:r>
    </w:p>
    <w:p w14:paraId="1C669659">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kern w:val="0"/>
          <w:sz w:val="24"/>
        </w:rPr>
      </w:pPr>
    </w:p>
    <w:p w14:paraId="43B47628">
      <w:pPr>
        <w:wordWrap w:val="0"/>
        <w:overflowPunct w:val="0"/>
        <w:topLinePunct/>
        <w:spacing w:line="360" w:lineRule="auto"/>
        <w:jc w:val="left"/>
        <w:rPr>
          <w:rFonts w:hint="eastAsia" w:ascii="宋体" w:hAnsi="宋体" w:eastAsia="宋体" w:cs="宋体"/>
          <w:color w:val="auto"/>
          <w:sz w:val="24"/>
          <w:lang w:eastAsia="zh-CN"/>
        </w:rPr>
      </w:pPr>
    </w:p>
    <w:p w14:paraId="02CCB2F2">
      <w:pPr>
        <w:wordWrap w:val="0"/>
        <w:overflowPunct w:val="0"/>
        <w:topLinePunct/>
        <w:spacing w:line="360" w:lineRule="auto"/>
        <w:jc w:val="left"/>
        <w:rPr>
          <w:rFonts w:hint="eastAsia" w:ascii="宋体" w:hAnsi="宋体" w:eastAsia="宋体" w:cs="宋体"/>
          <w:color w:val="auto"/>
          <w:sz w:val="24"/>
          <w:lang w:eastAsia="zh-CN"/>
        </w:rPr>
      </w:pPr>
    </w:p>
    <w:p w14:paraId="6F816301">
      <w:pPr>
        <w:wordWrap w:val="0"/>
        <w:overflowPunct w:val="0"/>
        <w:topLinePunct/>
        <w:spacing w:line="360" w:lineRule="auto"/>
        <w:jc w:val="left"/>
        <w:rPr>
          <w:rFonts w:hint="eastAsia" w:ascii="宋体" w:hAnsi="宋体" w:eastAsia="宋体" w:cs="宋体"/>
          <w:color w:val="auto"/>
          <w:sz w:val="24"/>
          <w:lang w:eastAsia="zh-CN"/>
        </w:rPr>
      </w:pPr>
    </w:p>
    <w:p w14:paraId="5B2EDC8D">
      <w:pPr>
        <w:wordWrap w:val="0"/>
        <w:overflowPunct w:val="0"/>
        <w:topLinePunct/>
        <w:spacing w:line="36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供应商</w:t>
      </w:r>
      <w:r>
        <w:rPr>
          <w:rFonts w:hint="eastAsia" w:ascii="宋体" w:hAnsi="宋体" w:eastAsia="宋体" w:cs="宋体"/>
          <w:color w:val="auto"/>
          <w:sz w:val="24"/>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加盖电子公章）</w:t>
      </w:r>
    </w:p>
    <w:p w14:paraId="0D86E74D">
      <w:pPr>
        <w:wordWrap w:val="0"/>
        <w:overflowPunct w:val="0"/>
        <w:topLinePunct/>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法定代表人（负责人）或授权委托人：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签字或电子签章</w:t>
      </w:r>
      <w:r>
        <w:rPr>
          <w:rFonts w:hint="eastAsia" w:ascii="宋体" w:hAnsi="宋体" w:eastAsia="宋体" w:cs="宋体"/>
          <w:color w:val="auto"/>
          <w:sz w:val="24"/>
        </w:rPr>
        <w:t>）</w:t>
      </w:r>
    </w:p>
    <w:p w14:paraId="4A2BB6D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宋体" w:hAnsi="宋体" w:eastAsia="宋体" w:cs="宋体"/>
          <w:b/>
          <w:color w:val="auto"/>
          <w:kern w:val="0"/>
          <w:sz w:val="24"/>
          <w:lang w:val="en-US" w:eastAsia="zh-CN"/>
        </w:rPr>
        <w:sectPr>
          <w:pgSz w:w="11906" w:h="16838"/>
          <w:pgMar w:top="1440" w:right="1080" w:bottom="1440" w:left="1080" w:header="709" w:footer="596" w:gutter="0"/>
          <w:pgNumType w:fmt="decimal"/>
          <w:cols w:space="720" w:num="1"/>
          <w:titlePg/>
          <w:rtlGutter w:val="0"/>
          <w:docGrid w:linePitch="299" w:charSpace="0"/>
        </w:sect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1E1B604">
      <w:pPr>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28"/>
          <w:szCs w:val="28"/>
          <w:lang w:val="en-US" w:eastAsia="zh-CN"/>
        </w:rPr>
        <w:t>八</w:t>
      </w:r>
      <w:r>
        <w:rPr>
          <w:rFonts w:hint="eastAsia" w:ascii="宋体" w:hAnsi="宋体" w:eastAsia="宋体" w:cs="宋体"/>
          <w:b/>
          <w:bCs/>
          <w:color w:val="auto"/>
          <w:sz w:val="28"/>
          <w:szCs w:val="28"/>
        </w:rPr>
        <w:t>、</w:t>
      </w:r>
      <w:bookmarkEnd w:id="1619"/>
      <w:bookmarkEnd w:id="1620"/>
      <w:bookmarkEnd w:id="1621"/>
      <w:bookmarkEnd w:id="1622"/>
      <w:bookmarkEnd w:id="1623"/>
      <w:bookmarkEnd w:id="1624"/>
      <w:bookmarkEnd w:id="1625"/>
      <w:bookmarkEnd w:id="1626"/>
      <w:bookmarkEnd w:id="1627"/>
      <w:bookmarkEnd w:id="1628"/>
      <w:bookmarkEnd w:id="1629"/>
      <w:bookmarkEnd w:id="1630"/>
      <w:r>
        <w:rPr>
          <w:rFonts w:hint="eastAsia" w:ascii="宋体" w:hAnsi="宋体" w:eastAsia="宋体" w:cs="宋体"/>
          <w:b/>
          <w:bCs/>
          <w:color w:val="auto"/>
          <w:sz w:val="28"/>
          <w:szCs w:val="28"/>
        </w:rPr>
        <w:t>本项目的特定资格</w:t>
      </w:r>
      <w:r>
        <w:rPr>
          <w:rFonts w:hint="eastAsia" w:ascii="宋体" w:hAnsi="宋体" w:eastAsia="宋体" w:cs="宋体"/>
          <w:b/>
          <w:bCs/>
          <w:color w:val="auto"/>
          <w:sz w:val="28"/>
          <w:szCs w:val="28"/>
          <w:lang w:val="en-US" w:eastAsia="zh-CN"/>
        </w:rPr>
        <w:t>证明文件（实质性格式）</w:t>
      </w:r>
      <w:r>
        <w:rPr>
          <w:rFonts w:hint="eastAsia" w:ascii="宋体" w:hAnsi="宋体" w:eastAsia="宋体" w:cs="宋体"/>
          <w:b/>
          <w:bCs/>
          <w:color w:val="auto"/>
          <w:sz w:val="32"/>
          <w:szCs w:val="32"/>
          <w:lang w:val="en-US" w:eastAsia="zh-CN"/>
        </w:rPr>
        <w:t xml:space="preserve"> </w:t>
      </w:r>
    </w:p>
    <w:p w14:paraId="7B2CC735">
      <w:pPr>
        <w:pageBreakBefore w:val="0"/>
        <w:widowControl w:val="0"/>
        <w:tabs>
          <w:tab w:val="left" w:pos="900"/>
          <w:tab w:val="left" w:pos="1588"/>
        </w:tabs>
        <w:kinsoku/>
        <w:wordWrap w:val="0"/>
        <w:overflowPunct w:val="0"/>
        <w:topLinePunct/>
        <w:autoSpaceDE/>
        <w:autoSpaceDN/>
        <w:bidi w:val="0"/>
        <w:adjustRightInd/>
        <w:snapToGrid/>
        <w:spacing w:before="0" w:after="0" w:line="360" w:lineRule="auto"/>
        <w:ind w:left="0" w:firstLine="0"/>
        <w:jc w:val="center"/>
        <w:textAlignment w:val="auto"/>
        <w:outlineLvl w:val="2"/>
        <w:rPr>
          <w:rFonts w:hint="eastAsia" w:ascii="宋体" w:hAnsi="宋体" w:eastAsia="宋体" w:cs="宋体"/>
          <w:b/>
          <w:bCs/>
          <w:color w:val="auto"/>
          <w:sz w:val="30"/>
          <w:szCs w:val="32"/>
          <w:lang w:val="en-US" w:eastAsia="en-US" w:bidi="ar-SA"/>
        </w:rPr>
      </w:pPr>
      <w:bookmarkStart w:id="1641" w:name="_Toc12546"/>
      <w:bookmarkStart w:id="1642" w:name="_Toc31032"/>
      <w:bookmarkStart w:id="1643" w:name="_Toc11439"/>
      <w:bookmarkStart w:id="1644" w:name="_Toc16375"/>
      <w:bookmarkStart w:id="1645" w:name="_Toc32435"/>
      <w:bookmarkStart w:id="1646" w:name="_Toc18607"/>
      <w:bookmarkStart w:id="1647" w:name="_Toc24916"/>
      <w:bookmarkStart w:id="1648" w:name="_Toc7737"/>
      <w:bookmarkStart w:id="1649" w:name="_Toc145164067"/>
      <w:r>
        <w:rPr>
          <w:rFonts w:hint="eastAsia" w:ascii="宋体" w:hAnsi="宋体" w:eastAsia="宋体" w:cs="宋体"/>
          <w:b/>
          <w:bCs/>
          <w:color w:val="auto"/>
          <w:sz w:val="24"/>
          <w:szCs w:val="24"/>
          <w:lang w:val="en-US" w:eastAsia="en-US" w:bidi="ar-SA"/>
        </w:rPr>
        <w:t>（</w:t>
      </w:r>
      <w:r>
        <w:rPr>
          <w:rFonts w:hint="eastAsia" w:ascii="宋体" w:hAnsi="宋体" w:eastAsia="宋体" w:cs="宋体"/>
          <w:b/>
          <w:bCs/>
          <w:color w:val="auto"/>
          <w:sz w:val="24"/>
          <w:szCs w:val="24"/>
          <w:lang w:val="en-US" w:eastAsia="zh-CN" w:bidi="ar-SA"/>
        </w:rPr>
        <w:t>扫描件</w:t>
      </w:r>
      <w:r>
        <w:rPr>
          <w:rFonts w:hint="eastAsia" w:ascii="宋体" w:hAnsi="宋体" w:eastAsia="宋体" w:cs="宋体"/>
          <w:b/>
          <w:bCs/>
          <w:color w:val="auto"/>
          <w:sz w:val="24"/>
          <w:szCs w:val="32"/>
          <w:lang w:val="en-US" w:eastAsia="en-US" w:bidi="ar-SA"/>
        </w:rPr>
        <w:t>加盖电子公章</w:t>
      </w:r>
      <w:r>
        <w:rPr>
          <w:rFonts w:hint="eastAsia" w:ascii="宋体" w:hAnsi="宋体" w:eastAsia="宋体" w:cs="宋体"/>
          <w:b/>
          <w:bCs/>
          <w:color w:val="auto"/>
          <w:sz w:val="24"/>
          <w:szCs w:val="24"/>
          <w:lang w:val="en-US" w:eastAsia="en-US" w:bidi="ar-SA"/>
        </w:rPr>
        <w:t>）</w:t>
      </w:r>
      <w:bookmarkEnd w:id="1641"/>
      <w:bookmarkEnd w:id="1642"/>
      <w:bookmarkEnd w:id="1643"/>
      <w:bookmarkEnd w:id="1644"/>
      <w:bookmarkEnd w:id="1645"/>
      <w:bookmarkEnd w:id="1646"/>
      <w:bookmarkEnd w:id="1647"/>
      <w:bookmarkEnd w:id="1648"/>
    </w:p>
    <w:p w14:paraId="78907A68">
      <w:pPr>
        <w:jc w:val="center"/>
        <w:rPr>
          <w:rFonts w:hint="eastAsia" w:ascii="宋体" w:hAnsi="宋体" w:eastAsia="宋体" w:cs="宋体"/>
          <w:color w:val="auto"/>
          <w:sz w:val="24"/>
          <w:lang w:val="en-US" w:eastAsia="zh-CN"/>
        </w:rPr>
      </w:pPr>
      <w:r>
        <w:rPr>
          <w:rFonts w:hint="eastAsia" w:ascii="宋体" w:hAnsi="宋体" w:eastAsia="宋体" w:cs="宋体"/>
          <w:color w:val="auto"/>
          <w:sz w:val="24"/>
        </w:rPr>
        <w:t>具体要求详见</w:t>
      </w:r>
      <w:r>
        <w:rPr>
          <w:rFonts w:hint="eastAsia" w:ascii="宋体" w:hAnsi="宋体" w:eastAsia="宋体" w:cs="宋体"/>
          <w:color w:val="auto"/>
          <w:sz w:val="24"/>
          <w:lang w:val="en-US" w:eastAsia="zh-CN"/>
        </w:rPr>
        <w:t>招标</w:t>
      </w:r>
      <w:r>
        <w:rPr>
          <w:rFonts w:hint="eastAsia" w:ascii="宋体" w:hAnsi="宋体" w:eastAsia="宋体" w:cs="宋体"/>
          <w:color w:val="auto"/>
          <w:sz w:val="24"/>
          <w:lang w:eastAsia="zh-CN"/>
        </w:rPr>
        <w:t>文件“</w:t>
      </w:r>
      <w:r>
        <w:rPr>
          <w:rFonts w:hint="eastAsia" w:ascii="宋体" w:hAnsi="宋体" w:eastAsia="宋体" w:cs="宋体"/>
          <w:color w:val="auto"/>
          <w:sz w:val="24"/>
          <w:lang w:eastAsia="zh-CN"/>
        </w:rPr>
        <w:fldChar w:fldCharType="begin"/>
      </w:r>
      <w:r>
        <w:rPr>
          <w:rFonts w:hint="eastAsia" w:ascii="宋体" w:hAnsi="宋体" w:eastAsia="宋体" w:cs="宋体"/>
          <w:color w:val="auto"/>
          <w:sz w:val="24"/>
          <w:lang w:eastAsia="zh-CN"/>
        </w:rPr>
        <w:instrText xml:space="preserve"> HYPERLINK \l _Toc25103 </w:instrText>
      </w:r>
      <w:r>
        <w:rPr>
          <w:rFonts w:hint="eastAsia" w:ascii="宋体" w:hAnsi="宋体" w:eastAsia="宋体" w:cs="宋体"/>
          <w:color w:val="auto"/>
          <w:sz w:val="24"/>
          <w:lang w:eastAsia="zh-CN"/>
        </w:rPr>
        <w:fldChar w:fldCharType="separate"/>
      </w:r>
      <w:r>
        <w:rPr>
          <w:rFonts w:hint="eastAsia" w:ascii="宋体" w:hAnsi="宋体" w:eastAsia="宋体" w:cs="宋体"/>
          <w:color w:val="auto"/>
          <w:sz w:val="24"/>
          <w:lang w:eastAsia="zh-CN"/>
        </w:rPr>
        <w:t>第一章</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招标公告</w:t>
      </w:r>
      <w:r>
        <w:rPr>
          <w:rFonts w:hint="eastAsia" w:ascii="宋体" w:hAnsi="宋体" w:eastAsia="宋体" w:cs="宋体"/>
          <w:color w:val="auto"/>
          <w:sz w:val="24"/>
          <w:lang w:eastAsia="zh-CN"/>
        </w:rPr>
        <w:fldChar w:fldCharType="end"/>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及</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第三章 评审办法</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资格审查标准</w:t>
      </w:r>
    </w:p>
    <w:p w14:paraId="64B5A1EE">
      <w:pPr>
        <w:jc w:val="center"/>
        <w:rPr>
          <w:rFonts w:hint="eastAsia" w:ascii="仿宋" w:hAnsi="仿宋" w:eastAsia="仿宋" w:cs="仿宋"/>
          <w:color w:val="auto"/>
        </w:rPr>
      </w:pPr>
      <w:r>
        <w:rPr>
          <w:rFonts w:hint="eastAsia" w:ascii="宋体" w:hAnsi="宋体" w:eastAsia="宋体" w:cs="宋体"/>
          <w:color w:val="auto"/>
          <w:sz w:val="24"/>
        </w:rPr>
        <w:t>相关要求。</w:t>
      </w:r>
    </w:p>
    <w:p w14:paraId="469EC1E9">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p>
    <w:p w14:paraId="607DE520">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bCs/>
          <w:color w:val="auto"/>
          <w:sz w:val="30"/>
          <w:szCs w:val="30"/>
          <w:lang w:val="en-US" w:eastAsia="zh-CN"/>
        </w:rPr>
      </w:pPr>
    </w:p>
    <w:p w14:paraId="33F054DA">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宋体" w:hAnsi="宋体" w:eastAsia="宋体" w:cs="宋体"/>
          <w:b/>
          <w:bCs/>
          <w:color w:val="auto"/>
          <w:sz w:val="30"/>
          <w:szCs w:val="30"/>
          <w:lang w:val="en-US" w:eastAsia="zh-CN"/>
        </w:rPr>
      </w:pPr>
    </w:p>
    <w:p w14:paraId="350DFC9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z w:val="30"/>
          <w:szCs w:val="30"/>
          <w:lang w:val="en-US" w:eastAsia="zh-CN"/>
        </w:rPr>
      </w:pPr>
    </w:p>
    <w:p w14:paraId="05AF8282">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1E8CB1E8">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2A521D12">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3C09E6E5">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610BF88C">
      <w:pPr>
        <w:rPr>
          <w:rFonts w:hint="eastAsia" w:ascii="宋体" w:hAnsi="宋体" w:eastAsia="宋体" w:cs="宋体"/>
          <w:b/>
          <w:bCs/>
          <w:color w:val="auto"/>
          <w:sz w:val="32"/>
          <w:szCs w:val="32"/>
          <w:lang w:val="en-US" w:eastAsia="zh-CN"/>
        </w:rPr>
      </w:pPr>
    </w:p>
    <w:p w14:paraId="65F05D70">
      <w:pPr>
        <w:rPr>
          <w:rFonts w:hint="eastAsia" w:ascii="宋体" w:hAnsi="宋体" w:eastAsia="宋体" w:cs="宋体"/>
          <w:b/>
          <w:bCs/>
          <w:color w:val="auto"/>
          <w:sz w:val="32"/>
          <w:szCs w:val="32"/>
          <w:lang w:val="en-US" w:eastAsia="zh-CN"/>
        </w:rPr>
      </w:pPr>
    </w:p>
    <w:p w14:paraId="1BB59A0A">
      <w:pPr>
        <w:rPr>
          <w:rFonts w:hint="eastAsia" w:ascii="宋体" w:hAnsi="宋体" w:eastAsia="宋体" w:cs="宋体"/>
          <w:b/>
          <w:bCs/>
          <w:color w:val="auto"/>
          <w:sz w:val="32"/>
          <w:szCs w:val="32"/>
          <w:lang w:val="en-US" w:eastAsia="zh-CN"/>
        </w:rPr>
      </w:pPr>
    </w:p>
    <w:p w14:paraId="5B27BD59">
      <w:pPr>
        <w:rPr>
          <w:rFonts w:hint="eastAsia" w:ascii="宋体" w:hAnsi="宋体" w:eastAsia="宋体" w:cs="宋体"/>
          <w:b/>
          <w:bCs/>
          <w:color w:val="auto"/>
          <w:sz w:val="32"/>
          <w:szCs w:val="32"/>
          <w:lang w:val="en-US" w:eastAsia="zh-CN"/>
        </w:rPr>
      </w:pPr>
    </w:p>
    <w:p w14:paraId="717B8D7E">
      <w:pPr>
        <w:rPr>
          <w:rFonts w:hint="eastAsia" w:ascii="宋体" w:hAnsi="宋体" w:eastAsia="宋体" w:cs="宋体"/>
          <w:b/>
          <w:bCs/>
          <w:color w:val="auto"/>
          <w:sz w:val="32"/>
          <w:szCs w:val="32"/>
          <w:lang w:val="en-US" w:eastAsia="zh-CN"/>
        </w:rPr>
      </w:pPr>
    </w:p>
    <w:p w14:paraId="52666EE9">
      <w:pPr>
        <w:rPr>
          <w:rFonts w:hint="eastAsia" w:ascii="宋体" w:hAnsi="宋体" w:eastAsia="宋体" w:cs="宋体"/>
          <w:b/>
          <w:bCs/>
          <w:color w:val="auto"/>
          <w:sz w:val="32"/>
          <w:szCs w:val="32"/>
          <w:lang w:val="en-US" w:eastAsia="zh-CN"/>
        </w:rPr>
      </w:pPr>
    </w:p>
    <w:p w14:paraId="62836F62">
      <w:pPr>
        <w:rPr>
          <w:rFonts w:hint="eastAsia" w:ascii="宋体" w:hAnsi="宋体" w:eastAsia="宋体" w:cs="宋体"/>
          <w:b/>
          <w:bCs/>
          <w:color w:val="auto"/>
          <w:sz w:val="32"/>
          <w:szCs w:val="32"/>
          <w:lang w:val="en-US" w:eastAsia="zh-CN"/>
        </w:rPr>
      </w:pPr>
    </w:p>
    <w:p w14:paraId="122A3C81">
      <w:pPr>
        <w:rPr>
          <w:rFonts w:hint="eastAsia" w:ascii="宋体" w:hAnsi="宋体" w:eastAsia="宋体" w:cs="宋体"/>
          <w:b/>
          <w:bCs/>
          <w:color w:val="auto"/>
          <w:sz w:val="32"/>
          <w:szCs w:val="32"/>
          <w:lang w:val="en-US" w:eastAsia="zh-CN"/>
        </w:rPr>
      </w:pPr>
    </w:p>
    <w:p w14:paraId="0797A132">
      <w:pPr>
        <w:rPr>
          <w:rFonts w:hint="eastAsia" w:ascii="宋体" w:hAnsi="宋体" w:eastAsia="宋体" w:cs="宋体"/>
          <w:b/>
          <w:bCs/>
          <w:color w:val="auto"/>
          <w:sz w:val="32"/>
          <w:szCs w:val="32"/>
          <w:lang w:val="en-US" w:eastAsia="zh-CN"/>
        </w:rPr>
      </w:pPr>
    </w:p>
    <w:p w14:paraId="5FB540EE">
      <w:pPr>
        <w:rPr>
          <w:rFonts w:hint="eastAsia" w:ascii="宋体" w:hAnsi="宋体" w:eastAsia="宋体" w:cs="宋体"/>
          <w:b/>
          <w:bCs/>
          <w:color w:val="auto"/>
          <w:sz w:val="32"/>
          <w:szCs w:val="32"/>
          <w:lang w:val="en-US" w:eastAsia="zh-CN"/>
        </w:rPr>
      </w:pPr>
    </w:p>
    <w:p w14:paraId="4239DB73">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5F73497F">
      <w:pPr>
        <w:rPr>
          <w:rFonts w:hint="eastAsia" w:ascii="宋体" w:hAnsi="宋体" w:eastAsia="宋体" w:cs="宋体"/>
          <w:b/>
          <w:bCs/>
          <w:color w:val="auto"/>
          <w:sz w:val="32"/>
          <w:szCs w:val="32"/>
          <w:lang w:val="en-US" w:eastAsia="zh-CN"/>
        </w:rPr>
      </w:pPr>
    </w:p>
    <w:p w14:paraId="70E189A9">
      <w:pPr>
        <w:widowControl w:val="0"/>
        <w:spacing w:after="120" w:line="240" w:lineRule="auto"/>
        <w:ind w:left="440" w:leftChars="200" w:firstLine="643" w:firstLineChars="200"/>
        <w:jc w:val="both"/>
        <w:rPr>
          <w:rFonts w:hint="eastAsia" w:ascii="宋体" w:hAnsi="宋体" w:eastAsia="宋体" w:cs="宋体"/>
          <w:b/>
          <w:bCs/>
          <w:color w:val="auto"/>
          <w:kern w:val="2"/>
          <w:sz w:val="32"/>
          <w:szCs w:val="32"/>
          <w:lang w:val="en-US" w:eastAsia="zh-CN" w:bidi="ar-SA"/>
        </w:rPr>
      </w:pPr>
    </w:p>
    <w:p w14:paraId="39FCE69A">
      <w:pPr>
        <w:widowControl w:val="0"/>
        <w:spacing w:after="120" w:line="240" w:lineRule="auto"/>
        <w:ind w:left="440" w:leftChars="200" w:firstLine="643" w:firstLineChars="200"/>
        <w:jc w:val="both"/>
        <w:rPr>
          <w:rFonts w:hint="eastAsia" w:ascii="宋体" w:hAnsi="宋体" w:eastAsia="宋体" w:cs="宋体"/>
          <w:b/>
          <w:bCs/>
          <w:color w:val="auto"/>
          <w:kern w:val="2"/>
          <w:sz w:val="32"/>
          <w:szCs w:val="32"/>
          <w:lang w:val="en-US" w:eastAsia="zh-CN" w:bidi="ar-SA"/>
        </w:rPr>
      </w:pPr>
    </w:p>
    <w:p w14:paraId="47238E12">
      <w:pPr>
        <w:widowControl w:val="0"/>
        <w:spacing w:after="120" w:line="240" w:lineRule="auto"/>
        <w:ind w:left="440" w:leftChars="200" w:firstLine="643" w:firstLineChars="200"/>
        <w:jc w:val="both"/>
        <w:rPr>
          <w:rFonts w:hint="eastAsia" w:ascii="宋体" w:hAnsi="宋体" w:eastAsia="宋体" w:cs="宋体"/>
          <w:b/>
          <w:bCs/>
          <w:color w:val="auto"/>
          <w:kern w:val="2"/>
          <w:sz w:val="32"/>
          <w:szCs w:val="32"/>
          <w:lang w:val="en-US" w:eastAsia="zh-CN" w:bidi="ar-SA"/>
        </w:rPr>
      </w:pPr>
    </w:p>
    <w:p w14:paraId="099A2D3B">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215CF48F">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p w14:paraId="2061C77F">
      <w:pPr>
        <w:rPr>
          <w:rFonts w:hint="eastAsia" w:ascii="宋体" w:hAnsi="宋体" w:eastAsia="宋体" w:cs="宋体"/>
          <w:b/>
          <w:bCs/>
          <w:color w:val="auto"/>
          <w:sz w:val="32"/>
          <w:szCs w:val="32"/>
          <w:lang w:val="en-US" w:eastAsia="zh-CN"/>
        </w:rPr>
      </w:pPr>
    </w:p>
    <w:p w14:paraId="65BFCBE3">
      <w:pPr>
        <w:widowControl w:val="0"/>
        <w:spacing w:after="120" w:line="240" w:lineRule="auto"/>
        <w:ind w:left="440" w:leftChars="200" w:firstLine="420" w:firstLineChars="200"/>
        <w:jc w:val="both"/>
        <w:rPr>
          <w:rFonts w:hint="eastAsia" w:ascii="Times New Roman" w:hAnsi="Times New Roman" w:eastAsia="宋体" w:cs="Times New Roman"/>
          <w:b w:val="0"/>
          <w:color w:val="auto"/>
          <w:kern w:val="2"/>
          <w:sz w:val="21"/>
          <w:szCs w:val="24"/>
          <w:lang w:val="en-US" w:eastAsia="zh-CN" w:bidi="ar-SA"/>
        </w:rPr>
      </w:pPr>
    </w:p>
    <w:p w14:paraId="588F861E">
      <w:pPr>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宋体" w:hAnsi="宋体" w:eastAsia="宋体" w:cs="宋体"/>
          <w:b/>
          <w:bCs/>
          <w:color w:val="auto"/>
          <w:kern w:val="2"/>
          <w:sz w:val="32"/>
          <w:szCs w:val="32"/>
          <w:lang w:val="en-US" w:eastAsia="zh-CN" w:bidi="ar-SA"/>
        </w:rPr>
      </w:pPr>
    </w:p>
    <w:bookmarkEnd w:id="1649"/>
    <w:p w14:paraId="1D2A019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宋体" w:hAnsi="宋体" w:eastAsia="宋体" w:cs="宋体"/>
          <w:b/>
          <w:bCs/>
          <w:color w:val="auto"/>
          <w:sz w:val="22"/>
          <w:szCs w:val="22"/>
          <w:u w:val="none"/>
          <w:lang w:val="en-US" w:eastAsia="zh-CN" w:bidi="ar-SA"/>
        </w:rPr>
      </w:pPr>
      <w:bookmarkStart w:id="1650" w:name="_Toc14821"/>
      <w:bookmarkStart w:id="1651" w:name="_Toc19034"/>
      <w:bookmarkStart w:id="1652" w:name="_Toc8147"/>
      <w:r>
        <w:rPr>
          <w:rFonts w:hint="eastAsia" w:ascii="宋体" w:hAnsi="宋体" w:eastAsia="宋体" w:cs="宋体"/>
          <w:b/>
          <w:bCs/>
          <w:color w:val="auto"/>
          <w:sz w:val="28"/>
          <w:szCs w:val="28"/>
          <w:lang w:val="en-US" w:eastAsia="zh-CN" w:bidi="ar-SA"/>
        </w:rPr>
        <w:t>九、</w:t>
      </w:r>
      <w:bookmarkStart w:id="1653" w:name="_Toc89951843"/>
      <w:bookmarkStart w:id="1654" w:name="_Toc8006"/>
      <w:r>
        <w:rPr>
          <w:rFonts w:hint="eastAsia" w:ascii="宋体" w:hAnsi="宋体" w:eastAsia="宋体" w:cs="宋体"/>
          <w:b/>
          <w:bCs/>
          <w:color w:val="auto"/>
          <w:sz w:val="28"/>
          <w:szCs w:val="28"/>
          <w:lang w:val="en-US" w:eastAsia="zh-CN" w:bidi="ar-SA"/>
        </w:rPr>
        <w:t>投标保证金</w:t>
      </w:r>
      <w:bookmarkEnd w:id="1653"/>
      <w:bookmarkEnd w:id="1654"/>
      <w:r>
        <w:rPr>
          <w:rFonts w:hint="eastAsia" w:ascii="宋体" w:hAnsi="宋体" w:eastAsia="宋体" w:cs="宋体"/>
          <w:b/>
          <w:bCs/>
          <w:color w:val="auto"/>
          <w:spacing w:val="-1"/>
          <w:sz w:val="28"/>
          <w:szCs w:val="28"/>
          <w:lang w:val="en-US" w:eastAsia="en-US" w:bidi="ar-SA"/>
        </w:rPr>
        <w:t>缴</w:t>
      </w:r>
      <w:r>
        <w:rPr>
          <w:rFonts w:hint="eastAsia" w:ascii="宋体" w:hAnsi="宋体" w:eastAsia="宋体" w:cs="宋体"/>
          <w:b/>
          <w:bCs/>
          <w:color w:val="auto"/>
          <w:sz w:val="28"/>
          <w:szCs w:val="28"/>
          <w:lang w:val="en-US" w:eastAsia="en-US" w:bidi="ar-SA"/>
        </w:rPr>
        <w:t>纳证明</w:t>
      </w:r>
      <w:bookmarkEnd w:id="1650"/>
      <w:bookmarkEnd w:id="1651"/>
      <w:r>
        <w:rPr>
          <w:rFonts w:hint="eastAsia" w:ascii="宋体" w:hAnsi="宋体" w:eastAsia="宋体" w:cs="宋体"/>
          <w:b/>
          <w:bCs/>
          <w:color w:val="auto"/>
          <w:sz w:val="28"/>
          <w:szCs w:val="28"/>
          <w:lang w:val="en-US" w:eastAsia="zh-CN" w:bidi="ar-SA"/>
        </w:rPr>
        <w:t>（实质性格式）</w:t>
      </w:r>
      <w:bookmarkEnd w:id="1652"/>
    </w:p>
    <w:p w14:paraId="62C76039">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u w:val="none"/>
          <w:lang w:val="en-US" w:eastAsia="zh-CN"/>
        </w:rPr>
        <w:t>（采购代理机构）</w:t>
      </w:r>
      <w:r>
        <w:rPr>
          <w:rFonts w:hint="eastAsia" w:ascii="宋体" w:hAnsi="宋体" w:eastAsia="宋体" w:cs="宋体"/>
          <w:i w:val="0"/>
          <w:iCs w:val="0"/>
          <w:color w:val="auto"/>
          <w:sz w:val="24"/>
          <w:szCs w:val="24"/>
          <w:u w:val="single"/>
          <w:lang w:val="en-US" w:eastAsia="zh-CN"/>
        </w:rPr>
        <w:t xml:space="preserve"> 楚雄腾凯工程项目管理有限公司 </w:t>
      </w:r>
      <w:r>
        <w:rPr>
          <w:rFonts w:hint="eastAsia" w:ascii="宋体" w:hAnsi="宋体" w:eastAsia="宋体" w:cs="宋体"/>
          <w:i w:val="0"/>
          <w:iCs w:val="0"/>
          <w:color w:val="auto"/>
          <w:sz w:val="24"/>
          <w:szCs w:val="24"/>
          <w:u w:val="none"/>
        </w:rPr>
        <w:t>：</w:t>
      </w:r>
    </w:p>
    <w:p w14:paraId="5F3501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参加贵单位组织的（</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公开招标</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。按</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文件的规定，已通过（转</w:t>
      </w: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、银行汇款、支票、银行汇票等）</w:t>
      </w:r>
      <w:r>
        <w:rPr>
          <w:rFonts w:hint="eastAsia" w:ascii="宋体" w:hAnsi="宋体" w:eastAsia="宋体" w:cs="宋体"/>
          <w:color w:val="auto"/>
          <w:sz w:val="24"/>
          <w:szCs w:val="24"/>
          <w:lang w:eastAsia="zh-CN"/>
        </w:rPr>
        <w:t>非现金</w:t>
      </w:r>
      <w:r>
        <w:rPr>
          <w:rFonts w:hint="eastAsia" w:ascii="宋体" w:hAnsi="宋体" w:eastAsia="宋体" w:cs="宋体"/>
          <w:color w:val="auto"/>
          <w:sz w:val="24"/>
          <w:szCs w:val="24"/>
        </w:rPr>
        <w:t>形式</w:t>
      </w:r>
      <w:r>
        <w:rPr>
          <w:rFonts w:hint="eastAsia" w:ascii="宋体" w:hAnsi="宋体" w:eastAsia="宋体" w:cs="宋体"/>
          <w:color w:val="auto"/>
          <w:sz w:val="24"/>
          <w:szCs w:val="24"/>
          <w:lang w:eastAsia="zh-CN"/>
        </w:rPr>
        <w:t>缴纳</w:t>
      </w:r>
      <w:r>
        <w:rPr>
          <w:rFonts w:hint="eastAsia" w:ascii="宋体" w:hAnsi="宋体" w:eastAsia="宋体" w:cs="宋体"/>
          <w:color w:val="auto"/>
          <w:sz w:val="24"/>
          <w:szCs w:val="24"/>
        </w:rPr>
        <w:t>人民币</w:t>
      </w:r>
      <w:r>
        <w:rPr>
          <w:rFonts w:hint="eastAsia" w:ascii="宋体" w:hAnsi="宋体" w:eastAsia="宋体" w:cs="宋体"/>
          <w:color w:val="auto"/>
          <w:sz w:val="24"/>
          <w:szCs w:val="24"/>
          <w:u w:val="single"/>
        </w:rPr>
        <w:t xml:space="preserve">（大写）  　　  </w:t>
      </w:r>
      <w:r>
        <w:rPr>
          <w:rFonts w:hint="eastAsia" w:ascii="宋体" w:hAnsi="宋体" w:eastAsia="宋体" w:cs="宋体"/>
          <w:color w:val="auto"/>
          <w:sz w:val="24"/>
          <w:szCs w:val="24"/>
        </w:rPr>
        <w:t>元的投标保证金。</w:t>
      </w:r>
    </w:p>
    <w:p w14:paraId="501684C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开票信息：</w:t>
      </w:r>
    </w:p>
    <w:p w14:paraId="22B2434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名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称：</w:t>
      </w:r>
      <w:r>
        <w:rPr>
          <w:rFonts w:hint="eastAsia" w:ascii="宋体" w:hAnsi="宋体" w:eastAsia="宋体" w:cs="宋体"/>
          <w:color w:val="auto"/>
          <w:sz w:val="24"/>
          <w:szCs w:val="24"/>
          <w:u w:val="single"/>
        </w:rPr>
        <w:t xml:space="preserve">                     </w:t>
      </w:r>
    </w:p>
    <w:p w14:paraId="3C79EC2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纳税人识别号：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3C4B32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址、电 话：</w:t>
      </w:r>
      <w:r>
        <w:rPr>
          <w:rFonts w:hint="eastAsia" w:ascii="宋体" w:hAnsi="宋体" w:eastAsia="宋体" w:cs="宋体"/>
          <w:color w:val="auto"/>
          <w:sz w:val="24"/>
          <w:szCs w:val="24"/>
          <w:u w:val="single"/>
        </w:rPr>
        <w:t xml:space="preserve">                     </w:t>
      </w:r>
    </w:p>
    <w:p w14:paraId="47E88BB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 户 银 行 ：</w:t>
      </w:r>
      <w:r>
        <w:rPr>
          <w:rFonts w:hint="eastAsia" w:ascii="宋体" w:hAnsi="宋体" w:eastAsia="宋体" w:cs="宋体"/>
          <w:color w:val="auto"/>
          <w:sz w:val="24"/>
          <w:szCs w:val="24"/>
          <w:u w:val="single"/>
        </w:rPr>
        <w:t xml:space="preserve">                     </w:t>
      </w:r>
    </w:p>
    <w:p w14:paraId="7DA9F1A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账        号：</w:t>
      </w:r>
      <w:r>
        <w:rPr>
          <w:rFonts w:hint="eastAsia" w:ascii="宋体" w:hAnsi="宋体" w:eastAsia="宋体" w:cs="宋体"/>
          <w:color w:val="auto"/>
          <w:sz w:val="24"/>
          <w:szCs w:val="24"/>
          <w:u w:val="single"/>
        </w:rPr>
        <w:t xml:space="preserve">                     </w:t>
      </w:r>
    </w:p>
    <w:p w14:paraId="7083006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说明：上述要素的填写必须与银行转账或银行汇款凭证的要素一致，</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招标代理机构</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依据此凭证信息退还</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保证金。</w:t>
      </w:r>
    </w:p>
    <w:p w14:paraId="49052F10">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宋体" w:hAnsi="宋体" w:eastAsia="宋体" w:cs="宋体"/>
          <w:b/>
          <w:bCs/>
          <w:color w:val="auto"/>
          <w:sz w:val="24"/>
          <w:szCs w:val="24"/>
        </w:rPr>
      </w:pPr>
      <w:bookmarkStart w:id="1655" w:name="_Toc7519"/>
      <w:bookmarkStart w:id="1656" w:name="_Toc25243"/>
      <w:bookmarkStart w:id="1657" w:name="_Toc1753"/>
      <w:bookmarkStart w:id="1658" w:name="_Toc8068"/>
      <w:bookmarkStart w:id="1659" w:name="_Toc12219"/>
      <w:bookmarkStart w:id="1660" w:name="_Toc4664"/>
      <w:bookmarkStart w:id="1661" w:name="_Toc26762"/>
      <w:bookmarkStart w:id="1662" w:name="_Toc20192"/>
      <w:bookmarkStart w:id="1663" w:name="_Toc21748"/>
      <w:bookmarkStart w:id="1664" w:name="_Toc2179"/>
      <w:bookmarkStart w:id="1665" w:name="_Toc30390"/>
      <w:bookmarkStart w:id="1666" w:name="_Toc23440"/>
      <w:bookmarkStart w:id="1667" w:name="_Toc8676"/>
      <w:bookmarkStart w:id="1668" w:name="_Toc587"/>
      <w:bookmarkStart w:id="1669" w:name="_Toc29555"/>
      <w:bookmarkStart w:id="1670" w:name="_Toc27200"/>
      <w:bookmarkStart w:id="1671" w:name="_Toc25495"/>
      <w:bookmarkStart w:id="1672" w:name="_Toc8799"/>
      <w:bookmarkStart w:id="1673" w:name="_Toc11719"/>
      <w:bookmarkStart w:id="1674" w:name="_Toc24540"/>
      <w:bookmarkStart w:id="1675" w:name="_Toc31994"/>
      <w:bookmarkStart w:id="1676" w:name="_Toc9888"/>
      <w:bookmarkStart w:id="1677" w:name="_Toc26681"/>
      <w:bookmarkStart w:id="1678" w:name="_Toc5356"/>
      <w:bookmarkStart w:id="1679" w:name="_Toc4111"/>
      <w:bookmarkStart w:id="1680" w:name="_Toc19467"/>
      <w:bookmarkStart w:id="1681" w:name="_Toc24446"/>
      <w:bookmarkStart w:id="1682" w:name="_Toc18949"/>
      <w:r>
        <w:rPr>
          <w:rFonts w:hint="eastAsia" w:ascii="宋体" w:hAnsi="宋体" w:eastAsia="宋体" w:cs="宋体"/>
          <w:b/>
          <w:bCs/>
          <w:color w:val="auto"/>
          <w:sz w:val="24"/>
          <w:szCs w:val="24"/>
        </w:rPr>
        <w:t>附：</w:t>
      </w:r>
      <w:r>
        <w:rPr>
          <w:rFonts w:hint="eastAsia" w:ascii="宋体" w:hAnsi="宋体" w:eastAsia="宋体" w:cs="宋体"/>
          <w:b/>
          <w:bCs/>
          <w:color w:val="auto"/>
          <w:sz w:val="24"/>
          <w:szCs w:val="24"/>
          <w:lang w:eastAsia="zh-CN"/>
        </w:rPr>
        <w:t>投标</w:t>
      </w:r>
      <w:r>
        <w:rPr>
          <w:rFonts w:hint="eastAsia" w:ascii="宋体" w:hAnsi="宋体" w:eastAsia="宋体" w:cs="宋体"/>
          <w:b/>
          <w:bCs/>
          <w:color w:val="auto"/>
          <w:sz w:val="24"/>
          <w:szCs w:val="24"/>
        </w:rPr>
        <w:t>保证金</w:t>
      </w:r>
      <w:r>
        <w:rPr>
          <w:rFonts w:hint="eastAsia" w:ascii="宋体" w:hAnsi="宋体" w:eastAsia="宋体" w:cs="宋体"/>
          <w:b/>
          <w:bCs/>
          <w:color w:val="auto"/>
          <w:sz w:val="24"/>
          <w:szCs w:val="24"/>
          <w:lang w:val="en-US" w:eastAsia="zh-CN"/>
        </w:rPr>
        <w:t>/保函、保险等</w:t>
      </w:r>
      <w:r>
        <w:rPr>
          <w:rFonts w:hint="eastAsia" w:ascii="宋体" w:hAnsi="宋体" w:eastAsia="宋体" w:cs="宋体"/>
          <w:b/>
          <w:bCs/>
          <w:color w:val="auto"/>
          <w:sz w:val="24"/>
          <w:szCs w:val="24"/>
        </w:rPr>
        <w:t>缴纳凭证</w:t>
      </w:r>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r>
        <w:rPr>
          <w:rFonts w:hint="eastAsia" w:ascii="宋体" w:hAnsi="宋体" w:eastAsia="宋体" w:cs="宋体"/>
          <w:b/>
          <w:bCs/>
          <w:color w:val="auto"/>
          <w:sz w:val="24"/>
          <w:szCs w:val="24"/>
        </w:rPr>
        <w:t xml:space="preserve"> </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5B186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06B189B0">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宋体" w:hAnsi="宋体" w:eastAsia="宋体" w:cs="宋体"/>
                <w:color w:val="auto"/>
                <w:szCs w:val="21"/>
              </w:rPr>
            </w:pPr>
          </w:p>
        </w:tc>
      </w:tr>
    </w:tbl>
    <w:p w14:paraId="4006649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2259DD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1077CD5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20BD864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p>
    <w:p w14:paraId="06E1DCF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7E3E6B9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4C024C1B">
      <w:pPr>
        <w:keepNext w:val="0"/>
        <w:keepLines w:val="0"/>
        <w:pageBreakBefore w:val="0"/>
        <w:widowControl w:val="0"/>
        <w:kinsoku/>
        <w:wordWrap w:val="0"/>
        <w:overflowPunct/>
        <w:topLinePunct/>
        <w:autoSpaceDE/>
        <w:autoSpaceDN/>
        <w:bidi w:val="0"/>
        <w:adjustRightInd/>
        <w:snapToGrid/>
        <w:spacing w:after="0" w:line="240" w:lineRule="auto"/>
        <w:ind w:left="0" w:leftChars="0" w:right="0" w:firstLine="0" w:firstLineChars="0"/>
        <w:jc w:val="center"/>
        <w:rPr>
          <w:rFonts w:hint="eastAsia" w:ascii="宋体" w:hAnsi="宋体" w:eastAsia="宋体" w:cs="宋体"/>
          <w:b/>
          <w:bCs/>
          <w:color w:val="auto"/>
          <w:kern w:val="2"/>
          <w:sz w:val="44"/>
          <w:szCs w:val="44"/>
          <w:lang w:val="en-US" w:eastAsia="zh-CN" w:bidi="ar-SA"/>
        </w:rPr>
      </w:pPr>
      <w:r>
        <w:rPr>
          <w:rFonts w:hint="eastAsia" w:ascii="宋体" w:hAnsi="宋体" w:eastAsia="宋体" w:cs="宋体"/>
          <w:b w:val="0"/>
          <w:color w:val="auto"/>
          <w:kern w:val="2"/>
          <w:sz w:val="24"/>
          <w:szCs w:val="24"/>
          <w:lang w:val="en-US" w:eastAsia="zh-CN" w:bidi="ar-SA"/>
        </w:rPr>
        <w:t>日期：</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年</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月</w:t>
      </w:r>
      <w:r>
        <w:rPr>
          <w:rFonts w:hint="eastAsia" w:ascii="宋体" w:hAnsi="宋体" w:eastAsia="宋体" w:cs="宋体"/>
          <w:b w:val="0"/>
          <w:color w:val="auto"/>
          <w:kern w:val="2"/>
          <w:sz w:val="24"/>
          <w:szCs w:val="24"/>
          <w:u w:val="single"/>
          <w:lang w:val="en-US" w:eastAsia="zh-CN" w:bidi="ar-SA"/>
        </w:rPr>
        <w:t xml:space="preserve">     </w:t>
      </w:r>
      <w:r>
        <w:rPr>
          <w:rFonts w:hint="eastAsia" w:ascii="宋体" w:hAnsi="宋体" w:eastAsia="宋体" w:cs="宋体"/>
          <w:b w:val="0"/>
          <w:color w:val="auto"/>
          <w:kern w:val="2"/>
          <w:sz w:val="24"/>
          <w:szCs w:val="24"/>
          <w:lang w:val="en-US" w:eastAsia="zh-CN" w:bidi="ar-SA"/>
        </w:rPr>
        <w:t>日</w:t>
      </w:r>
    </w:p>
    <w:p w14:paraId="62FCE7BE">
      <w:pPr>
        <w:widowControl w:val="0"/>
        <w:ind w:left="100"/>
        <w:jc w:val="center"/>
        <w:outlineLvl w:val="2"/>
        <w:rPr>
          <w:rFonts w:hint="eastAsia" w:ascii="宋体" w:hAnsi="宋体" w:eastAsia="宋体" w:cs="宋体"/>
          <w:b w:val="0"/>
          <w:bCs/>
          <w:color w:val="auto"/>
          <w:sz w:val="30"/>
          <w:szCs w:val="32"/>
          <w:lang w:val="en-US" w:eastAsia="zh-CN" w:bidi="ar-SA"/>
        </w:rPr>
      </w:pPr>
      <w:r>
        <w:rPr>
          <w:rFonts w:hint="eastAsia" w:ascii="宋体" w:hAnsi="宋体" w:eastAsia="宋体" w:cs="宋体"/>
          <w:b/>
          <w:bCs/>
          <w:color w:val="auto"/>
          <w:sz w:val="24"/>
          <w:szCs w:val="24"/>
          <w:lang w:val="en-US" w:eastAsia="zh-CN" w:bidi="ar-SA"/>
        </w:rPr>
        <w:br w:type="page"/>
      </w:r>
      <w:bookmarkStart w:id="1683" w:name="_Toc28031"/>
      <w:r>
        <w:rPr>
          <w:rFonts w:hint="eastAsia" w:ascii="宋体" w:hAnsi="宋体" w:eastAsia="宋体" w:cs="宋体"/>
          <w:b/>
          <w:bCs/>
          <w:color w:val="auto"/>
          <w:sz w:val="44"/>
          <w:szCs w:val="44"/>
          <w:lang w:val="en-US" w:eastAsia="zh-CN" w:bidi="ar-SA"/>
        </w:rPr>
        <w:t>报价部分</w:t>
      </w:r>
      <w:bookmarkEnd w:id="1683"/>
    </w:p>
    <w:p w14:paraId="1262B102">
      <w:pPr>
        <w:rPr>
          <w:rFonts w:hint="eastAsia" w:ascii="宋体" w:hAnsi="宋体" w:eastAsia="宋体" w:cs="宋体"/>
          <w:b/>
          <w:bCs/>
          <w:color w:val="auto"/>
          <w:sz w:val="30"/>
          <w:szCs w:val="32"/>
          <w:lang w:eastAsia="zh-CN"/>
        </w:rPr>
      </w:pPr>
    </w:p>
    <w:p w14:paraId="1B369063">
      <w:pPr>
        <w:widowControl w:val="0"/>
        <w:bidi w:val="0"/>
        <w:ind w:left="100"/>
        <w:jc w:val="center"/>
        <w:outlineLvl w:val="2"/>
        <w:rPr>
          <w:rFonts w:hint="eastAsia" w:ascii="Microsoft JhengHei" w:hAnsi="Microsoft JhengHei" w:eastAsia="宋体" w:cs="Times New Roman"/>
          <w:b/>
          <w:bCs/>
          <w:color w:val="auto"/>
          <w:sz w:val="28"/>
          <w:szCs w:val="28"/>
          <w:lang w:val="en-US" w:eastAsia="zh-CN" w:bidi="ar-SA"/>
        </w:rPr>
      </w:pPr>
      <w:bookmarkStart w:id="1684" w:name="_Toc29628"/>
      <w:r>
        <w:rPr>
          <w:rFonts w:hint="eastAsia" w:ascii="Microsoft JhengHei" w:hAnsi="Microsoft JhengHei" w:eastAsia="宋体" w:cs="Times New Roman"/>
          <w:b/>
          <w:bCs/>
          <w:color w:val="auto"/>
          <w:sz w:val="28"/>
          <w:szCs w:val="28"/>
          <w:lang w:val="en-US" w:eastAsia="zh-CN" w:bidi="ar-SA"/>
        </w:rPr>
        <w:t>一、投标报价（唱标）一览表（实质性格式）</w:t>
      </w:r>
      <w:bookmarkEnd w:id="1684"/>
    </w:p>
    <w:p w14:paraId="786AD24E">
      <w:pPr>
        <w:keepNext w:val="0"/>
        <w:keepLines w:val="0"/>
        <w:pageBreakBefore w:val="0"/>
        <w:widowControl w:val="0"/>
        <w:numPr>
          <w:ilvl w:val="0"/>
          <w:numId w:val="0"/>
        </w:numPr>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kern w:val="0"/>
          <w:sz w:val="24"/>
          <w:szCs w:val="24"/>
          <w:u w:val="single"/>
          <w:lang w:val="en-US" w:eastAsia="zh-CN"/>
        </w:rPr>
        <w:t xml:space="preserve">  </w:t>
      </w:r>
    </w:p>
    <w:p w14:paraId="1EC8AAFC">
      <w:pPr>
        <w:keepNext w:val="0"/>
        <w:keepLines w:val="0"/>
        <w:pageBreakBefore w:val="0"/>
        <w:widowControl w:val="0"/>
        <w:kinsoku/>
        <w:wordWrap w:val="0"/>
        <w:overflowPunct w:val="0"/>
        <w:topLinePunct/>
        <w:autoSpaceDE/>
        <w:autoSpaceDN/>
        <w:bidi w:val="0"/>
        <w:adjustRightInd/>
        <w:snapToGrid/>
        <w:ind w:left="-92" w:leftChars="-4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09DF4179">
      <w:pPr>
        <w:keepNext w:val="0"/>
        <w:keepLines w:val="0"/>
        <w:pageBreakBefore w:val="0"/>
        <w:widowControl w:val="0"/>
        <w:kinsoku/>
        <w:wordWrap w:val="0"/>
        <w:overflowPunct w:val="0"/>
        <w:topLinePunct/>
        <w:autoSpaceDE/>
        <w:autoSpaceDN/>
        <w:bidi w:val="0"/>
        <w:adjustRightInd/>
        <w:snapToGrid/>
        <w:ind w:left="-92" w:leftChars="-42"/>
        <w:rPr>
          <w:rFonts w:hint="eastAsia" w:ascii="宋体" w:hAnsi="宋体" w:eastAsia="宋体" w:cs="宋体"/>
          <w:color w:val="auto"/>
          <w:lang w:eastAsia="zh-CN"/>
        </w:rPr>
      </w:pPr>
      <w:r>
        <w:rPr>
          <w:rFonts w:hint="eastAsia" w:ascii="宋体" w:hAnsi="宋体" w:eastAsia="宋体" w:cs="宋体"/>
          <w:color w:val="auto"/>
          <w:sz w:val="24"/>
          <w:szCs w:val="24"/>
        </w:rPr>
        <w:t>金额单位：人民币 元</w:t>
      </w:r>
    </w:p>
    <w:tbl>
      <w:tblPr>
        <w:tblStyle w:val="67"/>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52701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04D61187">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投标总报价</w:t>
            </w:r>
            <w:r>
              <w:rPr>
                <w:rFonts w:hint="eastAsia" w:ascii="宋体" w:hAnsi="宋体" w:eastAsia="宋体" w:cs="宋体"/>
                <w:color w:val="auto"/>
                <w:sz w:val="24"/>
                <w:szCs w:val="24"/>
              </w:rPr>
              <w:t>（元）</w:t>
            </w:r>
          </w:p>
        </w:tc>
        <w:tc>
          <w:tcPr>
            <w:tcW w:w="7911" w:type="dxa"/>
            <w:tcBorders>
              <w:right w:val="single" w:color="auto" w:sz="4" w:space="0"/>
            </w:tcBorders>
            <w:noWrap w:val="0"/>
            <w:vAlign w:val="center"/>
          </w:tcPr>
          <w:p w14:paraId="00675A23">
            <w:pPr>
              <w:widowControl/>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大写：</w:t>
            </w:r>
            <w:r>
              <w:rPr>
                <w:rFonts w:hint="eastAsia" w:ascii="宋体" w:hAnsi="宋体" w:eastAsia="宋体" w:cs="宋体"/>
                <w:color w:val="auto"/>
                <w:sz w:val="24"/>
                <w:szCs w:val="24"/>
                <w:u w:val="single"/>
                <w:lang w:val="en-US" w:eastAsia="zh-CN"/>
              </w:rPr>
              <w:t xml:space="preserve">                            </w:t>
            </w:r>
          </w:p>
          <w:p w14:paraId="46995861">
            <w:pPr>
              <w:widowControl w:val="0"/>
              <w:ind w:left="100"/>
              <w:rPr>
                <w:rFonts w:hint="default" w:ascii="宋体" w:hAnsi="宋体" w:eastAsia="宋体" w:cs="Times New Roman"/>
                <w:color w:val="auto"/>
                <w:sz w:val="21"/>
                <w:szCs w:val="21"/>
                <w:lang w:val="en-US" w:eastAsia="zh-CN" w:bidi="ar-SA"/>
              </w:rPr>
            </w:pPr>
          </w:p>
          <w:p w14:paraId="361C095B">
            <w:pPr>
              <w:widowControl/>
              <w:rPr>
                <w:rFonts w:hint="eastAsia" w:ascii="宋体" w:hAnsi="宋体" w:eastAsia="宋体" w:cs="宋体"/>
                <w:color w:val="auto"/>
                <w:sz w:val="24"/>
                <w:szCs w:val="24"/>
              </w:rPr>
            </w:pP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lang w:val="en-US" w:eastAsia="zh-CN"/>
              </w:rPr>
              <w:t xml:space="preserve">                            </w:t>
            </w:r>
          </w:p>
        </w:tc>
      </w:tr>
      <w:tr w14:paraId="5235F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606797C5">
            <w:pPr>
              <w:ind w:firstLine="9" w:firstLineChars="4"/>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质保期</w:t>
            </w:r>
          </w:p>
        </w:tc>
        <w:tc>
          <w:tcPr>
            <w:tcW w:w="7911" w:type="dxa"/>
            <w:tcBorders>
              <w:right w:val="single" w:color="auto" w:sz="4" w:space="0"/>
            </w:tcBorders>
            <w:noWrap w:val="0"/>
            <w:vAlign w:val="center"/>
          </w:tcPr>
          <w:p w14:paraId="1D5DDBC0">
            <w:pPr>
              <w:widowControl/>
              <w:rPr>
                <w:rFonts w:hint="eastAsia" w:ascii="宋体" w:hAnsi="宋体" w:eastAsia="宋体" w:cs="宋体"/>
                <w:color w:val="auto"/>
                <w:sz w:val="24"/>
                <w:szCs w:val="24"/>
              </w:rPr>
            </w:pPr>
          </w:p>
        </w:tc>
      </w:tr>
      <w:tr w14:paraId="51E5E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4CFB64E9">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交货（交付）期</w:t>
            </w:r>
          </w:p>
        </w:tc>
        <w:tc>
          <w:tcPr>
            <w:tcW w:w="7911" w:type="dxa"/>
            <w:tcBorders>
              <w:right w:val="single" w:color="auto" w:sz="4" w:space="0"/>
            </w:tcBorders>
            <w:noWrap w:val="0"/>
            <w:vAlign w:val="center"/>
          </w:tcPr>
          <w:p w14:paraId="2F85AF72">
            <w:pPr>
              <w:widowControl/>
              <w:rPr>
                <w:rFonts w:hint="eastAsia" w:ascii="宋体" w:hAnsi="宋体" w:eastAsia="宋体" w:cs="宋体"/>
                <w:color w:val="auto"/>
                <w:sz w:val="24"/>
                <w:szCs w:val="24"/>
              </w:rPr>
            </w:pPr>
          </w:p>
        </w:tc>
      </w:tr>
      <w:tr w14:paraId="3F22A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1" w:hRule="atLeast"/>
          <w:jc w:val="center"/>
        </w:trPr>
        <w:tc>
          <w:tcPr>
            <w:tcW w:w="2410" w:type="dxa"/>
            <w:noWrap w:val="0"/>
            <w:vAlign w:val="center"/>
          </w:tcPr>
          <w:p w14:paraId="1909DD42">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交货地点</w:t>
            </w:r>
          </w:p>
        </w:tc>
        <w:tc>
          <w:tcPr>
            <w:tcW w:w="7911" w:type="dxa"/>
            <w:tcBorders>
              <w:right w:val="single" w:color="auto" w:sz="4" w:space="0"/>
            </w:tcBorders>
            <w:noWrap w:val="0"/>
            <w:vAlign w:val="center"/>
          </w:tcPr>
          <w:p w14:paraId="44688AA4">
            <w:pPr>
              <w:widowControl/>
              <w:rPr>
                <w:rFonts w:hint="eastAsia" w:ascii="宋体" w:hAnsi="宋体" w:eastAsia="宋体" w:cs="宋体"/>
                <w:color w:val="auto"/>
                <w:sz w:val="24"/>
                <w:szCs w:val="24"/>
              </w:rPr>
            </w:pPr>
          </w:p>
        </w:tc>
      </w:tr>
      <w:tr w14:paraId="0FC3A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2" w:hRule="atLeast"/>
          <w:jc w:val="center"/>
        </w:trPr>
        <w:tc>
          <w:tcPr>
            <w:tcW w:w="2410" w:type="dxa"/>
            <w:vMerge w:val="restart"/>
            <w:noWrap w:val="0"/>
            <w:vAlign w:val="center"/>
          </w:tcPr>
          <w:p w14:paraId="6217C50B">
            <w:pPr>
              <w:ind w:firstLine="9" w:firstLineChars="4"/>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投标保证金</w:t>
            </w:r>
          </w:p>
        </w:tc>
        <w:tc>
          <w:tcPr>
            <w:tcW w:w="7911" w:type="dxa"/>
            <w:tcBorders>
              <w:bottom w:val="single" w:color="auto" w:sz="4" w:space="0"/>
              <w:right w:val="single" w:color="auto" w:sz="4" w:space="0"/>
            </w:tcBorders>
            <w:noWrap w:val="0"/>
            <w:vAlign w:val="center"/>
          </w:tcPr>
          <w:p w14:paraId="3BC5A501">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金额：</w:t>
            </w:r>
          </w:p>
        </w:tc>
      </w:tr>
      <w:tr w14:paraId="13CD45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1" w:hRule="atLeast"/>
          <w:jc w:val="center"/>
        </w:trPr>
        <w:tc>
          <w:tcPr>
            <w:tcW w:w="2410" w:type="dxa"/>
            <w:vMerge w:val="continue"/>
            <w:noWrap w:val="0"/>
            <w:vAlign w:val="center"/>
          </w:tcPr>
          <w:p w14:paraId="6C62FA28">
            <w:pPr>
              <w:ind w:firstLine="9" w:firstLineChars="4"/>
              <w:jc w:val="center"/>
              <w:rPr>
                <w:rFonts w:hint="eastAsia" w:ascii="宋体" w:hAnsi="宋体" w:eastAsia="宋体" w:cs="宋体"/>
                <w:color w:val="auto"/>
                <w:sz w:val="24"/>
                <w:szCs w:val="24"/>
                <w:lang w:val="en-US" w:eastAsia="zh-CN"/>
              </w:rPr>
            </w:pPr>
          </w:p>
        </w:tc>
        <w:tc>
          <w:tcPr>
            <w:tcW w:w="7911" w:type="dxa"/>
            <w:tcBorders>
              <w:top w:val="single" w:color="auto" w:sz="4" w:space="0"/>
              <w:right w:val="single" w:color="auto" w:sz="4" w:space="0"/>
            </w:tcBorders>
            <w:noWrap w:val="0"/>
            <w:vAlign w:val="center"/>
          </w:tcPr>
          <w:p w14:paraId="3DF8F594">
            <w:pPr>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w:t>
            </w:r>
          </w:p>
        </w:tc>
      </w:tr>
      <w:tr w14:paraId="30BDE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4" w:hRule="atLeast"/>
          <w:jc w:val="center"/>
        </w:trPr>
        <w:tc>
          <w:tcPr>
            <w:tcW w:w="2410" w:type="dxa"/>
            <w:noWrap w:val="0"/>
            <w:vAlign w:val="center"/>
          </w:tcPr>
          <w:p w14:paraId="22ED91ED">
            <w:pPr>
              <w:ind w:firstLine="9" w:firstLine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其他承诺或声明</w:t>
            </w:r>
          </w:p>
        </w:tc>
        <w:tc>
          <w:tcPr>
            <w:tcW w:w="7911" w:type="dxa"/>
            <w:tcBorders>
              <w:right w:val="single" w:color="auto" w:sz="4" w:space="0"/>
            </w:tcBorders>
            <w:noWrap w:val="0"/>
            <w:vAlign w:val="center"/>
          </w:tcPr>
          <w:p w14:paraId="10D4034C">
            <w:pPr>
              <w:widowControl/>
              <w:rPr>
                <w:rFonts w:hint="eastAsia" w:ascii="宋体" w:hAnsi="宋体" w:eastAsia="宋体" w:cs="宋体"/>
                <w:color w:val="auto"/>
                <w:sz w:val="24"/>
                <w:szCs w:val="24"/>
              </w:rPr>
            </w:pPr>
          </w:p>
        </w:tc>
      </w:tr>
    </w:tbl>
    <w:p w14:paraId="547E697E">
      <w:pPr>
        <w:ind w:firstLine="441" w:firstLineChars="210"/>
        <w:rPr>
          <w:rFonts w:hint="eastAsia" w:ascii="宋体" w:hAnsi="宋体" w:eastAsia="宋体" w:cs="宋体"/>
          <w:color w:val="auto"/>
          <w:sz w:val="21"/>
          <w:szCs w:val="21"/>
          <w:lang w:eastAsia="zh-CN"/>
        </w:rPr>
      </w:pPr>
    </w:p>
    <w:p w14:paraId="569EEA82">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0C96CAE4">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143B8DAB">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4035CB8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1E9847F3">
      <w:pPr>
        <w:jc w:val="center"/>
        <w:rPr>
          <w:rFonts w:hint="eastAsia" w:ascii="宋体" w:hAnsi="宋体" w:eastAsia="宋体" w:cs="宋体"/>
          <w:color w:val="auto"/>
          <w:szCs w:val="2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645523C1">
      <w:pPr>
        <w:keepNext w:val="0"/>
        <w:keepLines w:val="0"/>
        <w:pageBreakBefore w:val="0"/>
        <w:widowControl w:val="0"/>
        <w:kinsoku/>
        <w:wordWrap/>
        <w:overflowPunct w:val="0"/>
        <w:topLinePunct/>
        <w:autoSpaceDE/>
        <w:autoSpaceDN/>
        <w:bidi w:val="0"/>
        <w:adjustRightInd/>
        <w:snapToGrid/>
        <w:ind w:left="-92" w:leftChars="-42"/>
        <w:jc w:val="center"/>
        <w:rPr>
          <w:rFonts w:hint="eastAsia" w:ascii="宋体" w:hAnsi="宋体" w:eastAsia="宋体" w:cs="宋体"/>
          <w:color w:val="auto"/>
          <w:sz w:val="22"/>
          <w:szCs w:val="22"/>
        </w:rPr>
      </w:pPr>
      <w:r>
        <w:rPr>
          <w:rFonts w:hint="eastAsia" w:ascii="宋体" w:hAnsi="宋体" w:eastAsia="宋体" w:cs="宋体"/>
          <w:color w:val="auto"/>
          <w:szCs w:val="21"/>
          <w:lang w:eastAsia="zh-CN"/>
        </w:rPr>
        <w:br w:type="page"/>
      </w:r>
      <w:bookmarkStart w:id="1685" w:name="_Toc19043"/>
      <w:r>
        <w:rPr>
          <w:rFonts w:hint="eastAsia" w:ascii="Microsoft JhengHei" w:hAnsi="Microsoft JhengHei" w:eastAsia="宋体" w:cs="Times New Roman"/>
          <w:b/>
          <w:bCs/>
          <w:color w:val="auto"/>
          <w:sz w:val="28"/>
          <w:szCs w:val="28"/>
          <w:lang w:val="en-US" w:eastAsia="zh-CN"/>
        </w:rPr>
        <w:t>二、投标报价组成表（实质性格式）</w:t>
      </w:r>
      <w:bookmarkEnd w:id="1685"/>
    </w:p>
    <w:p w14:paraId="58BBF800">
      <w:pPr>
        <w:keepNext w:val="0"/>
        <w:keepLines w:val="0"/>
        <w:pageBreakBefore w:val="0"/>
        <w:widowControl w:val="0"/>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466E9EB0">
      <w:pPr>
        <w:keepNext w:val="0"/>
        <w:keepLines w:val="0"/>
        <w:pageBreakBefore w:val="0"/>
        <w:widowControl w:val="0"/>
        <w:kinsoku/>
        <w:wordWrap w:val="0"/>
        <w:overflowPunct w:val="0"/>
        <w:topLinePunct/>
        <w:autoSpaceDE/>
        <w:autoSpaceDN/>
        <w:bidi w:val="0"/>
        <w:adjustRightInd/>
        <w:snapToGrid/>
        <w:ind w:left="-92" w:leftChars="-42"/>
        <w:jc w:val="left"/>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p>
    <w:p w14:paraId="3DE34822">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宋体" w:hAnsi="宋体" w:eastAsia="宋体" w:cs="宋体"/>
          <w:color w:val="auto"/>
        </w:rPr>
      </w:pPr>
      <w:r>
        <w:rPr>
          <w:rFonts w:hint="eastAsia" w:ascii="宋体" w:hAnsi="宋体" w:eastAsia="宋体" w:cs="宋体"/>
          <w:color w:val="auto"/>
          <w:sz w:val="24"/>
          <w:szCs w:val="24"/>
        </w:rPr>
        <w:t>金额单位：人民币 元</w:t>
      </w:r>
    </w:p>
    <w:tbl>
      <w:tblPr>
        <w:tblStyle w:val="694"/>
        <w:tblW w:w="112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1156"/>
        <w:gridCol w:w="1121"/>
        <w:gridCol w:w="690"/>
        <w:gridCol w:w="800"/>
        <w:gridCol w:w="1835"/>
        <w:gridCol w:w="860"/>
        <w:gridCol w:w="1605"/>
        <w:gridCol w:w="700"/>
        <w:gridCol w:w="800"/>
        <w:gridCol w:w="920"/>
      </w:tblGrid>
      <w:tr w14:paraId="1DFF5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3" w:hRule="atLeast"/>
          <w:jc w:val="center"/>
        </w:trPr>
        <w:tc>
          <w:tcPr>
            <w:tcW w:w="713" w:type="dxa"/>
            <w:vAlign w:val="center"/>
          </w:tcPr>
          <w:p w14:paraId="2B0057CB">
            <w:pPr>
              <w:bidi w:val="0"/>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56" w:type="dxa"/>
            <w:vAlign w:val="center"/>
          </w:tcPr>
          <w:p w14:paraId="4B95E4B7">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商品名称</w:t>
            </w:r>
          </w:p>
        </w:tc>
        <w:tc>
          <w:tcPr>
            <w:tcW w:w="1121" w:type="dxa"/>
            <w:vAlign w:val="center"/>
          </w:tcPr>
          <w:p w14:paraId="54C6FF12">
            <w:pPr>
              <w:keepNext w:val="0"/>
              <w:keepLines w:val="0"/>
              <w:widowControl/>
              <w:suppressLineNumbers w:val="0"/>
              <w:jc w:val="center"/>
              <w:textAlignment w:val="center"/>
              <w:rPr>
                <w:rFonts w:hint="default"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所属行业</w:t>
            </w:r>
          </w:p>
        </w:tc>
        <w:tc>
          <w:tcPr>
            <w:tcW w:w="690" w:type="dxa"/>
            <w:vAlign w:val="center"/>
          </w:tcPr>
          <w:p w14:paraId="206B86F1">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品牌</w:t>
            </w:r>
          </w:p>
        </w:tc>
        <w:tc>
          <w:tcPr>
            <w:tcW w:w="800" w:type="dxa"/>
            <w:vAlign w:val="center"/>
          </w:tcPr>
          <w:p w14:paraId="3A22203A">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型号</w:t>
            </w:r>
          </w:p>
        </w:tc>
        <w:tc>
          <w:tcPr>
            <w:tcW w:w="1835" w:type="dxa"/>
            <w:vAlign w:val="center"/>
          </w:tcPr>
          <w:p w14:paraId="3B3F8B67">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节能/节水/环保</w:t>
            </w:r>
          </w:p>
        </w:tc>
        <w:tc>
          <w:tcPr>
            <w:tcW w:w="860" w:type="dxa"/>
            <w:vAlign w:val="center"/>
          </w:tcPr>
          <w:p w14:paraId="47D84BE6">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制造商</w:t>
            </w:r>
          </w:p>
        </w:tc>
        <w:tc>
          <w:tcPr>
            <w:tcW w:w="1605" w:type="dxa"/>
            <w:vAlign w:val="center"/>
          </w:tcPr>
          <w:p w14:paraId="3EF5838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制造商企业规模（微型/小型/中型/大型/）</w:t>
            </w:r>
          </w:p>
        </w:tc>
        <w:tc>
          <w:tcPr>
            <w:tcW w:w="700" w:type="dxa"/>
            <w:vAlign w:val="center"/>
          </w:tcPr>
          <w:p w14:paraId="6AF09ED5">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数量</w:t>
            </w:r>
          </w:p>
        </w:tc>
        <w:tc>
          <w:tcPr>
            <w:tcW w:w="800" w:type="dxa"/>
            <w:vAlign w:val="center"/>
          </w:tcPr>
          <w:p w14:paraId="1B7D3D26">
            <w:pPr>
              <w:keepNext w:val="0"/>
              <w:keepLines w:val="0"/>
              <w:widowControl/>
              <w:suppressLineNumbers w:val="0"/>
              <w:jc w:val="center"/>
              <w:textAlignment w:val="center"/>
              <w:rPr>
                <w:rFonts w:hint="eastAsia" w:ascii="宋体" w:hAnsi="宋体" w:eastAsia="宋体" w:cs="宋体"/>
                <w:b w:val="0"/>
                <w:bCs w:val="0"/>
                <w:color w:val="auto"/>
                <w:sz w:val="24"/>
                <w:szCs w:val="24"/>
              </w:rPr>
            </w:pPr>
            <w:r>
              <w:rPr>
                <w:rFonts w:hint="eastAsia" w:ascii="宋体" w:hAnsi="宋体" w:eastAsia="宋体" w:cs="宋体"/>
                <w:b w:val="0"/>
                <w:bCs w:val="0"/>
                <w:i w:val="0"/>
                <w:iCs w:val="0"/>
                <w:color w:val="auto"/>
                <w:kern w:val="0"/>
                <w:sz w:val="24"/>
                <w:szCs w:val="24"/>
                <w:u w:val="none"/>
                <w:lang w:val="en-US" w:eastAsia="zh-CN" w:bidi="ar"/>
              </w:rPr>
              <w:t>单价</w:t>
            </w:r>
          </w:p>
        </w:tc>
        <w:tc>
          <w:tcPr>
            <w:tcW w:w="920" w:type="dxa"/>
            <w:vAlign w:val="center"/>
          </w:tcPr>
          <w:p w14:paraId="1319EDA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合计</w:t>
            </w:r>
          </w:p>
        </w:tc>
      </w:tr>
      <w:tr w14:paraId="7CFED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2E5A92C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156" w:type="dxa"/>
            <w:vAlign w:val="center"/>
          </w:tcPr>
          <w:p w14:paraId="48A2BD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553B32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14A5B7F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51C065D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652131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322BF3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p>
        </w:tc>
        <w:tc>
          <w:tcPr>
            <w:tcW w:w="1605" w:type="dxa"/>
            <w:vAlign w:val="center"/>
          </w:tcPr>
          <w:p w14:paraId="2AF359B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p>
        </w:tc>
        <w:tc>
          <w:tcPr>
            <w:tcW w:w="700" w:type="dxa"/>
            <w:vAlign w:val="center"/>
          </w:tcPr>
          <w:p w14:paraId="0125FCD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4533B9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7FC32D6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5610C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1231CA8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156" w:type="dxa"/>
            <w:vAlign w:val="center"/>
          </w:tcPr>
          <w:p w14:paraId="548BBD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478AFCB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4C15975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AA6AE7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15BDF5B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3B4B4EB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72A7F58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1A41A6E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06DC9E4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1B0A68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7A273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6D1CC4A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156" w:type="dxa"/>
            <w:vAlign w:val="center"/>
          </w:tcPr>
          <w:p w14:paraId="2152A6F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7C7AA43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23FA41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2619BA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4BD9A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4B3F52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EB727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4D9046E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F002AE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696295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46C3C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1AE6861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156" w:type="dxa"/>
            <w:vAlign w:val="center"/>
          </w:tcPr>
          <w:p w14:paraId="5EEE3D2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52A386C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05EF44C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BBB03B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492080A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5FFC78E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0E29D73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4680073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24A227B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E8503E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4B942C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08A96B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156" w:type="dxa"/>
            <w:vAlign w:val="center"/>
          </w:tcPr>
          <w:p w14:paraId="7F91966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31EFEF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2A003C1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5BD96D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0E7E7AF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C493D1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582C46C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6183EAA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255B5C3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3698F97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04104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F3B1D4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156" w:type="dxa"/>
            <w:vAlign w:val="center"/>
          </w:tcPr>
          <w:p w14:paraId="32CD575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0259C96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55215E0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45D3DC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45A5554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C00C43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78B2F5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5712A72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8D4F20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579F04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7172A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5F0B366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156" w:type="dxa"/>
            <w:vAlign w:val="center"/>
          </w:tcPr>
          <w:p w14:paraId="1A2034C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13D61AE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3EB22A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041FCF6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6431B86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0506727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2D6D579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088202C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13C6998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1C68906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2A870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13" w:type="dxa"/>
            <w:vAlign w:val="center"/>
          </w:tcPr>
          <w:p w14:paraId="7DCC02A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156" w:type="dxa"/>
            <w:vAlign w:val="center"/>
          </w:tcPr>
          <w:p w14:paraId="6BEE5FF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121" w:type="dxa"/>
            <w:vAlign w:val="center"/>
          </w:tcPr>
          <w:p w14:paraId="45D20C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690" w:type="dxa"/>
            <w:vAlign w:val="center"/>
          </w:tcPr>
          <w:p w14:paraId="5E6CA8A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6BC6714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835" w:type="dxa"/>
            <w:vAlign w:val="center"/>
          </w:tcPr>
          <w:p w14:paraId="280BED3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60" w:type="dxa"/>
            <w:vAlign w:val="center"/>
          </w:tcPr>
          <w:p w14:paraId="21B0DFA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1605" w:type="dxa"/>
            <w:vAlign w:val="center"/>
          </w:tcPr>
          <w:p w14:paraId="4DBC86F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700" w:type="dxa"/>
            <w:vAlign w:val="center"/>
          </w:tcPr>
          <w:p w14:paraId="2E5B148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800" w:type="dxa"/>
            <w:vAlign w:val="center"/>
          </w:tcPr>
          <w:p w14:paraId="358594C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c>
          <w:tcPr>
            <w:tcW w:w="920" w:type="dxa"/>
            <w:vAlign w:val="center"/>
          </w:tcPr>
          <w:p w14:paraId="79F68BF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宋体" w:hAnsi="宋体" w:eastAsia="宋体" w:cs="宋体"/>
                <w:color w:val="auto"/>
                <w:sz w:val="24"/>
                <w:szCs w:val="24"/>
              </w:rPr>
            </w:pPr>
          </w:p>
        </w:tc>
      </w:tr>
      <w:tr w14:paraId="26641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713" w:type="dxa"/>
            <w:vAlign w:val="center"/>
          </w:tcPr>
          <w:p w14:paraId="4F1A84A2">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p>
        </w:tc>
        <w:tc>
          <w:tcPr>
            <w:tcW w:w="9567" w:type="dxa"/>
            <w:gridSpan w:val="9"/>
            <w:vAlign w:val="center"/>
          </w:tcPr>
          <w:p w14:paraId="1B8C719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共计：</w:t>
            </w:r>
          </w:p>
        </w:tc>
        <w:tc>
          <w:tcPr>
            <w:tcW w:w="920" w:type="dxa"/>
            <w:vAlign w:val="center"/>
          </w:tcPr>
          <w:p w14:paraId="641F922E">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宋体" w:hAnsi="宋体" w:eastAsia="宋体" w:cs="宋体"/>
                <w:color w:val="auto"/>
                <w:sz w:val="24"/>
                <w:szCs w:val="24"/>
                <w:lang w:val="en-US" w:eastAsia="zh-CN"/>
              </w:rPr>
            </w:pPr>
          </w:p>
        </w:tc>
      </w:tr>
    </w:tbl>
    <w:p w14:paraId="3914E152">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注：</w:t>
      </w:r>
    </w:p>
    <w:p w14:paraId="5FAA26A0">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（1）★供应商须对所投标段的所有产品进行整体投标报价，不得缺项漏项，否则按不实质性响应招标文件要求处理。</w:t>
      </w:r>
    </w:p>
    <w:p w14:paraId="6374F164">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（2）如所投设备为</w:t>
      </w:r>
      <w:r>
        <w:rPr>
          <w:rFonts w:hint="eastAsia" w:ascii="宋体" w:hAnsi="宋体" w:eastAsia="宋体" w:cs="宋体"/>
          <w:b/>
          <w:bCs/>
          <w:color w:val="auto"/>
          <w:sz w:val="21"/>
          <w:szCs w:val="21"/>
          <w:lang w:val="en-US" w:eastAsia="zh-CN"/>
        </w:rPr>
        <w:t>中型、</w:t>
      </w:r>
      <w:r>
        <w:rPr>
          <w:rFonts w:hint="eastAsia" w:ascii="宋体" w:hAnsi="宋体" w:eastAsia="宋体" w:cs="宋体"/>
          <w:b/>
          <w:bCs/>
          <w:color w:val="auto"/>
          <w:sz w:val="21"/>
          <w:szCs w:val="21"/>
          <w:lang w:val="en-US" w:eastAsia="zh-CN" w:bidi="ar"/>
        </w:rPr>
        <w:t xml:space="preserve">小型、微型企业产品，须在上表中全部体现并明确。 </w:t>
      </w:r>
    </w:p>
    <w:p w14:paraId="72774B23">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宋体" w:hAnsi="宋体" w:eastAsia="宋体" w:cs="宋体"/>
          <w:b/>
          <w:color w:val="auto"/>
          <w:sz w:val="20"/>
          <w:szCs w:val="21"/>
        </w:rPr>
      </w:pPr>
      <w:r>
        <w:rPr>
          <w:rFonts w:hint="eastAsia" w:ascii="宋体" w:hAnsi="宋体" w:eastAsia="宋体" w:cs="宋体"/>
          <w:b/>
          <w:bCs/>
          <w:color w:val="auto"/>
          <w:sz w:val="21"/>
          <w:szCs w:val="21"/>
          <w:lang w:val="en-US" w:eastAsia="zh-CN" w:bidi="ar"/>
        </w:rPr>
        <w:t>（3）供应商对填写生产制造企业的企业类型负责，如有虚假，将依法承担相应责任</w:t>
      </w:r>
      <w:r>
        <w:rPr>
          <w:rFonts w:hint="eastAsia" w:ascii="宋体" w:hAnsi="宋体" w:eastAsia="宋体" w:cs="宋体"/>
          <w:b/>
          <w:color w:val="auto"/>
          <w:sz w:val="20"/>
          <w:szCs w:val="21"/>
        </w:rPr>
        <w:t>。</w:t>
      </w:r>
    </w:p>
    <w:p w14:paraId="74459AC0">
      <w:pPr>
        <w:widowControl w:val="0"/>
        <w:spacing w:line="360" w:lineRule="auto"/>
        <w:ind w:firstLine="2" w:firstLineChars="1"/>
        <w:jc w:val="both"/>
        <w:rPr>
          <w:rFonts w:hint="eastAsia" w:ascii="宋体" w:hAnsi="宋体" w:eastAsia="宋体" w:cs="宋体"/>
          <w:color w:val="auto"/>
          <w:kern w:val="2"/>
          <w:sz w:val="21"/>
          <w:szCs w:val="21"/>
          <w:lang w:val="en-US" w:eastAsia="zh-CN" w:bidi="ar-SA"/>
        </w:rPr>
      </w:pPr>
    </w:p>
    <w:p w14:paraId="28F5F05A">
      <w:pPr>
        <w:widowControl w:val="0"/>
        <w:spacing w:after="120" w:line="240" w:lineRule="auto"/>
        <w:ind w:left="440" w:leftChars="200" w:firstLine="480" w:firstLineChars="200"/>
        <w:jc w:val="both"/>
        <w:rPr>
          <w:rFonts w:hint="eastAsia" w:ascii="宋体" w:hAnsi="宋体" w:eastAsia="宋体" w:cs="宋体"/>
          <w:b w:val="0"/>
          <w:color w:val="auto"/>
          <w:kern w:val="2"/>
          <w:sz w:val="24"/>
          <w:szCs w:val="24"/>
          <w:lang w:val="en-US" w:eastAsia="zh-CN" w:bidi="ar-SA"/>
        </w:rPr>
      </w:pPr>
    </w:p>
    <w:p w14:paraId="05E3B77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0DDD908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7CEBB6CD">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4B283BC1">
      <w:pPr>
        <w:spacing w:line="360" w:lineRule="auto"/>
        <w:jc w:val="center"/>
        <w:rPr>
          <w:rFonts w:hint="eastAsia" w:ascii="宋体" w:hAnsi="宋体" w:eastAsia="宋体" w:cs="宋体"/>
          <w:color w:val="auto"/>
          <w:sz w:val="24"/>
          <w:szCs w:val="24"/>
          <w:lang w:eastAsia="zh-CN"/>
        </w:rPr>
      </w:pPr>
    </w:p>
    <w:p w14:paraId="50238424">
      <w:pPr>
        <w:spacing w:line="360" w:lineRule="auto"/>
        <w:jc w:val="center"/>
        <w:rPr>
          <w:rFonts w:hint="eastAsia" w:ascii="宋体" w:hAnsi="宋体" w:eastAsia="宋体" w:cs="宋体"/>
          <w:color w:val="auto"/>
          <w:sz w:val="24"/>
          <w:szCs w:val="24"/>
          <w:lang w:eastAsia="zh-CN"/>
        </w:rPr>
      </w:pPr>
    </w:p>
    <w:p w14:paraId="4485E9C1">
      <w:pPr>
        <w:spacing w:line="360" w:lineRule="auto"/>
        <w:jc w:val="center"/>
        <w:rPr>
          <w:rFonts w:hint="eastAsia" w:ascii="宋体" w:hAnsi="宋体" w:eastAsia="宋体" w:cs="宋体"/>
          <w:color w:val="auto"/>
          <w:sz w:val="24"/>
          <w:szCs w:val="24"/>
          <w:lang w:eastAsia="zh-CN"/>
        </w:rPr>
      </w:pPr>
    </w:p>
    <w:p w14:paraId="77D5627D">
      <w:pPr>
        <w:spacing w:line="360" w:lineRule="auto"/>
        <w:jc w:val="center"/>
        <w:rPr>
          <w:rFonts w:hint="eastAsia" w:ascii="宋体" w:hAnsi="宋体" w:eastAsia="宋体" w:cs="宋体"/>
          <w:color w:val="auto"/>
          <w:sz w:val="24"/>
          <w:szCs w:val="24"/>
          <w:lang w:eastAsia="zh-CN"/>
        </w:rPr>
      </w:pPr>
    </w:p>
    <w:p w14:paraId="4EF3B3C8">
      <w:pPr>
        <w:spacing w:line="360" w:lineRule="auto"/>
        <w:jc w:val="center"/>
        <w:rPr>
          <w:rFonts w:hint="eastAsia" w:ascii="宋体" w:hAnsi="宋体" w:eastAsia="宋体" w:cs="宋体"/>
          <w:color w:val="auto"/>
          <w:sz w:val="24"/>
          <w:szCs w:val="24"/>
          <w:lang w:eastAsia="zh-CN"/>
        </w:rPr>
        <w:sectPr>
          <w:pgSz w:w="12240" w:h="15840"/>
          <w:pgMar w:top="1440" w:right="1080" w:bottom="1440" w:left="1080" w:header="720" w:footer="720" w:gutter="0"/>
          <w:pgNumType w:fmt="decimal"/>
          <w:cols w:space="720" w:num="1"/>
        </w:sectPr>
      </w:pPr>
    </w:p>
    <w:p w14:paraId="6611122C">
      <w:pPr>
        <w:wordWrap w:val="0"/>
        <w:overflowPunct w:val="0"/>
        <w:topLinePunct/>
        <w:jc w:val="center"/>
        <w:outlineLvl w:val="1"/>
        <w:rPr>
          <w:rFonts w:hint="eastAsia" w:ascii="宋体" w:hAnsi="宋体" w:eastAsia="宋体" w:cs="宋体"/>
          <w:b/>
          <w:bCs/>
          <w:color w:val="auto"/>
          <w:sz w:val="28"/>
          <w:szCs w:val="28"/>
        </w:rPr>
      </w:pPr>
      <w:bookmarkStart w:id="1686" w:name="_Toc17678"/>
      <w:bookmarkStart w:id="1687" w:name="_Toc15176"/>
      <w:bookmarkStart w:id="1688" w:name="_Toc18503"/>
      <w:bookmarkStart w:id="1689" w:name="_Toc9958"/>
      <w:bookmarkStart w:id="1690" w:name="_Toc15773"/>
      <w:bookmarkStart w:id="1691" w:name="_Toc28150"/>
      <w:bookmarkStart w:id="1692" w:name="_Toc17170"/>
      <w:bookmarkStart w:id="1693" w:name="_Toc23358"/>
      <w:bookmarkStart w:id="1694" w:name="_Toc805"/>
      <w:bookmarkStart w:id="1695" w:name="_Toc10617"/>
      <w:bookmarkStart w:id="1696" w:name="_Toc31224"/>
      <w:bookmarkStart w:id="1697" w:name="_Toc18779"/>
      <w:bookmarkStart w:id="1698" w:name="_Toc18520"/>
      <w:bookmarkStart w:id="1699" w:name="_Toc9431"/>
      <w:bookmarkStart w:id="1700" w:name="_Toc19116"/>
      <w:bookmarkStart w:id="1701" w:name="_Toc20751"/>
      <w:bookmarkStart w:id="1702" w:name="_Toc31594"/>
      <w:bookmarkStart w:id="1703" w:name="_Toc1243"/>
      <w:bookmarkStart w:id="1704" w:name="_Toc18849"/>
      <w:bookmarkStart w:id="1705" w:name="_Toc10871"/>
      <w:bookmarkStart w:id="1706" w:name="_Toc12820"/>
      <w:bookmarkStart w:id="1707" w:name="_Toc16894"/>
      <w:bookmarkStart w:id="1708" w:name="_Toc13697"/>
      <w:bookmarkStart w:id="1709" w:name="_Toc30860"/>
      <w:bookmarkStart w:id="1710" w:name="_Toc32557"/>
      <w:bookmarkStart w:id="1711" w:name="_Toc1925"/>
      <w:r>
        <w:rPr>
          <w:rFonts w:hint="eastAsia" w:ascii="宋体" w:hAnsi="宋体" w:eastAsia="宋体" w:cs="宋体"/>
          <w:b/>
          <w:bCs/>
          <w:color w:val="auto"/>
          <w:sz w:val="28"/>
          <w:szCs w:val="28"/>
          <w:lang w:val="zh-CN" w:eastAsia="zh-CN"/>
        </w:rPr>
        <w:t>三、</w:t>
      </w:r>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r>
        <w:rPr>
          <w:rFonts w:hint="eastAsia" w:ascii="宋体" w:hAnsi="宋体" w:eastAsia="宋体" w:cs="宋体"/>
          <w:b/>
          <w:bCs/>
          <w:color w:val="auto"/>
          <w:sz w:val="28"/>
          <w:szCs w:val="28"/>
          <w:lang w:eastAsia="zh-CN"/>
        </w:rPr>
        <w:t>落实政府采购政策</w:t>
      </w:r>
      <w:bookmarkEnd w:id="1709"/>
      <w:bookmarkEnd w:id="1710"/>
      <w:bookmarkEnd w:id="1711"/>
    </w:p>
    <w:p w14:paraId="10406C11">
      <w:pPr>
        <w:wordWrap w:val="0"/>
        <w:overflowPunct w:val="0"/>
        <w:topLinePunct/>
        <w:jc w:val="center"/>
        <w:outlineLvl w:val="1"/>
        <w:rPr>
          <w:rFonts w:hint="eastAsia" w:ascii="宋体" w:hAnsi="宋体" w:eastAsia="宋体" w:cs="宋体"/>
          <w:color w:val="auto"/>
          <w:szCs w:val="30"/>
        </w:rPr>
      </w:pPr>
    </w:p>
    <w:p w14:paraId="0B4D85EA">
      <w:pPr>
        <w:wordWrap w:val="0"/>
        <w:overflowPunct w:val="0"/>
        <w:topLinePunct/>
        <w:spacing w:line="360" w:lineRule="auto"/>
        <w:jc w:val="left"/>
        <w:rPr>
          <w:rFonts w:hint="eastAsia" w:ascii="宋体" w:hAnsi="宋体" w:eastAsia="宋体" w:cs="宋体"/>
          <w:color w:val="auto"/>
          <w:sz w:val="24"/>
          <w:lang w:val="zh-CN"/>
        </w:rPr>
      </w:pPr>
      <w:r>
        <w:rPr>
          <w:rFonts w:hint="eastAsia" w:ascii="宋体" w:hAnsi="宋体" w:eastAsia="宋体" w:cs="宋体"/>
          <w:color w:val="auto"/>
          <w:sz w:val="24"/>
          <w:lang w:val="zh-CN"/>
        </w:rPr>
        <w:t>说明：</w:t>
      </w:r>
    </w:p>
    <w:p w14:paraId="451295B5">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供应商出具。联合体投标的，《中小企业声明函》可由牵头人出具。 </w:t>
      </w:r>
    </w:p>
    <w:p w14:paraId="5A497FA5">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14:paraId="55701256">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3）对于多标的采购项目，供应商应充分、准确地了解所提供货物的制造企业、提供服务的承接企业信息。对相关情况了解不清楚的，不建议填报本声明函。</w:t>
      </w:r>
    </w:p>
    <w:p w14:paraId="16105FB6">
      <w:pPr>
        <w:wordWrap w:val="0"/>
        <w:overflowPunct w:val="0"/>
        <w:topLinePunct/>
        <w:spacing w:line="360" w:lineRule="auto"/>
        <w:ind w:firstLine="480" w:firstLineChars="200"/>
        <w:jc w:val="left"/>
        <w:rPr>
          <w:rFonts w:hint="eastAsia" w:ascii="宋体" w:hAnsi="宋体" w:eastAsia="宋体" w:cs="宋体"/>
          <w:color w:val="auto"/>
          <w:sz w:val="24"/>
          <w:lang w:val="zh-CN"/>
        </w:rPr>
      </w:pPr>
      <w:r>
        <w:rPr>
          <w:rFonts w:hint="eastAsia" w:ascii="宋体" w:hAnsi="宋体" w:eastAsia="宋体" w:cs="宋体"/>
          <w:color w:val="auto"/>
          <w:sz w:val="24"/>
          <w:lang w:val="zh-CN" w:eastAsia="zh-CN"/>
        </w:rPr>
        <w:t>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如在该程序中未找到本项目文件规定的中小企业划分标准所属行业，则按照《关于印发中小企业划型标准规定的通知（工信部联企业﹝2011﹞300 号）》及本项目文件规定的中小企业划分标准所属行业执行。</w:t>
      </w:r>
    </w:p>
    <w:p w14:paraId="4F5FECE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宋体" w:hAnsi="宋体" w:eastAsia="宋体" w:cs="宋体"/>
          <w:b/>
          <w:bCs/>
          <w:color w:val="auto"/>
          <w:sz w:val="30"/>
          <w:szCs w:val="30"/>
          <w:lang w:val="en-US" w:eastAsia="zh-CN"/>
        </w:rPr>
        <w:sectPr>
          <w:pgSz w:w="11906" w:h="16838"/>
          <w:pgMar w:top="1134" w:right="1134" w:bottom="1134" w:left="1134" w:header="720" w:footer="720" w:gutter="0"/>
          <w:pgNumType w:fmt="decimal"/>
          <w:cols w:space="720" w:num="1"/>
          <w:rtlGutter w:val="0"/>
        </w:sectPr>
      </w:pPr>
      <w:bookmarkStart w:id="1712" w:name="_Toc11649"/>
      <w:bookmarkStart w:id="1713" w:name="_Toc7953"/>
      <w:bookmarkStart w:id="1714" w:name="_Toc13683"/>
      <w:bookmarkStart w:id="1715" w:name="_Toc31097"/>
      <w:bookmarkStart w:id="1716" w:name="_Toc10388"/>
      <w:bookmarkStart w:id="1717" w:name="_Toc3382"/>
      <w:bookmarkStart w:id="1718" w:name="_Toc15831"/>
      <w:bookmarkStart w:id="1719" w:name="_Toc4785"/>
      <w:bookmarkStart w:id="1720" w:name="_Toc29581"/>
      <w:bookmarkStart w:id="1721" w:name="_Toc4362"/>
      <w:bookmarkStart w:id="1722" w:name="_Toc13096"/>
      <w:bookmarkStart w:id="1723" w:name="_Toc31351"/>
      <w:bookmarkStart w:id="1724" w:name="_Toc9189"/>
      <w:bookmarkStart w:id="1725" w:name="_Toc25444"/>
      <w:bookmarkStart w:id="1726" w:name="_Toc6169"/>
      <w:bookmarkStart w:id="1727" w:name="_Toc3101"/>
      <w:bookmarkStart w:id="1728" w:name="_Toc30990"/>
      <w:bookmarkStart w:id="1729" w:name="_Toc9989"/>
      <w:bookmarkStart w:id="1730" w:name="_Toc32564"/>
      <w:bookmarkStart w:id="1731" w:name="_Toc6532"/>
      <w:bookmarkStart w:id="1732" w:name="_Toc29802"/>
      <w:bookmarkStart w:id="1733" w:name="_Toc16149"/>
      <w:bookmarkStart w:id="1734" w:name="_Toc5567"/>
      <w:bookmarkStart w:id="1735" w:name="_Toc18460"/>
      <w:bookmarkStart w:id="1736" w:name="_Toc29070"/>
    </w:p>
    <w:p w14:paraId="0B645B24">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宋体" w:hAnsi="宋体" w:eastAsia="宋体" w:cs="宋体"/>
          <w:color w:val="auto"/>
          <w:sz w:val="22"/>
          <w:szCs w:val="22"/>
          <w:lang w:val="en-US" w:eastAsia="zh-CN"/>
        </w:rPr>
      </w:pPr>
      <w:bookmarkStart w:id="1737" w:name="_Toc10936"/>
      <w:bookmarkStart w:id="1738" w:name="_Toc8646"/>
      <w:bookmarkStart w:id="1739" w:name="_Toc21834"/>
      <w:r>
        <w:rPr>
          <w:rFonts w:hint="eastAsia" w:ascii="宋体" w:hAnsi="宋体" w:eastAsia="宋体" w:cs="宋体"/>
          <w:b/>
          <w:bCs/>
          <w:color w:val="auto"/>
          <w:sz w:val="28"/>
          <w:szCs w:val="28"/>
          <w:lang w:val="en-US" w:eastAsia="zh-CN"/>
        </w:rPr>
        <w:t>中小企业声明函（货物）</w:t>
      </w:r>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14:paraId="7EB9DE0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本公司（联合体）郑重声明，根据《政府采购促进中小企业发展管理办法》（财库〔2020〕46号）的规定，本公司（联合体）参加</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u w:val="none"/>
          <w:lang w:val="en-US" w:eastAsia="zh-CN"/>
        </w:rPr>
        <w:t>（单位名称）的</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u w:val="none"/>
          <w:lang w:val="en-US" w:eastAsia="zh-CN"/>
        </w:rPr>
        <w:t>（项目名称）</w:t>
      </w:r>
      <w:r>
        <w:rPr>
          <w:rFonts w:hint="eastAsia" w:ascii="宋体" w:hAnsi="宋体" w:eastAsia="宋体" w:cs="宋体"/>
          <w:i w:val="0"/>
          <w:iCs w:val="0"/>
          <w:color w:val="auto"/>
          <w:sz w:val="24"/>
          <w:szCs w:val="24"/>
          <w:lang w:val="en-US" w:eastAsia="zh-CN"/>
        </w:rPr>
        <w:t>采购活动，货物全部由符合政策要求的中小企业承接。相关企业（含联合体中的中小企业、签订分包意向协议的中小企业）的具体情况如下：</w:t>
      </w:r>
    </w:p>
    <w:p w14:paraId="79FE4B6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1.（</w:t>
      </w:r>
      <w:r>
        <w:rPr>
          <w:rFonts w:hint="eastAsia" w:ascii="宋体" w:hAnsi="宋体" w:eastAsia="宋体" w:cs="宋体"/>
          <w:i/>
          <w:iCs/>
          <w:color w:val="auto"/>
          <w:sz w:val="24"/>
          <w:szCs w:val="24"/>
          <w:u w:val="single"/>
          <w:lang w:val="en-US" w:eastAsia="zh-CN"/>
        </w:rPr>
        <w:t>标的名称</w:t>
      </w:r>
      <w:r>
        <w:rPr>
          <w:rFonts w:hint="eastAsia" w:ascii="宋体" w:hAnsi="宋体" w:eastAsia="宋体" w:cs="宋体"/>
          <w:i w:val="0"/>
          <w:iCs w:val="0"/>
          <w:color w:val="auto"/>
          <w:sz w:val="24"/>
          <w:szCs w:val="24"/>
          <w:lang w:val="en-US" w:eastAsia="zh-CN"/>
        </w:rPr>
        <w:t>），属于（</w:t>
      </w:r>
      <w:r>
        <w:rPr>
          <w:rFonts w:hint="eastAsia" w:ascii="宋体" w:hAnsi="宋体" w:eastAsia="宋体" w:cs="宋体"/>
          <w:i/>
          <w:iCs/>
          <w:color w:val="auto"/>
          <w:sz w:val="24"/>
          <w:szCs w:val="24"/>
          <w:u w:val="single"/>
          <w:lang w:val="en-US" w:eastAsia="zh-CN"/>
        </w:rPr>
        <w:t>采购文件中明确的所属行业</w:t>
      </w:r>
      <w:r>
        <w:rPr>
          <w:rFonts w:hint="eastAsia" w:ascii="宋体" w:hAnsi="宋体" w:eastAsia="宋体" w:cs="宋体"/>
          <w:i w:val="0"/>
          <w:iCs w:val="0"/>
          <w:color w:val="auto"/>
          <w:sz w:val="24"/>
          <w:szCs w:val="24"/>
          <w:lang w:val="en-US" w:eastAsia="zh-CN"/>
        </w:rPr>
        <w:t>）；制造商为（</w:t>
      </w:r>
      <w:r>
        <w:rPr>
          <w:rFonts w:hint="eastAsia" w:ascii="宋体" w:hAnsi="宋体" w:eastAsia="宋体" w:cs="宋体"/>
          <w:i/>
          <w:iCs/>
          <w:color w:val="auto"/>
          <w:sz w:val="24"/>
          <w:szCs w:val="24"/>
          <w:u w:val="single"/>
          <w:lang w:val="en-US" w:eastAsia="zh-CN"/>
        </w:rPr>
        <w:t>企业名称</w:t>
      </w:r>
      <w:r>
        <w:rPr>
          <w:rFonts w:hint="eastAsia" w:ascii="宋体" w:hAnsi="宋体" w:eastAsia="宋体" w:cs="宋体"/>
          <w:i w:val="0"/>
          <w:iCs w:val="0"/>
          <w:color w:val="auto"/>
          <w:sz w:val="24"/>
          <w:szCs w:val="24"/>
          <w:lang w:val="en-US" w:eastAsia="zh-CN"/>
        </w:rPr>
        <w:t>），从业人员</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人，营业收入为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万元，资产总额为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万元，属于</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w:t>
      </w:r>
      <w:r>
        <w:rPr>
          <w:rFonts w:hint="eastAsia" w:ascii="宋体" w:hAnsi="宋体" w:eastAsia="宋体" w:cs="宋体"/>
          <w:i/>
          <w:iCs/>
          <w:color w:val="auto"/>
          <w:sz w:val="24"/>
          <w:szCs w:val="24"/>
          <w:lang w:val="en-US" w:eastAsia="zh-CN"/>
        </w:rPr>
        <w:t>中型企业、小型企业、微型企业</w:t>
      </w:r>
      <w:r>
        <w:rPr>
          <w:rFonts w:hint="eastAsia" w:ascii="宋体" w:hAnsi="宋体" w:eastAsia="宋体" w:cs="宋体"/>
          <w:i w:val="0"/>
          <w:iCs w:val="0"/>
          <w:color w:val="auto"/>
          <w:sz w:val="24"/>
          <w:szCs w:val="24"/>
          <w:lang w:val="en-US" w:eastAsia="zh-CN"/>
        </w:rPr>
        <w:t>）；</w:t>
      </w:r>
    </w:p>
    <w:p w14:paraId="224D2B5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2.（</w:t>
      </w:r>
      <w:r>
        <w:rPr>
          <w:rFonts w:hint="eastAsia" w:ascii="宋体" w:hAnsi="宋体" w:eastAsia="宋体" w:cs="宋体"/>
          <w:i/>
          <w:iCs/>
          <w:color w:val="auto"/>
          <w:sz w:val="24"/>
          <w:szCs w:val="24"/>
          <w:u w:val="single"/>
          <w:lang w:val="en-US" w:eastAsia="zh-CN"/>
        </w:rPr>
        <w:t>标的名称</w:t>
      </w:r>
      <w:r>
        <w:rPr>
          <w:rFonts w:hint="eastAsia" w:ascii="宋体" w:hAnsi="宋体" w:eastAsia="宋体" w:cs="宋体"/>
          <w:i w:val="0"/>
          <w:iCs w:val="0"/>
          <w:color w:val="auto"/>
          <w:sz w:val="24"/>
          <w:szCs w:val="24"/>
          <w:lang w:val="en-US" w:eastAsia="zh-CN"/>
        </w:rPr>
        <w:t>），属于（</w:t>
      </w:r>
      <w:r>
        <w:rPr>
          <w:rFonts w:hint="eastAsia" w:ascii="宋体" w:hAnsi="宋体" w:eastAsia="宋体" w:cs="宋体"/>
          <w:i/>
          <w:iCs/>
          <w:color w:val="auto"/>
          <w:sz w:val="24"/>
          <w:szCs w:val="24"/>
          <w:u w:val="single"/>
          <w:lang w:val="en-US" w:eastAsia="zh-CN"/>
        </w:rPr>
        <w:t>采购文件中明确的所属行业</w:t>
      </w:r>
      <w:r>
        <w:rPr>
          <w:rFonts w:hint="eastAsia" w:ascii="宋体" w:hAnsi="宋体" w:eastAsia="宋体" w:cs="宋体"/>
          <w:i w:val="0"/>
          <w:iCs w:val="0"/>
          <w:color w:val="auto"/>
          <w:sz w:val="24"/>
          <w:szCs w:val="24"/>
          <w:lang w:val="en-US" w:eastAsia="zh-CN"/>
        </w:rPr>
        <w:t>）；制造商为（</w:t>
      </w:r>
      <w:r>
        <w:rPr>
          <w:rFonts w:hint="eastAsia" w:ascii="宋体" w:hAnsi="宋体" w:eastAsia="宋体" w:cs="宋体"/>
          <w:i/>
          <w:iCs/>
          <w:color w:val="auto"/>
          <w:sz w:val="24"/>
          <w:szCs w:val="24"/>
          <w:u w:val="single"/>
          <w:lang w:val="en-US" w:eastAsia="zh-CN"/>
        </w:rPr>
        <w:t>企业名称</w:t>
      </w:r>
      <w:r>
        <w:rPr>
          <w:rFonts w:hint="eastAsia" w:ascii="宋体" w:hAnsi="宋体" w:eastAsia="宋体" w:cs="宋体"/>
          <w:i w:val="0"/>
          <w:iCs w:val="0"/>
          <w:color w:val="auto"/>
          <w:sz w:val="24"/>
          <w:szCs w:val="24"/>
          <w:lang w:val="en-US" w:eastAsia="zh-CN"/>
        </w:rPr>
        <w:t>），从业人员</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人，营业收入为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万元，资产总额为</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万元，属于</w:t>
      </w:r>
      <w:r>
        <w:rPr>
          <w:rFonts w:hint="eastAsia" w:ascii="宋体" w:hAnsi="宋体" w:eastAsia="宋体" w:cs="宋体"/>
          <w:i w:val="0"/>
          <w:iCs w:val="0"/>
          <w:color w:val="auto"/>
          <w:sz w:val="24"/>
          <w:szCs w:val="24"/>
          <w:u w:val="single"/>
          <w:lang w:val="en-US" w:eastAsia="zh-CN"/>
        </w:rPr>
        <w:t xml:space="preserve">         </w:t>
      </w:r>
      <w:r>
        <w:rPr>
          <w:rFonts w:hint="eastAsia" w:ascii="宋体" w:hAnsi="宋体" w:eastAsia="宋体" w:cs="宋体"/>
          <w:i w:val="0"/>
          <w:iCs w:val="0"/>
          <w:color w:val="auto"/>
          <w:sz w:val="24"/>
          <w:szCs w:val="24"/>
          <w:lang w:val="en-US" w:eastAsia="zh-CN"/>
        </w:rPr>
        <w:t>（</w:t>
      </w:r>
      <w:r>
        <w:rPr>
          <w:rFonts w:hint="eastAsia" w:ascii="宋体" w:hAnsi="宋体" w:eastAsia="宋体" w:cs="宋体"/>
          <w:i/>
          <w:iCs/>
          <w:color w:val="auto"/>
          <w:sz w:val="24"/>
          <w:szCs w:val="24"/>
          <w:lang w:val="en-US" w:eastAsia="zh-CN"/>
        </w:rPr>
        <w:t>中型企业、小型企业、微型企业</w:t>
      </w:r>
      <w:r>
        <w:rPr>
          <w:rFonts w:hint="eastAsia" w:ascii="宋体" w:hAnsi="宋体" w:eastAsia="宋体" w:cs="宋体"/>
          <w:i w:val="0"/>
          <w:iCs w:val="0"/>
          <w:color w:val="auto"/>
          <w:sz w:val="24"/>
          <w:szCs w:val="24"/>
          <w:lang w:val="en-US" w:eastAsia="zh-CN"/>
        </w:rPr>
        <w:t>）；</w:t>
      </w:r>
    </w:p>
    <w:p w14:paraId="0588C09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w:t>
      </w:r>
    </w:p>
    <w:p w14:paraId="28548F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以上企业，不属于大企业的分支机构，不存在控股股东为大企业的情形，也不存在与大企业的负责人为同一人的情形。</w:t>
      </w:r>
    </w:p>
    <w:p w14:paraId="7FE0EA1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本企业对上述声明内容的真实性负责。如有虚假，将依法承担相应责任。</w:t>
      </w:r>
    </w:p>
    <w:p w14:paraId="5CAA803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104118E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1"/>
          <w:szCs w:val="21"/>
          <w:lang w:val="en-US" w:eastAsia="zh-CN" w:bidi="ar-SA"/>
        </w:rPr>
      </w:pPr>
    </w:p>
    <w:p w14:paraId="6CCB37F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725B8F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CC0DC2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32A70C4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41ACEA2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2F61EB8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1953518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（盖章）</w:t>
      </w:r>
    </w:p>
    <w:p w14:paraId="178BF2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4D6A8A3">
      <w:pPr>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sz w:val="24"/>
          <w:szCs w:val="24"/>
          <w:lang w:val="en-US" w:eastAsia="zh-CN" w:bidi="ar-SA"/>
        </w:rPr>
      </w:pPr>
    </w:p>
    <w:p w14:paraId="39051EFA">
      <w:pPr>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bidi="ar-SA"/>
        </w:rPr>
      </w:pPr>
    </w:p>
    <w:p w14:paraId="21ECE1BB">
      <w:pPr>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bidi="ar-SA"/>
        </w:rPr>
      </w:pPr>
    </w:p>
    <w:p w14:paraId="59345FD5">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27D57CF3">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020DC74D">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3694D2A4">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3A01F49A">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3B2DF3AF">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en-US" w:eastAsia="zh-CN" w:bidi="ar-SA"/>
        </w:rPr>
      </w:pPr>
    </w:p>
    <w:p w14:paraId="6C7A4943">
      <w:pPr>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宋体" w:hAnsi="宋体" w:eastAsia="宋体" w:cs="宋体"/>
          <w:b/>
          <w:bCs/>
          <w:color w:val="auto"/>
          <w:sz w:val="21"/>
          <w:szCs w:val="21"/>
          <w:lang w:val="zh-CN" w:eastAsia="en-US" w:bidi="ar-SA"/>
        </w:rPr>
      </w:pPr>
      <w:r>
        <w:rPr>
          <w:rFonts w:hint="eastAsia" w:ascii="宋体" w:hAnsi="宋体" w:eastAsia="宋体" w:cs="宋体"/>
          <w:b/>
          <w:bCs/>
          <w:color w:val="auto"/>
          <w:sz w:val="21"/>
          <w:szCs w:val="21"/>
          <w:lang w:val="en-US" w:eastAsia="zh-CN" w:bidi="ar-SA"/>
        </w:rPr>
        <w:t>注：从业人员、营业收入、资产总额填报上一年度数据，无上一年度数据的新成立企业可不填报。</w:t>
      </w:r>
    </w:p>
    <w:p w14:paraId="4EEC1CDA">
      <w:pPr>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宋体" w:hAnsi="宋体" w:eastAsia="宋体" w:cs="宋体"/>
          <w:bCs w:val="0"/>
          <w:color w:val="auto"/>
          <w:sz w:val="30"/>
          <w:szCs w:val="30"/>
          <w:lang w:val="zh-CN"/>
        </w:rPr>
        <w:sectPr>
          <w:pgSz w:w="11906" w:h="16838"/>
          <w:pgMar w:top="1134" w:right="1134" w:bottom="1134" w:left="1134" w:header="720" w:footer="720" w:gutter="0"/>
          <w:pgNumType w:fmt="decimal"/>
          <w:cols w:space="720" w:num="1"/>
          <w:rtlGutter w:val="0"/>
        </w:sectPr>
      </w:pPr>
      <w:bookmarkStart w:id="1740" w:name="_Toc13592"/>
      <w:bookmarkStart w:id="1741" w:name="_Toc1572"/>
      <w:bookmarkStart w:id="1742" w:name="_Toc991"/>
      <w:bookmarkStart w:id="1743" w:name="_Toc18540"/>
      <w:bookmarkStart w:id="1744" w:name="_Toc4282"/>
      <w:bookmarkStart w:id="1745" w:name="_Toc31050"/>
      <w:bookmarkStart w:id="1746" w:name="_Toc515908228"/>
      <w:bookmarkStart w:id="1747" w:name="_Toc19525"/>
      <w:bookmarkStart w:id="1748" w:name="_Toc5927"/>
    </w:p>
    <w:p w14:paraId="6B47DED6">
      <w:pPr>
        <w:keepNext w:val="0"/>
        <w:keepLines w:val="0"/>
        <w:pageBreakBefore w:val="0"/>
        <w:widowControl w:val="0"/>
        <w:suppressLineNumbers w:val="0"/>
        <w:kinsoku/>
        <w:wordWrap w:val="0"/>
        <w:overflowPunct/>
        <w:topLinePunct/>
        <w:autoSpaceDE/>
        <w:autoSpaceDN/>
        <w:bidi w:val="0"/>
        <w:adjustRightInd/>
        <w:snapToGrid/>
        <w:ind w:left="0" w:leftChars="0" w:right="0"/>
        <w:jc w:val="center"/>
        <w:rPr>
          <w:rFonts w:hint="eastAsia" w:ascii="宋体" w:hAnsi="宋体" w:eastAsia="宋体" w:cs="宋体"/>
          <w:color w:val="auto"/>
          <w:sz w:val="21"/>
          <w:szCs w:val="21"/>
        </w:rPr>
      </w:pPr>
      <w:bookmarkStart w:id="1749" w:name="_Toc24407"/>
      <w:bookmarkStart w:id="1750" w:name="_Toc23027"/>
      <w:bookmarkStart w:id="1751" w:name="_Toc27655"/>
      <w:bookmarkStart w:id="1752" w:name="_Toc12660"/>
      <w:bookmarkStart w:id="1753" w:name="_Toc3522"/>
      <w:bookmarkStart w:id="1754" w:name="_Toc8964"/>
      <w:bookmarkStart w:id="1755" w:name="_Toc31247"/>
      <w:bookmarkStart w:id="1756" w:name="_Toc30821"/>
      <w:bookmarkStart w:id="1757" w:name="_Toc13642"/>
      <w:bookmarkStart w:id="1758" w:name="_Toc31390"/>
      <w:bookmarkStart w:id="1759" w:name="_Toc8038"/>
      <w:bookmarkStart w:id="1760" w:name="_Toc12749"/>
      <w:bookmarkStart w:id="1761" w:name="_Toc28166"/>
      <w:bookmarkStart w:id="1762" w:name="_Toc3944"/>
      <w:bookmarkStart w:id="1763" w:name="_Toc12525"/>
      <w:bookmarkStart w:id="1764" w:name="_Toc23749"/>
      <w:bookmarkStart w:id="1765" w:name="_Toc17945"/>
      <w:bookmarkStart w:id="1766" w:name="_Toc12561"/>
      <w:bookmarkStart w:id="1767" w:name="_Toc30489"/>
      <w:r>
        <w:rPr>
          <w:rFonts w:hint="eastAsia" w:ascii="宋体" w:hAnsi="宋体" w:eastAsia="宋体" w:cs="宋体"/>
          <w:b/>
          <w:bCs/>
          <w:color w:val="auto"/>
          <w:kern w:val="0"/>
          <w:sz w:val="28"/>
          <w:szCs w:val="28"/>
          <w:lang w:val="en-US" w:eastAsia="zh-CN" w:bidi="ar"/>
        </w:rPr>
        <w:t>中小企业声明函（工程、服务）</w:t>
      </w:r>
    </w:p>
    <w:p w14:paraId="058ADB42">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color w:val="auto"/>
          <w:kern w:val="0"/>
          <w:sz w:val="24"/>
          <w:szCs w:val="24"/>
          <w:lang w:val="en-US" w:eastAsia="zh-CN" w:bidi="ar"/>
        </w:rPr>
      </w:pPr>
    </w:p>
    <w:p w14:paraId="5987BD0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（单位名称）的</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w:t>
      </w:r>
      <w:r>
        <w:rPr>
          <w:rFonts w:hint="eastAsia" w:ascii="宋体" w:hAnsi="宋体" w:eastAsia="宋体" w:cs="宋体"/>
          <w:i/>
          <w:iCs/>
          <w:color w:val="auto"/>
          <w:kern w:val="0"/>
          <w:sz w:val="24"/>
          <w:szCs w:val="24"/>
          <w:lang w:val="en-US" w:eastAsia="zh-CN" w:bidi="ar"/>
        </w:rPr>
        <w:t>项目名称</w:t>
      </w:r>
      <w:r>
        <w:rPr>
          <w:rFonts w:hint="eastAsia" w:ascii="宋体" w:hAnsi="宋体" w:eastAsia="宋体" w:cs="宋体"/>
          <w:i w:val="0"/>
          <w:iCs w:val="0"/>
          <w:color w:val="auto"/>
          <w:kern w:val="0"/>
          <w:sz w:val="24"/>
          <w:szCs w:val="24"/>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609A5BF6">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1.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中型企业、小型企业、微型企业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 xml:space="preserve">； </w:t>
      </w:r>
    </w:p>
    <w:p w14:paraId="4D4E012F">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2. </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，属于</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iCs/>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u w:val="single"/>
          <w:lang w:val="en-US" w:eastAsia="zh-CN" w:bidi="ar"/>
        </w:rPr>
        <w:t>）</w:t>
      </w:r>
      <w:r>
        <w:rPr>
          <w:rFonts w:hint="eastAsia" w:ascii="宋体" w:hAnsi="宋体" w:eastAsia="宋体" w:cs="宋体"/>
          <w:i w:val="0"/>
          <w:iCs w:val="0"/>
          <w:color w:val="auto"/>
          <w:kern w:val="0"/>
          <w:sz w:val="24"/>
          <w:szCs w:val="24"/>
          <w:lang w:val="en-US" w:eastAsia="zh-CN" w:bidi="ar"/>
        </w:rPr>
        <w:t>，从业人员人，营业收入为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iCs/>
          <w:color w:val="auto"/>
          <w:kern w:val="0"/>
          <w:sz w:val="24"/>
          <w:szCs w:val="24"/>
          <w:lang w:val="en-US" w:eastAsia="zh-CN" w:bidi="ar"/>
        </w:rPr>
        <w:t>中型企业、小型企业、微型企业</w:t>
      </w:r>
      <w:r>
        <w:rPr>
          <w:rFonts w:hint="eastAsia" w:ascii="宋体" w:hAnsi="宋体" w:eastAsia="宋体" w:cs="宋体"/>
          <w:i w:val="0"/>
          <w:iCs w:val="0"/>
          <w:color w:val="auto"/>
          <w:kern w:val="0"/>
          <w:sz w:val="24"/>
          <w:szCs w:val="24"/>
          <w:lang w:val="en-US" w:eastAsia="zh-CN" w:bidi="ar"/>
        </w:rPr>
        <w:t xml:space="preserve">）； </w:t>
      </w:r>
    </w:p>
    <w:p w14:paraId="08D00BB4">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 </w:t>
      </w:r>
    </w:p>
    <w:p w14:paraId="1B7B90BD">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以上企业，不属于大企业的分支机构，不存在控股股东为大企业的情形，也不存在与大企业的负责人为同一人的情形。 </w:t>
      </w:r>
    </w:p>
    <w:p w14:paraId="18D67EE8">
      <w:pPr>
        <w:keepNext w:val="0"/>
        <w:keepLines w:val="0"/>
        <w:pageBreakBefore w:val="0"/>
        <w:widowControl w:val="0"/>
        <w:suppressLineNumbers w:val="0"/>
        <w:kinsoku/>
        <w:wordWrap w:val="0"/>
        <w:overflowPunct/>
        <w:topLinePunct/>
        <w:autoSpaceDE/>
        <w:autoSpaceDN/>
        <w:bidi w:val="0"/>
        <w:adjustRightInd/>
        <w:snapToGrid/>
        <w:spacing w:line="360" w:lineRule="auto"/>
        <w:ind w:left="0" w:leftChars="0" w:right="0" w:firstLine="480" w:firstLineChars="200"/>
        <w:jc w:val="left"/>
        <w:rPr>
          <w:rFonts w:hint="eastAsia" w:ascii="宋体" w:hAnsi="宋体" w:eastAsia="宋体" w:cs="宋体"/>
          <w:i w:val="0"/>
          <w:iCs w:val="0"/>
          <w:color w:val="auto"/>
        </w:rPr>
      </w:pPr>
      <w:r>
        <w:rPr>
          <w:rFonts w:hint="eastAsia" w:ascii="宋体" w:hAnsi="宋体" w:eastAsia="宋体" w:cs="宋体"/>
          <w:i w:val="0"/>
          <w:iCs w:val="0"/>
          <w:color w:val="auto"/>
          <w:kern w:val="0"/>
          <w:sz w:val="24"/>
          <w:szCs w:val="24"/>
          <w:lang w:val="en-US" w:eastAsia="zh-CN" w:bidi="ar"/>
        </w:rPr>
        <w:t>本企业对上述声明内容的真实性负责。如有虚假，将依法承担相应责任</w:t>
      </w:r>
      <w:r>
        <w:rPr>
          <w:rFonts w:hint="eastAsia" w:ascii="宋体" w:hAnsi="宋体" w:eastAsia="宋体" w:cs="宋体"/>
          <w:i w:val="0"/>
          <w:iCs w:val="0"/>
          <w:color w:val="auto"/>
          <w:kern w:val="0"/>
          <w:sz w:val="31"/>
          <w:szCs w:val="31"/>
          <w:lang w:val="en-US" w:eastAsia="zh-CN" w:bidi="ar"/>
        </w:rPr>
        <w:t xml:space="preserve">。 </w:t>
      </w:r>
    </w:p>
    <w:p w14:paraId="0BD65AB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172159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3AEB2B9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2411EC2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C8D162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EF25BA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029685A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682EF73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（盖章）</w:t>
      </w:r>
    </w:p>
    <w:p w14:paraId="3A8870A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17D7F65E">
      <w:pPr>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宋体" w:hAnsi="宋体" w:eastAsia="宋体" w:cs="宋体"/>
          <w:color w:val="auto"/>
          <w:sz w:val="24"/>
          <w:szCs w:val="24"/>
          <w:lang w:val="en-US" w:eastAsia="zh-CN" w:bidi="ar-SA"/>
        </w:rPr>
      </w:pPr>
    </w:p>
    <w:p w14:paraId="5088A45E">
      <w:pPr>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bidi="ar-SA"/>
        </w:rPr>
      </w:pPr>
    </w:p>
    <w:p w14:paraId="57867947">
      <w:pPr>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宋体" w:hAnsi="宋体" w:eastAsia="宋体" w:cs="宋体"/>
          <w:color w:val="auto"/>
          <w:sz w:val="21"/>
          <w:szCs w:val="21"/>
          <w:lang w:val="en-US" w:eastAsia="zh-CN" w:bidi="ar-SA"/>
        </w:rPr>
      </w:pPr>
    </w:p>
    <w:p w14:paraId="543BEF23">
      <w:pPr>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textAlignment w:val="baseline"/>
        <w:outlineLvl w:val="1"/>
        <w:rPr>
          <w:rFonts w:hint="eastAsia" w:ascii="宋体" w:hAnsi="宋体" w:eastAsia="宋体" w:cs="宋体"/>
          <w:b/>
          <w:bCs/>
          <w:color w:val="auto"/>
          <w:sz w:val="21"/>
          <w:szCs w:val="21"/>
          <w:lang w:val="en-US" w:eastAsia="zh-CN" w:bidi="ar-SA"/>
        </w:rPr>
      </w:pPr>
      <w:bookmarkStart w:id="1768" w:name="_Toc32609"/>
      <w:bookmarkStart w:id="1769" w:name="_Toc23496"/>
      <w:bookmarkStart w:id="1770" w:name="_Toc17693"/>
    </w:p>
    <w:p w14:paraId="11AC78D2">
      <w:pPr>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left"/>
        <w:outlineLvl w:val="1"/>
        <w:rPr>
          <w:rFonts w:hint="eastAsia" w:ascii="宋体" w:hAnsi="宋体" w:eastAsia="宋体" w:cs="宋体"/>
          <w:bCs w:val="0"/>
          <w:color w:val="auto"/>
          <w:sz w:val="30"/>
          <w:szCs w:val="30"/>
          <w:lang w:val="zh-CN"/>
        </w:rPr>
        <w:sectPr>
          <w:pgSz w:w="11906" w:h="16838"/>
          <w:pgMar w:top="1134" w:right="1134" w:bottom="1134" w:left="1134" w:header="720" w:footer="720" w:gutter="0"/>
          <w:pgNumType w:fmt="decimal"/>
          <w:cols w:space="720" w:num="1"/>
          <w:rtlGutter w:val="0"/>
        </w:sectPr>
      </w:pPr>
      <w:bookmarkStart w:id="1771" w:name="_Toc17197"/>
      <w:r>
        <w:rPr>
          <w:rFonts w:hint="eastAsia" w:ascii="宋体" w:hAnsi="宋体" w:eastAsia="宋体" w:cs="宋体"/>
          <w:b/>
          <w:bCs/>
          <w:color w:val="auto"/>
          <w:sz w:val="21"/>
          <w:szCs w:val="21"/>
          <w:lang w:val="en-US" w:eastAsia="zh-CN" w:bidi="ar-SA"/>
        </w:rPr>
        <w:t>注：从业人员、营业收入、资产总额填报上一年度数据，无上一年度数据的新成立企业可不填报。</w:t>
      </w:r>
      <w:bookmarkEnd w:id="1768"/>
      <w:bookmarkEnd w:id="1769"/>
      <w:bookmarkEnd w:id="1770"/>
      <w:bookmarkEnd w:id="1771"/>
    </w:p>
    <w:p w14:paraId="5108F22A">
      <w:pPr>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textAlignment w:val="baseline"/>
        <w:outlineLvl w:val="1"/>
        <w:rPr>
          <w:rFonts w:hint="eastAsia" w:ascii="宋体" w:hAnsi="宋体" w:eastAsia="宋体" w:cs="宋体"/>
          <w:b w:val="0"/>
          <w:bCs/>
          <w:color w:val="auto"/>
          <w:sz w:val="30"/>
          <w:szCs w:val="30"/>
          <w:lang w:val="en-US" w:eastAsia="zh-CN" w:bidi="ar-SA"/>
        </w:rPr>
      </w:pPr>
      <w:bookmarkStart w:id="1772" w:name="_Toc32735"/>
      <w:bookmarkStart w:id="1773" w:name="_Toc25597"/>
      <w:bookmarkStart w:id="1774" w:name="_Toc3342"/>
      <w:r>
        <w:rPr>
          <w:rFonts w:hint="eastAsia" w:ascii="宋体" w:hAnsi="宋体" w:eastAsia="宋体" w:cs="宋体"/>
          <w:b/>
          <w:bCs w:val="0"/>
          <w:color w:val="auto"/>
          <w:sz w:val="28"/>
          <w:szCs w:val="28"/>
          <w:lang w:val="zh-CN" w:eastAsia="zh-CN" w:bidi="ar-SA"/>
        </w:rPr>
        <w:t>残疾人</w:t>
      </w:r>
      <w:r>
        <w:rPr>
          <w:rFonts w:hint="eastAsia" w:ascii="宋体" w:hAnsi="宋体" w:eastAsia="宋体" w:cs="宋体"/>
          <w:b/>
          <w:bCs w:val="0"/>
          <w:color w:val="auto"/>
          <w:sz w:val="28"/>
          <w:szCs w:val="28"/>
          <w:lang w:val="en-US" w:eastAsia="zh-CN" w:bidi="ar-SA"/>
        </w:rPr>
        <w:t>福利性单位声明函</w:t>
      </w:r>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72"/>
      <w:bookmarkEnd w:id="1773"/>
      <w:bookmarkEnd w:id="1774"/>
    </w:p>
    <w:p w14:paraId="17643EAE">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宋体" w:hAnsi="宋体" w:eastAsia="宋体" w:cs="宋体"/>
          <w:color w:val="auto"/>
          <w:sz w:val="24"/>
        </w:rPr>
      </w:pPr>
    </w:p>
    <w:p w14:paraId="6E64D68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人，安置的残疾人人数</w:t>
      </w:r>
      <w:r>
        <w:rPr>
          <w:rFonts w:hint="eastAsia" w:ascii="宋体" w:hAnsi="宋体" w:eastAsia="宋体" w:cs="宋体"/>
          <w:color w:val="auto"/>
          <w:sz w:val="24"/>
          <w:u w:val="single"/>
        </w:rPr>
        <w:t xml:space="preserve">      </w:t>
      </w:r>
      <w:r>
        <w:rPr>
          <w:rFonts w:hint="eastAsia" w:ascii="宋体" w:hAnsi="宋体" w:eastAsia="宋体" w:cs="宋体"/>
          <w:color w:val="auto"/>
          <w:sz w:val="24"/>
        </w:rPr>
        <w:t>人。且本单位参加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0729CB4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30FA73C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宋体" w:hAnsi="宋体" w:eastAsia="宋体" w:cs="宋体"/>
          <w:color w:val="auto"/>
          <w:sz w:val="24"/>
        </w:rPr>
      </w:pPr>
    </w:p>
    <w:p w14:paraId="69917D9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rPr>
      </w:pPr>
      <w:r>
        <w:rPr>
          <w:rFonts w:hint="eastAsia" w:ascii="宋体" w:hAnsi="宋体" w:eastAsia="宋体" w:cs="宋体"/>
          <w:color w:val="auto"/>
          <w:sz w:val="24"/>
        </w:rPr>
        <w:t>注：若无此项内容，可不</w:t>
      </w:r>
      <w:r>
        <w:rPr>
          <w:rFonts w:hint="eastAsia" w:ascii="宋体" w:hAnsi="宋体" w:eastAsia="宋体" w:cs="宋体"/>
          <w:color w:val="auto"/>
          <w:sz w:val="24"/>
          <w:lang w:eastAsia="zh-CN"/>
        </w:rPr>
        <w:t>填写</w:t>
      </w:r>
      <w:r>
        <w:rPr>
          <w:rFonts w:hint="eastAsia" w:ascii="宋体" w:hAnsi="宋体" w:eastAsia="宋体" w:cs="宋体"/>
          <w:color w:val="auto"/>
          <w:sz w:val="24"/>
        </w:rPr>
        <w:t>此函。</w:t>
      </w:r>
    </w:p>
    <w:p w14:paraId="14B68F09">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66F72F28">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74FBB50A">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03AFCD0E">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407EC2D4">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宋体" w:hAnsi="宋体" w:eastAsia="宋体" w:cs="宋体"/>
          <w:color w:val="auto"/>
          <w:kern w:val="0"/>
          <w:sz w:val="24"/>
          <w:lang w:val="zh-CN"/>
        </w:rPr>
      </w:pPr>
    </w:p>
    <w:p w14:paraId="503B73BF">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F71114A">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A6F62A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085EA3A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1F6DEE9">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8AB90AB">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520E7EA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29F83E58">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4EE4B06B">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p>
    <w:p w14:paraId="72856B74">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供应商：</w:t>
      </w:r>
      <w:r>
        <w:rPr>
          <w:rFonts w:hint="eastAsia" w:ascii="宋体" w:hAnsi="宋体" w:eastAsia="宋体" w:cs="宋体"/>
          <w:color w:val="auto"/>
          <w:kern w:val="0"/>
          <w:sz w:val="24"/>
          <w:u w:val="single"/>
          <w:lang w:val="zh-CN"/>
        </w:rPr>
        <w:t xml:space="preserve">             </w:t>
      </w:r>
      <w:r>
        <w:rPr>
          <w:rFonts w:hint="eastAsia" w:ascii="宋体" w:hAnsi="宋体" w:eastAsia="宋体" w:cs="宋体"/>
          <w:color w:val="auto"/>
          <w:kern w:val="0"/>
          <w:sz w:val="24"/>
          <w:u w:val="single"/>
          <w:lang w:val="en-US" w:eastAsia="zh-CN"/>
        </w:rPr>
        <w:t xml:space="preserve">            </w:t>
      </w:r>
      <w:r>
        <w:rPr>
          <w:rFonts w:hint="eastAsia" w:ascii="宋体" w:hAnsi="宋体" w:eastAsia="宋体" w:cs="宋体"/>
          <w:color w:val="auto"/>
          <w:kern w:val="0"/>
          <w:sz w:val="24"/>
          <w:lang w:val="zh-CN"/>
        </w:rPr>
        <w:t>（</w:t>
      </w:r>
      <w:r>
        <w:rPr>
          <w:rFonts w:hint="eastAsia" w:ascii="宋体" w:hAnsi="宋体" w:eastAsia="宋体" w:cs="宋体"/>
          <w:color w:val="auto"/>
          <w:kern w:val="0"/>
          <w:sz w:val="24"/>
          <w:lang w:val="en-US" w:eastAsia="zh-CN"/>
        </w:rPr>
        <w:t>盖章</w:t>
      </w:r>
      <w:r>
        <w:rPr>
          <w:rFonts w:hint="eastAsia" w:ascii="宋体" w:hAnsi="宋体" w:eastAsia="宋体" w:cs="宋体"/>
          <w:color w:val="auto"/>
          <w:kern w:val="0"/>
          <w:sz w:val="24"/>
          <w:lang w:val="zh-CN"/>
        </w:rPr>
        <w:t>）</w:t>
      </w:r>
    </w:p>
    <w:p w14:paraId="5CB9BA1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pPr>
    </w:p>
    <w:p w14:paraId="0E747E6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b w:val="0"/>
          <w:bCs w:val="0"/>
          <w:color w:val="auto"/>
          <w:kern w:val="0"/>
          <w:sz w:val="24"/>
          <w:lang w:val="zh-CN"/>
        </w:rPr>
        <w:sectPr>
          <w:pgSz w:w="11906" w:h="16838"/>
          <w:pgMar w:top="1134" w:right="1134" w:bottom="1134" w:left="1134" w:header="720" w:footer="720" w:gutter="0"/>
          <w:pgNumType w:fmt="decimal"/>
          <w:cols w:space="720" w:num="1"/>
          <w:rtlGutter w:val="0"/>
        </w:sectPr>
      </w:pPr>
      <w:r>
        <w:rPr>
          <w:rFonts w:hint="eastAsia" w:ascii="宋体" w:hAnsi="宋体" w:eastAsia="宋体" w:cs="宋体"/>
          <w:b w:val="0"/>
          <w:bCs w:val="0"/>
          <w:color w:val="auto"/>
          <w:kern w:val="0"/>
          <w:sz w:val="24"/>
          <w:lang w:val="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B73BF11">
      <w:pPr>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宋体" w:hAnsi="宋体" w:eastAsia="宋体" w:cs="宋体"/>
          <w:color w:val="auto"/>
          <w:sz w:val="22"/>
          <w:szCs w:val="22"/>
          <w:lang w:val="en-US" w:eastAsia="zh-CN" w:bidi="ar-SA"/>
        </w:rPr>
      </w:pPr>
      <w:bookmarkStart w:id="1775" w:name="_Toc3658"/>
      <w:bookmarkStart w:id="1776" w:name="_Toc19429"/>
      <w:bookmarkStart w:id="1777" w:name="_Toc20260"/>
      <w:bookmarkStart w:id="1778" w:name="_Toc7575"/>
      <w:bookmarkStart w:id="1779" w:name="_Toc25936"/>
      <w:bookmarkStart w:id="1780" w:name="_Toc18227"/>
      <w:bookmarkStart w:id="1781" w:name="_Toc21829"/>
      <w:bookmarkStart w:id="1782" w:name="_Toc5961"/>
      <w:bookmarkStart w:id="1783" w:name="_Toc23316"/>
      <w:bookmarkStart w:id="1784" w:name="_Toc27539"/>
      <w:bookmarkStart w:id="1785" w:name="_Toc451"/>
      <w:bookmarkStart w:id="1786" w:name="_Toc3712"/>
      <w:bookmarkStart w:id="1787" w:name="_Toc17582"/>
      <w:bookmarkStart w:id="1788" w:name="_Toc4256"/>
      <w:bookmarkStart w:id="1789" w:name="_Toc24860"/>
      <w:bookmarkStart w:id="1790" w:name="_Toc4375"/>
      <w:bookmarkStart w:id="1791" w:name="_Toc19777"/>
      <w:bookmarkStart w:id="1792" w:name="_Toc31166"/>
      <w:bookmarkStart w:id="1793" w:name="_Toc21948"/>
      <w:bookmarkStart w:id="1794" w:name="_Toc18265"/>
      <w:bookmarkStart w:id="1795" w:name="_Toc7854"/>
      <w:bookmarkStart w:id="1796" w:name="_Toc14312"/>
      <w:bookmarkStart w:id="1797" w:name="_Toc21220"/>
      <w:bookmarkStart w:id="1798" w:name="_Toc27186"/>
      <w:bookmarkStart w:id="1799" w:name="_Toc24011"/>
      <w:bookmarkStart w:id="1800" w:name="_Toc12345"/>
      <w:bookmarkStart w:id="1801" w:name="_Toc6778"/>
      <w:bookmarkStart w:id="1802" w:name="_Toc21228"/>
      <w:bookmarkStart w:id="1803" w:name="_Toc24184"/>
      <w:r>
        <w:rPr>
          <w:rFonts w:hint="eastAsia" w:ascii="宋体" w:hAnsi="宋体" w:eastAsia="宋体" w:cs="宋体"/>
          <w:b/>
          <w:bCs/>
          <w:color w:val="auto"/>
          <w:sz w:val="28"/>
          <w:szCs w:val="28"/>
          <w:lang w:val="en-US" w:eastAsia="zh-CN" w:bidi="ar-SA"/>
        </w:rPr>
        <w:t>监狱企业声明函</w:t>
      </w:r>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p>
    <w:p w14:paraId="46CD0AF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p>
    <w:p w14:paraId="4C2EDB2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本公司郑重声明，根据《关于政府采购支持监狱企业发展有关问题的通知》（财库[2014]68 号）的规定，本公司为监狱企业。</w:t>
      </w:r>
    </w:p>
    <w:p w14:paraId="2968DD6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根据上述标准，我公司属于监狱企业的理由为：</w:t>
      </w:r>
    </w:p>
    <w:p w14:paraId="22F0479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04" w:name="_Toc17052"/>
      <w:bookmarkStart w:id="1805" w:name="_Toc9022"/>
      <w:bookmarkStart w:id="1806" w:name="_Toc28812"/>
      <w:bookmarkStart w:id="1807" w:name="_Toc28879"/>
      <w:bookmarkStart w:id="1808" w:name="_Toc21415"/>
      <w:bookmarkStart w:id="1809" w:name="_Toc20595"/>
      <w:bookmarkStart w:id="1810" w:name="_Toc26304"/>
      <w:bookmarkStart w:id="1811" w:name="_Toc5764"/>
      <w:bookmarkStart w:id="1812" w:name="_Toc4816"/>
      <w:bookmarkStart w:id="1813" w:name="_Toc24342"/>
      <w:bookmarkStart w:id="1814" w:name="_Toc22432"/>
      <w:bookmarkStart w:id="1815" w:name="_Toc2104"/>
      <w:bookmarkStart w:id="1816" w:name="_Toc13508"/>
      <w:bookmarkStart w:id="1817" w:name="_Toc139"/>
      <w:bookmarkStart w:id="1818" w:name="_Toc9210"/>
      <w:bookmarkStart w:id="1819" w:name="_Toc9956"/>
      <w:bookmarkStart w:id="1820" w:name="_Toc28"/>
      <w:bookmarkStart w:id="1821" w:name="_Toc10697"/>
      <w:bookmarkStart w:id="1822" w:name="_Toc22325"/>
      <w:bookmarkStart w:id="1823" w:name="_Toc6373"/>
      <w:bookmarkStart w:id="1824" w:name="_Toc11261"/>
      <w:bookmarkStart w:id="1825" w:name="_Toc17344"/>
      <w:bookmarkStart w:id="1826" w:name="_Toc2869"/>
      <w:bookmarkStart w:id="1827" w:name="_Toc26209"/>
      <w:bookmarkStart w:id="1828" w:name="_Toc6171"/>
      <w:bookmarkStart w:id="1829" w:name="_Toc22729"/>
      <w:bookmarkStart w:id="1830" w:name="_Toc21660"/>
      <w:bookmarkStart w:id="1831" w:name="_Toc20412"/>
      <w:bookmarkStart w:id="1832" w:name="_Toc7890"/>
      <w:bookmarkStart w:id="1833" w:name="_Toc32680"/>
      <w:bookmarkStart w:id="1834" w:name="_Toc9548"/>
      <w:bookmarkStart w:id="1835" w:name="_Toc10980"/>
      <w:bookmarkStart w:id="1836" w:name="_Toc30129"/>
      <w:bookmarkStart w:id="1837" w:name="_Toc23466"/>
      <w:bookmarkStart w:id="1838" w:name="_Toc31990"/>
      <w:r>
        <w:rPr>
          <w:rFonts w:hint="eastAsia" w:ascii="宋体" w:hAnsi="宋体" w:eastAsia="宋体" w:cs="宋体"/>
          <w:color w:val="auto"/>
          <w:sz w:val="24"/>
          <w:szCs w:val="24"/>
          <w:lang w:val="en-US" w:eastAsia="zh-CN"/>
        </w:rPr>
        <w:t>1、</w:t>
      </w:r>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p>
    <w:p w14:paraId="39F659E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39" w:name="_Toc12358"/>
      <w:bookmarkStart w:id="1840" w:name="_Toc26415"/>
      <w:bookmarkStart w:id="1841" w:name="_Toc7389"/>
      <w:bookmarkStart w:id="1842" w:name="_Toc4584"/>
      <w:bookmarkStart w:id="1843" w:name="_Toc29815"/>
      <w:bookmarkStart w:id="1844" w:name="_Toc8098"/>
      <w:bookmarkStart w:id="1845" w:name="_Toc22253"/>
      <w:bookmarkStart w:id="1846" w:name="_Toc11746"/>
      <w:bookmarkStart w:id="1847" w:name="_Toc19413"/>
      <w:bookmarkStart w:id="1848" w:name="_Toc25807"/>
      <w:bookmarkStart w:id="1849" w:name="_Toc13015"/>
      <w:bookmarkStart w:id="1850" w:name="_Toc32561"/>
      <w:bookmarkStart w:id="1851" w:name="_Toc565"/>
      <w:bookmarkStart w:id="1852" w:name="_Toc25186"/>
      <w:bookmarkStart w:id="1853" w:name="_Toc10259"/>
      <w:bookmarkStart w:id="1854" w:name="_Toc13724"/>
      <w:bookmarkStart w:id="1855" w:name="_Toc18997"/>
      <w:bookmarkStart w:id="1856" w:name="_Toc9330"/>
      <w:bookmarkStart w:id="1857" w:name="_Toc12669"/>
      <w:bookmarkStart w:id="1858" w:name="_Toc1257"/>
      <w:bookmarkStart w:id="1859" w:name="_Toc22544"/>
      <w:bookmarkStart w:id="1860" w:name="_Toc11720"/>
      <w:bookmarkStart w:id="1861" w:name="_Toc2698"/>
      <w:bookmarkStart w:id="1862" w:name="_Toc25974"/>
      <w:bookmarkStart w:id="1863" w:name="_Toc14473"/>
      <w:bookmarkStart w:id="1864" w:name="_Toc25751"/>
      <w:bookmarkStart w:id="1865" w:name="_Toc17261"/>
      <w:bookmarkStart w:id="1866" w:name="_Toc29889"/>
      <w:bookmarkStart w:id="1867" w:name="_Toc12984"/>
      <w:bookmarkStart w:id="1868" w:name="_Toc21190"/>
      <w:bookmarkStart w:id="1869" w:name="_Toc7385"/>
      <w:bookmarkStart w:id="1870" w:name="_Toc17825"/>
      <w:bookmarkStart w:id="1871" w:name="_Toc17536"/>
      <w:bookmarkStart w:id="1872" w:name="_Toc10850"/>
      <w:bookmarkStart w:id="1873" w:name="_Toc27202"/>
      <w:r>
        <w:rPr>
          <w:rFonts w:hint="eastAsia" w:ascii="宋体" w:hAnsi="宋体" w:eastAsia="宋体" w:cs="宋体"/>
          <w:color w:val="auto"/>
          <w:sz w:val="24"/>
          <w:szCs w:val="24"/>
          <w:lang w:val="en-US" w:eastAsia="zh-CN"/>
        </w:rPr>
        <w:t>2、</w:t>
      </w:r>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p>
    <w:p w14:paraId="25688B7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宋体" w:hAnsi="宋体" w:eastAsia="宋体" w:cs="宋体"/>
          <w:color w:val="auto"/>
          <w:sz w:val="24"/>
          <w:szCs w:val="24"/>
          <w:lang w:val="en-US" w:eastAsia="zh-CN"/>
        </w:rPr>
      </w:pPr>
      <w:bookmarkStart w:id="1874" w:name="_Toc13741"/>
      <w:bookmarkStart w:id="1875" w:name="_Toc27931"/>
      <w:bookmarkStart w:id="1876" w:name="_Toc24635"/>
      <w:bookmarkStart w:id="1877" w:name="_Toc5554"/>
      <w:bookmarkStart w:id="1878" w:name="_Toc15504"/>
      <w:bookmarkStart w:id="1879" w:name="_Toc8022"/>
      <w:bookmarkStart w:id="1880" w:name="_Toc18044"/>
      <w:bookmarkStart w:id="1881" w:name="_Toc12955"/>
      <w:bookmarkStart w:id="1882" w:name="_Toc7053"/>
      <w:bookmarkStart w:id="1883" w:name="_Toc1464"/>
      <w:bookmarkStart w:id="1884" w:name="_Toc6007"/>
      <w:bookmarkStart w:id="1885" w:name="_Toc3580"/>
      <w:bookmarkStart w:id="1886" w:name="_Toc31171"/>
      <w:bookmarkStart w:id="1887" w:name="_Toc4947"/>
      <w:bookmarkStart w:id="1888" w:name="_Toc13396"/>
      <w:bookmarkStart w:id="1889" w:name="_Toc31364"/>
      <w:bookmarkStart w:id="1890" w:name="_Toc17337"/>
      <w:bookmarkStart w:id="1891" w:name="_Toc249"/>
      <w:bookmarkStart w:id="1892" w:name="_Toc22728"/>
      <w:bookmarkStart w:id="1893" w:name="_Toc7295"/>
      <w:bookmarkStart w:id="1894" w:name="_Toc32267"/>
      <w:bookmarkStart w:id="1895" w:name="_Toc11156"/>
      <w:bookmarkStart w:id="1896" w:name="_Toc24087"/>
      <w:bookmarkStart w:id="1897" w:name="_Toc1948"/>
      <w:bookmarkStart w:id="1898" w:name="_Toc30903"/>
      <w:bookmarkStart w:id="1899" w:name="_Toc686"/>
      <w:bookmarkStart w:id="1900" w:name="_Toc25372"/>
      <w:bookmarkStart w:id="1901" w:name="_Toc20592"/>
      <w:bookmarkStart w:id="1902" w:name="_Toc23118"/>
      <w:bookmarkStart w:id="1903" w:name="_Toc10774"/>
      <w:bookmarkStart w:id="1904" w:name="_Toc19333"/>
      <w:bookmarkStart w:id="1905" w:name="_Toc9734"/>
      <w:bookmarkStart w:id="1906" w:name="_Toc29881"/>
      <w:bookmarkStart w:id="1907" w:name="_Toc11055"/>
      <w:bookmarkStart w:id="1908" w:name="_Toc27872"/>
      <w:r>
        <w:rPr>
          <w:rFonts w:hint="eastAsia" w:ascii="宋体" w:hAnsi="宋体" w:eastAsia="宋体" w:cs="宋体"/>
          <w:color w:val="auto"/>
          <w:sz w:val="24"/>
          <w:szCs w:val="24"/>
          <w:lang w:val="en-US" w:eastAsia="zh-CN"/>
        </w:rPr>
        <w:t>3、</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14:paraId="25B162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w:t>
      </w:r>
    </w:p>
    <w:p w14:paraId="2B6995D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本公司为参加（</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rPr>
        <w:t>提供本企业提供服务。</w:t>
      </w:r>
    </w:p>
    <w:p w14:paraId="4F7CF01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本公司对上述声明的真实性负责。如有虚假，将依法承担相应责任。</w:t>
      </w:r>
    </w:p>
    <w:p w14:paraId="751CD4C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宋体" w:hAnsi="宋体" w:eastAsia="宋体" w:cs="宋体"/>
          <w:color w:val="auto"/>
          <w:sz w:val="24"/>
          <w:szCs w:val="24"/>
          <w:lang w:val="en-US" w:eastAsia="zh-CN"/>
        </w:rPr>
      </w:pPr>
    </w:p>
    <w:p w14:paraId="3D2F795D">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173DA2A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69DFCFF">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01CB260D">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1420582B">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290BBE7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7398992E">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148ABC1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6EB0D934">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1"/>
          <w:szCs w:val="21"/>
          <w:lang w:val="en-US" w:eastAsia="zh-CN" w:bidi="ar-SA"/>
        </w:rPr>
      </w:pPr>
    </w:p>
    <w:p w14:paraId="08B3A83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3FE58CD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0F50348B">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rPr>
      </w:pPr>
    </w:p>
    <w:p w14:paraId="034C8937">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1561EDD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bookmarkStart w:id="1909" w:name="_Toc14387"/>
      <w:bookmarkStart w:id="1910" w:name="_Toc26600"/>
      <w:bookmarkStart w:id="1911" w:name="_Toc32504"/>
      <w:bookmarkStart w:id="1912" w:name="_Toc16202"/>
      <w:bookmarkStart w:id="1913" w:name="_Toc32185"/>
      <w:bookmarkStart w:id="1914" w:name="_Toc18210"/>
      <w:bookmarkStart w:id="1915" w:name="_Toc28320"/>
      <w:bookmarkStart w:id="1916" w:name="_Toc3669"/>
      <w:bookmarkStart w:id="1917" w:name="_Toc25944"/>
      <w:bookmarkStart w:id="1918" w:name="_Toc30945"/>
      <w:bookmarkStart w:id="1919" w:name="_Toc4834"/>
      <w:bookmarkStart w:id="1920" w:name="_Toc7623"/>
      <w:bookmarkStart w:id="1921" w:name="_Toc25161"/>
      <w:bookmarkStart w:id="1922" w:name="_Toc25033"/>
      <w:bookmarkStart w:id="1923" w:name="_Toc25524"/>
      <w:bookmarkStart w:id="1924" w:name="_Toc29567"/>
      <w:bookmarkStart w:id="1925" w:name="_Toc13225"/>
      <w:bookmarkStart w:id="1926" w:name="_Toc13699"/>
      <w:bookmarkStart w:id="1927" w:name="_Toc29094"/>
      <w:bookmarkStart w:id="1928" w:name="_Toc1622"/>
      <w:bookmarkStart w:id="1929" w:name="_Toc20546"/>
      <w:bookmarkStart w:id="1930" w:name="_Toc23531"/>
      <w:bookmarkStart w:id="1931" w:name="_Toc3864"/>
      <w:bookmarkStart w:id="1932" w:name="_Toc32349"/>
      <w:bookmarkStart w:id="1933" w:name="_Toc28772"/>
      <w:bookmarkStart w:id="1934" w:name="_Toc22484"/>
      <w:bookmarkStart w:id="1935" w:name="_Toc31757"/>
      <w:bookmarkStart w:id="1936" w:name="_Toc24558"/>
      <w:bookmarkStart w:id="1937" w:name="_Toc13262"/>
      <w:bookmarkStart w:id="1938" w:name="_Toc15689"/>
      <w:bookmarkStart w:id="1939" w:name="_Toc19474"/>
      <w:bookmarkStart w:id="1940" w:name="_Toc3444"/>
      <w:bookmarkStart w:id="1941" w:name="_Toc27772"/>
      <w:bookmarkStart w:id="1942" w:name="_Toc17540"/>
    </w:p>
    <w:p w14:paraId="05C7C70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707AAE3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152D40D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lang w:val="en-US" w:eastAsia="zh-CN"/>
        </w:rPr>
      </w:pPr>
    </w:p>
    <w:p w14:paraId="397ECA9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宋体" w:hAnsi="宋体" w:eastAsia="宋体" w:cs="宋体"/>
          <w:color w:val="auto"/>
          <w:sz w:val="24"/>
          <w:szCs w:val="24"/>
          <w:u w:val="none"/>
          <w:lang w:val="en-US" w:eastAsia="zh-CN"/>
        </w:rPr>
      </w:pPr>
      <w:bookmarkStart w:id="1943" w:name="_Toc15962"/>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u w:val="none"/>
          <w:lang w:val="en-US" w:eastAsia="zh-CN"/>
        </w:rPr>
        <w:t>）</w:t>
      </w:r>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p>
    <w:p w14:paraId="78B1D1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宋体" w:hAnsi="宋体" w:eastAsia="宋体" w:cs="宋体"/>
          <w:color w:val="auto"/>
          <w:sz w:val="24"/>
          <w:szCs w:val="24"/>
          <w:lang w:val="en-US" w:eastAsia="zh-CN"/>
        </w:rPr>
      </w:pPr>
    </w:p>
    <w:p w14:paraId="5EE12F35">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color w:val="auto"/>
          <w:lang w:val="zh-CN"/>
        </w:rPr>
        <w:sectPr>
          <w:pgSz w:w="11906" w:h="16838"/>
          <w:pgMar w:top="1134" w:right="1134" w:bottom="1134" w:left="1134" w:header="720" w:footer="720" w:gutter="0"/>
          <w:pgNumType w:fmt="decimal"/>
          <w:cols w:space="720" w:num="1"/>
          <w:rtlGutter w:val="0"/>
        </w:sectPr>
      </w:pPr>
      <w:r>
        <w:rPr>
          <w:rFonts w:hint="eastAsia" w:ascii="宋体" w:hAnsi="宋体" w:eastAsia="宋体" w:cs="宋体"/>
          <w:color w:val="auto"/>
          <w:sz w:val="24"/>
          <w:szCs w:val="24"/>
          <w:lang w:val="en-US" w:eastAsia="zh-CN" w:bidi="ar-SA"/>
        </w:rPr>
        <w:t>日期：</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年</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月</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日</w:t>
      </w:r>
    </w:p>
    <w:p w14:paraId="6F5A4883">
      <w:pPr>
        <w:widowControl w:val="0"/>
        <w:bidi w:val="0"/>
        <w:spacing w:before="120" w:after="120"/>
        <w:ind w:left="3"/>
        <w:jc w:val="center"/>
        <w:outlineLvl w:val="1"/>
        <w:rPr>
          <w:rFonts w:hint="eastAsia" w:ascii="宋体" w:hAnsi="宋体" w:eastAsia="宋体" w:cs="宋体"/>
          <w:b/>
          <w:bCs/>
          <w:color w:val="auto"/>
          <w:sz w:val="44"/>
          <w:szCs w:val="32"/>
          <w:lang w:val="en-US" w:eastAsia="zh-CN" w:bidi="ar-SA"/>
        </w:rPr>
      </w:pPr>
      <w:bookmarkStart w:id="1944" w:name="_Toc16520"/>
      <w:r>
        <w:rPr>
          <w:rFonts w:hint="eastAsia" w:ascii="宋体" w:hAnsi="宋体" w:eastAsia="宋体" w:cs="Times New Roman"/>
          <w:b/>
          <w:color w:val="auto"/>
          <w:sz w:val="44"/>
          <w:szCs w:val="44"/>
          <w:lang w:val="en-US" w:eastAsia="zh-CN" w:bidi="ar-SA"/>
        </w:rPr>
        <w:t>技术、商务部分</w:t>
      </w:r>
      <w:bookmarkEnd w:id="1944"/>
    </w:p>
    <w:p w14:paraId="15925997">
      <w:pPr>
        <w:widowControl w:val="0"/>
        <w:ind w:left="100"/>
        <w:jc w:val="center"/>
        <w:outlineLvl w:val="2"/>
        <w:rPr>
          <w:rFonts w:hint="eastAsia" w:ascii="宋体" w:hAnsi="宋体" w:eastAsia="宋体" w:cs="宋体"/>
          <w:b/>
          <w:bCs/>
          <w:color w:val="auto"/>
          <w:sz w:val="30"/>
          <w:szCs w:val="32"/>
          <w:lang w:val="en-US" w:eastAsia="zh-CN" w:bidi="ar-SA"/>
        </w:rPr>
      </w:pPr>
      <w:bookmarkStart w:id="1945" w:name="_Toc4793"/>
      <w:r>
        <w:rPr>
          <w:rFonts w:hint="eastAsia" w:ascii="宋体" w:hAnsi="宋体" w:eastAsia="宋体" w:cs="宋体"/>
          <w:b/>
          <w:bCs/>
          <w:color w:val="auto"/>
          <w:sz w:val="30"/>
          <w:szCs w:val="32"/>
          <w:lang w:val="en-US" w:eastAsia="zh-CN" w:bidi="ar-SA"/>
        </w:rPr>
        <w:t>一、技术参数偏离表（实质性格式）</w:t>
      </w:r>
      <w:bookmarkEnd w:id="1945"/>
    </w:p>
    <w:tbl>
      <w:tblPr>
        <w:tblStyle w:val="67"/>
        <w:tblW w:w="107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938"/>
        <w:gridCol w:w="720"/>
        <w:gridCol w:w="2172"/>
        <w:gridCol w:w="1985"/>
        <w:gridCol w:w="1168"/>
        <w:gridCol w:w="900"/>
        <w:gridCol w:w="1168"/>
      </w:tblGrid>
      <w:tr w14:paraId="07B77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center"/>
          </w:tcPr>
          <w:p w14:paraId="6440F225">
            <w:pPr>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938" w:type="dxa"/>
            <w:noWrap w:val="0"/>
            <w:vAlign w:val="center"/>
          </w:tcPr>
          <w:p w14:paraId="740E3BDA">
            <w:pPr>
              <w:jc w:val="center"/>
              <w:rPr>
                <w:rFonts w:hint="eastAsia" w:ascii="宋体" w:hAnsi="宋体" w:eastAsia="宋体" w:cs="宋体"/>
                <w:color w:val="auto"/>
                <w:szCs w:val="21"/>
              </w:rPr>
            </w:pPr>
            <w:r>
              <w:rPr>
                <w:rFonts w:hint="eastAsia" w:ascii="宋体" w:hAnsi="宋体" w:eastAsia="宋体" w:cs="宋体"/>
                <w:color w:val="auto"/>
                <w:szCs w:val="21"/>
              </w:rPr>
              <w:t>货物名称</w:t>
            </w:r>
          </w:p>
        </w:tc>
        <w:tc>
          <w:tcPr>
            <w:tcW w:w="720" w:type="dxa"/>
            <w:noWrap w:val="0"/>
            <w:vAlign w:val="center"/>
          </w:tcPr>
          <w:p w14:paraId="698D0573">
            <w:pPr>
              <w:jc w:val="center"/>
              <w:rPr>
                <w:rFonts w:hint="eastAsia" w:ascii="宋体" w:hAnsi="宋体" w:eastAsia="宋体" w:cs="宋体"/>
                <w:color w:val="auto"/>
                <w:szCs w:val="21"/>
              </w:rPr>
            </w:pPr>
            <w:r>
              <w:rPr>
                <w:rFonts w:hint="eastAsia" w:ascii="宋体" w:hAnsi="宋体" w:eastAsia="宋体" w:cs="宋体"/>
                <w:color w:val="auto"/>
                <w:szCs w:val="21"/>
              </w:rPr>
              <w:t>数量</w:t>
            </w:r>
          </w:p>
        </w:tc>
        <w:tc>
          <w:tcPr>
            <w:tcW w:w="2172" w:type="dxa"/>
            <w:noWrap w:val="0"/>
            <w:vAlign w:val="center"/>
          </w:tcPr>
          <w:p w14:paraId="59A59F0B">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招标文件技术</w:t>
            </w:r>
          </w:p>
          <w:p w14:paraId="6F80D231">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规范、要求</w:t>
            </w:r>
          </w:p>
        </w:tc>
        <w:tc>
          <w:tcPr>
            <w:tcW w:w="1985" w:type="dxa"/>
            <w:noWrap w:val="0"/>
            <w:vAlign w:val="center"/>
          </w:tcPr>
          <w:p w14:paraId="5AEE2E89">
            <w:pPr>
              <w:jc w:val="center"/>
              <w:rPr>
                <w:rFonts w:hint="eastAsia" w:ascii="宋体" w:hAnsi="宋体" w:eastAsia="宋体" w:cs="宋体"/>
                <w:color w:val="auto"/>
                <w:szCs w:val="21"/>
              </w:rPr>
            </w:pPr>
            <w:r>
              <w:rPr>
                <w:rFonts w:hint="eastAsia" w:ascii="宋体" w:hAnsi="宋体" w:eastAsia="宋体" w:cs="宋体"/>
                <w:color w:val="auto"/>
                <w:szCs w:val="21"/>
              </w:rPr>
              <w:t>投标文件</w:t>
            </w:r>
          </w:p>
          <w:p w14:paraId="44C06736">
            <w:pPr>
              <w:jc w:val="center"/>
              <w:rPr>
                <w:rFonts w:hint="eastAsia" w:ascii="宋体" w:hAnsi="宋体" w:eastAsia="宋体" w:cs="宋体"/>
                <w:color w:val="auto"/>
                <w:szCs w:val="21"/>
              </w:rPr>
            </w:pPr>
            <w:r>
              <w:rPr>
                <w:rFonts w:hint="eastAsia" w:ascii="宋体" w:hAnsi="宋体" w:eastAsia="宋体" w:cs="宋体"/>
                <w:color w:val="auto"/>
                <w:szCs w:val="21"/>
              </w:rPr>
              <w:t>对应规范</w:t>
            </w:r>
          </w:p>
        </w:tc>
        <w:tc>
          <w:tcPr>
            <w:tcW w:w="1168" w:type="dxa"/>
            <w:noWrap w:val="0"/>
            <w:vAlign w:val="center"/>
          </w:tcPr>
          <w:p w14:paraId="59C194D6">
            <w:pPr>
              <w:jc w:val="center"/>
              <w:rPr>
                <w:rFonts w:hint="eastAsia" w:ascii="宋体" w:hAnsi="宋体" w:eastAsia="宋体" w:cs="宋体"/>
                <w:color w:val="auto"/>
                <w:szCs w:val="21"/>
              </w:rPr>
            </w:pPr>
            <w:r>
              <w:rPr>
                <w:rFonts w:hint="eastAsia" w:ascii="宋体" w:hAnsi="宋体" w:eastAsia="宋体" w:cs="宋体"/>
                <w:color w:val="auto"/>
                <w:szCs w:val="21"/>
              </w:rPr>
              <w:t>正偏离/响应/负偏离</w:t>
            </w:r>
          </w:p>
        </w:tc>
        <w:tc>
          <w:tcPr>
            <w:tcW w:w="900" w:type="dxa"/>
            <w:noWrap w:val="0"/>
            <w:vAlign w:val="center"/>
          </w:tcPr>
          <w:p w14:paraId="3AA1AA45">
            <w:pPr>
              <w:jc w:val="center"/>
              <w:rPr>
                <w:rFonts w:hint="eastAsia" w:ascii="宋体" w:hAnsi="宋体" w:eastAsia="宋体" w:cs="宋体"/>
                <w:color w:val="auto"/>
                <w:szCs w:val="21"/>
              </w:rPr>
            </w:pPr>
            <w:r>
              <w:rPr>
                <w:rFonts w:hint="eastAsia" w:ascii="宋体" w:hAnsi="宋体" w:eastAsia="宋体" w:cs="宋体"/>
                <w:color w:val="auto"/>
                <w:szCs w:val="21"/>
              </w:rPr>
              <w:t>备注</w:t>
            </w:r>
          </w:p>
        </w:tc>
        <w:tc>
          <w:tcPr>
            <w:tcW w:w="1168" w:type="dxa"/>
            <w:noWrap w:val="0"/>
            <w:vAlign w:val="top"/>
          </w:tcPr>
          <w:p w14:paraId="02B7DAE5">
            <w:pPr>
              <w:jc w:val="center"/>
              <w:rPr>
                <w:rFonts w:hint="eastAsia" w:ascii="宋体" w:hAnsi="宋体" w:eastAsia="宋体" w:cs="宋体"/>
                <w:color w:val="auto"/>
                <w:szCs w:val="21"/>
                <w:lang w:eastAsia="zh-CN"/>
              </w:rPr>
            </w:pPr>
            <w:r>
              <w:rPr>
                <w:rFonts w:hint="eastAsia" w:ascii="宋体" w:hAnsi="宋体" w:eastAsia="宋体" w:cs="宋体"/>
                <w:color w:val="auto"/>
                <w:szCs w:val="21"/>
                <w:lang w:eastAsia="zh-CN"/>
              </w:rPr>
              <w:t>证明材料投标文件所在位置</w:t>
            </w:r>
          </w:p>
        </w:tc>
      </w:tr>
      <w:tr w14:paraId="48735F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3B2E5C0C">
            <w:pPr>
              <w:rPr>
                <w:rFonts w:hint="eastAsia" w:ascii="宋体" w:hAnsi="宋体" w:eastAsia="宋体" w:cs="宋体"/>
                <w:color w:val="auto"/>
                <w:szCs w:val="21"/>
                <w:lang w:eastAsia="zh-CN"/>
              </w:rPr>
            </w:pPr>
          </w:p>
        </w:tc>
        <w:tc>
          <w:tcPr>
            <w:tcW w:w="1938" w:type="dxa"/>
            <w:noWrap w:val="0"/>
            <w:vAlign w:val="top"/>
          </w:tcPr>
          <w:p w14:paraId="5F06F91C">
            <w:pPr>
              <w:rPr>
                <w:rFonts w:hint="eastAsia" w:ascii="宋体" w:hAnsi="宋体" w:eastAsia="宋体" w:cs="宋体"/>
                <w:color w:val="auto"/>
                <w:szCs w:val="21"/>
                <w:lang w:eastAsia="zh-CN"/>
              </w:rPr>
            </w:pPr>
          </w:p>
        </w:tc>
        <w:tc>
          <w:tcPr>
            <w:tcW w:w="720" w:type="dxa"/>
            <w:noWrap w:val="0"/>
            <w:vAlign w:val="top"/>
          </w:tcPr>
          <w:p w14:paraId="64211D15">
            <w:pPr>
              <w:rPr>
                <w:rFonts w:hint="eastAsia" w:ascii="宋体" w:hAnsi="宋体" w:eastAsia="宋体" w:cs="宋体"/>
                <w:color w:val="auto"/>
                <w:szCs w:val="21"/>
                <w:lang w:eastAsia="zh-CN"/>
              </w:rPr>
            </w:pPr>
          </w:p>
        </w:tc>
        <w:tc>
          <w:tcPr>
            <w:tcW w:w="2172" w:type="dxa"/>
            <w:noWrap w:val="0"/>
            <w:vAlign w:val="top"/>
          </w:tcPr>
          <w:p w14:paraId="21B1D523">
            <w:pPr>
              <w:rPr>
                <w:rFonts w:hint="eastAsia" w:ascii="宋体" w:hAnsi="宋体" w:eastAsia="宋体" w:cs="宋体"/>
                <w:color w:val="auto"/>
                <w:szCs w:val="21"/>
                <w:lang w:eastAsia="zh-CN"/>
              </w:rPr>
            </w:pPr>
          </w:p>
        </w:tc>
        <w:tc>
          <w:tcPr>
            <w:tcW w:w="1985" w:type="dxa"/>
            <w:noWrap w:val="0"/>
            <w:vAlign w:val="top"/>
          </w:tcPr>
          <w:p w14:paraId="18CFFA73">
            <w:pPr>
              <w:rPr>
                <w:rFonts w:hint="eastAsia" w:ascii="宋体" w:hAnsi="宋体" w:eastAsia="宋体" w:cs="宋体"/>
                <w:color w:val="auto"/>
                <w:szCs w:val="21"/>
                <w:lang w:eastAsia="zh-CN"/>
              </w:rPr>
            </w:pPr>
          </w:p>
        </w:tc>
        <w:tc>
          <w:tcPr>
            <w:tcW w:w="1168" w:type="dxa"/>
            <w:noWrap w:val="0"/>
            <w:vAlign w:val="top"/>
          </w:tcPr>
          <w:p w14:paraId="7C67A453">
            <w:pPr>
              <w:rPr>
                <w:rFonts w:hint="eastAsia" w:ascii="宋体" w:hAnsi="宋体" w:eastAsia="宋体" w:cs="宋体"/>
                <w:color w:val="auto"/>
                <w:szCs w:val="21"/>
                <w:lang w:eastAsia="zh-CN"/>
              </w:rPr>
            </w:pPr>
          </w:p>
        </w:tc>
        <w:tc>
          <w:tcPr>
            <w:tcW w:w="900" w:type="dxa"/>
            <w:noWrap w:val="0"/>
            <w:vAlign w:val="top"/>
          </w:tcPr>
          <w:p w14:paraId="15510332">
            <w:pPr>
              <w:rPr>
                <w:rFonts w:hint="eastAsia" w:ascii="宋体" w:hAnsi="宋体" w:eastAsia="宋体" w:cs="宋体"/>
                <w:color w:val="auto"/>
                <w:szCs w:val="21"/>
                <w:lang w:eastAsia="zh-CN"/>
              </w:rPr>
            </w:pPr>
          </w:p>
        </w:tc>
        <w:tc>
          <w:tcPr>
            <w:tcW w:w="1168" w:type="dxa"/>
            <w:noWrap w:val="0"/>
            <w:vAlign w:val="top"/>
          </w:tcPr>
          <w:p w14:paraId="0FFA84F9">
            <w:pPr>
              <w:rPr>
                <w:rFonts w:hint="eastAsia" w:ascii="宋体" w:hAnsi="宋体" w:eastAsia="宋体" w:cs="宋体"/>
                <w:color w:val="auto"/>
                <w:szCs w:val="21"/>
                <w:lang w:eastAsia="zh-CN"/>
              </w:rPr>
            </w:pPr>
          </w:p>
        </w:tc>
      </w:tr>
      <w:tr w14:paraId="3F73F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2E0509A2">
            <w:pPr>
              <w:rPr>
                <w:rFonts w:hint="eastAsia" w:ascii="宋体" w:hAnsi="宋体" w:eastAsia="宋体" w:cs="宋体"/>
                <w:color w:val="auto"/>
                <w:szCs w:val="21"/>
                <w:lang w:eastAsia="zh-CN"/>
              </w:rPr>
            </w:pPr>
          </w:p>
        </w:tc>
        <w:tc>
          <w:tcPr>
            <w:tcW w:w="1938" w:type="dxa"/>
            <w:noWrap w:val="0"/>
            <w:vAlign w:val="top"/>
          </w:tcPr>
          <w:p w14:paraId="3961025B">
            <w:pPr>
              <w:rPr>
                <w:rFonts w:hint="eastAsia" w:ascii="宋体" w:hAnsi="宋体" w:eastAsia="宋体" w:cs="宋体"/>
                <w:color w:val="auto"/>
                <w:szCs w:val="21"/>
                <w:lang w:eastAsia="zh-CN"/>
              </w:rPr>
            </w:pPr>
          </w:p>
        </w:tc>
        <w:tc>
          <w:tcPr>
            <w:tcW w:w="720" w:type="dxa"/>
            <w:noWrap w:val="0"/>
            <w:vAlign w:val="top"/>
          </w:tcPr>
          <w:p w14:paraId="1CE18723">
            <w:pPr>
              <w:rPr>
                <w:rFonts w:hint="eastAsia" w:ascii="宋体" w:hAnsi="宋体" w:eastAsia="宋体" w:cs="宋体"/>
                <w:color w:val="auto"/>
                <w:szCs w:val="21"/>
                <w:lang w:eastAsia="zh-CN"/>
              </w:rPr>
            </w:pPr>
          </w:p>
        </w:tc>
        <w:tc>
          <w:tcPr>
            <w:tcW w:w="2172" w:type="dxa"/>
            <w:noWrap w:val="0"/>
            <w:vAlign w:val="top"/>
          </w:tcPr>
          <w:p w14:paraId="5C054BF4">
            <w:pPr>
              <w:rPr>
                <w:rFonts w:hint="eastAsia" w:ascii="宋体" w:hAnsi="宋体" w:eastAsia="宋体" w:cs="宋体"/>
                <w:color w:val="auto"/>
                <w:szCs w:val="21"/>
                <w:lang w:eastAsia="zh-CN"/>
              </w:rPr>
            </w:pPr>
          </w:p>
        </w:tc>
        <w:tc>
          <w:tcPr>
            <w:tcW w:w="1985" w:type="dxa"/>
            <w:noWrap w:val="0"/>
            <w:vAlign w:val="top"/>
          </w:tcPr>
          <w:p w14:paraId="1B1A14F4">
            <w:pPr>
              <w:rPr>
                <w:rFonts w:hint="eastAsia" w:ascii="宋体" w:hAnsi="宋体" w:eastAsia="宋体" w:cs="宋体"/>
                <w:color w:val="auto"/>
                <w:szCs w:val="21"/>
                <w:lang w:eastAsia="zh-CN"/>
              </w:rPr>
            </w:pPr>
          </w:p>
        </w:tc>
        <w:tc>
          <w:tcPr>
            <w:tcW w:w="1168" w:type="dxa"/>
            <w:noWrap w:val="0"/>
            <w:vAlign w:val="top"/>
          </w:tcPr>
          <w:p w14:paraId="04948F6A">
            <w:pPr>
              <w:rPr>
                <w:rFonts w:hint="eastAsia" w:ascii="宋体" w:hAnsi="宋体" w:eastAsia="宋体" w:cs="宋体"/>
                <w:color w:val="auto"/>
                <w:szCs w:val="21"/>
                <w:lang w:eastAsia="zh-CN"/>
              </w:rPr>
            </w:pPr>
          </w:p>
        </w:tc>
        <w:tc>
          <w:tcPr>
            <w:tcW w:w="900" w:type="dxa"/>
            <w:noWrap w:val="0"/>
            <w:vAlign w:val="top"/>
          </w:tcPr>
          <w:p w14:paraId="2489814E">
            <w:pPr>
              <w:rPr>
                <w:rFonts w:hint="eastAsia" w:ascii="宋体" w:hAnsi="宋体" w:eastAsia="宋体" w:cs="宋体"/>
                <w:color w:val="auto"/>
                <w:szCs w:val="21"/>
                <w:lang w:eastAsia="zh-CN"/>
              </w:rPr>
            </w:pPr>
          </w:p>
        </w:tc>
        <w:tc>
          <w:tcPr>
            <w:tcW w:w="1168" w:type="dxa"/>
            <w:noWrap w:val="0"/>
            <w:vAlign w:val="top"/>
          </w:tcPr>
          <w:p w14:paraId="2F5845C5">
            <w:pPr>
              <w:rPr>
                <w:rFonts w:hint="eastAsia" w:ascii="宋体" w:hAnsi="宋体" w:eastAsia="宋体" w:cs="宋体"/>
                <w:color w:val="auto"/>
                <w:szCs w:val="21"/>
                <w:lang w:eastAsia="zh-CN"/>
              </w:rPr>
            </w:pPr>
          </w:p>
        </w:tc>
      </w:tr>
      <w:tr w14:paraId="4D7BA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31E5001F">
            <w:pPr>
              <w:rPr>
                <w:rFonts w:hint="eastAsia" w:ascii="宋体" w:hAnsi="宋体" w:eastAsia="宋体" w:cs="宋体"/>
                <w:color w:val="auto"/>
                <w:szCs w:val="21"/>
                <w:lang w:eastAsia="zh-CN"/>
              </w:rPr>
            </w:pPr>
          </w:p>
        </w:tc>
        <w:tc>
          <w:tcPr>
            <w:tcW w:w="1938" w:type="dxa"/>
            <w:noWrap w:val="0"/>
            <w:vAlign w:val="top"/>
          </w:tcPr>
          <w:p w14:paraId="05D3DF17">
            <w:pPr>
              <w:rPr>
                <w:rFonts w:hint="eastAsia" w:ascii="宋体" w:hAnsi="宋体" w:eastAsia="宋体" w:cs="宋体"/>
                <w:color w:val="auto"/>
                <w:szCs w:val="21"/>
                <w:lang w:eastAsia="zh-CN"/>
              </w:rPr>
            </w:pPr>
          </w:p>
        </w:tc>
        <w:tc>
          <w:tcPr>
            <w:tcW w:w="720" w:type="dxa"/>
            <w:noWrap w:val="0"/>
            <w:vAlign w:val="top"/>
          </w:tcPr>
          <w:p w14:paraId="4D269360">
            <w:pPr>
              <w:rPr>
                <w:rFonts w:hint="eastAsia" w:ascii="宋体" w:hAnsi="宋体" w:eastAsia="宋体" w:cs="宋体"/>
                <w:color w:val="auto"/>
                <w:szCs w:val="21"/>
                <w:lang w:eastAsia="zh-CN"/>
              </w:rPr>
            </w:pPr>
          </w:p>
        </w:tc>
        <w:tc>
          <w:tcPr>
            <w:tcW w:w="2172" w:type="dxa"/>
            <w:noWrap w:val="0"/>
            <w:vAlign w:val="top"/>
          </w:tcPr>
          <w:p w14:paraId="7F2F2944">
            <w:pPr>
              <w:rPr>
                <w:rFonts w:hint="eastAsia" w:ascii="宋体" w:hAnsi="宋体" w:eastAsia="宋体" w:cs="宋体"/>
                <w:color w:val="auto"/>
                <w:szCs w:val="21"/>
                <w:lang w:eastAsia="zh-CN"/>
              </w:rPr>
            </w:pPr>
          </w:p>
        </w:tc>
        <w:tc>
          <w:tcPr>
            <w:tcW w:w="1985" w:type="dxa"/>
            <w:noWrap w:val="0"/>
            <w:vAlign w:val="top"/>
          </w:tcPr>
          <w:p w14:paraId="2F84392A">
            <w:pPr>
              <w:rPr>
                <w:rFonts w:hint="eastAsia" w:ascii="宋体" w:hAnsi="宋体" w:eastAsia="宋体" w:cs="宋体"/>
                <w:color w:val="auto"/>
                <w:szCs w:val="21"/>
                <w:lang w:eastAsia="zh-CN"/>
              </w:rPr>
            </w:pPr>
          </w:p>
        </w:tc>
        <w:tc>
          <w:tcPr>
            <w:tcW w:w="1168" w:type="dxa"/>
            <w:noWrap w:val="0"/>
            <w:vAlign w:val="top"/>
          </w:tcPr>
          <w:p w14:paraId="4D43F5BB">
            <w:pPr>
              <w:rPr>
                <w:rFonts w:hint="eastAsia" w:ascii="宋体" w:hAnsi="宋体" w:eastAsia="宋体" w:cs="宋体"/>
                <w:color w:val="auto"/>
                <w:szCs w:val="21"/>
                <w:lang w:eastAsia="zh-CN"/>
              </w:rPr>
            </w:pPr>
          </w:p>
        </w:tc>
        <w:tc>
          <w:tcPr>
            <w:tcW w:w="900" w:type="dxa"/>
            <w:noWrap w:val="0"/>
            <w:vAlign w:val="top"/>
          </w:tcPr>
          <w:p w14:paraId="0D3FA79E">
            <w:pPr>
              <w:rPr>
                <w:rFonts w:hint="eastAsia" w:ascii="宋体" w:hAnsi="宋体" w:eastAsia="宋体" w:cs="宋体"/>
                <w:color w:val="auto"/>
                <w:szCs w:val="21"/>
                <w:lang w:eastAsia="zh-CN"/>
              </w:rPr>
            </w:pPr>
          </w:p>
        </w:tc>
        <w:tc>
          <w:tcPr>
            <w:tcW w:w="1168" w:type="dxa"/>
            <w:noWrap w:val="0"/>
            <w:vAlign w:val="top"/>
          </w:tcPr>
          <w:p w14:paraId="4E90DB84">
            <w:pPr>
              <w:rPr>
                <w:rFonts w:hint="eastAsia" w:ascii="宋体" w:hAnsi="宋体" w:eastAsia="宋体" w:cs="宋体"/>
                <w:color w:val="auto"/>
                <w:szCs w:val="21"/>
                <w:lang w:eastAsia="zh-CN"/>
              </w:rPr>
            </w:pPr>
          </w:p>
        </w:tc>
      </w:tr>
      <w:tr w14:paraId="70223A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C8FDCF7">
            <w:pPr>
              <w:rPr>
                <w:rFonts w:hint="eastAsia" w:ascii="宋体" w:hAnsi="宋体" w:eastAsia="宋体" w:cs="宋体"/>
                <w:color w:val="auto"/>
                <w:szCs w:val="21"/>
                <w:lang w:eastAsia="zh-CN"/>
              </w:rPr>
            </w:pPr>
          </w:p>
        </w:tc>
        <w:tc>
          <w:tcPr>
            <w:tcW w:w="1938" w:type="dxa"/>
            <w:noWrap w:val="0"/>
            <w:vAlign w:val="top"/>
          </w:tcPr>
          <w:p w14:paraId="47DCAFD1">
            <w:pPr>
              <w:rPr>
                <w:rFonts w:hint="eastAsia" w:ascii="宋体" w:hAnsi="宋体" w:eastAsia="宋体" w:cs="宋体"/>
                <w:color w:val="auto"/>
                <w:szCs w:val="21"/>
                <w:lang w:eastAsia="zh-CN"/>
              </w:rPr>
            </w:pPr>
          </w:p>
        </w:tc>
        <w:tc>
          <w:tcPr>
            <w:tcW w:w="720" w:type="dxa"/>
            <w:noWrap w:val="0"/>
            <w:vAlign w:val="top"/>
          </w:tcPr>
          <w:p w14:paraId="2413FA51">
            <w:pPr>
              <w:rPr>
                <w:rFonts w:hint="eastAsia" w:ascii="宋体" w:hAnsi="宋体" w:eastAsia="宋体" w:cs="宋体"/>
                <w:color w:val="auto"/>
                <w:szCs w:val="21"/>
                <w:lang w:eastAsia="zh-CN"/>
              </w:rPr>
            </w:pPr>
          </w:p>
        </w:tc>
        <w:tc>
          <w:tcPr>
            <w:tcW w:w="2172" w:type="dxa"/>
            <w:noWrap w:val="0"/>
            <w:vAlign w:val="top"/>
          </w:tcPr>
          <w:p w14:paraId="3F6C5CFD">
            <w:pPr>
              <w:rPr>
                <w:rFonts w:hint="eastAsia" w:ascii="宋体" w:hAnsi="宋体" w:eastAsia="宋体" w:cs="宋体"/>
                <w:color w:val="auto"/>
                <w:szCs w:val="21"/>
                <w:lang w:eastAsia="zh-CN"/>
              </w:rPr>
            </w:pPr>
          </w:p>
        </w:tc>
        <w:tc>
          <w:tcPr>
            <w:tcW w:w="1985" w:type="dxa"/>
            <w:noWrap w:val="0"/>
            <w:vAlign w:val="top"/>
          </w:tcPr>
          <w:p w14:paraId="34B56749">
            <w:pPr>
              <w:rPr>
                <w:rFonts w:hint="eastAsia" w:ascii="宋体" w:hAnsi="宋体" w:eastAsia="宋体" w:cs="宋体"/>
                <w:color w:val="auto"/>
                <w:szCs w:val="21"/>
                <w:lang w:eastAsia="zh-CN"/>
              </w:rPr>
            </w:pPr>
          </w:p>
        </w:tc>
        <w:tc>
          <w:tcPr>
            <w:tcW w:w="1168" w:type="dxa"/>
            <w:noWrap w:val="0"/>
            <w:vAlign w:val="top"/>
          </w:tcPr>
          <w:p w14:paraId="29DBF178">
            <w:pPr>
              <w:rPr>
                <w:rFonts w:hint="eastAsia" w:ascii="宋体" w:hAnsi="宋体" w:eastAsia="宋体" w:cs="宋体"/>
                <w:color w:val="auto"/>
                <w:szCs w:val="21"/>
                <w:lang w:eastAsia="zh-CN"/>
              </w:rPr>
            </w:pPr>
          </w:p>
        </w:tc>
        <w:tc>
          <w:tcPr>
            <w:tcW w:w="900" w:type="dxa"/>
            <w:noWrap w:val="0"/>
            <w:vAlign w:val="top"/>
          </w:tcPr>
          <w:p w14:paraId="0C5FEA76">
            <w:pPr>
              <w:rPr>
                <w:rFonts w:hint="eastAsia" w:ascii="宋体" w:hAnsi="宋体" w:eastAsia="宋体" w:cs="宋体"/>
                <w:color w:val="auto"/>
                <w:szCs w:val="21"/>
                <w:lang w:eastAsia="zh-CN"/>
              </w:rPr>
            </w:pPr>
          </w:p>
        </w:tc>
        <w:tc>
          <w:tcPr>
            <w:tcW w:w="1168" w:type="dxa"/>
            <w:noWrap w:val="0"/>
            <w:vAlign w:val="top"/>
          </w:tcPr>
          <w:p w14:paraId="59F2EFF8">
            <w:pPr>
              <w:rPr>
                <w:rFonts w:hint="eastAsia" w:ascii="宋体" w:hAnsi="宋体" w:eastAsia="宋体" w:cs="宋体"/>
                <w:color w:val="auto"/>
                <w:szCs w:val="21"/>
                <w:lang w:eastAsia="zh-CN"/>
              </w:rPr>
            </w:pPr>
          </w:p>
        </w:tc>
      </w:tr>
      <w:tr w14:paraId="79612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47280205">
            <w:pPr>
              <w:rPr>
                <w:rFonts w:hint="eastAsia" w:ascii="宋体" w:hAnsi="宋体" w:eastAsia="宋体" w:cs="宋体"/>
                <w:color w:val="auto"/>
                <w:szCs w:val="21"/>
                <w:lang w:eastAsia="zh-CN"/>
              </w:rPr>
            </w:pPr>
          </w:p>
        </w:tc>
        <w:tc>
          <w:tcPr>
            <w:tcW w:w="1938" w:type="dxa"/>
            <w:noWrap w:val="0"/>
            <w:vAlign w:val="top"/>
          </w:tcPr>
          <w:p w14:paraId="2B6DB73A">
            <w:pPr>
              <w:rPr>
                <w:rFonts w:hint="eastAsia" w:ascii="宋体" w:hAnsi="宋体" w:eastAsia="宋体" w:cs="宋体"/>
                <w:color w:val="auto"/>
                <w:szCs w:val="21"/>
                <w:lang w:eastAsia="zh-CN"/>
              </w:rPr>
            </w:pPr>
          </w:p>
        </w:tc>
        <w:tc>
          <w:tcPr>
            <w:tcW w:w="720" w:type="dxa"/>
            <w:noWrap w:val="0"/>
            <w:vAlign w:val="top"/>
          </w:tcPr>
          <w:p w14:paraId="638B7430">
            <w:pPr>
              <w:rPr>
                <w:rFonts w:hint="eastAsia" w:ascii="宋体" w:hAnsi="宋体" w:eastAsia="宋体" w:cs="宋体"/>
                <w:color w:val="auto"/>
                <w:szCs w:val="21"/>
                <w:lang w:eastAsia="zh-CN"/>
              </w:rPr>
            </w:pPr>
          </w:p>
        </w:tc>
        <w:tc>
          <w:tcPr>
            <w:tcW w:w="2172" w:type="dxa"/>
            <w:noWrap w:val="0"/>
            <w:vAlign w:val="top"/>
          </w:tcPr>
          <w:p w14:paraId="3448C684">
            <w:pPr>
              <w:rPr>
                <w:rFonts w:hint="eastAsia" w:ascii="宋体" w:hAnsi="宋体" w:eastAsia="宋体" w:cs="宋体"/>
                <w:color w:val="auto"/>
                <w:szCs w:val="21"/>
                <w:lang w:eastAsia="zh-CN"/>
              </w:rPr>
            </w:pPr>
          </w:p>
        </w:tc>
        <w:tc>
          <w:tcPr>
            <w:tcW w:w="1985" w:type="dxa"/>
            <w:noWrap w:val="0"/>
            <w:vAlign w:val="top"/>
          </w:tcPr>
          <w:p w14:paraId="2E2D7846">
            <w:pPr>
              <w:rPr>
                <w:rFonts w:hint="eastAsia" w:ascii="宋体" w:hAnsi="宋体" w:eastAsia="宋体" w:cs="宋体"/>
                <w:color w:val="auto"/>
                <w:szCs w:val="21"/>
                <w:lang w:eastAsia="zh-CN"/>
              </w:rPr>
            </w:pPr>
          </w:p>
        </w:tc>
        <w:tc>
          <w:tcPr>
            <w:tcW w:w="1168" w:type="dxa"/>
            <w:noWrap w:val="0"/>
            <w:vAlign w:val="top"/>
          </w:tcPr>
          <w:p w14:paraId="319EF540">
            <w:pPr>
              <w:rPr>
                <w:rFonts w:hint="eastAsia" w:ascii="宋体" w:hAnsi="宋体" w:eastAsia="宋体" w:cs="宋体"/>
                <w:color w:val="auto"/>
                <w:szCs w:val="21"/>
                <w:lang w:eastAsia="zh-CN"/>
              </w:rPr>
            </w:pPr>
          </w:p>
        </w:tc>
        <w:tc>
          <w:tcPr>
            <w:tcW w:w="900" w:type="dxa"/>
            <w:noWrap w:val="0"/>
            <w:vAlign w:val="top"/>
          </w:tcPr>
          <w:p w14:paraId="483D352B">
            <w:pPr>
              <w:rPr>
                <w:rFonts w:hint="eastAsia" w:ascii="宋体" w:hAnsi="宋体" w:eastAsia="宋体" w:cs="宋体"/>
                <w:color w:val="auto"/>
                <w:szCs w:val="21"/>
                <w:lang w:eastAsia="zh-CN"/>
              </w:rPr>
            </w:pPr>
          </w:p>
        </w:tc>
        <w:tc>
          <w:tcPr>
            <w:tcW w:w="1168" w:type="dxa"/>
            <w:noWrap w:val="0"/>
            <w:vAlign w:val="top"/>
          </w:tcPr>
          <w:p w14:paraId="2434150F">
            <w:pPr>
              <w:rPr>
                <w:rFonts w:hint="eastAsia" w:ascii="宋体" w:hAnsi="宋体" w:eastAsia="宋体" w:cs="宋体"/>
                <w:color w:val="auto"/>
                <w:szCs w:val="21"/>
                <w:lang w:eastAsia="zh-CN"/>
              </w:rPr>
            </w:pPr>
          </w:p>
        </w:tc>
      </w:tr>
      <w:tr w14:paraId="5056B3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jc w:val="center"/>
        </w:trPr>
        <w:tc>
          <w:tcPr>
            <w:tcW w:w="748" w:type="dxa"/>
            <w:noWrap w:val="0"/>
            <w:vAlign w:val="top"/>
          </w:tcPr>
          <w:p w14:paraId="084AE971">
            <w:pPr>
              <w:rPr>
                <w:rFonts w:hint="eastAsia" w:ascii="宋体" w:hAnsi="宋体" w:eastAsia="宋体" w:cs="宋体"/>
                <w:color w:val="auto"/>
                <w:szCs w:val="21"/>
                <w:lang w:eastAsia="zh-CN"/>
              </w:rPr>
            </w:pPr>
          </w:p>
        </w:tc>
        <w:tc>
          <w:tcPr>
            <w:tcW w:w="1938" w:type="dxa"/>
            <w:noWrap w:val="0"/>
            <w:vAlign w:val="top"/>
          </w:tcPr>
          <w:p w14:paraId="2712597D">
            <w:pPr>
              <w:rPr>
                <w:rFonts w:hint="eastAsia" w:ascii="宋体" w:hAnsi="宋体" w:eastAsia="宋体" w:cs="宋体"/>
                <w:color w:val="auto"/>
                <w:szCs w:val="21"/>
                <w:lang w:eastAsia="zh-CN"/>
              </w:rPr>
            </w:pPr>
          </w:p>
        </w:tc>
        <w:tc>
          <w:tcPr>
            <w:tcW w:w="720" w:type="dxa"/>
            <w:noWrap w:val="0"/>
            <w:vAlign w:val="top"/>
          </w:tcPr>
          <w:p w14:paraId="41805155">
            <w:pPr>
              <w:rPr>
                <w:rFonts w:hint="eastAsia" w:ascii="宋体" w:hAnsi="宋体" w:eastAsia="宋体" w:cs="宋体"/>
                <w:color w:val="auto"/>
                <w:szCs w:val="21"/>
                <w:lang w:eastAsia="zh-CN"/>
              </w:rPr>
            </w:pPr>
          </w:p>
        </w:tc>
        <w:tc>
          <w:tcPr>
            <w:tcW w:w="2172" w:type="dxa"/>
            <w:noWrap w:val="0"/>
            <w:vAlign w:val="top"/>
          </w:tcPr>
          <w:p w14:paraId="043815F9">
            <w:pPr>
              <w:rPr>
                <w:rFonts w:hint="eastAsia" w:ascii="宋体" w:hAnsi="宋体" w:eastAsia="宋体" w:cs="宋体"/>
                <w:color w:val="auto"/>
                <w:szCs w:val="21"/>
                <w:lang w:eastAsia="zh-CN"/>
              </w:rPr>
            </w:pPr>
          </w:p>
        </w:tc>
        <w:tc>
          <w:tcPr>
            <w:tcW w:w="1985" w:type="dxa"/>
            <w:noWrap w:val="0"/>
            <w:vAlign w:val="top"/>
          </w:tcPr>
          <w:p w14:paraId="74CFDA81">
            <w:pPr>
              <w:rPr>
                <w:rFonts w:hint="eastAsia" w:ascii="宋体" w:hAnsi="宋体" w:eastAsia="宋体" w:cs="宋体"/>
                <w:color w:val="auto"/>
                <w:szCs w:val="21"/>
                <w:lang w:eastAsia="zh-CN"/>
              </w:rPr>
            </w:pPr>
          </w:p>
        </w:tc>
        <w:tc>
          <w:tcPr>
            <w:tcW w:w="1168" w:type="dxa"/>
            <w:noWrap w:val="0"/>
            <w:vAlign w:val="top"/>
          </w:tcPr>
          <w:p w14:paraId="7AF7510B">
            <w:pPr>
              <w:rPr>
                <w:rFonts w:hint="eastAsia" w:ascii="宋体" w:hAnsi="宋体" w:eastAsia="宋体" w:cs="宋体"/>
                <w:color w:val="auto"/>
                <w:szCs w:val="21"/>
                <w:lang w:eastAsia="zh-CN"/>
              </w:rPr>
            </w:pPr>
          </w:p>
        </w:tc>
        <w:tc>
          <w:tcPr>
            <w:tcW w:w="900" w:type="dxa"/>
            <w:noWrap w:val="0"/>
            <w:vAlign w:val="top"/>
          </w:tcPr>
          <w:p w14:paraId="5E5A936F">
            <w:pPr>
              <w:rPr>
                <w:rFonts w:hint="eastAsia" w:ascii="宋体" w:hAnsi="宋体" w:eastAsia="宋体" w:cs="宋体"/>
                <w:color w:val="auto"/>
                <w:szCs w:val="21"/>
                <w:lang w:eastAsia="zh-CN"/>
              </w:rPr>
            </w:pPr>
          </w:p>
        </w:tc>
        <w:tc>
          <w:tcPr>
            <w:tcW w:w="1168" w:type="dxa"/>
            <w:noWrap w:val="0"/>
            <w:vAlign w:val="top"/>
          </w:tcPr>
          <w:p w14:paraId="658FD43A">
            <w:pPr>
              <w:rPr>
                <w:rFonts w:hint="eastAsia" w:ascii="宋体" w:hAnsi="宋体" w:eastAsia="宋体" w:cs="宋体"/>
                <w:color w:val="auto"/>
                <w:szCs w:val="21"/>
                <w:lang w:eastAsia="zh-CN"/>
              </w:rPr>
            </w:pPr>
          </w:p>
        </w:tc>
      </w:tr>
    </w:tbl>
    <w:p w14:paraId="529895B3">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填表说明：</w:t>
      </w:r>
    </w:p>
    <w:p w14:paraId="17994E13">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（1）供应商应根据报价设备的性能指标、对照招标文件要求在“偏离情况”栏注明“正偏离”“负偏离”或“无偏离”。 </w:t>
      </w:r>
    </w:p>
    <w:p w14:paraId="5ADA12B8">
      <w:pPr>
        <w:keepNext w:val="0"/>
        <w:keepLines w:val="0"/>
        <w:pageBreakBefore w:val="0"/>
        <w:widowControl w:val="0"/>
        <w:kinsoku/>
        <w:wordWrap/>
        <w:overflowPunct/>
        <w:topLinePunct w:val="0"/>
        <w:autoSpaceDE/>
        <w:autoSpaceDN/>
        <w:bidi w:val="0"/>
        <w:adjustRightInd/>
        <w:snapToGrid/>
        <w:spacing w:line="0" w:lineRule="atLeast"/>
        <w:ind w:firstLine="44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（2）供应商必须根据采购需求及要求中“技术要求” 在“技术参数偏离表”中作出全面、真实的反映，供应商除如实填写技术规格偏离表外，投标文件中必须提供技术支持资料支持参数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0A0D3825">
      <w:pPr>
        <w:wordWrap w:val="0"/>
        <w:overflowPunct w:val="0"/>
        <w:topLinePunct/>
        <w:spacing w:line="360" w:lineRule="auto"/>
        <w:jc w:val="center"/>
        <w:rPr>
          <w:rFonts w:hint="eastAsia" w:ascii="宋体" w:hAnsi="宋体" w:eastAsia="宋体" w:cs="宋体"/>
          <w:b w:val="0"/>
          <w:bCs/>
          <w:color w:val="auto"/>
          <w:sz w:val="24"/>
          <w:lang w:eastAsia="zh-CN"/>
        </w:rPr>
      </w:pPr>
    </w:p>
    <w:p w14:paraId="7E4700A1">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4E38DEEA">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（电子签章）</w:t>
      </w:r>
    </w:p>
    <w:p w14:paraId="576D86C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val="0"/>
          <w:bCs/>
          <w:color w:val="auto"/>
          <w:sz w:val="24"/>
        </w:rPr>
        <w:sectPr>
          <w:pgSz w:w="11906" w:h="16838"/>
          <w:pgMar w:top="1440" w:right="1080" w:bottom="1440" w:left="1080" w:header="709" w:footer="596" w:gutter="0"/>
          <w:pgNumType w:fmt="decimal"/>
          <w:cols w:space="720" w:num="1"/>
          <w:titlePg/>
          <w:docGrid w:linePitch="299" w:charSpace="0"/>
        </w:sect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33606E06">
      <w:pPr>
        <w:widowControl w:val="0"/>
        <w:ind w:left="100"/>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附件（若有）：</w:t>
      </w:r>
    </w:p>
    <w:p w14:paraId="337479BD">
      <w:pPr>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jc w:val="center"/>
        <w:textAlignment w:val="auto"/>
        <w:outlineLvl w:val="1"/>
        <w:rPr>
          <w:rFonts w:hint="eastAsia" w:ascii="宋体" w:hAnsi="宋体" w:eastAsia="宋体" w:cs="宋体"/>
          <w:b/>
          <w:color w:val="auto"/>
          <w:sz w:val="24"/>
          <w:szCs w:val="24"/>
          <w:lang w:val="en-US" w:eastAsia="en-US" w:bidi="ar-SA"/>
        </w:rPr>
      </w:pPr>
      <w:bookmarkStart w:id="1946" w:name="_Toc120277435"/>
      <w:bookmarkStart w:id="1947" w:name="_Toc29502"/>
      <w:bookmarkStart w:id="1948" w:name="_Toc13336"/>
      <w:bookmarkStart w:id="1949" w:name="_Toc23937"/>
      <w:r>
        <w:rPr>
          <w:rFonts w:hint="eastAsia" w:ascii="宋体" w:hAnsi="宋体" w:eastAsia="宋体" w:cs="宋体"/>
          <w:b/>
          <w:color w:val="auto"/>
          <w:sz w:val="32"/>
          <w:szCs w:val="32"/>
          <w:lang w:val="en-US" w:eastAsia="en-US" w:bidi="ar-SA"/>
        </w:rPr>
        <w:t>配置清单</w:t>
      </w:r>
      <w:bookmarkEnd w:id="1946"/>
      <w:bookmarkEnd w:id="1947"/>
      <w:bookmarkEnd w:id="1948"/>
      <w:bookmarkEnd w:id="1949"/>
    </w:p>
    <w:p w14:paraId="04A49E2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宋体" w:hAnsi="宋体" w:eastAsia="宋体" w:cs="宋体"/>
          <w:b/>
          <w:bCs/>
          <w:color w:val="auto"/>
          <w:sz w:val="24"/>
          <w:szCs w:val="24"/>
          <w:lang w:val="en-US" w:eastAsia="zh-CN"/>
        </w:rPr>
        <w:sectPr>
          <w:pgSz w:w="11906" w:h="16838"/>
          <w:pgMar w:top="1134" w:right="1134" w:bottom="1134" w:left="1134" w:header="709" w:footer="596" w:gutter="0"/>
          <w:pgNumType w:fmt="decimal"/>
          <w:cols w:space="720" w:num="1"/>
          <w:titlePg/>
          <w:rtlGutter w:val="0"/>
          <w:docGrid w:linePitch="299" w:charSpace="0"/>
        </w:sectPr>
      </w:pPr>
      <w:r>
        <w:rPr>
          <w:rFonts w:hint="eastAsia" w:ascii="宋体" w:hAnsi="宋体" w:eastAsia="宋体" w:cs="宋体"/>
          <w:color w:val="auto"/>
          <w:sz w:val="24"/>
          <w:szCs w:val="24"/>
        </w:rPr>
        <w:t>根据招标文件</w:t>
      </w: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章</w:t>
      </w:r>
      <w:r>
        <w:rPr>
          <w:rFonts w:hint="eastAsia" w:ascii="宋体" w:hAnsi="宋体" w:eastAsia="宋体" w:cs="宋体"/>
          <w:color w:val="auto"/>
          <w:sz w:val="24"/>
          <w:szCs w:val="24"/>
          <w:lang w:val="en-US" w:eastAsia="zh-CN"/>
        </w:rPr>
        <w:t xml:space="preserve"> 采购需求及要求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，列出投标产品详细配置清单，必须包括在《技术规格偏离表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商务条款偏离表》中响应提供的所有软件产品、硬件产品、第三方产品及相关服务。配置清单必须包含产品名称、制造商名称、规格型号及数量。格式由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自拟。</w:t>
      </w:r>
    </w:p>
    <w:p w14:paraId="284E4765">
      <w:pPr>
        <w:keepNext w:val="0"/>
        <w:keepLines w:val="0"/>
        <w:pageBreakBefore w:val="0"/>
        <w:widowControl w:val="0"/>
        <w:kinsoku/>
        <w:wordWrap w:val="0"/>
        <w:overflowPunct/>
        <w:topLinePunct/>
        <w:autoSpaceDE/>
        <w:autoSpaceDN/>
        <w:bidi w:val="0"/>
        <w:adjustRightInd/>
        <w:snapToGrid/>
        <w:ind w:left="0" w:leftChars="0" w:right="0"/>
        <w:jc w:val="center"/>
        <w:outlineLvl w:val="2"/>
        <w:rPr>
          <w:rFonts w:hint="eastAsia" w:ascii="宋体" w:hAnsi="宋体" w:eastAsia="宋体" w:cs="宋体"/>
          <w:b/>
          <w:bCs/>
          <w:color w:val="auto"/>
          <w:sz w:val="30"/>
          <w:szCs w:val="30"/>
          <w:lang w:val="en-US" w:eastAsia="zh-CN" w:bidi="ar-SA"/>
        </w:rPr>
      </w:pPr>
      <w:bookmarkStart w:id="1950" w:name="_Toc12948"/>
      <w:bookmarkStart w:id="1951" w:name="_Toc12564"/>
      <w:bookmarkStart w:id="1952" w:name="_Toc11374"/>
      <w:bookmarkStart w:id="1953" w:name="_Toc2453"/>
      <w:r>
        <w:rPr>
          <w:rFonts w:hint="eastAsia" w:ascii="宋体" w:hAnsi="宋体" w:eastAsia="宋体" w:cs="宋体"/>
          <w:b/>
          <w:bCs/>
          <w:color w:val="auto"/>
          <w:sz w:val="30"/>
          <w:szCs w:val="32"/>
          <w:lang w:val="en-US" w:eastAsia="zh-CN" w:bidi="ar-SA"/>
        </w:rPr>
        <w:t>二、廉洁承诺书</w:t>
      </w:r>
      <w:bookmarkEnd w:id="1950"/>
      <w:bookmarkEnd w:id="1951"/>
      <w:bookmarkEnd w:id="1952"/>
      <w:r>
        <w:rPr>
          <w:rFonts w:hint="eastAsia" w:ascii="宋体" w:hAnsi="宋体" w:eastAsia="宋体" w:cs="宋体"/>
          <w:b/>
          <w:bCs/>
          <w:color w:val="auto"/>
          <w:sz w:val="30"/>
          <w:szCs w:val="32"/>
          <w:lang w:val="en-US" w:eastAsia="zh-CN" w:bidi="ar-SA"/>
        </w:rPr>
        <w:t>（实质性格式）</w:t>
      </w:r>
      <w:bookmarkEnd w:id="1953"/>
    </w:p>
    <w:p w14:paraId="5CB7A2FC">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color w:val="auto"/>
          <w:sz w:val="30"/>
          <w:szCs w:val="30"/>
          <w:lang w:eastAsia="zh-CN"/>
        </w:rPr>
      </w:pPr>
    </w:p>
    <w:p w14:paraId="78C835AA">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宋体" w:hAnsi="宋体" w:eastAsia="宋体" w:cs="宋体"/>
          <w:b/>
          <w:bCs/>
          <w:color w:val="auto"/>
          <w:spacing w:val="40"/>
          <w:sz w:val="32"/>
          <w:szCs w:val="28"/>
          <w:lang w:eastAsia="zh-CN"/>
        </w:rPr>
      </w:pPr>
    </w:p>
    <w:p w14:paraId="2E9DA40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本企业参与</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rPr>
        <w:t>项目编号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的供应商，现做如下承诺：</w:t>
      </w:r>
    </w:p>
    <w:p w14:paraId="680DA4C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1、所提供的一切材料都是真实、有效、合法的。</w:t>
      </w:r>
    </w:p>
    <w:p w14:paraId="4F03F17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2、不与其他供应商串通投标，不损害采购人或其他供应商的合法权益。</w:t>
      </w:r>
    </w:p>
    <w:p w14:paraId="5E4FBF8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3、不转让、出租、出借资质证书、人员岗位证书或以其他方式允许他人以本企业名义投标。</w:t>
      </w:r>
    </w:p>
    <w:p w14:paraId="7985803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4、不与采购人或采购代理机构串通投标，损害国家利益、社会公共利益或者他人的合法权益。</w:t>
      </w:r>
    </w:p>
    <w:p w14:paraId="3F0AFD4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5、不向采购人、评审委员会成员、监督人员行贿。</w:t>
      </w:r>
    </w:p>
    <w:p w14:paraId="302346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6、不扰乱招标投标活动正常秩序。</w:t>
      </w:r>
    </w:p>
    <w:p w14:paraId="01F27DB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7、不进行虚假恶意投诉。</w:t>
      </w:r>
    </w:p>
    <w:p w14:paraId="4A0AFB5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8、因违反法律法规、规章被查处的，不干预案件查处。</w:t>
      </w:r>
    </w:p>
    <w:p w14:paraId="228E452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如出现上述行为，本供应商自愿承担相关责任，接受招标投标监督管理部门、纪检监察部门或司法机关调查处理。给采购人造成损失的，依法承担赔偿责任。</w:t>
      </w:r>
    </w:p>
    <w:p w14:paraId="4D5E7C2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09FD9ABF">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4714DEC1">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2BFC8AE7">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21F2B482">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767F9A6C">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4CE04198">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562EAF1E">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07A6FE2B">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val="en-US" w:eastAsia="zh-CN" w:bidi="ar-SA"/>
        </w:rPr>
      </w:pPr>
    </w:p>
    <w:p w14:paraId="4B682D6B">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4"/>
          <w:szCs w:val="24"/>
          <w:lang w:eastAsia="zh-CN"/>
        </w:rPr>
      </w:pPr>
    </w:p>
    <w:p w14:paraId="41A3EEFA">
      <w:pPr>
        <w:keepNext w:val="0"/>
        <w:keepLines w:val="0"/>
        <w:pageBreakBefore w:val="0"/>
        <w:widowControl w:val="0"/>
        <w:kinsoku/>
        <w:wordWrap w:val="0"/>
        <w:overflowPunct/>
        <w:topLinePunct/>
        <w:autoSpaceDE/>
        <w:autoSpaceDN/>
        <w:bidi w:val="0"/>
        <w:adjustRightInd/>
        <w:snapToGrid/>
        <w:ind w:left="0" w:leftChars="0" w:right="0"/>
        <w:rPr>
          <w:rFonts w:hint="eastAsia" w:ascii="宋体" w:hAnsi="宋体" w:eastAsia="宋体" w:cs="宋体"/>
          <w:color w:val="auto"/>
          <w:sz w:val="21"/>
          <w:szCs w:val="21"/>
          <w:lang w:val="en-US" w:eastAsia="zh-CN" w:bidi="ar-SA"/>
        </w:rPr>
      </w:pPr>
    </w:p>
    <w:p w14:paraId="61479F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宋体" w:hAnsi="宋体" w:eastAsia="宋体" w:cs="宋体"/>
          <w:color w:val="auto"/>
          <w:sz w:val="24"/>
          <w:szCs w:val="24"/>
          <w:lang w:eastAsia="zh-CN"/>
        </w:rPr>
      </w:pPr>
    </w:p>
    <w:p w14:paraId="0240092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704D22F3">
      <w:pPr>
        <w:keepNext w:val="0"/>
        <w:keepLines w:val="0"/>
        <w:pageBreakBefore w:val="0"/>
        <w:widowControl w:val="0"/>
        <w:kinsoku/>
        <w:wordWrap w:val="0"/>
        <w:overflowPunct w:val="0"/>
        <w:topLinePunct/>
        <w:autoSpaceDE/>
        <w:autoSpaceDN/>
        <w:bidi w:val="0"/>
        <w:adjustRightInd/>
        <w:snapToGrid/>
        <w:spacing w:line="360" w:lineRule="auto"/>
        <w:ind w:left="100"/>
        <w:jc w:val="center"/>
        <w:outlineLvl w:val="1"/>
        <w:rPr>
          <w:rFonts w:hint="eastAsia" w:ascii="宋体" w:hAnsi="宋体" w:eastAsia="宋体" w:cs="宋体"/>
          <w:b w:val="0"/>
          <w:bCs w:val="0"/>
          <w:color w:val="auto"/>
          <w:sz w:val="32"/>
          <w:szCs w:val="32"/>
          <w:lang w:val="en-US" w:eastAsia="zh-CN" w:bidi="ar-SA"/>
        </w:rPr>
      </w:pPr>
      <w:bookmarkStart w:id="1954" w:name="_Toc6141"/>
      <w:r>
        <w:rPr>
          <w:rFonts w:hint="eastAsia" w:ascii="宋体" w:hAnsi="宋体" w:eastAsia="宋体" w:cs="宋体"/>
          <w:b w:val="0"/>
          <w:bCs w:val="0"/>
          <w:color w:val="auto"/>
          <w:sz w:val="24"/>
          <w:szCs w:val="24"/>
          <w:lang w:val="en-US" w:eastAsia="zh-CN" w:bidi="ar-SA"/>
        </w:rPr>
        <w:t>日期：</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年</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月</w:t>
      </w:r>
      <w:r>
        <w:rPr>
          <w:rFonts w:hint="eastAsia" w:ascii="宋体" w:hAnsi="宋体" w:eastAsia="宋体" w:cs="宋体"/>
          <w:b w:val="0"/>
          <w:bCs w:val="0"/>
          <w:color w:val="auto"/>
          <w:sz w:val="24"/>
          <w:szCs w:val="24"/>
          <w:u w:val="single"/>
          <w:lang w:val="en-US" w:eastAsia="zh-CN" w:bidi="ar-SA"/>
        </w:rPr>
        <w:t xml:space="preserve">     </w:t>
      </w:r>
      <w:r>
        <w:rPr>
          <w:rFonts w:hint="eastAsia" w:ascii="宋体" w:hAnsi="宋体" w:eastAsia="宋体" w:cs="宋体"/>
          <w:b w:val="0"/>
          <w:bCs w:val="0"/>
          <w:color w:val="auto"/>
          <w:sz w:val="24"/>
          <w:szCs w:val="24"/>
          <w:lang w:val="en-US" w:eastAsia="zh-CN" w:bidi="ar-SA"/>
        </w:rPr>
        <w:t>日</w:t>
      </w:r>
      <w:bookmarkEnd w:id="1954"/>
    </w:p>
    <w:p w14:paraId="5A0BCD37">
      <w:pPr>
        <w:keepNext w:val="0"/>
        <w:keepLines w:val="0"/>
        <w:pageBreakBefore w:val="0"/>
        <w:widowControl w:val="0"/>
        <w:kinsoku/>
        <w:wordWrap w:val="0"/>
        <w:overflowPunct w:val="0"/>
        <w:topLinePunct/>
        <w:autoSpaceDE/>
        <w:autoSpaceDN/>
        <w:bidi w:val="0"/>
        <w:adjustRightInd/>
        <w:snapToGrid/>
        <w:spacing w:line="360" w:lineRule="auto"/>
        <w:ind w:left="100"/>
        <w:jc w:val="center"/>
        <w:outlineLvl w:val="1"/>
        <w:rPr>
          <w:rFonts w:hint="eastAsia" w:ascii="宋体" w:hAnsi="宋体" w:eastAsia="宋体" w:cs="宋体"/>
          <w:b/>
          <w:bCs/>
          <w:color w:val="auto"/>
          <w:sz w:val="32"/>
          <w:szCs w:val="32"/>
          <w:lang w:val="en-US" w:eastAsia="zh-CN" w:bidi="ar-SA"/>
        </w:rPr>
      </w:pPr>
    </w:p>
    <w:p w14:paraId="4C529BC0">
      <w:pPr>
        <w:keepNext w:val="0"/>
        <w:keepLines w:val="0"/>
        <w:pageBreakBefore w:val="0"/>
        <w:widowControl w:val="0"/>
        <w:kinsoku/>
        <w:wordWrap w:val="0"/>
        <w:overflowPunct w:val="0"/>
        <w:topLinePunct/>
        <w:autoSpaceDE/>
        <w:autoSpaceDN/>
        <w:bidi w:val="0"/>
        <w:adjustRightInd/>
        <w:snapToGrid/>
        <w:spacing w:line="360" w:lineRule="auto"/>
        <w:ind w:left="100"/>
        <w:jc w:val="center"/>
        <w:outlineLvl w:val="1"/>
        <w:rPr>
          <w:rFonts w:hint="eastAsia" w:ascii="宋体" w:hAnsi="宋体" w:eastAsia="宋体" w:cs="宋体"/>
          <w:b/>
          <w:bCs/>
          <w:color w:val="auto"/>
          <w:sz w:val="32"/>
          <w:szCs w:val="32"/>
          <w:lang w:val="en-US" w:eastAsia="zh-CN" w:bidi="ar-SA"/>
        </w:rPr>
      </w:pPr>
    </w:p>
    <w:p w14:paraId="5305AFBC">
      <w:pPr>
        <w:rPr>
          <w:rFonts w:hint="eastAsia" w:eastAsia="宋体" w:cs="Times New Roman"/>
          <w:color w:val="auto"/>
          <w:lang w:val="en-US" w:eastAsia="zh-CN"/>
        </w:rPr>
      </w:pPr>
    </w:p>
    <w:p w14:paraId="37D898B7">
      <w:pPr>
        <w:keepNext w:val="0"/>
        <w:keepLines w:val="0"/>
        <w:pageBreakBefore w:val="0"/>
        <w:widowControl w:val="0"/>
        <w:kinsoku/>
        <w:wordWrap w:val="0"/>
        <w:overflowPunct w:val="0"/>
        <w:topLinePunct/>
        <w:autoSpaceDE/>
        <w:autoSpaceDN/>
        <w:bidi w:val="0"/>
        <w:adjustRightInd/>
        <w:snapToGrid/>
        <w:spacing w:line="360" w:lineRule="auto"/>
        <w:ind w:left="100"/>
        <w:jc w:val="center"/>
        <w:outlineLvl w:val="1"/>
        <w:rPr>
          <w:rFonts w:hint="eastAsia" w:ascii="宋体" w:hAnsi="宋体" w:eastAsia="宋体" w:cs="宋体"/>
          <w:b/>
          <w:bCs/>
          <w:color w:val="auto"/>
          <w:spacing w:val="40"/>
          <w:sz w:val="32"/>
          <w:szCs w:val="28"/>
          <w:lang w:val="en-US" w:eastAsia="zh-CN" w:bidi="ar-SA"/>
        </w:rPr>
      </w:pPr>
      <w:bookmarkStart w:id="1955" w:name="_Toc19738"/>
      <w:r>
        <w:rPr>
          <w:rFonts w:hint="eastAsia" w:ascii="宋体" w:hAnsi="宋体" w:eastAsia="宋体" w:cs="宋体"/>
          <w:b/>
          <w:bCs/>
          <w:color w:val="auto"/>
          <w:sz w:val="32"/>
          <w:szCs w:val="32"/>
          <w:lang w:val="en-US" w:eastAsia="zh-CN" w:bidi="ar-SA"/>
        </w:rPr>
        <w:t>三、知识产权声明函（实质性格式）</w:t>
      </w:r>
      <w:bookmarkEnd w:id="1955"/>
    </w:p>
    <w:p w14:paraId="3DC6D0DC">
      <w:pPr>
        <w:keepNext w:val="0"/>
        <w:keepLines w:val="0"/>
        <w:pageBreakBefore w:val="0"/>
        <w:widowControl w:val="0"/>
        <w:kinsoku/>
        <w:wordWrap w:val="0"/>
        <w:overflowPunct w:val="0"/>
        <w:topLinePunct/>
        <w:autoSpaceDE/>
        <w:autoSpaceDN/>
        <w:bidi w:val="0"/>
        <w:adjustRightInd/>
        <w:snapToGrid/>
        <w:spacing w:line="52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val="en-US" w:eastAsia="zh-CN"/>
        </w:rPr>
        <w:t>南华县人民医院</w:t>
      </w:r>
      <w:r>
        <w:rPr>
          <w:rFonts w:hint="eastAsia" w:ascii="宋体" w:hAnsi="宋体" w:eastAsia="宋体" w:cs="宋体"/>
          <w:color w:val="auto"/>
          <w:sz w:val="24"/>
          <w:szCs w:val="24"/>
          <w:lang w:eastAsia="zh-CN"/>
        </w:rPr>
        <w:t>：</w:t>
      </w:r>
    </w:p>
    <w:p w14:paraId="22A572BC">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我公司</w:t>
      </w:r>
      <w:r>
        <w:rPr>
          <w:rFonts w:hint="eastAsia" w:ascii="宋体" w:hAnsi="宋体" w:eastAsia="宋体" w:cs="宋体"/>
          <w:color w:val="auto"/>
          <w:sz w:val="24"/>
          <w:szCs w:val="24"/>
          <w:u w:val="single"/>
          <w:lang w:eastAsia="zh-CN"/>
        </w:rPr>
        <w:t>（供应商名称）</w:t>
      </w:r>
      <w:r>
        <w:rPr>
          <w:rFonts w:hint="eastAsia" w:ascii="宋体" w:hAnsi="宋体" w:eastAsia="宋体" w:cs="宋体"/>
          <w:color w:val="auto"/>
          <w:sz w:val="24"/>
          <w:szCs w:val="24"/>
          <w:lang w:eastAsia="zh-CN"/>
        </w:rPr>
        <w:t>已详细阅读了</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lang w:eastAsia="zh-CN"/>
        </w:rPr>
        <w:t>，现承诺声明：</w:t>
      </w:r>
    </w:p>
    <w:p w14:paraId="7D94EBF0">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本单位保证在本项目使用的任何产品和服务（包括部分使用）时，不会产生因第三方提出侵犯其专利权、商标权或其他知识产权而引起的法律和经济纠纷，如因专利权、商标权或其他知识产权而引起法律和经济纠纷，由本单位承担所有相关责任。</w:t>
      </w:r>
    </w:p>
    <w:p w14:paraId="3A6B00FE">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（二）采购人享有本项目实施过程中产生的知识成果及知识产权。</w:t>
      </w:r>
    </w:p>
    <w:p w14:paraId="29875A52">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本单位声明如果在项目实施过程中涉及采用自有知识成果，本单位提供使用自有知识成果的相关资料并为其真实性单独负责，在使用该知识成果后，本单位提供开发接口和开发手册等技术文档给采购人，并承诺提供无限期技术支持，采购人享有永久使用权（含采购人委托第三方在该项目后续开发的使用权）。</w:t>
      </w:r>
    </w:p>
    <w:p w14:paraId="4DF214C3">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（四）如采用本单位所拥有的知识产权，本单位承诺在本项目投标报价中已经包括合法获取该知识产权的相关费用。</w:t>
      </w:r>
    </w:p>
    <w:p w14:paraId="2102E1E2">
      <w:pPr>
        <w:keepNext w:val="0"/>
        <w:keepLines w:val="0"/>
        <w:pageBreakBefore w:val="0"/>
        <w:widowControl w:val="0"/>
        <w:kinsoku/>
        <w:wordWrap w:val="0"/>
        <w:overflowPunct w:val="0"/>
        <w:topLinePunct/>
        <w:autoSpaceDE/>
        <w:autoSpaceDN/>
        <w:bidi w:val="0"/>
        <w:adjustRightInd/>
        <w:snapToGrid/>
        <w:spacing w:line="52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本公司对上述承诺声明内容和事项真实性负责。如经查实上述承诺声明的内容事项存在虚假或未履行，本单位愿意接受以提供虚假材料谋取中标追究法律责任。</w:t>
      </w:r>
    </w:p>
    <w:p w14:paraId="33B0F238">
      <w:pPr>
        <w:keepNext w:val="0"/>
        <w:keepLines w:val="0"/>
        <w:pageBreakBefore w:val="0"/>
        <w:widowControl w:val="0"/>
        <w:kinsoku/>
        <w:wordWrap w:val="0"/>
        <w:overflowPunct w:val="0"/>
        <w:topLinePunct/>
        <w:autoSpaceDE/>
        <w:autoSpaceDN/>
        <w:bidi w:val="0"/>
        <w:adjustRightInd/>
        <w:snapToGrid/>
        <w:spacing w:before="30" w:beforeLines="0" w:line="360" w:lineRule="auto"/>
        <w:ind w:left="0" w:leftChars="0" w:firstLine="0" w:firstLineChars="0"/>
        <w:rPr>
          <w:rFonts w:hint="eastAsia" w:ascii="宋体" w:hAnsi="宋体" w:eastAsia="宋体" w:cs="宋体"/>
          <w:color w:val="auto"/>
          <w:sz w:val="24"/>
          <w:szCs w:val="24"/>
          <w:lang w:val="en-US" w:eastAsia="zh-CN" w:bidi="ar-SA"/>
        </w:rPr>
      </w:pPr>
    </w:p>
    <w:p w14:paraId="67BECB82">
      <w:pPr>
        <w:keepNext w:val="0"/>
        <w:keepLines w:val="0"/>
        <w:pageBreakBefore w:val="0"/>
        <w:widowControl w:val="0"/>
        <w:kinsoku/>
        <w:wordWrap w:val="0"/>
        <w:overflowPunct w:val="0"/>
        <w:topLinePunct/>
        <w:autoSpaceDE/>
        <w:autoSpaceDN/>
        <w:bidi w:val="0"/>
        <w:adjustRightInd/>
        <w:snapToGrid/>
        <w:spacing w:before="30" w:beforeLines="0" w:line="360" w:lineRule="auto"/>
        <w:ind w:left="0" w:leftChars="0" w:firstLine="0" w:firstLineChars="0"/>
        <w:rPr>
          <w:rFonts w:hint="eastAsia" w:ascii="宋体" w:hAnsi="宋体" w:eastAsia="宋体" w:cs="宋体"/>
          <w:color w:val="auto"/>
          <w:sz w:val="24"/>
          <w:szCs w:val="24"/>
          <w:lang w:val="en-US" w:eastAsia="zh-CN" w:bidi="ar-SA"/>
        </w:rPr>
      </w:pPr>
    </w:p>
    <w:p w14:paraId="6E50C0F8">
      <w:pPr>
        <w:keepNext w:val="0"/>
        <w:keepLines w:val="0"/>
        <w:pageBreakBefore w:val="0"/>
        <w:widowControl w:val="0"/>
        <w:kinsoku/>
        <w:wordWrap w:val="0"/>
        <w:overflowPunct w:val="0"/>
        <w:topLinePunct/>
        <w:autoSpaceDE/>
        <w:autoSpaceDN/>
        <w:bidi w:val="0"/>
        <w:adjustRightInd/>
        <w:snapToGrid/>
        <w:spacing w:before="30" w:beforeLines="0" w:line="360" w:lineRule="auto"/>
        <w:ind w:left="0" w:leftChars="0" w:firstLine="0" w:firstLineChars="0"/>
        <w:rPr>
          <w:rFonts w:hint="eastAsia" w:ascii="宋体" w:hAnsi="宋体" w:eastAsia="宋体" w:cs="宋体"/>
          <w:color w:val="auto"/>
          <w:sz w:val="24"/>
          <w:szCs w:val="24"/>
          <w:lang w:val="en-US" w:eastAsia="zh-CN" w:bidi="ar-SA"/>
        </w:rPr>
      </w:pPr>
    </w:p>
    <w:p w14:paraId="5EE2A56B">
      <w:pPr>
        <w:keepNext w:val="0"/>
        <w:keepLines w:val="0"/>
        <w:pageBreakBefore w:val="0"/>
        <w:widowControl w:val="0"/>
        <w:kinsoku/>
        <w:wordWrap w:val="0"/>
        <w:overflowPunct w:val="0"/>
        <w:topLinePunct/>
        <w:autoSpaceDE/>
        <w:autoSpaceDN/>
        <w:bidi w:val="0"/>
        <w:adjustRightInd/>
        <w:snapToGrid/>
        <w:spacing w:before="30" w:beforeLines="0" w:line="360" w:lineRule="auto"/>
        <w:ind w:firstLineChars="200"/>
        <w:rPr>
          <w:rFonts w:hint="eastAsia" w:ascii="宋体" w:hAnsi="宋体" w:eastAsia="宋体" w:cs="宋体"/>
          <w:color w:val="auto"/>
          <w:sz w:val="24"/>
          <w:szCs w:val="24"/>
          <w:lang w:val="en-US" w:eastAsia="zh-CN" w:bidi="ar-SA"/>
        </w:rPr>
      </w:pPr>
    </w:p>
    <w:p w14:paraId="30F3CB3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6FB4A2B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0221AAC">
      <w:pPr>
        <w:spacing w:line="360" w:lineRule="auto"/>
        <w:jc w:val="center"/>
        <w:rPr>
          <w:rFonts w:hint="eastAsia" w:ascii="宋体" w:hAnsi="宋体" w:eastAsia="宋体" w:cs="宋体"/>
          <w:b/>
          <w:bCs/>
          <w:color w:val="auto"/>
          <w:sz w:val="30"/>
          <w:szCs w:val="30"/>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18"/>
          <w:szCs w:val="18"/>
          <w:lang w:eastAsia="zh-CN"/>
        </w:rPr>
        <w:br w:type="page"/>
      </w:r>
      <w:r>
        <w:rPr>
          <w:rFonts w:hint="eastAsia" w:ascii="宋体" w:hAnsi="宋体" w:eastAsia="宋体" w:cs="宋体"/>
          <w:b/>
          <w:bCs/>
          <w:color w:val="auto"/>
          <w:sz w:val="30"/>
          <w:szCs w:val="30"/>
          <w:lang w:val="en-US" w:eastAsia="zh-CN"/>
        </w:rPr>
        <w:t>四、</w:t>
      </w:r>
      <w:r>
        <w:rPr>
          <w:rFonts w:hint="eastAsia" w:ascii="宋体" w:hAnsi="宋体" w:eastAsia="宋体" w:cs="宋体"/>
          <w:b/>
          <w:bCs/>
          <w:color w:val="auto"/>
          <w:sz w:val="30"/>
          <w:szCs w:val="30"/>
          <w:lang w:eastAsia="zh-CN"/>
        </w:rPr>
        <w:t>投标质量保证书</w:t>
      </w:r>
      <w:r>
        <w:rPr>
          <w:rFonts w:hint="eastAsia" w:ascii="宋体" w:hAnsi="宋体" w:eastAsia="宋体" w:cs="宋体"/>
          <w:b/>
          <w:bCs/>
          <w:color w:val="auto"/>
          <w:sz w:val="30"/>
          <w:szCs w:val="30"/>
          <w:lang w:val="en-US" w:eastAsia="zh-CN"/>
        </w:rPr>
        <w:t>（实质性格式）</w:t>
      </w:r>
    </w:p>
    <w:p w14:paraId="33A59B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p>
    <w:p w14:paraId="12318D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致：</w:t>
      </w:r>
      <w:r>
        <w:rPr>
          <w:rFonts w:hint="eastAsia" w:ascii="宋体" w:hAnsi="宋体" w:eastAsia="宋体" w:cs="宋体"/>
          <w:b/>
          <w:color w:val="auto"/>
          <w:sz w:val="24"/>
          <w:szCs w:val="24"/>
          <w:u w:val="single"/>
          <w:lang w:eastAsia="zh-CN"/>
        </w:rPr>
        <w:t>南华县人民医院</w:t>
      </w:r>
    </w:p>
    <w:p w14:paraId="29D7339B">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74CFF492">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本投标书作为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供应商）对南华县人民医院委</w:t>
      </w:r>
      <w:r>
        <w:rPr>
          <w:rFonts w:hint="eastAsia" w:ascii="宋体" w:hAnsi="宋体" w:eastAsia="宋体" w:cs="宋体"/>
          <w:color w:val="auto"/>
          <w:sz w:val="24"/>
          <w:szCs w:val="24"/>
          <w:highlight w:val="none"/>
          <w:lang w:eastAsia="zh-CN"/>
        </w:rPr>
        <w:t>托楚雄腾凯工程项目管理有限公司</w:t>
      </w:r>
      <w:r>
        <w:rPr>
          <w:rFonts w:hint="eastAsia" w:ascii="宋体" w:hAnsi="宋体" w:eastAsia="宋体" w:cs="宋体"/>
          <w:color w:val="auto"/>
          <w:sz w:val="24"/>
          <w:szCs w:val="24"/>
          <w:lang w:eastAsia="zh-CN"/>
        </w:rPr>
        <w:t>组织的</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项目</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highlight w:val="none"/>
          <w:u w:val="single"/>
          <w:lang w:val="en-US" w:eastAsia="zh-CN"/>
        </w:rPr>
        <w:t xml:space="preserve"> 公开招标 </w:t>
      </w:r>
      <w:r>
        <w:rPr>
          <w:rFonts w:hint="eastAsia" w:ascii="宋体" w:hAnsi="宋体" w:eastAsia="宋体" w:cs="宋体"/>
          <w:color w:val="auto"/>
          <w:sz w:val="24"/>
          <w:highlight w:val="none"/>
          <w:lang w:val="en-US" w:eastAsia="zh-CN"/>
        </w:rPr>
        <w:t>采购活动</w:t>
      </w:r>
      <w:r>
        <w:rPr>
          <w:rFonts w:hint="eastAsia" w:ascii="宋体" w:hAnsi="宋体" w:eastAsia="宋体" w:cs="宋体"/>
          <w:color w:val="auto"/>
          <w:sz w:val="24"/>
          <w:szCs w:val="24"/>
          <w:lang w:eastAsia="zh-CN"/>
        </w:rPr>
        <w:t>提供质量保证的证明。</w:t>
      </w:r>
    </w:p>
    <w:p w14:paraId="3F8EBB61">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我方承诺提供以下质量保证并承担相应的法律责任：</w:t>
      </w:r>
    </w:p>
    <w:p w14:paraId="56C811F9">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1、提供的货物是全新的、符合国家质量标准、中国有关部门手续完备、具有生产企业质量保证书（或合格证明）的货物；</w:t>
      </w:r>
      <w:r>
        <w:rPr>
          <w:rFonts w:hint="eastAsia" w:ascii="宋体" w:hAnsi="宋体" w:eastAsia="宋体" w:cs="宋体"/>
          <w:b/>
          <w:bCs/>
          <w:color w:val="auto"/>
          <w:sz w:val="24"/>
          <w:szCs w:val="24"/>
          <w:lang w:val="en-US" w:eastAsia="zh-CN"/>
        </w:rPr>
        <w:t>保证产品为注效期内的合格产品。</w:t>
      </w:r>
    </w:p>
    <w:p w14:paraId="34B03987">
      <w:pPr>
        <w:keepNext w:val="0"/>
        <w:keepLines w:val="0"/>
        <w:pageBreakBefore w:val="0"/>
        <w:widowControl w:val="0"/>
        <w:kinsoku/>
        <w:wordWrap w:val="0"/>
        <w:overflowPunct w:val="0"/>
        <w:topLinePunct/>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r>
        <w:rPr>
          <w:rFonts w:hint="eastAsia" w:ascii="宋体" w:hAnsi="宋体" w:eastAsia="宋体" w:cs="宋体"/>
          <w:color w:val="auto"/>
          <w:kern w:val="2"/>
          <w:sz w:val="24"/>
          <w:szCs w:val="24"/>
          <w:lang w:val="en-US" w:eastAsia="zh-CN"/>
        </w:rPr>
        <w:t>所交付的设备须在交付日前</w:t>
      </w:r>
      <w:r>
        <w:rPr>
          <w:rFonts w:hint="eastAsia" w:ascii="宋体" w:hAnsi="宋体" w:eastAsia="宋体" w:cs="宋体"/>
          <w:i w:val="0"/>
          <w:iCs w:val="0"/>
          <w:color w:val="auto"/>
          <w:kern w:val="2"/>
          <w:sz w:val="24"/>
          <w:szCs w:val="24"/>
          <w:u w:val="single"/>
          <w:lang w:val="en-US" w:eastAsia="zh-CN"/>
        </w:rPr>
        <w:t>6</w:t>
      </w:r>
      <w:r>
        <w:rPr>
          <w:rFonts w:hint="eastAsia" w:ascii="宋体" w:hAnsi="宋体" w:eastAsia="宋体" w:cs="宋体"/>
          <w:color w:val="auto"/>
          <w:kern w:val="2"/>
          <w:sz w:val="24"/>
          <w:szCs w:val="24"/>
          <w:lang w:val="en-US" w:eastAsia="zh-CN"/>
        </w:rPr>
        <w:t>个月内生产的设备，进口产品可延长至</w:t>
      </w:r>
      <w:r>
        <w:rPr>
          <w:rFonts w:hint="eastAsia" w:ascii="宋体" w:hAnsi="宋体" w:eastAsia="宋体" w:cs="宋体"/>
          <w:color w:val="auto"/>
          <w:kern w:val="2"/>
          <w:sz w:val="24"/>
          <w:szCs w:val="24"/>
          <w:u w:val="single"/>
          <w:lang w:val="en-US" w:eastAsia="zh-CN"/>
        </w:rPr>
        <w:t>12</w:t>
      </w:r>
      <w:r>
        <w:rPr>
          <w:rFonts w:hint="eastAsia" w:ascii="宋体" w:hAnsi="宋体" w:eastAsia="宋体" w:cs="宋体"/>
          <w:color w:val="auto"/>
          <w:kern w:val="2"/>
          <w:sz w:val="24"/>
          <w:szCs w:val="24"/>
          <w:lang w:val="en-US" w:eastAsia="zh-CN"/>
        </w:rPr>
        <w:t>个月，以设备铭牌上出厂日期或生产日期为准。</w:t>
      </w:r>
    </w:p>
    <w:p w14:paraId="21753C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p>
    <w:p w14:paraId="3D1008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本保证书自开标日起90日内有效，如我方最终成交则至货物保质期满为止有效。</w:t>
      </w:r>
    </w:p>
    <w:p w14:paraId="34BFBE7C">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191F8077">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7F0C487E">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宋体" w:hAnsi="宋体" w:eastAsia="宋体" w:cs="宋体"/>
          <w:color w:val="auto"/>
          <w:sz w:val="24"/>
          <w:szCs w:val="24"/>
          <w:lang w:eastAsia="zh-CN"/>
        </w:rPr>
      </w:pPr>
    </w:p>
    <w:p w14:paraId="7FF4CBA0">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1311C9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573C0D1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6E46617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07E6FA4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B93803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3130578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rPr>
        <w:t>（单位负责人）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u w:val="none"/>
          <w:lang w:val="en-US" w:eastAsia="zh-CN"/>
        </w:rPr>
        <w:t>授权委托人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2AADA1F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sectPr>
          <w:pgSz w:w="11906" w:h="16838"/>
          <w:pgMar w:top="1440" w:right="1080" w:bottom="1440" w:left="1080" w:header="709" w:footer="596" w:gutter="0"/>
          <w:pgNumType w:fmt="decimal"/>
          <w:cols w:space="720" w:num="1"/>
          <w:titlePg/>
          <w:docGrid w:linePitch="299"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015E24F3">
      <w:pPr>
        <w:keepNext w:val="0"/>
        <w:keepLines w:val="0"/>
        <w:pageBreakBefore w:val="0"/>
        <w:widowControl w:val="0"/>
        <w:kinsoku/>
        <w:wordWrap w:val="0"/>
        <w:overflowPunct w:val="0"/>
        <w:topLinePunct/>
        <w:autoSpaceDE/>
        <w:autoSpaceDN/>
        <w:bidi w:val="0"/>
        <w:adjustRightInd/>
        <w:snapToGrid/>
        <w:spacing w:line="360" w:lineRule="auto"/>
        <w:jc w:val="center"/>
        <w:outlineLvl w:val="2"/>
        <w:rPr>
          <w:rFonts w:hint="eastAsia" w:ascii="宋体" w:hAnsi="宋体" w:eastAsia="宋体" w:cs="宋体"/>
          <w:b/>
          <w:color w:val="auto"/>
          <w:kern w:val="2"/>
          <w:sz w:val="28"/>
          <w:szCs w:val="28"/>
          <w:lang w:val="en-US" w:eastAsia="zh-CN" w:bidi="ar-SA"/>
        </w:rPr>
      </w:pPr>
      <w:bookmarkStart w:id="1956" w:name="_Toc9719"/>
      <w:r>
        <w:rPr>
          <w:rFonts w:hint="eastAsia" w:ascii="Arial" w:hAnsi="宋体" w:eastAsia="宋体" w:cs="宋体"/>
          <w:b/>
          <w:bCs/>
          <w:color w:val="auto"/>
          <w:kern w:val="2"/>
          <w:sz w:val="32"/>
          <w:szCs w:val="32"/>
          <w:lang w:val="en-US" w:eastAsia="zh-CN" w:bidi="ar-SA"/>
        </w:rPr>
        <w:t>五</w:t>
      </w:r>
      <w:r>
        <w:rPr>
          <w:rFonts w:hint="eastAsia" w:ascii="宋体" w:hAnsi="宋体" w:eastAsia="宋体" w:cs="宋体"/>
          <w:b/>
          <w:bCs/>
          <w:color w:val="auto"/>
          <w:kern w:val="2"/>
          <w:sz w:val="32"/>
          <w:szCs w:val="32"/>
          <w:lang w:val="en-US" w:eastAsia="zh-CN" w:bidi="ar-SA"/>
        </w:rPr>
        <w:t>、商务响应偏离表（实质性格式）</w:t>
      </w:r>
      <w:bookmarkEnd w:id="1956"/>
    </w:p>
    <w:p w14:paraId="43798271">
      <w:pPr>
        <w:keepNext w:val="0"/>
        <w:keepLines w:val="0"/>
        <w:pageBreakBefore w:val="0"/>
        <w:widowControl w:val="0"/>
        <w:kinsoku/>
        <w:wordWrap/>
        <w:overflowPunct w:val="0"/>
        <w:topLinePunct/>
        <w:autoSpaceDE/>
        <w:autoSpaceDN/>
        <w:bidi w:val="0"/>
        <w:adjustRightInd/>
        <w:snapToGrid/>
        <w:ind w:left="-92" w:leftChars="-42"/>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1352B2E0">
      <w:pPr>
        <w:keepNext w:val="0"/>
        <w:keepLines w:val="0"/>
        <w:pageBreakBefore w:val="0"/>
        <w:widowControl w:val="0"/>
        <w:kinsoku/>
        <w:wordWrap w:val="0"/>
        <w:overflowPunct w:val="0"/>
        <w:topLinePunct/>
        <w:autoSpaceDE/>
        <w:autoSpaceDN/>
        <w:bidi w:val="0"/>
        <w:adjustRightInd/>
        <w:snapToGrid/>
        <w:ind w:left="-92" w:leftChars="-4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项目编号：</w:t>
      </w:r>
      <w:r>
        <w:rPr>
          <w:rFonts w:hint="eastAsia" w:ascii="宋体" w:hAnsi="宋体" w:eastAsia="宋体" w:cs="宋体"/>
          <w:color w:val="auto"/>
          <w:sz w:val="24"/>
          <w:szCs w:val="24"/>
          <w:u w:val="single"/>
          <w:lang w:val="en-US" w:eastAsia="zh-CN"/>
        </w:rPr>
        <w:t xml:space="preserve">                             </w:t>
      </w:r>
    </w:p>
    <w:p w14:paraId="1DD4C705">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参加</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应逐条对应</w:t>
      </w:r>
      <w:r>
        <w:rPr>
          <w:rFonts w:hint="eastAsia" w:ascii="宋体" w:hAnsi="宋体" w:eastAsia="宋体" w:cs="宋体"/>
          <w:color w:val="auto"/>
          <w:sz w:val="24"/>
          <w:szCs w:val="24"/>
          <w:lang w:eastAsia="zh-CN"/>
        </w:rPr>
        <w:t>采购文件</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采购需求及要求</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及</w:t>
      </w:r>
      <w:r>
        <w:rPr>
          <w:rFonts w:hint="eastAsia" w:ascii="宋体" w:hAnsi="宋体" w:eastAsia="宋体" w:cs="宋体"/>
          <w:b/>
          <w:bCs/>
          <w:color w:val="auto"/>
          <w:sz w:val="24"/>
          <w:szCs w:val="24"/>
          <w:lang w:eastAsia="zh-CN"/>
        </w:rPr>
        <w:t>“第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章</w:t>
      </w:r>
      <w:r>
        <w:rPr>
          <w:rFonts w:hint="eastAsia" w:ascii="宋体" w:hAnsi="宋体" w:eastAsia="宋体" w:cs="宋体"/>
          <w:b/>
          <w:bCs/>
          <w:color w:val="auto"/>
          <w:sz w:val="24"/>
          <w:szCs w:val="24"/>
          <w:lang w:val="en-US" w:eastAsia="zh-CN"/>
        </w:rPr>
        <w:t xml:space="preserve"> 合同条款及格式</w:t>
      </w:r>
      <w:r>
        <w:rPr>
          <w:rFonts w:hint="eastAsia" w:ascii="宋体" w:hAnsi="宋体" w:eastAsia="宋体" w:cs="宋体"/>
          <w:b/>
          <w:bCs/>
          <w:color w:val="auto"/>
          <w:sz w:val="24"/>
          <w:szCs w:val="24"/>
          <w:lang w:eastAsia="zh-CN"/>
        </w:rPr>
        <w:t>”</w:t>
      </w:r>
      <w:r>
        <w:rPr>
          <w:rFonts w:hint="eastAsia" w:ascii="宋体" w:hAnsi="宋体" w:eastAsia="宋体" w:cs="宋体"/>
          <w:color w:val="auto"/>
          <w:sz w:val="24"/>
          <w:szCs w:val="24"/>
        </w:rPr>
        <w:t>中要求的服务内容根据实际情况如实填写本表格。</w:t>
      </w:r>
    </w:p>
    <w:p w14:paraId="2E2D990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中服务内容要求及主要合同条款，所有服务内容要求及主要合同条款均无偏离，成交后我公司将严格遵照执行。</w:t>
      </w:r>
    </w:p>
    <w:p w14:paraId="009FCC2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□我公司已详细阅读</w:t>
      </w: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中服务内容要求及主要合同条款，除下述条款有偏离外，其余条款我公司均予以认可，成交后将严格遵照执行。</w:t>
      </w:r>
    </w:p>
    <w:tbl>
      <w:tblPr>
        <w:tblStyle w:val="67"/>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3875"/>
        <w:gridCol w:w="3336"/>
        <w:gridCol w:w="1365"/>
      </w:tblGrid>
      <w:tr w14:paraId="593C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jc w:val="center"/>
        </w:trPr>
        <w:tc>
          <w:tcPr>
            <w:tcW w:w="820" w:type="dxa"/>
            <w:noWrap w:val="0"/>
            <w:vAlign w:val="center"/>
          </w:tcPr>
          <w:p w14:paraId="3F6FBF0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875" w:type="dxa"/>
            <w:noWrap w:val="0"/>
            <w:vAlign w:val="center"/>
          </w:tcPr>
          <w:p w14:paraId="41776BE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采购文件</w:t>
            </w:r>
            <w:r>
              <w:rPr>
                <w:rFonts w:hint="eastAsia" w:ascii="宋体" w:hAnsi="宋体" w:eastAsia="宋体" w:cs="宋体"/>
                <w:color w:val="auto"/>
                <w:sz w:val="24"/>
                <w:szCs w:val="24"/>
              </w:rPr>
              <w:t>的服务内容条款要求</w:t>
            </w:r>
          </w:p>
        </w:tc>
        <w:tc>
          <w:tcPr>
            <w:tcW w:w="3336" w:type="dxa"/>
            <w:noWrap w:val="0"/>
            <w:vAlign w:val="center"/>
          </w:tcPr>
          <w:p w14:paraId="2250D5D2">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的服务内容条款</w:t>
            </w:r>
          </w:p>
        </w:tc>
        <w:tc>
          <w:tcPr>
            <w:tcW w:w="1365" w:type="dxa"/>
            <w:noWrap w:val="0"/>
            <w:vAlign w:val="center"/>
          </w:tcPr>
          <w:p w14:paraId="31F8820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偏离说明</w:t>
            </w:r>
          </w:p>
        </w:tc>
      </w:tr>
      <w:tr w14:paraId="2FEF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1E25F1B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1B17E82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1801D7F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26221F0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76FF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6BE15B2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3ECABC30">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34F4156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34C84D5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469F7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820" w:type="dxa"/>
            <w:noWrap w:val="0"/>
            <w:vAlign w:val="center"/>
          </w:tcPr>
          <w:p w14:paraId="558C223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2C7C30A5">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28B7B36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1695D4C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r w14:paraId="59165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820" w:type="dxa"/>
            <w:noWrap w:val="0"/>
            <w:vAlign w:val="center"/>
          </w:tcPr>
          <w:p w14:paraId="627AA10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875" w:type="dxa"/>
            <w:noWrap w:val="0"/>
            <w:vAlign w:val="center"/>
          </w:tcPr>
          <w:p w14:paraId="24E64DD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3336" w:type="dxa"/>
            <w:noWrap w:val="0"/>
            <w:vAlign w:val="center"/>
          </w:tcPr>
          <w:p w14:paraId="1BC2E160">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c>
          <w:tcPr>
            <w:tcW w:w="1365" w:type="dxa"/>
            <w:noWrap w:val="0"/>
            <w:vAlign w:val="center"/>
          </w:tcPr>
          <w:p w14:paraId="46C39C76">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宋体" w:hAnsi="宋体" w:eastAsia="宋体" w:cs="宋体"/>
                <w:color w:val="auto"/>
                <w:sz w:val="24"/>
                <w:szCs w:val="24"/>
              </w:rPr>
            </w:pPr>
          </w:p>
        </w:tc>
      </w:tr>
    </w:tbl>
    <w:p w14:paraId="1207A81A">
      <w:pPr>
        <w:keepNext w:val="0"/>
        <w:keepLines w:val="0"/>
        <w:pageBreakBefore w:val="0"/>
        <w:widowControl w:val="0"/>
        <w:kinsoku/>
        <w:wordWrap w:val="0"/>
        <w:overflowPunct w:val="0"/>
        <w:topLinePunct/>
        <w:autoSpaceDE/>
        <w:autoSpaceDN/>
        <w:bidi w:val="0"/>
        <w:adjustRightInd/>
        <w:snapToGrid/>
        <w:spacing w:before="50" w:line="360" w:lineRule="auto"/>
        <w:rPr>
          <w:rFonts w:hint="eastAsia" w:ascii="宋体" w:hAnsi="宋体" w:eastAsia="宋体" w:cs="宋体"/>
          <w:color w:val="auto"/>
          <w:szCs w:val="21"/>
        </w:rPr>
      </w:pPr>
      <w:r>
        <w:rPr>
          <w:rFonts w:hint="eastAsia" w:ascii="宋体" w:hAnsi="宋体" w:eastAsia="宋体" w:cs="宋体"/>
          <w:b/>
          <w:bCs/>
          <w:color w:val="auto"/>
          <w:sz w:val="21"/>
          <w:szCs w:val="21"/>
        </w:rPr>
        <w:t>表格填写说明：</w:t>
      </w:r>
      <w:r>
        <w:rPr>
          <w:rFonts w:hint="eastAsia" w:ascii="宋体" w:hAnsi="宋体" w:eastAsia="宋体" w:cs="宋体"/>
          <w:b/>
          <w:bCs/>
          <w:color w:val="auto"/>
          <w:sz w:val="21"/>
          <w:szCs w:val="21"/>
          <w:lang w:eastAsia="zh-CN"/>
        </w:rPr>
        <w:t>供应商</w:t>
      </w:r>
      <w:r>
        <w:rPr>
          <w:rFonts w:hint="eastAsia" w:ascii="宋体" w:hAnsi="宋体" w:eastAsia="宋体" w:cs="宋体"/>
          <w:b/>
          <w:bCs/>
          <w:color w:val="auto"/>
          <w:sz w:val="21"/>
          <w:szCs w:val="21"/>
        </w:rPr>
        <w:t>根据实际情况，填写本表格，若无偏离，则勾选A项，签字盖章即可。若有偏离，则勾选B项，按表格要求及实际情况填写后，签字盖章</w:t>
      </w:r>
      <w:r>
        <w:rPr>
          <w:rFonts w:hint="eastAsia" w:ascii="宋体" w:hAnsi="宋体" w:eastAsia="宋体" w:cs="宋体"/>
          <w:b/>
          <w:bCs/>
          <w:color w:val="auto"/>
          <w:sz w:val="21"/>
          <w:szCs w:val="21"/>
          <w:lang w:eastAsia="zh-CN"/>
        </w:rPr>
        <w:t>。</w:t>
      </w:r>
      <w:r>
        <w:rPr>
          <w:rFonts w:hint="eastAsia" w:ascii="宋体" w:hAnsi="宋体" w:eastAsia="宋体" w:cs="宋体"/>
          <w:color w:val="auto"/>
          <w:szCs w:val="21"/>
        </w:rPr>
        <w:t xml:space="preserve"> </w:t>
      </w:r>
    </w:p>
    <w:p w14:paraId="6E018ABD">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2EE770A1">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667DD219">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2A8CFC8B">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1E1085E8">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both"/>
        <w:textAlignment w:val="auto"/>
        <w:rPr>
          <w:rFonts w:hint="eastAsia" w:ascii="宋体" w:hAnsi="宋体" w:eastAsia="宋体" w:cs="宋体"/>
          <w:color w:val="auto"/>
          <w:spacing w:val="-1"/>
          <w:sz w:val="24"/>
          <w:szCs w:val="24"/>
          <w:lang w:val="en-US" w:eastAsia="en-US" w:bidi="ar-SA"/>
        </w:rPr>
      </w:pPr>
    </w:p>
    <w:p w14:paraId="2025BA0F">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3CB3FE71">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5D739A0F">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7D78A0DE">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pacing w:val="-1"/>
          <w:sz w:val="24"/>
          <w:szCs w:val="24"/>
          <w:lang w:val="en-US" w:eastAsia="zh-CN" w:bidi="ar-SA"/>
        </w:rPr>
        <w:t>供应商</w:t>
      </w:r>
      <w:r>
        <w:rPr>
          <w:rFonts w:hint="eastAsia" w:ascii="宋体" w:hAnsi="宋体" w:eastAsia="宋体" w:cs="宋体"/>
          <w:color w:val="auto"/>
          <w:sz w:val="24"/>
          <w:szCs w:val="24"/>
          <w:lang w:val="en-US" w:eastAsia="en-US"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w:t>
      </w:r>
      <w:r>
        <w:rPr>
          <w:rFonts w:hint="eastAsia" w:ascii="宋体" w:hAnsi="宋体" w:eastAsia="宋体" w:cs="宋体"/>
          <w:color w:val="auto"/>
          <w:sz w:val="24"/>
          <w:szCs w:val="21"/>
          <w:lang w:val="en-US" w:eastAsia="en-US" w:bidi="ar-SA"/>
        </w:rPr>
        <w:t>加盖电子公章</w:t>
      </w:r>
      <w:r>
        <w:rPr>
          <w:rFonts w:hint="eastAsia" w:ascii="宋体" w:hAnsi="宋体" w:eastAsia="宋体" w:cs="宋体"/>
          <w:color w:val="auto"/>
          <w:sz w:val="24"/>
          <w:szCs w:val="24"/>
          <w:u w:val="none"/>
          <w:lang w:val="en-US" w:eastAsia="zh-CN" w:bidi="ar-SA"/>
        </w:rPr>
        <w:t>）</w:t>
      </w:r>
    </w:p>
    <w:p w14:paraId="68436C37">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z w:val="24"/>
          <w:szCs w:val="24"/>
          <w:u w:val="none"/>
          <w:lang w:val="en-US" w:eastAsia="en-US" w:bidi="ar-SA"/>
        </w:rPr>
      </w:pPr>
      <w:r>
        <w:rPr>
          <w:rFonts w:hint="eastAsia" w:ascii="宋体" w:hAnsi="宋体" w:eastAsia="宋体" w:cs="宋体"/>
          <w:color w:val="auto"/>
          <w:sz w:val="24"/>
          <w:szCs w:val="24"/>
          <w:lang w:val="en-US" w:eastAsia="zh-CN" w:bidi="ar-SA"/>
        </w:rPr>
        <w:t>法定代表人</w:t>
      </w:r>
      <w:r>
        <w:rPr>
          <w:rFonts w:hint="eastAsia" w:ascii="宋体" w:hAnsi="宋体" w:eastAsia="宋体" w:cs="宋体"/>
          <w:color w:val="auto"/>
          <w:sz w:val="24"/>
          <w:szCs w:val="21"/>
          <w:lang w:val="en-US" w:eastAsia="en-US" w:bidi="ar-SA"/>
        </w:rPr>
        <w:t>（负责人）</w:t>
      </w:r>
      <w:r>
        <w:rPr>
          <w:rFonts w:hint="eastAsia" w:ascii="宋体" w:hAnsi="宋体" w:eastAsia="宋体" w:cs="宋体"/>
          <w:color w:val="auto"/>
          <w:sz w:val="24"/>
          <w:szCs w:val="24"/>
          <w:lang w:val="en-US" w:eastAsia="zh-CN" w:bidi="ar-SA"/>
        </w:rPr>
        <w:t>或</w:t>
      </w:r>
      <w:r>
        <w:rPr>
          <w:rFonts w:hint="eastAsia" w:ascii="宋体" w:hAnsi="宋体" w:eastAsia="宋体" w:cs="宋体"/>
          <w:color w:val="auto"/>
          <w:sz w:val="24"/>
          <w:szCs w:val="24"/>
          <w:u w:val="none"/>
          <w:lang w:val="en-US" w:eastAsia="zh-CN" w:bidi="ar-SA"/>
        </w:rPr>
        <w:t>授权委托人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（电子签章）</w:t>
      </w:r>
    </w:p>
    <w:p w14:paraId="197A48B2">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宋体" w:hAnsi="宋体" w:eastAsia="宋体" w:cs="宋体"/>
          <w:b/>
          <w:bCs/>
          <w:color w:val="auto"/>
          <w:sz w:val="32"/>
          <w:szCs w:val="32"/>
          <w:lang w:val="en-US" w:eastAsia="zh-CN"/>
        </w:rPr>
        <w:sectPr>
          <w:pgSz w:w="11906" w:h="16838"/>
          <w:pgMar w:top="1440" w:right="1080" w:bottom="1440" w:left="1080" w:header="851" w:footer="992" w:gutter="0"/>
          <w:pgNumType w:fmt="decimal"/>
          <w:cols w:space="720" w:num="1"/>
          <w:docGrid w:type="lines" w:linePitch="312" w:charSpace="0"/>
        </w:sectPr>
      </w:pPr>
      <w:bookmarkStart w:id="1957" w:name="_Toc10040"/>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bookmarkEnd w:id="1957"/>
    </w:p>
    <w:p w14:paraId="12ADF0A8">
      <w:pPr>
        <w:keepNext w:val="0"/>
        <w:keepLines w:val="0"/>
        <w:pageBreakBefore w:val="0"/>
        <w:widowControl w:val="0"/>
        <w:kinsoku/>
        <w:wordWrap w:val="0"/>
        <w:overflowPunct w:val="0"/>
        <w:topLinePunct/>
        <w:autoSpaceDE/>
        <w:autoSpaceDN/>
        <w:bidi w:val="0"/>
        <w:adjustRightInd/>
        <w:snapToGrid/>
        <w:jc w:val="center"/>
        <w:outlineLvl w:val="2"/>
        <w:rPr>
          <w:rFonts w:hint="eastAsia" w:ascii="宋体" w:hAnsi="宋体" w:eastAsia="宋体" w:cs="宋体"/>
          <w:color w:val="auto"/>
          <w:lang w:val="zh-CN" w:eastAsia="zh-CN"/>
        </w:rPr>
      </w:pPr>
      <w:bookmarkStart w:id="1958" w:name="_Toc31388"/>
      <w:r>
        <w:rPr>
          <w:rFonts w:hint="eastAsia" w:ascii="宋体" w:hAnsi="宋体" w:eastAsia="宋体" w:cs="宋体"/>
          <w:b/>
          <w:bCs/>
          <w:color w:val="auto"/>
          <w:sz w:val="32"/>
          <w:szCs w:val="32"/>
          <w:lang w:val="en-US" w:eastAsia="zh-CN"/>
        </w:rPr>
        <w:t>六、项目</w:t>
      </w:r>
      <w:r>
        <w:rPr>
          <w:rFonts w:hint="eastAsia" w:ascii="宋体" w:hAnsi="宋体" w:eastAsia="宋体" w:cs="宋体"/>
          <w:b/>
          <w:bCs/>
          <w:color w:val="auto"/>
          <w:sz w:val="32"/>
          <w:szCs w:val="32"/>
          <w:lang w:val="zh-CN" w:eastAsia="zh-CN"/>
        </w:rPr>
        <w:t>实施方案</w:t>
      </w:r>
      <w:bookmarkEnd w:id="1958"/>
    </w:p>
    <w:p w14:paraId="5DBB4BBE">
      <w:pPr>
        <w:spacing w:line="360" w:lineRule="auto"/>
        <w:jc w:val="center"/>
        <w:rPr>
          <w:rFonts w:hint="eastAsia" w:ascii="宋体" w:hAnsi="宋体" w:eastAsia="宋体" w:cs="Times New Roman"/>
          <w:snapToGrid w:val="0"/>
          <w:color w:val="auto"/>
          <w:kern w:val="0"/>
          <w:szCs w:val="20"/>
          <w:highlight w:val="none"/>
        </w:rPr>
      </w:pPr>
      <w:r>
        <w:rPr>
          <w:rFonts w:hint="eastAsia" w:ascii="宋体" w:hAnsi="宋体" w:eastAsia="宋体" w:cs="Times New Roman"/>
          <w:snapToGrid w:val="0"/>
          <w:color w:val="auto"/>
          <w:kern w:val="0"/>
          <w:szCs w:val="20"/>
          <w:highlight w:val="none"/>
        </w:rPr>
        <w:t>（格式自拟，内容由</w:t>
      </w:r>
      <w:r>
        <w:rPr>
          <w:rFonts w:hint="eastAsia" w:ascii="宋体" w:hAnsi="宋体" w:eastAsia="宋体" w:cs="Times New Roman"/>
          <w:snapToGrid w:val="0"/>
          <w:color w:val="auto"/>
          <w:kern w:val="0"/>
          <w:szCs w:val="20"/>
          <w:highlight w:val="none"/>
          <w:lang w:eastAsia="zh-CN"/>
        </w:rPr>
        <w:t>供应商</w:t>
      </w:r>
      <w:r>
        <w:rPr>
          <w:rFonts w:hint="eastAsia" w:ascii="宋体" w:hAnsi="宋体" w:eastAsia="宋体" w:cs="Times New Roman"/>
          <w:snapToGrid w:val="0"/>
          <w:color w:val="auto"/>
          <w:kern w:val="0"/>
          <w:szCs w:val="20"/>
          <w:highlight w:val="none"/>
        </w:rPr>
        <w:t>根据</w:t>
      </w:r>
      <w:r>
        <w:rPr>
          <w:rFonts w:hint="eastAsia" w:ascii="宋体" w:hAnsi="宋体" w:eastAsia="宋体" w:cs="Times New Roman"/>
          <w:snapToGrid w:val="0"/>
          <w:color w:val="auto"/>
          <w:kern w:val="0"/>
          <w:szCs w:val="20"/>
          <w:highlight w:val="none"/>
          <w:lang w:eastAsia="zh-CN"/>
        </w:rPr>
        <w:t>评审</w:t>
      </w:r>
      <w:r>
        <w:rPr>
          <w:rFonts w:hint="eastAsia" w:ascii="宋体" w:hAnsi="宋体" w:eastAsia="宋体" w:cs="Times New Roman"/>
          <w:snapToGrid w:val="0"/>
          <w:color w:val="auto"/>
          <w:kern w:val="0"/>
          <w:szCs w:val="20"/>
          <w:highlight w:val="none"/>
        </w:rPr>
        <w:t>办法并结合自身实际情况自行编写）</w:t>
      </w:r>
    </w:p>
    <w:p w14:paraId="1C0B61EF">
      <w:pPr>
        <w:wordWrap w:val="0"/>
        <w:overflowPunct w:val="0"/>
        <w:topLinePunct/>
        <w:spacing w:line="360" w:lineRule="auto"/>
        <w:jc w:val="both"/>
        <w:rPr>
          <w:rFonts w:hint="eastAsia" w:ascii="宋体" w:hAnsi="宋体" w:eastAsia="宋体" w:cs="宋体"/>
          <w:b w:val="0"/>
          <w:bCs/>
          <w:color w:val="auto"/>
          <w:sz w:val="24"/>
        </w:rPr>
      </w:pPr>
    </w:p>
    <w:p w14:paraId="24BE1DAA">
      <w:pPr>
        <w:widowControl w:val="0"/>
        <w:ind w:left="100"/>
        <w:rPr>
          <w:rFonts w:hint="eastAsia" w:ascii="宋体" w:hAnsi="宋体" w:eastAsia="宋体" w:cs="宋体"/>
          <w:b w:val="0"/>
          <w:bCs/>
          <w:color w:val="auto"/>
          <w:sz w:val="24"/>
          <w:szCs w:val="21"/>
          <w:lang w:val="en-US" w:eastAsia="en-US" w:bidi="ar-SA"/>
        </w:rPr>
      </w:pPr>
    </w:p>
    <w:p w14:paraId="4B7976B3">
      <w:pPr>
        <w:rPr>
          <w:rFonts w:hint="eastAsia" w:ascii="宋体" w:hAnsi="宋体" w:eastAsia="宋体" w:cs="宋体"/>
          <w:b w:val="0"/>
          <w:bCs/>
          <w:color w:val="auto"/>
          <w:sz w:val="24"/>
        </w:rPr>
      </w:pPr>
    </w:p>
    <w:p w14:paraId="72907C32">
      <w:pPr>
        <w:widowControl w:val="0"/>
        <w:ind w:left="100"/>
        <w:rPr>
          <w:rFonts w:hint="eastAsia" w:ascii="宋体" w:hAnsi="宋体" w:eastAsia="宋体" w:cs="宋体"/>
          <w:b w:val="0"/>
          <w:bCs/>
          <w:color w:val="auto"/>
          <w:sz w:val="24"/>
          <w:szCs w:val="21"/>
          <w:lang w:val="en-US" w:eastAsia="en-US" w:bidi="ar-SA"/>
        </w:rPr>
      </w:pPr>
    </w:p>
    <w:p w14:paraId="18389F49">
      <w:pPr>
        <w:rPr>
          <w:rFonts w:hint="eastAsia" w:ascii="宋体" w:hAnsi="宋体" w:eastAsia="宋体" w:cs="宋体"/>
          <w:b w:val="0"/>
          <w:bCs/>
          <w:color w:val="auto"/>
          <w:sz w:val="24"/>
        </w:rPr>
      </w:pPr>
    </w:p>
    <w:p w14:paraId="7EC46B15">
      <w:pPr>
        <w:widowControl w:val="0"/>
        <w:ind w:left="100"/>
        <w:rPr>
          <w:rFonts w:hint="eastAsia" w:ascii="宋体" w:hAnsi="宋体" w:eastAsia="宋体" w:cs="宋体"/>
          <w:b w:val="0"/>
          <w:bCs/>
          <w:color w:val="auto"/>
          <w:sz w:val="24"/>
          <w:szCs w:val="21"/>
          <w:lang w:val="en-US" w:eastAsia="en-US" w:bidi="ar-SA"/>
        </w:rPr>
      </w:pPr>
    </w:p>
    <w:p w14:paraId="2B0D1EF5">
      <w:pPr>
        <w:rPr>
          <w:rFonts w:hint="eastAsia" w:ascii="宋体" w:hAnsi="宋体" w:eastAsia="宋体" w:cs="宋体"/>
          <w:b w:val="0"/>
          <w:bCs/>
          <w:color w:val="auto"/>
          <w:sz w:val="24"/>
        </w:rPr>
      </w:pPr>
    </w:p>
    <w:p w14:paraId="6951BA3F">
      <w:pPr>
        <w:widowControl w:val="0"/>
        <w:ind w:left="100"/>
        <w:rPr>
          <w:rFonts w:hint="eastAsia" w:ascii="宋体" w:hAnsi="宋体" w:eastAsia="宋体" w:cs="宋体"/>
          <w:b w:val="0"/>
          <w:bCs/>
          <w:color w:val="auto"/>
          <w:sz w:val="24"/>
          <w:szCs w:val="21"/>
          <w:lang w:val="en-US" w:eastAsia="en-US" w:bidi="ar-SA"/>
        </w:rPr>
      </w:pPr>
    </w:p>
    <w:p w14:paraId="438D1861">
      <w:pPr>
        <w:rPr>
          <w:rFonts w:hint="eastAsia" w:ascii="宋体" w:hAnsi="宋体" w:eastAsia="宋体" w:cs="宋体"/>
          <w:b w:val="0"/>
          <w:bCs/>
          <w:color w:val="auto"/>
          <w:sz w:val="24"/>
        </w:rPr>
      </w:pPr>
    </w:p>
    <w:p w14:paraId="36B14D38">
      <w:pPr>
        <w:widowControl w:val="0"/>
        <w:ind w:left="100"/>
        <w:rPr>
          <w:rFonts w:hint="eastAsia" w:ascii="宋体" w:hAnsi="宋体" w:eastAsia="宋体" w:cs="宋体"/>
          <w:b w:val="0"/>
          <w:bCs/>
          <w:color w:val="auto"/>
          <w:sz w:val="24"/>
          <w:szCs w:val="21"/>
          <w:lang w:val="en-US" w:eastAsia="en-US" w:bidi="ar-SA"/>
        </w:rPr>
      </w:pPr>
    </w:p>
    <w:p w14:paraId="25459384">
      <w:pPr>
        <w:rPr>
          <w:rFonts w:hint="eastAsia" w:ascii="宋体" w:hAnsi="宋体" w:eastAsia="宋体" w:cs="宋体"/>
          <w:b w:val="0"/>
          <w:bCs/>
          <w:color w:val="auto"/>
          <w:sz w:val="24"/>
        </w:rPr>
      </w:pPr>
    </w:p>
    <w:p w14:paraId="6B7B1E5A">
      <w:pPr>
        <w:widowControl w:val="0"/>
        <w:ind w:left="100"/>
        <w:rPr>
          <w:rFonts w:hint="eastAsia" w:ascii="宋体" w:hAnsi="宋体" w:eastAsia="宋体" w:cs="宋体"/>
          <w:b w:val="0"/>
          <w:bCs/>
          <w:color w:val="auto"/>
          <w:sz w:val="24"/>
          <w:szCs w:val="21"/>
          <w:lang w:val="en-US" w:eastAsia="en-US" w:bidi="ar-SA"/>
        </w:rPr>
      </w:pPr>
    </w:p>
    <w:p w14:paraId="75BCED70">
      <w:pPr>
        <w:rPr>
          <w:rFonts w:hint="eastAsia" w:ascii="宋体" w:hAnsi="宋体" w:eastAsia="宋体" w:cs="宋体"/>
          <w:b w:val="0"/>
          <w:bCs/>
          <w:color w:val="auto"/>
          <w:sz w:val="24"/>
        </w:rPr>
      </w:pPr>
    </w:p>
    <w:p w14:paraId="5AD72443">
      <w:pPr>
        <w:widowControl w:val="0"/>
        <w:ind w:left="100"/>
        <w:rPr>
          <w:rFonts w:hint="eastAsia" w:ascii="宋体" w:hAnsi="宋体" w:eastAsia="宋体" w:cs="宋体"/>
          <w:b w:val="0"/>
          <w:bCs/>
          <w:color w:val="auto"/>
          <w:sz w:val="24"/>
          <w:szCs w:val="21"/>
          <w:lang w:val="en-US" w:eastAsia="en-US" w:bidi="ar-SA"/>
        </w:rPr>
      </w:pPr>
    </w:p>
    <w:p w14:paraId="047B9FFE">
      <w:pPr>
        <w:rPr>
          <w:rFonts w:hint="eastAsia" w:ascii="宋体" w:hAnsi="宋体" w:eastAsia="宋体" w:cs="宋体"/>
          <w:b w:val="0"/>
          <w:bCs/>
          <w:color w:val="auto"/>
          <w:sz w:val="24"/>
        </w:rPr>
      </w:pPr>
    </w:p>
    <w:p w14:paraId="6F676683">
      <w:pPr>
        <w:widowControl w:val="0"/>
        <w:ind w:left="100"/>
        <w:rPr>
          <w:rFonts w:hint="eastAsia" w:ascii="宋体" w:hAnsi="宋体" w:eastAsia="宋体" w:cs="宋体"/>
          <w:b w:val="0"/>
          <w:bCs/>
          <w:color w:val="auto"/>
          <w:sz w:val="24"/>
          <w:szCs w:val="21"/>
          <w:lang w:val="en-US" w:eastAsia="en-US" w:bidi="ar-SA"/>
        </w:rPr>
      </w:pPr>
    </w:p>
    <w:p w14:paraId="1DB7F105">
      <w:pPr>
        <w:rPr>
          <w:rFonts w:hint="eastAsia" w:ascii="宋体" w:hAnsi="宋体" w:eastAsia="宋体" w:cs="宋体"/>
          <w:b w:val="0"/>
          <w:bCs/>
          <w:color w:val="auto"/>
          <w:sz w:val="24"/>
        </w:rPr>
      </w:pPr>
    </w:p>
    <w:p w14:paraId="79124684">
      <w:pPr>
        <w:widowControl w:val="0"/>
        <w:ind w:left="100"/>
        <w:rPr>
          <w:rFonts w:hint="eastAsia" w:ascii="宋体" w:hAnsi="宋体" w:eastAsia="宋体" w:cs="宋体"/>
          <w:b w:val="0"/>
          <w:bCs/>
          <w:color w:val="auto"/>
          <w:sz w:val="24"/>
          <w:szCs w:val="21"/>
          <w:lang w:val="en-US" w:eastAsia="en-US" w:bidi="ar-SA"/>
        </w:rPr>
      </w:pPr>
    </w:p>
    <w:p w14:paraId="33C58F72">
      <w:pPr>
        <w:rPr>
          <w:rFonts w:hint="eastAsia" w:ascii="宋体" w:hAnsi="宋体" w:eastAsia="宋体" w:cs="宋体"/>
          <w:b w:val="0"/>
          <w:bCs/>
          <w:color w:val="auto"/>
          <w:sz w:val="24"/>
        </w:rPr>
      </w:pPr>
    </w:p>
    <w:p w14:paraId="07979F2F">
      <w:pPr>
        <w:widowControl w:val="0"/>
        <w:ind w:left="100"/>
        <w:rPr>
          <w:rFonts w:hint="eastAsia" w:ascii="宋体" w:hAnsi="宋体" w:eastAsia="宋体" w:cs="宋体"/>
          <w:b w:val="0"/>
          <w:bCs/>
          <w:color w:val="auto"/>
          <w:sz w:val="24"/>
          <w:szCs w:val="21"/>
          <w:lang w:val="en-US" w:eastAsia="en-US" w:bidi="ar-SA"/>
        </w:rPr>
      </w:pPr>
    </w:p>
    <w:p w14:paraId="490B8D77">
      <w:pPr>
        <w:rPr>
          <w:rFonts w:hint="eastAsia" w:ascii="宋体" w:hAnsi="宋体" w:eastAsia="宋体" w:cs="宋体"/>
          <w:b w:val="0"/>
          <w:bCs/>
          <w:color w:val="auto"/>
          <w:sz w:val="24"/>
        </w:rPr>
      </w:pPr>
    </w:p>
    <w:p w14:paraId="49F3F275">
      <w:pPr>
        <w:widowControl w:val="0"/>
        <w:ind w:left="100"/>
        <w:rPr>
          <w:rFonts w:hint="eastAsia" w:ascii="宋体" w:hAnsi="宋体" w:eastAsia="宋体" w:cs="宋体"/>
          <w:b w:val="0"/>
          <w:bCs/>
          <w:color w:val="auto"/>
          <w:sz w:val="24"/>
          <w:szCs w:val="21"/>
          <w:lang w:val="en-US" w:eastAsia="en-US" w:bidi="ar-SA"/>
        </w:rPr>
      </w:pPr>
    </w:p>
    <w:p w14:paraId="061980B8">
      <w:pPr>
        <w:rPr>
          <w:rFonts w:hint="eastAsia" w:ascii="宋体" w:hAnsi="宋体" w:eastAsia="宋体" w:cs="宋体"/>
          <w:b w:val="0"/>
          <w:bCs/>
          <w:color w:val="auto"/>
          <w:sz w:val="24"/>
        </w:rPr>
      </w:pPr>
    </w:p>
    <w:p w14:paraId="4533E466">
      <w:pPr>
        <w:widowControl w:val="0"/>
        <w:ind w:left="100"/>
        <w:rPr>
          <w:rFonts w:hint="eastAsia" w:ascii="宋体" w:hAnsi="宋体" w:eastAsia="宋体" w:cs="Times New Roman"/>
          <w:color w:val="auto"/>
          <w:sz w:val="21"/>
          <w:szCs w:val="21"/>
          <w:lang w:val="en-US" w:eastAsia="en-US" w:bidi="ar-SA"/>
        </w:rPr>
      </w:pPr>
    </w:p>
    <w:p w14:paraId="3E8FC567">
      <w:pPr>
        <w:wordWrap w:val="0"/>
        <w:overflowPunct w:val="0"/>
        <w:topLinePunct/>
        <w:spacing w:line="360" w:lineRule="auto"/>
        <w:jc w:val="both"/>
        <w:rPr>
          <w:rFonts w:hint="eastAsia" w:ascii="宋体" w:hAnsi="宋体" w:eastAsia="宋体" w:cs="宋体"/>
          <w:b w:val="0"/>
          <w:bCs/>
          <w:color w:val="auto"/>
          <w:sz w:val="24"/>
        </w:rPr>
      </w:pPr>
    </w:p>
    <w:p w14:paraId="60E080F5">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4219DCD1">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405B00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48C29382">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p>
    <w:p w14:paraId="6FD78446">
      <w:pPr>
        <w:keepNext w:val="0"/>
        <w:keepLines w:val="0"/>
        <w:pageBreakBefore w:val="0"/>
        <w:widowControl w:val="0"/>
        <w:kinsoku/>
        <w:wordWrap/>
        <w:overflowPunct/>
        <w:topLinePunct w:val="0"/>
        <w:autoSpaceDE/>
        <w:autoSpaceDN/>
        <w:bidi w:val="0"/>
        <w:adjustRightInd/>
        <w:snapToGrid/>
        <w:spacing w:line="360" w:lineRule="auto"/>
        <w:ind w:left="100"/>
        <w:jc w:val="center"/>
        <w:textAlignment w:val="auto"/>
        <w:outlineLvl w:val="2"/>
        <w:rPr>
          <w:rFonts w:hint="eastAsia" w:ascii="宋体" w:hAnsi="宋体" w:eastAsia="宋体" w:cs="宋体"/>
          <w:b/>
          <w:bCs/>
          <w:color w:val="auto"/>
          <w:sz w:val="28"/>
          <w:szCs w:val="28"/>
          <w:lang w:val="en-US" w:eastAsia="zh-CN" w:bidi="ar-SA"/>
        </w:rPr>
      </w:pPr>
      <w:bookmarkStart w:id="1959" w:name="_Toc16224"/>
      <w:r>
        <w:rPr>
          <w:rFonts w:hint="eastAsia" w:ascii="宋体" w:hAnsi="宋体" w:eastAsia="宋体" w:cs="宋体"/>
          <w:b/>
          <w:bCs/>
          <w:color w:val="auto"/>
          <w:sz w:val="32"/>
          <w:szCs w:val="32"/>
          <w:lang w:val="en-US" w:eastAsia="zh-CN" w:bidi="ar-SA"/>
        </w:rPr>
        <w:t>七、培训方案</w:t>
      </w:r>
      <w:bookmarkEnd w:id="1959"/>
    </w:p>
    <w:p w14:paraId="3C459EEA">
      <w:pPr>
        <w:spacing w:line="360" w:lineRule="auto"/>
        <w:jc w:val="center"/>
        <w:rPr>
          <w:rFonts w:hint="eastAsia" w:ascii="宋体" w:hAnsi="宋体" w:eastAsia="宋体" w:cs="Times New Roman"/>
          <w:snapToGrid w:val="0"/>
          <w:color w:val="auto"/>
          <w:kern w:val="0"/>
          <w:szCs w:val="20"/>
          <w:highlight w:val="none"/>
        </w:rPr>
      </w:pPr>
      <w:r>
        <w:rPr>
          <w:rFonts w:hint="eastAsia" w:ascii="宋体" w:hAnsi="宋体" w:eastAsia="宋体" w:cs="Times New Roman"/>
          <w:snapToGrid w:val="0"/>
          <w:color w:val="auto"/>
          <w:kern w:val="0"/>
          <w:szCs w:val="20"/>
          <w:highlight w:val="none"/>
        </w:rPr>
        <w:t>（格式自拟，内容由</w:t>
      </w:r>
      <w:r>
        <w:rPr>
          <w:rFonts w:hint="eastAsia" w:ascii="宋体" w:hAnsi="宋体" w:eastAsia="宋体" w:cs="Times New Roman"/>
          <w:snapToGrid w:val="0"/>
          <w:color w:val="auto"/>
          <w:kern w:val="0"/>
          <w:szCs w:val="20"/>
          <w:highlight w:val="none"/>
          <w:lang w:eastAsia="zh-CN"/>
        </w:rPr>
        <w:t>供应商</w:t>
      </w:r>
      <w:r>
        <w:rPr>
          <w:rFonts w:hint="eastAsia" w:ascii="宋体" w:hAnsi="宋体" w:eastAsia="宋体" w:cs="Times New Roman"/>
          <w:snapToGrid w:val="0"/>
          <w:color w:val="auto"/>
          <w:kern w:val="0"/>
          <w:szCs w:val="20"/>
          <w:highlight w:val="none"/>
        </w:rPr>
        <w:t>根据</w:t>
      </w:r>
      <w:r>
        <w:rPr>
          <w:rFonts w:hint="eastAsia" w:ascii="宋体" w:hAnsi="宋体" w:eastAsia="宋体" w:cs="Times New Roman"/>
          <w:snapToGrid w:val="0"/>
          <w:color w:val="auto"/>
          <w:kern w:val="0"/>
          <w:szCs w:val="20"/>
          <w:highlight w:val="none"/>
          <w:lang w:eastAsia="zh-CN"/>
        </w:rPr>
        <w:t>评审</w:t>
      </w:r>
      <w:r>
        <w:rPr>
          <w:rFonts w:hint="eastAsia" w:ascii="宋体" w:hAnsi="宋体" w:eastAsia="宋体" w:cs="Times New Roman"/>
          <w:snapToGrid w:val="0"/>
          <w:color w:val="auto"/>
          <w:kern w:val="0"/>
          <w:szCs w:val="20"/>
          <w:highlight w:val="none"/>
        </w:rPr>
        <w:t>办法并结合自身实际情况自行编写）</w:t>
      </w:r>
    </w:p>
    <w:p w14:paraId="24F9BE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BDD6E78">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09AF4C6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521A5D1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5BA0136A">
      <w:pPr>
        <w:wordWrap w:val="0"/>
        <w:overflowPunct w:val="0"/>
        <w:topLinePunct/>
        <w:spacing w:line="360" w:lineRule="auto"/>
        <w:jc w:val="both"/>
        <w:rPr>
          <w:rFonts w:hint="eastAsia" w:ascii="宋体" w:hAnsi="宋体" w:eastAsia="宋体" w:cs="宋体"/>
          <w:b w:val="0"/>
          <w:bCs/>
          <w:color w:val="auto"/>
          <w:sz w:val="24"/>
        </w:rPr>
      </w:pPr>
    </w:p>
    <w:p w14:paraId="3443DF10">
      <w:pPr>
        <w:wordWrap w:val="0"/>
        <w:overflowPunct w:val="0"/>
        <w:topLinePunct/>
        <w:spacing w:line="360" w:lineRule="auto"/>
        <w:jc w:val="both"/>
        <w:rPr>
          <w:rFonts w:hint="eastAsia" w:ascii="宋体" w:hAnsi="宋体" w:eastAsia="宋体" w:cs="宋体"/>
          <w:b w:val="0"/>
          <w:bCs/>
          <w:color w:val="auto"/>
          <w:sz w:val="24"/>
        </w:rPr>
      </w:pPr>
    </w:p>
    <w:p w14:paraId="13F70FC2">
      <w:pPr>
        <w:wordWrap w:val="0"/>
        <w:overflowPunct w:val="0"/>
        <w:topLinePunct/>
        <w:spacing w:line="360" w:lineRule="auto"/>
        <w:jc w:val="both"/>
        <w:rPr>
          <w:rFonts w:hint="eastAsia" w:ascii="宋体" w:hAnsi="宋体" w:eastAsia="宋体" w:cs="宋体"/>
          <w:b w:val="0"/>
          <w:bCs/>
          <w:color w:val="auto"/>
          <w:sz w:val="24"/>
        </w:rPr>
      </w:pPr>
    </w:p>
    <w:p w14:paraId="103FEDA5">
      <w:pPr>
        <w:wordWrap w:val="0"/>
        <w:overflowPunct w:val="0"/>
        <w:topLinePunct/>
        <w:spacing w:line="360" w:lineRule="auto"/>
        <w:jc w:val="both"/>
        <w:rPr>
          <w:rFonts w:hint="eastAsia" w:ascii="宋体" w:hAnsi="宋体" w:eastAsia="宋体" w:cs="宋体"/>
          <w:b w:val="0"/>
          <w:bCs/>
          <w:color w:val="auto"/>
          <w:sz w:val="24"/>
        </w:rPr>
      </w:pPr>
    </w:p>
    <w:p w14:paraId="4DD0FE13">
      <w:pPr>
        <w:wordWrap w:val="0"/>
        <w:overflowPunct w:val="0"/>
        <w:topLinePunct/>
        <w:spacing w:line="360" w:lineRule="auto"/>
        <w:jc w:val="both"/>
        <w:rPr>
          <w:rFonts w:hint="eastAsia" w:ascii="宋体" w:hAnsi="宋体" w:eastAsia="宋体" w:cs="宋体"/>
          <w:b w:val="0"/>
          <w:bCs/>
          <w:color w:val="auto"/>
          <w:sz w:val="24"/>
        </w:rPr>
      </w:pPr>
    </w:p>
    <w:p w14:paraId="3201601D">
      <w:pPr>
        <w:wordWrap w:val="0"/>
        <w:overflowPunct w:val="0"/>
        <w:topLinePunct/>
        <w:spacing w:line="360" w:lineRule="auto"/>
        <w:jc w:val="both"/>
        <w:rPr>
          <w:rFonts w:hint="eastAsia" w:ascii="宋体" w:hAnsi="宋体" w:eastAsia="宋体" w:cs="宋体"/>
          <w:b w:val="0"/>
          <w:bCs/>
          <w:color w:val="auto"/>
          <w:sz w:val="24"/>
        </w:rPr>
      </w:pPr>
    </w:p>
    <w:p w14:paraId="6386E14A">
      <w:pPr>
        <w:wordWrap w:val="0"/>
        <w:overflowPunct w:val="0"/>
        <w:topLinePunct/>
        <w:spacing w:line="360" w:lineRule="auto"/>
        <w:jc w:val="both"/>
        <w:rPr>
          <w:rFonts w:hint="eastAsia" w:ascii="宋体" w:hAnsi="宋体" w:eastAsia="宋体" w:cs="宋体"/>
          <w:b w:val="0"/>
          <w:bCs/>
          <w:color w:val="auto"/>
          <w:sz w:val="24"/>
        </w:rPr>
      </w:pPr>
    </w:p>
    <w:p w14:paraId="594D5003">
      <w:pPr>
        <w:wordWrap w:val="0"/>
        <w:overflowPunct w:val="0"/>
        <w:topLinePunct/>
        <w:spacing w:line="360" w:lineRule="auto"/>
        <w:jc w:val="both"/>
        <w:rPr>
          <w:rFonts w:hint="eastAsia" w:ascii="宋体" w:hAnsi="宋体" w:eastAsia="宋体" w:cs="宋体"/>
          <w:b w:val="0"/>
          <w:bCs/>
          <w:color w:val="auto"/>
          <w:sz w:val="24"/>
        </w:rPr>
      </w:pPr>
    </w:p>
    <w:p w14:paraId="205E27BF">
      <w:pPr>
        <w:wordWrap w:val="0"/>
        <w:overflowPunct w:val="0"/>
        <w:topLinePunct/>
        <w:spacing w:line="360" w:lineRule="auto"/>
        <w:jc w:val="both"/>
        <w:rPr>
          <w:rFonts w:hint="eastAsia" w:ascii="宋体" w:hAnsi="宋体" w:eastAsia="宋体" w:cs="宋体"/>
          <w:b w:val="0"/>
          <w:bCs/>
          <w:color w:val="auto"/>
          <w:sz w:val="24"/>
        </w:rPr>
      </w:pPr>
    </w:p>
    <w:p w14:paraId="3B48DECE">
      <w:pPr>
        <w:wordWrap w:val="0"/>
        <w:overflowPunct w:val="0"/>
        <w:topLinePunct/>
        <w:spacing w:line="360" w:lineRule="auto"/>
        <w:jc w:val="both"/>
        <w:rPr>
          <w:rFonts w:hint="eastAsia" w:ascii="宋体" w:hAnsi="宋体" w:eastAsia="宋体" w:cs="宋体"/>
          <w:b w:val="0"/>
          <w:bCs/>
          <w:color w:val="auto"/>
          <w:sz w:val="24"/>
        </w:rPr>
      </w:pPr>
    </w:p>
    <w:p w14:paraId="40BD1B2D">
      <w:pPr>
        <w:wordWrap w:val="0"/>
        <w:overflowPunct w:val="0"/>
        <w:topLinePunct/>
        <w:spacing w:line="360" w:lineRule="auto"/>
        <w:jc w:val="both"/>
        <w:rPr>
          <w:rFonts w:hint="eastAsia" w:ascii="宋体" w:hAnsi="宋体" w:eastAsia="宋体" w:cs="宋体"/>
          <w:b w:val="0"/>
          <w:bCs/>
          <w:color w:val="auto"/>
          <w:sz w:val="24"/>
        </w:rPr>
      </w:pPr>
    </w:p>
    <w:p w14:paraId="642CF381">
      <w:pPr>
        <w:wordWrap w:val="0"/>
        <w:overflowPunct w:val="0"/>
        <w:topLinePunct/>
        <w:spacing w:line="360" w:lineRule="auto"/>
        <w:jc w:val="both"/>
        <w:rPr>
          <w:rFonts w:hint="eastAsia" w:ascii="宋体" w:hAnsi="宋体" w:eastAsia="宋体" w:cs="宋体"/>
          <w:b w:val="0"/>
          <w:bCs/>
          <w:color w:val="auto"/>
          <w:sz w:val="24"/>
        </w:rPr>
      </w:pPr>
    </w:p>
    <w:p w14:paraId="0A9F6537">
      <w:pPr>
        <w:wordWrap w:val="0"/>
        <w:overflowPunct w:val="0"/>
        <w:topLinePunct/>
        <w:spacing w:line="360" w:lineRule="auto"/>
        <w:jc w:val="both"/>
        <w:rPr>
          <w:rFonts w:hint="eastAsia" w:ascii="宋体" w:hAnsi="宋体" w:eastAsia="宋体" w:cs="宋体"/>
          <w:b w:val="0"/>
          <w:bCs/>
          <w:color w:val="auto"/>
          <w:sz w:val="24"/>
        </w:rPr>
      </w:pPr>
    </w:p>
    <w:p w14:paraId="5A110DEA">
      <w:pPr>
        <w:wordWrap w:val="0"/>
        <w:overflowPunct w:val="0"/>
        <w:topLinePunct/>
        <w:spacing w:line="360" w:lineRule="auto"/>
        <w:jc w:val="both"/>
        <w:rPr>
          <w:rFonts w:hint="eastAsia" w:ascii="宋体" w:hAnsi="宋体" w:eastAsia="宋体" w:cs="宋体"/>
          <w:b w:val="0"/>
          <w:bCs/>
          <w:color w:val="auto"/>
          <w:sz w:val="24"/>
        </w:rPr>
      </w:pPr>
    </w:p>
    <w:p w14:paraId="491601DE">
      <w:pPr>
        <w:wordWrap w:val="0"/>
        <w:overflowPunct w:val="0"/>
        <w:topLinePunct/>
        <w:spacing w:line="360" w:lineRule="auto"/>
        <w:jc w:val="both"/>
        <w:rPr>
          <w:rFonts w:hint="eastAsia" w:ascii="宋体" w:hAnsi="宋体" w:eastAsia="宋体" w:cs="宋体"/>
          <w:b w:val="0"/>
          <w:bCs/>
          <w:color w:val="auto"/>
          <w:sz w:val="24"/>
        </w:rPr>
      </w:pPr>
    </w:p>
    <w:p w14:paraId="6BB5D79F">
      <w:pPr>
        <w:wordWrap w:val="0"/>
        <w:overflowPunct w:val="0"/>
        <w:topLinePunct/>
        <w:spacing w:line="360" w:lineRule="auto"/>
        <w:jc w:val="both"/>
        <w:rPr>
          <w:rFonts w:hint="eastAsia" w:ascii="宋体" w:hAnsi="宋体" w:eastAsia="宋体" w:cs="宋体"/>
          <w:b w:val="0"/>
          <w:bCs/>
          <w:color w:val="auto"/>
          <w:sz w:val="24"/>
        </w:rPr>
      </w:pPr>
    </w:p>
    <w:p w14:paraId="557FBC9B">
      <w:pPr>
        <w:wordWrap w:val="0"/>
        <w:overflowPunct w:val="0"/>
        <w:topLinePunct/>
        <w:spacing w:line="360" w:lineRule="auto"/>
        <w:jc w:val="both"/>
        <w:rPr>
          <w:rFonts w:hint="eastAsia" w:ascii="宋体" w:hAnsi="宋体" w:eastAsia="宋体" w:cs="宋体"/>
          <w:b w:val="0"/>
          <w:bCs/>
          <w:color w:val="auto"/>
          <w:sz w:val="24"/>
        </w:rPr>
      </w:pPr>
    </w:p>
    <w:p w14:paraId="2A659D4D">
      <w:pPr>
        <w:wordWrap w:val="0"/>
        <w:overflowPunct w:val="0"/>
        <w:topLinePunct/>
        <w:spacing w:line="360" w:lineRule="auto"/>
        <w:jc w:val="both"/>
        <w:rPr>
          <w:rFonts w:hint="eastAsia" w:ascii="宋体" w:hAnsi="宋体" w:eastAsia="宋体" w:cs="宋体"/>
          <w:b w:val="0"/>
          <w:bCs/>
          <w:color w:val="auto"/>
          <w:sz w:val="24"/>
        </w:rPr>
      </w:pPr>
    </w:p>
    <w:p w14:paraId="2F999F39">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供应商</w:t>
      </w:r>
      <w:r>
        <w:rPr>
          <w:rFonts w:hint="eastAsia" w:ascii="宋体" w:hAnsi="宋体" w:eastAsia="宋体" w:cs="宋体"/>
          <w:b w:val="0"/>
          <w:bCs/>
          <w:color w:val="auto"/>
          <w:sz w:val="24"/>
        </w:rPr>
        <w:t>：</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u w:val="single"/>
          <w:lang w:eastAsia="zh-CN"/>
        </w:rPr>
        <w:t>（</w:t>
      </w:r>
      <w:r>
        <w:rPr>
          <w:rFonts w:hint="eastAsia" w:ascii="宋体" w:hAnsi="宋体" w:eastAsia="宋体" w:cs="宋体"/>
          <w:color w:val="auto"/>
          <w:sz w:val="24"/>
        </w:rPr>
        <w:t>加盖电子公章</w:t>
      </w:r>
      <w:r>
        <w:rPr>
          <w:rFonts w:hint="eastAsia" w:ascii="宋体" w:hAnsi="宋体" w:eastAsia="宋体" w:cs="宋体"/>
          <w:b w:val="0"/>
          <w:bCs/>
          <w:color w:val="auto"/>
          <w:sz w:val="24"/>
          <w:lang w:eastAsia="zh-CN"/>
        </w:rPr>
        <w:t>）</w:t>
      </w:r>
    </w:p>
    <w:p w14:paraId="06F7CEA6">
      <w:pPr>
        <w:wordWrap w:val="0"/>
        <w:overflowPunct w:val="0"/>
        <w:topLinePunct/>
        <w:spacing w:line="360" w:lineRule="auto"/>
        <w:jc w:val="center"/>
        <w:rPr>
          <w:rFonts w:hint="eastAsia" w:ascii="宋体" w:hAnsi="宋体" w:eastAsia="宋体" w:cs="宋体"/>
          <w:b w:val="0"/>
          <w:bCs/>
          <w:color w:val="auto"/>
          <w:sz w:val="24"/>
          <w:u w:val="single"/>
        </w:rPr>
      </w:pPr>
      <w:r>
        <w:rPr>
          <w:rFonts w:hint="eastAsia" w:ascii="宋体" w:hAnsi="宋体" w:eastAsia="宋体" w:cs="宋体"/>
          <w:b w:val="0"/>
          <w:bCs/>
          <w:color w:val="auto"/>
          <w:sz w:val="24"/>
        </w:rPr>
        <w:t>法定代表人（负责人）或授权委托人：</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w:t>
      </w:r>
      <w:r>
        <w:rPr>
          <w:rFonts w:hint="eastAsia" w:ascii="宋体" w:hAnsi="宋体" w:eastAsia="宋体" w:cs="宋体"/>
          <w:b w:val="0"/>
          <w:bCs/>
          <w:color w:val="auto"/>
          <w:sz w:val="24"/>
          <w:lang w:eastAsia="zh-CN"/>
        </w:rPr>
        <w:t>电子签章</w:t>
      </w:r>
      <w:r>
        <w:rPr>
          <w:rFonts w:hint="eastAsia" w:ascii="宋体" w:hAnsi="宋体" w:eastAsia="宋体" w:cs="宋体"/>
          <w:b w:val="0"/>
          <w:bCs/>
          <w:color w:val="auto"/>
          <w:sz w:val="24"/>
        </w:rPr>
        <w:t>）</w:t>
      </w:r>
    </w:p>
    <w:p w14:paraId="4BF4E2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4"/>
          <w:szCs w:val="24"/>
          <w:lang w:eastAsia="zh-CN"/>
        </w:rPr>
      </w:pPr>
      <w:r>
        <w:rPr>
          <w:rFonts w:hint="eastAsia" w:ascii="宋体" w:hAnsi="宋体" w:eastAsia="宋体" w:cs="宋体"/>
          <w:b w:val="0"/>
          <w:bCs/>
          <w:color w:val="auto"/>
          <w:sz w:val="24"/>
        </w:rPr>
        <w:t>日期：</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年</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月</w:t>
      </w:r>
      <w:r>
        <w:rPr>
          <w:rFonts w:hint="eastAsia" w:ascii="宋体" w:hAnsi="宋体" w:eastAsia="宋体" w:cs="宋体"/>
          <w:b w:val="0"/>
          <w:bCs/>
          <w:color w:val="auto"/>
          <w:sz w:val="24"/>
          <w:u w:val="single"/>
        </w:rPr>
        <w:t xml:space="preserve">     </w:t>
      </w:r>
      <w:r>
        <w:rPr>
          <w:rFonts w:hint="eastAsia" w:ascii="宋体" w:hAnsi="宋体" w:eastAsia="宋体" w:cs="宋体"/>
          <w:b w:val="0"/>
          <w:bCs/>
          <w:color w:val="auto"/>
          <w:sz w:val="24"/>
        </w:rPr>
        <w:t>日</w:t>
      </w:r>
    </w:p>
    <w:p w14:paraId="2647490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lang w:eastAsia="zh-CN"/>
        </w:rPr>
        <w:sectPr>
          <w:pgSz w:w="11906" w:h="16838"/>
          <w:pgMar w:top="1440" w:right="1080" w:bottom="1440" w:left="1080" w:header="851" w:footer="992" w:gutter="0"/>
          <w:pgNumType w:fmt="decimal"/>
          <w:cols w:space="720" w:num="1"/>
          <w:docGrid w:type="lines" w:linePitch="312" w:charSpace="0"/>
        </w:sectPr>
      </w:pPr>
    </w:p>
    <w:p w14:paraId="09E0FF21">
      <w:pPr>
        <w:keepNext w:val="0"/>
        <w:keepLines w:val="0"/>
        <w:pageBreakBefore w:val="0"/>
        <w:widowControl w:val="0"/>
        <w:kinsoku/>
        <w:wordWrap/>
        <w:overflowPunct/>
        <w:topLinePunct w:val="0"/>
        <w:autoSpaceDE/>
        <w:autoSpaceDN/>
        <w:bidi w:val="0"/>
        <w:adjustRightInd/>
        <w:snapToGrid/>
        <w:spacing w:line="360" w:lineRule="auto"/>
        <w:ind w:left="100"/>
        <w:jc w:val="center"/>
        <w:textAlignment w:val="auto"/>
        <w:outlineLvl w:val="2"/>
        <w:rPr>
          <w:rFonts w:hint="eastAsia" w:ascii="宋体" w:hAnsi="宋体" w:eastAsia="宋体" w:cs="宋体"/>
          <w:b/>
          <w:bCs/>
          <w:color w:val="auto"/>
          <w:sz w:val="28"/>
          <w:szCs w:val="28"/>
          <w:lang w:val="en-US" w:eastAsia="zh-CN" w:bidi="ar-SA"/>
        </w:rPr>
      </w:pPr>
      <w:bookmarkStart w:id="1960" w:name="_Toc19093"/>
      <w:r>
        <w:rPr>
          <w:rFonts w:hint="eastAsia" w:ascii="宋体" w:hAnsi="宋体" w:eastAsia="宋体" w:cs="宋体"/>
          <w:b/>
          <w:bCs/>
          <w:color w:val="auto"/>
          <w:sz w:val="32"/>
          <w:szCs w:val="32"/>
          <w:lang w:val="en-US" w:eastAsia="zh-CN" w:bidi="ar-SA"/>
        </w:rPr>
        <w:t>八、售后服务方案</w:t>
      </w:r>
      <w:bookmarkEnd w:id="1960"/>
    </w:p>
    <w:p w14:paraId="02673250">
      <w:pPr>
        <w:spacing w:line="360" w:lineRule="auto"/>
        <w:jc w:val="center"/>
        <w:rPr>
          <w:rFonts w:hint="eastAsia" w:ascii="宋体" w:hAnsi="宋体" w:eastAsia="宋体" w:cs="Times New Roman"/>
          <w:snapToGrid w:val="0"/>
          <w:color w:val="auto"/>
          <w:kern w:val="0"/>
          <w:szCs w:val="20"/>
          <w:highlight w:val="none"/>
        </w:rPr>
      </w:pPr>
      <w:r>
        <w:rPr>
          <w:rFonts w:hint="eastAsia" w:ascii="宋体" w:hAnsi="宋体" w:eastAsia="宋体" w:cs="Times New Roman"/>
          <w:snapToGrid w:val="0"/>
          <w:color w:val="auto"/>
          <w:kern w:val="0"/>
          <w:szCs w:val="20"/>
          <w:highlight w:val="none"/>
        </w:rPr>
        <w:t>（格式自拟，内容由</w:t>
      </w:r>
      <w:r>
        <w:rPr>
          <w:rFonts w:hint="eastAsia" w:ascii="宋体" w:hAnsi="宋体" w:eastAsia="宋体" w:cs="Times New Roman"/>
          <w:snapToGrid w:val="0"/>
          <w:color w:val="auto"/>
          <w:kern w:val="0"/>
          <w:szCs w:val="20"/>
          <w:highlight w:val="none"/>
          <w:lang w:eastAsia="zh-CN"/>
        </w:rPr>
        <w:t>供应商</w:t>
      </w:r>
      <w:r>
        <w:rPr>
          <w:rFonts w:hint="eastAsia" w:ascii="宋体" w:hAnsi="宋体" w:eastAsia="宋体" w:cs="Times New Roman"/>
          <w:snapToGrid w:val="0"/>
          <w:color w:val="auto"/>
          <w:kern w:val="0"/>
          <w:szCs w:val="20"/>
          <w:highlight w:val="none"/>
        </w:rPr>
        <w:t>根据</w:t>
      </w:r>
      <w:r>
        <w:rPr>
          <w:rFonts w:hint="eastAsia" w:ascii="宋体" w:hAnsi="宋体" w:eastAsia="宋体" w:cs="Times New Roman"/>
          <w:snapToGrid w:val="0"/>
          <w:color w:val="auto"/>
          <w:kern w:val="0"/>
          <w:szCs w:val="20"/>
          <w:highlight w:val="none"/>
          <w:lang w:eastAsia="zh-CN"/>
        </w:rPr>
        <w:t>评审</w:t>
      </w:r>
      <w:r>
        <w:rPr>
          <w:rFonts w:hint="eastAsia" w:ascii="宋体" w:hAnsi="宋体" w:eastAsia="宋体" w:cs="Times New Roman"/>
          <w:snapToGrid w:val="0"/>
          <w:color w:val="auto"/>
          <w:kern w:val="0"/>
          <w:szCs w:val="20"/>
          <w:highlight w:val="none"/>
        </w:rPr>
        <w:t>办法并结合自身实际情况自行编写）</w:t>
      </w:r>
    </w:p>
    <w:p w14:paraId="33E1600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1553719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1B01A1E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3ED0B74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46E41E2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auto"/>
          <w:sz w:val="24"/>
          <w:szCs w:val="24"/>
          <w:lang w:eastAsia="zh-CN"/>
        </w:rPr>
      </w:pPr>
    </w:p>
    <w:p w14:paraId="334F411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left"/>
        <w:textAlignment w:val="auto"/>
        <w:rPr>
          <w:rFonts w:hint="eastAsia" w:ascii="宋体" w:hAnsi="宋体" w:eastAsia="宋体" w:cs="宋体"/>
          <w:b/>
          <w:color w:val="auto"/>
          <w:sz w:val="24"/>
          <w:szCs w:val="24"/>
          <w:lang w:eastAsia="zh-CN"/>
        </w:rPr>
      </w:pPr>
    </w:p>
    <w:p w14:paraId="73945F02">
      <w:pPr>
        <w:wordWrap w:val="0"/>
        <w:overflowPunct w:val="0"/>
        <w:topLinePunct/>
        <w:spacing w:line="360" w:lineRule="auto"/>
        <w:jc w:val="both"/>
        <w:rPr>
          <w:rFonts w:hint="eastAsia" w:ascii="宋体" w:hAnsi="宋体" w:eastAsia="宋体" w:cs="宋体"/>
          <w:b w:val="0"/>
          <w:bCs/>
          <w:color w:val="auto"/>
          <w:sz w:val="24"/>
        </w:rPr>
      </w:pPr>
    </w:p>
    <w:p w14:paraId="407628C5">
      <w:pPr>
        <w:wordWrap w:val="0"/>
        <w:overflowPunct w:val="0"/>
        <w:topLinePunct/>
        <w:spacing w:line="360" w:lineRule="auto"/>
        <w:jc w:val="both"/>
        <w:rPr>
          <w:rFonts w:hint="eastAsia" w:ascii="宋体" w:hAnsi="宋体" w:eastAsia="宋体" w:cs="宋体"/>
          <w:b w:val="0"/>
          <w:bCs/>
          <w:color w:val="auto"/>
          <w:sz w:val="24"/>
        </w:rPr>
      </w:pPr>
    </w:p>
    <w:p w14:paraId="06662767">
      <w:pPr>
        <w:wordWrap w:val="0"/>
        <w:overflowPunct w:val="0"/>
        <w:topLinePunct/>
        <w:spacing w:line="360" w:lineRule="auto"/>
        <w:jc w:val="both"/>
        <w:rPr>
          <w:rFonts w:hint="eastAsia" w:ascii="宋体" w:hAnsi="宋体" w:eastAsia="宋体" w:cs="宋体"/>
          <w:b w:val="0"/>
          <w:bCs/>
          <w:color w:val="auto"/>
          <w:sz w:val="24"/>
        </w:rPr>
      </w:pPr>
    </w:p>
    <w:p w14:paraId="2B7A2F58">
      <w:pPr>
        <w:wordWrap w:val="0"/>
        <w:overflowPunct w:val="0"/>
        <w:topLinePunct/>
        <w:spacing w:line="360" w:lineRule="auto"/>
        <w:jc w:val="both"/>
        <w:rPr>
          <w:rFonts w:hint="eastAsia" w:ascii="宋体" w:hAnsi="宋体" w:eastAsia="宋体" w:cs="宋体"/>
          <w:b w:val="0"/>
          <w:bCs/>
          <w:color w:val="auto"/>
          <w:sz w:val="24"/>
        </w:rPr>
      </w:pPr>
    </w:p>
    <w:p w14:paraId="57B1587F">
      <w:pPr>
        <w:wordWrap w:val="0"/>
        <w:overflowPunct w:val="0"/>
        <w:topLinePunct/>
        <w:spacing w:line="360" w:lineRule="auto"/>
        <w:jc w:val="both"/>
        <w:rPr>
          <w:rFonts w:hint="eastAsia" w:ascii="宋体" w:hAnsi="宋体" w:eastAsia="宋体" w:cs="宋体"/>
          <w:b w:val="0"/>
          <w:bCs/>
          <w:color w:val="auto"/>
          <w:sz w:val="24"/>
        </w:rPr>
      </w:pPr>
    </w:p>
    <w:p w14:paraId="18BFF4BE">
      <w:pPr>
        <w:wordWrap w:val="0"/>
        <w:overflowPunct w:val="0"/>
        <w:topLinePunct/>
        <w:spacing w:line="360" w:lineRule="auto"/>
        <w:jc w:val="both"/>
        <w:rPr>
          <w:rFonts w:hint="eastAsia" w:ascii="宋体" w:hAnsi="宋体" w:eastAsia="宋体" w:cs="宋体"/>
          <w:b w:val="0"/>
          <w:bCs/>
          <w:color w:val="auto"/>
          <w:sz w:val="24"/>
        </w:rPr>
      </w:pPr>
    </w:p>
    <w:p w14:paraId="55D26AAA">
      <w:pPr>
        <w:wordWrap w:val="0"/>
        <w:overflowPunct w:val="0"/>
        <w:topLinePunct/>
        <w:spacing w:line="360" w:lineRule="auto"/>
        <w:jc w:val="both"/>
        <w:rPr>
          <w:rFonts w:hint="eastAsia" w:ascii="宋体" w:hAnsi="宋体" w:eastAsia="宋体" w:cs="宋体"/>
          <w:b w:val="0"/>
          <w:bCs/>
          <w:color w:val="auto"/>
          <w:sz w:val="24"/>
        </w:rPr>
      </w:pPr>
    </w:p>
    <w:p w14:paraId="0F30ADC0">
      <w:pPr>
        <w:wordWrap w:val="0"/>
        <w:overflowPunct w:val="0"/>
        <w:topLinePunct/>
        <w:spacing w:line="360" w:lineRule="auto"/>
        <w:jc w:val="both"/>
        <w:rPr>
          <w:rFonts w:hint="eastAsia" w:ascii="宋体" w:hAnsi="宋体" w:eastAsia="宋体" w:cs="宋体"/>
          <w:b w:val="0"/>
          <w:bCs/>
          <w:color w:val="auto"/>
          <w:sz w:val="24"/>
        </w:rPr>
      </w:pPr>
    </w:p>
    <w:p w14:paraId="440C52C4">
      <w:pPr>
        <w:wordWrap w:val="0"/>
        <w:overflowPunct w:val="0"/>
        <w:topLinePunct/>
        <w:spacing w:line="360" w:lineRule="auto"/>
        <w:jc w:val="both"/>
        <w:rPr>
          <w:rFonts w:hint="eastAsia" w:ascii="宋体" w:hAnsi="宋体" w:eastAsia="宋体" w:cs="宋体"/>
          <w:b w:val="0"/>
          <w:bCs/>
          <w:color w:val="auto"/>
          <w:sz w:val="24"/>
        </w:rPr>
      </w:pPr>
    </w:p>
    <w:p w14:paraId="2A00FD47">
      <w:pPr>
        <w:wordWrap w:val="0"/>
        <w:overflowPunct w:val="0"/>
        <w:topLinePunct/>
        <w:spacing w:line="360" w:lineRule="auto"/>
        <w:jc w:val="both"/>
        <w:rPr>
          <w:rFonts w:hint="eastAsia" w:ascii="宋体" w:hAnsi="宋体" w:eastAsia="宋体" w:cs="宋体"/>
          <w:b w:val="0"/>
          <w:bCs/>
          <w:color w:val="auto"/>
          <w:sz w:val="24"/>
        </w:rPr>
      </w:pPr>
    </w:p>
    <w:p w14:paraId="557E914A">
      <w:pPr>
        <w:wordWrap w:val="0"/>
        <w:overflowPunct w:val="0"/>
        <w:topLinePunct/>
        <w:spacing w:line="360" w:lineRule="auto"/>
        <w:jc w:val="both"/>
        <w:rPr>
          <w:rFonts w:hint="eastAsia" w:ascii="宋体" w:hAnsi="宋体" w:eastAsia="宋体" w:cs="宋体"/>
          <w:b w:val="0"/>
          <w:bCs/>
          <w:color w:val="auto"/>
          <w:sz w:val="24"/>
        </w:rPr>
      </w:pPr>
    </w:p>
    <w:p w14:paraId="6366B28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5E93901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51C7294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p>
    <w:p w14:paraId="215C0E90">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1F986D7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法定代表人（负责人）或授权委托人：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06F6680A">
      <w:pPr>
        <w:wordWrap w:val="0"/>
        <w:overflowPunct w:val="0"/>
        <w:topLinePunct/>
        <w:spacing w:line="360" w:lineRule="auto"/>
        <w:jc w:val="center"/>
        <w:rPr>
          <w:rFonts w:hint="eastAsia" w:ascii="宋体" w:hAnsi="宋体" w:eastAsia="宋体" w:cs="宋体"/>
          <w:b w:val="0"/>
          <w:bCs/>
          <w:color w:val="auto"/>
          <w:sz w:val="24"/>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302CFEC0">
      <w:pPr>
        <w:jc w:val="both"/>
        <w:rPr>
          <w:rFonts w:hint="eastAsia" w:ascii="宋体" w:hAnsi="宋体" w:eastAsia="宋体" w:cs="宋体"/>
          <w:b/>
          <w:color w:val="auto"/>
          <w:sz w:val="28"/>
          <w:szCs w:val="28"/>
          <w:lang w:eastAsia="zh-CN"/>
        </w:rPr>
        <w:sectPr>
          <w:pgSz w:w="11906" w:h="16838"/>
          <w:pgMar w:top="1440" w:right="1080" w:bottom="1440" w:left="1080" w:header="851" w:footer="992" w:gutter="0"/>
          <w:pgNumType w:fmt="decimal"/>
          <w:cols w:space="720" w:num="1"/>
          <w:docGrid w:type="lines" w:linePitch="312" w:charSpace="0"/>
        </w:sectPr>
      </w:pPr>
    </w:p>
    <w:p w14:paraId="21734318">
      <w:pPr>
        <w:jc w:val="left"/>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附件1</w:t>
      </w:r>
    </w:p>
    <w:p w14:paraId="2A88E953">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项目</w:t>
      </w:r>
      <w:r>
        <w:rPr>
          <w:rFonts w:hint="eastAsia" w:ascii="宋体" w:hAnsi="宋体" w:eastAsia="宋体" w:cs="宋体"/>
          <w:b/>
          <w:color w:val="auto"/>
          <w:sz w:val="28"/>
          <w:szCs w:val="28"/>
          <w:lang w:val="en-US" w:eastAsia="zh-CN"/>
        </w:rPr>
        <w:t>技术服务</w:t>
      </w:r>
      <w:r>
        <w:rPr>
          <w:rFonts w:hint="eastAsia" w:ascii="宋体" w:hAnsi="宋体" w:eastAsia="宋体" w:cs="宋体"/>
          <w:b/>
          <w:color w:val="auto"/>
          <w:sz w:val="28"/>
          <w:szCs w:val="28"/>
          <w:lang w:eastAsia="zh-CN"/>
        </w:rPr>
        <w:t>人员情况表</w:t>
      </w:r>
    </w:p>
    <w:tbl>
      <w:tblPr>
        <w:tblStyle w:val="67"/>
        <w:tblW w:w="10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5FE8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746" w:type="dxa"/>
            <w:noWrap w:val="0"/>
            <w:vAlign w:val="center"/>
          </w:tcPr>
          <w:p w14:paraId="5FF6F140">
            <w:pPr>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83" w:type="dxa"/>
            <w:noWrap w:val="0"/>
            <w:vAlign w:val="center"/>
          </w:tcPr>
          <w:p w14:paraId="5048BBB6">
            <w:pPr>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993" w:type="dxa"/>
            <w:noWrap w:val="0"/>
            <w:vAlign w:val="center"/>
          </w:tcPr>
          <w:p w14:paraId="39FC3391">
            <w:pPr>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50" w:type="dxa"/>
            <w:noWrap w:val="0"/>
            <w:vAlign w:val="center"/>
          </w:tcPr>
          <w:p w14:paraId="3F8E7127">
            <w:pPr>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992" w:type="dxa"/>
            <w:noWrap w:val="0"/>
            <w:vAlign w:val="center"/>
          </w:tcPr>
          <w:p w14:paraId="115F7453">
            <w:pPr>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1134" w:type="dxa"/>
            <w:noWrap w:val="0"/>
            <w:vAlign w:val="center"/>
          </w:tcPr>
          <w:p w14:paraId="69356588">
            <w:pPr>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49" w:type="dxa"/>
            <w:noWrap w:val="0"/>
            <w:vAlign w:val="center"/>
          </w:tcPr>
          <w:p w14:paraId="72034A0D">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业绩</w:t>
            </w:r>
          </w:p>
        </w:tc>
        <w:tc>
          <w:tcPr>
            <w:tcW w:w="1449" w:type="dxa"/>
            <w:noWrap w:val="0"/>
            <w:vAlign w:val="center"/>
          </w:tcPr>
          <w:p w14:paraId="4B908837">
            <w:pPr>
              <w:jc w:val="center"/>
              <w:rPr>
                <w:rFonts w:hint="eastAsia" w:ascii="宋体" w:hAnsi="宋体" w:eastAsia="宋体" w:cs="宋体"/>
                <w:color w:val="auto"/>
                <w:sz w:val="24"/>
              </w:rPr>
            </w:pPr>
            <w:r>
              <w:rPr>
                <w:rFonts w:hint="eastAsia" w:ascii="宋体" w:hAnsi="宋体" w:eastAsia="宋体" w:cs="宋体"/>
                <w:color w:val="auto"/>
                <w:sz w:val="24"/>
              </w:rPr>
              <w:t>拟担任职务</w:t>
            </w:r>
          </w:p>
        </w:tc>
        <w:tc>
          <w:tcPr>
            <w:tcW w:w="1955" w:type="dxa"/>
            <w:noWrap w:val="0"/>
            <w:vAlign w:val="center"/>
          </w:tcPr>
          <w:p w14:paraId="7C8434CC">
            <w:pPr>
              <w:jc w:val="center"/>
              <w:rPr>
                <w:rFonts w:hint="eastAsia" w:ascii="宋体" w:hAnsi="宋体" w:eastAsia="宋体" w:cs="宋体"/>
                <w:color w:val="auto"/>
                <w:sz w:val="24"/>
              </w:rPr>
            </w:pPr>
            <w:r>
              <w:rPr>
                <w:rFonts w:hint="eastAsia" w:ascii="宋体" w:hAnsi="宋体" w:eastAsia="宋体" w:cs="宋体"/>
                <w:color w:val="auto"/>
                <w:sz w:val="24"/>
              </w:rPr>
              <w:t>从专业工作时间</w:t>
            </w:r>
          </w:p>
        </w:tc>
      </w:tr>
      <w:tr w14:paraId="2122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0E3D4549">
            <w:pPr>
              <w:jc w:val="center"/>
              <w:rPr>
                <w:rFonts w:hint="eastAsia" w:ascii="宋体" w:hAnsi="宋体" w:eastAsia="宋体" w:cs="宋体"/>
                <w:color w:val="auto"/>
                <w:sz w:val="24"/>
              </w:rPr>
            </w:pPr>
          </w:p>
        </w:tc>
        <w:tc>
          <w:tcPr>
            <w:tcW w:w="1083" w:type="dxa"/>
            <w:noWrap w:val="0"/>
            <w:vAlign w:val="center"/>
          </w:tcPr>
          <w:p w14:paraId="73EEE711">
            <w:pPr>
              <w:jc w:val="center"/>
              <w:rPr>
                <w:rFonts w:hint="eastAsia" w:ascii="宋体" w:hAnsi="宋体" w:eastAsia="宋体" w:cs="宋体"/>
                <w:color w:val="auto"/>
                <w:sz w:val="24"/>
              </w:rPr>
            </w:pPr>
          </w:p>
        </w:tc>
        <w:tc>
          <w:tcPr>
            <w:tcW w:w="993" w:type="dxa"/>
            <w:noWrap w:val="0"/>
            <w:vAlign w:val="center"/>
          </w:tcPr>
          <w:p w14:paraId="63C2040E">
            <w:pPr>
              <w:jc w:val="center"/>
              <w:rPr>
                <w:rFonts w:hint="eastAsia" w:ascii="宋体" w:hAnsi="宋体" w:eastAsia="宋体" w:cs="宋体"/>
                <w:color w:val="auto"/>
                <w:sz w:val="24"/>
              </w:rPr>
            </w:pPr>
          </w:p>
        </w:tc>
        <w:tc>
          <w:tcPr>
            <w:tcW w:w="850" w:type="dxa"/>
            <w:noWrap w:val="0"/>
            <w:vAlign w:val="center"/>
          </w:tcPr>
          <w:p w14:paraId="5F3F883F">
            <w:pPr>
              <w:jc w:val="center"/>
              <w:rPr>
                <w:rFonts w:hint="eastAsia" w:ascii="宋体" w:hAnsi="宋体" w:eastAsia="宋体" w:cs="宋体"/>
                <w:color w:val="auto"/>
                <w:sz w:val="24"/>
              </w:rPr>
            </w:pPr>
          </w:p>
        </w:tc>
        <w:tc>
          <w:tcPr>
            <w:tcW w:w="992" w:type="dxa"/>
            <w:noWrap w:val="0"/>
            <w:vAlign w:val="center"/>
          </w:tcPr>
          <w:p w14:paraId="7A667CAB">
            <w:pPr>
              <w:jc w:val="center"/>
              <w:rPr>
                <w:rFonts w:hint="eastAsia" w:ascii="宋体" w:hAnsi="宋体" w:eastAsia="宋体" w:cs="宋体"/>
                <w:color w:val="auto"/>
                <w:sz w:val="24"/>
              </w:rPr>
            </w:pPr>
          </w:p>
        </w:tc>
        <w:tc>
          <w:tcPr>
            <w:tcW w:w="1134" w:type="dxa"/>
            <w:noWrap w:val="0"/>
            <w:vAlign w:val="center"/>
          </w:tcPr>
          <w:p w14:paraId="3CBB12C6">
            <w:pPr>
              <w:jc w:val="center"/>
              <w:rPr>
                <w:rFonts w:hint="eastAsia" w:ascii="宋体" w:hAnsi="宋体" w:eastAsia="宋体" w:cs="宋体"/>
                <w:color w:val="auto"/>
                <w:sz w:val="24"/>
              </w:rPr>
            </w:pPr>
          </w:p>
        </w:tc>
        <w:tc>
          <w:tcPr>
            <w:tcW w:w="1449" w:type="dxa"/>
            <w:noWrap w:val="0"/>
            <w:vAlign w:val="center"/>
          </w:tcPr>
          <w:p w14:paraId="0EE234DC">
            <w:pPr>
              <w:jc w:val="center"/>
              <w:rPr>
                <w:rFonts w:hint="eastAsia" w:ascii="宋体" w:hAnsi="宋体" w:eastAsia="宋体" w:cs="宋体"/>
                <w:color w:val="auto"/>
                <w:sz w:val="24"/>
              </w:rPr>
            </w:pPr>
          </w:p>
        </w:tc>
        <w:tc>
          <w:tcPr>
            <w:tcW w:w="1449" w:type="dxa"/>
            <w:noWrap w:val="0"/>
            <w:vAlign w:val="center"/>
          </w:tcPr>
          <w:p w14:paraId="42D20155">
            <w:pPr>
              <w:jc w:val="center"/>
              <w:rPr>
                <w:rFonts w:hint="eastAsia" w:ascii="宋体" w:hAnsi="宋体" w:eastAsia="宋体" w:cs="宋体"/>
                <w:color w:val="auto"/>
                <w:sz w:val="24"/>
              </w:rPr>
            </w:pPr>
          </w:p>
        </w:tc>
        <w:tc>
          <w:tcPr>
            <w:tcW w:w="1955" w:type="dxa"/>
            <w:noWrap w:val="0"/>
            <w:vAlign w:val="center"/>
          </w:tcPr>
          <w:p w14:paraId="386683C4">
            <w:pPr>
              <w:jc w:val="center"/>
              <w:rPr>
                <w:rFonts w:hint="eastAsia" w:ascii="宋体" w:hAnsi="宋体" w:eastAsia="宋体" w:cs="宋体"/>
                <w:color w:val="auto"/>
                <w:sz w:val="24"/>
              </w:rPr>
            </w:pPr>
          </w:p>
        </w:tc>
      </w:tr>
      <w:tr w14:paraId="4EEF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94C19D1">
            <w:pPr>
              <w:jc w:val="center"/>
              <w:rPr>
                <w:rFonts w:hint="eastAsia" w:ascii="宋体" w:hAnsi="宋体" w:eastAsia="宋体" w:cs="宋体"/>
                <w:color w:val="auto"/>
                <w:sz w:val="24"/>
              </w:rPr>
            </w:pPr>
          </w:p>
        </w:tc>
        <w:tc>
          <w:tcPr>
            <w:tcW w:w="1083" w:type="dxa"/>
            <w:noWrap w:val="0"/>
            <w:vAlign w:val="center"/>
          </w:tcPr>
          <w:p w14:paraId="1AA18BCC">
            <w:pPr>
              <w:jc w:val="center"/>
              <w:rPr>
                <w:rFonts w:hint="eastAsia" w:ascii="宋体" w:hAnsi="宋体" w:eastAsia="宋体" w:cs="宋体"/>
                <w:color w:val="auto"/>
                <w:sz w:val="24"/>
              </w:rPr>
            </w:pPr>
          </w:p>
        </w:tc>
        <w:tc>
          <w:tcPr>
            <w:tcW w:w="993" w:type="dxa"/>
            <w:noWrap w:val="0"/>
            <w:vAlign w:val="center"/>
          </w:tcPr>
          <w:p w14:paraId="32DE4AB2">
            <w:pPr>
              <w:jc w:val="center"/>
              <w:rPr>
                <w:rFonts w:hint="eastAsia" w:ascii="宋体" w:hAnsi="宋体" w:eastAsia="宋体" w:cs="宋体"/>
                <w:color w:val="auto"/>
                <w:sz w:val="24"/>
              </w:rPr>
            </w:pPr>
          </w:p>
        </w:tc>
        <w:tc>
          <w:tcPr>
            <w:tcW w:w="850" w:type="dxa"/>
            <w:noWrap w:val="0"/>
            <w:vAlign w:val="center"/>
          </w:tcPr>
          <w:p w14:paraId="61CFD9A2">
            <w:pPr>
              <w:jc w:val="center"/>
              <w:rPr>
                <w:rFonts w:hint="eastAsia" w:ascii="宋体" w:hAnsi="宋体" w:eastAsia="宋体" w:cs="宋体"/>
                <w:color w:val="auto"/>
                <w:sz w:val="24"/>
              </w:rPr>
            </w:pPr>
          </w:p>
        </w:tc>
        <w:tc>
          <w:tcPr>
            <w:tcW w:w="992" w:type="dxa"/>
            <w:noWrap w:val="0"/>
            <w:vAlign w:val="center"/>
          </w:tcPr>
          <w:p w14:paraId="3C685C59">
            <w:pPr>
              <w:jc w:val="center"/>
              <w:rPr>
                <w:rFonts w:hint="eastAsia" w:ascii="宋体" w:hAnsi="宋体" w:eastAsia="宋体" w:cs="宋体"/>
                <w:color w:val="auto"/>
                <w:sz w:val="24"/>
              </w:rPr>
            </w:pPr>
          </w:p>
        </w:tc>
        <w:tc>
          <w:tcPr>
            <w:tcW w:w="1134" w:type="dxa"/>
            <w:noWrap w:val="0"/>
            <w:vAlign w:val="center"/>
          </w:tcPr>
          <w:p w14:paraId="01C6ACCB">
            <w:pPr>
              <w:jc w:val="center"/>
              <w:rPr>
                <w:rFonts w:hint="eastAsia" w:ascii="宋体" w:hAnsi="宋体" w:eastAsia="宋体" w:cs="宋体"/>
                <w:color w:val="auto"/>
                <w:sz w:val="24"/>
              </w:rPr>
            </w:pPr>
          </w:p>
        </w:tc>
        <w:tc>
          <w:tcPr>
            <w:tcW w:w="1449" w:type="dxa"/>
            <w:noWrap w:val="0"/>
            <w:vAlign w:val="center"/>
          </w:tcPr>
          <w:p w14:paraId="31E0597A">
            <w:pPr>
              <w:jc w:val="center"/>
              <w:rPr>
                <w:rFonts w:hint="eastAsia" w:ascii="宋体" w:hAnsi="宋体" w:eastAsia="宋体" w:cs="宋体"/>
                <w:color w:val="auto"/>
                <w:sz w:val="24"/>
              </w:rPr>
            </w:pPr>
          </w:p>
        </w:tc>
        <w:tc>
          <w:tcPr>
            <w:tcW w:w="1449" w:type="dxa"/>
            <w:noWrap w:val="0"/>
            <w:vAlign w:val="center"/>
          </w:tcPr>
          <w:p w14:paraId="6765A545">
            <w:pPr>
              <w:jc w:val="center"/>
              <w:rPr>
                <w:rFonts w:hint="eastAsia" w:ascii="宋体" w:hAnsi="宋体" w:eastAsia="宋体" w:cs="宋体"/>
                <w:color w:val="auto"/>
                <w:sz w:val="24"/>
              </w:rPr>
            </w:pPr>
          </w:p>
        </w:tc>
        <w:tc>
          <w:tcPr>
            <w:tcW w:w="1955" w:type="dxa"/>
            <w:noWrap w:val="0"/>
            <w:vAlign w:val="center"/>
          </w:tcPr>
          <w:p w14:paraId="79AE8F9C">
            <w:pPr>
              <w:jc w:val="center"/>
              <w:rPr>
                <w:rFonts w:hint="eastAsia" w:ascii="宋体" w:hAnsi="宋体" w:eastAsia="宋体" w:cs="宋体"/>
                <w:color w:val="auto"/>
                <w:sz w:val="24"/>
              </w:rPr>
            </w:pPr>
          </w:p>
        </w:tc>
      </w:tr>
      <w:tr w14:paraId="1FE9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4066C05">
            <w:pPr>
              <w:jc w:val="center"/>
              <w:rPr>
                <w:rFonts w:hint="eastAsia" w:ascii="宋体" w:hAnsi="宋体" w:eastAsia="宋体" w:cs="宋体"/>
                <w:color w:val="auto"/>
                <w:sz w:val="24"/>
              </w:rPr>
            </w:pPr>
          </w:p>
        </w:tc>
        <w:tc>
          <w:tcPr>
            <w:tcW w:w="1083" w:type="dxa"/>
            <w:noWrap w:val="0"/>
            <w:vAlign w:val="center"/>
          </w:tcPr>
          <w:p w14:paraId="0C65CB54">
            <w:pPr>
              <w:jc w:val="center"/>
              <w:rPr>
                <w:rFonts w:hint="eastAsia" w:ascii="宋体" w:hAnsi="宋体" w:eastAsia="宋体" w:cs="宋体"/>
                <w:color w:val="auto"/>
                <w:sz w:val="24"/>
              </w:rPr>
            </w:pPr>
          </w:p>
        </w:tc>
        <w:tc>
          <w:tcPr>
            <w:tcW w:w="993" w:type="dxa"/>
            <w:noWrap w:val="0"/>
            <w:vAlign w:val="center"/>
          </w:tcPr>
          <w:p w14:paraId="570BE8C0">
            <w:pPr>
              <w:jc w:val="center"/>
              <w:rPr>
                <w:rFonts w:hint="eastAsia" w:ascii="宋体" w:hAnsi="宋体" w:eastAsia="宋体" w:cs="宋体"/>
                <w:color w:val="auto"/>
                <w:sz w:val="24"/>
              </w:rPr>
            </w:pPr>
          </w:p>
        </w:tc>
        <w:tc>
          <w:tcPr>
            <w:tcW w:w="850" w:type="dxa"/>
            <w:noWrap w:val="0"/>
            <w:vAlign w:val="center"/>
          </w:tcPr>
          <w:p w14:paraId="7B53B9F1">
            <w:pPr>
              <w:jc w:val="center"/>
              <w:rPr>
                <w:rFonts w:hint="eastAsia" w:ascii="宋体" w:hAnsi="宋体" w:eastAsia="宋体" w:cs="宋体"/>
                <w:color w:val="auto"/>
                <w:sz w:val="24"/>
              </w:rPr>
            </w:pPr>
          </w:p>
        </w:tc>
        <w:tc>
          <w:tcPr>
            <w:tcW w:w="992" w:type="dxa"/>
            <w:noWrap w:val="0"/>
            <w:vAlign w:val="center"/>
          </w:tcPr>
          <w:p w14:paraId="5252388C">
            <w:pPr>
              <w:jc w:val="center"/>
              <w:rPr>
                <w:rFonts w:hint="eastAsia" w:ascii="宋体" w:hAnsi="宋体" w:eastAsia="宋体" w:cs="宋体"/>
                <w:color w:val="auto"/>
                <w:sz w:val="24"/>
              </w:rPr>
            </w:pPr>
          </w:p>
        </w:tc>
        <w:tc>
          <w:tcPr>
            <w:tcW w:w="1134" w:type="dxa"/>
            <w:noWrap w:val="0"/>
            <w:vAlign w:val="center"/>
          </w:tcPr>
          <w:p w14:paraId="51D22068">
            <w:pPr>
              <w:jc w:val="center"/>
              <w:rPr>
                <w:rFonts w:hint="eastAsia" w:ascii="宋体" w:hAnsi="宋体" w:eastAsia="宋体" w:cs="宋体"/>
                <w:color w:val="auto"/>
                <w:sz w:val="24"/>
              </w:rPr>
            </w:pPr>
          </w:p>
        </w:tc>
        <w:tc>
          <w:tcPr>
            <w:tcW w:w="1449" w:type="dxa"/>
            <w:noWrap w:val="0"/>
            <w:vAlign w:val="center"/>
          </w:tcPr>
          <w:p w14:paraId="1035B891">
            <w:pPr>
              <w:jc w:val="center"/>
              <w:rPr>
                <w:rFonts w:hint="eastAsia" w:ascii="宋体" w:hAnsi="宋体" w:eastAsia="宋体" w:cs="宋体"/>
                <w:color w:val="auto"/>
                <w:sz w:val="24"/>
              </w:rPr>
            </w:pPr>
          </w:p>
        </w:tc>
        <w:tc>
          <w:tcPr>
            <w:tcW w:w="1449" w:type="dxa"/>
            <w:noWrap w:val="0"/>
            <w:vAlign w:val="center"/>
          </w:tcPr>
          <w:p w14:paraId="6A149E71">
            <w:pPr>
              <w:jc w:val="center"/>
              <w:rPr>
                <w:rFonts w:hint="eastAsia" w:ascii="宋体" w:hAnsi="宋体" w:eastAsia="宋体" w:cs="宋体"/>
                <w:color w:val="auto"/>
                <w:sz w:val="24"/>
              </w:rPr>
            </w:pPr>
          </w:p>
        </w:tc>
        <w:tc>
          <w:tcPr>
            <w:tcW w:w="1955" w:type="dxa"/>
            <w:noWrap w:val="0"/>
            <w:vAlign w:val="center"/>
          </w:tcPr>
          <w:p w14:paraId="75EE8D17">
            <w:pPr>
              <w:jc w:val="center"/>
              <w:rPr>
                <w:rFonts w:hint="eastAsia" w:ascii="宋体" w:hAnsi="宋体" w:eastAsia="宋体" w:cs="宋体"/>
                <w:color w:val="auto"/>
                <w:sz w:val="24"/>
              </w:rPr>
            </w:pPr>
          </w:p>
        </w:tc>
      </w:tr>
      <w:tr w14:paraId="69CDE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3A6FE196">
            <w:pPr>
              <w:jc w:val="center"/>
              <w:rPr>
                <w:rFonts w:hint="eastAsia" w:ascii="宋体" w:hAnsi="宋体" w:eastAsia="宋体" w:cs="宋体"/>
                <w:color w:val="auto"/>
                <w:sz w:val="24"/>
              </w:rPr>
            </w:pPr>
          </w:p>
        </w:tc>
        <w:tc>
          <w:tcPr>
            <w:tcW w:w="1083" w:type="dxa"/>
            <w:noWrap w:val="0"/>
            <w:vAlign w:val="center"/>
          </w:tcPr>
          <w:p w14:paraId="4B0F481E">
            <w:pPr>
              <w:jc w:val="center"/>
              <w:rPr>
                <w:rFonts w:hint="eastAsia" w:ascii="宋体" w:hAnsi="宋体" w:eastAsia="宋体" w:cs="宋体"/>
                <w:color w:val="auto"/>
                <w:sz w:val="24"/>
              </w:rPr>
            </w:pPr>
          </w:p>
        </w:tc>
        <w:tc>
          <w:tcPr>
            <w:tcW w:w="993" w:type="dxa"/>
            <w:noWrap w:val="0"/>
            <w:vAlign w:val="center"/>
          </w:tcPr>
          <w:p w14:paraId="7D9F21CA">
            <w:pPr>
              <w:jc w:val="center"/>
              <w:rPr>
                <w:rFonts w:hint="eastAsia" w:ascii="宋体" w:hAnsi="宋体" w:eastAsia="宋体" w:cs="宋体"/>
                <w:color w:val="auto"/>
                <w:sz w:val="24"/>
              </w:rPr>
            </w:pPr>
          </w:p>
        </w:tc>
        <w:tc>
          <w:tcPr>
            <w:tcW w:w="850" w:type="dxa"/>
            <w:noWrap w:val="0"/>
            <w:vAlign w:val="center"/>
          </w:tcPr>
          <w:p w14:paraId="3FF14A33">
            <w:pPr>
              <w:jc w:val="center"/>
              <w:rPr>
                <w:rFonts w:hint="eastAsia" w:ascii="宋体" w:hAnsi="宋体" w:eastAsia="宋体" w:cs="宋体"/>
                <w:color w:val="auto"/>
                <w:sz w:val="24"/>
              </w:rPr>
            </w:pPr>
          </w:p>
        </w:tc>
        <w:tc>
          <w:tcPr>
            <w:tcW w:w="992" w:type="dxa"/>
            <w:noWrap w:val="0"/>
            <w:vAlign w:val="center"/>
          </w:tcPr>
          <w:p w14:paraId="20EB532D">
            <w:pPr>
              <w:jc w:val="center"/>
              <w:rPr>
                <w:rFonts w:hint="eastAsia" w:ascii="宋体" w:hAnsi="宋体" w:eastAsia="宋体" w:cs="宋体"/>
                <w:color w:val="auto"/>
                <w:sz w:val="24"/>
              </w:rPr>
            </w:pPr>
          </w:p>
        </w:tc>
        <w:tc>
          <w:tcPr>
            <w:tcW w:w="1134" w:type="dxa"/>
            <w:noWrap w:val="0"/>
            <w:vAlign w:val="center"/>
          </w:tcPr>
          <w:p w14:paraId="1C3B2C54">
            <w:pPr>
              <w:jc w:val="center"/>
              <w:rPr>
                <w:rFonts w:hint="eastAsia" w:ascii="宋体" w:hAnsi="宋体" w:eastAsia="宋体" w:cs="宋体"/>
                <w:color w:val="auto"/>
                <w:sz w:val="24"/>
              </w:rPr>
            </w:pPr>
          </w:p>
        </w:tc>
        <w:tc>
          <w:tcPr>
            <w:tcW w:w="1449" w:type="dxa"/>
            <w:noWrap w:val="0"/>
            <w:vAlign w:val="center"/>
          </w:tcPr>
          <w:p w14:paraId="0937B780">
            <w:pPr>
              <w:jc w:val="center"/>
              <w:rPr>
                <w:rFonts w:hint="eastAsia" w:ascii="宋体" w:hAnsi="宋体" w:eastAsia="宋体" w:cs="宋体"/>
                <w:color w:val="auto"/>
                <w:sz w:val="24"/>
              </w:rPr>
            </w:pPr>
          </w:p>
        </w:tc>
        <w:tc>
          <w:tcPr>
            <w:tcW w:w="1449" w:type="dxa"/>
            <w:noWrap w:val="0"/>
            <w:vAlign w:val="center"/>
          </w:tcPr>
          <w:p w14:paraId="6A3533B8">
            <w:pPr>
              <w:jc w:val="center"/>
              <w:rPr>
                <w:rFonts w:hint="eastAsia" w:ascii="宋体" w:hAnsi="宋体" w:eastAsia="宋体" w:cs="宋体"/>
                <w:color w:val="auto"/>
                <w:sz w:val="24"/>
              </w:rPr>
            </w:pPr>
          </w:p>
        </w:tc>
        <w:tc>
          <w:tcPr>
            <w:tcW w:w="1955" w:type="dxa"/>
            <w:noWrap w:val="0"/>
            <w:vAlign w:val="center"/>
          </w:tcPr>
          <w:p w14:paraId="5AA2E531">
            <w:pPr>
              <w:jc w:val="center"/>
              <w:rPr>
                <w:rFonts w:hint="eastAsia" w:ascii="宋体" w:hAnsi="宋体" w:eastAsia="宋体" w:cs="宋体"/>
                <w:color w:val="auto"/>
                <w:sz w:val="24"/>
              </w:rPr>
            </w:pPr>
          </w:p>
        </w:tc>
      </w:tr>
      <w:tr w14:paraId="2360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648A7EF">
            <w:pPr>
              <w:jc w:val="center"/>
              <w:rPr>
                <w:rFonts w:hint="eastAsia" w:ascii="宋体" w:hAnsi="宋体" w:eastAsia="宋体" w:cs="宋体"/>
                <w:color w:val="auto"/>
                <w:sz w:val="24"/>
              </w:rPr>
            </w:pPr>
          </w:p>
        </w:tc>
        <w:tc>
          <w:tcPr>
            <w:tcW w:w="1083" w:type="dxa"/>
            <w:noWrap w:val="0"/>
            <w:vAlign w:val="center"/>
          </w:tcPr>
          <w:p w14:paraId="4EFC4006">
            <w:pPr>
              <w:jc w:val="center"/>
              <w:rPr>
                <w:rFonts w:hint="eastAsia" w:ascii="宋体" w:hAnsi="宋体" w:eastAsia="宋体" w:cs="宋体"/>
                <w:color w:val="auto"/>
                <w:sz w:val="24"/>
              </w:rPr>
            </w:pPr>
          </w:p>
        </w:tc>
        <w:tc>
          <w:tcPr>
            <w:tcW w:w="993" w:type="dxa"/>
            <w:noWrap w:val="0"/>
            <w:vAlign w:val="center"/>
          </w:tcPr>
          <w:p w14:paraId="2F5D679B">
            <w:pPr>
              <w:jc w:val="center"/>
              <w:rPr>
                <w:rFonts w:hint="eastAsia" w:ascii="宋体" w:hAnsi="宋体" w:eastAsia="宋体" w:cs="宋体"/>
                <w:color w:val="auto"/>
                <w:sz w:val="24"/>
              </w:rPr>
            </w:pPr>
          </w:p>
        </w:tc>
        <w:tc>
          <w:tcPr>
            <w:tcW w:w="850" w:type="dxa"/>
            <w:noWrap w:val="0"/>
            <w:vAlign w:val="center"/>
          </w:tcPr>
          <w:p w14:paraId="71DA15E6">
            <w:pPr>
              <w:jc w:val="center"/>
              <w:rPr>
                <w:rFonts w:hint="eastAsia" w:ascii="宋体" w:hAnsi="宋体" w:eastAsia="宋体" w:cs="宋体"/>
                <w:color w:val="auto"/>
                <w:sz w:val="24"/>
              </w:rPr>
            </w:pPr>
          </w:p>
        </w:tc>
        <w:tc>
          <w:tcPr>
            <w:tcW w:w="992" w:type="dxa"/>
            <w:noWrap w:val="0"/>
            <w:vAlign w:val="center"/>
          </w:tcPr>
          <w:p w14:paraId="33C4B764">
            <w:pPr>
              <w:jc w:val="center"/>
              <w:rPr>
                <w:rFonts w:hint="eastAsia" w:ascii="宋体" w:hAnsi="宋体" w:eastAsia="宋体" w:cs="宋体"/>
                <w:color w:val="auto"/>
                <w:sz w:val="24"/>
              </w:rPr>
            </w:pPr>
          </w:p>
        </w:tc>
        <w:tc>
          <w:tcPr>
            <w:tcW w:w="1134" w:type="dxa"/>
            <w:noWrap w:val="0"/>
            <w:vAlign w:val="center"/>
          </w:tcPr>
          <w:p w14:paraId="6CA2C86D">
            <w:pPr>
              <w:jc w:val="center"/>
              <w:rPr>
                <w:rFonts w:hint="eastAsia" w:ascii="宋体" w:hAnsi="宋体" w:eastAsia="宋体" w:cs="宋体"/>
                <w:color w:val="auto"/>
                <w:sz w:val="24"/>
              </w:rPr>
            </w:pPr>
          </w:p>
        </w:tc>
        <w:tc>
          <w:tcPr>
            <w:tcW w:w="1449" w:type="dxa"/>
            <w:noWrap w:val="0"/>
            <w:vAlign w:val="center"/>
          </w:tcPr>
          <w:p w14:paraId="6ADED27E">
            <w:pPr>
              <w:jc w:val="center"/>
              <w:rPr>
                <w:rFonts w:hint="eastAsia" w:ascii="宋体" w:hAnsi="宋体" w:eastAsia="宋体" w:cs="宋体"/>
                <w:color w:val="auto"/>
                <w:sz w:val="24"/>
              </w:rPr>
            </w:pPr>
          </w:p>
        </w:tc>
        <w:tc>
          <w:tcPr>
            <w:tcW w:w="1449" w:type="dxa"/>
            <w:noWrap w:val="0"/>
            <w:vAlign w:val="center"/>
          </w:tcPr>
          <w:p w14:paraId="79FD63F7">
            <w:pPr>
              <w:jc w:val="center"/>
              <w:rPr>
                <w:rFonts w:hint="eastAsia" w:ascii="宋体" w:hAnsi="宋体" w:eastAsia="宋体" w:cs="宋体"/>
                <w:color w:val="auto"/>
                <w:sz w:val="24"/>
              </w:rPr>
            </w:pPr>
          </w:p>
        </w:tc>
        <w:tc>
          <w:tcPr>
            <w:tcW w:w="1955" w:type="dxa"/>
            <w:noWrap w:val="0"/>
            <w:vAlign w:val="center"/>
          </w:tcPr>
          <w:p w14:paraId="657A5F08">
            <w:pPr>
              <w:jc w:val="center"/>
              <w:rPr>
                <w:rFonts w:hint="eastAsia" w:ascii="宋体" w:hAnsi="宋体" w:eastAsia="宋体" w:cs="宋体"/>
                <w:color w:val="auto"/>
                <w:sz w:val="24"/>
              </w:rPr>
            </w:pPr>
          </w:p>
        </w:tc>
      </w:tr>
      <w:tr w14:paraId="7103E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587B3577">
            <w:pPr>
              <w:jc w:val="center"/>
              <w:rPr>
                <w:rFonts w:hint="eastAsia" w:ascii="宋体" w:hAnsi="宋体" w:eastAsia="宋体" w:cs="宋体"/>
                <w:color w:val="auto"/>
                <w:sz w:val="24"/>
              </w:rPr>
            </w:pPr>
          </w:p>
        </w:tc>
        <w:tc>
          <w:tcPr>
            <w:tcW w:w="1083" w:type="dxa"/>
            <w:noWrap w:val="0"/>
            <w:vAlign w:val="center"/>
          </w:tcPr>
          <w:p w14:paraId="64851871">
            <w:pPr>
              <w:jc w:val="center"/>
              <w:rPr>
                <w:rFonts w:hint="eastAsia" w:ascii="宋体" w:hAnsi="宋体" w:eastAsia="宋体" w:cs="宋体"/>
                <w:color w:val="auto"/>
                <w:sz w:val="24"/>
              </w:rPr>
            </w:pPr>
          </w:p>
        </w:tc>
        <w:tc>
          <w:tcPr>
            <w:tcW w:w="993" w:type="dxa"/>
            <w:noWrap w:val="0"/>
            <w:vAlign w:val="center"/>
          </w:tcPr>
          <w:p w14:paraId="60820410">
            <w:pPr>
              <w:jc w:val="center"/>
              <w:rPr>
                <w:rFonts w:hint="eastAsia" w:ascii="宋体" w:hAnsi="宋体" w:eastAsia="宋体" w:cs="宋体"/>
                <w:color w:val="auto"/>
                <w:sz w:val="24"/>
              </w:rPr>
            </w:pPr>
          </w:p>
        </w:tc>
        <w:tc>
          <w:tcPr>
            <w:tcW w:w="850" w:type="dxa"/>
            <w:noWrap w:val="0"/>
            <w:vAlign w:val="center"/>
          </w:tcPr>
          <w:p w14:paraId="5D71381F">
            <w:pPr>
              <w:jc w:val="center"/>
              <w:rPr>
                <w:rFonts w:hint="eastAsia" w:ascii="宋体" w:hAnsi="宋体" w:eastAsia="宋体" w:cs="宋体"/>
                <w:color w:val="auto"/>
                <w:sz w:val="24"/>
              </w:rPr>
            </w:pPr>
          </w:p>
        </w:tc>
        <w:tc>
          <w:tcPr>
            <w:tcW w:w="992" w:type="dxa"/>
            <w:noWrap w:val="0"/>
            <w:vAlign w:val="center"/>
          </w:tcPr>
          <w:p w14:paraId="1F4895FC">
            <w:pPr>
              <w:jc w:val="center"/>
              <w:rPr>
                <w:rFonts w:hint="eastAsia" w:ascii="宋体" w:hAnsi="宋体" w:eastAsia="宋体" w:cs="宋体"/>
                <w:color w:val="auto"/>
                <w:sz w:val="24"/>
              </w:rPr>
            </w:pPr>
          </w:p>
        </w:tc>
        <w:tc>
          <w:tcPr>
            <w:tcW w:w="1134" w:type="dxa"/>
            <w:noWrap w:val="0"/>
            <w:vAlign w:val="center"/>
          </w:tcPr>
          <w:p w14:paraId="7ED2A30B">
            <w:pPr>
              <w:jc w:val="center"/>
              <w:rPr>
                <w:rFonts w:hint="eastAsia" w:ascii="宋体" w:hAnsi="宋体" w:eastAsia="宋体" w:cs="宋体"/>
                <w:color w:val="auto"/>
                <w:sz w:val="24"/>
              </w:rPr>
            </w:pPr>
          </w:p>
        </w:tc>
        <w:tc>
          <w:tcPr>
            <w:tcW w:w="1449" w:type="dxa"/>
            <w:noWrap w:val="0"/>
            <w:vAlign w:val="center"/>
          </w:tcPr>
          <w:p w14:paraId="2964A9FF">
            <w:pPr>
              <w:jc w:val="center"/>
              <w:rPr>
                <w:rFonts w:hint="eastAsia" w:ascii="宋体" w:hAnsi="宋体" w:eastAsia="宋体" w:cs="宋体"/>
                <w:color w:val="auto"/>
                <w:sz w:val="24"/>
              </w:rPr>
            </w:pPr>
          </w:p>
        </w:tc>
        <w:tc>
          <w:tcPr>
            <w:tcW w:w="1449" w:type="dxa"/>
            <w:noWrap w:val="0"/>
            <w:vAlign w:val="center"/>
          </w:tcPr>
          <w:p w14:paraId="3A9F2B04">
            <w:pPr>
              <w:jc w:val="center"/>
              <w:rPr>
                <w:rFonts w:hint="eastAsia" w:ascii="宋体" w:hAnsi="宋体" w:eastAsia="宋体" w:cs="宋体"/>
                <w:color w:val="auto"/>
                <w:sz w:val="24"/>
              </w:rPr>
            </w:pPr>
          </w:p>
        </w:tc>
        <w:tc>
          <w:tcPr>
            <w:tcW w:w="1955" w:type="dxa"/>
            <w:noWrap w:val="0"/>
            <w:vAlign w:val="center"/>
          </w:tcPr>
          <w:p w14:paraId="7C93F565">
            <w:pPr>
              <w:jc w:val="center"/>
              <w:rPr>
                <w:rFonts w:hint="eastAsia" w:ascii="宋体" w:hAnsi="宋体" w:eastAsia="宋体" w:cs="宋体"/>
                <w:color w:val="auto"/>
                <w:sz w:val="24"/>
              </w:rPr>
            </w:pPr>
          </w:p>
        </w:tc>
      </w:tr>
      <w:tr w14:paraId="46C0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28FE8C8D">
            <w:pPr>
              <w:jc w:val="center"/>
              <w:rPr>
                <w:rFonts w:hint="eastAsia" w:ascii="宋体" w:hAnsi="宋体" w:eastAsia="宋体" w:cs="宋体"/>
                <w:color w:val="auto"/>
                <w:sz w:val="24"/>
              </w:rPr>
            </w:pPr>
          </w:p>
        </w:tc>
        <w:tc>
          <w:tcPr>
            <w:tcW w:w="1083" w:type="dxa"/>
            <w:noWrap w:val="0"/>
            <w:vAlign w:val="center"/>
          </w:tcPr>
          <w:p w14:paraId="5C5F07D2">
            <w:pPr>
              <w:jc w:val="center"/>
              <w:rPr>
                <w:rFonts w:hint="eastAsia" w:ascii="宋体" w:hAnsi="宋体" w:eastAsia="宋体" w:cs="宋体"/>
                <w:color w:val="auto"/>
                <w:sz w:val="24"/>
              </w:rPr>
            </w:pPr>
          </w:p>
        </w:tc>
        <w:tc>
          <w:tcPr>
            <w:tcW w:w="993" w:type="dxa"/>
            <w:noWrap w:val="0"/>
            <w:vAlign w:val="center"/>
          </w:tcPr>
          <w:p w14:paraId="0E3851F3">
            <w:pPr>
              <w:jc w:val="center"/>
              <w:rPr>
                <w:rFonts w:hint="eastAsia" w:ascii="宋体" w:hAnsi="宋体" w:eastAsia="宋体" w:cs="宋体"/>
                <w:color w:val="auto"/>
                <w:sz w:val="24"/>
              </w:rPr>
            </w:pPr>
          </w:p>
        </w:tc>
        <w:tc>
          <w:tcPr>
            <w:tcW w:w="850" w:type="dxa"/>
            <w:noWrap w:val="0"/>
            <w:vAlign w:val="center"/>
          </w:tcPr>
          <w:p w14:paraId="0DCD2929">
            <w:pPr>
              <w:jc w:val="center"/>
              <w:rPr>
                <w:rFonts w:hint="eastAsia" w:ascii="宋体" w:hAnsi="宋体" w:eastAsia="宋体" w:cs="宋体"/>
                <w:color w:val="auto"/>
                <w:sz w:val="24"/>
              </w:rPr>
            </w:pPr>
          </w:p>
        </w:tc>
        <w:tc>
          <w:tcPr>
            <w:tcW w:w="992" w:type="dxa"/>
            <w:noWrap w:val="0"/>
            <w:vAlign w:val="center"/>
          </w:tcPr>
          <w:p w14:paraId="50AD3232">
            <w:pPr>
              <w:jc w:val="center"/>
              <w:rPr>
                <w:rFonts w:hint="eastAsia" w:ascii="宋体" w:hAnsi="宋体" w:eastAsia="宋体" w:cs="宋体"/>
                <w:color w:val="auto"/>
                <w:sz w:val="24"/>
              </w:rPr>
            </w:pPr>
          </w:p>
        </w:tc>
        <w:tc>
          <w:tcPr>
            <w:tcW w:w="1134" w:type="dxa"/>
            <w:noWrap w:val="0"/>
            <w:vAlign w:val="center"/>
          </w:tcPr>
          <w:p w14:paraId="0A920934">
            <w:pPr>
              <w:jc w:val="center"/>
              <w:rPr>
                <w:rFonts w:hint="eastAsia" w:ascii="宋体" w:hAnsi="宋体" w:eastAsia="宋体" w:cs="宋体"/>
                <w:color w:val="auto"/>
                <w:sz w:val="24"/>
              </w:rPr>
            </w:pPr>
          </w:p>
        </w:tc>
        <w:tc>
          <w:tcPr>
            <w:tcW w:w="1449" w:type="dxa"/>
            <w:noWrap w:val="0"/>
            <w:vAlign w:val="center"/>
          </w:tcPr>
          <w:p w14:paraId="2E245CA0">
            <w:pPr>
              <w:jc w:val="center"/>
              <w:rPr>
                <w:rFonts w:hint="eastAsia" w:ascii="宋体" w:hAnsi="宋体" w:eastAsia="宋体" w:cs="宋体"/>
                <w:color w:val="auto"/>
                <w:sz w:val="24"/>
              </w:rPr>
            </w:pPr>
          </w:p>
        </w:tc>
        <w:tc>
          <w:tcPr>
            <w:tcW w:w="1449" w:type="dxa"/>
            <w:noWrap w:val="0"/>
            <w:vAlign w:val="center"/>
          </w:tcPr>
          <w:p w14:paraId="24E5E8FC">
            <w:pPr>
              <w:jc w:val="center"/>
              <w:rPr>
                <w:rFonts w:hint="eastAsia" w:ascii="宋体" w:hAnsi="宋体" w:eastAsia="宋体" w:cs="宋体"/>
                <w:color w:val="auto"/>
                <w:sz w:val="24"/>
              </w:rPr>
            </w:pPr>
          </w:p>
        </w:tc>
        <w:tc>
          <w:tcPr>
            <w:tcW w:w="1955" w:type="dxa"/>
            <w:noWrap w:val="0"/>
            <w:vAlign w:val="center"/>
          </w:tcPr>
          <w:p w14:paraId="4CB0E034">
            <w:pPr>
              <w:jc w:val="center"/>
              <w:rPr>
                <w:rFonts w:hint="eastAsia" w:ascii="宋体" w:hAnsi="宋体" w:eastAsia="宋体" w:cs="宋体"/>
                <w:color w:val="auto"/>
                <w:sz w:val="24"/>
              </w:rPr>
            </w:pPr>
          </w:p>
        </w:tc>
      </w:tr>
      <w:tr w14:paraId="76C5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17140372">
            <w:pPr>
              <w:jc w:val="center"/>
              <w:rPr>
                <w:rFonts w:hint="eastAsia" w:ascii="宋体" w:hAnsi="宋体" w:eastAsia="宋体" w:cs="宋体"/>
                <w:color w:val="auto"/>
                <w:sz w:val="24"/>
              </w:rPr>
            </w:pPr>
          </w:p>
        </w:tc>
        <w:tc>
          <w:tcPr>
            <w:tcW w:w="1083" w:type="dxa"/>
            <w:noWrap w:val="0"/>
            <w:vAlign w:val="center"/>
          </w:tcPr>
          <w:p w14:paraId="12986761">
            <w:pPr>
              <w:jc w:val="center"/>
              <w:rPr>
                <w:rFonts w:hint="eastAsia" w:ascii="宋体" w:hAnsi="宋体" w:eastAsia="宋体" w:cs="宋体"/>
                <w:color w:val="auto"/>
                <w:sz w:val="24"/>
              </w:rPr>
            </w:pPr>
          </w:p>
        </w:tc>
        <w:tc>
          <w:tcPr>
            <w:tcW w:w="993" w:type="dxa"/>
            <w:noWrap w:val="0"/>
            <w:vAlign w:val="center"/>
          </w:tcPr>
          <w:p w14:paraId="5FEC821A">
            <w:pPr>
              <w:jc w:val="center"/>
              <w:rPr>
                <w:rFonts w:hint="eastAsia" w:ascii="宋体" w:hAnsi="宋体" w:eastAsia="宋体" w:cs="宋体"/>
                <w:color w:val="auto"/>
                <w:sz w:val="24"/>
              </w:rPr>
            </w:pPr>
          </w:p>
        </w:tc>
        <w:tc>
          <w:tcPr>
            <w:tcW w:w="850" w:type="dxa"/>
            <w:noWrap w:val="0"/>
            <w:vAlign w:val="center"/>
          </w:tcPr>
          <w:p w14:paraId="76AFA14E">
            <w:pPr>
              <w:jc w:val="center"/>
              <w:rPr>
                <w:rFonts w:hint="eastAsia" w:ascii="宋体" w:hAnsi="宋体" w:eastAsia="宋体" w:cs="宋体"/>
                <w:color w:val="auto"/>
                <w:sz w:val="24"/>
              </w:rPr>
            </w:pPr>
          </w:p>
        </w:tc>
        <w:tc>
          <w:tcPr>
            <w:tcW w:w="992" w:type="dxa"/>
            <w:noWrap w:val="0"/>
            <w:vAlign w:val="center"/>
          </w:tcPr>
          <w:p w14:paraId="0CAE37EB">
            <w:pPr>
              <w:jc w:val="center"/>
              <w:rPr>
                <w:rFonts w:hint="eastAsia" w:ascii="宋体" w:hAnsi="宋体" w:eastAsia="宋体" w:cs="宋体"/>
                <w:color w:val="auto"/>
                <w:sz w:val="24"/>
              </w:rPr>
            </w:pPr>
          </w:p>
        </w:tc>
        <w:tc>
          <w:tcPr>
            <w:tcW w:w="1134" w:type="dxa"/>
            <w:noWrap w:val="0"/>
            <w:vAlign w:val="center"/>
          </w:tcPr>
          <w:p w14:paraId="4846D53F">
            <w:pPr>
              <w:jc w:val="center"/>
              <w:rPr>
                <w:rFonts w:hint="eastAsia" w:ascii="宋体" w:hAnsi="宋体" w:eastAsia="宋体" w:cs="宋体"/>
                <w:color w:val="auto"/>
                <w:sz w:val="24"/>
              </w:rPr>
            </w:pPr>
          </w:p>
        </w:tc>
        <w:tc>
          <w:tcPr>
            <w:tcW w:w="1449" w:type="dxa"/>
            <w:noWrap w:val="0"/>
            <w:vAlign w:val="center"/>
          </w:tcPr>
          <w:p w14:paraId="167E9260">
            <w:pPr>
              <w:jc w:val="center"/>
              <w:rPr>
                <w:rFonts w:hint="eastAsia" w:ascii="宋体" w:hAnsi="宋体" w:eastAsia="宋体" w:cs="宋体"/>
                <w:color w:val="auto"/>
                <w:sz w:val="24"/>
              </w:rPr>
            </w:pPr>
          </w:p>
        </w:tc>
        <w:tc>
          <w:tcPr>
            <w:tcW w:w="1449" w:type="dxa"/>
            <w:noWrap w:val="0"/>
            <w:vAlign w:val="center"/>
          </w:tcPr>
          <w:p w14:paraId="508ED91B">
            <w:pPr>
              <w:jc w:val="center"/>
              <w:rPr>
                <w:rFonts w:hint="eastAsia" w:ascii="宋体" w:hAnsi="宋体" w:eastAsia="宋体" w:cs="宋体"/>
                <w:color w:val="auto"/>
                <w:sz w:val="24"/>
              </w:rPr>
            </w:pPr>
          </w:p>
        </w:tc>
        <w:tc>
          <w:tcPr>
            <w:tcW w:w="1955" w:type="dxa"/>
            <w:noWrap w:val="0"/>
            <w:vAlign w:val="center"/>
          </w:tcPr>
          <w:p w14:paraId="7B1495DD">
            <w:pPr>
              <w:jc w:val="center"/>
              <w:rPr>
                <w:rFonts w:hint="eastAsia" w:ascii="宋体" w:hAnsi="宋体" w:eastAsia="宋体" w:cs="宋体"/>
                <w:color w:val="auto"/>
                <w:sz w:val="24"/>
              </w:rPr>
            </w:pPr>
          </w:p>
        </w:tc>
      </w:tr>
      <w:tr w14:paraId="76E5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46" w:type="dxa"/>
            <w:noWrap w:val="0"/>
            <w:vAlign w:val="center"/>
          </w:tcPr>
          <w:p w14:paraId="08CEB427">
            <w:pPr>
              <w:jc w:val="center"/>
              <w:rPr>
                <w:rFonts w:hint="eastAsia" w:ascii="宋体" w:hAnsi="宋体" w:eastAsia="宋体" w:cs="宋体"/>
                <w:color w:val="auto"/>
                <w:sz w:val="24"/>
              </w:rPr>
            </w:pPr>
          </w:p>
        </w:tc>
        <w:tc>
          <w:tcPr>
            <w:tcW w:w="1083" w:type="dxa"/>
            <w:noWrap w:val="0"/>
            <w:vAlign w:val="center"/>
          </w:tcPr>
          <w:p w14:paraId="5248F8EC">
            <w:pPr>
              <w:jc w:val="center"/>
              <w:rPr>
                <w:rFonts w:hint="eastAsia" w:ascii="宋体" w:hAnsi="宋体" w:eastAsia="宋体" w:cs="宋体"/>
                <w:color w:val="auto"/>
                <w:sz w:val="24"/>
              </w:rPr>
            </w:pPr>
          </w:p>
        </w:tc>
        <w:tc>
          <w:tcPr>
            <w:tcW w:w="993" w:type="dxa"/>
            <w:noWrap w:val="0"/>
            <w:vAlign w:val="center"/>
          </w:tcPr>
          <w:p w14:paraId="073CEAAA">
            <w:pPr>
              <w:jc w:val="center"/>
              <w:rPr>
                <w:rFonts w:hint="eastAsia" w:ascii="宋体" w:hAnsi="宋体" w:eastAsia="宋体" w:cs="宋体"/>
                <w:color w:val="auto"/>
                <w:sz w:val="24"/>
              </w:rPr>
            </w:pPr>
          </w:p>
        </w:tc>
        <w:tc>
          <w:tcPr>
            <w:tcW w:w="850" w:type="dxa"/>
            <w:noWrap w:val="0"/>
            <w:vAlign w:val="center"/>
          </w:tcPr>
          <w:p w14:paraId="6200AD5E">
            <w:pPr>
              <w:jc w:val="center"/>
              <w:rPr>
                <w:rFonts w:hint="eastAsia" w:ascii="宋体" w:hAnsi="宋体" w:eastAsia="宋体" w:cs="宋体"/>
                <w:color w:val="auto"/>
                <w:sz w:val="24"/>
              </w:rPr>
            </w:pPr>
          </w:p>
        </w:tc>
        <w:tc>
          <w:tcPr>
            <w:tcW w:w="992" w:type="dxa"/>
            <w:noWrap w:val="0"/>
            <w:vAlign w:val="center"/>
          </w:tcPr>
          <w:p w14:paraId="13CAEE87">
            <w:pPr>
              <w:jc w:val="center"/>
              <w:rPr>
                <w:rFonts w:hint="eastAsia" w:ascii="宋体" w:hAnsi="宋体" w:eastAsia="宋体" w:cs="宋体"/>
                <w:color w:val="auto"/>
                <w:sz w:val="24"/>
              </w:rPr>
            </w:pPr>
          </w:p>
        </w:tc>
        <w:tc>
          <w:tcPr>
            <w:tcW w:w="1134" w:type="dxa"/>
            <w:noWrap w:val="0"/>
            <w:vAlign w:val="center"/>
          </w:tcPr>
          <w:p w14:paraId="317D8339">
            <w:pPr>
              <w:jc w:val="center"/>
              <w:rPr>
                <w:rFonts w:hint="eastAsia" w:ascii="宋体" w:hAnsi="宋体" w:eastAsia="宋体" w:cs="宋体"/>
                <w:color w:val="auto"/>
                <w:sz w:val="24"/>
              </w:rPr>
            </w:pPr>
          </w:p>
        </w:tc>
        <w:tc>
          <w:tcPr>
            <w:tcW w:w="1449" w:type="dxa"/>
            <w:noWrap w:val="0"/>
            <w:vAlign w:val="center"/>
          </w:tcPr>
          <w:p w14:paraId="56D386BB">
            <w:pPr>
              <w:jc w:val="center"/>
              <w:rPr>
                <w:rFonts w:hint="eastAsia" w:ascii="宋体" w:hAnsi="宋体" w:eastAsia="宋体" w:cs="宋体"/>
                <w:color w:val="auto"/>
                <w:sz w:val="24"/>
              </w:rPr>
            </w:pPr>
          </w:p>
        </w:tc>
        <w:tc>
          <w:tcPr>
            <w:tcW w:w="1449" w:type="dxa"/>
            <w:noWrap w:val="0"/>
            <w:vAlign w:val="center"/>
          </w:tcPr>
          <w:p w14:paraId="62F9ECC4">
            <w:pPr>
              <w:jc w:val="center"/>
              <w:rPr>
                <w:rFonts w:hint="eastAsia" w:ascii="宋体" w:hAnsi="宋体" w:eastAsia="宋体" w:cs="宋体"/>
                <w:color w:val="auto"/>
                <w:sz w:val="24"/>
              </w:rPr>
            </w:pPr>
          </w:p>
        </w:tc>
        <w:tc>
          <w:tcPr>
            <w:tcW w:w="1955" w:type="dxa"/>
            <w:noWrap w:val="0"/>
            <w:vAlign w:val="center"/>
          </w:tcPr>
          <w:p w14:paraId="63D4C530">
            <w:pPr>
              <w:jc w:val="center"/>
              <w:rPr>
                <w:rFonts w:hint="eastAsia" w:ascii="宋体" w:hAnsi="宋体" w:eastAsia="宋体" w:cs="宋体"/>
                <w:color w:val="auto"/>
                <w:sz w:val="24"/>
              </w:rPr>
            </w:pPr>
          </w:p>
        </w:tc>
      </w:tr>
    </w:tbl>
    <w:p w14:paraId="6A28D1F4">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2C88F1FB">
      <w:pPr>
        <w:keepNext w:val="0"/>
        <w:keepLines w:val="0"/>
        <w:pageBreakBefore w:val="0"/>
        <w:widowControl w:val="0"/>
        <w:kinsoku/>
        <w:wordWrap w:val="0"/>
        <w:overflowPunct w:val="0"/>
        <w:topLinePunct/>
        <w:autoSpaceDE/>
        <w:autoSpaceDN/>
        <w:bidi w:val="0"/>
        <w:adjustRightInd/>
        <w:snapToGrid/>
        <w:ind w:left="100"/>
        <w:rPr>
          <w:rFonts w:hint="eastAsia" w:ascii="宋体" w:hAnsi="宋体" w:eastAsia="宋体" w:cs="宋体"/>
          <w:color w:val="auto"/>
          <w:sz w:val="21"/>
          <w:szCs w:val="21"/>
          <w:lang w:val="zh-CN" w:eastAsia="zh-CN" w:bidi="ar-SA"/>
        </w:rPr>
      </w:pPr>
      <w:r>
        <w:rPr>
          <w:rFonts w:hint="eastAsia" w:ascii="宋体" w:hAnsi="宋体" w:cs="宋体"/>
          <w:color w:val="auto"/>
          <w:sz w:val="21"/>
          <w:szCs w:val="21"/>
          <w:lang w:val="zh-CN" w:eastAsia="zh-CN" w:bidi="ar-SA"/>
        </w:rPr>
        <w:t>注：表内人员需要提供身份证、执业资格证（若有）、职称证（若有）、劳动合同或社保证明等证明材料扫描件。</w:t>
      </w:r>
    </w:p>
    <w:p w14:paraId="7767B82C">
      <w:pPr>
        <w:keepNext w:val="0"/>
        <w:keepLines w:val="0"/>
        <w:pageBreakBefore w:val="0"/>
        <w:widowControl w:val="0"/>
        <w:kinsoku/>
        <w:wordWrap w:val="0"/>
        <w:overflowPunct w:val="0"/>
        <w:topLinePunct/>
        <w:autoSpaceDE/>
        <w:autoSpaceDN/>
        <w:bidi w:val="0"/>
        <w:adjustRightInd/>
        <w:snapToGrid/>
        <w:ind w:left="100"/>
        <w:rPr>
          <w:rFonts w:hint="eastAsia" w:ascii="宋体" w:hAnsi="宋体" w:eastAsia="宋体" w:cs="宋体"/>
          <w:color w:val="auto"/>
          <w:sz w:val="21"/>
          <w:szCs w:val="21"/>
          <w:lang w:val="zh-CN" w:eastAsia="zh-CN" w:bidi="ar-SA"/>
        </w:rPr>
      </w:pPr>
    </w:p>
    <w:p w14:paraId="3C0C37B8">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pPr>
    </w:p>
    <w:p w14:paraId="12D188DA">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p>
    <w:p w14:paraId="2A0DA345">
      <w:pPr>
        <w:widowControl w:val="0"/>
        <w:ind w:left="100"/>
        <w:rPr>
          <w:rFonts w:hint="eastAsia" w:ascii="宋体" w:hAnsi="宋体" w:eastAsia="宋体" w:cs="宋体"/>
          <w:color w:val="auto"/>
          <w:sz w:val="24"/>
          <w:szCs w:val="24"/>
          <w:lang w:val="en-US" w:eastAsia="zh-CN" w:bidi="ar-SA"/>
        </w:rPr>
      </w:pPr>
    </w:p>
    <w:p w14:paraId="6F4FFFCB">
      <w:pPr>
        <w:rPr>
          <w:rFonts w:hint="eastAsia" w:ascii="宋体" w:hAnsi="宋体" w:eastAsia="宋体" w:cs="宋体"/>
          <w:color w:val="auto"/>
          <w:sz w:val="24"/>
          <w:szCs w:val="24"/>
          <w:lang w:eastAsia="zh-CN"/>
        </w:rPr>
      </w:pPr>
    </w:p>
    <w:p w14:paraId="4B14D03F">
      <w:pPr>
        <w:widowControl w:val="0"/>
        <w:ind w:left="100"/>
        <w:rPr>
          <w:rFonts w:hint="eastAsia" w:ascii="宋体" w:hAnsi="宋体" w:eastAsia="宋体" w:cs="Times New Roman"/>
          <w:color w:val="auto"/>
          <w:sz w:val="21"/>
          <w:szCs w:val="21"/>
          <w:lang w:val="en-US" w:eastAsia="zh-CN" w:bidi="ar-SA"/>
        </w:rPr>
      </w:pPr>
    </w:p>
    <w:p w14:paraId="3484034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rPr>
        <w:t>加盖电子公章</w:t>
      </w:r>
      <w:r>
        <w:rPr>
          <w:rFonts w:hint="eastAsia" w:ascii="宋体" w:hAnsi="宋体" w:eastAsia="宋体" w:cs="宋体"/>
          <w:color w:val="auto"/>
          <w:sz w:val="24"/>
          <w:szCs w:val="24"/>
          <w:lang w:eastAsia="zh-CN"/>
        </w:rPr>
        <w:t>）</w:t>
      </w:r>
    </w:p>
    <w:p w14:paraId="616D0DA2">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法定代表人（负责人）或授权委托人：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（电子签章）</w:t>
      </w:r>
    </w:p>
    <w:p w14:paraId="3161C89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宋体" w:hAnsi="宋体" w:eastAsia="宋体" w:cs="宋体"/>
          <w:b/>
          <w:bCs/>
          <w:color w:val="auto"/>
          <w:sz w:val="28"/>
          <w:szCs w:val="28"/>
          <w:lang w:val="en-US" w:eastAsia="zh-CN"/>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5C5764D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left"/>
        <w:textAlignment w:val="auto"/>
        <w:outlineLvl w:val="9"/>
        <w:rPr>
          <w:rFonts w:hint="default"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附件2</w:t>
      </w:r>
    </w:p>
    <w:p w14:paraId="267E349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bCs/>
          <w:color w:val="auto"/>
          <w:sz w:val="30"/>
          <w:szCs w:val="30"/>
          <w:lang w:val="en-US" w:eastAsia="zh-CN" w:bidi="ar-SA"/>
        </w:rPr>
        <w:t>售后服务网点（若有）</w:t>
      </w:r>
    </w:p>
    <w:tbl>
      <w:tblPr>
        <w:tblStyle w:val="68"/>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39CD3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88AC7A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序号</w:t>
            </w:r>
          </w:p>
        </w:tc>
        <w:tc>
          <w:tcPr>
            <w:tcW w:w="1361" w:type="dxa"/>
            <w:noWrap w:val="0"/>
            <w:vAlign w:val="center"/>
          </w:tcPr>
          <w:p w14:paraId="29190B6D">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机构名称</w:t>
            </w:r>
          </w:p>
        </w:tc>
        <w:tc>
          <w:tcPr>
            <w:tcW w:w="1376" w:type="dxa"/>
            <w:noWrap w:val="0"/>
            <w:vAlign w:val="center"/>
          </w:tcPr>
          <w:p w14:paraId="37084862">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机构地址</w:t>
            </w:r>
          </w:p>
        </w:tc>
        <w:tc>
          <w:tcPr>
            <w:tcW w:w="1251" w:type="dxa"/>
            <w:noWrap w:val="0"/>
            <w:vAlign w:val="center"/>
          </w:tcPr>
          <w:p w14:paraId="56213B03">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固话号码</w:t>
            </w:r>
          </w:p>
        </w:tc>
        <w:tc>
          <w:tcPr>
            <w:tcW w:w="1251" w:type="dxa"/>
            <w:noWrap w:val="0"/>
            <w:vAlign w:val="center"/>
          </w:tcPr>
          <w:p w14:paraId="4582233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联系人</w:t>
            </w:r>
          </w:p>
        </w:tc>
        <w:tc>
          <w:tcPr>
            <w:tcW w:w="1224" w:type="dxa"/>
            <w:noWrap w:val="0"/>
            <w:vAlign w:val="center"/>
          </w:tcPr>
          <w:p w14:paraId="11998BE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联系电话</w:t>
            </w:r>
          </w:p>
        </w:tc>
        <w:tc>
          <w:tcPr>
            <w:tcW w:w="1669" w:type="dxa"/>
            <w:noWrap w:val="0"/>
            <w:vAlign w:val="center"/>
          </w:tcPr>
          <w:p w14:paraId="76B0D36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E-mail/QQ</w:t>
            </w:r>
          </w:p>
        </w:tc>
        <w:tc>
          <w:tcPr>
            <w:tcW w:w="1669" w:type="dxa"/>
            <w:noWrap w:val="0"/>
            <w:vAlign w:val="center"/>
          </w:tcPr>
          <w:p w14:paraId="3EB96C22">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r>
              <w:rPr>
                <w:rFonts w:hint="eastAsia" w:ascii="宋体" w:hAnsi="宋体" w:eastAsia="宋体" w:cs="宋体"/>
                <w:b w:val="0"/>
                <w:bCs w:val="0"/>
                <w:color w:val="auto"/>
                <w:sz w:val="24"/>
                <w:szCs w:val="24"/>
                <w:vertAlign w:val="baseline"/>
                <w:lang w:val="en-US" w:eastAsia="zh-CN" w:bidi="ar-SA"/>
              </w:rPr>
              <w:t>400/800全国免费电话</w:t>
            </w:r>
          </w:p>
        </w:tc>
      </w:tr>
      <w:tr w14:paraId="00FF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3CE593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0D7AB4B3">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69ED769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22B9E5FA">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4C707CA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13B713C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4019E96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2B956E4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2BDF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FF6297">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5A08C1F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08F4BC2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513C06F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6EB3C08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738A03C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65668E1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3CC6B2B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3162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4C33F8C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6B0E33C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12A760F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1438E80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251533A3">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19E4373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1E5A06F2">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080F23A3">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55EF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196911D">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0A7A01F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4199DBB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543EEDF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08C662E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335E453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37B851D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73DB801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7BE6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443422B">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38187DA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1E376D23">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769039C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60C69B2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582FD4D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57A262E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44E3BA5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64CD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5A307BB">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17330A6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35C9A65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06718DC6">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4615C7F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631936B9">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03EB413A">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2965B1A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r w14:paraId="5F7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1626E6">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61" w:type="dxa"/>
            <w:noWrap w:val="0"/>
            <w:vAlign w:val="center"/>
          </w:tcPr>
          <w:p w14:paraId="04A3680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376" w:type="dxa"/>
            <w:noWrap w:val="0"/>
            <w:vAlign w:val="center"/>
          </w:tcPr>
          <w:p w14:paraId="408D051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033A21F5">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51" w:type="dxa"/>
            <w:noWrap w:val="0"/>
            <w:vAlign w:val="center"/>
          </w:tcPr>
          <w:p w14:paraId="42AC30B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224" w:type="dxa"/>
            <w:noWrap w:val="0"/>
            <w:vAlign w:val="center"/>
          </w:tcPr>
          <w:p w14:paraId="552AB982">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0F8DCA5D">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c>
          <w:tcPr>
            <w:tcW w:w="1669" w:type="dxa"/>
            <w:noWrap w:val="0"/>
            <w:vAlign w:val="center"/>
          </w:tcPr>
          <w:p w14:paraId="020CE60F">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center"/>
              <w:textAlignment w:val="auto"/>
              <w:outlineLvl w:val="9"/>
              <w:rPr>
                <w:rFonts w:hint="eastAsia" w:ascii="宋体" w:hAnsi="宋体" w:eastAsia="宋体" w:cs="宋体"/>
                <w:b w:val="0"/>
                <w:bCs w:val="0"/>
                <w:color w:val="auto"/>
                <w:sz w:val="24"/>
                <w:szCs w:val="24"/>
                <w:vertAlign w:val="baseline"/>
                <w:lang w:val="en-US" w:eastAsia="zh-CN" w:bidi="ar-SA"/>
              </w:rPr>
            </w:pPr>
          </w:p>
        </w:tc>
      </w:tr>
    </w:tbl>
    <w:p w14:paraId="4AC6891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ind w:left="100"/>
        <w:jc w:val="left"/>
        <w:textAlignment w:val="auto"/>
        <w:outlineLvl w:val="9"/>
        <w:rPr>
          <w:rFonts w:hint="eastAsia" w:ascii="宋体" w:hAnsi="宋体" w:eastAsia="宋体" w:cs="宋体"/>
          <w:b/>
          <w:bCs/>
          <w:color w:val="auto"/>
          <w:spacing w:val="-1"/>
          <w:sz w:val="24"/>
          <w:szCs w:val="24"/>
          <w:lang w:val="en-US" w:eastAsia="en-US" w:bidi="ar-SA"/>
        </w:rPr>
      </w:pPr>
      <w:r>
        <w:rPr>
          <w:rFonts w:hint="eastAsia" w:ascii="宋体" w:hAnsi="宋体" w:eastAsia="宋体" w:cs="宋体"/>
          <w:b w:val="0"/>
          <w:bCs w:val="0"/>
          <w:color w:val="auto"/>
          <w:sz w:val="24"/>
          <w:szCs w:val="24"/>
          <w:lang w:val="en-US" w:eastAsia="zh-CN" w:bidi="ar-SA"/>
        </w:rPr>
        <w:t>注：若服务机构为合作伙伴的需提供相关证明资料（如机构营业执照等（扫描件加盖电子公章）</w:t>
      </w:r>
    </w:p>
    <w:p w14:paraId="63BEA989">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14BF2512">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6876B43C">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2A6CD0E5">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762301C2">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0D1F5570">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10B4CE9A">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6E5CB3E1">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5E45F8D8">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22B9E51C">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2D52FB29">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pacing w:val="-1"/>
          <w:sz w:val="24"/>
          <w:szCs w:val="24"/>
          <w:lang w:val="en-US" w:eastAsia="en-US" w:bidi="ar-SA"/>
        </w:rPr>
      </w:pPr>
    </w:p>
    <w:p w14:paraId="726275FB">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pacing w:val="-1"/>
          <w:sz w:val="24"/>
          <w:szCs w:val="24"/>
          <w:lang w:val="en-US" w:eastAsia="zh-CN" w:bidi="ar-SA"/>
        </w:rPr>
        <w:t>供应商</w:t>
      </w:r>
      <w:r>
        <w:rPr>
          <w:rFonts w:hint="eastAsia" w:ascii="宋体" w:hAnsi="宋体" w:eastAsia="宋体" w:cs="宋体"/>
          <w:color w:val="auto"/>
          <w:sz w:val="24"/>
          <w:szCs w:val="24"/>
          <w:lang w:val="en-US" w:eastAsia="en-US"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u w:val="none"/>
          <w:lang w:val="en-US" w:eastAsia="zh-CN" w:bidi="ar-SA"/>
        </w:rPr>
        <w:t>（</w:t>
      </w:r>
      <w:r>
        <w:rPr>
          <w:rFonts w:hint="eastAsia" w:ascii="宋体" w:hAnsi="宋体" w:eastAsia="宋体" w:cs="宋体"/>
          <w:color w:val="auto"/>
          <w:sz w:val="24"/>
          <w:szCs w:val="21"/>
          <w:lang w:val="en-US" w:eastAsia="en-US" w:bidi="ar-SA"/>
        </w:rPr>
        <w:t>加盖电子公章</w:t>
      </w:r>
      <w:r>
        <w:rPr>
          <w:rFonts w:hint="eastAsia" w:ascii="宋体" w:hAnsi="宋体" w:eastAsia="宋体" w:cs="宋体"/>
          <w:color w:val="auto"/>
          <w:sz w:val="24"/>
          <w:szCs w:val="24"/>
          <w:u w:val="none"/>
          <w:lang w:val="en-US" w:eastAsia="zh-CN" w:bidi="ar-SA"/>
        </w:rPr>
        <w:t>）</w:t>
      </w:r>
    </w:p>
    <w:p w14:paraId="24B15A73">
      <w:pPr>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left="100" w:right="0"/>
        <w:jc w:val="center"/>
        <w:textAlignment w:val="auto"/>
        <w:rPr>
          <w:rFonts w:hint="eastAsia" w:ascii="宋体" w:hAnsi="宋体" w:eastAsia="宋体" w:cs="宋体"/>
          <w:color w:val="auto"/>
          <w:sz w:val="24"/>
          <w:szCs w:val="24"/>
          <w:u w:val="none"/>
          <w:lang w:val="en-US" w:eastAsia="en-US" w:bidi="ar-SA"/>
        </w:rPr>
      </w:pPr>
      <w:r>
        <w:rPr>
          <w:rFonts w:hint="eastAsia" w:ascii="宋体" w:hAnsi="宋体" w:eastAsia="宋体" w:cs="宋体"/>
          <w:color w:val="auto"/>
          <w:sz w:val="24"/>
          <w:szCs w:val="24"/>
          <w:lang w:val="en-US" w:eastAsia="zh-CN" w:bidi="ar-SA"/>
        </w:rPr>
        <w:t>法定代表人</w:t>
      </w:r>
      <w:r>
        <w:rPr>
          <w:rFonts w:hint="eastAsia" w:ascii="宋体" w:hAnsi="宋体" w:eastAsia="宋体" w:cs="宋体"/>
          <w:color w:val="auto"/>
          <w:sz w:val="24"/>
          <w:szCs w:val="21"/>
          <w:lang w:val="en-US" w:eastAsia="en-US" w:bidi="ar-SA"/>
        </w:rPr>
        <w:t>（负责人）</w:t>
      </w:r>
      <w:r>
        <w:rPr>
          <w:rFonts w:hint="eastAsia" w:ascii="宋体" w:hAnsi="宋体" w:eastAsia="宋体" w:cs="宋体"/>
          <w:color w:val="auto"/>
          <w:sz w:val="24"/>
          <w:szCs w:val="24"/>
          <w:lang w:val="en-US" w:eastAsia="zh-CN" w:bidi="ar-SA"/>
        </w:rPr>
        <w:t>或</w:t>
      </w:r>
      <w:r>
        <w:rPr>
          <w:rFonts w:hint="eastAsia" w:ascii="宋体" w:hAnsi="宋体" w:eastAsia="宋体" w:cs="宋体"/>
          <w:color w:val="auto"/>
          <w:sz w:val="24"/>
          <w:szCs w:val="24"/>
          <w:u w:val="none"/>
          <w:lang w:val="en-US" w:eastAsia="zh-CN" w:bidi="ar-SA"/>
        </w:rPr>
        <w:t>授权委托人</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（电子签章）</w:t>
      </w:r>
    </w:p>
    <w:p w14:paraId="468D3503">
      <w:pPr>
        <w:jc w:val="center"/>
        <w:rPr>
          <w:rFonts w:hint="eastAsia" w:ascii="宋体" w:hAnsi="宋体" w:eastAsia="宋体" w:cs="宋体"/>
          <w:color w:val="auto"/>
          <w:sz w:val="24"/>
          <w:szCs w:val="24"/>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rPr>
        <w:t>日</w:t>
      </w:r>
      <w:r>
        <w:rPr>
          <w:rFonts w:hint="eastAsia" w:ascii="宋体" w:hAnsi="宋体" w:eastAsia="宋体" w:cs="宋体"/>
          <w:color w:val="auto"/>
          <w:sz w:val="24"/>
          <w:szCs w:val="24"/>
        </w:rPr>
        <w:tab/>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283F86A">
      <w:pPr>
        <w:keepNext w:val="0"/>
        <w:keepLines w:val="0"/>
        <w:pageBreakBefore w:val="0"/>
        <w:widowControl w:val="0"/>
        <w:kinsoku/>
        <w:wordWrap w:val="0"/>
        <w:overflowPunct w:val="0"/>
        <w:topLinePunct/>
        <w:autoSpaceDE/>
        <w:autoSpaceDN/>
        <w:bidi w:val="0"/>
        <w:adjustRightInd/>
        <w:snapToGrid/>
        <w:spacing w:line="360" w:lineRule="auto"/>
        <w:ind w:left="100" w:firstLine="0" w:firstLineChars="0"/>
        <w:jc w:val="center"/>
        <w:textAlignment w:val="auto"/>
        <w:outlineLvl w:val="2"/>
        <w:rPr>
          <w:rFonts w:hint="eastAsia" w:ascii="宋体" w:hAnsi="宋体" w:eastAsia="宋体" w:cs="宋体"/>
          <w:b/>
          <w:color w:val="auto"/>
          <w:sz w:val="21"/>
          <w:szCs w:val="21"/>
          <w:lang w:val="en-US" w:eastAsia="en-US" w:bidi="ar-SA"/>
        </w:rPr>
      </w:pPr>
      <w:bookmarkStart w:id="1961" w:name="_Toc25884"/>
      <w:r>
        <w:rPr>
          <w:rFonts w:hint="eastAsia" w:ascii="宋体" w:hAnsi="宋体" w:eastAsia="宋体" w:cs="宋体"/>
          <w:b/>
          <w:bCs/>
          <w:color w:val="auto"/>
          <w:sz w:val="32"/>
          <w:szCs w:val="32"/>
          <w:lang w:val="en-US" w:eastAsia="zh-CN" w:bidi="ar-SA"/>
        </w:rPr>
        <w:t>九</w:t>
      </w:r>
      <w:r>
        <w:rPr>
          <w:rFonts w:hint="eastAsia" w:ascii="宋体" w:hAnsi="宋体" w:eastAsia="宋体" w:cs="宋体"/>
          <w:b/>
          <w:bCs/>
          <w:color w:val="auto"/>
          <w:sz w:val="32"/>
          <w:szCs w:val="32"/>
          <w:lang w:val="zh-CN" w:eastAsia="zh-CN" w:bidi="ar-SA"/>
        </w:rPr>
        <w:t>、</w:t>
      </w:r>
      <w:r>
        <w:rPr>
          <w:rFonts w:hint="eastAsia" w:ascii="宋体" w:hAnsi="宋体" w:eastAsia="宋体" w:cs="宋体"/>
          <w:b/>
          <w:bCs/>
          <w:color w:val="auto"/>
          <w:sz w:val="32"/>
          <w:szCs w:val="32"/>
          <w:lang w:val="en-US" w:eastAsia="zh-CN" w:bidi="ar-SA"/>
        </w:rPr>
        <w:t>供应商</w:t>
      </w:r>
      <w:r>
        <w:rPr>
          <w:rFonts w:hint="eastAsia" w:ascii="宋体" w:hAnsi="宋体" w:eastAsia="宋体" w:cs="宋体"/>
          <w:b/>
          <w:bCs/>
          <w:color w:val="auto"/>
          <w:sz w:val="32"/>
          <w:szCs w:val="32"/>
          <w:lang w:val="en-US" w:eastAsia="en-US" w:bidi="ar-SA"/>
        </w:rPr>
        <w:t>主要业绩</w:t>
      </w:r>
      <w:r>
        <w:rPr>
          <w:rFonts w:hint="eastAsia" w:ascii="宋体" w:hAnsi="宋体" w:eastAsia="宋体" w:cs="宋体"/>
          <w:b/>
          <w:bCs/>
          <w:color w:val="auto"/>
          <w:sz w:val="32"/>
          <w:szCs w:val="32"/>
          <w:lang w:val="en-US" w:eastAsia="zh-CN" w:bidi="ar-SA"/>
        </w:rPr>
        <w:t>（若有）</w:t>
      </w:r>
      <w:bookmarkEnd w:id="1961"/>
    </w:p>
    <w:tbl>
      <w:tblPr>
        <w:tblStyle w:val="67"/>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284A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0C0DB9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1105" w:type="dxa"/>
            <w:noWrap w:val="0"/>
            <w:vAlign w:val="center"/>
          </w:tcPr>
          <w:p w14:paraId="1264C3D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tc>
        <w:tc>
          <w:tcPr>
            <w:tcW w:w="1840" w:type="dxa"/>
            <w:noWrap w:val="0"/>
            <w:vAlign w:val="center"/>
          </w:tcPr>
          <w:p w14:paraId="6EB2CE5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联系人及联系电话</w:t>
            </w:r>
          </w:p>
        </w:tc>
        <w:tc>
          <w:tcPr>
            <w:tcW w:w="1366" w:type="dxa"/>
            <w:noWrap w:val="0"/>
            <w:vAlign w:val="center"/>
          </w:tcPr>
          <w:p w14:paraId="53FC49E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供货安装期限</w:t>
            </w:r>
          </w:p>
        </w:tc>
        <w:tc>
          <w:tcPr>
            <w:tcW w:w="1294" w:type="dxa"/>
            <w:noWrap w:val="0"/>
            <w:vAlign w:val="center"/>
          </w:tcPr>
          <w:p w14:paraId="5793C3A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项目地点</w:t>
            </w:r>
          </w:p>
        </w:tc>
        <w:tc>
          <w:tcPr>
            <w:tcW w:w="1255" w:type="dxa"/>
            <w:noWrap w:val="0"/>
            <w:vAlign w:val="center"/>
          </w:tcPr>
          <w:p w14:paraId="36FCACA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项目规模</w:t>
            </w:r>
          </w:p>
        </w:tc>
        <w:tc>
          <w:tcPr>
            <w:tcW w:w="1036" w:type="dxa"/>
            <w:noWrap w:val="0"/>
            <w:vAlign w:val="center"/>
          </w:tcPr>
          <w:p w14:paraId="4F6AA7A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签约合同金额</w:t>
            </w:r>
          </w:p>
        </w:tc>
        <w:tc>
          <w:tcPr>
            <w:tcW w:w="1104" w:type="dxa"/>
            <w:noWrap w:val="0"/>
            <w:vAlign w:val="center"/>
          </w:tcPr>
          <w:p w14:paraId="1C88EFD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pacing w:val="-16"/>
                <w:sz w:val="24"/>
                <w:szCs w:val="24"/>
              </w:rPr>
            </w:pPr>
            <w:r>
              <w:rPr>
                <w:rFonts w:hint="eastAsia" w:ascii="宋体" w:hAnsi="宋体" w:eastAsia="宋体" w:cs="宋体"/>
                <w:color w:val="auto"/>
                <w:spacing w:val="-16"/>
                <w:sz w:val="24"/>
                <w:szCs w:val="24"/>
              </w:rPr>
              <w:t>合同内容</w:t>
            </w:r>
          </w:p>
        </w:tc>
      </w:tr>
      <w:tr w14:paraId="3150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1EFBF2B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665C7F6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79285C2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6AE366D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079DB2F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44097ED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2D7F48D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1B6619E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28BDB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D9324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1ED61CF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0AB6820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5D77A4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0947358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4FE987D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A54260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7CE11C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324EC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26C9A7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0481351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334B48F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011EB7D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5BCF206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2EEE962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65229BA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05707D3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180E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12BD899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0557B92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32A858F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74BB6E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097907C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0F5043E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0DB035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6EFC52D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79035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19A6BB2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5" w:type="dxa"/>
            <w:noWrap w:val="0"/>
            <w:vAlign w:val="center"/>
          </w:tcPr>
          <w:p w14:paraId="6A9127D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840" w:type="dxa"/>
            <w:noWrap w:val="0"/>
            <w:vAlign w:val="center"/>
          </w:tcPr>
          <w:p w14:paraId="509BCA6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366" w:type="dxa"/>
            <w:noWrap w:val="0"/>
            <w:vAlign w:val="center"/>
          </w:tcPr>
          <w:p w14:paraId="65D9D76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94" w:type="dxa"/>
            <w:noWrap w:val="0"/>
            <w:vAlign w:val="center"/>
          </w:tcPr>
          <w:p w14:paraId="095FB84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255" w:type="dxa"/>
            <w:noWrap w:val="0"/>
            <w:vAlign w:val="center"/>
          </w:tcPr>
          <w:p w14:paraId="5A26BE3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036" w:type="dxa"/>
            <w:noWrap w:val="0"/>
            <w:vAlign w:val="center"/>
          </w:tcPr>
          <w:p w14:paraId="28A9CC2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c>
          <w:tcPr>
            <w:tcW w:w="1104" w:type="dxa"/>
            <w:noWrap w:val="0"/>
            <w:vAlign w:val="center"/>
          </w:tcPr>
          <w:p w14:paraId="0DE48AA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宋体" w:hAnsi="宋体" w:eastAsia="宋体" w:cs="宋体"/>
                <w:color w:val="auto"/>
                <w:sz w:val="24"/>
                <w:szCs w:val="24"/>
              </w:rPr>
            </w:pPr>
          </w:p>
        </w:tc>
      </w:tr>
      <w:tr w14:paraId="2B3D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2268E3DB">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说明：附（</w:t>
            </w:r>
            <w:r>
              <w:rPr>
                <w:rFonts w:hint="eastAsia" w:ascii="宋体" w:hAnsi="宋体" w:eastAsia="宋体" w:cs="宋体"/>
                <w:color w:val="auto"/>
                <w:sz w:val="24"/>
                <w:szCs w:val="24"/>
                <w:lang w:eastAsia="zh-CN"/>
              </w:rPr>
              <w:t>评审</w:t>
            </w:r>
            <w:r>
              <w:rPr>
                <w:rFonts w:hint="eastAsia" w:ascii="宋体" w:hAnsi="宋体" w:eastAsia="宋体" w:cs="宋体"/>
                <w:color w:val="auto"/>
                <w:sz w:val="24"/>
                <w:szCs w:val="24"/>
              </w:rPr>
              <w:t>办法要求提供的）证明材料。</w:t>
            </w:r>
          </w:p>
        </w:tc>
      </w:tr>
    </w:tbl>
    <w:p w14:paraId="3C12B351">
      <w:pPr>
        <w:keepNext w:val="0"/>
        <w:keepLines w:val="0"/>
        <w:pageBreakBefore w:val="0"/>
        <w:widowControl w:val="0"/>
        <w:kinsoku/>
        <w:wordWrap w:val="0"/>
        <w:overflowPunct w:val="0"/>
        <w:topLinePunct/>
        <w:autoSpaceDE/>
        <w:autoSpaceDN/>
        <w:bidi w:val="0"/>
        <w:adjustRightInd/>
        <w:snapToGrid/>
        <w:rPr>
          <w:rFonts w:hint="eastAsia" w:ascii="宋体" w:hAnsi="宋体" w:eastAsia="宋体" w:cs="宋体"/>
          <w:color w:val="auto"/>
          <w:lang w:val="zh-CN" w:eastAsia="zh-CN"/>
        </w:rPr>
        <w:sectPr>
          <w:pgSz w:w="11906" w:h="16838"/>
          <w:pgMar w:top="1440" w:right="1080" w:bottom="1440" w:left="1080" w:header="851" w:footer="992" w:gutter="0"/>
          <w:pgNumType w:fmt="decimal"/>
          <w:cols w:space="720" w:num="1"/>
          <w:docGrid w:type="lines" w:linePitch="312" w:charSpace="0"/>
        </w:sectPr>
      </w:pPr>
    </w:p>
    <w:p w14:paraId="23C62137">
      <w:pPr>
        <w:widowControl w:val="0"/>
        <w:bidi w:val="0"/>
        <w:ind w:left="100"/>
        <w:jc w:val="center"/>
        <w:outlineLvl w:val="2"/>
        <w:rPr>
          <w:rFonts w:hint="eastAsia" w:ascii="Microsoft JhengHei" w:hAnsi="Microsoft JhengHei" w:eastAsia="宋体" w:cs="Times New Roman"/>
          <w:b/>
          <w:bCs/>
          <w:color w:val="auto"/>
          <w:sz w:val="30"/>
          <w:szCs w:val="32"/>
          <w:lang w:val="en-US" w:eastAsia="zh-CN" w:bidi="ar-SA"/>
        </w:rPr>
      </w:pPr>
      <w:bookmarkStart w:id="1962" w:name="_Toc2945"/>
      <w:r>
        <w:rPr>
          <w:rFonts w:hint="eastAsia" w:ascii="Microsoft JhengHei" w:hAnsi="Microsoft JhengHei" w:eastAsia="宋体" w:cs="Times New Roman"/>
          <w:b/>
          <w:bCs/>
          <w:color w:val="auto"/>
          <w:sz w:val="30"/>
          <w:szCs w:val="32"/>
          <w:lang w:val="en-US" w:eastAsia="zh-CN" w:bidi="ar-SA"/>
        </w:rPr>
        <w:t>十、供应商认为有必要提供的其他资料</w:t>
      </w:r>
      <w:bookmarkEnd w:id="1962"/>
    </w:p>
    <w:p w14:paraId="31D25DC8">
      <w:pPr>
        <w:keepNext w:val="0"/>
        <w:keepLines w:val="0"/>
        <w:pageBreakBefore w:val="0"/>
        <w:widowControl w:val="0"/>
        <w:kinsoku/>
        <w:wordWrap w:val="0"/>
        <w:overflowPunct w:val="0"/>
        <w:topLinePunct/>
        <w:autoSpaceDE/>
        <w:autoSpaceDN/>
        <w:bidi w:val="0"/>
        <w:adjustRightInd/>
        <w:snapToGrid/>
        <w:spacing w:before="159" w:line="360" w:lineRule="auto"/>
        <w:ind w:left="100"/>
        <w:jc w:val="center"/>
        <w:outlineLvl w:val="0"/>
        <w:rPr>
          <w:rFonts w:hint="eastAsia" w:ascii="宋体" w:hAnsi="宋体" w:eastAsia="宋体" w:cs="宋体"/>
          <w:color w:val="auto"/>
          <w:sz w:val="24"/>
          <w:szCs w:val="24"/>
          <w:lang w:val="en-US" w:eastAsia="en-US" w:bidi="ar-SA"/>
        </w:rPr>
      </w:pPr>
      <w:bookmarkStart w:id="1963" w:name="_Toc30463"/>
      <w:bookmarkStart w:id="1964" w:name="_Toc30488"/>
      <w:r>
        <w:rPr>
          <w:rFonts w:hint="eastAsia" w:ascii="宋体" w:hAnsi="宋体" w:eastAsia="宋体" w:cs="宋体"/>
          <w:color w:val="auto"/>
          <w:sz w:val="24"/>
          <w:szCs w:val="24"/>
          <w:lang w:val="en-US" w:eastAsia="zh-CN" w:bidi="ar-SA"/>
        </w:rPr>
        <w:t>招标文件要求供应商提交的其他资料或供应商认为应提交的其他资料（若有）</w:t>
      </w:r>
      <w:bookmarkEnd w:id="1963"/>
      <w:bookmarkEnd w:id="1964"/>
    </w:p>
    <w:p w14:paraId="7D03E2F1">
      <w:pPr>
        <w:widowControl w:val="0"/>
        <w:spacing w:after="120" w:line="360" w:lineRule="auto"/>
        <w:ind w:left="0" w:leftChars="0" w:firstLine="0" w:firstLineChars="0"/>
        <w:jc w:val="center"/>
        <w:outlineLvl w:val="0"/>
        <w:rPr>
          <w:rFonts w:hint="eastAsia" w:ascii="宋体" w:hAnsi="宋体" w:eastAsia="宋体" w:cs="宋体"/>
          <w:b w:val="0"/>
          <w:color w:val="auto"/>
          <w:kern w:val="2"/>
          <w:sz w:val="24"/>
          <w:szCs w:val="24"/>
          <w:lang w:val="en-US" w:eastAsia="zh-CN" w:bidi="ar-SA"/>
        </w:rPr>
      </w:pPr>
      <w:bookmarkStart w:id="1965" w:name="_Toc5614"/>
      <w:bookmarkStart w:id="1966" w:name="_Toc878"/>
      <w:r>
        <w:rPr>
          <w:rFonts w:hint="eastAsia" w:ascii="宋体" w:hAnsi="宋体" w:eastAsia="宋体" w:cs="宋体"/>
          <w:b w:val="0"/>
          <w:color w:val="auto"/>
          <w:kern w:val="2"/>
          <w:sz w:val="24"/>
          <w:szCs w:val="24"/>
          <w:lang w:val="en-US" w:eastAsia="zh-CN" w:bidi="ar-SA"/>
        </w:rPr>
        <w:t>（格式自拟）</w:t>
      </w:r>
      <w:bookmarkEnd w:id="1965"/>
      <w:bookmarkEnd w:id="1966"/>
    </w:p>
    <w:p w14:paraId="4036F2EB">
      <w:pPr>
        <w:jc w:val="center"/>
        <w:rPr>
          <w:rFonts w:hint="eastAsia" w:ascii="宋体" w:hAnsi="宋体" w:eastAsia="宋体" w:cs="宋体"/>
          <w:color w:val="auto"/>
          <w:lang w:val="en-US" w:eastAsia="zh-CN"/>
        </w:rPr>
      </w:pPr>
    </w:p>
    <w:p w14:paraId="147483A7">
      <w:pPr>
        <w:keepNext w:val="0"/>
        <w:keepLines w:val="0"/>
        <w:pageBreakBefore w:val="0"/>
        <w:widowControl w:val="0"/>
        <w:kinsoku/>
        <w:wordWrap w:val="0"/>
        <w:overflowPunct/>
        <w:topLinePunct/>
        <w:autoSpaceDE/>
        <w:autoSpaceDN/>
        <w:bidi w:val="0"/>
        <w:adjustRightInd/>
        <w:snapToGrid/>
        <w:ind w:left="0" w:leftChars="0" w:right="0"/>
        <w:jc w:val="center"/>
        <w:outlineLvl w:val="0"/>
        <w:rPr>
          <w:rFonts w:hint="eastAsia" w:ascii="宋体" w:hAnsi="宋体" w:eastAsia="宋体" w:cs="宋体"/>
          <w:color w:val="auto"/>
          <w:sz w:val="21"/>
          <w:szCs w:val="21"/>
          <w:lang w:val="en-US" w:eastAsia="zh-CN" w:bidi="ar-SA"/>
        </w:rPr>
      </w:pPr>
    </w:p>
    <w:p w14:paraId="68948E70">
      <w:pPr>
        <w:pStyle w:val="28"/>
        <w:keepNext w:val="0"/>
        <w:keepLines w:val="0"/>
        <w:pageBreakBefore w:val="0"/>
        <w:widowControl w:val="0"/>
        <w:kinsoku/>
        <w:wordWrap w:val="0"/>
        <w:overflowPunct/>
        <w:topLinePunct/>
        <w:autoSpaceDE/>
        <w:autoSpaceDN/>
        <w:bidi w:val="0"/>
        <w:adjustRightInd/>
        <w:snapToGrid/>
        <w:ind w:left="0" w:leftChars="0" w:right="0"/>
        <w:jc w:val="center"/>
        <w:outlineLvl w:val="0"/>
        <w:rPr>
          <w:rFonts w:hint="eastAsia" w:ascii="宋体" w:hAnsi="宋体" w:eastAsia="宋体" w:cs="宋体"/>
          <w:color w:val="auto"/>
          <w:lang w:val="en-US" w:eastAsia="zh-CN"/>
        </w:rPr>
      </w:pPr>
    </w:p>
    <w:sectPr>
      <w:pgSz w:w="11906" w:h="16838"/>
      <w:pgMar w:top="1440" w:right="1080" w:bottom="1440" w:left="1080" w:header="709" w:footer="596" w:gutter="0"/>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A696396-0B63-4FD6-B90C-4DEE8E440E49}"/>
  </w:font>
  <w:font w:name="Arial">
    <w:panose1 w:val="020B0604020202020204"/>
    <w:charset w:val="01"/>
    <w:family w:val="swiss"/>
    <w:pitch w:val="default"/>
    <w:sig w:usb0="E0002AFF" w:usb1="C0007843" w:usb2="00000009" w:usb3="00000000" w:csb0="400001FF" w:csb1="FFFF0000"/>
    <w:embedRegular r:id="rId2" w:fontKey="{4F4774BA-7E7D-4CBE-ACE5-900D9C37E88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8533D5D8-8307-4918-B287-1BCA5C8EC229}"/>
  </w:font>
  <w:font w:name="Microsoft JhengHei">
    <w:panose1 w:val="020B0604030504040204"/>
    <w:charset w:val="88"/>
    <w:family w:val="swiss"/>
    <w:pitch w:val="default"/>
    <w:sig w:usb0="00000087" w:usb1="28AF4000" w:usb2="00000016" w:usb3="00000000" w:csb0="00100009" w:csb1="00000000"/>
    <w:embedRegular r:id="rId4" w:fontKey="{5DFEC58D-2795-4B7F-BEA4-686B0AB52802}"/>
  </w:font>
  <w:font w:name="Helvetica">
    <w:panose1 w:val="020B0504020202030204"/>
    <w:charset w:val="00"/>
    <w:family w:val="swiss"/>
    <w:pitch w:val="default"/>
    <w:sig w:usb0="00000007" w:usb1="00000000" w:usb2="00000000" w:usb3="00000000" w:csb0="00000093"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embedRegular r:id="rId5" w:fontKey="{7ACE23C5-29C5-4F33-9880-0622AF212C16}"/>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Arail">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embedRegular r:id="rId6" w:fontKey="{6A59ECE4-7216-42B4-AEC4-ACFA59022DDF}"/>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Times New Roman Bold">
    <w:altName w:val="Times New Roman"/>
    <w:panose1 w:val="02020803070505020304"/>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Mincho">
    <w:altName w:val="MS Mincho"/>
    <w:panose1 w:val="02020609040305080305"/>
    <w:charset w:val="80"/>
    <w:family w:val="roma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CG Times">
    <w:panose1 w:val="02020603050405020304"/>
    <w:charset w:val="00"/>
    <w:family w:val="roman"/>
    <w:pitch w:val="default"/>
    <w:sig w:usb0="00000007" w:usb1="00000000" w:usb2="00000000" w:usb3="00000000" w:csb0="00000093" w:csb1="00000000"/>
  </w:font>
  <w:font w:name="Arial Bold">
    <w:altName w:val="Arial"/>
    <w:panose1 w:val="020B0704020202020204"/>
    <w:charset w:val="00"/>
    <w:family w:val="roman"/>
    <w:pitch w:val="default"/>
    <w:sig w:usb0="00000000" w:usb1="00000000" w:usb2="00000000" w:usb3="00000000" w:csb0="00040001" w:csb1="00000000"/>
  </w:font>
  <w:font w:name="PMingLiU">
    <w:panose1 w:val="02020500000000000000"/>
    <w:charset w:val="88"/>
    <w:family w:val="roman"/>
    <w:pitch w:val="default"/>
    <w:sig w:usb0="A00002FF" w:usb1="28CFFCFA"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TimesNewRoman">
    <w:altName w:val="Times New Roman"/>
    <w:panose1 w:val="00000000000000000000"/>
    <w:charset w:val="00"/>
    <w:family w:val="roman"/>
    <w:pitch w:val="default"/>
    <w:sig w:usb0="00000000" w:usb1="00000000" w:usb2="00000010" w:usb3="00000000" w:csb0="00040001" w:csb1="00000000"/>
  </w:font>
  <w:font w:name="MS PGothic">
    <w:panose1 w:val="020B0600070205080204"/>
    <w:charset w:val="80"/>
    <w:family w:val="swiss"/>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embedRegular r:id="rId7" w:fontKey="{4AE6248D-2AB3-4641-A6C4-791710FDC117}"/>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AFBA7">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8C070">
    <w:pPr>
      <w:pStyle w:val="4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1873D">
    <w:pPr>
      <w:pStyle w:val="4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2C72C">
                          <w:pPr>
                            <w:pStyle w:val="4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C2C72C">
                    <w:pPr>
                      <w:pStyle w:val="4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A2C8F">
    <w:pPr>
      <w:pStyle w:val="4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F0B2CA">
                          <w:pPr>
                            <w:pStyle w:val="44"/>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7F0B2CA">
                    <w:pPr>
                      <w:pStyle w:val="44"/>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B315C">
    <w:pPr>
      <w:pStyle w:val="4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B62C0">
                          <w:pPr>
                            <w:pStyle w:val="44"/>
                          </w:pPr>
                          <w:r>
                            <w:t xml:space="preserve">第 </w:t>
                          </w:r>
                          <w:r>
                            <w:fldChar w:fldCharType="begin"/>
                          </w:r>
                          <w:r>
                            <w:instrText xml:space="preserve"> PAGE  \* MERGEFORMAT </w:instrText>
                          </w:r>
                          <w:r>
                            <w:fldChar w:fldCharType="separate"/>
                          </w:r>
                          <w:r>
                            <w:t>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1DB62C0">
                    <w:pPr>
                      <w:pStyle w:val="44"/>
                    </w:pPr>
                    <w:r>
                      <w:t xml:space="preserve">第 </w:t>
                    </w:r>
                    <w:r>
                      <w:fldChar w:fldCharType="begin"/>
                    </w:r>
                    <w:r>
                      <w:instrText xml:space="preserve"> PAGE  \* MERGEFORMAT </w:instrText>
                    </w:r>
                    <w:r>
                      <w:fldChar w:fldCharType="separate"/>
                    </w:r>
                    <w:r>
                      <w:t>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9563D">
    <w:pPr>
      <w:pStyle w:val="4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54E3ED">
                          <w:pPr>
                            <w:pStyle w:val="44"/>
                          </w:pPr>
                          <w:r>
                            <w:t xml:space="preserve">第 </w:t>
                          </w:r>
                          <w:r>
                            <w:fldChar w:fldCharType="begin"/>
                          </w:r>
                          <w:r>
                            <w:instrText xml:space="preserve"> PAGE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254E3ED">
                    <w:pPr>
                      <w:pStyle w:val="44"/>
                    </w:pPr>
                    <w:r>
                      <w:t xml:space="preserve">第 </w:t>
                    </w:r>
                    <w:r>
                      <w:fldChar w:fldCharType="begin"/>
                    </w:r>
                    <w:r>
                      <w:instrText xml:space="preserve"> PAGE  \* MERGEFORMAT </w:instrText>
                    </w:r>
                    <w:r>
                      <w:fldChar w:fldCharType="separate"/>
                    </w:r>
                    <w:r>
                      <w:t>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0F3187"/>
    <w:multiLevelType w:val="singleLevel"/>
    <w:tmpl w:val="E70F3187"/>
    <w:lvl w:ilvl="0" w:tentative="0">
      <w:start w:val="1"/>
      <w:numFmt w:val="decimal"/>
      <w:lvlText w:val="%1"/>
      <w:lvlJc w:val="left"/>
      <w:pPr>
        <w:tabs>
          <w:tab w:val="left" w:pos="0"/>
        </w:tabs>
        <w:ind w:left="0" w:firstLine="0"/>
      </w:pPr>
      <w:rPr>
        <w:rFonts w:hint="default"/>
      </w:rPr>
    </w:lvl>
  </w:abstractNum>
  <w:abstractNum w:abstractNumId="1">
    <w:nsid w:val="00000001"/>
    <w:multiLevelType w:val="multilevel"/>
    <w:tmpl w:val="00000001"/>
    <w:lvl w:ilvl="0" w:tentative="0">
      <w:start w:val="2"/>
      <w:numFmt w:val="decimal"/>
      <w:lvlText w:val="%1、"/>
      <w:lvlJc w:val="left"/>
      <w:pPr>
        <w:tabs>
          <w:tab w:val="left" w:pos="360"/>
        </w:tabs>
        <w:ind w:left="360" w:hanging="360"/>
      </w:pPr>
      <w:rPr>
        <w:rFonts w:hint="default" w:ascii="Times New Roman" w:hAnsi="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pStyle w:val="8"/>
      <w:lvlText w:val="%7."/>
      <w:lvlJc w:val="left"/>
      <w:pPr>
        <w:tabs>
          <w:tab w:val="left" w:pos="2940"/>
        </w:tabs>
        <w:ind w:left="2940" w:hanging="420"/>
      </w:pPr>
    </w:lvl>
    <w:lvl w:ilvl="7" w:tentative="0">
      <w:start w:val="1"/>
      <w:numFmt w:val="lowerLetter"/>
      <w:pStyle w:val="9"/>
      <w:lvlText w:val="%8)"/>
      <w:lvlJc w:val="left"/>
      <w:pPr>
        <w:tabs>
          <w:tab w:val="left" w:pos="3360"/>
        </w:tabs>
        <w:ind w:left="3360" w:hanging="420"/>
      </w:pPr>
    </w:lvl>
    <w:lvl w:ilvl="8" w:tentative="0">
      <w:start w:val="1"/>
      <w:numFmt w:val="lowerRoman"/>
      <w:pStyle w:val="10"/>
      <w:lvlText w:val="%9."/>
      <w:lvlJc w:val="right"/>
      <w:pPr>
        <w:tabs>
          <w:tab w:val="left" w:pos="3780"/>
        </w:tabs>
        <w:ind w:left="3780" w:hanging="420"/>
      </w:pPr>
    </w:lvl>
  </w:abstractNum>
  <w:abstractNum w:abstractNumId="2">
    <w:nsid w:val="00000003"/>
    <w:multiLevelType w:val="multilevel"/>
    <w:tmpl w:val="00000003"/>
    <w:lvl w:ilvl="0" w:tentative="0">
      <w:start w:val="1"/>
      <w:numFmt w:val="decimal"/>
      <w:pStyle w:val="37"/>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00000004"/>
    <w:multiLevelType w:val="multilevel"/>
    <w:tmpl w:val="00000004"/>
    <w:lvl w:ilvl="0" w:tentative="0">
      <w:start w:val="1"/>
      <w:numFmt w:val="decimal"/>
      <w:pStyle w:val="553"/>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00000005"/>
    <w:multiLevelType w:val="multilevel"/>
    <w:tmpl w:val="00000005"/>
    <w:lvl w:ilvl="0" w:tentative="0">
      <w:start w:val="1"/>
      <w:numFmt w:val="decimal"/>
      <w:pStyle w:val="543"/>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07"/>
    <w:multiLevelType w:val="multilevel"/>
    <w:tmpl w:val="00000007"/>
    <w:lvl w:ilvl="0" w:tentative="0">
      <w:start w:val="1"/>
      <w:numFmt w:val="decimal"/>
      <w:pStyle w:val="315"/>
      <w:lvlText w:val="%1)"/>
      <w:lvlJc w:val="left"/>
      <w:pPr>
        <w:tabs>
          <w:tab w:val="left" w:pos="420"/>
        </w:tabs>
        <w:ind w:left="420" w:hanging="420"/>
      </w:pPr>
      <w:rPr>
        <w:rFonts w:ascii="宋体" w:hAnsi="宋体" w:eastAsia="宋体"/>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9"/>
    <w:multiLevelType w:val="multilevel"/>
    <w:tmpl w:val="00000009"/>
    <w:lvl w:ilvl="0" w:tentative="0">
      <w:start w:val="1"/>
      <w:numFmt w:val="decimal"/>
      <w:lvlText w:val="%1)"/>
      <w:lvlJc w:val="left"/>
      <w:pPr>
        <w:tabs>
          <w:tab w:val="left" w:pos="1280"/>
        </w:tabs>
        <w:ind w:left="1280" w:hanging="420"/>
      </w:pPr>
      <w:rPr>
        <w:rFonts w:ascii="宋体" w:hAnsi="宋体" w:eastAsia="宋体"/>
      </w:rPr>
    </w:lvl>
    <w:lvl w:ilvl="1" w:tentative="0">
      <w:start w:val="1"/>
      <w:numFmt w:val="lowerLetter"/>
      <w:pStyle w:val="552"/>
      <w:lvlText w:val="%2)"/>
      <w:lvlJc w:val="left"/>
      <w:pPr>
        <w:tabs>
          <w:tab w:val="left" w:pos="1700"/>
        </w:tabs>
        <w:ind w:left="1700" w:hanging="420"/>
      </w:pPr>
    </w:lvl>
    <w:lvl w:ilvl="2" w:tentative="0">
      <w:start w:val="1"/>
      <w:numFmt w:val="lowerRoman"/>
      <w:lvlText w:val="%3."/>
      <w:lvlJc w:val="right"/>
      <w:pPr>
        <w:tabs>
          <w:tab w:val="left" w:pos="2120"/>
        </w:tabs>
        <w:ind w:left="2120" w:hanging="420"/>
      </w:pPr>
    </w:lvl>
    <w:lvl w:ilvl="3" w:tentative="0">
      <w:start w:val="1"/>
      <w:numFmt w:val="decimal"/>
      <w:lvlText w:val="%4."/>
      <w:lvlJc w:val="left"/>
      <w:pPr>
        <w:tabs>
          <w:tab w:val="left" w:pos="2540"/>
        </w:tabs>
        <w:ind w:left="2540" w:hanging="420"/>
      </w:pPr>
    </w:lvl>
    <w:lvl w:ilvl="4" w:tentative="0">
      <w:start w:val="1"/>
      <w:numFmt w:val="lowerLetter"/>
      <w:lvlText w:val="%5)"/>
      <w:lvlJc w:val="left"/>
      <w:pPr>
        <w:tabs>
          <w:tab w:val="left" w:pos="2960"/>
        </w:tabs>
        <w:ind w:left="2960" w:hanging="420"/>
      </w:pPr>
    </w:lvl>
    <w:lvl w:ilvl="5" w:tentative="0">
      <w:start w:val="1"/>
      <w:numFmt w:val="lowerRoman"/>
      <w:lvlText w:val="%6."/>
      <w:lvlJc w:val="right"/>
      <w:pPr>
        <w:tabs>
          <w:tab w:val="left" w:pos="3380"/>
        </w:tabs>
        <w:ind w:left="3380" w:hanging="420"/>
      </w:pPr>
    </w:lvl>
    <w:lvl w:ilvl="6" w:tentative="0">
      <w:start w:val="1"/>
      <w:numFmt w:val="decimal"/>
      <w:lvlText w:val="%7."/>
      <w:lvlJc w:val="left"/>
      <w:pPr>
        <w:tabs>
          <w:tab w:val="left" w:pos="3800"/>
        </w:tabs>
        <w:ind w:left="3800" w:hanging="420"/>
      </w:pPr>
    </w:lvl>
    <w:lvl w:ilvl="7" w:tentative="0">
      <w:start w:val="1"/>
      <w:numFmt w:val="lowerLetter"/>
      <w:lvlText w:val="%8)"/>
      <w:lvlJc w:val="left"/>
      <w:pPr>
        <w:tabs>
          <w:tab w:val="left" w:pos="4220"/>
        </w:tabs>
        <w:ind w:left="4220" w:hanging="420"/>
      </w:pPr>
    </w:lvl>
    <w:lvl w:ilvl="8" w:tentative="0">
      <w:start w:val="1"/>
      <w:numFmt w:val="lowerRoman"/>
      <w:lvlText w:val="%9."/>
      <w:lvlJc w:val="right"/>
      <w:pPr>
        <w:tabs>
          <w:tab w:val="left" w:pos="4640"/>
        </w:tabs>
        <w:ind w:left="4640" w:hanging="420"/>
      </w:pPr>
    </w:lvl>
  </w:abstractNum>
  <w:abstractNum w:abstractNumId="7">
    <w:nsid w:val="0000000B"/>
    <w:multiLevelType w:val="multilevel"/>
    <w:tmpl w:val="0000000B"/>
    <w:lvl w:ilvl="0" w:tentative="0">
      <w:start w:val="1"/>
      <w:numFmt w:val="bullet"/>
      <w:pStyle w:val="20"/>
      <w:lvlText w:val=""/>
      <w:lvlJc w:val="left"/>
      <w:pPr>
        <w:tabs>
          <w:tab w:val="left" w:pos="860"/>
        </w:tabs>
        <w:ind w:left="860" w:hanging="420"/>
      </w:pPr>
      <w:rPr>
        <w:rFonts w:hint="default" w:ascii="Wingdings" w:hAnsi="Wingdings"/>
      </w:rPr>
    </w:lvl>
    <w:lvl w:ilvl="1" w:tentative="0">
      <w:start w:val="1"/>
      <w:numFmt w:val="decimal"/>
      <w:lvlText w:val="%2)"/>
      <w:lvlJc w:val="left"/>
      <w:pPr>
        <w:tabs>
          <w:tab w:val="left" w:pos="1280"/>
        </w:tabs>
        <w:ind w:left="1280" w:hanging="420"/>
      </w:pPr>
      <w:rPr>
        <w:rFonts w:hint="default"/>
      </w:rPr>
    </w:lvl>
    <w:lvl w:ilvl="2" w:tentative="0">
      <w:start w:val="1"/>
      <w:numFmt w:val="bullet"/>
      <w:lvlText w:val=""/>
      <w:lvlJc w:val="left"/>
      <w:pPr>
        <w:tabs>
          <w:tab w:val="left" w:pos="1700"/>
        </w:tabs>
        <w:ind w:left="1700" w:hanging="420"/>
      </w:pPr>
      <w:rPr>
        <w:rFonts w:hint="default" w:ascii="Wingdings" w:hAnsi="Wingdings"/>
      </w:rPr>
    </w:lvl>
    <w:lvl w:ilvl="3" w:tentative="0">
      <w:start w:val="1"/>
      <w:numFmt w:val="bullet"/>
      <w:lvlText w:val=""/>
      <w:lvlJc w:val="left"/>
      <w:pPr>
        <w:tabs>
          <w:tab w:val="left" w:pos="2120"/>
        </w:tabs>
        <w:ind w:left="2120" w:hanging="420"/>
      </w:pPr>
      <w:rPr>
        <w:rFonts w:hint="default" w:ascii="Wingdings" w:hAnsi="Wingdings"/>
      </w:rPr>
    </w:lvl>
    <w:lvl w:ilvl="4" w:tentative="0">
      <w:start w:val="1"/>
      <w:numFmt w:val="bullet"/>
      <w:lvlText w:val=""/>
      <w:lvlJc w:val="left"/>
      <w:pPr>
        <w:tabs>
          <w:tab w:val="left" w:pos="2540"/>
        </w:tabs>
        <w:ind w:left="2540" w:hanging="420"/>
      </w:pPr>
      <w:rPr>
        <w:rFonts w:hint="default" w:ascii="Wingdings" w:hAnsi="Wingdings"/>
      </w:rPr>
    </w:lvl>
    <w:lvl w:ilvl="5" w:tentative="0">
      <w:start w:val="1"/>
      <w:numFmt w:val="bullet"/>
      <w:lvlText w:val=""/>
      <w:lvlJc w:val="left"/>
      <w:pPr>
        <w:tabs>
          <w:tab w:val="left" w:pos="2960"/>
        </w:tabs>
        <w:ind w:left="2960" w:hanging="420"/>
      </w:pPr>
      <w:rPr>
        <w:rFonts w:hint="default" w:ascii="Wingdings" w:hAnsi="Wingdings"/>
      </w:rPr>
    </w:lvl>
    <w:lvl w:ilvl="6" w:tentative="0">
      <w:start w:val="1"/>
      <w:numFmt w:val="bullet"/>
      <w:lvlText w:val=""/>
      <w:lvlJc w:val="left"/>
      <w:pPr>
        <w:tabs>
          <w:tab w:val="left" w:pos="3380"/>
        </w:tabs>
        <w:ind w:left="3380" w:hanging="420"/>
      </w:pPr>
      <w:rPr>
        <w:rFonts w:hint="default" w:ascii="Wingdings" w:hAnsi="Wingdings"/>
      </w:rPr>
    </w:lvl>
    <w:lvl w:ilvl="7" w:tentative="0">
      <w:start w:val="1"/>
      <w:numFmt w:val="bullet"/>
      <w:lvlText w:val=""/>
      <w:lvlJc w:val="left"/>
      <w:pPr>
        <w:tabs>
          <w:tab w:val="left" w:pos="3800"/>
        </w:tabs>
        <w:ind w:left="3800" w:hanging="420"/>
      </w:pPr>
      <w:rPr>
        <w:rFonts w:hint="default" w:ascii="Wingdings" w:hAnsi="Wingdings"/>
      </w:rPr>
    </w:lvl>
    <w:lvl w:ilvl="8" w:tentative="0">
      <w:start w:val="1"/>
      <w:numFmt w:val="bullet"/>
      <w:lvlText w:val=""/>
      <w:lvlJc w:val="left"/>
      <w:pPr>
        <w:tabs>
          <w:tab w:val="left" w:pos="4220"/>
        </w:tabs>
        <w:ind w:left="4220" w:hanging="420"/>
      </w:pPr>
      <w:rPr>
        <w:rFonts w:hint="default" w:ascii="Wingdings" w:hAnsi="Wingdings"/>
      </w:rPr>
    </w:lvl>
  </w:abstractNum>
  <w:abstractNum w:abstractNumId="8">
    <w:nsid w:val="0000000C"/>
    <w:multiLevelType w:val="multilevel"/>
    <w:tmpl w:val="0000000C"/>
    <w:lvl w:ilvl="0" w:tentative="0">
      <w:start w:val="1"/>
      <w:numFmt w:val="decimal"/>
      <w:pStyle w:val="352"/>
      <w:lvlText w:val="%1."/>
      <w:lvlJc w:val="left"/>
      <w:pPr>
        <w:tabs>
          <w:tab w:val="left" w:pos="510"/>
        </w:tabs>
        <w:ind w:left="510" w:hanging="510"/>
      </w:pPr>
      <w:rPr>
        <w:rFonts w:hint="default"/>
      </w:rPr>
    </w:lvl>
    <w:lvl w:ilvl="1" w:tentative="0">
      <w:start w:val="1"/>
      <w:numFmt w:val="decimal"/>
      <w:isLgl/>
      <w:lvlText w:val="%1.%2"/>
      <w:lvlJc w:val="left"/>
      <w:pPr>
        <w:ind w:left="990" w:hanging="990"/>
      </w:pPr>
      <w:rPr>
        <w:rFonts w:hint="default"/>
      </w:rPr>
    </w:lvl>
    <w:lvl w:ilvl="2" w:tentative="0">
      <w:start w:val="1"/>
      <w:numFmt w:val="decimal"/>
      <w:isLgl/>
      <w:lvlText w:val="%1.%2.%3"/>
      <w:lvlJc w:val="left"/>
      <w:pPr>
        <w:ind w:left="990" w:hanging="99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2160" w:hanging="216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9">
    <w:nsid w:val="0000000D"/>
    <w:multiLevelType w:val="singleLevel"/>
    <w:tmpl w:val="0000000D"/>
    <w:lvl w:ilvl="0" w:tentative="0">
      <w:start w:val="17"/>
      <w:numFmt w:val="decimal"/>
      <w:pStyle w:val="287"/>
      <w:suff w:val="nothing"/>
      <w:lvlText w:val="%1）"/>
      <w:lvlJc w:val="left"/>
    </w:lvl>
  </w:abstractNum>
  <w:abstractNum w:abstractNumId="10">
    <w:nsid w:val="0000000E"/>
    <w:multiLevelType w:val="singleLevel"/>
    <w:tmpl w:val="0000000E"/>
    <w:lvl w:ilvl="0" w:tentative="0">
      <w:start w:val="1"/>
      <w:numFmt w:val="decimal"/>
      <w:pStyle w:val="638"/>
      <w:lvlText w:val="%1)"/>
      <w:lvlJc w:val="left"/>
      <w:pPr>
        <w:tabs>
          <w:tab w:val="left" w:pos="425"/>
        </w:tabs>
        <w:ind w:left="425" w:hanging="425"/>
      </w:pPr>
      <w:rPr>
        <w:rFonts w:hint="default"/>
      </w:rPr>
    </w:lvl>
  </w:abstractNum>
  <w:abstractNum w:abstractNumId="11">
    <w:nsid w:val="0000000F"/>
    <w:multiLevelType w:val="singleLevel"/>
    <w:tmpl w:val="0000000F"/>
    <w:lvl w:ilvl="0" w:tentative="0">
      <w:start w:val="1"/>
      <w:numFmt w:val="decimal"/>
      <w:pStyle w:val="542"/>
      <w:lvlText w:val="%1)"/>
      <w:lvlJc w:val="left"/>
      <w:pPr>
        <w:tabs>
          <w:tab w:val="left" w:pos="425"/>
        </w:tabs>
        <w:ind w:left="425" w:hanging="425"/>
      </w:pPr>
      <w:rPr>
        <w:rFonts w:hint="default"/>
      </w:rPr>
    </w:lvl>
  </w:abstractNum>
  <w:abstractNum w:abstractNumId="12">
    <w:nsid w:val="00000010"/>
    <w:multiLevelType w:val="multilevel"/>
    <w:tmpl w:val="00000010"/>
    <w:lvl w:ilvl="0" w:tentative="0">
      <w:start w:val="1"/>
      <w:numFmt w:val="decimal"/>
      <w:lvlText w:val="%1"/>
      <w:lvlJc w:val="left"/>
      <w:pPr>
        <w:tabs>
          <w:tab w:val="left" w:pos="0"/>
        </w:tabs>
        <w:ind w:left="907" w:hanging="907"/>
      </w:pPr>
      <w:rPr>
        <w:rFonts w:hint="default"/>
        <w:b/>
        <w:i w:val="0"/>
      </w:rPr>
    </w:lvl>
    <w:lvl w:ilvl="1" w:tentative="0">
      <w:start w:val="1"/>
      <w:numFmt w:val="decimal"/>
      <w:pStyle w:val="332"/>
      <w:lvlText w:val="%1.%2"/>
      <w:lvlJc w:val="left"/>
      <w:pPr>
        <w:tabs>
          <w:tab w:val="left" w:pos="0"/>
        </w:tabs>
        <w:ind w:left="907" w:hanging="907"/>
      </w:pPr>
      <w:rPr>
        <w:rFonts w:hint="default"/>
      </w:rPr>
    </w:lvl>
    <w:lvl w:ilvl="2" w:tentative="0">
      <w:start w:val="1"/>
      <w:numFmt w:val="decimal"/>
      <w:pStyle w:val="600"/>
      <w:lvlText w:val="%1.%2.%3"/>
      <w:lvlJc w:val="left"/>
      <w:pPr>
        <w:tabs>
          <w:tab w:val="left" w:pos="220"/>
        </w:tabs>
        <w:ind w:left="1127" w:hanging="907"/>
      </w:pPr>
      <w:rPr>
        <w:rFonts w:hint="default"/>
        <w:sz w:val="24"/>
        <w:szCs w:val="24"/>
      </w:rPr>
    </w:lvl>
    <w:lvl w:ilvl="3" w:tentative="0">
      <w:start w:val="1"/>
      <w:numFmt w:val="decimal"/>
      <w:pStyle w:val="364"/>
      <w:lvlText w:val="%1.%2.%3.%4"/>
      <w:lvlJc w:val="left"/>
      <w:pPr>
        <w:tabs>
          <w:tab w:val="left" w:pos="0"/>
        </w:tabs>
        <w:ind w:left="907" w:hanging="907"/>
      </w:pPr>
      <w:rPr>
        <w:rFonts w:hint="default"/>
        <w:b/>
        <w:i w:val="0"/>
        <w:sz w:val="24"/>
        <w:szCs w:val="24"/>
      </w:rPr>
    </w:lvl>
    <w:lvl w:ilvl="4" w:tentative="0">
      <w:start w:val="0"/>
      <w:numFmt w:val="none"/>
      <w:lvlText w:val=""/>
      <w:lvlJc w:val="left"/>
      <w:pPr>
        <w:tabs>
          <w:tab w:val="left" w:pos="142"/>
        </w:tabs>
        <w:ind w:left="142" w:firstLine="0"/>
      </w:pPr>
      <w:rPr>
        <w:rFonts w:hint="default"/>
      </w:rPr>
    </w:lvl>
    <w:lvl w:ilvl="5" w:tentative="0">
      <w:start w:val="0"/>
      <w:numFmt w:val="none"/>
      <w:lvlText w:val=""/>
      <w:lvlJc w:val="left"/>
      <w:pPr>
        <w:tabs>
          <w:tab w:val="left" w:pos="142"/>
        </w:tabs>
        <w:ind w:left="142" w:firstLine="0"/>
      </w:pPr>
      <w:rPr>
        <w:rFonts w:hint="default"/>
      </w:rPr>
    </w:lvl>
    <w:lvl w:ilvl="6" w:tentative="0">
      <w:start w:val="0"/>
      <w:numFmt w:val="none"/>
      <w:lvlText w:val=""/>
      <w:lvlJc w:val="left"/>
      <w:pPr>
        <w:tabs>
          <w:tab w:val="left" w:pos="142"/>
        </w:tabs>
        <w:ind w:left="142" w:firstLine="0"/>
      </w:pPr>
      <w:rPr>
        <w:rFonts w:hint="default"/>
      </w:rPr>
    </w:lvl>
    <w:lvl w:ilvl="7" w:tentative="0">
      <w:start w:val="0"/>
      <w:numFmt w:val="none"/>
      <w:lvlText w:val=""/>
      <w:lvlJc w:val="left"/>
      <w:pPr>
        <w:tabs>
          <w:tab w:val="left" w:pos="142"/>
        </w:tabs>
        <w:ind w:left="142" w:firstLine="0"/>
      </w:pPr>
      <w:rPr>
        <w:rFonts w:hint="default"/>
      </w:rPr>
    </w:lvl>
    <w:lvl w:ilvl="8" w:tentative="0">
      <w:start w:val="0"/>
      <w:numFmt w:val="none"/>
      <w:lvlText w:val=""/>
      <w:lvlJc w:val="left"/>
      <w:pPr>
        <w:tabs>
          <w:tab w:val="left" w:pos="142"/>
        </w:tabs>
        <w:ind w:left="142" w:firstLine="0"/>
      </w:pPr>
      <w:rPr>
        <w:rFonts w:hint="default"/>
      </w:rPr>
    </w:lvl>
  </w:abstractNum>
  <w:abstractNum w:abstractNumId="13">
    <w:nsid w:val="00000012"/>
    <w:multiLevelType w:val="multilevel"/>
    <w:tmpl w:val="00000012"/>
    <w:lvl w:ilvl="0" w:tentative="0">
      <w:start w:val="1"/>
      <w:numFmt w:val="decimal"/>
      <w:pStyle w:val="265"/>
      <w:lvlText w:val="%1)"/>
      <w:lvlJc w:val="left"/>
      <w:pPr>
        <w:tabs>
          <w:tab w:val="left" w:pos="900"/>
        </w:tabs>
        <w:ind w:left="900" w:hanging="420"/>
      </w:pPr>
      <w:rPr>
        <w:rFonts w:ascii="宋体" w:hAnsi="宋体" w:eastAsia="宋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
    <w:nsid w:val="365C1A32"/>
    <w:multiLevelType w:val="multilevel"/>
    <w:tmpl w:val="365C1A32"/>
    <w:lvl w:ilvl="0" w:tentative="0">
      <w:start w:val="1"/>
      <w:numFmt w:val="lowerLetter"/>
      <w:pStyle w:val="590"/>
      <w:lvlText w:val="%1)"/>
      <w:lvlJc w:val="left"/>
      <w:pPr>
        <w:tabs>
          <w:tab w:val="left" w:pos="900"/>
        </w:tabs>
        <w:ind w:left="900" w:hanging="420"/>
      </w:pPr>
    </w:lvl>
    <w:lvl w:ilvl="1" w:tentative="0">
      <w:start w:val="5"/>
      <w:numFmt w:val="decimal"/>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5">
    <w:nsid w:val="43740B8A"/>
    <w:multiLevelType w:val="multilevel"/>
    <w:tmpl w:val="43740B8A"/>
    <w:lvl w:ilvl="0" w:tentative="0">
      <w:start w:val="1"/>
      <w:numFmt w:val="chineseCountingThousand"/>
      <w:lvlText w:val="第%1章"/>
      <w:lvlJc w:val="left"/>
      <w:pPr>
        <w:ind w:left="420" w:hanging="420"/>
      </w:pPr>
      <w:rPr>
        <w:rFonts w:hint="eastAsia" w:ascii="宋体" w:hAnsi="宋体" w:eastAsia="宋体"/>
        <w:b/>
        <w:i w:val="0"/>
        <w:sz w:val="44"/>
      </w:rPr>
    </w:lvl>
    <w:lvl w:ilvl="1" w:tentative="0">
      <w:start w:val="1"/>
      <w:numFmt w:val="decimal"/>
      <w:pStyle w:val="571"/>
      <w:isLgl/>
      <w:suff w:val="space"/>
      <w:lvlText w:val="%1.%2."/>
      <w:lvlJc w:val="left"/>
      <w:pPr>
        <w:ind w:left="0" w:firstLine="0"/>
      </w:pPr>
      <w:rPr>
        <w:rFonts w:hint="default" w:ascii="宋体" w:hAnsi="宋体" w:eastAsia="宋体"/>
        <w:b/>
        <w:i w:val="0"/>
        <w:sz w:val="28"/>
      </w:rPr>
    </w:lvl>
    <w:lvl w:ilvl="2" w:tentative="0">
      <w:start w:val="1"/>
      <w:numFmt w:val="decimal"/>
      <w:isLgl/>
      <w:suff w:val="space"/>
      <w:lvlText w:val="%1.%2.%3."/>
      <w:lvlJc w:val="left"/>
      <w:pPr>
        <w:ind w:left="0" w:firstLine="0"/>
      </w:pPr>
      <w:rPr>
        <w:rFonts w:hint="default" w:ascii="宋体" w:hAnsi="宋体" w:eastAsia="宋体"/>
        <w:b/>
        <w:i w:val="0"/>
        <w:sz w:val="28"/>
      </w:rPr>
    </w:lvl>
    <w:lvl w:ilvl="3" w:tentative="0">
      <w:start w:val="1"/>
      <w:numFmt w:val="decimal"/>
      <w:isLgl/>
      <w:suff w:val="space"/>
      <w:lvlText w:val="%1.%2.%3.%4."/>
      <w:lvlJc w:val="left"/>
      <w:pPr>
        <w:ind w:left="0" w:firstLine="0"/>
      </w:pPr>
      <w:rPr>
        <w:rFonts w:hint="default" w:ascii="Times New Roman" w:hAnsi="Times New Roman" w:eastAsia="宋体"/>
        <w:b/>
        <w:i w:val="0"/>
        <w:sz w:val="24"/>
      </w:rPr>
    </w:lvl>
    <w:lvl w:ilvl="4" w:tentative="0">
      <w:start w:val="1"/>
      <w:numFmt w:val="decimal"/>
      <w:isLgl/>
      <w:suff w:val="space"/>
      <w:lvlText w:val="%1.%2.%3.%4.%5."/>
      <w:lvlJc w:val="left"/>
      <w:pPr>
        <w:ind w:left="0" w:firstLine="0"/>
      </w:pPr>
      <w:rPr>
        <w:rFonts w:hint="default" w:ascii="Times New Roman" w:hAnsi="Times New Roman" w:eastAsia="宋体"/>
        <w:b/>
        <w:i w:val="0"/>
        <w:sz w:val="24"/>
      </w:rPr>
    </w:lvl>
    <w:lvl w:ilvl="5" w:tentative="0">
      <w:start w:val="1"/>
      <w:numFmt w:val="decimal"/>
      <w:isLgl/>
      <w:suff w:val="space"/>
      <w:lvlText w:val="%1.%2.%3.%4.%5.%6."/>
      <w:lvlJc w:val="left"/>
      <w:pPr>
        <w:ind w:left="0" w:firstLine="0"/>
      </w:pPr>
      <w:rPr>
        <w:rFonts w:hint="default" w:ascii="Times New Roman" w:hAnsi="Times New Roman" w:eastAsia="宋体"/>
        <w:b/>
        <w:i w:val="0"/>
        <w:sz w:val="24"/>
      </w:rPr>
    </w:lvl>
    <w:lvl w:ilvl="6" w:tentative="0">
      <w:start w:val="1"/>
      <w:numFmt w:val="decimal"/>
      <w:isLgl/>
      <w:suff w:val="space"/>
      <w:lvlText w:val="%1.%2.%3.%4.%5.%6.%7."/>
      <w:lvlJc w:val="left"/>
      <w:pPr>
        <w:ind w:left="0" w:firstLine="0"/>
      </w:pPr>
      <w:rPr>
        <w:rFonts w:hint="default" w:ascii="Times New Roman" w:hAnsi="Times New Roman" w:eastAsia="宋体"/>
        <w:b/>
        <w:i w:val="0"/>
        <w:sz w:val="24"/>
      </w:rPr>
    </w:lvl>
    <w:lvl w:ilvl="7" w:tentative="0">
      <w:start w:val="1"/>
      <w:numFmt w:val="decimal"/>
      <w:isLgl/>
      <w:suff w:val="space"/>
      <w:lvlText w:val="%1.%2.%3.%4.%5.%6.%7.%8."/>
      <w:lvlJc w:val="left"/>
      <w:pPr>
        <w:ind w:left="0" w:firstLine="0"/>
      </w:pPr>
      <w:rPr>
        <w:rFonts w:hint="default" w:ascii="Times New Roman" w:hAnsi="Times New Roman" w:eastAsia="宋体"/>
        <w:b/>
        <w:i w:val="0"/>
        <w:sz w:val="24"/>
      </w:rPr>
    </w:lvl>
    <w:lvl w:ilvl="8" w:tentative="0">
      <w:start w:val="1"/>
      <w:numFmt w:val="decimal"/>
      <w:isLgl/>
      <w:suff w:val="space"/>
      <w:lvlText w:val="%1.%2.%3.%4.%5.%6.%7.%8.%9."/>
      <w:lvlJc w:val="left"/>
      <w:pPr>
        <w:ind w:left="0" w:firstLine="0"/>
      </w:pPr>
      <w:rPr>
        <w:rFonts w:hint="default" w:ascii="Times New Roman" w:hAnsi="Times New Roman" w:eastAsia="宋体"/>
        <w:b/>
        <w:i w:val="0"/>
        <w:sz w:val="24"/>
      </w:rPr>
    </w:lvl>
  </w:abstractNum>
  <w:abstractNum w:abstractNumId="16">
    <w:nsid w:val="608BC416"/>
    <w:multiLevelType w:val="singleLevel"/>
    <w:tmpl w:val="608BC416"/>
    <w:lvl w:ilvl="0" w:tentative="0">
      <w:start w:val="5"/>
      <w:numFmt w:val="chineseCounting"/>
      <w:suff w:val="nothing"/>
      <w:lvlText w:val="%1、"/>
      <w:lvlJc w:val="left"/>
      <w:rPr>
        <w:rFonts w:hint="eastAsia"/>
      </w:rPr>
    </w:lvl>
  </w:abstractNum>
  <w:num w:numId="1">
    <w:abstractNumId w:val="1"/>
  </w:num>
  <w:num w:numId="2">
    <w:abstractNumId w:val="7"/>
  </w:num>
  <w:num w:numId="3">
    <w:abstractNumId w:val="2"/>
  </w:num>
  <w:num w:numId="4">
    <w:abstractNumId w:val="13"/>
  </w:num>
  <w:num w:numId="5">
    <w:abstractNumId w:val="9"/>
  </w:num>
  <w:num w:numId="6">
    <w:abstractNumId w:val="5"/>
  </w:num>
  <w:num w:numId="7">
    <w:abstractNumId w:val="12"/>
  </w:num>
  <w:num w:numId="8">
    <w:abstractNumId w:val="8"/>
  </w:num>
  <w:num w:numId="9">
    <w:abstractNumId w:val="11"/>
  </w:num>
  <w:num w:numId="10">
    <w:abstractNumId w:val="4"/>
  </w:num>
  <w:num w:numId="11">
    <w:abstractNumId w:val="6"/>
  </w:num>
  <w:num w:numId="12">
    <w:abstractNumId w:val="3"/>
  </w:num>
  <w:num w:numId="13">
    <w:abstractNumId w:val="15"/>
  </w:num>
  <w:num w:numId="14">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drawingGridHorizontalSpacing w:val="220"/>
  <w:drawingGridVerticalSpacing w:val="149"/>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MWRmYmMwODFjZDRkMzdlNjVhNjhmMzZkM2QzMWYifQ=="/>
  </w:docVars>
  <w:rsids>
    <w:rsidRoot w:val="00172A27"/>
    <w:rsid w:val="000030E9"/>
    <w:rsid w:val="00003787"/>
    <w:rsid w:val="00003E67"/>
    <w:rsid w:val="00003FE6"/>
    <w:rsid w:val="00004BC1"/>
    <w:rsid w:val="000052BA"/>
    <w:rsid w:val="000052EC"/>
    <w:rsid w:val="000059DE"/>
    <w:rsid w:val="00005C73"/>
    <w:rsid w:val="000107BE"/>
    <w:rsid w:val="000109CB"/>
    <w:rsid w:val="00014B5D"/>
    <w:rsid w:val="00017B71"/>
    <w:rsid w:val="000205CF"/>
    <w:rsid w:val="000207AF"/>
    <w:rsid w:val="0002295E"/>
    <w:rsid w:val="00023FDC"/>
    <w:rsid w:val="000246D4"/>
    <w:rsid w:val="00024701"/>
    <w:rsid w:val="00024C57"/>
    <w:rsid w:val="00025A38"/>
    <w:rsid w:val="0002602E"/>
    <w:rsid w:val="00026EA1"/>
    <w:rsid w:val="00026FC0"/>
    <w:rsid w:val="00030422"/>
    <w:rsid w:val="00030E10"/>
    <w:rsid w:val="00030FE1"/>
    <w:rsid w:val="00031839"/>
    <w:rsid w:val="000319B3"/>
    <w:rsid w:val="00031B3F"/>
    <w:rsid w:val="00031BD5"/>
    <w:rsid w:val="00032665"/>
    <w:rsid w:val="00033FC4"/>
    <w:rsid w:val="000344C7"/>
    <w:rsid w:val="00035301"/>
    <w:rsid w:val="000357FB"/>
    <w:rsid w:val="00035CD9"/>
    <w:rsid w:val="0004085D"/>
    <w:rsid w:val="00041715"/>
    <w:rsid w:val="00041C35"/>
    <w:rsid w:val="00042085"/>
    <w:rsid w:val="0004274A"/>
    <w:rsid w:val="00042845"/>
    <w:rsid w:val="00042A02"/>
    <w:rsid w:val="00042EB3"/>
    <w:rsid w:val="00043114"/>
    <w:rsid w:val="00043170"/>
    <w:rsid w:val="00043200"/>
    <w:rsid w:val="00043760"/>
    <w:rsid w:val="00043801"/>
    <w:rsid w:val="0004395B"/>
    <w:rsid w:val="00044B63"/>
    <w:rsid w:val="00044DFF"/>
    <w:rsid w:val="0004620B"/>
    <w:rsid w:val="000462A1"/>
    <w:rsid w:val="00047E99"/>
    <w:rsid w:val="00050299"/>
    <w:rsid w:val="00051357"/>
    <w:rsid w:val="00052179"/>
    <w:rsid w:val="00052A8A"/>
    <w:rsid w:val="00054034"/>
    <w:rsid w:val="0005422B"/>
    <w:rsid w:val="00055643"/>
    <w:rsid w:val="00055781"/>
    <w:rsid w:val="000558C1"/>
    <w:rsid w:val="000565C5"/>
    <w:rsid w:val="00056A85"/>
    <w:rsid w:val="00056D54"/>
    <w:rsid w:val="000576F2"/>
    <w:rsid w:val="0006116B"/>
    <w:rsid w:val="000620AB"/>
    <w:rsid w:val="0006219B"/>
    <w:rsid w:val="0006288C"/>
    <w:rsid w:val="00062C69"/>
    <w:rsid w:val="00063AE1"/>
    <w:rsid w:val="00064375"/>
    <w:rsid w:val="00065395"/>
    <w:rsid w:val="000656A0"/>
    <w:rsid w:val="00065B8F"/>
    <w:rsid w:val="00066DDC"/>
    <w:rsid w:val="00067D24"/>
    <w:rsid w:val="000706EF"/>
    <w:rsid w:val="00071623"/>
    <w:rsid w:val="0007187E"/>
    <w:rsid w:val="0007192D"/>
    <w:rsid w:val="00071A52"/>
    <w:rsid w:val="000724D6"/>
    <w:rsid w:val="00072F83"/>
    <w:rsid w:val="000734C6"/>
    <w:rsid w:val="00073B4C"/>
    <w:rsid w:val="00073C81"/>
    <w:rsid w:val="00074D00"/>
    <w:rsid w:val="00074F5D"/>
    <w:rsid w:val="00075C1B"/>
    <w:rsid w:val="000762BB"/>
    <w:rsid w:val="000762C5"/>
    <w:rsid w:val="00076869"/>
    <w:rsid w:val="000768E3"/>
    <w:rsid w:val="000773C5"/>
    <w:rsid w:val="00077A47"/>
    <w:rsid w:val="00080006"/>
    <w:rsid w:val="00081B84"/>
    <w:rsid w:val="00081FC9"/>
    <w:rsid w:val="00085A12"/>
    <w:rsid w:val="00085ACC"/>
    <w:rsid w:val="00090F35"/>
    <w:rsid w:val="00091D2B"/>
    <w:rsid w:val="0009233C"/>
    <w:rsid w:val="00092552"/>
    <w:rsid w:val="000940D2"/>
    <w:rsid w:val="00095435"/>
    <w:rsid w:val="00095CDB"/>
    <w:rsid w:val="000A029A"/>
    <w:rsid w:val="000A0638"/>
    <w:rsid w:val="000A2AA5"/>
    <w:rsid w:val="000A38F2"/>
    <w:rsid w:val="000A39EC"/>
    <w:rsid w:val="000A3C0D"/>
    <w:rsid w:val="000A3D9A"/>
    <w:rsid w:val="000A59DC"/>
    <w:rsid w:val="000A7189"/>
    <w:rsid w:val="000B12A1"/>
    <w:rsid w:val="000B2481"/>
    <w:rsid w:val="000B2965"/>
    <w:rsid w:val="000B2FDE"/>
    <w:rsid w:val="000B32E9"/>
    <w:rsid w:val="000B335C"/>
    <w:rsid w:val="000B4231"/>
    <w:rsid w:val="000B6CAA"/>
    <w:rsid w:val="000B761B"/>
    <w:rsid w:val="000B7F04"/>
    <w:rsid w:val="000C0099"/>
    <w:rsid w:val="000C07FD"/>
    <w:rsid w:val="000C164F"/>
    <w:rsid w:val="000C22FC"/>
    <w:rsid w:val="000C321B"/>
    <w:rsid w:val="000C33A7"/>
    <w:rsid w:val="000C432D"/>
    <w:rsid w:val="000C4E2A"/>
    <w:rsid w:val="000C549F"/>
    <w:rsid w:val="000C61EC"/>
    <w:rsid w:val="000C688D"/>
    <w:rsid w:val="000C725C"/>
    <w:rsid w:val="000C73A7"/>
    <w:rsid w:val="000D0894"/>
    <w:rsid w:val="000D0A9C"/>
    <w:rsid w:val="000D1074"/>
    <w:rsid w:val="000D28EF"/>
    <w:rsid w:val="000D31C9"/>
    <w:rsid w:val="000D4042"/>
    <w:rsid w:val="000D52BE"/>
    <w:rsid w:val="000D5909"/>
    <w:rsid w:val="000D5E3B"/>
    <w:rsid w:val="000D6E8C"/>
    <w:rsid w:val="000D764F"/>
    <w:rsid w:val="000D7655"/>
    <w:rsid w:val="000E024B"/>
    <w:rsid w:val="000E1996"/>
    <w:rsid w:val="000E21DA"/>
    <w:rsid w:val="000E23B0"/>
    <w:rsid w:val="000E465C"/>
    <w:rsid w:val="000E4BBB"/>
    <w:rsid w:val="000E59B0"/>
    <w:rsid w:val="000E71E7"/>
    <w:rsid w:val="000F0841"/>
    <w:rsid w:val="000F25E6"/>
    <w:rsid w:val="000F314B"/>
    <w:rsid w:val="000F339F"/>
    <w:rsid w:val="000F4746"/>
    <w:rsid w:val="000F5084"/>
    <w:rsid w:val="000F519C"/>
    <w:rsid w:val="000F5472"/>
    <w:rsid w:val="000F5B38"/>
    <w:rsid w:val="000F5B4C"/>
    <w:rsid w:val="000F6628"/>
    <w:rsid w:val="000F6DC0"/>
    <w:rsid w:val="000F7D41"/>
    <w:rsid w:val="000F7F8D"/>
    <w:rsid w:val="00100682"/>
    <w:rsid w:val="001010EA"/>
    <w:rsid w:val="00101F32"/>
    <w:rsid w:val="00102B85"/>
    <w:rsid w:val="00103832"/>
    <w:rsid w:val="00103DA9"/>
    <w:rsid w:val="00104B22"/>
    <w:rsid w:val="001057A6"/>
    <w:rsid w:val="00105ACF"/>
    <w:rsid w:val="00105F76"/>
    <w:rsid w:val="00106A32"/>
    <w:rsid w:val="00106B29"/>
    <w:rsid w:val="0010766B"/>
    <w:rsid w:val="001100CF"/>
    <w:rsid w:val="001101A5"/>
    <w:rsid w:val="00110670"/>
    <w:rsid w:val="00110D1E"/>
    <w:rsid w:val="00110D49"/>
    <w:rsid w:val="00112345"/>
    <w:rsid w:val="00113076"/>
    <w:rsid w:val="00113861"/>
    <w:rsid w:val="00113D61"/>
    <w:rsid w:val="00113E94"/>
    <w:rsid w:val="00114757"/>
    <w:rsid w:val="00115AF1"/>
    <w:rsid w:val="00116853"/>
    <w:rsid w:val="0011728A"/>
    <w:rsid w:val="0011764E"/>
    <w:rsid w:val="001176C0"/>
    <w:rsid w:val="00120D2F"/>
    <w:rsid w:val="00120DC8"/>
    <w:rsid w:val="0012108D"/>
    <w:rsid w:val="001211B3"/>
    <w:rsid w:val="00121841"/>
    <w:rsid w:val="00121B38"/>
    <w:rsid w:val="00121F48"/>
    <w:rsid w:val="00122B58"/>
    <w:rsid w:val="001235E3"/>
    <w:rsid w:val="001236D2"/>
    <w:rsid w:val="0012402E"/>
    <w:rsid w:val="0012423E"/>
    <w:rsid w:val="00126D35"/>
    <w:rsid w:val="00126DDB"/>
    <w:rsid w:val="0012759A"/>
    <w:rsid w:val="00127A3A"/>
    <w:rsid w:val="001306FE"/>
    <w:rsid w:val="00130B8E"/>
    <w:rsid w:val="00131236"/>
    <w:rsid w:val="00131429"/>
    <w:rsid w:val="0013142C"/>
    <w:rsid w:val="00131542"/>
    <w:rsid w:val="00131BAF"/>
    <w:rsid w:val="00132971"/>
    <w:rsid w:val="00132B0F"/>
    <w:rsid w:val="00132D9E"/>
    <w:rsid w:val="00133B3F"/>
    <w:rsid w:val="00134102"/>
    <w:rsid w:val="0013476C"/>
    <w:rsid w:val="00134B23"/>
    <w:rsid w:val="00134D06"/>
    <w:rsid w:val="001350AC"/>
    <w:rsid w:val="00135267"/>
    <w:rsid w:val="00135F3D"/>
    <w:rsid w:val="001416F7"/>
    <w:rsid w:val="0014231F"/>
    <w:rsid w:val="0014237D"/>
    <w:rsid w:val="00142E55"/>
    <w:rsid w:val="00142E71"/>
    <w:rsid w:val="00143719"/>
    <w:rsid w:val="001437D2"/>
    <w:rsid w:val="00143C8D"/>
    <w:rsid w:val="00144FCD"/>
    <w:rsid w:val="0014570A"/>
    <w:rsid w:val="00145887"/>
    <w:rsid w:val="00145AC8"/>
    <w:rsid w:val="0014637F"/>
    <w:rsid w:val="001471A6"/>
    <w:rsid w:val="0014751C"/>
    <w:rsid w:val="00147BFB"/>
    <w:rsid w:val="00150731"/>
    <w:rsid w:val="001508DB"/>
    <w:rsid w:val="00150B9F"/>
    <w:rsid w:val="00150F49"/>
    <w:rsid w:val="00151A59"/>
    <w:rsid w:val="00151CB4"/>
    <w:rsid w:val="00151EBC"/>
    <w:rsid w:val="00152349"/>
    <w:rsid w:val="0015336F"/>
    <w:rsid w:val="001551C3"/>
    <w:rsid w:val="00155CC8"/>
    <w:rsid w:val="00155CE9"/>
    <w:rsid w:val="001561EC"/>
    <w:rsid w:val="00156856"/>
    <w:rsid w:val="00160313"/>
    <w:rsid w:val="00160367"/>
    <w:rsid w:val="00163F95"/>
    <w:rsid w:val="00164C5D"/>
    <w:rsid w:val="00165915"/>
    <w:rsid w:val="00170723"/>
    <w:rsid w:val="001718B2"/>
    <w:rsid w:val="0017203A"/>
    <w:rsid w:val="00172A27"/>
    <w:rsid w:val="00172B96"/>
    <w:rsid w:val="00172E6A"/>
    <w:rsid w:val="00173111"/>
    <w:rsid w:val="001735D6"/>
    <w:rsid w:val="00173E78"/>
    <w:rsid w:val="00175134"/>
    <w:rsid w:val="0017618B"/>
    <w:rsid w:val="00176379"/>
    <w:rsid w:val="00176853"/>
    <w:rsid w:val="001768ED"/>
    <w:rsid w:val="00177FD6"/>
    <w:rsid w:val="00180336"/>
    <w:rsid w:val="00180647"/>
    <w:rsid w:val="0018088F"/>
    <w:rsid w:val="00180A23"/>
    <w:rsid w:val="00182FE3"/>
    <w:rsid w:val="00183A47"/>
    <w:rsid w:val="00184087"/>
    <w:rsid w:val="00184221"/>
    <w:rsid w:val="00185503"/>
    <w:rsid w:val="0018607D"/>
    <w:rsid w:val="00186766"/>
    <w:rsid w:val="00186BE1"/>
    <w:rsid w:val="0018765E"/>
    <w:rsid w:val="00187860"/>
    <w:rsid w:val="001878EA"/>
    <w:rsid w:val="00187BD4"/>
    <w:rsid w:val="00187DBC"/>
    <w:rsid w:val="00190C3D"/>
    <w:rsid w:val="00190DCF"/>
    <w:rsid w:val="001911EB"/>
    <w:rsid w:val="00191881"/>
    <w:rsid w:val="00191AA2"/>
    <w:rsid w:val="00191B79"/>
    <w:rsid w:val="00191D78"/>
    <w:rsid w:val="001928B8"/>
    <w:rsid w:val="0019293E"/>
    <w:rsid w:val="00193096"/>
    <w:rsid w:val="001932B6"/>
    <w:rsid w:val="00193356"/>
    <w:rsid w:val="00193564"/>
    <w:rsid w:val="00195BC6"/>
    <w:rsid w:val="00195CA0"/>
    <w:rsid w:val="001960F3"/>
    <w:rsid w:val="001961C8"/>
    <w:rsid w:val="0019661C"/>
    <w:rsid w:val="001967CD"/>
    <w:rsid w:val="001977BA"/>
    <w:rsid w:val="001A05ED"/>
    <w:rsid w:val="001A0D08"/>
    <w:rsid w:val="001A1141"/>
    <w:rsid w:val="001A2136"/>
    <w:rsid w:val="001A22DE"/>
    <w:rsid w:val="001A2AB1"/>
    <w:rsid w:val="001A2FA0"/>
    <w:rsid w:val="001A3B40"/>
    <w:rsid w:val="001A4AB4"/>
    <w:rsid w:val="001A50CE"/>
    <w:rsid w:val="001A71D0"/>
    <w:rsid w:val="001A71EA"/>
    <w:rsid w:val="001A7527"/>
    <w:rsid w:val="001B1E36"/>
    <w:rsid w:val="001B2492"/>
    <w:rsid w:val="001B4363"/>
    <w:rsid w:val="001B4E74"/>
    <w:rsid w:val="001B4EB7"/>
    <w:rsid w:val="001B6582"/>
    <w:rsid w:val="001B662E"/>
    <w:rsid w:val="001B6969"/>
    <w:rsid w:val="001B6C0E"/>
    <w:rsid w:val="001B782D"/>
    <w:rsid w:val="001C0F26"/>
    <w:rsid w:val="001C0FFC"/>
    <w:rsid w:val="001C1B80"/>
    <w:rsid w:val="001C1C08"/>
    <w:rsid w:val="001C2740"/>
    <w:rsid w:val="001C3765"/>
    <w:rsid w:val="001C4C69"/>
    <w:rsid w:val="001C4F70"/>
    <w:rsid w:val="001C5811"/>
    <w:rsid w:val="001C7793"/>
    <w:rsid w:val="001C7A81"/>
    <w:rsid w:val="001C7E40"/>
    <w:rsid w:val="001D0BA2"/>
    <w:rsid w:val="001D12A0"/>
    <w:rsid w:val="001D15A8"/>
    <w:rsid w:val="001D1847"/>
    <w:rsid w:val="001D1DED"/>
    <w:rsid w:val="001D5099"/>
    <w:rsid w:val="001D5568"/>
    <w:rsid w:val="001D6041"/>
    <w:rsid w:val="001D68F1"/>
    <w:rsid w:val="001D6951"/>
    <w:rsid w:val="001D75F9"/>
    <w:rsid w:val="001D7675"/>
    <w:rsid w:val="001D7774"/>
    <w:rsid w:val="001E0CDC"/>
    <w:rsid w:val="001E1D2A"/>
    <w:rsid w:val="001E2223"/>
    <w:rsid w:val="001E2FD0"/>
    <w:rsid w:val="001E3101"/>
    <w:rsid w:val="001E33E0"/>
    <w:rsid w:val="001E3541"/>
    <w:rsid w:val="001E3755"/>
    <w:rsid w:val="001E5051"/>
    <w:rsid w:val="001E53CC"/>
    <w:rsid w:val="001E54A5"/>
    <w:rsid w:val="001E565F"/>
    <w:rsid w:val="001E62D4"/>
    <w:rsid w:val="001E6314"/>
    <w:rsid w:val="001E64AC"/>
    <w:rsid w:val="001E783C"/>
    <w:rsid w:val="001E78D6"/>
    <w:rsid w:val="001E7A72"/>
    <w:rsid w:val="001E7D47"/>
    <w:rsid w:val="001F27AA"/>
    <w:rsid w:val="001F32D1"/>
    <w:rsid w:val="001F4307"/>
    <w:rsid w:val="001F5DA1"/>
    <w:rsid w:val="001F6C9D"/>
    <w:rsid w:val="002009E6"/>
    <w:rsid w:val="00201062"/>
    <w:rsid w:val="00201EE8"/>
    <w:rsid w:val="00204113"/>
    <w:rsid w:val="0020437A"/>
    <w:rsid w:val="002051CF"/>
    <w:rsid w:val="00205E4C"/>
    <w:rsid w:val="00206239"/>
    <w:rsid w:val="002064AE"/>
    <w:rsid w:val="00207083"/>
    <w:rsid w:val="00207171"/>
    <w:rsid w:val="002073FB"/>
    <w:rsid w:val="0020754B"/>
    <w:rsid w:val="00207A47"/>
    <w:rsid w:val="00207E1B"/>
    <w:rsid w:val="00211279"/>
    <w:rsid w:val="00211D16"/>
    <w:rsid w:val="00211D5B"/>
    <w:rsid w:val="002120D6"/>
    <w:rsid w:val="00213DD1"/>
    <w:rsid w:val="002140BD"/>
    <w:rsid w:val="00214439"/>
    <w:rsid w:val="0021580C"/>
    <w:rsid w:val="00215A1D"/>
    <w:rsid w:val="00215AEE"/>
    <w:rsid w:val="00216A4B"/>
    <w:rsid w:val="00216BBD"/>
    <w:rsid w:val="002177D0"/>
    <w:rsid w:val="00217B37"/>
    <w:rsid w:val="00217D9F"/>
    <w:rsid w:val="00221E53"/>
    <w:rsid w:val="0022237A"/>
    <w:rsid w:val="00222A1C"/>
    <w:rsid w:val="00223847"/>
    <w:rsid w:val="002239AA"/>
    <w:rsid w:val="00223D46"/>
    <w:rsid w:val="00223D88"/>
    <w:rsid w:val="00223F2F"/>
    <w:rsid w:val="00224197"/>
    <w:rsid w:val="0022562A"/>
    <w:rsid w:val="0022567B"/>
    <w:rsid w:val="0022608E"/>
    <w:rsid w:val="0022671A"/>
    <w:rsid w:val="00226C4E"/>
    <w:rsid w:val="00226FD5"/>
    <w:rsid w:val="0022719E"/>
    <w:rsid w:val="002271E8"/>
    <w:rsid w:val="00230113"/>
    <w:rsid w:val="002301E2"/>
    <w:rsid w:val="002311E2"/>
    <w:rsid w:val="00231CDC"/>
    <w:rsid w:val="002329E6"/>
    <w:rsid w:val="00233771"/>
    <w:rsid w:val="00234DA3"/>
    <w:rsid w:val="0023578B"/>
    <w:rsid w:val="002364D5"/>
    <w:rsid w:val="00236AB6"/>
    <w:rsid w:val="0023749C"/>
    <w:rsid w:val="0023760A"/>
    <w:rsid w:val="00237A11"/>
    <w:rsid w:val="002400D1"/>
    <w:rsid w:val="00240EA4"/>
    <w:rsid w:val="002419A4"/>
    <w:rsid w:val="00241B92"/>
    <w:rsid w:val="0024226E"/>
    <w:rsid w:val="00243682"/>
    <w:rsid w:val="002440C0"/>
    <w:rsid w:val="00245E55"/>
    <w:rsid w:val="00246908"/>
    <w:rsid w:val="00246992"/>
    <w:rsid w:val="00246DFB"/>
    <w:rsid w:val="00250355"/>
    <w:rsid w:val="00250709"/>
    <w:rsid w:val="00250763"/>
    <w:rsid w:val="002509EE"/>
    <w:rsid w:val="002511B7"/>
    <w:rsid w:val="00251C55"/>
    <w:rsid w:val="00251C93"/>
    <w:rsid w:val="00252089"/>
    <w:rsid w:val="00252519"/>
    <w:rsid w:val="00254A37"/>
    <w:rsid w:val="002559CB"/>
    <w:rsid w:val="002567D2"/>
    <w:rsid w:val="00256940"/>
    <w:rsid w:val="002570AF"/>
    <w:rsid w:val="00257168"/>
    <w:rsid w:val="00262683"/>
    <w:rsid w:val="00262D37"/>
    <w:rsid w:val="00264ABD"/>
    <w:rsid w:val="00266645"/>
    <w:rsid w:val="00266E21"/>
    <w:rsid w:val="00270720"/>
    <w:rsid w:val="002724D4"/>
    <w:rsid w:val="00272B13"/>
    <w:rsid w:val="00273A6E"/>
    <w:rsid w:val="00273B94"/>
    <w:rsid w:val="002740D6"/>
    <w:rsid w:val="00274DB8"/>
    <w:rsid w:val="00275E5D"/>
    <w:rsid w:val="00276143"/>
    <w:rsid w:val="002803AA"/>
    <w:rsid w:val="00280A93"/>
    <w:rsid w:val="00280EFF"/>
    <w:rsid w:val="00282ABC"/>
    <w:rsid w:val="0028357D"/>
    <w:rsid w:val="00283AD6"/>
    <w:rsid w:val="00283EE7"/>
    <w:rsid w:val="00285E4D"/>
    <w:rsid w:val="0028686E"/>
    <w:rsid w:val="00287B6E"/>
    <w:rsid w:val="00290437"/>
    <w:rsid w:val="00291700"/>
    <w:rsid w:val="00291931"/>
    <w:rsid w:val="00291A38"/>
    <w:rsid w:val="00291A41"/>
    <w:rsid w:val="00292716"/>
    <w:rsid w:val="00293112"/>
    <w:rsid w:val="00293E50"/>
    <w:rsid w:val="00294EF5"/>
    <w:rsid w:val="00295A68"/>
    <w:rsid w:val="00296391"/>
    <w:rsid w:val="00296A09"/>
    <w:rsid w:val="00296C20"/>
    <w:rsid w:val="00297207"/>
    <w:rsid w:val="00297C90"/>
    <w:rsid w:val="002A03D6"/>
    <w:rsid w:val="002A0F10"/>
    <w:rsid w:val="002A12D8"/>
    <w:rsid w:val="002A1C75"/>
    <w:rsid w:val="002A1DF2"/>
    <w:rsid w:val="002A2194"/>
    <w:rsid w:val="002A3FF6"/>
    <w:rsid w:val="002A4139"/>
    <w:rsid w:val="002A4429"/>
    <w:rsid w:val="002A4CAC"/>
    <w:rsid w:val="002A4E4E"/>
    <w:rsid w:val="002A6C1D"/>
    <w:rsid w:val="002A7609"/>
    <w:rsid w:val="002A7A3B"/>
    <w:rsid w:val="002B0254"/>
    <w:rsid w:val="002B3401"/>
    <w:rsid w:val="002B4312"/>
    <w:rsid w:val="002B450C"/>
    <w:rsid w:val="002B503D"/>
    <w:rsid w:val="002B5FDA"/>
    <w:rsid w:val="002B6B64"/>
    <w:rsid w:val="002B7092"/>
    <w:rsid w:val="002B709C"/>
    <w:rsid w:val="002B7310"/>
    <w:rsid w:val="002C02A6"/>
    <w:rsid w:val="002C0EEC"/>
    <w:rsid w:val="002C1000"/>
    <w:rsid w:val="002C26D3"/>
    <w:rsid w:val="002C306B"/>
    <w:rsid w:val="002C4266"/>
    <w:rsid w:val="002C48B9"/>
    <w:rsid w:val="002C54A3"/>
    <w:rsid w:val="002C54CA"/>
    <w:rsid w:val="002C6812"/>
    <w:rsid w:val="002C71A5"/>
    <w:rsid w:val="002C7540"/>
    <w:rsid w:val="002D1C20"/>
    <w:rsid w:val="002D2A3C"/>
    <w:rsid w:val="002D2BDF"/>
    <w:rsid w:val="002D319A"/>
    <w:rsid w:val="002D33E2"/>
    <w:rsid w:val="002D516D"/>
    <w:rsid w:val="002D55D7"/>
    <w:rsid w:val="002D5A4E"/>
    <w:rsid w:val="002D6B5E"/>
    <w:rsid w:val="002D6C85"/>
    <w:rsid w:val="002E036B"/>
    <w:rsid w:val="002E0449"/>
    <w:rsid w:val="002E0852"/>
    <w:rsid w:val="002E0C5B"/>
    <w:rsid w:val="002E12CD"/>
    <w:rsid w:val="002E1418"/>
    <w:rsid w:val="002E16D5"/>
    <w:rsid w:val="002E1B18"/>
    <w:rsid w:val="002E1B30"/>
    <w:rsid w:val="002E203E"/>
    <w:rsid w:val="002E2B3C"/>
    <w:rsid w:val="002E3991"/>
    <w:rsid w:val="002E4424"/>
    <w:rsid w:val="002E4554"/>
    <w:rsid w:val="002E4FF6"/>
    <w:rsid w:val="002E5433"/>
    <w:rsid w:val="002E5723"/>
    <w:rsid w:val="002E5A4D"/>
    <w:rsid w:val="002E5DFF"/>
    <w:rsid w:val="002E5F8B"/>
    <w:rsid w:val="002E617A"/>
    <w:rsid w:val="002E6DD7"/>
    <w:rsid w:val="002E6EAE"/>
    <w:rsid w:val="002E7AB8"/>
    <w:rsid w:val="002E7AEC"/>
    <w:rsid w:val="002E7AF8"/>
    <w:rsid w:val="002E7C68"/>
    <w:rsid w:val="002F1ABD"/>
    <w:rsid w:val="002F23DF"/>
    <w:rsid w:val="002F3A64"/>
    <w:rsid w:val="002F3CC2"/>
    <w:rsid w:val="002F463A"/>
    <w:rsid w:val="002F4696"/>
    <w:rsid w:val="002F4E48"/>
    <w:rsid w:val="002F5246"/>
    <w:rsid w:val="002F52BF"/>
    <w:rsid w:val="002F5B28"/>
    <w:rsid w:val="002F7A6D"/>
    <w:rsid w:val="00300139"/>
    <w:rsid w:val="0030104D"/>
    <w:rsid w:val="00301127"/>
    <w:rsid w:val="0030148F"/>
    <w:rsid w:val="003016DE"/>
    <w:rsid w:val="00302819"/>
    <w:rsid w:val="00303429"/>
    <w:rsid w:val="0030377D"/>
    <w:rsid w:val="003042A2"/>
    <w:rsid w:val="00304747"/>
    <w:rsid w:val="003058BA"/>
    <w:rsid w:val="00305FDD"/>
    <w:rsid w:val="00306432"/>
    <w:rsid w:val="003076A6"/>
    <w:rsid w:val="00307970"/>
    <w:rsid w:val="003103FA"/>
    <w:rsid w:val="00310E6C"/>
    <w:rsid w:val="00311870"/>
    <w:rsid w:val="00311D67"/>
    <w:rsid w:val="0031415B"/>
    <w:rsid w:val="00316EF8"/>
    <w:rsid w:val="00320AD2"/>
    <w:rsid w:val="00320D3C"/>
    <w:rsid w:val="00321EEB"/>
    <w:rsid w:val="00322043"/>
    <w:rsid w:val="003228E9"/>
    <w:rsid w:val="00323BDB"/>
    <w:rsid w:val="00323EEE"/>
    <w:rsid w:val="003245BB"/>
    <w:rsid w:val="00325FA4"/>
    <w:rsid w:val="00326B1D"/>
    <w:rsid w:val="00331D37"/>
    <w:rsid w:val="00332600"/>
    <w:rsid w:val="00333C3F"/>
    <w:rsid w:val="003342BE"/>
    <w:rsid w:val="0033568C"/>
    <w:rsid w:val="00335706"/>
    <w:rsid w:val="00336886"/>
    <w:rsid w:val="00337C93"/>
    <w:rsid w:val="0034073E"/>
    <w:rsid w:val="00340A4C"/>
    <w:rsid w:val="00341D40"/>
    <w:rsid w:val="00342E1E"/>
    <w:rsid w:val="00342E7B"/>
    <w:rsid w:val="00343384"/>
    <w:rsid w:val="0034362B"/>
    <w:rsid w:val="00343988"/>
    <w:rsid w:val="00343B92"/>
    <w:rsid w:val="00343E4F"/>
    <w:rsid w:val="00343E7E"/>
    <w:rsid w:val="0034496A"/>
    <w:rsid w:val="00344AF1"/>
    <w:rsid w:val="00344C0B"/>
    <w:rsid w:val="00344F16"/>
    <w:rsid w:val="00345611"/>
    <w:rsid w:val="00346660"/>
    <w:rsid w:val="00347242"/>
    <w:rsid w:val="00350621"/>
    <w:rsid w:val="00350B9D"/>
    <w:rsid w:val="00354438"/>
    <w:rsid w:val="00356C8A"/>
    <w:rsid w:val="00356EB5"/>
    <w:rsid w:val="003570A8"/>
    <w:rsid w:val="003602D9"/>
    <w:rsid w:val="0036068C"/>
    <w:rsid w:val="00360D5E"/>
    <w:rsid w:val="00361156"/>
    <w:rsid w:val="0036183C"/>
    <w:rsid w:val="003620CA"/>
    <w:rsid w:val="00363182"/>
    <w:rsid w:val="003633F9"/>
    <w:rsid w:val="003638F9"/>
    <w:rsid w:val="00364286"/>
    <w:rsid w:val="003644EF"/>
    <w:rsid w:val="00364E0B"/>
    <w:rsid w:val="00365CF3"/>
    <w:rsid w:val="003660C4"/>
    <w:rsid w:val="00366204"/>
    <w:rsid w:val="003662EE"/>
    <w:rsid w:val="003704A9"/>
    <w:rsid w:val="00371324"/>
    <w:rsid w:val="00371816"/>
    <w:rsid w:val="00372673"/>
    <w:rsid w:val="00374F60"/>
    <w:rsid w:val="00374F89"/>
    <w:rsid w:val="0037584A"/>
    <w:rsid w:val="00375F20"/>
    <w:rsid w:val="00376D1E"/>
    <w:rsid w:val="00376F21"/>
    <w:rsid w:val="00377D78"/>
    <w:rsid w:val="00380326"/>
    <w:rsid w:val="0038045D"/>
    <w:rsid w:val="00380BC8"/>
    <w:rsid w:val="003819F8"/>
    <w:rsid w:val="00381F3E"/>
    <w:rsid w:val="00382E1F"/>
    <w:rsid w:val="00383558"/>
    <w:rsid w:val="003835D8"/>
    <w:rsid w:val="00385083"/>
    <w:rsid w:val="0038590E"/>
    <w:rsid w:val="003912B5"/>
    <w:rsid w:val="00393DE3"/>
    <w:rsid w:val="00393FF7"/>
    <w:rsid w:val="00394164"/>
    <w:rsid w:val="0039430E"/>
    <w:rsid w:val="003946DA"/>
    <w:rsid w:val="0039578C"/>
    <w:rsid w:val="003965E8"/>
    <w:rsid w:val="00397F9B"/>
    <w:rsid w:val="003A1AA7"/>
    <w:rsid w:val="003A33D3"/>
    <w:rsid w:val="003A3C2B"/>
    <w:rsid w:val="003A59E3"/>
    <w:rsid w:val="003A6095"/>
    <w:rsid w:val="003A663A"/>
    <w:rsid w:val="003A7242"/>
    <w:rsid w:val="003A7AE0"/>
    <w:rsid w:val="003B00F8"/>
    <w:rsid w:val="003B0B2A"/>
    <w:rsid w:val="003B12F3"/>
    <w:rsid w:val="003B1880"/>
    <w:rsid w:val="003B1F1F"/>
    <w:rsid w:val="003B2FE3"/>
    <w:rsid w:val="003B523C"/>
    <w:rsid w:val="003B6464"/>
    <w:rsid w:val="003B6619"/>
    <w:rsid w:val="003B6713"/>
    <w:rsid w:val="003B7108"/>
    <w:rsid w:val="003C05BE"/>
    <w:rsid w:val="003C3672"/>
    <w:rsid w:val="003C467B"/>
    <w:rsid w:val="003C476B"/>
    <w:rsid w:val="003C55CA"/>
    <w:rsid w:val="003C5CCE"/>
    <w:rsid w:val="003C67F1"/>
    <w:rsid w:val="003C6F45"/>
    <w:rsid w:val="003D04C8"/>
    <w:rsid w:val="003D05E9"/>
    <w:rsid w:val="003D0853"/>
    <w:rsid w:val="003D10F5"/>
    <w:rsid w:val="003D1530"/>
    <w:rsid w:val="003D2CA0"/>
    <w:rsid w:val="003D3B9A"/>
    <w:rsid w:val="003D4ABC"/>
    <w:rsid w:val="003D55DF"/>
    <w:rsid w:val="003D5BA3"/>
    <w:rsid w:val="003D5EE9"/>
    <w:rsid w:val="003D716F"/>
    <w:rsid w:val="003D7286"/>
    <w:rsid w:val="003D74B2"/>
    <w:rsid w:val="003E030C"/>
    <w:rsid w:val="003E50D6"/>
    <w:rsid w:val="003E5FCF"/>
    <w:rsid w:val="003E6853"/>
    <w:rsid w:val="003E7615"/>
    <w:rsid w:val="003E7767"/>
    <w:rsid w:val="003F046E"/>
    <w:rsid w:val="003F050D"/>
    <w:rsid w:val="003F07C9"/>
    <w:rsid w:val="003F0DB2"/>
    <w:rsid w:val="003F3787"/>
    <w:rsid w:val="003F3BBC"/>
    <w:rsid w:val="003F4955"/>
    <w:rsid w:val="003F6569"/>
    <w:rsid w:val="003F68C7"/>
    <w:rsid w:val="003F7195"/>
    <w:rsid w:val="003F7268"/>
    <w:rsid w:val="003F78DA"/>
    <w:rsid w:val="004009DF"/>
    <w:rsid w:val="0040100D"/>
    <w:rsid w:val="00401387"/>
    <w:rsid w:val="00401839"/>
    <w:rsid w:val="00402A3A"/>
    <w:rsid w:val="00404543"/>
    <w:rsid w:val="004047D7"/>
    <w:rsid w:val="004053A1"/>
    <w:rsid w:val="0040620C"/>
    <w:rsid w:val="004072C3"/>
    <w:rsid w:val="00407C5B"/>
    <w:rsid w:val="0041262C"/>
    <w:rsid w:val="00412D33"/>
    <w:rsid w:val="00413523"/>
    <w:rsid w:val="004150AB"/>
    <w:rsid w:val="0041515B"/>
    <w:rsid w:val="00415318"/>
    <w:rsid w:val="00415B8A"/>
    <w:rsid w:val="00416520"/>
    <w:rsid w:val="00416D3C"/>
    <w:rsid w:val="004178B9"/>
    <w:rsid w:val="00420FED"/>
    <w:rsid w:val="00421D62"/>
    <w:rsid w:val="004226E4"/>
    <w:rsid w:val="00424759"/>
    <w:rsid w:val="00424F72"/>
    <w:rsid w:val="00425CD0"/>
    <w:rsid w:val="00425DA3"/>
    <w:rsid w:val="00427458"/>
    <w:rsid w:val="00427FE1"/>
    <w:rsid w:val="00430532"/>
    <w:rsid w:val="00431914"/>
    <w:rsid w:val="00433B6F"/>
    <w:rsid w:val="00433BF7"/>
    <w:rsid w:val="00433E88"/>
    <w:rsid w:val="00433ED0"/>
    <w:rsid w:val="00434EDB"/>
    <w:rsid w:val="00440A58"/>
    <w:rsid w:val="00440A82"/>
    <w:rsid w:val="00440B5D"/>
    <w:rsid w:val="00441A1C"/>
    <w:rsid w:val="00442E37"/>
    <w:rsid w:val="004444A9"/>
    <w:rsid w:val="00444A33"/>
    <w:rsid w:val="00444A48"/>
    <w:rsid w:val="0045047A"/>
    <w:rsid w:val="0045239F"/>
    <w:rsid w:val="0045302A"/>
    <w:rsid w:val="004536D2"/>
    <w:rsid w:val="004546D1"/>
    <w:rsid w:val="00454EE1"/>
    <w:rsid w:val="00455344"/>
    <w:rsid w:val="00455B42"/>
    <w:rsid w:val="00456E3E"/>
    <w:rsid w:val="004604FC"/>
    <w:rsid w:val="0046175C"/>
    <w:rsid w:val="00461795"/>
    <w:rsid w:val="0046207B"/>
    <w:rsid w:val="00462157"/>
    <w:rsid w:val="0046350D"/>
    <w:rsid w:val="00463C03"/>
    <w:rsid w:val="00463D97"/>
    <w:rsid w:val="00466652"/>
    <w:rsid w:val="00466886"/>
    <w:rsid w:val="00466D53"/>
    <w:rsid w:val="00467278"/>
    <w:rsid w:val="00467AFA"/>
    <w:rsid w:val="004702DE"/>
    <w:rsid w:val="004717FA"/>
    <w:rsid w:val="0047285E"/>
    <w:rsid w:val="0047348C"/>
    <w:rsid w:val="0047376F"/>
    <w:rsid w:val="004739C5"/>
    <w:rsid w:val="00476099"/>
    <w:rsid w:val="00476D5D"/>
    <w:rsid w:val="004819DA"/>
    <w:rsid w:val="00481C1F"/>
    <w:rsid w:val="00481CA6"/>
    <w:rsid w:val="004822FD"/>
    <w:rsid w:val="00484B45"/>
    <w:rsid w:val="00485B2E"/>
    <w:rsid w:val="00485BAE"/>
    <w:rsid w:val="004861E6"/>
    <w:rsid w:val="00486833"/>
    <w:rsid w:val="00487138"/>
    <w:rsid w:val="00487218"/>
    <w:rsid w:val="00487418"/>
    <w:rsid w:val="00487584"/>
    <w:rsid w:val="00487708"/>
    <w:rsid w:val="00487A00"/>
    <w:rsid w:val="00487CC4"/>
    <w:rsid w:val="00487E09"/>
    <w:rsid w:val="004937DF"/>
    <w:rsid w:val="00495CA5"/>
    <w:rsid w:val="00496D85"/>
    <w:rsid w:val="0049711F"/>
    <w:rsid w:val="00497138"/>
    <w:rsid w:val="004972F9"/>
    <w:rsid w:val="004A21A1"/>
    <w:rsid w:val="004A3159"/>
    <w:rsid w:val="004A404F"/>
    <w:rsid w:val="004A45EC"/>
    <w:rsid w:val="004A5B26"/>
    <w:rsid w:val="004A691D"/>
    <w:rsid w:val="004A6CE9"/>
    <w:rsid w:val="004A7790"/>
    <w:rsid w:val="004A7C81"/>
    <w:rsid w:val="004B011F"/>
    <w:rsid w:val="004B0CDA"/>
    <w:rsid w:val="004B2651"/>
    <w:rsid w:val="004B606E"/>
    <w:rsid w:val="004C05FC"/>
    <w:rsid w:val="004C1328"/>
    <w:rsid w:val="004C1FCB"/>
    <w:rsid w:val="004C2BCF"/>
    <w:rsid w:val="004C2DD6"/>
    <w:rsid w:val="004C3EC7"/>
    <w:rsid w:val="004C5589"/>
    <w:rsid w:val="004C58EC"/>
    <w:rsid w:val="004C5944"/>
    <w:rsid w:val="004C5C2D"/>
    <w:rsid w:val="004C63EB"/>
    <w:rsid w:val="004D0A36"/>
    <w:rsid w:val="004D1D57"/>
    <w:rsid w:val="004D1EF1"/>
    <w:rsid w:val="004D2073"/>
    <w:rsid w:val="004D2938"/>
    <w:rsid w:val="004D3D62"/>
    <w:rsid w:val="004D452F"/>
    <w:rsid w:val="004D5F44"/>
    <w:rsid w:val="004D6EDD"/>
    <w:rsid w:val="004D6EED"/>
    <w:rsid w:val="004D7B53"/>
    <w:rsid w:val="004D7BAE"/>
    <w:rsid w:val="004E2A8C"/>
    <w:rsid w:val="004E2AA2"/>
    <w:rsid w:val="004E2C3A"/>
    <w:rsid w:val="004E2EB4"/>
    <w:rsid w:val="004E2FAA"/>
    <w:rsid w:val="004E370D"/>
    <w:rsid w:val="004E57DE"/>
    <w:rsid w:val="004E5B11"/>
    <w:rsid w:val="004E6D52"/>
    <w:rsid w:val="004E6DC0"/>
    <w:rsid w:val="004E7086"/>
    <w:rsid w:val="004F1720"/>
    <w:rsid w:val="004F2706"/>
    <w:rsid w:val="004F2D06"/>
    <w:rsid w:val="004F46E4"/>
    <w:rsid w:val="004F4F92"/>
    <w:rsid w:val="004F5467"/>
    <w:rsid w:val="004F5C85"/>
    <w:rsid w:val="004F70E1"/>
    <w:rsid w:val="00500327"/>
    <w:rsid w:val="00500410"/>
    <w:rsid w:val="00500C3A"/>
    <w:rsid w:val="00501166"/>
    <w:rsid w:val="005024AE"/>
    <w:rsid w:val="00502C3F"/>
    <w:rsid w:val="005033BC"/>
    <w:rsid w:val="005038B3"/>
    <w:rsid w:val="00504EB9"/>
    <w:rsid w:val="00505D63"/>
    <w:rsid w:val="00506753"/>
    <w:rsid w:val="005075E2"/>
    <w:rsid w:val="0051127E"/>
    <w:rsid w:val="005112C7"/>
    <w:rsid w:val="005115F7"/>
    <w:rsid w:val="005117EA"/>
    <w:rsid w:val="00512B2A"/>
    <w:rsid w:val="00513036"/>
    <w:rsid w:val="0051330A"/>
    <w:rsid w:val="00513403"/>
    <w:rsid w:val="0051370E"/>
    <w:rsid w:val="0051476D"/>
    <w:rsid w:val="00514A62"/>
    <w:rsid w:val="00515B04"/>
    <w:rsid w:val="00515CFB"/>
    <w:rsid w:val="00516141"/>
    <w:rsid w:val="00516292"/>
    <w:rsid w:val="00516320"/>
    <w:rsid w:val="0051692C"/>
    <w:rsid w:val="005217D7"/>
    <w:rsid w:val="005224A6"/>
    <w:rsid w:val="005228D1"/>
    <w:rsid w:val="00525846"/>
    <w:rsid w:val="00525E4D"/>
    <w:rsid w:val="00525E6C"/>
    <w:rsid w:val="00526F5C"/>
    <w:rsid w:val="00526FED"/>
    <w:rsid w:val="00527DBC"/>
    <w:rsid w:val="00530C5A"/>
    <w:rsid w:val="00530C60"/>
    <w:rsid w:val="00530E13"/>
    <w:rsid w:val="00532F3F"/>
    <w:rsid w:val="00534398"/>
    <w:rsid w:val="00534EAB"/>
    <w:rsid w:val="00535E7A"/>
    <w:rsid w:val="005360CF"/>
    <w:rsid w:val="00536A93"/>
    <w:rsid w:val="00536DBB"/>
    <w:rsid w:val="00537485"/>
    <w:rsid w:val="0054008F"/>
    <w:rsid w:val="00541151"/>
    <w:rsid w:val="00541733"/>
    <w:rsid w:val="00543B65"/>
    <w:rsid w:val="00543EF8"/>
    <w:rsid w:val="00544669"/>
    <w:rsid w:val="00544D7F"/>
    <w:rsid w:val="00544E96"/>
    <w:rsid w:val="0054554A"/>
    <w:rsid w:val="0054644C"/>
    <w:rsid w:val="00546BF8"/>
    <w:rsid w:val="00546CF4"/>
    <w:rsid w:val="00546D87"/>
    <w:rsid w:val="005471A6"/>
    <w:rsid w:val="0054727A"/>
    <w:rsid w:val="00547401"/>
    <w:rsid w:val="00547A83"/>
    <w:rsid w:val="00550120"/>
    <w:rsid w:val="0055049C"/>
    <w:rsid w:val="00550801"/>
    <w:rsid w:val="00550A71"/>
    <w:rsid w:val="00551BD1"/>
    <w:rsid w:val="00552A34"/>
    <w:rsid w:val="00553718"/>
    <w:rsid w:val="00553F1E"/>
    <w:rsid w:val="00554BDA"/>
    <w:rsid w:val="00555086"/>
    <w:rsid w:val="00555133"/>
    <w:rsid w:val="00555C17"/>
    <w:rsid w:val="00556901"/>
    <w:rsid w:val="00556C74"/>
    <w:rsid w:val="00556D8B"/>
    <w:rsid w:val="00557F88"/>
    <w:rsid w:val="005608E9"/>
    <w:rsid w:val="00561374"/>
    <w:rsid w:val="00561DC1"/>
    <w:rsid w:val="0056204F"/>
    <w:rsid w:val="0056244A"/>
    <w:rsid w:val="00563AC6"/>
    <w:rsid w:val="00563BBF"/>
    <w:rsid w:val="0056558E"/>
    <w:rsid w:val="00565C5A"/>
    <w:rsid w:val="00565FD5"/>
    <w:rsid w:val="00566C5A"/>
    <w:rsid w:val="00566D78"/>
    <w:rsid w:val="00566E48"/>
    <w:rsid w:val="005700FD"/>
    <w:rsid w:val="00570A25"/>
    <w:rsid w:val="00571E07"/>
    <w:rsid w:val="0057286E"/>
    <w:rsid w:val="00573D73"/>
    <w:rsid w:val="00574099"/>
    <w:rsid w:val="00575DF3"/>
    <w:rsid w:val="005764C4"/>
    <w:rsid w:val="005764E6"/>
    <w:rsid w:val="00576745"/>
    <w:rsid w:val="00577264"/>
    <w:rsid w:val="00577B03"/>
    <w:rsid w:val="00580057"/>
    <w:rsid w:val="005804CA"/>
    <w:rsid w:val="005809EC"/>
    <w:rsid w:val="00580D03"/>
    <w:rsid w:val="00582793"/>
    <w:rsid w:val="00582EBA"/>
    <w:rsid w:val="00583BB3"/>
    <w:rsid w:val="005845BE"/>
    <w:rsid w:val="00584E89"/>
    <w:rsid w:val="005854CC"/>
    <w:rsid w:val="0058769A"/>
    <w:rsid w:val="00587963"/>
    <w:rsid w:val="00587A03"/>
    <w:rsid w:val="00587D69"/>
    <w:rsid w:val="005905BC"/>
    <w:rsid w:val="0059105C"/>
    <w:rsid w:val="005919A8"/>
    <w:rsid w:val="005938FF"/>
    <w:rsid w:val="0059413B"/>
    <w:rsid w:val="005949AE"/>
    <w:rsid w:val="00595648"/>
    <w:rsid w:val="00596368"/>
    <w:rsid w:val="005A09FB"/>
    <w:rsid w:val="005A1917"/>
    <w:rsid w:val="005A24C8"/>
    <w:rsid w:val="005A4E85"/>
    <w:rsid w:val="005A5A48"/>
    <w:rsid w:val="005A5EB6"/>
    <w:rsid w:val="005A7309"/>
    <w:rsid w:val="005B00AB"/>
    <w:rsid w:val="005B0ABF"/>
    <w:rsid w:val="005B0DDB"/>
    <w:rsid w:val="005B0E03"/>
    <w:rsid w:val="005B2CF1"/>
    <w:rsid w:val="005B3642"/>
    <w:rsid w:val="005B3BCC"/>
    <w:rsid w:val="005B3FEE"/>
    <w:rsid w:val="005B48E1"/>
    <w:rsid w:val="005B65AE"/>
    <w:rsid w:val="005B6850"/>
    <w:rsid w:val="005B752C"/>
    <w:rsid w:val="005B7FF7"/>
    <w:rsid w:val="005C0692"/>
    <w:rsid w:val="005C06BE"/>
    <w:rsid w:val="005C090A"/>
    <w:rsid w:val="005C0C27"/>
    <w:rsid w:val="005C0C30"/>
    <w:rsid w:val="005C16A4"/>
    <w:rsid w:val="005C1FA6"/>
    <w:rsid w:val="005C2CCD"/>
    <w:rsid w:val="005C33E0"/>
    <w:rsid w:val="005C3582"/>
    <w:rsid w:val="005C47FC"/>
    <w:rsid w:val="005C4831"/>
    <w:rsid w:val="005C5866"/>
    <w:rsid w:val="005C5B73"/>
    <w:rsid w:val="005C6516"/>
    <w:rsid w:val="005C6F11"/>
    <w:rsid w:val="005C7BEF"/>
    <w:rsid w:val="005C7D18"/>
    <w:rsid w:val="005D07AA"/>
    <w:rsid w:val="005D1A93"/>
    <w:rsid w:val="005D25CA"/>
    <w:rsid w:val="005D365E"/>
    <w:rsid w:val="005D46E0"/>
    <w:rsid w:val="005D47A1"/>
    <w:rsid w:val="005D4A3C"/>
    <w:rsid w:val="005D6172"/>
    <w:rsid w:val="005D6D86"/>
    <w:rsid w:val="005D7D6B"/>
    <w:rsid w:val="005E0951"/>
    <w:rsid w:val="005E11F6"/>
    <w:rsid w:val="005E13ED"/>
    <w:rsid w:val="005E3661"/>
    <w:rsid w:val="005E3F7E"/>
    <w:rsid w:val="005E48CB"/>
    <w:rsid w:val="005E4C59"/>
    <w:rsid w:val="005E6F57"/>
    <w:rsid w:val="005E790D"/>
    <w:rsid w:val="005F005E"/>
    <w:rsid w:val="005F04E4"/>
    <w:rsid w:val="005F095E"/>
    <w:rsid w:val="005F153F"/>
    <w:rsid w:val="005F1DAE"/>
    <w:rsid w:val="005F20AF"/>
    <w:rsid w:val="005F733D"/>
    <w:rsid w:val="005F744C"/>
    <w:rsid w:val="00600310"/>
    <w:rsid w:val="00600366"/>
    <w:rsid w:val="0060036D"/>
    <w:rsid w:val="00600473"/>
    <w:rsid w:val="00600CD8"/>
    <w:rsid w:val="00600F24"/>
    <w:rsid w:val="0060159F"/>
    <w:rsid w:val="00601CD6"/>
    <w:rsid w:val="00601CE4"/>
    <w:rsid w:val="006039EB"/>
    <w:rsid w:val="00604695"/>
    <w:rsid w:val="00604CDA"/>
    <w:rsid w:val="006071F1"/>
    <w:rsid w:val="0060735C"/>
    <w:rsid w:val="00607A8E"/>
    <w:rsid w:val="006132C2"/>
    <w:rsid w:val="0061510F"/>
    <w:rsid w:val="00615876"/>
    <w:rsid w:val="00615C66"/>
    <w:rsid w:val="0061746E"/>
    <w:rsid w:val="00617C38"/>
    <w:rsid w:val="00620734"/>
    <w:rsid w:val="0062136F"/>
    <w:rsid w:val="0062150B"/>
    <w:rsid w:val="006219BC"/>
    <w:rsid w:val="00621D59"/>
    <w:rsid w:val="00625571"/>
    <w:rsid w:val="0062641E"/>
    <w:rsid w:val="0063111D"/>
    <w:rsid w:val="0063356F"/>
    <w:rsid w:val="0063461E"/>
    <w:rsid w:val="00634DDE"/>
    <w:rsid w:val="00636B5B"/>
    <w:rsid w:val="00636BE0"/>
    <w:rsid w:val="00636E50"/>
    <w:rsid w:val="00637403"/>
    <w:rsid w:val="00637C4B"/>
    <w:rsid w:val="006405DD"/>
    <w:rsid w:val="006422A3"/>
    <w:rsid w:val="0064276C"/>
    <w:rsid w:val="00642E65"/>
    <w:rsid w:val="00643801"/>
    <w:rsid w:val="00645459"/>
    <w:rsid w:val="00645488"/>
    <w:rsid w:val="00645E15"/>
    <w:rsid w:val="0064604F"/>
    <w:rsid w:val="00646505"/>
    <w:rsid w:val="0064768D"/>
    <w:rsid w:val="006507AC"/>
    <w:rsid w:val="006513DD"/>
    <w:rsid w:val="00651E2D"/>
    <w:rsid w:val="00652049"/>
    <w:rsid w:val="0065265E"/>
    <w:rsid w:val="00653960"/>
    <w:rsid w:val="006540C1"/>
    <w:rsid w:val="00655BE4"/>
    <w:rsid w:val="00655EED"/>
    <w:rsid w:val="00656B6C"/>
    <w:rsid w:val="0065735D"/>
    <w:rsid w:val="006579D1"/>
    <w:rsid w:val="00657C23"/>
    <w:rsid w:val="006610D9"/>
    <w:rsid w:val="006628CE"/>
    <w:rsid w:val="00662C39"/>
    <w:rsid w:val="00662D55"/>
    <w:rsid w:val="0066374E"/>
    <w:rsid w:val="0066395D"/>
    <w:rsid w:val="006646C8"/>
    <w:rsid w:val="00664CF4"/>
    <w:rsid w:val="00665451"/>
    <w:rsid w:val="006665EB"/>
    <w:rsid w:val="0067024E"/>
    <w:rsid w:val="0067037D"/>
    <w:rsid w:val="0067100F"/>
    <w:rsid w:val="00672B3E"/>
    <w:rsid w:val="00673F7A"/>
    <w:rsid w:val="00674A08"/>
    <w:rsid w:val="00675169"/>
    <w:rsid w:val="00676C41"/>
    <w:rsid w:val="00676F4C"/>
    <w:rsid w:val="00677067"/>
    <w:rsid w:val="00677D0D"/>
    <w:rsid w:val="00680365"/>
    <w:rsid w:val="00681494"/>
    <w:rsid w:val="00681674"/>
    <w:rsid w:val="00681894"/>
    <w:rsid w:val="006868A3"/>
    <w:rsid w:val="00687713"/>
    <w:rsid w:val="00687A17"/>
    <w:rsid w:val="0069032F"/>
    <w:rsid w:val="00690B50"/>
    <w:rsid w:val="00692B70"/>
    <w:rsid w:val="006934DC"/>
    <w:rsid w:val="00694BE7"/>
    <w:rsid w:val="00695105"/>
    <w:rsid w:val="006969D0"/>
    <w:rsid w:val="00696D06"/>
    <w:rsid w:val="0069724A"/>
    <w:rsid w:val="00697359"/>
    <w:rsid w:val="00697978"/>
    <w:rsid w:val="00697FA2"/>
    <w:rsid w:val="006A0292"/>
    <w:rsid w:val="006A1E59"/>
    <w:rsid w:val="006A20CA"/>
    <w:rsid w:val="006A233F"/>
    <w:rsid w:val="006A235E"/>
    <w:rsid w:val="006A241A"/>
    <w:rsid w:val="006A26F1"/>
    <w:rsid w:val="006A3BFF"/>
    <w:rsid w:val="006A42CD"/>
    <w:rsid w:val="006A45B6"/>
    <w:rsid w:val="006A4D77"/>
    <w:rsid w:val="006A4FB3"/>
    <w:rsid w:val="006A540D"/>
    <w:rsid w:val="006A5EE7"/>
    <w:rsid w:val="006A5F6A"/>
    <w:rsid w:val="006A64D8"/>
    <w:rsid w:val="006A68B4"/>
    <w:rsid w:val="006A6F33"/>
    <w:rsid w:val="006A6F5F"/>
    <w:rsid w:val="006A7AEB"/>
    <w:rsid w:val="006B03E5"/>
    <w:rsid w:val="006B0738"/>
    <w:rsid w:val="006B07A6"/>
    <w:rsid w:val="006B0B3B"/>
    <w:rsid w:val="006B1C85"/>
    <w:rsid w:val="006B3C4A"/>
    <w:rsid w:val="006B3F76"/>
    <w:rsid w:val="006B51BB"/>
    <w:rsid w:val="006B551E"/>
    <w:rsid w:val="006B6713"/>
    <w:rsid w:val="006B6F39"/>
    <w:rsid w:val="006C058D"/>
    <w:rsid w:val="006C0E7F"/>
    <w:rsid w:val="006C2A9B"/>
    <w:rsid w:val="006C2D05"/>
    <w:rsid w:val="006C2EC7"/>
    <w:rsid w:val="006C388A"/>
    <w:rsid w:val="006C3A56"/>
    <w:rsid w:val="006C4096"/>
    <w:rsid w:val="006C4401"/>
    <w:rsid w:val="006C4602"/>
    <w:rsid w:val="006C562A"/>
    <w:rsid w:val="006C592C"/>
    <w:rsid w:val="006C6710"/>
    <w:rsid w:val="006C795E"/>
    <w:rsid w:val="006D086F"/>
    <w:rsid w:val="006D0BDF"/>
    <w:rsid w:val="006D17E8"/>
    <w:rsid w:val="006D1F37"/>
    <w:rsid w:val="006D2469"/>
    <w:rsid w:val="006D36A3"/>
    <w:rsid w:val="006D3A5B"/>
    <w:rsid w:val="006D3D7C"/>
    <w:rsid w:val="006D4142"/>
    <w:rsid w:val="006D4B12"/>
    <w:rsid w:val="006D58C7"/>
    <w:rsid w:val="006D5C7E"/>
    <w:rsid w:val="006D6BA9"/>
    <w:rsid w:val="006D7082"/>
    <w:rsid w:val="006D7B7C"/>
    <w:rsid w:val="006D7D6A"/>
    <w:rsid w:val="006E10F1"/>
    <w:rsid w:val="006E4057"/>
    <w:rsid w:val="006E46F2"/>
    <w:rsid w:val="006E4E12"/>
    <w:rsid w:val="006E5B97"/>
    <w:rsid w:val="006E60C4"/>
    <w:rsid w:val="006E6518"/>
    <w:rsid w:val="006E76A9"/>
    <w:rsid w:val="006E7BE3"/>
    <w:rsid w:val="006F0C02"/>
    <w:rsid w:val="006F120F"/>
    <w:rsid w:val="006F200F"/>
    <w:rsid w:val="006F2457"/>
    <w:rsid w:val="006F2691"/>
    <w:rsid w:val="006F2C72"/>
    <w:rsid w:val="006F3892"/>
    <w:rsid w:val="006F444D"/>
    <w:rsid w:val="006F5E50"/>
    <w:rsid w:val="00701103"/>
    <w:rsid w:val="00702E93"/>
    <w:rsid w:val="0070393F"/>
    <w:rsid w:val="00705146"/>
    <w:rsid w:val="00706A2C"/>
    <w:rsid w:val="0070781D"/>
    <w:rsid w:val="00707E7E"/>
    <w:rsid w:val="007100E3"/>
    <w:rsid w:val="00710BC0"/>
    <w:rsid w:val="007113D1"/>
    <w:rsid w:val="00711AF1"/>
    <w:rsid w:val="00711B22"/>
    <w:rsid w:val="00712953"/>
    <w:rsid w:val="00712B02"/>
    <w:rsid w:val="00714FA4"/>
    <w:rsid w:val="0071546B"/>
    <w:rsid w:val="0071660F"/>
    <w:rsid w:val="00716D3E"/>
    <w:rsid w:val="00717C12"/>
    <w:rsid w:val="00720AD9"/>
    <w:rsid w:val="0072165A"/>
    <w:rsid w:val="0072277C"/>
    <w:rsid w:val="007229E4"/>
    <w:rsid w:val="00724038"/>
    <w:rsid w:val="007253FC"/>
    <w:rsid w:val="007263F0"/>
    <w:rsid w:val="0072732E"/>
    <w:rsid w:val="00731421"/>
    <w:rsid w:val="0073279D"/>
    <w:rsid w:val="007328E5"/>
    <w:rsid w:val="0073376E"/>
    <w:rsid w:val="007338F3"/>
    <w:rsid w:val="00733FEB"/>
    <w:rsid w:val="00734152"/>
    <w:rsid w:val="00734EAC"/>
    <w:rsid w:val="007351DF"/>
    <w:rsid w:val="0073552D"/>
    <w:rsid w:val="007368FD"/>
    <w:rsid w:val="007376CD"/>
    <w:rsid w:val="0073778B"/>
    <w:rsid w:val="00737D33"/>
    <w:rsid w:val="0074088D"/>
    <w:rsid w:val="00741F07"/>
    <w:rsid w:val="00741FED"/>
    <w:rsid w:val="00743033"/>
    <w:rsid w:val="007447F4"/>
    <w:rsid w:val="0074508E"/>
    <w:rsid w:val="0074513D"/>
    <w:rsid w:val="0074539F"/>
    <w:rsid w:val="007472A3"/>
    <w:rsid w:val="007477C5"/>
    <w:rsid w:val="00750136"/>
    <w:rsid w:val="007516F4"/>
    <w:rsid w:val="00751A00"/>
    <w:rsid w:val="00751B8B"/>
    <w:rsid w:val="00752185"/>
    <w:rsid w:val="00752BAB"/>
    <w:rsid w:val="00753DC3"/>
    <w:rsid w:val="0075637D"/>
    <w:rsid w:val="007566B3"/>
    <w:rsid w:val="00756F69"/>
    <w:rsid w:val="0075765F"/>
    <w:rsid w:val="007604B1"/>
    <w:rsid w:val="00760BE9"/>
    <w:rsid w:val="00761077"/>
    <w:rsid w:val="007619CB"/>
    <w:rsid w:val="00762360"/>
    <w:rsid w:val="00762756"/>
    <w:rsid w:val="00762B3E"/>
    <w:rsid w:val="00762DBD"/>
    <w:rsid w:val="007630EB"/>
    <w:rsid w:val="00763D4A"/>
    <w:rsid w:val="00764C55"/>
    <w:rsid w:val="00764E29"/>
    <w:rsid w:val="00767386"/>
    <w:rsid w:val="00767949"/>
    <w:rsid w:val="00770D0B"/>
    <w:rsid w:val="00771429"/>
    <w:rsid w:val="007718D2"/>
    <w:rsid w:val="007722FF"/>
    <w:rsid w:val="00773C94"/>
    <w:rsid w:val="00775288"/>
    <w:rsid w:val="007756A1"/>
    <w:rsid w:val="00776080"/>
    <w:rsid w:val="0077753A"/>
    <w:rsid w:val="00777B23"/>
    <w:rsid w:val="00777C4B"/>
    <w:rsid w:val="007812BC"/>
    <w:rsid w:val="0078155F"/>
    <w:rsid w:val="00782BBB"/>
    <w:rsid w:val="00783314"/>
    <w:rsid w:val="00783556"/>
    <w:rsid w:val="00786609"/>
    <w:rsid w:val="00786FAB"/>
    <w:rsid w:val="00787675"/>
    <w:rsid w:val="00787E0A"/>
    <w:rsid w:val="007907E9"/>
    <w:rsid w:val="00790B68"/>
    <w:rsid w:val="00790E5B"/>
    <w:rsid w:val="007923A6"/>
    <w:rsid w:val="00792B54"/>
    <w:rsid w:val="0079384E"/>
    <w:rsid w:val="00793B13"/>
    <w:rsid w:val="00794006"/>
    <w:rsid w:val="00794E97"/>
    <w:rsid w:val="00795629"/>
    <w:rsid w:val="007956D5"/>
    <w:rsid w:val="00795A24"/>
    <w:rsid w:val="0079644E"/>
    <w:rsid w:val="007966DB"/>
    <w:rsid w:val="0079753B"/>
    <w:rsid w:val="00797617"/>
    <w:rsid w:val="00797EEA"/>
    <w:rsid w:val="007A01CE"/>
    <w:rsid w:val="007A17BC"/>
    <w:rsid w:val="007A2C20"/>
    <w:rsid w:val="007A37A0"/>
    <w:rsid w:val="007A386C"/>
    <w:rsid w:val="007A4448"/>
    <w:rsid w:val="007A51A5"/>
    <w:rsid w:val="007A6117"/>
    <w:rsid w:val="007A67A4"/>
    <w:rsid w:val="007A7B7C"/>
    <w:rsid w:val="007A7D64"/>
    <w:rsid w:val="007B009A"/>
    <w:rsid w:val="007B0620"/>
    <w:rsid w:val="007B1D46"/>
    <w:rsid w:val="007B2EA9"/>
    <w:rsid w:val="007B34A1"/>
    <w:rsid w:val="007B3BFA"/>
    <w:rsid w:val="007B4795"/>
    <w:rsid w:val="007B5578"/>
    <w:rsid w:val="007B567A"/>
    <w:rsid w:val="007B61D6"/>
    <w:rsid w:val="007B6BE2"/>
    <w:rsid w:val="007B77A9"/>
    <w:rsid w:val="007B7D16"/>
    <w:rsid w:val="007C015B"/>
    <w:rsid w:val="007C0308"/>
    <w:rsid w:val="007C06BF"/>
    <w:rsid w:val="007C0F91"/>
    <w:rsid w:val="007C103D"/>
    <w:rsid w:val="007C3814"/>
    <w:rsid w:val="007C385C"/>
    <w:rsid w:val="007C3A28"/>
    <w:rsid w:val="007C3BBE"/>
    <w:rsid w:val="007C3C8D"/>
    <w:rsid w:val="007C40A4"/>
    <w:rsid w:val="007C4AD2"/>
    <w:rsid w:val="007C5164"/>
    <w:rsid w:val="007C5AD6"/>
    <w:rsid w:val="007C5DFF"/>
    <w:rsid w:val="007C6FCC"/>
    <w:rsid w:val="007C72D8"/>
    <w:rsid w:val="007C7331"/>
    <w:rsid w:val="007D04DF"/>
    <w:rsid w:val="007D21B3"/>
    <w:rsid w:val="007D24BE"/>
    <w:rsid w:val="007D2911"/>
    <w:rsid w:val="007D2B98"/>
    <w:rsid w:val="007D3242"/>
    <w:rsid w:val="007D3718"/>
    <w:rsid w:val="007D3BC5"/>
    <w:rsid w:val="007D4966"/>
    <w:rsid w:val="007D4C23"/>
    <w:rsid w:val="007D4ECD"/>
    <w:rsid w:val="007D6AC6"/>
    <w:rsid w:val="007D6B90"/>
    <w:rsid w:val="007D79AA"/>
    <w:rsid w:val="007E0F2B"/>
    <w:rsid w:val="007E14A7"/>
    <w:rsid w:val="007E187D"/>
    <w:rsid w:val="007E2246"/>
    <w:rsid w:val="007E2937"/>
    <w:rsid w:val="007E2CC1"/>
    <w:rsid w:val="007E324F"/>
    <w:rsid w:val="007E3855"/>
    <w:rsid w:val="007E41BB"/>
    <w:rsid w:val="007E4E33"/>
    <w:rsid w:val="007E57EC"/>
    <w:rsid w:val="007E7561"/>
    <w:rsid w:val="007E75D5"/>
    <w:rsid w:val="007E7D57"/>
    <w:rsid w:val="007E7E27"/>
    <w:rsid w:val="007E7E9D"/>
    <w:rsid w:val="007F0606"/>
    <w:rsid w:val="007F0E50"/>
    <w:rsid w:val="007F147C"/>
    <w:rsid w:val="007F1C45"/>
    <w:rsid w:val="007F2A26"/>
    <w:rsid w:val="007F2C82"/>
    <w:rsid w:val="007F2DF2"/>
    <w:rsid w:val="007F2FC8"/>
    <w:rsid w:val="007F4013"/>
    <w:rsid w:val="007F620B"/>
    <w:rsid w:val="007F622A"/>
    <w:rsid w:val="007F6688"/>
    <w:rsid w:val="007F6FEF"/>
    <w:rsid w:val="007F73B2"/>
    <w:rsid w:val="00800791"/>
    <w:rsid w:val="00800935"/>
    <w:rsid w:val="00801F0C"/>
    <w:rsid w:val="008025B2"/>
    <w:rsid w:val="00802CBA"/>
    <w:rsid w:val="00803A08"/>
    <w:rsid w:val="00803A84"/>
    <w:rsid w:val="008042B0"/>
    <w:rsid w:val="00804D24"/>
    <w:rsid w:val="00804F0B"/>
    <w:rsid w:val="00805AE3"/>
    <w:rsid w:val="008071F5"/>
    <w:rsid w:val="008078AC"/>
    <w:rsid w:val="00810256"/>
    <w:rsid w:val="0081078E"/>
    <w:rsid w:val="008134A6"/>
    <w:rsid w:val="0081511F"/>
    <w:rsid w:val="00815798"/>
    <w:rsid w:val="00815BED"/>
    <w:rsid w:val="00815F32"/>
    <w:rsid w:val="00816D19"/>
    <w:rsid w:val="00817897"/>
    <w:rsid w:val="00817A08"/>
    <w:rsid w:val="00822577"/>
    <w:rsid w:val="0082278F"/>
    <w:rsid w:val="00822C2D"/>
    <w:rsid w:val="00823B59"/>
    <w:rsid w:val="00826432"/>
    <w:rsid w:val="00826D04"/>
    <w:rsid w:val="00826EB0"/>
    <w:rsid w:val="008272F8"/>
    <w:rsid w:val="00827FAE"/>
    <w:rsid w:val="00830676"/>
    <w:rsid w:val="008306A3"/>
    <w:rsid w:val="008328E9"/>
    <w:rsid w:val="00832B5F"/>
    <w:rsid w:val="008348DF"/>
    <w:rsid w:val="0083645C"/>
    <w:rsid w:val="008366C8"/>
    <w:rsid w:val="00837473"/>
    <w:rsid w:val="008377FF"/>
    <w:rsid w:val="00837A9E"/>
    <w:rsid w:val="00837AC5"/>
    <w:rsid w:val="00837DAD"/>
    <w:rsid w:val="00840DB0"/>
    <w:rsid w:val="008413BC"/>
    <w:rsid w:val="00841C52"/>
    <w:rsid w:val="00843116"/>
    <w:rsid w:val="00843FD4"/>
    <w:rsid w:val="00844422"/>
    <w:rsid w:val="0084504D"/>
    <w:rsid w:val="008460F2"/>
    <w:rsid w:val="00847840"/>
    <w:rsid w:val="008478C3"/>
    <w:rsid w:val="00847B5F"/>
    <w:rsid w:val="008505A1"/>
    <w:rsid w:val="00850696"/>
    <w:rsid w:val="00852621"/>
    <w:rsid w:val="00852ACD"/>
    <w:rsid w:val="008530C2"/>
    <w:rsid w:val="008543F7"/>
    <w:rsid w:val="00855E4F"/>
    <w:rsid w:val="008562BB"/>
    <w:rsid w:val="008564A6"/>
    <w:rsid w:val="008565CD"/>
    <w:rsid w:val="008573E7"/>
    <w:rsid w:val="00860B8B"/>
    <w:rsid w:val="00860CC7"/>
    <w:rsid w:val="008611DA"/>
    <w:rsid w:val="0086135E"/>
    <w:rsid w:val="00861406"/>
    <w:rsid w:val="00862F6C"/>
    <w:rsid w:val="008641B0"/>
    <w:rsid w:val="00865228"/>
    <w:rsid w:val="008656F9"/>
    <w:rsid w:val="00866BE7"/>
    <w:rsid w:val="0086774D"/>
    <w:rsid w:val="00867EB9"/>
    <w:rsid w:val="0087026B"/>
    <w:rsid w:val="00870411"/>
    <w:rsid w:val="0087148A"/>
    <w:rsid w:val="00873C76"/>
    <w:rsid w:val="00874551"/>
    <w:rsid w:val="00874E07"/>
    <w:rsid w:val="00875673"/>
    <w:rsid w:val="00875AEC"/>
    <w:rsid w:val="00875FB3"/>
    <w:rsid w:val="00876310"/>
    <w:rsid w:val="00876479"/>
    <w:rsid w:val="00877346"/>
    <w:rsid w:val="00880033"/>
    <w:rsid w:val="008801FF"/>
    <w:rsid w:val="00880B65"/>
    <w:rsid w:val="00880E93"/>
    <w:rsid w:val="008824ED"/>
    <w:rsid w:val="008829A6"/>
    <w:rsid w:val="008829BF"/>
    <w:rsid w:val="00883AE8"/>
    <w:rsid w:val="0088418C"/>
    <w:rsid w:val="0088447B"/>
    <w:rsid w:val="00884E42"/>
    <w:rsid w:val="00884F28"/>
    <w:rsid w:val="008873A7"/>
    <w:rsid w:val="00887866"/>
    <w:rsid w:val="00887FD7"/>
    <w:rsid w:val="00891595"/>
    <w:rsid w:val="008918E4"/>
    <w:rsid w:val="00892DA6"/>
    <w:rsid w:val="0089312E"/>
    <w:rsid w:val="008931AD"/>
    <w:rsid w:val="008935D0"/>
    <w:rsid w:val="00893B28"/>
    <w:rsid w:val="00893DEC"/>
    <w:rsid w:val="00893E01"/>
    <w:rsid w:val="008946B8"/>
    <w:rsid w:val="00894C1E"/>
    <w:rsid w:val="00894DD1"/>
    <w:rsid w:val="00895C7D"/>
    <w:rsid w:val="00895DA0"/>
    <w:rsid w:val="00896902"/>
    <w:rsid w:val="008A07E9"/>
    <w:rsid w:val="008A093F"/>
    <w:rsid w:val="008A1053"/>
    <w:rsid w:val="008A1CF3"/>
    <w:rsid w:val="008A3D99"/>
    <w:rsid w:val="008A4CC8"/>
    <w:rsid w:val="008A6488"/>
    <w:rsid w:val="008A6E43"/>
    <w:rsid w:val="008B065A"/>
    <w:rsid w:val="008B0895"/>
    <w:rsid w:val="008B08D2"/>
    <w:rsid w:val="008B08FA"/>
    <w:rsid w:val="008B09B7"/>
    <w:rsid w:val="008B0A7C"/>
    <w:rsid w:val="008B0C71"/>
    <w:rsid w:val="008B1658"/>
    <w:rsid w:val="008B24C8"/>
    <w:rsid w:val="008B2C7A"/>
    <w:rsid w:val="008B374C"/>
    <w:rsid w:val="008B3A27"/>
    <w:rsid w:val="008B4254"/>
    <w:rsid w:val="008B69E5"/>
    <w:rsid w:val="008B737C"/>
    <w:rsid w:val="008C0F98"/>
    <w:rsid w:val="008C2073"/>
    <w:rsid w:val="008C30C9"/>
    <w:rsid w:val="008C379F"/>
    <w:rsid w:val="008C5E2F"/>
    <w:rsid w:val="008C6821"/>
    <w:rsid w:val="008C6AEA"/>
    <w:rsid w:val="008D067B"/>
    <w:rsid w:val="008D0BD1"/>
    <w:rsid w:val="008D11B2"/>
    <w:rsid w:val="008D24B6"/>
    <w:rsid w:val="008D2868"/>
    <w:rsid w:val="008D301D"/>
    <w:rsid w:val="008D3211"/>
    <w:rsid w:val="008D391E"/>
    <w:rsid w:val="008D3C6C"/>
    <w:rsid w:val="008D47ED"/>
    <w:rsid w:val="008D4D1F"/>
    <w:rsid w:val="008D5670"/>
    <w:rsid w:val="008D698B"/>
    <w:rsid w:val="008E0356"/>
    <w:rsid w:val="008E0BD9"/>
    <w:rsid w:val="008E0C78"/>
    <w:rsid w:val="008E11A3"/>
    <w:rsid w:val="008E1C32"/>
    <w:rsid w:val="008E23DF"/>
    <w:rsid w:val="008E2A35"/>
    <w:rsid w:val="008E3333"/>
    <w:rsid w:val="008E3A31"/>
    <w:rsid w:val="008E4457"/>
    <w:rsid w:val="008E46BA"/>
    <w:rsid w:val="008E4CE9"/>
    <w:rsid w:val="008E5BC5"/>
    <w:rsid w:val="008E658C"/>
    <w:rsid w:val="008E7D4B"/>
    <w:rsid w:val="008F041D"/>
    <w:rsid w:val="008F09A6"/>
    <w:rsid w:val="008F32E4"/>
    <w:rsid w:val="008F390E"/>
    <w:rsid w:val="008F4918"/>
    <w:rsid w:val="008F54A7"/>
    <w:rsid w:val="008F60D8"/>
    <w:rsid w:val="008F6A4E"/>
    <w:rsid w:val="008F6D85"/>
    <w:rsid w:val="008F734B"/>
    <w:rsid w:val="008F7E53"/>
    <w:rsid w:val="00900496"/>
    <w:rsid w:val="009004DC"/>
    <w:rsid w:val="00900550"/>
    <w:rsid w:val="009016B8"/>
    <w:rsid w:val="00901FE5"/>
    <w:rsid w:val="00902B7B"/>
    <w:rsid w:val="00902CF7"/>
    <w:rsid w:val="009041FC"/>
    <w:rsid w:val="00905110"/>
    <w:rsid w:val="00906207"/>
    <w:rsid w:val="00907995"/>
    <w:rsid w:val="009102E2"/>
    <w:rsid w:val="0091103E"/>
    <w:rsid w:val="009112BF"/>
    <w:rsid w:val="00911B52"/>
    <w:rsid w:val="00911DEC"/>
    <w:rsid w:val="009127C9"/>
    <w:rsid w:val="00912C6E"/>
    <w:rsid w:val="00912CEC"/>
    <w:rsid w:val="009132D4"/>
    <w:rsid w:val="00913F66"/>
    <w:rsid w:val="009142F0"/>
    <w:rsid w:val="00915480"/>
    <w:rsid w:val="00916237"/>
    <w:rsid w:val="00916409"/>
    <w:rsid w:val="0091671D"/>
    <w:rsid w:val="009170E8"/>
    <w:rsid w:val="009175E8"/>
    <w:rsid w:val="009176B0"/>
    <w:rsid w:val="00917C66"/>
    <w:rsid w:val="009217CF"/>
    <w:rsid w:val="00922FE0"/>
    <w:rsid w:val="00925EDF"/>
    <w:rsid w:val="0092646C"/>
    <w:rsid w:val="009272A8"/>
    <w:rsid w:val="00930214"/>
    <w:rsid w:val="00930520"/>
    <w:rsid w:val="009307B9"/>
    <w:rsid w:val="009308A7"/>
    <w:rsid w:val="00932391"/>
    <w:rsid w:val="009332B9"/>
    <w:rsid w:val="00933B40"/>
    <w:rsid w:val="00936995"/>
    <w:rsid w:val="00936A8C"/>
    <w:rsid w:val="009373CE"/>
    <w:rsid w:val="00937686"/>
    <w:rsid w:val="00940169"/>
    <w:rsid w:val="00940186"/>
    <w:rsid w:val="00940DB4"/>
    <w:rsid w:val="009413C4"/>
    <w:rsid w:val="00941510"/>
    <w:rsid w:val="00941E0C"/>
    <w:rsid w:val="00943C97"/>
    <w:rsid w:val="00943CA3"/>
    <w:rsid w:val="00944A66"/>
    <w:rsid w:val="0094511F"/>
    <w:rsid w:val="009505B0"/>
    <w:rsid w:val="00951148"/>
    <w:rsid w:val="00951CE9"/>
    <w:rsid w:val="00952C08"/>
    <w:rsid w:val="00953094"/>
    <w:rsid w:val="00953103"/>
    <w:rsid w:val="009537B1"/>
    <w:rsid w:val="00954456"/>
    <w:rsid w:val="00955FD7"/>
    <w:rsid w:val="009563F1"/>
    <w:rsid w:val="009625B4"/>
    <w:rsid w:val="009627D2"/>
    <w:rsid w:val="009628A6"/>
    <w:rsid w:val="009629B1"/>
    <w:rsid w:val="00964AC7"/>
    <w:rsid w:val="00964B75"/>
    <w:rsid w:val="00966D5F"/>
    <w:rsid w:val="00967EAC"/>
    <w:rsid w:val="0097042C"/>
    <w:rsid w:val="00970A2D"/>
    <w:rsid w:val="00970FC9"/>
    <w:rsid w:val="009720CA"/>
    <w:rsid w:val="009728E9"/>
    <w:rsid w:val="00973F47"/>
    <w:rsid w:val="009744AF"/>
    <w:rsid w:val="00974940"/>
    <w:rsid w:val="00974B0C"/>
    <w:rsid w:val="00974BDB"/>
    <w:rsid w:val="00976C8D"/>
    <w:rsid w:val="00980825"/>
    <w:rsid w:val="00980953"/>
    <w:rsid w:val="00981275"/>
    <w:rsid w:val="00981DA5"/>
    <w:rsid w:val="00982CCA"/>
    <w:rsid w:val="00983494"/>
    <w:rsid w:val="00983783"/>
    <w:rsid w:val="00983B51"/>
    <w:rsid w:val="00983B56"/>
    <w:rsid w:val="00984C4F"/>
    <w:rsid w:val="0098543D"/>
    <w:rsid w:val="009865CB"/>
    <w:rsid w:val="00987278"/>
    <w:rsid w:val="00987FC9"/>
    <w:rsid w:val="00990A26"/>
    <w:rsid w:val="00991208"/>
    <w:rsid w:val="00991A8E"/>
    <w:rsid w:val="00991CA7"/>
    <w:rsid w:val="00992209"/>
    <w:rsid w:val="009923AF"/>
    <w:rsid w:val="00993CDE"/>
    <w:rsid w:val="00994E1E"/>
    <w:rsid w:val="009958CC"/>
    <w:rsid w:val="00996243"/>
    <w:rsid w:val="009962F8"/>
    <w:rsid w:val="00996529"/>
    <w:rsid w:val="00997BF0"/>
    <w:rsid w:val="009A0259"/>
    <w:rsid w:val="009A0859"/>
    <w:rsid w:val="009A3001"/>
    <w:rsid w:val="009A3541"/>
    <w:rsid w:val="009A475B"/>
    <w:rsid w:val="009A6FD1"/>
    <w:rsid w:val="009B00A3"/>
    <w:rsid w:val="009B0234"/>
    <w:rsid w:val="009B3085"/>
    <w:rsid w:val="009B3EA7"/>
    <w:rsid w:val="009B52E4"/>
    <w:rsid w:val="009B549D"/>
    <w:rsid w:val="009B54C1"/>
    <w:rsid w:val="009B55CA"/>
    <w:rsid w:val="009B5C22"/>
    <w:rsid w:val="009B658B"/>
    <w:rsid w:val="009C0115"/>
    <w:rsid w:val="009C1544"/>
    <w:rsid w:val="009C4645"/>
    <w:rsid w:val="009C5EB3"/>
    <w:rsid w:val="009C6F53"/>
    <w:rsid w:val="009C7056"/>
    <w:rsid w:val="009C71CA"/>
    <w:rsid w:val="009C7C0E"/>
    <w:rsid w:val="009D1EB8"/>
    <w:rsid w:val="009D2680"/>
    <w:rsid w:val="009D3F7D"/>
    <w:rsid w:val="009D44A1"/>
    <w:rsid w:val="009D4E5C"/>
    <w:rsid w:val="009D5790"/>
    <w:rsid w:val="009D5B06"/>
    <w:rsid w:val="009D5D31"/>
    <w:rsid w:val="009D5E1F"/>
    <w:rsid w:val="009D65DF"/>
    <w:rsid w:val="009D663D"/>
    <w:rsid w:val="009D6E37"/>
    <w:rsid w:val="009D744D"/>
    <w:rsid w:val="009D7BD1"/>
    <w:rsid w:val="009E0838"/>
    <w:rsid w:val="009E11A5"/>
    <w:rsid w:val="009E1E37"/>
    <w:rsid w:val="009E1F1F"/>
    <w:rsid w:val="009E262D"/>
    <w:rsid w:val="009E2811"/>
    <w:rsid w:val="009E3003"/>
    <w:rsid w:val="009E327A"/>
    <w:rsid w:val="009E399B"/>
    <w:rsid w:val="009E40AC"/>
    <w:rsid w:val="009E4981"/>
    <w:rsid w:val="009E4F53"/>
    <w:rsid w:val="009E51E6"/>
    <w:rsid w:val="009E5637"/>
    <w:rsid w:val="009E57E6"/>
    <w:rsid w:val="009E58A2"/>
    <w:rsid w:val="009E5B29"/>
    <w:rsid w:val="009E79D4"/>
    <w:rsid w:val="009F0644"/>
    <w:rsid w:val="009F10C2"/>
    <w:rsid w:val="009F2909"/>
    <w:rsid w:val="009F2F7C"/>
    <w:rsid w:val="009F3430"/>
    <w:rsid w:val="009F4193"/>
    <w:rsid w:val="009F4F56"/>
    <w:rsid w:val="009F4FC3"/>
    <w:rsid w:val="009F6099"/>
    <w:rsid w:val="009F6C43"/>
    <w:rsid w:val="009F6D2A"/>
    <w:rsid w:val="00A01089"/>
    <w:rsid w:val="00A03085"/>
    <w:rsid w:val="00A03825"/>
    <w:rsid w:val="00A03C1C"/>
    <w:rsid w:val="00A03F1A"/>
    <w:rsid w:val="00A07882"/>
    <w:rsid w:val="00A07AC4"/>
    <w:rsid w:val="00A07AEE"/>
    <w:rsid w:val="00A10344"/>
    <w:rsid w:val="00A10DB3"/>
    <w:rsid w:val="00A11F38"/>
    <w:rsid w:val="00A12948"/>
    <w:rsid w:val="00A12995"/>
    <w:rsid w:val="00A12F9A"/>
    <w:rsid w:val="00A13BC1"/>
    <w:rsid w:val="00A149DC"/>
    <w:rsid w:val="00A14C0D"/>
    <w:rsid w:val="00A14F9F"/>
    <w:rsid w:val="00A15063"/>
    <w:rsid w:val="00A150D1"/>
    <w:rsid w:val="00A16373"/>
    <w:rsid w:val="00A16D1A"/>
    <w:rsid w:val="00A17276"/>
    <w:rsid w:val="00A173B2"/>
    <w:rsid w:val="00A1780A"/>
    <w:rsid w:val="00A17FF9"/>
    <w:rsid w:val="00A20169"/>
    <w:rsid w:val="00A20CFB"/>
    <w:rsid w:val="00A22477"/>
    <w:rsid w:val="00A2435A"/>
    <w:rsid w:val="00A24621"/>
    <w:rsid w:val="00A250B9"/>
    <w:rsid w:val="00A2659B"/>
    <w:rsid w:val="00A26D86"/>
    <w:rsid w:val="00A27E57"/>
    <w:rsid w:val="00A323F5"/>
    <w:rsid w:val="00A33D9A"/>
    <w:rsid w:val="00A343D9"/>
    <w:rsid w:val="00A3482C"/>
    <w:rsid w:val="00A35315"/>
    <w:rsid w:val="00A3683E"/>
    <w:rsid w:val="00A3685C"/>
    <w:rsid w:val="00A3736C"/>
    <w:rsid w:val="00A3745F"/>
    <w:rsid w:val="00A4204D"/>
    <w:rsid w:val="00A436B5"/>
    <w:rsid w:val="00A437E5"/>
    <w:rsid w:val="00A43B35"/>
    <w:rsid w:val="00A44310"/>
    <w:rsid w:val="00A4655A"/>
    <w:rsid w:val="00A4727D"/>
    <w:rsid w:val="00A47EFE"/>
    <w:rsid w:val="00A507F9"/>
    <w:rsid w:val="00A50DA8"/>
    <w:rsid w:val="00A527C0"/>
    <w:rsid w:val="00A52B0F"/>
    <w:rsid w:val="00A53F01"/>
    <w:rsid w:val="00A53F3C"/>
    <w:rsid w:val="00A54964"/>
    <w:rsid w:val="00A55E81"/>
    <w:rsid w:val="00A561D3"/>
    <w:rsid w:val="00A6089F"/>
    <w:rsid w:val="00A61B07"/>
    <w:rsid w:val="00A622E7"/>
    <w:rsid w:val="00A62EE1"/>
    <w:rsid w:val="00A63145"/>
    <w:rsid w:val="00A637C5"/>
    <w:rsid w:val="00A63EEE"/>
    <w:rsid w:val="00A648B2"/>
    <w:rsid w:val="00A64925"/>
    <w:rsid w:val="00A654B5"/>
    <w:rsid w:val="00A66D52"/>
    <w:rsid w:val="00A67152"/>
    <w:rsid w:val="00A7049D"/>
    <w:rsid w:val="00A704A0"/>
    <w:rsid w:val="00A74074"/>
    <w:rsid w:val="00A75377"/>
    <w:rsid w:val="00A75E44"/>
    <w:rsid w:val="00A773D9"/>
    <w:rsid w:val="00A77433"/>
    <w:rsid w:val="00A77EBF"/>
    <w:rsid w:val="00A802C1"/>
    <w:rsid w:val="00A80DB1"/>
    <w:rsid w:val="00A829A9"/>
    <w:rsid w:val="00A829C5"/>
    <w:rsid w:val="00A83932"/>
    <w:rsid w:val="00A839E7"/>
    <w:rsid w:val="00A83BD0"/>
    <w:rsid w:val="00A84299"/>
    <w:rsid w:val="00A846F6"/>
    <w:rsid w:val="00A867ED"/>
    <w:rsid w:val="00A86E86"/>
    <w:rsid w:val="00A86FB1"/>
    <w:rsid w:val="00A87888"/>
    <w:rsid w:val="00A90226"/>
    <w:rsid w:val="00A9072A"/>
    <w:rsid w:val="00A914C6"/>
    <w:rsid w:val="00A91C30"/>
    <w:rsid w:val="00A923FE"/>
    <w:rsid w:val="00A9332F"/>
    <w:rsid w:val="00A97F8C"/>
    <w:rsid w:val="00AA0F84"/>
    <w:rsid w:val="00AA14EE"/>
    <w:rsid w:val="00AA1E9E"/>
    <w:rsid w:val="00AA22EB"/>
    <w:rsid w:val="00AA4699"/>
    <w:rsid w:val="00AA4891"/>
    <w:rsid w:val="00AA4B40"/>
    <w:rsid w:val="00AA4B78"/>
    <w:rsid w:val="00AA51CB"/>
    <w:rsid w:val="00AA551C"/>
    <w:rsid w:val="00AA55B8"/>
    <w:rsid w:val="00AA59C0"/>
    <w:rsid w:val="00AA5B07"/>
    <w:rsid w:val="00AB0505"/>
    <w:rsid w:val="00AB05AA"/>
    <w:rsid w:val="00AB1D3C"/>
    <w:rsid w:val="00AB23EB"/>
    <w:rsid w:val="00AB4CC2"/>
    <w:rsid w:val="00AB5509"/>
    <w:rsid w:val="00AB5993"/>
    <w:rsid w:val="00AB6D09"/>
    <w:rsid w:val="00AB6D8A"/>
    <w:rsid w:val="00AB7022"/>
    <w:rsid w:val="00AC0CBD"/>
    <w:rsid w:val="00AC0EA2"/>
    <w:rsid w:val="00AC169F"/>
    <w:rsid w:val="00AC1AFC"/>
    <w:rsid w:val="00AC2ADC"/>
    <w:rsid w:val="00AC4365"/>
    <w:rsid w:val="00AC4A0E"/>
    <w:rsid w:val="00AC5884"/>
    <w:rsid w:val="00AC72B4"/>
    <w:rsid w:val="00AC7728"/>
    <w:rsid w:val="00AD2F39"/>
    <w:rsid w:val="00AD38E4"/>
    <w:rsid w:val="00AD5E1D"/>
    <w:rsid w:val="00AD612F"/>
    <w:rsid w:val="00AD743B"/>
    <w:rsid w:val="00AE009C"/>
    <w:rsid w:val="00AE04A5"/>
    <w:rsid w:val="00AE2D84"/>
    <w:rsid w:val="00AE400C"/>
    <w:rsid w:val="00AE4BB9"/>
    <w:rsid w:val="00AE4D09"/>
    <w:rsid w:val="00AE4E5E"/>
    <w:rsid w:val="00AE54B4"/>
    <w:rsid w:val="00AE5552"/>
    <w:rsid w:val="00AE63AF"/>
    <w:rsid w:val="00AE6668"/>
    <w:rsid w:val="00AE6754"/>
    <w:rsid w:val="00AE6E7B"/>
    <w:rsid w:val="00AF0313"/>
    <w:rsid w:val="00AF1B76"/>
    <w:rsid w:val="00AF4511"/>
    <w:rsid w:val="00AF4ED8"/>
    <w:rsid w:val="00AF5AAD"/>
    <w:rsid w:val="00AF5D0F"/>
    <w:rsid w:val="00AF5D37"/>
    <w:rsid w:val="00AF604F"/>
    <w:rsid w:val="00AF6411"/>
    <w:rsid w:val="00AF698E"/>
    <w:rsid w:val="00AF69AC"/>
    <w:rsid w:val="00AF7139"/>
    <w:rsid w:val="00AF76CD"/>
    <w:rsid w:val="00B00602"/>
    <w:rsid w:val="00B00CEC"/>
    <w:rsid w:val="00B01252"/>
    <w:rsid w:val="00B016AE"/>
    <w:rsid w:val="00B01BB1"/>
    <w:rsid w:val="00B02D86"/>
    <w:rsid w:val="00B0343C"/>
    <w:rsid w:val="00B03A5E"/>
    <w:rsid w:val="00B03AB4"/>
    <w:rsid w:val="00B03C2A"/>
    <w:rsid w:val="00B03CC7"/>
    <w:rsid w:val="00B03D64"/>
    <w:rsid w:val="00B046BF"/>
    <w:rsid w:val="00B05E2D"/>
    <w:rsid w:val="00B06CB9"/>
    <w:rsid w:val="00B06F1E"/>
    <w:rsid w:val="00B101CA"/>
    <w:rsid w:val="00B107AC"/>
    <w:rsid w:val="00B10C0D"/>
    <w:rsid w:val="00B10CDD"/>
    <w:rsid w:val="00B11E27"/>
    <w:rsid w:val="00B14A51"/>
    <w:rsid w:val="00B14B4B"/>
    <w:rsid w:val="00B154ED"/>
    <w:rsid w:val="00B15A86"/>
    <w:rsid w:val="00B1788F"/>
    <w:rsid w:val="00B205C8"/>
    <w:rsid w:val="00B20EAE"/>
    <w:rsid w:val="00B212CB"/>
    <w:rsid w:val="00B21E6B"/>
    <w:rsid w:val="00B22316"/>
    <w:rsid w:val="00B22666"/>
    <w:rsid w:val="00B22E35"/>
    <w:rsid w:val="00B22E8C"/>
    <w:rsid w:val="00B24510"/>
    <w:rsid w:val="00B2466F"/>
    <w:rsid w:val="00B24986"/>
    <w:rsid w:val="00B249C3"/>
    <w:rsid w:val="00B2525F"/>
    <w:rsid w:val="00B252F1"/>
    <w:rsid w:val="00B25C11"/>
    <w:rsid w:val="00B263D5"/>
    <w:rsid w:val="00B267F0"/>
    <w:rsid w:val="00B300F8"/>
    <w:rsid w:val="00B3011D"/>
    <w:rsid w:val="00B31990"/>
    <w:rsid w:val="00B31E9F"/>
    <w:rsid w:val="00B31FB3"/>
    <w:rsid w:val="00B31FD5"/>
    <w:rsid w:val="00B323A7"/>
    <w:rsid w:val="00B32AE9"/>
    <w:rsid w:val="00B32F60"/>
    <w:rsid w:val="00B33972"/>
    <w:rsid w:val="00B344AA"/>
    <w:rsid w:val="00B360EA"/>
    <w:rsid w:val="00B3689B"/>
    <w:rsid w:val="00B37CEA"/>
    <w:rsid w:val="00B41F67"/>
    <w:rsid w:val="00B41FB5"/>
    <w:rsid w:val="00B4277B"/>
    <w:rsid w:val="00B42D4E"/>
    <w:rsid w:val="00B42EFF"/>
    <w:rsid w:val="00B450D8"/>
    <w:rsid w:val="00B45F48"/>
    <w:rsid w:val="00B4623E"/>
    <w:rsid w:val="00B471E1"/>
    <w:rsid w:val="00B47F51"/>
    <w:rsid w:val="00B50A96"/>
    <w:rsid w:val="00B52595"/>
    <w:rsid w:val="00B52F77"/>
    <w:rsid w:val="00B55612"/>
    <w:rsid w:val="00B55CE5"/>
    <w:rsid w:val="00B560A3"/>
    <w:rsid w:val="00B5614E"/>
    <w:rsid w:val="00B56F6E"/>
    <w:rsid w:val="00B608B2"/>
    <w:rsid w:val="00B60BBC"/>
    <w:rsid w:val="00B6152C"/>
    <w:rsid w:val="00B62718"/>
    <w:rsid w:val="00B63177"/>
    <w:rsid w:val="00B6330C"/>
    <w:rsid w:val="00B64420"/>
    <w:rsid w:val="00B64422"/>
    <w:rsid w:val="00B65413"/>
    <w:rsid w:val="00B6577D"/>
    <w:rsid w:val="00B65A6C"/>
    <w:rsid w:val="00B66804"/>
    <w:rsid w:val="00B66F36"/>
    <w:rsid w:val="00B66F66"/>
    <w:rsid w:val="00B67CB5"/>
    <w:rsid w:val="00B70D28"/>
    <w:rsid w:val="00B715BF"/>
    <w:rsid w:val="00B71A40"/>
    <w:rsid w:val="00B71FB8"/>
    <w:rsid w:val="00B72EC5"/>
    <w:rsid w:val="00B735C7"/>
    <w:rsid w:val="00B7392B"/>
    <w:rsid w:val="00B76C57"/>
    <w:rsid w:val="00B801CD"/>
    <w:rsid w:val="00B808B5"/>
    <w:rsid w:val="00B80E4C"/>
    <w:rsid w:val="00B8225C"/>
    <w:rsid w:val="00B840FB"/>
    <w:rsid w:val="00B8468B"/>
    <w:rsid w:val="00B85230"/>
    <w:rsid w:val="00B871F1"/>
    <w:rsid w:val="00B90B61"/>
    <w:rsid w:val="00B90D04"/>
    <w:rsid w:val="00B91876"/>
    <w:rsid w:val="00B91D03"/>
    <w:rsid w:val="00B9222A"/>
    <w:rsid w:val="00B924AB"/>
    <w:rsid w:val="00B9336B"/>
    <w:rsid w:val="00B948E0"/>
    <w:rsid w:val="00B95098"/>
    <w:rsid w:val="00B953D6"/>
    <w:rsid w:val="00B95C57"/>
    <w:rsid w:val="00B97260"/>
    <w:rsid w:val="00BA051C"/>
    <w:rsid w:val="00BA1467"/>
    <w:rsid w:val="00BA158E"/>
    <w:rsid w:val="00BA2C37"/>
    <w:rsid w:val="00BA3F6C"/>
    <w:rsid w:val="00BA417E"/>
    <w:rsid w:val="00BA535C"/>
    <w:rsid w:val="00BA5D45"/>
    <w:rsid w:val="00BA5E49"/>
    <w:rsid w:val="00BA6D60"/>
    <w:rsid w:val="00BA756F"/>
    <w:rsid w:val="00BA782D"/>
    <w:rsid w:val="00BB0CED"/>
    <w:rsid w:val="00BB20EC"/>
    <w:rsid w:val="00BB21D8"/>
    <w:rsid w:val="00BB4D78"/>
    <w:rsid w:val="00BB55B8"/>
    <w:rsid w:val="00BB6A05"/>
    <w:rsid w:val="00BB739C"/>
    <w:rsid w:val="00BC0893"/>
    <w:rsid w:val="00BC151E"/>
    <w:rsid w:val="00BC1568"/>
    <w:rsid w:val="00BC2F90"/>
    <w:rsid w:val="00BC33AC"/>
    <w:rsid w:val="00BC403B"/>
    <w:rsid w:val="00BC509C"/>
    <w:rsid w:val="00BC5BF0"/>
    <w:rsid w:val="00BC5D65"/>
    <w:rsid w:val="00BC5D84"/>
    <w:rsid w:val="00BC6110"/>
    <w:rsid w:val="00BC6281"/>
    <w:rsid w:val="00BC67C4"/>
    <w:rsid w:val="00BC6D10"/>
    <w:rsid w:val="00BC6FDB"/>
    <w:rsid w:val="00BC715B"/>
    <w:rsid w:val="00BC74B0"/>
    <w:rsid w:val="00BC763A"/>
    <w:rsid w:val="00BD0F59"/>
    <w:rsid w:val="00BD130F"/>
    <w:rsid w:val="00BD2FFA"/>
    <w:rsid w:val="00BD348D"/>
    <w:rsid w:val="00BD36C5"/>
    <w:rsid w:val="00BD4949"/>
    <w:rsid w:val="00BD6452"/>
    <w:rsid w:val="00BD6CF3"/>
    <w:rsid w:val="00BD6F2B"/>
    <w:rsid w:val="00BD76D7"/>
    <w:rsid w:val="00BD7BE3"/>
    <w:rsid w:val="00BE0085"/>
    <w:rsid w:val="00BE0FA8"/>
    <w:rsid w:val="00BE122B"/>
    <w:rsid w:val="00BE1704"/>
    <w:rsid w:val="00BE2656"/>
    <w:rsid w:val="00BE2BB2"/>
    <w:rsid w:val="00BE4041"/>
    <w:rsid w:val="00BE5202"/>
    <w:rsid w:val="00BE53EB"/>
    <w:rsid w:val="00BF0AA9"/>
    <w:rsid w:val="00BF0CF5"/>
    <w:rsid w:val="00BF22E9"/>
    <w:rsid w:val="00BF4D4E"/>
    <w:rsid w:val="00BF4E36"/>
    <w:rsid w:val="00BF57C8"/>
    <w:rsid w:val="00BF7DCF"/>
    <w:rsid w:val="00C003A1"/>
    <w:rsid w:val="00C00FF3"/>
    <w:rsid w:val="00C01275"/>
    <w:rsid w:val="00C02231"/>
    <w:rsid w:val="00C023F1"/>
    <w:rsid w:val="00C02639"/>
    <w:rsid w:val="00C04B45"/>
    <w:rsid w:val="00C05647"/>
    <w:rsid w:val="00C05B29"/>
    <w:rsid w:val="00C06C3C"/>
    <w:rsid w:val="00C06C4F"/>
    <w:rsid w:val="00C077DA"/>
    <w:rsid w:val="00C07A99"/>
    <w:rsid w:val="00C1187B"/>
    <w:rsid w:val="00C125F4"/>
    <w:rsid w:val="00C12EC3"/>
    <w:rsid w:val="00C140E7"/>
    <w:rsid w:val="00C14939"/>
    <w:rsid w:val="00C14A81"/>
    <w:rsid w:val="00C14D5A"/>
    <w:rsid w:val="00C16867"/>
    <w:rsid w:val="00C16DA8"/>
    <w:rsid w:val="00C1720C"/>
    <w:rsid w:val="00C172BD"/>
    <w:rsid w:val="00C20897"/>
    <w:rsid w:val="00C20982"/>
    <w:rsid w:val="00C2148F"/>
    <w:rsid w:val="00C225A1"/>
    <w:rsid w:val="00C22D88"/>
    <w:rsid w:val="00C23C45"/>
    <w:rsid w:val="00C2597A"/>
    <w:rsid w:val="00C26425"/>
    <w:rsid w:val="00C27844"/>
    <w:rsid w:val="00C27CD7"/>
    <w:rsid w:val="00C300BD"/>
    <w:rsid w:val="00C305C3"/>
    <w:rsid w:val="00C3087D"/>
    <w:rsid w:val="00C30889"/>
    <w:rsid w:val="00C324AD"/>
    <w:rsid w:val="00C32C19"/>
    <w:rsid w:val="00C3476A"/>
    <w:rsid w:val="00C349B7"/>
    <w:rsid w:val="00C349BE"/>
    <w:rsid w:val="00C37819"/>
    <w:rsid w:val="00C401CB"/>
    <w:rsid w:val="00C402BB"/>
    <w:rsid w:val="00C40D32"/>
    <w:rsid w:val="00C419FE"/>
    <w:rsid w:val="00C4276D"/>
    <w:rsid w:val="00C447AA"/>
    <w:rsid w:val="00C44B53"/>
    <w:rsid w:val="00C47A41"/>
    <w:rsid w:val="00C47CED"/>
    <w:rsid w:val="00C50151"/>
    <w:rsid w:val="00C50206"/>
    <w:rsid w:val="00C50623"/>
    <w:rsid w:val="00C50635"/>
    <w:rsid w:val="00C50E7A"/>
    <w:rsid w:val="00C52BCB"/>
    <w:rsid w:val="00C53A73"/>
    <w:rsid w:val="00C54D34"/>
    <w:rsid w:val="00C550C9"/>
    <w:rsid w:val="00C56091"/>
    <w:rsid w:val="00C60578"/>
    <w:rsid w:val="00C6084D"/>
    <w:rsid w:val="00C60C2C"/>
    <w:rsid w:val="00C60E57"/>
    <w:rsid w:val="00C62CD8"/>
    <w:rsid w:val="00C64132"/>
    <w:rsid w:val="00C64FFD"/>
    <w:rsid w:val="00C6554E"/>
    <w:rsid w:val="00C6625F"/>
    <w:rsid w:val="00C66D88"/>
    <w:rsid w:val="00C675FF"/>
    <w:rsid w:val="00C70F21"/>
    <w:rsid w:val="00C70F95"/>
    <w:rsid w:val="00C711B6"/>
    <w:rsid w:val="00C71827"/>
    <w:rsid w:val="00C71D8A"/>
    <w:rsid w:val="00C71F53"/>
    <w:rsid w:val="00C72457"/>
    <w:rsid w:val="00C72A15"/>
    <w:rsid w:val="00C72D1E"/>
    <w:rsid w:val="00C72FCF"/>
    <w:rsid w:val="00C74F4E"/>
    <w:rsid w:val="00C7555A"/>
    <w:rsid w:val="00C75B7F"/>
    <w:rsid w:val="00C764B6"/>
    <w:rsid w:val="00C76A20"/>
    <w:rsid w:val="00C76B6C"/>
    <w:rsid w:val="00C76DCF"/>
    <w:rsid w:val="00C771A5"/>
    <w:rsid w:val="00C77814"/>
    <w:rsid w:val="00C77913"/>
    <w:rsid w:val="00C81705"/>
    <w:rsid w:val="00C8227A"/>
    <w:rsid w:val="00C82F85"/>
    <w:rsid w:val="00C846B8"/>
    <w:rsid w:val="00C84957"/>
    <w:rsid w:val="00C84D47"/>
    <w:rsid w:val="00C84F6D"/>
    <w:rsid w:val="00C85257"/>
    <w:rsid w:val="00C85370"/>
    <w:rsid w:val="00C854F4"/>
    <w:rsid w:val="00C861F7"/>
    <w:rsid w:val="00C862B8"/>
    <w:rsid w:val="00C86FA4"/>
    <w:rsid w:val="00C8786A"/>
    <w:rsid w:val="00C87F7A"/>
    <w:rsid w:val="00C91516"/>
    <w:rsid w:val="00C918EA"/>
    <w:rsid w:val="00C92AA9"/>
    <w:rsid w:val="00C92CD5"/>
    <w:rsid w:val="00C93351"/>
    <w:rsid w:val="00C941FD"/>
    <w:rsid w:val="00C9472F"/>
    <w:rsid w:val="00C94C31"/>
    <w:rsid w:val="00C95685"/>
    <w:rsid w:val="00C96A54"/>
    <w:rsid w:val="00C96FDF"/>
    <w:rsid w:val="00CA05A5"/>
    <w:rsid w:val="00CA16EB"/>
    <w:rsid w:val="00CA3F6F"/>
    <w:rsid w:val="00CA4119"/>
    <w:rsid w:val="00CA4263"/>
    <w:rsid w:val="00CA5DC5"/>
    <w:rsid w:val="00CA5E5F"/>
    <w:rsid w:val="00CA77B3"/>
    <w:rsid w:val="00CA7D9B"/>
    <w:rsid w:val="00CB009B"/>
    <w:rsid w:val="00CB0C07"/>
    <w:rsid w:val="00CB1EB4"/>
    <w:rsid w:val="00CB2963"/>
    <w:rsid w:val="00CB656B"/>
    <w:rsid w:val="00CB6916"/>
    <w:rsid w:val="00CB6E00"/>
    <w:rsid w:val="00CB71CA"/>
    <w:rsid w:val="00CB78EB"/>
    <w:rsid w:val="00CC0452"/>
    <w:rsid w:val="00CC120E"/>
    <w:rsid w:val="00CC1E8D"/>
    <w:rsid w:val="00CC2364"/>
    <w:rsid w:val="00CC3D5C"/>
    <w:rsid w:val="00CC3E42"/>
    <w:rsid w:val="00CC468C"/>
    <w:rsid w:val="00CC46B0"/>
    <w:rsid w:val="00CC5CF8"/>
    <w:rsid w:val="00CC7E2C"/>
    <w:rsid w:val="00CD0001"/>
    <w:rsid w:val="00CD091E"/>
    <w:rsid w:val="00CD0B15"/>
    <w:rsid w:val="00CD198C"/>
    <w:rsid w:val="00CD3511"/>
    <w:rsid w:val="00CD36DD"/>
    <w:rsid w:val="00CD384A"/>
    <w:rsid w:val="00CD416C"/>
    <w:rsid w:val="00CD468D"/>
    <w:rsid w:val="00CD5538"/>
    <w:rsid w:val="00CD6362"/>
    <w:rsid w:val="00CD6BBC"/>
    <w:rsid w:val="00CD6E21"/>
    <w:rsid w:val="00CD75E1"/>
    <w:rsid w:val="00CD7D24"/>
    <w:rsid w:val="00CD7F1A"/>
    <w:rsid w:val="00CE0801"/>
    <w:rsid w:val="00CE13FB"/>
    <w:rsid w:val="00CE2F2C"/>
    <w:rsid w:val="00CE30FC"/>
    <w:rsid w:val="00CE4EAF"/>
    <w:rsid w:val="00CE64DC"/>
    <w:rsid w:val="00CE6FD0"/>
    <w:rsid w:val="00CE75DE"/>
    <w:rsid w:val="00CE7AD7"/>
    <w:rsid w:val="00CF070E"/>
    <w:rsid w:val="00CF1228"/>
    <w:rsid w:val="00CF1248"/>
    <w:rsid w:val="00CF37DD"/>
    <w:rsid w:val="00CF58CC"/>
    <w:rsid w:val="00CF6354"/>
    <w:rsid w:val="00CF6E54"/>
    <w:rsid w:val="00CF7D5B"/>
    <w:rsid w:val="00D00903"/>
    <w:rsid w:val="00D015D1"/>
    <w:rsid w:val="00D01897"/>
    <w:rsid w:val="00D01A49"/>
    <w:rsid w:val="00D037D4"/>
    <w:rsid w:val="00D03AC4"/>
    <w:rsid w:val="00D04A65"/>
    <w:rsid w:val="00D04D84"/>
    <w:rsid w:val="00D0516E"/>
    <w:rsid w:val="00D05468"/>
    <w:rsid w:val="00D060E6"/>
    <w:rsid w:val="00D06419"/>
    <w:rsid w:val="00D06654"/>
    <w:rsid w:val="00D070C2"/>
    <w:rsid w:val="00D073C7"/>
    <w:rsid w:val="00D106E2"/>
    <w:rsid w:val="00D10FCD"/>
    <w:rsid w:val="00D111DE"/>
    <w:rsid w:val="00D11699"/>
    <w:rsid w:val="00D125DF"/>
    <w:rsid w:val="00D12EDD"/>
    <w:rsid w:val="00D134F5"/>
    <w:rsid w:val="00D13952"/>
    <w:rsid w:val="00D13A63"/>
    <w:rsid w:val="00D15113"/>
    <w:rsid w:val="00D16D7B"/>
    <w:rsid w:val="00D16D96"/>
    <w:rsid w:val="00D1781A"/>
    <w:rsid w:val="00D17A65"/>
    <w:rsid w:val="00D22D05"/>
    <w:rsid w:val="00D2326C"/>
    <w:rsid w:val="00D23B8B"/>
    <w:rsid w:val="00D23FED"/>
    <w:rsid w:val="00D24ED6"/>
    <w:rsid w:val="00D2513B"/>
    <w:rsid w:val="00D2522F"/>
    <w:rsid w:val="00D25592"/>
    <w:rsid w:val="00D2712C"/>
    <w:rsid w:val="00D3060E"/>
    <w:rsid w:val="00D313C8"/>
    <w:rsid w:val="00D31E6A"/>
    <w:rsid w:val="00D31F87"/>
    <w:rsid w:val="00D3213E"/>
    <w:rsid w:val="00D33516"/>
    <w:rsid w:val="00D3435C"/>
    <w:rsid w:val="00D348EA"/>
    <w:rsid w:val="00D373C4"/>
    <w:rsid w:val="00D403FA"/>
    <w:rsid w:val="00D40CB3"/>
    <w:rsid w:val="00D445FF"/>
    <w:rsid w:val="00D44865"/>
    <w:rsid w:val="00D453C7"/>
    <w:rsid w:val="00D46A6A"/>
    <w:rsid w:val="00D4787D"/>
    <w:rsid w:val="00D50504"/>
    <w:rsid w:val="00D50B38"/>
    <w:rsid w:val="00D516EB"/>
    <w:rsid w:val="00D51A8C"/>
    <w:rsid w:val="00D52257"/>
    <w:rsid w:val="00D53D5A"/>
    <w:rsid w:val="00D53D9C"/>
    <w:rsid w:val="00D53FCB"/>
    <w:rsid w:val="00D54459"/>
    <w:rsid w:val="00D545B5"/>
    <w:rsid w:val="00D55923"/>
    <w:rsid w:val="00D56730"/>
    <w:rsid w:val="00D56755"/>
    <w:rsid w:val="00D60077"/>
    <w:rsid w:val="00D60595"/>
    <w:rsid w:val="00D60607"/>
    <w:rsid w:val="00D60FD9"/>
    <w:rsid w:val="00D6142D"/>
    <w:rsid w:val="00D61B2A"/>
    <w:rsid w:val="00D63506"/>
    <w:rsid w:val="00D639E2"/>
    <w:rsid w:val="00D63DB2"/>
    <w:rsid w:val="00D64812"/>
    <w:rsid w:val="00D66223"/>
    <w:rsid w:val="00D702B4"/>
    <w:rsid w:val="00D706AB"/>
    <w:rsid w:val="00D72D7C"/>
    <w:rsid w:val="00D739D3"/>
    <w:rsid w:val="00D7537D"/>
    <w:rsid w:val="00D75382"/>
    <w:rsid w:val="00D75685"/>
    <w:rsid w:val="00D75726"/>
    <w:rsid w:val="00D762DA"/>
    <w:rsid w:val="00D76714"/>
    <w:rsid w:val="00D77149"/>
    <w:rsid w:val="00D77B9F"/>
    <w:rsid w:val="00D808F1"/>
    <w:rsid w:val="00D82590"/>
    <w:rsid w:val="00D83C33"/>
    <w:rsid w:val="00D83C6E"/>
    <w:rsid w:val="00D84390"/>
    <w:rsid w:val="00D8455F"/>
    <w:rsid w:val="00D8497A"/>
    <w:rsid w:val="00D85B34"/>
    <w:rsid w:val="00D864CC"/>
    <w:rsid w:val="00D8713A"/>
    <w:rsid w:val="00D87860"/>
    <w:rsid w:val="00D87A8D"/>
    <w:rsid w:val="00D90D14"/>
    <w:rsid w:val="00D91892"/>
    <w:rsid w:val="00D9199A"/>
    <w:rsid w:val="00D92567"/>
    <w:rsid w:val="00D946BB"/>
    <w:rsid w:val="00D94ABE"/>
    <w:rsid w:val="00D9614B"/>
    <w:rsid w:val="00D966B4"/>
    <w:rsid w:val="00D9682D"/>
    <w:rsid w:val="00D97088"/>
    <w:rsid w:val="00D97FB7"/>
    <w:rsid w:val="00DA01A3"/>
    <w:rsid w:val="00DA0B53"/>
    <w:rsid w:val="00DA1545"/>
    <w:rsid w:val="00DA2BCA"/>
    <w:rsid w:val="00DA3133"/>
    <w:rsid w:val="00DA3245"/>
    <w:rsid w:val="00DA416E"/>
    <w:rsid w:val="00DA4675"/>
    <w:rsid w:val="00DA520D"/>
    <w:rsid w:val="00DA5299"/>
    <w:rsid w:val="00DA5429"/>
    <w:rsid w:val="00DA5670"/>
    <w:rsid w:val="00DA66E7"/>
    <w:rsid w:val="00DB14B8"/>
    <w:rsid w:val="00DB151C"/>
    <w:rsid w:val="00DB1A67"/>
    <w:rsid w:val="00DB20E0"/>
    <w:rsid w:val="00DB225B"/>
    <w:rsid w:val="00DB2832"/>
    <w:rsid w:val="00DB512A"/>
    <w:rsid w:val="00DB54BB"/>
    <w:rsid w:val="00DB6400"/>
    <w:rsid w:val="00DB65DF"/>
    <w:rsid w:val="00DB6B25"/>
    <w:rsid w:val="00DC0F6B"/>
    <w:rsid w:val="00DC185D"/>
    <w:rsid w:val="00DC1A64"/>
    <w:rsid w:val="00DC1B0F"/>
    <w:rsid w:val="00DC1E19"/>
    <w:rsid w:val="00DC317C"/>
    <w:rsid w:val="00DC4986"/>
    <w:rsid w:val="00DC4E09"/>
    <w:rsid w:val="00DC5170"/>
    <w:rsid w:val="00DC6241"/>
    <w:rsid w:val="00DC73E5"/>
    <w:rsid w:val="00DC7B6D"/>
    <w:rsid w:val="00DD0290"/>
    <w:rsid w:val="00DD2B31"/>
    <w:rsid w:val="00DD382F"/>
    <w:rsid w:val="00DD3E31"/>
    <w:rsid w:val="00DD41B2"/>
    <w:rsid w:val="00DD5A61"/>
    <w:rsid w:val="00DD6486"/>
    <w:rsid w:val="00DD6595"/>
    <w:rsid w:val="00DD7064"/>
    <w:rsid w:val="00DD7C1B"/>
    <w:rsid w:val="00DE26A1"/>
    <w:rsid w:val="00DE2C71"/>
    <w:rsid w:val="00DE3013"/>
    <w:rsid w:val="00DE3979"/>
    <w:rsid w:val="00DE4EED"/>
    <w:rsid w:val="00DE5AE3"/>
    <w:rsid w:val="00DE5E10"/>
    <w:rsid w:val="00DF051E"/>
    <w:rsid w:val="00DF1130"/>
    <w:rsid w:val="00DF1F1A"/>
    <w:rsid w:val="00DF2CB8"/>
    <w:rsid w:val="00DF2DE9"/>
    <w:rsid w:val="00DF33CA"/>
    <w:rsid w:val="00DF458E"/>
    <w:rsid w:val="00DF530C"/>
    <w:rsid w:val="00DF536B"/>
    <w:rsid w:val="00DF63ED"/>
    <w:rsid w:val="00DF6400"/>
    <w:rsid w:val="00DF77F0"/>
    <w:rsid w:val="00DF781A"/>
    <w:rsid w:val="00E01CE9"/>
    <w:rsid w:val="00E02A05"/>
    <w:rsid w:val="00E02D5B"/>
    <w:rsid w:val="00E050E7"/>
    <w:rsid w:val="00E057BB"/>
    <w:rsid w:val="00E0668D"/>
    <w:rsid w:val="00E06A80"/>
    <w:rsid w:val="00E06AC4"/>
    <w:rsid w:val="00E06E10"/>
    <w:rsid w:val="00E077D0"/>
    <w:rsid w:val="00E078C0"/>
    <w:rsid w:val="00E10294"/>
    <w:rsid w:val="00E10876"/>
    <w:rsid w:val="00E1220E"/>
    <w:rsid w:val="00E1329D"/>
    <w:rsid w:val="00E1344D"/>
    <w:rsid w:val="00E135C8"/>
    <w:rsid w:val="00E1564F"/>
    <w:rsid w:val="00E15854"/>
    <w:rsid w:val="00E15D1F"/>
    <w:rsid w:val="00E16530"/>
    <w:rsid w:val="00E166B6"/>
    <w:rsid w:val="00E16B31"/>
    <w:rsid w:val="00E16EDB"/>
    <w:rsid w:val="00E1729F"/>
    <w:rsid w:val="00E17476"/>
    <w:rsid w:val="00E20F11"/>
    <w:rsid w:val="00E236A2"/>
    <w:rsid w:val="00E23BC3"/>
    <w:rsid w:val="00E2405C"/>
    <w:rsid w:val="00E2429D"/>
    <w:rsid w:val="00E24DDF"/>
    <w:rsid w:val="00E256B8"/>
    <w:rsid w:val="00E25A80"/>
    <w:rsid w:val="00E25D88"/>
    <w:rsid w:val="00E25FBE"/>
    <w:rsid w:val="00E27521"/>
    <w:rsid w:val="00E27571"/>
    <w:rsid w:val="00E2764C"/>
    <w:rsid w:val="00E3000F"/>
    <w:rsid w:val="00E31A70"/>
    <w:rsid w:val="00E31AA0"/>
    <w:rsid w:val="00E31CBD"/>
    <w:rsid w:val="00E31DE5"/>
    <w:rsid w:val="00E3216B"/>
    <w:rsid w:val="00E32C3E"/>
    <w:rsid w:val="00E3387D"/>
    <w:rsid w:val="00E3632E"/>
    <w:rsid w:val="00E36745"/>
    <w:rsid w:val="00E3782F"/>
    <w:rsid w:val="00E40B60"/>
    <w:rsid w:val="00E4194B"/>
    <w:rsid w:val="00E428A9"/>
    <w:rsid w:val="00E4293C"/>
    <w:rsid w:val="00E43A57"/>
    <w:rsid w:val="00E43FAF"/>
    <w:rsid w:val="00E456E7"/>
    <w:rsid w:val="00E4764E"/>
    <w:rsid w:val="00E476B7"/>
    <w:rsid w:val="00E52982"/>
    <w:rsid w:val="00E52A69"/>
    <w:rsid w:val="00E53706"/>
    <w:rsid w:val="00E5432D"/>
    <w:rsid w:val="00E547EF"/>
    <w:rsid w:val="00E552B1"/>
    <w:rsid w:val="00E552BA"/>
    <w:rsid w:val="00E5541E"/>
    <w:rsid w:val="00E5575B"/>
    <w:rsid w:val="00E55CEF"/>
    <w:rsid w:val="00E55F34"/>
    <w:rsid w:val="00E571FD"/>
    <w:rsid w:val="00E57FEC"/>
    <w:rsid w:val="00E60C72"/>
    <w:rsid w:val="00E60F92"/>
    <w:rsid w:val="00E61123"/>
    <w:rsid w:val="00E62B25"/>
    <w:rsid w:val="00E631F7"/>
    <w:rsid w:val="00E638BD"/>
    <w:rsid w:val="00E6629E"/>
    <w:rsid w:val="00E66F7D"/>
    <w:rsid w:val="00E6759D"/>
    <w:rsid w:val="00E67F81"/>
    <w:rsid w:val="00E722B2"/>
    <w:rsid w:val="00E7393F"/>
    <w:rsid w:val="00E73D7A"/>
    <w:rsid w:val="00E74670"/>
    <w:rsid w:val="00E75C3B"/>
    <w:rsid w:val="00E8077D"/>
    <w:rsid w:val="00E80DC1"/>
    <w:rsid w:val="00E81909"/>
    <w:rsid w:val="00E81AAE"/>
    <w:rsid w:val="00E83839"/>
    <w:rsid w:val="00E83BB3"/>
    <w:rsid w:val="00E8483C"/>
    <w:rsid w:val="00E853D1"/>
    <w:rsid w:val="00E85483"/>
    <w:rsid w:val="00E8575B"/>
    <w:rsid w:val="00E85C9B"/>
    <w:rsid w:val="00E869EE"/>
    <w:rsid w:val="00E86E21"/>
    <w:rsid w:val="00E87F70"/>
    <w:rsid w:val="00E902BD"/>
    <w:rsid w:val="00E9046E"/>
    <w:rsid w:val="00E90C9D"/>
    <w:rsid w:val="00E90CF5"/>
    <w:rsid w:val="00E91324"/>
    <w:rsid w:val="00E927BD"/>
    <w:rsid w:val="00E929FB"/>
    <w:rsid w:val="00E93295"/>
    <w:rsid w:val="00E93404"/>
    <w:rsid w:val="00E93480"/>
    <w:rsid w:val="00E93C39"/>
    <w:rsid w:val="00E945BA"/>
    <w:rsid w:val="00E94714"/>
    <w:rsid w:val="00E95BBA"/>
    <w:rsid w:val="00E95D55"/>
    <w:rsid w:val="00E95D70"/>
    <w:rsid w:val="00E969F6"/>
    <w:rsid w:val="00E96AE0"/>
    <w:rsid w:val="00E9746A"/>
    <w:rsid w:val="00EA14E1"/>
    <w:rsid w:val="00EA2061"/>
    <w:rsid w:val="00EA38F1"/>
    <w:rsid w:val="00EA395F"/>
    <w:rsid w:val="00EA4A62"/>
    <w:rsid w:val="00EA4B5C"/>
    <w:rsid w:val="00EA5981"/>
    <w:rsid w:val="00EA5F56"/>
    <w:rsid w:val="00EA69F6"/>
    <w:rsid w:val="00EA6CA5"/>
    <w:rsid w:val="00EA7A9B"/>
    <w:rsid w:val="00EA7F1F"/>
    <w:rsid w:val="00EB0197"/>
    <w:rsid w:val="00EB065A"/>
    <w:rsid w:val="00EB0F5F"/>
    <w:rsid w:val="00EB105A"/>
    <w:rsid w:val="00EB20F1"/>
    <w:rsid w:val="00EB2D31"/>
    <w:rsid w:val="00EB30D1"/>
    <w:rsid w:val="00EB327F"/>
    <w:rsid w:val="00EB3828"/>
    <w:rsid w:val="00EB3F1F"/>
    <w:rsid w:val="00EB48B1"/>
    <w:rsid w:val="00EB63FE"/>
    <w:rsid w:val="00EB773B"/>
    <w:rsid w:val="00EB7F85"/>
    <w:rsid w:val="00EC06EB"/>
    <w:rsid w:val="00EC12DB"/>
    <w:rsid w:val="00EC2BF0"/>
    <w:rsid w:val="00EC2EA7"/>
    <w:rsid w:val="00EC3212"/>
    <w:rsid w:val="00EC3DAA"/>
    <w:rsid w:val="00EC46CF"/>
    <w:rsid w:val="00EC6CA9"/>
    <w:rsid w:val="00EC6DEB"/>
    <w:rsid w:val="00EC6FC6"/>
    <w:rsid w:val="00ED0B6D"/>
    <w:rsid w:val="00ED0E20"/>
    <w:rsid w:val="00ED0E23"/>
    <w:rsid w:val="00ED193F"/>
    <w:rsid w:val="00ED1B40"/>
    <w:rsid w:val="00ED22CC"/>
    <w:rsid w:val="00ED24DB"/>
    <w:rsid w:val="00ED29F4"/>
    <w:rsid w:val="00ED2A34"/>
    <w:rsid w:val="00ED2CB1"/>
    <w:rsid w:val="00ED2D51"/>
    <w:rsid w:val="00ED2D7A"/>
    <w:rsid w:val="00ED2DE4"/>
    <w:rsid w:val="00ED4B5A"/>
    <w:rsid w:val="00ED4C63"/>
    <w:rsid w:val="00ED4CD6"/>
    <w:rsid w:val="00ED5959"/>
    <w:rsid w:val="00ED5B20"/>
    <w:rsid w:val="00ED5FE9"/>
    <w:rsid w:val="00ED6CA2"/>
    <w:rsid w:val="00ED7A17"/>
    <w:rsid w:val="00EE0258"/>
    <w:rsid w:val="00EE0570"/>
    <w:rsid w:val="00EE0BB3"/>
    <w:rsid w:val="00EE1CBE"/>
    <w:rsid w:val="00EE344B"/>
    <w:rsid w:val="00EE3FBD"/>
    <w:rsid w:val="00EE4837"/>
    <w:rsid w:val="00EE630F"/>
    <w:rsid w:val="00EE6512"/>
    <w:rsid w:val="00EE7FC5"/>
    <w:rsid w:val="00EF0701"/>
    <w:rsid w:val="00EF165E"/>
    <w:rsid w:val="00EF170F"/>
    <w:rsid w:val="00EF20B1"/>
    <w:rsid w:val="00EF5166"/>
    <w:rsid w:val="00EF6504"/>
    <w:rsid w:val="00EF72C0"/>
    <w:rsid w:val="00F0025A"/>
    <w:rsid w:val="00F00728"/>
    <w:rsid w:val="00F0072F"/>
    <w:rsid w:val="00F010AD"/>
    <w:rsid w:val="00F02CB6"/>
    <w:rsid w:val="00F035BF"/>
    <w:rsid w:val="00F04766"/>
    <w:rsid w:val="00F04A45"/>
    <w:rsid w:val="00F05638"/>
    <w:rsid w:val="00F05721"/>
    <w:rsid w:val="00F05A60"/>
    <w:rsid w:val="00F0656F"/>
    <w:rsid w:val="00F0693C"/>
    <w:rsid w:val="00F06A0F"/>
    <w:rsid w:val="00F10007"/>
    <w:rsid w:val="00F10803"/>
    <w:rsid w:val="00F10EE6"/>
    <w:rsid w:val="00F1227B"/>
    <w:rsid w:val="00F12856"/>
    <w:rsid w:val="00F13288"/>
    <w:rsid w:val="00F14534"/>
    <w:rsid w:val="00F14576"/>
    <w:rsid w:val="00F14596"/>
    <w:rsid w:val="00F14B4A"/>
    <w:rsid w:val="00F15291"/>
    <w:rsid w:val="00F1599C"/>
    <w:rsid w:val="00F172CC"/>
    <w:rsid w:val="00F209BC"/>
    <w:rsid w:val="00F20B0E"/>
    <w:rsid w:val="00F2126E"/>
    <w:rsid w:val="00F2168A"/>
    <w:rsid w:val="00F21D06"/>
    <w:rsid w:val="00F2232B"/>
    <w:rsid w:val="00F247CD"/>
    <w:rsid w:val="00F24CBB"/>
    <w:rsid w:val="00F2511E"/>
    <w:rsid w:val="00F257A2"/>
    <w:rsid w:val="00F25A25"/>
    <w:rsid w:val="00F26B27"/>
    <w:rsid w:val="00F26BBB"/>
    <w:rsid w:val="00F27245"/>
    <w:rsid w:val="00F27B81"/>
    <w:rsid w:val="00F27C5C"/>
    <w:rsid w:val="00F31481"/>
    <w:rsid w:val="00F31F79"/>
    <w:rsid w:val="00F32837"/>
    <w:rsid w:val="00F329B5"/>
    <w:rsid w:val="00F33789"/>
    <w:rsid w:val="00F34237"/>
    <w:rsid w:val="00F34795"/>
    <w:rsid w:val="00F35159"/>
    <w:rsid w:val="00F35E6E"/>
    <w:rsid w:val="00F361BB"/>
    <w:rsid w:val="00F3670A"/>
    <w:rsid w:val="00F369AE"/>
    <w:rsid w:val="00F4072C"/>
    <w:rsid w:val="00F40F1E"/>
    <w:rsid w:val="00F414F4"/>
    <w:rsid w:val="00F42FC4"/>
    <w:rsid w:val="00F43D2F"/>
    <w:rsid w:val="00F44580"/>
    <w:rsid w:val="00F456EB"/>
    <w:rsid w:val="00F46222"/>
    <w:rsid w:val="00F47386"/>
    <w:rsid w:val="00F47CF9"/>
    <w:rsid w:val="00F50306"/>
    <w:rsid w:val="00F51223"/>
    <w:rsid w:val="00F51256"/>
    <w:rsid w:val="00F512BF"/>
    <w:rsid w:val="00F5139C"/>
    <w:rsid w:val="00F5149D"/>
    <w:rsid w:val="00F514A3"/>
    <w:rsid w:val="00F5195F"/>
    <w:rsid w:val="00F530DD"/>
    <w:rsid w:val="00F53161"/>
    <w:rsid w:val="00F54BC6"/>
    <w:rsid w:val="00F55439"/>
    <w:rsid w:val="00F5552C"/>
    <w:rsid w:val="00F55A54"/>
    <w:rsid w:val="00F56013"/>
    <w:rsid w:val="00F56F52"/>
    <w:rsid w:val="00F575AE"/>
    <w:rsid w:val="00F605E7"/>
    <w:rsid w:val="00F607F3"/>
    <w:rsid w:val="00F60BBE"/>
    <w:rsid w:val="00F60CE3"/>
    <w:rsid w:val="00F6158F"/>
    <w:rsid w:val="00F62480"/>
    <w:rsid w:val="00F62BDC"/>
    <w:rsid w:val="00F62FE5"/>
    <w:rsid w:val="00F63129"/>
    <w:rsid w:val="00F632AA"/>
    <w:rsid w:val="00F639A1"/>
    <w:rsid w:val="00F63BAC"/>
    <w:rsid w:val="00F63F05"/>
    <w:rsid w:val="00F64EE7"/>
    <w:rsid w:val="00F64F63"/>
    <w:rsid w:val="00F676D4"/>
    <w:rsid w:val="00F67F71"/>
    <w:rsid w:val="00F7074D"/>
    <w:rsid w:val="00F70D85"/>
    <w:rsid w:val="00F71A18"/>
    <w:rsid w:val="00F71EDF"/>
    <w:rsid w:val="00F71F04"/>
    <w:rsid w:val="00F7400A"/>
    <w:rsid w:val="00F745E7"/>
    <w:rsid w:val="00F74700"/>
    <w:rsid w:val="00F74CB5"/>
    <w:rsid w:val="00F74DDC"/>
    <w:rsid w:val="00F756F8"/>
    <w:rsid w:val="00F75B98"/>
    <w:rsid w:val="00F75F40"/>
    <w:rsid w:val="00F75F80"/>
    <w:rsid w:val="00F77988"/>
    <w:rsid w:val="00F77993"/>
    <w:rsid w:val="00F8021F"/>
    <w:rsid w:val="00F80328"/>
    <w:rsid w:val="00F80C78"/>
    <w:rsid w:val="00F80D63"/>
    <w:rsid w:val="00F810E7"/>
    <w:rsid w:val="00F81ABC"/>
    <w:rsid w:val="00F8260B"/>
    <w:rsid w:val="00F82948"/>
    <w:rsid w:val="00F82F5A"/>
    <w:rsid w:val="00F831A4"/>
    <w:rsid w:val="00F84B84"/>
    <w:rsid w:val="00F855D5"/>
    <w:rsid w:val="00F85622"/>
    <w:rsid w:val="00F85F2B"/>
    <w:rsid w:val="00F87138"/>
    <w:rsid w:val="00F91DF9"/>
    <w:rsid w:val="00F92EAE"/>
    <w:rsid w:val="00F934B4"/>
    <w:rsid w:val="00F93AD4"/>
    <w:rsid w:val="00F9439D"/>
    <w:rsid w:val="00F94508"/>
    <w:rsid w:val="00F94656"/>
    <w:rsid w:val="00F94978"/>
    <w:rsid w:val="00F94C72"/>
    <w:rsid w:val="00F9654C"/>
    <w:rsid w:val="00F96D19"/>
    <w:rsid w:val="00F97E04"/>
    <w:rsid w:val="00FA0874"/>
    <w:rsid w:val="00FA08B4"/>
    <w:rsid w:val="00FA135E"/>
    <w:rsid w:val="00FA1E91"/>
    <w:rsid w:val="00FA2543"/>
    <w:rsid w:val="00FA32B8"/>
    <w:rsid w:val="00FA32FF"/>
    <w:rsid w:val="00FA39E5"/>
    <w:rsid w:val="00FA62A3"/>
    <w:rsid w:val="00FA7250"/>
    <w:rsid w:val="00FB02E5"/>
    <w:rsid w:val="00FB10B1"/>
    <w:rsid w:val="00FB17D4"/>
    <w:rsid w:val="00FB1D77"/>
    <w:rsid w:val="00FB29B5"/>
    <w:rsid w:val="00FB2B5A"/>
    <w:rsid w:val="00FB343B"/>
    <w:rsid w:val="00FB39AA"/>
    <w:rsid w:val="00FB3E54"/>
    <w:rsid w:val="00FB512C"/>
    <w:rsid w:val="00FB7DF5"/>
    <w:rsid w:val="00FC0B83"/>
    <w:rsid w:val="00FC150D"/>
    <w:rsid w:val="00FC181A"/>
    <w:rsid w:val="00FC1994"/>
    <w:rsid w:val="00FC1D88"/>
    <w:rsid w:val="00FC2218"/>
    <w:rsid w:val="00FC320E"/>
    <w:rsid w:val="00FC37C6"/>
    <w:rsid w:val="00FC452B"/>
    <w:rsid w:val="00FC4753"/>
    <w:rsid w:val="00FC4ED8"/>
    <w:rsid w:val="00FC51C9"/>
    <w:rsid w:val="00FC5553"/>
    <w:rsid w:val="00FC5882"/>
    <w:rsid w:val="00FC7D80"/>
    <w:rsid w:val="00FD154C"/>
    <w:rsid w:val="00FD1765"/>
    <w:rsid w:val="00FD1B7B"/>
    <w:rsid w:val="00FD22CC"/>
    <w:rsid w:val="00FD3D22"/>
    <w:rsid w:val="00FD4A06"/>
    <w:rsid w:val="00FD5763"/>
    <w:rsid w:val="00FD5B5E"/>
    <w:rsid w:val="00FD62CA"/>
    <w:rsid w:val="00FD704D"/>
    <w:rsid w:val="00FD75BC"/>
    <w:rsid w:val="00FE11FA"/>
    <w:rsid w:val="00FE2BB1"/>
    <w:rsid w:val="00FE4459"/>
    <w:rsid w:val="00FE50AA"/>
    <w:rsid w:val="00FE51A7"/>
    <w:rsid w:val="00FE575A"/>
    <w:rsid w:val="00FE60C2"/>
    <w:rsid w:val="00FE641A"/>
    <w:rsid w:val="00FE653D"/>
    <w:rsid w:val="00FF0752"/>
    <w:rsid w:val="00FF137E"/>
    <w:rsid w:val="00FF15B7"/>
    <w:rsid w:val="00FF2CEA"/>
    <w:rsid w:val="00FF3A80"/>
    <w:rsid w:val="00FF5671"/>
    <w:rsid w:val="010A29DC"/>
    <w:rsid w:val="010D4339"/>
    <w:rsid w:val="01255120"/>
    <w:rsid w:val="0142673F"/>
    <w:rsid w:val="01695955"/>
    <w:rsid w:val="018965BF"/>
    <w:rsid w:val="0194674A"/>
    <w:rsid w:val="019809D3"/>
    <w:rsid w:val="01C704B2"/>
    <w:rsid w:val="01E274B5"/>
    <w:rsid w:val="01E85206"/>
    <w:rsid w:val="020D5FB3"/>
    <w:rsid w:val="02111B48"/>
    <w:rsid w:val="022E0D6C"/>
    <w:rsid w:val="023A2E4D"/>
    <w:rsid w:val="025005CD"/>
    <w:rsid w:val="02501936"/>
    <w:rsid w:val="0250441F"/>
    <w:rsid w:val="02581365"/>
    <w:rsid w:val="0261487E"/>
    <w:rsid w:val="02691A5F"/>
    <w:rsid w:val="02B80216"/>
    <w:rsid w:val="02BF15A4"/>
    <w:rsid w:val="02BF3353"/>
    <w:rsid w:val="02E62FD5"/>
    <w:rsid w:val="02F546DB"/>
    <w:rsid w:val="02F9250E"/>
    <w:rsid w:val="030B2604"/>
    <w:rsid w:val="030B47EA"/>
    <w:rsid w:val="033A29CA"/>
    <w:rsid w:val="03435E1D"/>
    <w:rsid w:val="034A2073"/>
    <w:rsid w:val="036B7036"/>
    <w:rsid w:val="0373358E"/>
    <w:rsid w:val="03764359"/>
    <w:rsid w:val="03971CCE"/>
    <w:rsid w:val="039D14F8"/>
    <w:rsid w:val="03B423AD"/>
    <w:rsid w:val="03D472D2"/>
    <w:rsid w:val="04476F33"/>
    <w:rsid w:val="044D407B"/>
    <w:rsid w:val="0453242E"/>
    <w:rsid w:val="045F6B9B"/>
    <w:rsid w:val="047C6C17"/>
    <w:rsid w:val="04926F71"/>
    <w:rsid w:val="04C44C50"/>
    <w:rsid w:val="04DC01EC"/>
    <w:rsid w:val="04E11CA6"/>
    <w:rsid w:val="04E43544"/>
    <w:rsid w:val="050D2A9B"/>
    <w:rsid w:val="050D4849"/>
    <w:rsid w:val="050D7BBE"/>
    <w:rsid w:val="0534627A"/>
    <w:rsid w:val="05374F27"/>
    <w:rsid w:val="05685F23"/>
    <w:rsid w:val="05776166"/>
    <w:rsid w:val="059034E0"/>
    <w:rsid w:val="05B253F0"/>
    <w:rsid w:val="06156967"/>
    <w:rsid w:val="06293905"/>
    <w:rsid w:val="068218BB"/>
    <w:rsid w:val="068A5032"/>
    <w:rsid w:val="06936FD0"/>
    <w:rsid w:val="069B192F"/>
    <w:rsid w:val="069F3BC7"/>
    <w:rsid w:val="06DA075B"/>
    <w:rsid w:val="06E17D3B"/>
    <w:rsid w:val="06FA6F4D"/>
    <w:rsid w:val="070B03CF"/>
    <w:rsid w:val="07122E17"/>
    <w:rsid w:val="071F2612"/>
    <w:rsid w:val="074327A4"/>
    <w:rsid w:val="077927CF"/>
    <w:rsid w:val="077A1F3E"/>
    <w:rsid w:val="0788753E"/>
    <w:rsid w:val="07946C96"/>
    <w:rsid w:val="07A60707"/>
    <w:rsid w:val="07C66F31"/>
    <w:rsid w:val="07E06D3A"/>
    <w:rsid w:val="07F905D5"/>
    <w:rsid w:val="08051549"/>
    <w:rsid w:val="083210FA"/>
    <w:rsid w:val="08495D9A"/>
    <w:rsid w:val="08684CE0"/>
    <w:rsid w:val="0898267C"/>
    <w:rsid w:val="08AF0FBB"/>
    <w:rsid w:val="0902518B"/>
    <w:rsid w:val="091176C7"/>
    <w:rsid w:val="09134B9D"/>
    <w:rsid w:val="095D60FA"/>
    <w:rsid w:val="09656D08"/>
    <w:rsid w:val="096B38AC"/>
    <w:rsid w:val="098E7D44"/>
    <w:rsid w:val="09903C9B"/>
    <w:rsid w:val="09B822B3"/>
    <w:rsid w:val="09C474A0"/>
    <w:rsid w:val="09C86F91"/>
    <w:rsid w:val="09CB082F"/>
    <w:rsid w:val="09DF75FA"/>
    <w:rsid w:val="09E0048C"/>
    <w:rsid w:val="09EF7D37"/>
    <w:rsid w:val="09FC1BE4"/>
    <w:rsid w:val="0A1246B0"/>
    <w:rsid w:val="0A4A5CD5"/>
    <w:rsid w:val="0A546A76"/>
    <w:rsid w:val="0A8729A8"/>
    <w:rsid w:val="0A8C4462"/>
    <w:rsid w:val="0AA36264"/>
    <w:rsid w:val="0AE55D40"/>
    <w:rsid w:val="0B420FC5"/>
    <w:rsid w:val="0B4E34C6"/>
    <w:rsid w:val="0B5A150C"/>
    <w:rsid w:val="0B7D1FFD"/>
    <w:rsid w:val="0B83590E"/>
    <w:rsid w:val="0BB060BE"/>
    <w:rsid w:val="0BC96FF0"/>
    <w:rsid w:val="0BD83FEE"/>
    <w:rsid w:val="0C534F33"/>
    <w:rsid w:val="0C8A677F"/>
    <w:rsid w:val="0C937D2A"/>
    <w:rsid w:val="0C9A1576"/>
    <w:rsid w:val="0CD0487B"/>
    <w:rsid w:val="0CD21ED4"/>
    <w:rsid w:val="0CE07EE3"/>
    <w:rsid w:val="0CE916F8"/>
    <w:rsid w:val="0D166C60"/>
    <w:rsid w:val="0D26095D"/>
    <w:rsid w:val="0D2C5A88"/>
    <w:rsid w:val="0D5254FD"/>
    <w:rsid w:val="0D6E6B91"/>
    <w:rsid w:val="0D7C256C"/>
    <w:rsid w:val="0D8238FA"/>
    <w:rsid w:val="0DA2253D"/>
    <w:rsid w:val="0DD855EE"/>
    <w:rsid w:val="0E04133B"/>
    <w:rsid w:val="0E100F06"/>
    <w:rsid w:val="0E440BB0"/>
    <w:rsid w:val="0E62694E"/>
    <w:rsid w:val="0E9C038E"/>
    <w:rsid w:val="0EBB3568"/>
    <w:rsid w:val="0EBD44A4"/>
    <w:rsid w:val="0EC87A33"/>
    <w:rsid w:val="0ED4665B"/>
    <w:rsid w:val="0EDB32C2"/>
    <w:rsid w:val="0EDB7766"/>
    <w:rsid w:val="0EE859DF"/>
    <w:rsid w:val="0EE94D93"/>
    <w:rsid w:val="0F135AE3"/>
    <w:rsid w:val="0F276A95"/>
    <w:rsid w:val="0F344EAE"/>
    <w:rsid w:val="0F347B74"/>
    <w:rsid w:val="0F474DFC"/>
    <w:rsid w:val="0F4867E1"/>
    <w:rsid w:val="0F4E56DF"/>
    <w:rsid w:val="0F64136A"/>
    <w:rsid w:val="0F67724C"/>
    <w:rsid w:val="0FA652F3"/>
    <w:rsid w:val="0FAD6840"/>
    <w:rsid w:val="0FC875FA"/>
    <w:rsid w:val="0FDF5034"/>
    <w:rsid w:val="103661B5"/>
    <w:rsid w:val="1045393E"/>
    <w:rsid w:val="10751581"/>
    <w:rsid w:val="10754F35"/>
    <w:rsid w:val="10766EB3"/>
    <w:rsid w:val="107A6C8B"/>
    <w:rsid w:val="108420DB"/>
    <w:rsid w:val="108D5E7E"/>
    <w:rsid w:val="10967DE9"/>
    <w:rsid w:val="10AE4602"/>
    <w:rsid w:val="10C224D8"/>
    <w:rsid w:val="10F36A14"/>
    <w:rsid w:val="110C230D"/>
    <w:rsid w:val="113F0D6E"/>
    <w:rsid w:val="116B06AA"/>
    <w:rsid w:val="11A06DE7"/>
    <w:rsid w:val="11A953E5"/>
    <w:rsid w:val="11B00002"/>
    <w:rsid w:val="11C20769"/>
    <w:rsid w:val="124E72A0"/>
    <w:rsid w:val="127A45ED"/>
    <w:rsid w:val="127A5093"/>
    <w:rsid w:val="12816876"/>
    <w:rsid w:val="128E54DD"/>
    <w:rsid w:val="12A61E39"/>
    <w:rsid w:val="13051255"/>
    <w:rsid w:val="13444037"/>
    <w:rsid w:val="13554FCA"/>
    <w:rsid w:val="137731BF"/>
    <w:rsid w:val="137912FC"/>
    <w:rsid w:val="13833F28"/>
    <w:rsid w:val="13861583"/>
    <w:rsid w:val="13954387"/>
    <w:rsid w:val="13A26886"/>
    <w:rsid w:val="13B55B78"/>
    <w:rsid w:val="13C917FE"/>
    <w:rsid w:val="1420412F"/>
    <w:rsid w:val="14320908"/>
    <w:rsid w:val="14575AE1"/>
    <w:rsid w:val="14611454"/>
    <w:rsid w:val="14720225"/>
    <w:rsid w:val="14854397"/>
    <w:rsid w:val="14A5684C"/>
    <w:rsid w:val="14B720DC"/>
    <w:rsid w:val="14C044BD"/>
    <w:rsid w:val="14C22DE3"/>
    <w:rsid w:val="14CB6990"/>
    <w:rsid w:val="14D91C8E"/>
    <w:rsid w:val="14F04B70"/>
    <w:rsid w:val="14F236FC"/>
    <w:rsid w:val="15245F48"/>
    <w:rsid w:val="153320AA"/>
    <w:rsid w:val="155B282E"/>
    <w:rsid w:val="15B157C4"/>
    <w:rsid w:val="15C251DC"/>
    <w:rsid w:val="15CE307A"/>
    <w:rsid w:val="15F42B78"/>
    <w:rsid w:val="160131BB"/>
    <w:rsid w:val="160622BF"/>
    <w:rsid w:val="161241C0"/>
    <w:rsid w:val="16241AD1"/>
    <w:rsid w:val="16246841"/>
    <w:rsid w:val="162C4671"/>
    <w:rsid w:val="1638549E"/>
    <w:rsid w:val="16445BF1"/>
    <w:rsid w:val="1653052A"/>
    <w:rsid w:val="16657759"/>
    <w:rsid w:val="166E5D6E"/>
    <w:rsid w:val="169528F0"/>
    <w:rsid w:val="169E79F7"/>
    <w:rsid w:val="16B216C0"/>
    <w:rsid w:val="16BB6A4C"/>
    <w:rsid w:val="16BB72CE"/>
    <w:rsid w:val="16E2633E"/>
    <w:rsid w:val="16F05D79"/>
    <w:rsid w:val="17033CFE"/>
    <w:rsid w:val="1719707D"/>
    <w:rsid w:val="171C091C"/>
    <w:rsid w:val="171E606A"/>
    <w:rsid w:val="177F28B7"/>
    <w:rsid w:val="17CA56B1"/>
    <w:rsid w:val="17D95D82"/>
    <w:rsid w:val="17E16D7D"/>
    <w:rsid w:val="17E83604"/>
    <w:rsid w:val="17EA106B"/>
    <w:rsid w:val="17FB2C27"/>
    <w:rsid w:val="17FC74C0"/>
    <w:rsid w:val="180478DF"/>
    <w:rsid w:val="180A4C18"/>
    <w:rsid w:val="180F2747"/>
    <w:rsid w:val="18115FA7"/>
    <w:rsid w:val="18251831"/>
    <w:rsid w:val="18307719"/>
    <w:rsid w:val="18501D8C"/>
    <w:rsid w:val="18573883"/>
    <w:rsid w:val="18585984"/>
    <w:rsid w:val="18704CC4"/>
    <w:rsid w:val="187F5606"/>
    <w:rsid w:val="18982224"/>
    <w:rsid w:val="18BA0AB1"/>
    <w:rsid w:val="18C354F3"/>
    <w:rsid w:val="18D47700"/>
    <w:rsid w:val="18DC4807"/>
    <w:rsid w:val="190401B9"/>
    <w:rsid w:val="19322678"/>
    <w:rsid w:val="194A5C14"/>
    <w:rsid w:val="196E4F40"/>
    <w:rsid w:val="1988673C"/>
    <w:rsid w:val="19A20750"/>
    <w:rsid w:val="19A215AC"/>
    <w:rsid w:val="19A31C84"/>
    <w:rsid w:val="19ED659F"/>
    <w:rsid w:val="1A0006C1"/>
    <w:rsid w:val="1A225A66"/>
    <w:rsid w:val="1AA2382E"/>
    <w:rsid w:val="1AAE793C"/>
    <w:rsid w:val="1AB52F78"/>
    <w:rsid w:val="1ABD5F72"/>
    <w:rsid w:val="1AEA60DF"/>
    <w:rsid w:val="1B07305E"/>
    <w:rsid w:val="1B163B9A"/>
    <w:rsid w:val="1B465198"/>
    <w:rsid w:val="1B5B5EB7"/>
    <w:rsid w:val="1B86423A"/>
    <w:rsid w:val="1B975453"/>
    <w:rsid w:val="1BAA0BEC"/>
    <w:rsid w:val="1BBD5FCF"/>
    <w:rsid w:val="1BF105C9"/>
    <w:rsid w:val="1C180C49"/>
    <w:rsid w:val="1C3E504A"/>
    <w:rsid w:val="1C490D10"/>
    <w:rsid w:val="1C613BC7"/>
    <w:rsid w:val="1C626DD1"/>
    <w:rsid w:val="1C767A3B"/>
    <w:rsid w:val="1CBE55DA"/>
    <w:rsid w:val="1CD5442F"/>
    <w:rsid w:val="1CD778AC"/>
    <w:rsid w:val="1CDA0B62"/>
    <w:rsid w:val="1D585B0D"/>
    <w:rsid w:val="1D76208F"/>
    <w:rsid w:val="1D8E280B"/>
    <w:rsid w:val="1DB00010"/>
    <w:rsid w:val="1DED6B6E"/>
    <w:rsid w:val="1E127DF9"/>
    <w:rsid w:val="1E3A181F"/>
    <w:rsid w:val="1EA02417"/>
    <w:rsid w:val="1EA45E93"/>
    <w:rsid w:val="1EAD380C"/>
    <w:rsid w:val="1EB853CE"/>
    <w:rsid w:val="1EEB7551"/>
    <w:rsid w:val="1EF93301"/>
    <w:rsid w:val="1F4C5B16"/>
    <w:rsid w:val="1F6605F9"/>
    <w:rsid w:val="1F841754"/>
    <w:rsid w:val="1F94396F"/>
    <w:rsid w:val="1FA616CA"/>
    <w:rsid w:val="1FA7145B"/>
    <w:rsid w:val="1FCE5C85"/>
    <w:rsid w:val="1FF02946"/>
    <w:rsid w:val="1FF16DE9"/>
    <w:rsid w:val="20596994"/>
    <w:rsid w:val="20B86208"/>
    <w:rsid w:val="20C51B07"/>
    <w:rsid w:val="20CC33B3"/>
    <w:rsid w:val="20E81F4E"/>
    <w:rsid w:val="20EA0BE3"/>
    <w:rsid w:val="210902B5"/>
    <w:rsid w:val="2119430C"/>
    <w:rsid w:val="212F26E9"/>
    <w:rsid w:val="21594FE0"/>
    <w:rsid w:val="215D225D"/>
    <w:rsid w:val="215E22A9"/>
    <w:rsid w:val="21610A51"/>
    <w:rsid w:val="216573E4"/>
    <w:rsid w:val="2167135F"/>
    <w:rsid w:val="21B9320A"/>
    <w:rsid w:val="21EF3181"/>
    <w:rsid w:val="21F737A6"/>
    <w:rsid w:val="220A7837"/>
    <w:rsid w:val="22250FCC"/>
    <w:rsid w:val="222C235B"/>
    <w:rsid w:val="22397E14"/>
    <w:rsid w:val="224B0307"/>
    <w:rsid w:val="228461C2"/>
    <w:rsid w:val="22C06F65"/>
    <w:rsid w:val="22F73918"/>
    <w:rsid w:val="230F7587"/>
    <w:rsid w:val="231E08D1"/>
    <w:rsid w:val="23563407"/>
    <w:rsid w:val="23571B2E"/>
    <w:rsid w:val="235976EC"/>
    <w:rsid w:val="2378337E"/>
    <w:rsid w:val="23A97406"/>
    <w:rsid w:val="23CB77BA"/>
    <w:rsid w:val="23CD191B"/>
    <w:rsid w:val="23DA7B95"/>
    <w:rsid w:val="23FE2088"/>
    <w:rsid w:val="24001B76"/>
    <w:rsid w:val="2403714E"/>
    <w:rsid w:val="2414085E"/>
    <w:rsid w:val="244A6AC8"/>
    <w:rsid w:val="24671633"/>
    <w:rsid w:val="248D2E59"/>
    <w:rsid w:val="249254E8"/>
    <w:rsid w:val="24D80578"/>
    <w:rsid w:val="252966D9"/>
    <w:rsid w:val="252D2ED5"/>
    <w:rsid w:val="25430670"/>
    <w:rsid w:val="255D5EF0"/>
    <w:rsid w:val="25675458"/>
    <w:rsid w:val="25702134"/>
    <w:rsid w:val="25752037"/>
    <w:rsid w:val="258673AF"/>
    <w:rsid w:val="25870C2A"/>
    <w:rsid w:val="259A75DB"/>
    <w:rsid w:val="25C30C51"/>
    <w:rsid w:val="25C44658"/>
    <w:rsid w:val="25C91C6F"/>
    <w:rsid w:val="25D30D3F"/>
    <w:rsid w:val="25F0544D"/>
    <w:rsid w:val="25F73A7D"/>
    <w:rsid w:val="266C0C6A"/>
    <w:rsid w:val="26732897"/>
    <w:rsid w:val="268169ED"/>
    <w:rsid w:val="26926A95"/>
    <w:rsid w:val="26C22739"/>
    <w:rsid w:val="26CA3750"/>
    <w:rsid w:val="274517C9"/>
    <w:rsid w:val="27840543"/>
    <w:rsid w:val="27AC7A9A"/>
    <w:rsid w:val="27B70919"/>
    <w:rsid w:val="27CC1EEA"/>
    <w:rsid w:val="2802590C"/>
    <w:rsid w:val="28275C5B"/>
    <w:rsid w:val="28594C54"/>
    <w:rsid w:val="28672875"/>
    <w:rsid w:val="28966508"/>
    <w:rsid w:val="28AB7D51"/>
    <w:rsid w:val="28BF64DE"/>
    <w:rsid w:val="28CD7CC8"/>
    <w:rsid w:val="28E444C1"/>
    <w:rsid w:val="28F3713A"/>
    <w:rsid w:val="291711F9"/>
    <w:rsid w:val="291B46A3"/>
    <w:rsid w:val="291B4ED7"/>
    <w:rsid w:val="29343B7F"/>
    <w:rsid w:val="29454B99"/>
    <w:rsid w:val="295D3CC9"/>
    <w:rsid w:val="295E561C"/>
    <w:rsid w:val="297B3DA5"/>
    <w:rsid w:val="297C2905"/>
    <w:rsid w:val="2984482A"/>
    <w:rsid w:val="29AF34E6"/>
    <w:rsid w:val="29DE7A56"/>
    <w:rsid w:val="29E57780"/>
    <w:rsid w:val="2A0911D4"/>
    <w:rsid w:val="2A0A2888"/>
    <w:rsid w:val="2A9E11D6"/>
    <w:rsid w:val="2ADE2756"/>
    <w:rsid w:val="2ADE440E"/>
    <w:rsid w:val="2B2F067D"/>
    <w:rsid w:val="2B391902"/>
    <w:rsid w:val="2B944C3D"/>
    <w:rsid w:val="2BAA607C"/>
    <w:rsid w:val="2BB86A0D"/>
    <w:rsid w:val="2BBC4B53"/>
    <w:rsid w:val="2BC120BC"/>
    <w:rsid w:val="2BD33847"/>
    <w:rsid w:val="2BFC0FF0"/>
    <w:rsid w:val="2BFE33B8"/>
    <w:rsid w:val="2C070483"/>
    <w:rsid w:val="2C0C0B07"/>
    <w:rsid w:val="2C143EC1"/>
    <w:rsid w:val="2C2F3AC5"/>
    <w:rsid w:val="2C536736"/>
    <w:rsid w:val="2C5C733A"/>
    <w:rsid w:val="2C637962"/>
    <w:rsid w:val="2C6E7AE6"/>
    <w:rsid w:val="2C772424"/>
    <w:rsid w:val="2C8252CD"/>
    <w:rsid w:val="2CA4205F"/>
    <w:rsid w:val="2CA84CD4"/>
    <w:rsid w:val="2CBD13CB"/>
    <w:rsid w:val="2D325092"/>
    <w:rsid w:val="2D6A4F2A"/>
    <w:rsid w:val="2D9E0E4E"/>
    <w:rsid w:val="2DC46CCE"/>
    <w:rsid w:val="2DE51610"/>
    <w:rsid w:val="2DEC28FF"/>
    <w:rsid w:val="2E0004FC"/>
    <w:rsid w:val="2E090714"/>
    <w:rsid w:val="2E4B1DBB"/>
    <w:rsid w:val="2E7634FC"/>
    <w:rsid w:val="2E772BB0"/>
    <w:rsid w:val="2E881DAC"/>
    <w:rsid w:val="2EA2374F"/>
    <w:rsid w:val="2EA94D33"/>
    <w:rsid w:val="2EBC745E"/>
    <w:rsid w:val="2ED72453"/>
    <w:rsid w:val="2EE57D05"/>
    <w:rsid w:val="2F0F4910"/>
    <w:rsid w:val="2F1D77C3"/>
    <w:rsid w:val="2F34284F"/>
    <w:rsid w:val="2F5922B5"/>
    <w:rsid w:val="2F666780"/>
    <w:rsid w:val="2F6A44C2"/>
    <w:rsid w:val="2F77098D"/>
    <w:rsid w:val="2F863502"/>
    <w:rsid w:val="2F8C7C3F"/>
    <w:rsid w:val="2F8D1F5F"/>
    <w:rsid w:val="2FAC6889"/>
    <w:rsid w:val="2FAD520D"/>
    <w:rsid w:val="2FC1199C"/>
    <w:rsid w:val="301B2484"/>
    <w:rsid w:val="301B57BD"/>
    <w:rsid w:val="3058256D"/>
    <w:rsid w:val="307A65E1"/>
    <w:rsid w:val="307B6750"/>
    <w:rsid w:val="3082583C"/>
    <w:rsid w:val="30937A49"/>
    <w:rsid w:val="30AA3576"/>
    <w:rsid w:val="30C419B0"/>
    <w:rsid w:val="30F45845"/>
    <w:rsid w:val="30FB68BC"/>
    <w:rsid w:val="311A1F18"/>
    <w:rsid w:val="31222BED"/>
    <w:rsid w:val="312D42FE"/>
    <w:rsid w:val="314A6997"/>
    <w:rsid w:val="31CB6D6E"/>
    <w:rsid w:val="31CC30D7"/>
    <w:rsid w:val="31CD6F8B"/>
    <w:rsid w:val="31D43E75"/>
    <w:rsid w:val="320329AC"/>
    <w:rsid w:val="3204001F"/>
    <w:rsid w:val="322015A4"/>
    <w:rsid w:val="322E7A29"/>
    <w:rsid w:val="324B5BCE"/>
    <w:rsid w:val="324C0413"/>
    <w:rsid w:val="32540B72"/>
    <w:rsid w:val="32B302B1"/>
    <w:rsid w:val="32C71C2C"/>
    <w:rsid w:val="32DE11FE"/>
    <w:rsid w:val="32FF15C5"/>
    <w:rsid w:val="33092305"/>
    <w:rsid w:val="333D0B2E"/>
    <w:rsid w:val="33552D94"/>
    <w:rsid w:val="335746DC"/>
    <w:rsid w:val="335C4122"/>
    <w:rsid w:val="336F02F9"/>
    <w:rsid w:val="33767A20"/>
    <w:rsid w:val="33953AD8"/>
    <w:rsid w:val="33957B8E"/>
    <w:rsid w:val="33AD6B00"/>
    <w:rsid w:val="33C06DA7"/>
    <w:rsid w:val="33D75E9F"/>
    <w:rsid w:val="33D9323A"/>
    <w:rsid w:val="33DB773D"/>
    <w:rsid w:val="3400221F"/>
    <w:rsid w:val="345F5359"/>
    <w:rsid w:val="346C5F6A"/>
    <w:rsid w:val="348F22D5"/>
    <w:rsid w:val="349B66E5"/>
    <w:rsid w:val="34CB773E"/>
    <w:rsid w:val="34EE3B36"/>
    <w:rsid w:val="34F666BA"/>
    <w:rsid w:val="35225F95"/>
    <w:rsid w:val="352E5F92"/>
    <w:rsid w:val="35324372"/>
    <w:rsid w:val="35692CE4"/>
    <w:rsid w:val="3583135D"/>
    <w:rsid w:val="358856A2"/>
    <w:rsid w:val="3589141A"/>
    <w:rsid w:val="359B39D4"/>
    <w:rsid w:val="35B70990"/>
    <w:rsid w:val="35D02091"/>
    <w:rsid w:val="35F1149A"/>
    <w:rsid w:val="36175199"/>
    <w:rsid w:val="364A0BAA"/>
    <w:rsid w:val="36533F02"/>
    <w:rsid w:val="365B3302"/>
    <w:rsid w:val="367125DA"/>
    <w:rsid w:val="36736147"/>
    <w:rsid w:val="36D17FEA"/>
    <w:rsid w:val="36D30B9F"/>
    <w:rsid w:val="36EE0F21"/>
    <w:rsid w:val="36F1453A"/>
    <w:rsid w:val="370A792C"/>
    <w:rsid w:val="37441A9D"/>
    <w:rsid w:val="379235D1"/>
    <w:rsid w:val="379B110E"/>
    <w:rsid w:val="37B54749"/>
    <w:rsid w:val="37BC4B4E"/>
    <w:rsid w:val="37C36FA3"/>
    <w:rsid w:val="38292529"/>
    <w:rsid w:val="38431D54"/>
    <w:rsid w:val="38482EC7"/>
    <w:rsid w:val="38543F62"/>
    <w:rsid w:val="385C6972"/>
    <w:rsid w:val="386341A5"/>
    <w:rsid w:val="38666E04"/>
    <w:rsid w:val="387B14EE"/>
    <w:rsid w:val="389E5BBE"/>
    <w:rsid w:val="38A50E3F"/>
    <w:rsid w:val="38BE3437"/>
    <w:rsid w:val="38C11545"/>
    <w:rsid w:val="38E72650"/>
    <w:rsid w:val="39044CF1"/>
    <w:rsid w:val="39137979"/>
    <w:rsid w:val="3925271D"/>
    <w:rsid w:val="39363667"/>
    <w:rsid w:val="39396DD8"/>
    <w:rsid w:val="393B39C8"/>
    <w:rsid w:val="39513FFD"/>
    <w:rsid w:val="395F671A"/>
    <w:rsid w:val="399A39EF"/>
    <w:rsid w:val="39A44A75"/>
    <w:rsid w:val="39BC4C91"/>
    <w:rsid w:val="39D569DC"/>
    <w:rsid w:val="39DD1DFB"/>
    <w:rsid w:val="39F27DA1"/>
    <w:rsid w:val="3A06303A"/>
    <w:rsid w:val="3A1E4827"/>
    <w:rsid w:val="3A2047EC"/>
    <w:rsid w:val="3A6D4CE9"/>
    <w:rsid w:val="3A8D7370"/>
    <w:rsid w:val="3A9C75B8"/>
    <w:rsid w:val="3AAC2D03"/>
    <w:rsid w:val="3ADC3D9A"/>
    <w:rsid w:val="3AE710BD"/>
    <w:rsid w:val="3AEF7F72"/>
    <w:rsid w:val="3B084B8F"/>
    <w:rsid w:val="3B1508DA"/>
    <w:rsid w:val="3B1F504A"/>
    <w:rsid w:val="3B485A3C"/>
    <w:rsid w:val="3B5129DA"/>
    <w:rsid w:val="3B7A736B"/>
    <w:rsid w:val="3B8C62D6"/>
    <w:rsid w:val="3BAE1DA8"/>
    <w:rsid w:val="3BD3519D"/>
    <w:rsid w:val="3BEF422D"/>
    <w:rsid w:val="3C12216A"/>
    <w:rsid w:val="3C17723B"/>
    <w:rsid w:val="3C2B4FD9"/>
    <w:rsid w:val="3C3845B0"/>
    <w:rsid w:val="3C410359"/>
    <w:rsid w:val="3C524EFE"/>
    <w:rsid w:val="3C84050A"/>
    <w:rsid w:val="3C8779FB"/>
    <w:rsid w:val="3C8E3A48"/>
    <w:rsid w:val="3C9D4F6C"/>
    <w:rsid w:val="3CA53188"/>
    <w:rsid w:val="3CAD59EE"/>
    <w:rsid w:val="3CD51D4E"/>
    <w:rsid w:val="3CDB69FF"/>
    <w:rsid w:val="3CE875EB"/>
    <w:rsid w:val="3D0507F0"/>
    <w:rsid w:val="3D0C0967"/>
    <w:rsid w:val="3D0F2205"/>
    <w:rsid w:val="3D33667E"/>
    <w:rsid w:val="3D400197"/>
    <w:rsid w:val="3D466B0B"/>
    <w:rsid w:val="3D4B7B0D"/>
    <w:rsid w:val="3D4D43A6"/>
    <w:rsid w:val="3DA60CF7"/>
    <w:rsid w:val="3DFA231D"/>
    <w:rsid w:val="3E0C5804"/>
    <w:rsid w:val="3E1A5306"/>
    <w:rsid w:val="3E575950"/>
    <w:rsid w:val="3E742234"/>
    <w:rsid w:val="3E794529"/>
    <w:rsid w:val="3ED43DC4"/>
    <w:rsid w:val="3ED71449"/>
    <w:rsid w:val="3EDB3409"/>
    <w:rsid w:val="3F1137B5"/>
    <w:rsid w:val="3F154F70"/>
    <w:rsid w:val="3F2E19E9"/>
    <w:rsid w:val="3F433D33"/>
    <w:rsid w:val="3F557A44"/>
    <w:rsid w:val="3F892743"/>
    <w:rsid w:val="3F8A64BB"/>
    <w:rsid w:val="3F8C2233"/>
    <w:rsid w:val="3F9A10D7"/>
    <w:rsid w:val="3FAB1DD4"/>
    <w:rsid w:val="3FC77658"/>
    <w:rsid w:val="3FF2288E"/>
    <w:rsid w:val="402406BD"/>
    <w:rsid w:val="40282387"/>
    <w:rsid w:val="404814DD"/>
    <w:rsid w:val="406F0A80"/>
    <w:rsid w:val="408525AF"/>
    <w:rsid w:val="408D4294"/>
    <w:rsid w:val="40A14C36"/>
    <w:rsid w:val="40C36C37"/>
    <w:rsid w:val="40E90FBF"/>
    <w:rsid w:val="40EE65C2"/>
    <w:rsid w:val="40F938F8"/>
    <w:rsid w:val="40FC5196"/>
    <w:rsid w:val="410B53D9"/>
    <w:rsid w:val="410F1897"/>
    <w:rsid w:val="411249BA"/>
    <w:rsid w:val="41346343"/>
    <w:rsid w:val="415B010F"/>
    <w:rsid w:val="416F2D21"/>
    <w:rsid w:val="41812627"/>
    <w:rsid w:val="41923405"/>
    <w:rsid w:val="41A3767B"/>
    <w:rsid w:val="41B4449A"/>
    <w:rsid w:val="41BF24B3"/>
    <w:rsid w:val="41DD6D76"/>
    <w:rsid w:val="41FB4945"/>
    <w:rsid w:val="42033050"/>
    <w:rsid w:val="420F331B"/>
    <w:rsid w:val="42332E3A"/>
    <w:rsid w:val="424E1A22"/>
    <w:rsid w:val="427277F5"/>
    <w:rsid w:val="428E6651"/>
    <w:rsid w:val="429343CD"/>
    <w:rsid w:val="4297531D"/>
    <w:rsid w:val="429C0466"/>
    <w:rsid w:val="42BA0214"/>
    <w:rsid w:val="42C57F36"/>
    <w:rsid w:val="42D33CD5"/>
    <w:rsid w:val="42DA69F7"/>
    <w:rsid w:val="42FA74B4"/>
    <w:rsid w:val="42FE0D52"/>
    <w:rsid w:val="43192C36"/>
    <w:rsid w:val="43243FD6"/>
    <w:rsid w:val="43397498"/>
    <w:rsid w:val="435766B4"/>
    <w:rsid w:val="43593652"/>
    <w:rsid w:val="435C016E"/>
    <w:rsid w:val="436F39FE"/>
    <w:rsid w:val="43835115"/>
    <w:rsid w:val="438F1CE3"/>
    <w:rsid w:val="43D1290A"/>
    <w:rsid w:val="43E202FE"/>
    <w:rsid w:val="43F41CD4"/>
    <w:rsid w:val="4400619E"/>
    <w:rsid w:val="44340E0E"/>
    <w:rsid w:val="44524D55"/>
    <w:rsid w:val="445269C3"/>
    <w:rsid w:val="4454067C"/>
    <w:rsid w:val="44544042"/>
    <w:rsid w:val="44567C4C"/>
    <w:rsid w:val="44591CA1"/>
    <w:rsid w:val="445D5F4C"/>
    <w:rsid w:val="4493490D"/>
    <w:rsid w:val="44A43B7B"/>
    <w:rsid w:val="44A616A1"/>
    <w:rsid w:val="44B26298"/>
    <w:rsid w:val="44BF0F8A"/>
    <w:rsid w:val="451243C7"/>
    <w:rsid w:val="452A0A8E"/>
    <w:rsid w:val="45467D25"/>
    <w:rsid w:val="4597548E"/>
    <w:rsid w:val="45A7429D"/>
    <w:rsid w:val="45B50E2F"/>
    <w:rsid w:val="45B55914"/>
    <w:rsid w:val="46390601"/>
    <w:rsid w:val="46513B67"/>
    <w:rsid w:val="46532D73"/>
    <w:rsid w:val="46612BBF"/>
    <w:rsid w:val="466510E8"/>
    <w:rsid w:val="467E4216"/>
    <w:rsid w:val="468B4FF2"/>
    <w:rsid w:val="46B362F7"/>
    <w:rsid w:val="46E62229"/>
    <w:rsid w:val="46FA3F26"/>
    <w:rsid w:val="47036ADA"/>
    <w:rsid w:val="47215957"/>
    <w:rsid w:val="472745EF"/>
    <w:rsid w:val="475A2C17"/>
    <w:rsid w:val="47BD5AEE"/>
    <w:rsid w:val="47CA44D1"/>
    <w:rsid w:val="47FE35A2"/>
    <w:rsid w:val="48330486"/>
    <w:rsid w:val="48594C7C"/>
    <w:rsid w:val="48981C49"/>
    <w:rsid w:val="48CA61B5"/>
    <w:rsid w:val="48D80297"/>
    <w:rsid w:val="48EE565D"/>
    <w:rsid w:val="49245802"/>
    <w:rsid w:val="49591CBF"/>
    <w:rsid w:val="4964174A"/>
    <w:rsid w:val="49777AB0"/>
    <w:rsid w:val="49BC1AC3"/>
    <w:rsid w:val="49C37BB9"/>
    <w:rsid w:val="49D4280C"/>
    <w:rsid w:val="49EA6966"/>
    <w:rsid w:val="49ED7D72"/>
    <w:rsid w:val="4A15067A"/>
    <w:rsid w:val="4A273284"/>
    <w:rsid w:val="4AA743C5"/>
    <w:rsid w:val="4AAF15F0"/>
    <w:rsid w:val="4ABA40F8"/>
    <w:rsid w:val="4AC960E9"/>
    <w:rsid w:val="4ACC5BD9"/>
    <w:rsid w:val="4ACD7C7A"/>
    <w:rsid w:val="4ACF6FC9"/>
    <w:rsid w:val="4AEB6602"/>
    <w:rsid w:val="4AF86D17"/>
    <w:rsid w:val="4B19322D"/>
    <w:rsid w:val="4B5856BF"/>
    <w:rsid w:val="4B683B54"/>
    <w:rsid w:val="4B8913FE"/>
    <w:rsid w:val="4BAF3FE0"/>
    <w:rsid w:val="4BE11211"/>
    <w:rsid w:val="4BE86A7D"/>
    <w:rsid w:val="4BEE2565"/>
    <w:rsid w:val="4BF076A6"/>
    <w:rsid w:val="4C0625AE"/>
    <w:rsid w:val="4C082C41"/>
    <w:rsid w:val="4C107D48"/>
    <w:rsid w:val="4C27547C"/>
    <w:rsid w:val="4C3752D5"/>
    <w:rsid w:val="4C572AEA"/>
    <w:rsid w:val="4C60482B"/>
    <w:rsid w:val="4C60772D"/>
    <w:rsid w:val="4C892CA6"/>
    <w:rsid w:val="4CB6269D"/>
    <w:rsid w:val="4CB87E8C"/>
    <w:rsid w:val="4CEC1239"/>
    <w:rsid w:val="4CF3173C"/>
    <w:rsid w:val="4D135D42"/>
    <w:rsid w:val="4D326056"/>
    <w:rsid w:val="4D423E75"/>
    <w:rsid w:val="4D474A0D"/>
    <w:rsid w:val="4D6B16DA"/>
    <w:rsid w:val="4D7627AE"/>
    <w:rsid w:val="4D86480B"/>
    <w:rsid w:val="4DCD7C9F"/>
    <w:rsid w:val="4DDD266E"/>
    <w:rsid w:val="4E1E674C"/>
    <w:rsid w:val="4E214EED"/>
    <w:rsid w:val="4E423A35"/>
    <w:rsid w:val="4E4837C9"/>
    <w:rsid w:val="4E4B3BC6"/>
    <w:rsid w:val="4E503C30"/>
    <w:rsid w:val="4EC642D2"/>
    <w:rsid w:val="4EDD03B5"/>
    <w:rsid w:val="4EDD6DF3"/>
    <w:rsid w:val="4EFB4CDF"/>
    <w:rsid w:val="4EFD0A57"/>
    <w:rsid w:val="4F3A75B6"/>
    <w:rsid w:val="4F5A7C58"/>
    <w:rsid w:val="4F75548E"/>
    <w:rsid w:val="4FBA61EF"/>
    <w:rsid w:val="4FBC446F"/>
    <w:rsid w:val="4FBD6973"/>
    <w:rsid w:val="4FDC431E"/>
    <w:rsid w:val="4FE25169"/>
    <w:rsid w:val="4FF10000"/>
    <w:rsid w:val="50000F6E"/>
    <w:rsid w:val="5046798C"/>
    <w:rsid w:val="50575F45"/>
    <w:rsid w:val="508B3E41"/>
    <w:rsid w:val="508E5482"/>
    <w:rsid w:val="50AB540A"/>
    <w:rsid w:val="50B96C00"/>
    <w:rsid w:val="50CF01D2"/>
    <w:rsid w:val="50D2381E"/>
    <w:rsid w:val="50D42992"/>
    <w:rsid w:val="50D46FFA"/>
    <w:rsid w:val="50D9309B"/>
    <w:rsid w:val="50DA4D77"/>
    <w:rsid w:val="50E57B0E"/>
    <w:rsid w:val="50F85903"/>
    <w:rsid w:val="510B332F"/>
    <w:rsid w:val="511947C5"/>
    <w:rsid w:val="511C4931"/>
    <w:rsid w:val="512C7237"/>
    <w:rsid w:val="5161268E"/>
    <w:rsid w:val="51671427"/>
    <w:rsid w:val="51695F30"/>
    <w:rsid w:val="518F0F33"/>
    <w:rsid w:val="51E66B19"/>
    <w:rsid w:val="520040DE"/>
    <w:rsid w:val="52061760"/>
    <w:rsid w:val="52290929"/>
    <w:rsid w:val="523302EC"/>
    <w:rsid w:val="523E73BD"/>
    <w:rsid w:val="52546BE0"/>
    <w:rsid w:val="5257222D"/>
    <w:rsid w:val="525B064E"/>
    <w:rsid w:val="526037D7"/>
    <w:rsid w:val="5285323E"/>
    <w:rsid w:val="528648C0"/>
    <w:rsid w:val="528C45CC"/>
    <w:rsid w:val="52E84717"/>
    <w:rsid w:val="52FD1026"/>
    <w:rsid w:val="53086C31"/>
    <w:rsid w:val="530A54F1"/>
    <w:rsid w:val="534327B1"/>
    <w:rsid w:val="535844AE"/>
    <w:rsid w:val="53915C12"/>
    <w:rsid w:val="53C5766A"/>
    <w:rsid w:val="53DA675C"/>
    <w:rsid w:val="54084F80"/>
    <w:rsid w:val="541254E0"/>
    <w:rsid w:val="54134A99"/>
    <w:rsid w:val="54296C1E"/>
    <w:rsid w:val="5455686A"/>
    <w:rsid w:val="5457404B"/>
    <w:rsid w:val="54607829"/>
    <w:rsid w:val="54784632"/>
    <w:rsid w:val="54A0435F"/>
    <w:rsid w:val="54B64C6E"/>
    <w:rsid w:val="54DF6509"/>
    <w:rsid w:val="54E83A99"/>
    <w:rsid w:val="551818FC"/>
    <w:rsid w:val="551E21BE"/>
    <w:rsid w:val="556F4C63"/>
    <w:rsid w:val="5583158B"/>
    <w:rsid w:val="55937A20"/>
    <w:rsid w:val="55A17CFD"/>
    <w:rsid w:val="55FF3307"/>
    <w:rsid w:val="5629178B"/>
    <w:rsid w:val="563F3703"/>
    <w:rsid w:val="566C52A4"/>
    <w:rsid w:val="56791F36"/>
    <w:rsid w:val="569D0344"/>
    <w:rsid w:val="56BE42E8"/>
    <w:rsid w:val="56D8599E"/>
    <w:rsid w:val="56FA587C"/>
    <w:rsid w:val="57202BE7"/>
    <w:rsid w:val="5746661C"/>
    <w:rsid w:val="575B456D"/>
    <w:rsid w:val="575B4970"/>
    <w:rsid w:val="57671164"/>
    <w:rsid w:val="576D42A0"/>
    <w:rsid w:val="57853398"/>
    <w:rsid w:val="57875362"/>
    <w:rsid w:val="57A33439"/>
    <w:rsid w:val="57BD0D84"/>
    <w:rsid w:val="57F468B1"/>
    <w:rsid w:val="584D65AC"/>
    <w:rsid w:val="58900246"/>
    <w:rsid w:val="589C75F5"/>
    <w:rsid w:val="58BD0FFC"/>
    <w:rsid w:val="58DE0E74"/>
    <w:rsid w:val="58E31BE9"/>
    <w:rsid w:val="59445639"/>
    <w:rsid w:val="594D30BE"/>
    <w:rsid w:val="596A023E"/>
    <w:rsid w:val="59984A4A"/>
    <w:rsid w:val="599E6993"/>
    <w:rsid w:val="59B22315"/>
    <w:rsid w:val="59CF4D14"/>
    <w:rsid w:val="59DD37F0"/>
    <w:rsid w:val="59E7658C"/>
    <w:rsid w:val="59EE791A"/>
    <w:rsid w:val="59EE7D11"/>
    <w:rsid w:val="5A1D0200"/>
    <w:rsid w:val="5A213326"/>
    <w:rsid w:val="5A472AAA"/>
    <w:rsid w:val="5A6E45B7"/>
    <w:rsid w:val="5AB3646E"/>
    <w:rsid w:val="5AE54FF3"/>
    <w:rsid w:val="5B034BDE"/>
    <w:rsid w:val="5B1213E7"/>
    <w:rsid w:val="5B252ECE"/>
    <w:rsid w:val="5B293721"/>
    <w:rsid w:val="5B49241D"/>
    <w:rsid w:val="5B4E26A5"/>
    <w:rsid w:val="5B8E3311"/>
    <w:rsid w:val="5BAC183B"/>
    <w:rsid w:val="5BAD54FC"/>
    <w:rsid w:val="5BCB750F"/>
    <w:rsid w:val="5BE32D83"/>
    <w:rsid w:val="5BE85205"/>
    <w:rsid w:val="5C1A158E"/>
    <w:rsid w:val="5C1D4AF5"/>
    <w:rsid w:val="5C1D7F11"/>
    <w:rsid w:val="5C2A2760"/>
    <w:rsid w:val="5C566E68"/>
    <w:rsid w:val="5C62014C"/>
    <w:rsid w:val="5C78171D"/>
    <w:rsid w:val="5C9A78E6"/>
    <w:rsid w:val="5CA40764"/>
    <w:rsid w:val="5D14180F"/>
    <w:rsid w:val="5D2D17EA"/>
    <w:rsid w:val="5D2F7CA9"/>
    <w:rsid w:val="5D3B2C2E"/>
    <w:rsid w:val="5D3F4519"/>
    <w:rsid w:val="5D43083C"/>
    <w:rsid w:val="5D47180E"/>
    <w:rsid w:val="5D4B6E32"/>
    <w:rsid w:val="5D69550A"/>
    <w:rsid w:val="5D6E6D98"/>
    <w:rsid w:val="5D8D744A"/>
    <w:rsid w:val="5D916F3A"/>
    <w:rsid w:val="5DA24496"/>
    <w:rsid w:val="5DBA42CC"/>
    <w:rsid w:val="5DCF3B8B"/>
    <w:rsid w:val="5DD4565E"/>
    <w:rsid w:val="5DE73612"/>
    <w:rsid w:val="5DEE0640"/>
    <w:rsid w:val="5DF43025"/>
    <w:rsid w:val="5DF72B16"/>
    <w:rsid w:val="5E0771FD"/>
    <w:rsid w:val="5E0A0A9B"/>
    <w:rsid w:val="5E136313"/>
    <w:rsid w:val="5E56192D"/>
    <w:rsid w:val="5E622685"/>
    <w:rsid w:val="5E6A32E8"/>
    <w:rsid w:val="5E7A79CF"/>
    <w:rsid w:val="5E8343A9"/>
    <w:rsid w:val="5E857B92"/>
    <w:rsid w:val="5EA05EA1"/>
    <w:rsid w:val="5EA74B28"/>
    <w:rsid w:val="5EBD78BB"/>
    <w:rsid w:val="5EC76EBC"/>
    <w:rsid w:val="5ECB022A"/>
    <w:rsid w:val="5ECC3737"/>
    <w:rsid w:val="5EDF4A13"/>
    <w:rsid w:val="5EE3743C"/>
    <w:rsid w:val="5F342CA6"/>
    <w:rsid w:val="5F3E6C4E"/>
    <w:rsid w:val="5F4804B0"/>
    <w:rsid w:val="5F48187B"/>
    <w:rsid w:val="5F645F89"/>
    <w:rsid w:val="5F9F5213"/>
    <w:rsid w:val="5FB30CA1"/>
    <w:rsid w:val="5FB707AE"/>
    <w:rsid w:val="5FC5111D"/>
    <w:rsid w:val="602A3124"/>
    <w:rsid w:val="60365498"/>
    <w:rsid w:val="605B253F"/>
    <w:rsid w:val="60623A34"/>
    <w:rsid w:val="607B1E49"/>
    <w:rsid w:val="60A70823"/>
    <w:rsid w:val="60DA1F55"/>
    <w:rsid w:val="60E2226A"/>
    <w:rsid w:val="60F4563A"/>
    <w:rsid w:val="610C0686"/>
    <w:rsid w:val="613025C6"/>
    <w:rsid w:val="613634C6"/>
    <w:rsid w:val="613A51F3"/>
    <w:rsid w:val="614726C5"/>
    <w:rsid w:val="615F2EAC"/>
    <w:rsid w:val="61644C9B"/>
    <w:rsid w:val="618172C6"/>
    <w:rsid w:val="61C07EF0"/>
    <w:rsid w:val="61D93B6B"/>
    <w:rsid w:val="620121B5"/>
    <w:rsid w:val="620B1345"/>
    <w:rsid w:val="623956FD"/>
    <w:rsid w:val="62461EB9"/>
    <w:rsid w:val="62500CE4"/>
    <w:rsid w:val="62540204"/>
    <w:rsid w:val="626F369E"/>
    <w:rsid w:val="628308FB"/>
    <w:rsid w:val="629C1102"/>
    <w:rsid w:val="62A0552A"/>
    <w:rsid w:val="62CF4061"/>
    <w:rsid w:val="62D9594B"/>
    <w:rsid w:val="62DB5585"/>
    <w:rsid w:val="62EC4C13"/>
    <w:rsid w:val="62F958AC"/>
    <w:rsid w:val="63075FE4"/>
    <w:rsid w:val="632048BD"/>
    <w:rsid w:val="63224191"/>
    <w:rsid w:val="632443AD"/>
    <w:rsid w:val="6333694F"/>
    <w:rsid w:val="635835FF"/>
    <w:rsid w:val="6362003E"/>
    <w:rsid w:val="63670B36"/>
    <w:rsid w:val="63721EBB"/>
    <w:rsid w:val="637C367C"/>
    <w:rsid w:val="63957502"/>
    <w:rsid w:val="63C81B5F"/>
    <w:rsid w:val="63D95197"/>
    <w:rsid w:val="640308ED"/>
    <w:rsid w:val="64064131"/>
    <w:rsid w:val="641451FA"/>
    <w:rsid w:val="644C515F"/>
    <w:rsid w:val="647F2ED4"/>
    <w:rsid w:val="64923E90"/>
    <w:rsid w:val="64CA1DE6"/>
    <w:rsid w:val="64D42453"/>
    <w:rsid w:val="64E22B50"/>
    <w:rsid w:val="64FB3A69"/>
    <w:rsid w:val="65102150"/>
    <w:rsid w:val="651238D3"/>
    <w:rsid w:val="65556026"/>
    <w:rsid w:val="656211BC"/>
    <w:rsid w:val="65752893"/>
    <w:rsid w:val="658D448B"/>
    <w:rsid w:val="65984564"/>
    <w:rsid w:val="659F5A94"/>
    <w:rsid w:val="65C14BAB"/>
    <w:rsid w:val="65DE4CE7"/>
    <w:rsid w:val="65E361CD"/>
    <w:rsid w:val="65E63B9C"/>
    <w:rsid w:val="65ED6CD8"/>
    <w:rsid w:val="6608317E"/>
    <w:rsid w:val="66141074"/>
    <w:rsid w:val="66286FAC"/>
    <w:rsid w:val="662C0ABA"/>
    <w:rsid w:val="66544FA9"/>
    <w:rsid w:val="667B32D7"/>
    <w:rsid w:val="66824FCA"/>
    <w:rsid w:val="668A2164"/>
    <w:rsid w:val="668D04BB"/>
    <w:rsid w:val="669C06FE"/>
    <w:rsid w:val="66B617C0"/>
    <w:rsid w:val="66ED0F5A"/>
    <w:rsid w:val="66F47D30"/>
    <w:rsid w:val="66F52974"/>
    <w:rsid w:val="66FE3B5D"/>
    <w:rsid w:val="67230A38"/>
    <w:rsid w:val="672C50B4"/>
    <w:rsid w:val="67575255"/>
    <w:rsid w:val="6759214B"/>
    <w:rsid w:val="67627252"/>
    <w:rsid w:val="676A6106"/>
    <w:rsid w:val="67786FF6"/>
    <w:rsid w:val="67955C0D"/>
    <w:rsid w:val="67DF08A2"/>
    <w:rsid w:val="67DF34E4"/>
    <w:rsid w:val="67E22141"/>
    <w:rsid w:val="67F768F0"/>
    <w:rsid w:val="683C7C30"/>
    <w:rsid w:val="68752623"/>
    <w:rsid w:val="68862EE1"/>
    <w:rsid w:val="68C27158"/>
    <w:rsid w:val="68DF1D45"/>
    <w:rsid w:val="68E84E17"/>
    <w:rsid w:val="690D143F"/>
    <w:rsid w:val="692A3F84"/>
    <w:rsid w:val="69391E5C"/>
    <w:rsid w:val="694829C0"/>
    <w:rsid w:val="694F4082"/>
    <w:rsid w:val="697804FF"/>
    <w:rsid w:val="698369D2"/>
    <w:rsid w:val="69AC0884"/>
    <w:rsid w:val="69EB7CC6"/>
    <w:rsid w:val="6A342FB4"/>
    <w:rsid w:val="6A3947A5"/>
    <w:rsid w:val="6A505A87"/>
    <w:rsid w:val="6A6A700A"/>
    <w:rsid w:val="6A8B6AC0"/>
    <w:rsid w:val="6AF208ED"/>
    <w:rsid w:val="6BB27053"/>
    <w:rsid w:val="6BB838E4"/>
    <w:rsid w:val="6BD44496"/>
    <w:rsid w:val="6C4258A4"/>
    <w:rsid w:val="6C4E3326"/>
    <w:rsid w:val="6C5630FD"/>
    <w:rsid w:val="6C7C0A1C"/>
    <w:rsid w:val="6C9C2097"/>
    <w:rsid w:val="6CB03EAD"/>
    <w:rsid w:val="6D077A62"/>
    <w:rsid w:val="6D2D4989"/>
    <w:rsid w:val="6D3E250F"/>
    <w:rsid w:val="6D4B2564"/>
    <w:rsid w:val="6D4C219F"/>
    <w:rsid w:val="6D5270A3"/>
    <w:rsid w:val="6D602ADB"/>
    <w:rsid w:val="6D8D4598"/>
    <w:rsid w:val="6D91263F"/>
    <w:rsid w:val="6DF0265A"/>
    <w:rsid w:val="6DFE038D"/>
    <w:rsid w:val="6E0C436E"/>
    <w:rsid w:val="6E3000AA"/>
    <w:rsid w:val="6E361438"/>
    <w:rsid w:val="6E387310"/>
    <w:rsid w:val="6E6D4BA6"/>
    <w:rsid w:val="6E7A1325"/>
    <w:rsid w:val="6EB34837"/>
    <w:rsid w:val="6EB917E0"/>
    <w:rsid w:val="6EBC1E1B"/>
    <w:rsid w:val="6EBE0B4D"/>
    <w:rsid w:val="6EBE56B6"/>
    <w:rsid w:val="6EC8327B"/>
    <w:rsid w:val="6EDF562C"/>
    <w:rsid w:val="6EE45C9F"/>
    <w:rsid w:val="6EFF5436"/>
    <w:rsid w:val="6F174DC6"/>
    <w:rsid w:val="6F1F6036"/>
    <w:rsid w:val="6F5F6471"/>
    <w:rsid w:val="6F693147"/>
    <w:rsid w:val="6F6F69B0"/>
    <w:rsid w:val="6F795A80"/>
    <w:rsid w:val="6F8F53E1"/>
    <w:rsid w:val="6F97029C"/>
    <w:rsid w:val="6FC34F4E"/>
    <w:rsid w:val="6FF661BE"/>
    <w:rsid w:val="7018714F"/>
    <w:rsid w:val="701A124D"/>
    <w:rsid w:val="701B2159"/>
    <w:rsid w:val="703419A7"/>
    <w:rsid w:val="704158C2"/>
    <w:rsid w:val="704D7A41"/>
    <w:rsid w:val="70914EC9"/>
    <w:rsid w:val="70AB1C6A"/>
    <w:rsid w:val="70AB5F9E"/>
    <w:rsid w:val="70AD6439"/>
    <w:rsid w:val="70B34FC2"/>
    <w:rsid w:val="70DF1913"/>
    <w:rsid w:val="70F3716D"/>
    <w:rsid w:val="70FD6883"/>
    <w:rsid w:val="71425CE8"/>
    <w:rsid w:val="714D0F73"/>
    <w:rsid w:val="718A7AD1"/>
    <w:rsid w:val="719E71D7"/>
    <w:rsid w:val="71B76E60"/>
    <w:rsid w:val="71CD77D2"/>
    <w:rsid w:val="71F211B6"/>
    <w:rsid w:val="72107463"/>
    <w:rsid w:val="72417682"/>
    <w:rsid w:val="7245773D"/>
    <w:rsid w:val="728C7F6A"/>
    <w:rsid w:val="729606F7"/>
    <w:rsid w:val="72B621DC"/>
    <w:rsid w:val="72DE41C4"/>
    <w:rsid w:val="72FF5BBD"/>
    <w:rsid w:val="730833A3"/>
    <w:rsid w:val="7309743E"/>
    <w:rsid w:val="730E5FBE"/>
    <w:rsid w:val="733E6DC5"/>
    <w:rsid w:val="735760D9"/>
    <w:rsid w:val="73612AB3"/>
    <w:rsid w:val="73624CDD"/>
    <w:rsid w:val="7369418D"/>
    <w:rsid w:val="736F2051"/>
    <w:rsid w:val="73B7347A"/>
    <w:rsid w:val="73C1654E"/>
    <w:rsid w:val="73C31175"/>
    <w:rsid w:val="73E5734F"/>
    <w:rsid w:val="73F6064E"/>
    <w:rsid w:val="740A2783"/>
    <w:rsid w:val="740A314B"/>
    <w:rsid w:val="741E6204"/>
    <w:rsid w:val="745014B9"/>
    <w:rsid w:val="74626AE3"/>
    <w:rsid w:val="746D7C6A"/>
    <w:rsid w:val="74720851"/>
    <w:rsid w:val="747E6EFF"/>
    <w:rsid w:val="74A375D0"/>
    <w:rsid w:val="74BA06F2"/>
    <w:rsid w:val="74C652C4"/>
    <w:rsid w:val="74C96B62"/>
    <w:rsid w:val="750F7BEE"/>
    <w:rsid w:val="751C14C7"/>
    <w:rsid w:val="75732923"/>
    <w:rsid w:val="758141FF"/>
    <w:rsid w:val="75866801"/>
    <w:rsid w:val="75890554"/>
    <w:rsid w:val="758E60DA"/>
    <w:rsid w:val="759D629E"/>
    <w:rsid w:val="75A675E6"/>
    <w:rsid w:val="75C80C26"/>
    <w:rsid w:val="75C94940"/>
    <w:rsid w:val="75D104DC"/>
    <w:rsid w:val="75E13C15"/>
    <w:rsid w:val="75E151FB"/>
    <w:rsid w:val="75F61BD9"/>
    <w:rsid w:val="76120095"/>
    <w:rsid w:val="764D731F"/>
    <w:rsid w:val="76733229"/>
    <w:rsid w:val="76832D41"/>
    <w:rsid w:val="769D2054"/>
    <w:rsid w:val="76A81546"/>
    <w:rsid w:val="76CC5467"/>
    <w:rsid w:val="76CC5558"/>
    <w:rsid w:val="76EF6C71"/>
    <w:rsid w:val="76FF4FF8"/>
    <w:rsid w:val="770023A3"/>
    <w:rsid w:val="7702030A"/>
    <w:rsid w:val="7735580A"/>
    <w:rsid w:val="77391EDD"/>
    <w:rsid w:val="773E1717"/>
    <w:rsid w:val="77404207"/>
    <w:rsid w:val="77562D45"/>
    <w:rsid w:val="77640DC4"/>
    <w:rsid w:val="77707769"/>
    <w:rsid w:val="777D3D8D"/>
    <w:rsid w:val="777F4B4F"/>
    <w:rsid w:val="778601D1"/>
    <w:rsid w:val="77955421"/>
    <w:rsid w:val="779D2186"/>
    <w:rsid w:val="77A24883"/>
    <w:rsid w:val="77A6318B"/>
    <w:rsid w:val="77A71672"/>
    <w:rsid w:val="77E43CB3"/>
    <w:rsid w:val="77EF301B"/>
    <w:rsid w:val="780460F6"/>
    <w:rsid w:val="781E0F73"/>
    <w:rsid w:val="78216835"/>
    <w:rsid w:val="78444715"/>
    <w:rsid w:val="78450E1C"/>
    <w:rsid w:val="785A1755"/>
    <w:rsid w:val="787225AD"/>
    <w:rsid w:val="78A165E9"/>
    <w:rsid w:val="78A91128"/>
    <w:rsid w:val="78C25DA2"/>
    <w:rsid w:val="7931117A"/>
    <w:rsid w:val="79464C25"/>
    <w:rsid w:val="79584959"/>
    <w:rsid w:val="795C1802"/>
    <w:rsid w:val="79731AB1"/>
    <w:rsid w:val="797F524E"/>
    <w:rsid w:val="79960FDD"/>
    <w:rsid w:val="79A11E5C"/>
    <w:rsid w:val="79A177D4"/>
    <w:rsid w:val="79AE5D2C"/>
    <w:rsid w:val="79C142AC"/>
    <w:rsid w:val="79DC10E6"/>
    <w:rsid w:val="79F052A1"/>
    <w:rsid w:val="79FE29D3"/>
    <w:rsid w:val="7A671CF9"/>
    <w:rsid w:val="7A6A04A0"/>
    <w:rsid w:val="7A7632E8"/>
    <w:rsid w:val="7AAD771D"/>
    <w:rsid w:val="7AC11B9D"/>
    <w:rsid w:val="7AC4352C"/>
    <w:rsid w:val="7AF83CFD"/>
    <w:rsid w:val="7B072192"/>
    <w:rsid w:val="7B0C00A5"/>
    <w:rsid w:val="7B1D19B6"/>
    <w:rsid w:val="7B2B3C0B"/>
    <w:rsid w:val="7B58269F"/>
    <w:rsid w:val="7B902188"/>
    <w:rsid w:val="7BA66491"/>
    <w:rsid w:val="7BAF7EBD"/>
    <w:rsid w:val="7BC52B57"/>
    <w:rsid w:val="7C36441A"/>
    <w:rsid w:val="7C3B7382"/>
    <w:rsid w:val="7C417926"/>
    <w:rsid w:val="7C835849"/>
    <w:rsid w:val="7C943EFA"/>
    <w:rsid w:val="7CDB7433"/>
    <w:rsid w:val="7CF404F4"/>
    <w:rsid w:val="7D053E64"/>
    <w:rsid w:val="7D6065E3"/>
    <w:rsid w:val="7D6C4C9B"/>
    <w:rsid w:val="7D7004C3"/>
    <w:rsid w:val="7D827CD7"/>
    <w:rsid w:val="7DAE683F"/>
    <w:rsid w:val="7DB11460"/>
    <w:rsid w:val="7DD10836"/>
    <w:rsid w:val="7DF2712A"/>
    <w:rsid w:val="7DFA7D8C"/>
    <w:rsid w:val="7E755665"/>
    <w:rsid w:val="7E973746"/>
    <w:rsid w:val="7EC3302F"/>
    <w:rsid w:val="7ECA0A63"/>
    <w:rsid w:val="7ED14F91"/>
    <w:rsid w:val="7F5A06FB"/>
    <w:rsid w:val="7F6846AF"/>
    <w:rsid w:val="7F792E5F"/>
    <w:rsid w:val="7F82628B"/>
    <w:rsid w:val="7F8C2C66"/>
    <w:rsid w:val="7F8E0D28"/>
    <w:rsid w:val="7F991FC1"/>
    <w:rsid w:val="7F9D30C5"/>
    <w:rsid w:val="7FA459F6"/>
    <w:rsid w:val="7FCC39AA"/>
    <w:rsid w:val="7FE42AA2"/>
    <w:rsid w:val="7FEB2083"/>
    <w:rsid w:val="7FF69B65"/>
    <w:rsid w:val="865F5C53"/>
    <w:rsid w:val="97BF26F5"/>
    <w:rsid w:val="DDF6A28A"/>
    <w:rsid w:val="F6F7EF4D"/>
    <w:rsid w:val="FFDCB857"/>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qFormat="1" w:unhideWhenUsed="0" w:uiPriority="0" w:semiHidden="0"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1"/>
    <w:link w:val="89"/>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685"/>
    <w:autoRedefine/>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91"/>
    <w:autoRedefine/>
    <w:qFormat/>
    <w:uiPriority w:val="9"/>
    <w:pPr>
      <w:ind w:left="100"/>
      <w:outlineLvl w:val="2"/>
    </w:pPr>
    <w:rPr>
      <w:rFonts w:ascii="Microsoft JhengHei" w:hAnsi="Microsoft JhengHei"/>
      <w:b/>
      <w:bCs/>
      <w:sz w:val="30"/>
      <w:szCs w:val="32"/>
    </w:rPr>
  </w:style>
  <w:style w:type="paragraph" w:styleId="5">
    <w:name w:val="heading 4"/>
    <w:basedOn w:val="1"/>
    <w:next w:val="1"/>
    <w:link w:val="92"/>
    <w:autoRedefine/>
    <w:qFormat/>
    <w:uiPriority w:val="0"/>
    <w:pPr>
      <w:ind w:left="237"/>
      <w:outlineLvl w:val="3"/>
    </w:pPr>
    <w:rPr>
      <w:rFonts w:ascii="宋体" w:hAnsi="宋体"/>
      <w:sz w:val="28"/>
      <w:szCs w:val="28"/>
    </w:rPr>
  </w:style>
  <w:style w:type="paragraph" w:styleId="6">
    <w:name w:val="heading 5"/>
    <w:basedOn w:val="1"/>
    <w:next w:val="1"/>
    <w:link w:val="93"/>
    <w:autoRedefine/>
    <w:qFormat/>
    <w:uiPriority w:val="0"/>
    <w:pPr>
      <w:ind w:left="522"/>
      <w:outlineLvl w:val="4"/>
    </w:pPr>
    <w:rPr>
      <w:rFonts w:ascii="Times New Roman" w:hAnsi="Times New Roman" w:eastAsia="Times New Roman"/>
      <w:b/>
      <w:bCs/>
      <w:sz w:val="21"/>
      <w:szCs w:val="21"/>
    </w:rPr>
  </w:style>
  <w:style w:type="paragraph" w:styleId="7">
    <w:name w:val="heading 6"/>
    <w:basedOn w:val="1"/>
    <w:next w:val="1"/>
    <w:link w:val="94"/>
    <w:autoRedefine/>
    <w:qFormat/>
    <w:uiPriority w:val="0"/>
    <w:pPr>
      <w:widowControl/>
      <w:tabs>
        <w:tab w:val="left" w:pos="567"/>
        <w:tab w:val="left" w:pos="1418"/>
        <w:tab w:val="left" w:pos="2268"/>
        <w:tab w:val="left" w:pos="3402"/>
        <w:tab w:val="left" w:pos="4536"/>
        <w:tab w:val="left" w:pos="5954"/>
      </w:tabs>
      <w:overflowPunct w:val="0"/>
      <w:autoSpaceDE w:val="0"/>
      <w:autoSpaceDN w:val="0"/>
      <w:adjustRightInd w:val="0"/>
      <w:ind w:left="200" w:leftChars="200" w:right="100" w:rightChars="100"/>
      <w:jc w:val="both"/>
      <w:textAlignment w:val="baseline"/>
      <w:outlineLvl w:val="5"/>
    </w:pPr>
    <w:rPr>
      <w:rFonts w:ascii="Helvetica" w:hAnsi="Helvetica"/>
      <w:position w:val="-6"/>
      <w:szCs w:val="20"/>
      <w:lang w:val="en-GB" w:eastAsia="zh-CN"/>
    </w:rPr>
  </w:style>
  <w:style w:type="paragraph" w:styleId="8">
    <w:name w:val="heading 7"/>
    <w:basedOn w:val="1"/>
    <w:next w:val="1"/>
    <w:link w:val="95"/>
    <w:autoRedefine/>
    <w:qFormat/>
    <w:uiPriority w:val="0"/>
    <w:pPr>
      <w:widowControl/>
      <w:numPr>
        <w:ilvl w:val="6"/>
        <w:numId w:val="1"/>
      </w:numPr>
      <w:overflowPunct w:val="0"/>
      <w:autoSpaceDE w:val="0"/>
      <w:autoSpaceDN w:val="0"/>
      <w:adjustRightInd w:val="0"/>
      <w:jc w:val="both"/>
      <w:textAlignment w:val="baseline"/>
      <w:outlineLvl w:val="6"/>
    </w:pPr>
    <w:rPr>
      <w:rFonts w:ascii="Times New Roman" w:hAnsi="Times New Roman"/>
      <w:i/>
      <w:position w:val="-6"/>
      <w:szCs w:val="20"/>
      <w:lang w:val="en-GB" w:eastAsia="zh-CN"/>
    </w:rPr>
  </w:style>
  <w:style w:type="paragraph" w:styleId="9">
    <w:name w:val="heading 8"/>
    <w:basedOn w:val="1"/>
    <w:next w:val="1"/>
    <w:link w:val="96"/>
    <w:autoRedefine/>
    <w:qFormat/>
    <w:uiPriority w:val="0"/>
    <w:pPr>
      <w:widowControl/>
      <w:numPr>
        <w:ilvl w:val="7"/>
        <w:numId w:val="1"/>
      </w:numPr>
      <w:overflowPunct w:val="0"/>
      <w:autoSpaceDE w:val="0"/>
      <w:autoSpaceDN w:val="0"/>
      <w:adjustRightInd w:val="0"/>
      <w:jc w:val="both"/>
      <w:textAlignment w:val="baseline"/>
      <w:outlineLvl w:val="7"/>
    </w:pPr>
    <w:rPr>
      <w:rFonts w:ascii="Times New Roman" w:hAnsi="Times New Roman"/>
      <w:i/>
      <w:position w:val="-6"/>
      <w:szCs w:val="20"/>
      <w:lang w:val="en-GB" w:eastAsia="zh-CN"/>
    </w:rPr>
  </w:style>
  <w:style w:type="paragraph" w:styleId="10">
    <w:name w:val="heading 9"/>
    <w:basedOn w:val="1"/>
    <w:next w:val="1"/>
    <w:link w:val="97"/>
    <w:autoRedefine/>
    <w:qFormat/>
    <w:uiPriority w:val="0"/>
    <w:pPr>
      <w:widowControl/>
      <w:numPr>
        <w:ilvl w:val="8"/>
        <w:numId w:val="1"/>
      </w:numPr>
      <w:overflowPunct w:val="0"/>
      <w:autoSpaceDE w:val="0"/>
      <w:autoSpaceDN w:val="0"/>
      <w:adjustRightInd w:val="0"/>
      <w:jc w:val="both"/>
      <w:textAlignment w:val="baseline"/>
      <w:outlineLvl w:val="8"/>
    </w:pPr>
    <w:rPr>
      <w:rFonts w:ascii="Times New Roman" w:hAnsi="Times New Roman"/>
      <w:i/>
      <w:position w:val="-6"/>
      <w:szCs w:val="20"/>
      <w:lang w:val="en-GB" w:eastAsia="zh-CN"/>
    </w:rPr>
  </w:style>
  <w:style w:type="character" w:default="1" w:styleId="71">
    <w:name w:val="Default Paragraph Font"/>
    <w:autoRedefine/>
    <w:semiHidden/>
    <w:unhideWhenUsed/>
    <w:qFormat/>
    <w:uiPriority w:val="1"/>
  </w:style>
  <w:style w:type="table" w:default="1" w:styleId="67">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adjustRightInd w:val="0"/>
      <w:spacing w:line="312" w:lineRule="atLeast"/>
      <w:ind w:left="1260" w:hanging="420"/>
      <w:jc w:val="both"/>
      <w:textAlignment w:val="baseline"/>
    </w:pPr>
    <w:rPr>
      <w:rFonts w:ascii="Times New Roman" w:hAnsi="Times New Roman"/>
      <w:sz w:val="21"/>
      <w:szCs w:val="20"/>
      <w:lang w:eastAsia="zh-CN"/>
    </w:rPr>
  </w:style>
  <w:style w:type="paragraph" w:styleId="12">
    <w:name w:val="toc 7"/>
    <w:basedOn w:val="1"/>
    <w:next w:val="1"/>
    <w:autoRedefine/>
    <w:qFormat/>
    <w:uiPriority w:val="39"/>
    <w:pPr>
      <w:widowControl/>
      <w:ind w:left="1200"/>
    </w:pPr>
    <w:rPr>
      <w:rFonts w:ascii="Times New Roman" w:hAnsi="Times New Roman"/>
      <w:sz w:val="20"/>
      <w:szCs w:val="21"/>
      <w:lang w:eastAsia="zh-CN"/>
    </w:rPr>
  </w:style>
  <w:style w:type="paragraph" w:styleId="13">
    <w:name w:val="List Number 2"/>
    <w:basedOn w:val="1"/>
    <w:autoRedefine/>
    <w:qFormat/>
    <w:uiPriority w:val="0"/>
    <w:pPr>
      <w:tabs>
        <w:tab w:val="left" w:pos="360"/>
        <w:tab w:val="left" w:pos="1200"/>
      </w:tabs>
    </w:pPr>
    <w:rPr>
      <w:rFonts w:ascii="Times New Roman" w:hAnsi="Times New Roman" w:cs="Arial"/>
      <w:kern w:val="2"/>
      <w:sz w:val="28"/>
      <w:szCs w:val="20"/>
      <w:lang w:eastAsia="zh-CN"/>
    </w:rPr>
  </w:style>
  <w:style w:type="paragraph" w:styleId="14">
    <w:name w:val="table of authorities"/>
    <w:basedOn w:val="1"/>
    <w:next w:val="1"/>
    <w:autoRedefine/>
    <w:qFormat/>
    <w:uiPriority w:val="0"/>
    <w:pPr>
      <w:ind w:left="420" w:leftChars="200"/>
      <w:jc w:val="both"/>
    </w:pPr>
    <w:rPr>
      <w:rFonts w:ascii="Times New Roman" w:hAnsi="Times New Roman"/>
      <w:kern w:val="2"/>
      <w:sz w:val="21"/>
      <w:szCs w:val="24"/>
      <w:lang w:eastAsia="zh-CN"/>
    </w:rPr>
  </w:style>
  <w:style w:type="paragraph" w:styleId="15">
    <w:name w:val="index 8"/>
    <w:basedOn w:val="1"/>
    <w:next w:val="1"/>
    <w:autoRedefine/>
    <w:qFormat/>
    <w:uiPriority w:val="0"/>
    <w:pPr>
      <w:spacing w:line="440" w:lineRule="exact"/>
      <w:ind w:left="1400" w:leftChars="1400" w:firstLine="300" w:firstLineChars="300"/>
    </w:pPr>
    <w:rPr>
      <w:rFonts w:ascii="华文细黑" w:hAnsi="华文细黑" w:cs="Arial"/>
      <w:sz w:val="21"/>
      <w:szCs w:val="21"/>
      <w:lang w:eastAsia="zh-CN"/>
    </w:rPr>
  </w:style>
  <w:style w:type="paragraph" w:styleId="16">
    <w:name w:val="List Number"/>
    <w:basedOn w:val="1"/>
    <w:autoRedefine/>
    <w:qFormat/>
    <w:uiPriority w:val="0"/>
    <w:pPr>
      <w:widowControl/>
      <w:overflowPunct w:val="0"/>
      <w:autoSpaceDE w:val="0"/>
      <w:autoSpaceDN w:val="0"/>
      <w:adjustRightInd w:val="0"/>
      <w:ind w:left="425" w:hanging="425"/>
      <w:jc w:val="both"/>
      <w:textAlignment w:val="baseline"/>
    </w:pPr>
    <w:rPr>
      <w:rFonts w:ascii="Times New Roman" w:hAnsi="Arial"/>
      <w:sz w:val="28"/>
      <w:szCs w:val="28"/>
      <w:lang w:eastAsia="zh-CN"/>
    </w:rPr>
  </w:style>
  <w:style w:type="paragraph" w:styleId="17">
    <w:name w:val="Normal Indent"/>
    <w:basedOn w:val="1"/>
    <w:next w:val="1"/>
    <w:link w:val="98"/>
    <w:autoRedefine/>
    <w:qFormat/>
    <w:uiPriority w:val="0"/>
    <w:pPr>
      <w:ind w:firstLine="420" w:firstLineChars="200"/>
      <w:jc w:val="both"/>
    </w:pPr>
    <w:rPr>
      <w:kern w:val="2"/>
      <w:sz w:val="21"/>
      <w:szCs w:val="24"/>
    </w:rPr>
  </w:style>
  <w:style w:type="paragraph" w:styleId="18">
    <w:name w:val="caption"/>
    <w:basedOn w:val="1"/>
    <w:next w:val="1"/>
    <w:autoRedefine/>
    <w:qFormat/>
    <w:uiPriority w:val="0"/>
    <w:pPr>
      <w:tabs>
        <w:tab w:val="left" w:pos="1050"/>
      </w:tabs>
      <w:spacing w:line="400" w:lineRule="exact"/>
      <w:ind w:firstLine="100"/>
      <w:jc w:val="both"/>
    </w:pPr>
    <w:rPr>
      <w:rFonts w:ascii="Times New Roman" w:hAnsi="Times New Roman"/>
      <w:kern w:val="2"/>
      <w:sz w:val="28"/>
      <w:szCs w:val="24"/>
      <w:lang w:eastAsia="zh-CN"/>
    </w:rPr>
  </w:style>
  <w:style w:type="paragraph" w:styleId="19">
    <w:name w:val="index 5"/>
    <w:basedOn w:val="1"/>
    <w:next w:val="1"/>
    <w:autoRedefine/>
    <w:qFormat/>
    <w:uiPriority w:val="0"/>
    <w:pPr>
      <w:spacing w:line="440" w:lineRule="exact"/>
      <w:ind w:left="800" w:leftChars="800" w:firstLine="300" w:firstLineChars="300"/>
    </w:pPr>
    <w:rPr>
      <w:rFonts w:ascii="华文细黑" w:hAnsi="华文细黑" w:cs="Arial"/>
      <w:sz w:val="21"/>
      <w:szCs w:val="21"/>
      <w:lang w:eastAsia="zh-CN"/>
    </w:rPr>
  </w:style>
  <w:style w:type="paragraph" w:styleId="20">
    <w:name w:val="List Bullet"/>
    <w:basedOn w:val="1"/>
    <w:autoRedefine/>
    <w:qFormat/>
    <w:uiPriority w:val="0"/>
    <w:pPr>
      <w:numPr>
        <w:ilvl w:val="0"/>
        <w:numId w:val="2"/>
      </w:numPr>
      <w:tabs>
        <w:tab w:val="left" w:pos="284"/>
        <w:tab w:val="clear" w:pos="860"/>
      </w:tabs>
      <w:jc w:val="both"/>
    </w:pPr>
    <w:rPr>
      <w:rFonts w:ascii="Times New Roman" w:hAnsi="Times New Roman"/>
      <w:kern w:val="2"/>
      <w:sz w:val="21"/>
      <w:szCs w:val="20"/>
      <w:lang w:eastAsia="zh-CN"/>
    </w:rPr>
  </w:style>
  <w:style w:type="paragraph" w:styleId="21">
    <w:name w:val="Document Map"/>
    <w:basedOn w:val="1"/>
    <w:link w:val="99"/>
    <w:autoRedefine/>
    <w:qFormat/>
    <w:uiPriority w:val="0"/>
    <w:pPr>
      <w:widowControl/>
      <w:shd w:val="clear" w:color="auto" w:fill="000080"/>
      <w:tabs>
        <w:tab w:val="left" w:pos="851"/>
      </w:tabs>
      <w:autoSpaceDE w:val="0"/>
      <w:autoSpaceDN w:val="0"/>
      <w:snapToGrid w:val="0"/>
      <w:spacing w:after="120" w:line="360" w:lineRule="auto"/>
      <w:ind w:left="-4" w:leftChars="-4" w:hanging="11" w:hangingChars="4"/>
      <w:jc w:val="both"/>
      <w:textAlignment w:val="bottom"/>
    </w:pPr>
    <w:rPr>
      <w:rFonts w:ascii="宋体" w:hAnsi="宋体"/>
      <w:bCs/>
      <w:spacing w:val="20"/>
      <w:kern w:val="21"/>
      <w:sz w:val="24"/>
      <w:lang w:eastAsia="zh-CN"/>
    </w:rPr>
  </w:style>
  <w:style w:type="paragraph" w:styleId="22">
    <w:name w:val="toa heading"/>
    <w:basedOn w:val="1"/>
    <w:next w:val="1"/>
    <w:autoRedefine/>
    <w:qFormat/>
    <w:uiPriority w:val="0"/>
    <w:pPr>
      <w:spacing w:before="120"/>
      <w:jc w:val="both"/>
    </w:pPr>
    <w:rPr>
      <w:rFonts w:ascii="Arial" w:hAnsi="Arial" w:cs="Arial"/>
      <w:kern w:val="2"/>
      <w:sz w:val="24"/>
      <w:szCs w:val="24"/>
      <w:lang w:eastAsia="zh-CN"/>
    </w:rPr>
  </w:style>
  <w:style w:type="paragraph" w:styleId="23">
    <w:name w:val="annotation text"/>
    <w:basedOn w:val="1"/>
    <w:link w:val="100"/>
    <w:autoRedefine/>
    <w:qFormat/>
    <w:uiPriority w:val="0"/>
  </w:style>
  <w:style w:type="paragraph" w:styleId="24">
    <w:name w:val="index 6"/>
    <w:basedOn w:val="1"/>
    <w:next w:val="1"/>
    <w:autoRedefine/>
    <w:qFormat/>
    <w:uiPriority w:val="0"/>
    <w:pPr>
      <w:spacing w:line="440" w:lineRule="exact"/>
      <w:ind w:left="1000" w:leftChars="1000" w:firstLine="300" w:firstLineChars="300"/>
    </w:pPr>
    <w:rPr>
      <w:rFonts w:ascii="华文细黑" w:hAnsi="华文细黑" w:cs="Arial"/>
      <w:sz w:val="21"/>
      <w:szCs w:val="21"/>
      <w:lang w:eastAsia="zh-CN"/>
    </w:rPr>
  </w:style>
  <w:style w:type="paragraph" w:styleId="25">
    <w:name w:val="Salutation"/>
    <w:basedOn w:val="1"/>
    <w:next w:val="1"/>
    <w:link w:val="101"/>
    <w:autoRedefine/>
    <w:qFormat/>
    <w:uiPriority w:val="0"/>
    <w:pPr>
      <w:ind w:firstLine="630" w:firstLineChars="300"/>
    </w:pPr>
    <w:rPr>
      <w:rFonts w:ascii="Times New Roman" w:hAnsi="Times New Roman" w:cs="Arial"/>
      <w:kern w:val="2"/>
      <w:sz w:val="28"/>
      <w:szCs w:val="20"/>
      <w:lang w:eastAsia="zh-CN"/>
    </w:rPr>
  </w:style>
  <w:style w:type="paragraph" w:styleId="26">
    <w:name w:val="Body Text 3"/>
    <w:basedOn w:val="1"/>
    <w:link w:val="102"/>
    <w:autoRedefine/>
    <w:qFormat/>
    <w:uiPriority w:val="0"/>
    <w:pPr>
      <w:widowControl/>
    </w:pPr>
    <w:rPr>
      <w:rFonts w:ascii="宋体"/>
      <w:b/>
      <w:bCs/>
      <w:sz w:val="21"/>
      <w:lang w:eastAsia="zh-CN"/>
    </w:rPr>
  </w:style>
  <w:style w:type="paragraph" w:styleId="27">
    <w:name w:val="List Bullet 3"/>
    <w:basedOn w:val="1"/>
    <w:autoRedefine/>
    <w:qFormat/>
    <w:uiPriority w:val="0"/>
    <w:pPr>
      <w:widowControl/>
      <w:tabs>
        <w:tab w:val="left" w:pos="1200"/>
      </w:tabs>
      <w:spacing w:after="120" w:line="360" w:lineRule="auto"/>
      <w:ind w:left="1200" w:hanging="360"/>
    </w:pPr>
    <w:rPr>
      <w:rFonts w:ascii="Times New Roman" w:hAnsi="Times New Roman" w:cs="Arial"/>
      <w:sz w:val="20"/>
      <w:szCs w:val="20"/>
      <w:lang w:eastAsia="zh-CN"/>
    </w:rPr>
  </w:style>
  <w:style w:type="paragraph" w:styleId="28">
    <w:name w:val="Body Text"/>
    <w:basedOn w:val="1"/>
    <w:next w:val="1"/>
    <w:link w:val="88"/>
    <w:autoRedefine/>
    <w:qFormat/>
    <w:uiPriority w:val="0"/>
    <w:pPr>
      <w:ind w:left="100"/>
    </w:pPr>
    <w:rPr>
      <w:rFonts w:ascii="宋体" w:hAnsi="宋体"/>
      <w:sz w:val="21"/>
      <w:szCs w:val="21"/>
    </w:rPr>
  </w:style>
  <w:style w:type="paragraph" w:styleId="29">
    <w:name w:val="Body Text Indent"/>
    <w:basedOn w:val="1"/>
    <w:next w:val="30"/>
    <w:link w:val="103"/>
    <w:autoRedefine/>
    <w:qFormat/>
    <w:uiPriority w:val="0"/>
    <w:pPr>
      <w:widowControl/>
      <w:tabs>
        <w:tab w:val="left" w:pos="993"/>
      </w:tabs>
      <w:spacing w:line="360" w:lineRule="auto"/>
      <w:ind w:left="4099" w:leftChars="949" w:hanging="2201" w:hangingChars="687"/>
      <w:jc w:val="both"/>
    </w:pPr>
    <w:rPr>
      <w:rFonts w:ascii="Arial" w:hAnsi="Arial" w:eastAsia="幼圆"/>
      <w:b/>
      <w:sz w:val="32"/>
      <w:lang w:eastAsia="zh-CN"/>
    </w:rPr>
  </w:style>
  <w:style w:type="paragraph" w:styleId="30">
    <w:name w:val="envelope return"/>
    <w:basedOn w:val="1"/>
    <w:qFormat/>
    <w:uiPriority w:val="0"/>
    <w:pPr>
      <w:snapToGrid w:val="0"/>
    </w:pPr>
    <w:rPr>
      <w:rFonts w:ascii="Arial" w:hAnsi="Arial"/>
    </w:rPr>
  </w:style>
  <w:style w:type="paragraph" w:styleId="31">
    <w:name w:val="List 2"/>
    <w:basedOn w:val="1"/>
    <w:autoRedefine/>
    <w:qFormat/>
    <w:uiPriority w:val="0"/>
    <w:pPr>
      <w:ind w:left="100" w:hanging="200"/>
      <w:jc w:val="both"/>
    </w:pPr>
    <w:rPr>
      <w:rFonts w:ascii="宋体" w:hAnsi="Times New Roman"/>
      <w:kern w:val="2"/>
      <w:sz w:val="24"/>
      <w:szCs w:val="24"/>
      <w:lang w:eastAsia="zh-CN"/>
    </w:rPr>
  </w:style>
  <w:style w:type="paragraph" w:styleId="32">
    <w:name w:val="Block Text"/>
    <w:basedOn w:val="1"/>
    <w:autoRedefine/>
    <w:qFormat/>
    <w:uiPriority w:val="0"/>
    <w:pPr>
      <w:widowControl/>
      <w:spacing w:line="360" w:lineRule="auto"/>
      <w:ind w:left="3828" w:right="1410" w:hanging="258"/>
      <w:jc w:val="both"/>
    </w:pPr>
    <w:rPr>
      <w:rFonts w:ascii="Arial" w:hAnsi="Arial" w:eastAsia="幼圆"/>
      <w:b/>
      <w:sz w:val="32"/>
      <w:szCs w:val="20"/>
      <w:lang w:eastAsia="zh-CN"/>
    </w:rPr>
  </w:style>
  <w:style w:type="paragraph" w:styleId="33">
    <w:name w:val="index 4"/>
    <w:basedOn w:val="1"/>
    <w:next w:val="1"/>
    <w:autoRedefine/>
    <w:qFormat/>
    <w:uiPriority w:val="0"/>
    <w:pPr>
      <w:spacing w:line="440" w:lineRule="exact"/>
      <w:ind w:left="600" w:leftChars="600" w:firstLine="300" w:firstLineChars="300"/>
    </w:pPr>
    <w:rPr>
      <w:rFonts w:ascii="华文细黑" w:hAnsi="华文细黑" w:cs="Arial"/>
      <w:sz w:val="21"/>
      <w:szCs w:val="21"/>
      <w:lang w:eastAsia="zh-CN"/>
    </w:rPr>
  </w:style>
  <w:style w:type="paragraph" w:styleId="34">
    <w:name w:val="toc 5"/>
    <w:basedOn w:val="1"/>
    <w:next w:val="1"/>
    <w:autoRedefine/>
    <w:qFormat/>
    <w:uiPriority w:val="39"/>
    <w:pPr>
      <w:widowControl/>
      <w:ind w:left="800"/>
    </w:pPr>
    <w:rPr>
      <w:rFonts w:ascii="Times New Roman" w:hAnsi="Times New Roman"/>
      <w:sz w:val="20"/>
      <w:szCs w:val="21"/>
      <w:lang w:eastAsia="zh-CN"/>
    </w:rPr>
  </w:style>
  <w:style w:type="paragraph" w:styleId="35">
    <w:name w:val="toc 3"/>
    <w:basedOn w:val="1"/>
    <w:next w:val="1"/>
    <w:autoRedefine/>
    <w:qFormat/>
    <w:uiPriority w:val="39"/>
    <w:pPr>
      <w:ind w:left="520"/>
    </w:pPr>
    <w:rPr>
      <w:rFonts w:ascii="宋体" w:hAnsi="宋体"/>
      <w:sz w:val="21"/>
      <w:szCs w:val="21"/>
    </w:rPr>
  </w:style>
  <w:style w:type="paragraph" w:styleId="36">
    <w:name w:val="Plain Text"/>
    <w:basedOn w:val="1"/>
    <w:next w:val="1"/>
    <w:link w:val="104"/>
    <w:autoRedefine/>
    <w:qFormat/>
    <w:uiPriority w:val="0"/>
    <w:pPr>
      <w:jc w:val="both"/>
    </w:pPr>
    <w:rPr>
      <w:rFonts w:ascii="宋体"/>
      <w:kern w:val="2"/>
      <w:sz w:val="21"/>
      <w:lang w:eastAsia="zh-CN"/>
    </w:rPr>
  </w:style>
  <w:style w:type="paragraph" w:styleId="37">
    <w:name w:val="List Number 4"/>
    <w:basedOn w:val="1"/>
    <w:autoRedefine/>
    <w:qFormat/>
    <w:uiPriority w:val="0"/>
    <w:pPr>
      <w:widowControl/>
      <w:numPr>
        <w:ilvl w:val="0"/>
        <w:numId w:val="3"/>
      </w:numPr>
      <w:tabs>
        <w:tab w:val="left" w:pos="1209"/>
        <w:tab w:val="left" w:pos="1260"/>
        <w:tab w:val="left" w:pos="1418"/>
        <w:tab w:val="left" w:pos="1728"/>
        <w:tab w:val="left" w:pos="2160"/>
        <w:tab w:val="left" w:pos="6521"/>
        <w:tab w:val="clear" w:pos="900"/>
      </w:tabs>
      <w:ind w:left="1209"/>
      <w:jc w:val="both"/>
    </w:pPr>
    <w:rPr>
      <w:rFonts w:ascii="Arial" w:hAnsi="Arial"/>
      <w:szCs w:val="20"/>
      <w:lang w:val="en-GB" w:eastAsia="zh-CN"/>
    </w:rPr>
  </w:style>
  <w:style w:type="paragraph" w:styleId="38">
    <w:name w:val="toc 8"/>
    <w:basedOn w:val="1"/>
    <w:next w:val="1"/>
    <w:autoRedefine/>
    <w:qFormat/>
    <w:uiPriority w:val="39"/>
    <w:pPr>
      <w:widowControl/>
      <w:ind w:left="1400"/>
    </w:pPr>
    <w:rPr>
      <w:rFonts w:ascii="Times New Roman" w:hAnsi="Times New Roman"/>
      <w:sz w:val="20"/>
      <w:szCs w:val="21"/>
      <w:lang w:eastAsia="zh-CN"/>
    </w:rPr>
  </w:style>
  <w:style w:type="paragraph" w:styleId="39">
    <w:name w:val="index 3"/>
    <w:basedOn w:val="1"/>
    <w:next w:val="1"/>
    <w:autoRedefine/>
    <w:qFormat/>
    <w:uiPriority w:val="0"/>
    <w:pPr>
      <w:spacing w:line="440" w:lineRule="exact"/>
      <w:ind w:left="400" w:leftChars="400" w:firstLine="300" w:firstLineChars="300"/>
    </w:pPr>
    <w:rPr>
      <w:rFonts w:ascii="华文细黑" w:hAnsi="华文细黑" w:cs="Arial"/>
      <w:sz w:val="21"/>
      <w:szCs w:val="21"/>
      <w:lang w:eastAsia="zh-CN"/>
    </w:rPr>
  </w:style>
  <w:style w:type="paragraph" w:styleId="40">
    <w:name w:val="Date"/>
    <w:basedOn w:val="1"/>
    <w:next w:val="1"/>
    <w:link w:val="105"/>
    <w:autoRedefine/>
    <w:qFormat/>
    <w:uiPriority w:val="0"/>
    <w:pPr>
      <w:spacing w:line="360" w:lineRule="auto"/>
      <w:ind w:left="100" w:leftChars="2500"/>
      <w:jc w:val="both"/>
    </w:pPr>
    <w:rPr>
      <w:kern w:val="2"/>
      <w:sz w:val="28"/>
      <w:lang w:eastAsia="zh-CN"/>
    </w:rPr>
  </w:style>
  <w:style w:type="paragraph" w:styleId="41">
    <w:name w:val="Body Text Indent 2"/>
    <w:basedOn w:val="1"/>
    <w:link w:val="106"/>
    <w:autoRedefine/>
    <w:qFormat/>
    <w:uiPriority w:val="0"/>
    <w:pPr>
      <w:adjustRightInd w:val="0"/>
      <w:spacing w:line="360" w:lineRule="auto"/>
      <w:ind w:firstLine="425"/>
      <w:jc w:val="both"/>
      <w:textAlignment w:val="baseline"/>
    </w:pPr>
    <w:rPr>
      <w:rFonts w:ascii="仿宋_GB2312" w:hAnsi="Arial" w:eastAsia="仿宋_GB2312"/>
      <w:sz w:val="24"/>
      <w:szCs w:val="20"/>
      <w:lang w:eastAsia="zh-CN"/>
    </w:rPr>
  </w:style>
  <w:style w:type="paragraph" w:styleId="42">
    <w:name w:val="endnote text"/>
    <w:basedOn w:val="1"/>
    <w:link w:val="107"/>
    <w:autoRedefine/>
    <w:qFormat/>
    <w:uiPriority w:val="0"/>
    <w:pPr>
      <w:widowControl/>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rPr>
      <w:rFonts w:ascii="Times New Roman" w:hAnsi="Times New Roman"/>
      <w:sz w:val="24"/>
      <w:szCs w:val="20"/>
      <w:lang w:eastAsia="zh-CN"/>
    </w:rPr>
  </w:style>
  <w:style w:type="paragraph" w:styleId="43">
    <w:name w:val="Balloon Text"/>
    <w:basedOn w:val="1"/>
    <w:link w:val="108"/>
    <w:autoRedefine/>
    <w:qFormat/>
    <w:uiPriority w:val="0"/>
    <w:rPr>
      <w:sz w:val="18"/>
      <w:szCs w:val="18"/>
    </w:rPr>
  </w:style>
  <w:style w:type="paragraph" w:styleId="44">
    <w:name w:val="footer"/>
    <w:basedOn w:val="1"/>
    <w:link w:val="109"/>
    <w:autoRedefine/>
    <w:qFormat/>
    <w:uiPriority w:val="99"/>
    <w:pPr>
      <w:tabs>
        <w:tab w:val="center" w:pos="4153"/>
        <w:tab w:val="right" w:pos="8306"/>
      </w:tabs>
      <w:snapToGrid w:val="0"/>
    </w:pPr>
    <w:rPr>
      <w:sz w:val="18"/>
      <w:szCs w:val="18"/>
    </w:rPr>
  </w:style>
  <w:style w:type="paragraph" w:styleId="45">
    <w:name w:val="header"/>
    <w:basedOn w:val="1"/>
    <w:link w:val="110"/>
    <w:autoRedefine/>
    <w:qFormat/>
    <w:uiPriority w:val="0"/>
    <w:pPr>
      <w:pBdr>
        <w:bottom w:val="single" w:color="auto" w:sz="6" w:space="1"/>
      </w:pBdr>
      <w:tabs>
        <w:tab w:val="center" w:pos="4153"/>
        <w:tab w:val="right" w:pos="8306"/>
      </w:tabs>
      <w:snapToGrid w:val="0"/>
      <w:jc w:val="center"/>
    </w:pPr>
    <w:rPr>
      <w:sz w:val="18"/>
      <w:szCs w:val="18"/>
    </w:rPr>
  </w:style>
  <w:style w:type="paragraph" w:styleId="46">
    <w:name w:val="toc 1"/>
    <w:basedOn w:val="1"/>
    <w:next w:val="1"/>
    <w:autoRedefine/>
    <w:qFormat/>
    <w:uiPriority w:val="39"/>
    <w:rPr>
      <w:rFonts w:ascii="宋体" w:hAnsi="宋体"/>
      <w:sz w:val="21"/>
      <w:szCs w:val="21"/>
    </w:rPr>
  </w:style>
  <w:style w:type="paragraph" w:styleId="47">
    <w:name w:val="toc 4"/>
    <w:basedOn w:val="1"/>
    <w:next w:val="1"/>
    <w:autoRedefine/>
    <w:qFormat/>
    <w:uiPriority w:val="39"/>
    <w:pPr>
      <w:ind w:left="940"/>
    </w:pPr>
    <w:rPr>
      <w:rFonts w:ascii="宋体" w:hAnsi="宋体"/>
      <w:sz w:val="21"/>
      <w:szCs w:val="21"/>
    </w:rPr>
  </w:style>
  <w:style w:type="paragraph" w:styleId="48">
    <w:name w:val="index heading"/>
    <w:basedOn w:val="1"/>
    <w:next w:val="49"/>
    <w:autoRedefine/>
    <w:qFormat/>
    <w:uiPriority w:val="0"/>
    <w:pPr>
      <w:spacing w:line="440" w:lineRule="exact"/>
      <w:ind w:firstLine="630" w:firstLineChars="300"/>
    </w:pPr>
    <w:rPr>
      <w:rFonts w:ascii="华文细黑" w:hAnsi="华文细黑" w:cs="Arial"/>
      <w:sz w:val="21"/>
      <w:szCs w:val="21"/>
      <w:lang w:eastAsia="zh-CN"/>
    </w:rPr>
  </w:style>
  <w:style w:type="paragraph" w:styleId="49">
    <w:name w:val="index 1"/>
    <w:basedOn w:val="1"/>
    <w:next w:val="1"/>
    <w:autoRedefine/>
    <w:qFormat/>
    <w:uiPriority w:val="0"/>
    <w:pPr>
      <w:spacing w:before="60" w:after="60" w:line="240" w:lineRule="atLeast"/>
      <w:jc w:val="center"/>
    </w:pPr>
    <w:rPr>
      <w:rFonts w:ascii="Times New Roman" w:hAnsi="Times New Roman"/>
      <w:kern w:val="2"/>
      <w:sz w:val="21"/>
      <w:szCs w:val="24"/>
      <w:lang w:eastAsia="zh-CN"/>
    </w:rPr>
  </w:style>
  <w:style w:type="paragraph" w:styleId="50">
    <w:name w:val="List"/>
    <w:basedOn w:val="1"/>
    <w:autoRedefine/>
    <w:qFormat/>
    <w:uiPriority w:val="0"/>
    <w:pPr>
      <w:ind w:left="200" w:hanging="200" w:hangingChars="200"/>
      <w:jc w:val="both"/>
    </w:pPr>
    <w:rPr>
      <w:rFonts w:ascii="Times New Roman" w:hAnsi="Times New Roman"/>
      <w:kern w:val="2"/>
      <w:sz w:val="21"/>
      <w:szCs w:val="20"/>
      <w:lang w:eastAsia="zh-CN"/>
    </w:rPr>
  </w:style>
  <w:style w:type="paragraph" w:styleId="51">
    <w:name w:val="footnote text"/>
    <w:basedOn w:val="1"/>
    <w:link w:val="111"/>
    <w:autoRedefine/>
    <w:qFormat/>
    <w:uiPriority w:val="0"/>
    <w:pPr>
      <w:adjustRightInd w:val="0"/>
      <w:spacing w:line="315" w:lineRule="atLeast"/>
      <w:jc w:val="both"/>
      <w:textAlignment w:val="baseline"/>
    </w:pPr>
    <w:rPr>
      <w:rFonts w:ascii="宋体" w:hAnsi="Times New Roman"/>
      <w:sz w:val="24"/>
      <w:szCs w:val="20"/>
      <w:lang w:eastAsia="zh-CN"/>
    </w:rPr>
  </w:style>
  <w:style w:type="paragraph" w:styleId="52">
    <w:name w:val="toc 6"/>
    <w:basedOn w:val="1"/>
    <w:next w:val="1"/>
    <w:autoRedefine/>
    <w:qFormat/>
    <w:uiPriority w:val="39"/>
    <w:pPr>
      <w:widowControl/>
      <w:ind w:left="1000"/>
    </w:pPr>
    <w:rPr>
      <w:rFonts w:ascii="Times New Roman" w:hAnsi="Times New Roman"/>
      <w:sz w:val="20"/>
      <w:szCs w:val="21"/>
      <w:lang w:eastAsia="zh-CN"/>
    </w:rPr>
  </w:style>
  <w:style w:type="paragraph" w:styleId="53">
    <w:name w:val="Body Text Indent 3"/>
    <w:basedOn w:val="1"/>
    <w:link w:val="112"/>
    <w:autoRedefine/>
    <w:qFormat/>
    <w:uiPriority w:val="0"/>
    <w:pPr>
      <w:widowControl/>
      <w:spacing w:line="360" w:lineRule="auto"/>
      <w:ind w:left="506"/>
    </w:pPr>
    <w:rPr>
      <w:rFonts w:ascii="Arial Narrow" w:hAnsi="Arial Narrow" w:eastAsia="幼圆"/>
      <w:sz w:val="24"/>
      <w:szCs w:val="20"/>
      <w:lang w:eastAsia="zh-CN"/>
    </w:rPr>
  </w:style>
  <w:style w:type="paragraph" w:styleId="54">
    <w:name w:val="index 7"/>
    <w:basedOn w:val="1"/>
    <w:next w:val="1"/>
    <w:autoRedefine/>
    <w:qFormat/>
    <w:uiPriority w:val="0"/>
    <w:pPr>
      <w:spacing w:line="440" w:lineRule="exact"/>
      <w:ind w:left="1200" w:leftChars="1200" w:firstLine="300" w:firstLineChars="300"/>
    </w:pPr>
    <w:rPr>
      <w:rFonts w:ascii="华文细黑" w:hAnsi="华文细黑" w:cs="Arial"/>
      <w:sz w:val="21"/>
      <w:szCs w:val="21"/>
      <w:lang w:eastAsia="zh-CN"/>
    </w:rPr>
  </w:style>
  <w:style w:type="paragraph" w:styleId="55">
    <w:name w:val="index 9"/>
    <w:basedOn w:val="1"/>
    <w:next w:val="1"/>
    <w:autoRedefine/>
    <w:qFormat/>
    <w:uiPriority w:val="0"/>
    <w:pPr>
      <w:spacing w:line="440" w:lineRule="exact"/>
      <w:ind w:left="1600" w:leftChars="1600" w:firstLine="300" w:firstLineChars="300"/>
    </w:pPr>
    <w:rPr>
      <w:rFonts w:ascii="华文细黑" w:hAnsi="华文细黑" w:cs="Arial"/>
      <w:sz w:val="21"/>
      <w:szCs w:val="21"/>
      <w:lang w:eastAsia="zh-CN"/>
    </w:rPr>
  </w:style>
  <w:style w:type="paragraph" w:styleId="56">
    <w:name w:val="toc 2"/>
    <w:basedOn w:val="1"/>
    <w:next w:val="1"/>
    <w:autoRedefine/>
    <w:qFormat/>
    <w:uiPriority w:val="39"/>
    <w:pPr>
      <w:ind w:left="100"/>
    </w:pPr>
    <w:rPr>
      <w:rFonts w:ascii="宋体" w:hAnsi="宋体"/>
      <w:sz w:val="21"/>
      <w:szCs w:val="21"/>
    </w:rPr>
  </w:style>
  <w:style w:type="paragraph" w:styleId="57">
    <w:name w:val="toc 9"/>
    <w:basedOn w:val="1"/>
    <w:next w:val="1"/>
    <w:autoRedefine/>
    <w:qFormat/>
    <w:uiPriority w:val="39"/>
    <w:pPr>
      <w:widowControl/>
      <w:ind w:left="1600"/>
    </w:pPr>
    <w:rPr>
      <w:rFonts w:ascii="Times New Roman" w:hAnsi="Times New Roman"/>
      <w:sz w:val="20"/>
      <w:szCs w:val="21"/>
      <w:lang w:eastAsia="zh-CN"/>
    </w:rPr>
  </w:style>
  <w:style w:type="paragraph" w:styleId="58">
    <w:name w:val="Body Text 2"/>
    <w:basedOn w:val="1"/>
    <w:link w:val="113"/>
    <w:autoRedefine/>
    <w:qFormat/>
    <w:uiPriority w:val="0"/>
    <w:pPr>
      <w:widowControl/>
      <w:tabs>
        <w:tab w:val="left" w:pos="210"/>
      </w:tabs>
    </w:pPr>
    <w:rPr>
      <w:rFonts w:ascii="宋体" w:hAnsi="宋体"/>
      <w:sz w:val="24"/>
      <w:szCs w:val="20"/>
      <w:lang w:eastAsia="zh-CN"/>
    </w:rPr>
  </w:style>
  <w:style w:type="paragraph" w:styleId="59">
    <w:name w:val="List Continue 2"/>
    <w:basedOn w:val="1"/>
    <w:autoRedefine/>
    <w:qFormat/>
    <w:uiPriority w:val="0"/>
    <w:pPr>
      <w:spacing w:after="120"/>
      <w:ind w:left="840" w:leftChars="400"/>
    </w:pPr>
    <w:rPr>
      <w:rFonts w:ascii="Times New Roman" w:hAnsi="Times New Roman" w:cs="Arial"/>
      <w:kern w:val="2"/>
      <w:sz w:val="21"/>
      <w:szCs w:val="21"/>
      <w:lang w:eastAsia="zh-CN"/>
    </w:rPr>
  </w:style>
  <w:style w:type="paragraph" w:styleId="60">
    <w:name w:val="HTML Preformatted"/>
    <w:basedOn w:val="1"/>
    <w:link w:val="11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cs="Arial"/>
      <w:sz w:val="21"/>
      <w:szCs w:val="21"/>
    </w:rPr>
  </w:style>
  <w:style w:type="paragraph" w:styleId="61">
    <w:name w:val="Normal (Web)"/>
    <w:basedOn w:val="1"/>
    <w:link w:val="115"/>
    <w:autoRedefine/>
    <w:qFormat/>
    <w:uiPriority w:val="0"/>
    <w:pPr>
      <w:widowControl/>
      <w:spacing w:before="100" w:beforeAutospacing="1" w:after="100" w:afterAutospacing="1"/>
    </w:pPr>
    <w:rPr>
      <w:rFonts w:ascii="宋体" w:hAnsi="宋体" w:cs="宋体"/>
      <w:sz w:val="24"/>
      <w:szCs w:val="24"/>
      <w:lang w:eastAsia="zh-CN"/>
    </w:rPr>
  </w:style>
  <w:style w:type="paragraph" w:styleId="62">
    <w:name w:val="index 2"/>
    <w:basedOn w:val="1"/>
    <w:next w:val="1"/>
    <w:autoRedefine/>
    <w:qFormat/>
    <w:uiPriority w:val="0"/>
    <w:pPr>
      <w:spacing w:line="440" w:lineRule="exact"/>
      <w:ind w:left="200" w:leftChars="200" w:firstLine="300" w:firstLineChars="300"/>
    </w:pPr>
    <w:rPr>
      <w:rFonts w:ascii="华文细黑" w:hAnsi="华文细黑" w:cs="Arial"/>
      <w:sz w:val="21"/>
      <w:szCs w:val="21"/>
      <w:lang w:eastAsia="zh-CN"/>
    </w:rPr>
  </w:style>
  <w:style w:type="paragraph" w:styleId="63">
    <w:name w:val="Title"/>
    <w:basedOn w:val="1"/>
    <w:next w:val="1"/>
    <w:link w:val="116"/>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64">
    <w:name w:val="annotation subject"/>
    <w:basedOn w:val="23"/>
    <w:next w:val="23"/>
    <w:link w:val="117"/>
    <w:autoRedefine/>
    <w:qFormat/>
    <w:uiPriority w:val="0"/>
    <w:rPr>
      <w:b/>
      <w:bCs/>
    </w:rPr>
  </w:style>
  <w:style w:type="paragraph" w:styleId="65">
    <w:name w:val="Body Text First Indent"/>
    <w:basedOn w:val="28"/>
    <w:link w:val="118"/>
    <w:autoRedefine/>
    <w:qFormat/>
    <w:uiPriority w:val="0"/>
    <w:pPr>
      <w:spacing w:after="120"/>
      <w:ind w:left="0" w:firstLine="420" w:firstLineChars="100"/>
      <w:jc w:val="both"/>
    </w:pPr>
    <w:rPr>
      <w:rFonts w:ascii="Times New Roman" w:hAnsi="Times New Roman"/>
      <w:kern w:val="2"/>
      <w:szCs w:val="24"/>
      <w:lang w:eastAsia="zh-CN"/>
    </w:rPr>
  </w:style>
  <w:style w:type="paragraph" w:styleId="66">
    <w:name w:val="Body Text First Indent 2"/>
    <w:basedOn w:val="29"/>
    <w:link w:val="119"/>
    <w:autoRedefine/>
    <w:qFormat/>
    <w:uiPriority w:val="0"/>
    <w:pPr>
      <w:widowControl w:val="0"/>
      <w:spacing w:after="120" w:line="240" w:lineRule="auto"/>
      <w:ind w:left="420" w:leftChars="200" w:firstLine="420" w:firstLineChars="200"/>
    </w:pPr>
    <w:rPr>
      <w:rFonts w:ascii="Times New Roman" w:hAnsi="Times New Roman" w:eastAsia="宋体"/>
      <w:b w:val="0"/>
      <w:kern w:val="2"/>
      <w:sz w:val="21"/>
      <w:szCs w:val="24"/>
    </w:rPr>
  </w:style>
  <w:style w:type="table" w:styleId="68">
    <w:name w:val="Table Grid"/>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9">
    <w:name w:val="Table Theme"/>
    <w:basedOn w:val="67"/>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Elegant"/>
    <w:basedOn w:val="67"/>
    <w:autoRedefine/>
    <w:qFormat/>
    <w:uiPriority w:val="0"/>
    <w:pPr>
      <w:jc w:val="both"/>
    </w:pPr>
    <w:tblP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72">
    <w:name w:val="Strong"/>
    <w:basedOn w:val="71"/>
    <w:autoRedefine/>
    <w:qFormat/>
    <w:uiPriority w:val="0"/>
    <w:rPr>
      <w:rFonts w:ascii="Calibri" w:hAnsi="Calibri" w:eastAsia="宋体" w:cs="Times New Roman"/>
      <w:b/>
      <w:bCs/>
    </w:rPr>
  </w:style>
  <w:style w:type="character" w:styleId="73">
    <w:name w:val="page number"/>
    <w:autoRedefine/>
    <w:qFormat/>
    <w:uiPriority w:val="0"/>
    <w:rPr>
      <w:rFonts w:ascii="Calibri" w:hAnsi="Calibri" w:eastAsia="宋体" w:cs="Times New Roman"/>
    </w:rPr>
  </w:style>
  <w:style w:type="character" w:styleId="74">
    <w:name w:val="FollowedHyperlink"/>
    <w:autoRedefine/>
    <w:qFormat/>
    <w:uiPriority w:val="99"/>
    <w:rPr>
      <w:rFonts w:ascii="Calibri" w:hAnsi="Calibri" w:eastAsia="宋体" w:cs="Times New Roman"/>
      <w:color w:val="800080"/>
      <w:u w:val="single"/>
    </w:rPr>
  </w:style>
  <w:style w:type="character" w:styleId="75">
    <w:name w:val="Emphasis"/>
    <w:autoRedefine/>
    <w:qFormat/>
    <w:uiPriority w:val="0"/>
    <w:rPr>
      <w:rFonts w:ascii="Calibri" w:hAnsi="Calibri" w:eastAsia="宋体" w:cs="Times New Roman"/>
      <w:i/>
      <w:iCs/>
    </w:rPr>
  </w:style>
  <w:style w:type="character" w:styleId="76">
    <w:name w:val="HTML Definition"/>
    <w:autoRedefine/>
    <w:qFormat/>
    <w:uiPriority w:val="0"/>
    <w:rPr>
      <w:rFonts w:ascii="Calibri" w:hAnsi="Calibri" w:eastAsia="宋体" w:cs="Times New Roman"/>
      <w:color w:val="000000"/>
      <w:kern w:val="0"/>
    </w:rPr>
  </w:style>
  <w:style w:type="character" w:styleId="77">
    <w:name w:val="HTML Variable"/>
    <w:autoRedefine/>
    <w:qFormat/>
    <w:uiPriority w:val="0"/>
    <w:rPr>
      <w:rFonts w:ascii="Calibri" w:hAnsi="Calibri" w:eastAsia="宋体" w:cs="Times New Roman"/>
      <w:color w:val="000000"/>
      <w:kern w:val="0"/>
    </w:rPr>
  </w:style>
  <w:style w:type="character" w:styleId="78">
    <w:name w:val="Hyperlink"/>
    <w:basedOn w:val="71"/>
    <w:autoRedefine/>
    <w:qFormat/>
    <w:uiPriority w:val="99"/>
    <w:rPr>
      <w:rFonts w:ascii="Calibri" w:hAnsi="Calibri" w:eastAsia="宋体" w:cs="Times New Roman"/>
      <w:color w:val="0000FF"/>
      <w:u w:val="single"/>
    </w:rPr>
  </w:style>
  <w:style w:type="character" w:styleId="79">
    <w:name w:val="HTML Code"/>
    <w:autoRedefine/>
    <w:qFormat/>
    <w:uiPriority w:val="0"/>
    <w:rPr>
      <w:rFonts w:ascii="Courier New" w:hAnsi="Courier New" w:eastAsia="Courier New" w:cs="Courier New"/>
      <w:color w:val="000000"/>
      <w:kern w:val="0"/>
      <w:sz w:val="20"/>
    </w:rPr>
  </w:style>
  <w:style w:type="character" w:styleId="80">
    <w:name w:val="annotation reference"/>
    <w:autoRedefine/>
    <w:qFormat/>
    <w:uiPriority w:val="0"/>
    <w:rPr>
      <w:rFonts w:ascii="Calibri" w:hAnsi="Calibri" w:eastAsia="宋体" w:cs="Times New Roman"/>
      <w:sz w:val="21"/>
      <w:szCs w:val="21"/>
    </w:rPr>
  </w:style>
  <w:style w:type="character" w:styleId="81">
    <w:name w:val="HTML Cite"/>
    <w:autoRedefine/>
    <w:qFormat/>
    <w:uiPriority w:val="0"/>
    <w:rPr>
      <w:rFonts w:ascii="Calibri" w:hAnsi="Calibri" w:eastAsia="宋体" w:cs="Times New Roman"/>
      <w:color w:val="000000"/>
      <w:kern w:val="0"/>
    </w:rPr>
  </w:style>
  <w:style w:type="character" w:styleId="82">
    <w:name w:val="HTML Keyboard"/>
    <w:autoRedefine/>
    <w:qFormat/>
    <w:uiPriority w:val="0"/>
    <w:rPr>
      <w:rFonts w:ascii="Courier New" w:hAnsi="Courier New" w:eastAsia="Courier New" w:cs="Courier New"/>
      <w:color w:val="000000"/>
      <w:kern w:val="0"/>
      <w:sz w:val="20"/>
    </w:rPr>
  </w:style>
  <w:style w:type="character" w:styleId="83">
    <w:name w:val="HTML Sample"/>
    <w:autoRedefine/>
    <w:qFormat/>
    <w:uiPriority w:val="0"/>
    <w:rPr>
      <w:rFonts w:ascii="Courier New" w:hAnsi="Courier New" w:eastAsia="Courier New" w:cs="Courier New"/>
      <w:color w:val="000000"/>
      <w:kern w:val="0"/>
    </w:rPr>
  </w:style>
  <w:style w:type="paragraph" w:customStyle="1" w:styleId="84">
    <w:name w:val="Default"/>
    <w:link w:val="137"/>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5">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8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7">
    <w:name w:val="段"/>
    <w:next w:val="1"/>
    <w:autoRedefine/>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88">
    <w:name w:val="正文文本 字符"/>
    <w:link w:val="28"/>
    <w:autoRedefine/>
    <w:qFormat/>
    <w:uiPriority w:val="0"/>
    <w:rPr>
      <w:rFonts w:ascii="宋体" w:hAnsi="宋体" w:eastAsia="宋体" w:cs="Times New Roman"/>
      <w:sz w:val="21"/>
      <w:szCs w:val="21"/>
    </w:rPr>
  </w:style>
  <w:style w:type="character" w:customStyle="1" w:styleId="89">
    <w:name w:val="标题 1 字符"/>
    <w:link w:val="2"/>
    <w:autoRedefine/>
    <w:qFormat/>
    <w:uiPriority w:val="0"/>
    <w:rPr>
      <w:rFonts w:ascii="Microsoft JhengHei" w:hAnsi="Microsoft JhengHei" w:eastAsia="Microsoft JhengHei" w:cs="Times New Roman"/>
      <w:b/>
      <w:bCs/>
      <w:sz w:val="44"/>
      <w:szCs w:val="44"/>
    </w:rPr>
  </w:style>
  <w:style w:type="character" w:customStyle="1" w:styleId="90">
    <w:name w:val="标题 2 字符"/>
    <w:link w:val="3"/>
    <w:autoRedefine/>
    <w:qFormat/>
    <w:uiPriority w:val="0"/>
    <w:rPr>
      <w:rFonts w:ascii="宋体" w:hAnsi="宋体" w:eastAsia="宋体" w:cs="Times New Roman"/>
      <w:b/>
      <w:sz w:val="44"/>
      <w:szCs w:val="44"/>
    </w:rPr>
  </w:style>
  <w:style w:type="character" w:customStyle="1" w:styleId="91">
    <w:name w:val="标题 3 字符"/>
    <w:link w:val="4"/>
    <w:autoRedefine/>
    <w:qFormat/>
    <w:uiPriority w:val="9"/>
    <w:rPr>
      <w:rFonts w:ascii="Microsoft JhengHei" w:hAnsi="Microsoft JhengHei" w:eastAsia="宋体" w:cs="Times New Roman"/>
      <w:b/>
      <w:bCs/>
      <w:sz w:val="30"/>
      <w:szCs w:val="32"/>
    </w:rPr>
  </w:style>
  <w:style w:type="character" w:customStyle="1" w:styleId="92">
    <w:name w:val="标题 4 字符"/>
    <w:link w:val="5"/>
    <w:autoRedefine/>
    <w:qFormat/>
    <w:uiPriority w:val="0"/>
    <w:rPr>
      <w:rFonts w:ascii="宋体" w:hAnsi="宋体" w:eastAsia="宋体" w:cs="Times New Roman"/>
      <w:sz w:val="28"/>
      <w:szCs w:val="28"/>
    </w:rPr>
  </w:style>
  <w:style w:type="character" w:customStyle="1" w:styleId="93">
    <w:name w:val="标题 5 字符"/>
    <w:link w:val="6"/>
    <w:autoRedefine/>
    <w:qFormat/>
    <w:uiPriority w:val="0"/>
    <w:rPr>
      <w:rFonts w:ascii="Times New Roman" w:hAnsi="Times New Roman" w:eastAsia="Times New Roman" w:cs="Times New Roman"/>
      <w:b/>
      <w:bCs/>
      <w:sz w:val="21"/>
      <w:szCs w:val="21"/>
    </w:rPr>
  </w:style>
  <w:style w:type="character" w:customStyle="1" w:styleId="94">
    <w:name w:val="标题 6 字符1"/>
    <w:link w:val="7"/>
    <w:autoRedefine/>
    <w:qFormat/>
    <w:uiPriority w:val="0"/>
    <w:rPr>
      <w:rFonts w:ascii="Helvetica" w:hAnsi="Helvetica" w:eastAsia="宋体" w:cs="Times New Roman"/>
      <w:position w:val="-6"/>
      <w:szCs w:val="20"/>
      <w:lang w:val="en-GB" w:eastAsia="zh-CN"/>
    </w:rPr>
  </w:style>
  <w:style w:type="character" w:customStyle="1" w:styleId="95">
    <w:name w:val="标题 7 字符1"/>
    <w:link w:val="8"/>
    <w:autoRedefine/>
    <w:qFormat/>
    <w:uiPriority w:val="0"/>
    <w:rPr>
      <w:rFonts w:ascii="Times New Roman" w:hAnsi="Times New Roman" w:eastAsia="宋体" w:cs="Times New Roman"/>
      <w:i/>
      <w:position w:val="-6"/>
      <w:szCs w:val="20"/>
      <w:lang w:val="en-GB" w:eastAsia="zh-CN"/>
    </w:rPr>
  </w:style>
  <w:style w:type="character" w:customStyle="1" w:styleId="96">
    <w:name w:val="标题 8 字符1"/>
    <w:link w:val="9"/>
    <w:autoRedefine/>
    <w:qFormat/>
    <w:uiPriority w:val="0"/>
    <w:rPr>
      <w:rFonts w:ascii="Times New Roman" w:hAnsi="Times New Roman" w:eastAsia="宋体" w:cs="Times New Roman"/>
      <w:i/>
      <w:position w:val="-6"/>
      <w:szCs w:val="20"/>
      <w:lang w:val="en-GB" w:eastAsia="zh-CN"/>
    </w:rPr>
  </w:style>
  <w:style w:type="character" w:customStyle="1" w:styleId="97">
    <w:name w:val="标题 9 字符1"/>
    <w:link w:val="10"/>
    <w:autoRedefine/>
    <w:qFormat/>
    <w:uiPriority w:val="0"/>
    <w:rPr>
      <w:rFonts w:ascii="Times New Roman" w:hAnsi="Times New Roman" w:eastAsia="宋体" w:cs="Times New Roman"/>
      <w:i/>
      <w:position w:val="-6"/>
      <w:szCs w:val="20"/>
      <w:lang w:val="en-GB" w:eastAsia="zh-CN"/>
    </w:rPr>
  </w:style>
  <w:style w:type="character" w:customStyle="1" w:styleId="98">
    <w:name w:val="正文缩进 字符"/>
    <w:link w:val="17"/>
    <w:autoRedefine/>
    <w:qFormat/>
    <w:uiPriority w:val="0"/>
    <w:rPr>
      <w:rFonts w:ascii="Calibri" w:hAnsi="Calibri" w:eastAsia="宋体" w:cs="Times New Roman"/>
      <w:kern w:val="2"/>
      <w:sz w:val="21"/>
      <w:szCs w:val="24"/>
    </w:rPr>
  </w:style>
  <w:style w:type="character" w:customStyle="1" w:styleId="99">
    <w:name w:val="文档结构图 字符"/>
    <w:link w:val="21"/>
    <w:autoRedefine/>
    <w:qFormat/>
    <w:uiPriority w:val="0"/>
    <w:rPr>
      <w:rFonts w:ascii="宋体" w:hAnsi="宋体" w:eastAsia="宋体" w:cs="Times New Roman"/>
      <w:bCs/>
      <w:spacing w:val="20"/>
      <w:kern w:val="21"/>
      <w:sz w:val="24"/>
      <w:shd w:val="clear" w:color="auto" w:fill="000080"/>
      <w:lang w:eastAsia="zh-CN"/>
    </w:rPr>
  </w:style>
  <w:style w:type="character" w:customStyle="1" w:styleId="100">
    <w:name w:val="批注文字 字符1"/>
    <w:link w:val="23"/>
    <w:autoRedefine/>
    <w:qFormat/>
    <w:uiPriority w:val="0"/>
    <w:rPr>
      <w:rFonts w:ascii="Calibri" w:hAnsi="Calibri" w:eastAsia="宋体" w:cs="Times New Roman"/>
    </w:rPr>
  </w:style>
  <w:style w:type="character" w:customStyle="1" w:styleId="101">
    <w:name w:val="称呼 字符"/>
    <w:link w:val="25"/>
    <w:autoRedefine/>
    <w:qFormat/>
    <w:uiPriority w:val="0"/>
    <w:rPr>
      <w:rFonts w:ascii="Times New Roman" w:hAnsi="Times New Roman" w:eastAsia="宋体" w:cs="Arial"/>
      <w:kern w:val="2"/>
      <w:sz w:val="28"/>
      <w:szCs w:val="20"/>
      <w:lang w:eastAsia="zh-CN"/>
    </w:rPr>
  </w:style>
  <w:style w:type="character" w:customStyle="1" w:styleId="102">
    <w:name w:val="正文文本 3 字符1"/>
    <w:link w:val="26"/>
    <w:autoRedefine/>
    <w:qFormat/>
    <w:uiPriority w:val="0"/>
    <w:rPr>
      <w:rFonts w:ascii="宋体" w:hAnsi="Calibri" w:eastAsia="宋体" w:cs="Times New Roman"/>
      <w:b/>
      <w:bCs/>
      <w:sz w:val="21"/>
      <w:lang w:eastAsia="zh-CN"/>
    </w:rPr>
  </w:style>
  <w:style w:type="character" w:customStyle="1" w:styleId="103">
    <w:name w:val="正文文本缩进 字符1"/>
    <w:link w:val="29"/>
    <w:autoRedefine/>
    <w:qFormat/>
    <w:uiPriority w:val="0"/>
    <w:rPr>
      <w:rFonts w:ascii="Arial" w:hAnsi="Arial" w:eastAsia="幼圆" w:cs="Times New Roman"/>
      <w:b/>
      <w:sz w:val="32"/>
      <w:lang w:eastAsia="zh-CN"/>
    </w:rPr>
  </w:style>
  <w:style w:type="character" w:customStyle="1" w:styleId="104">
    <w:name w:val="纯文本 字符1"/>
    <w:link w:val="36"/>
    <w:autoRedefine/>
    <w:qFormat/>
    <w:uiPriority w:val="0"/>
    <w:rPr>
      <w:rFonts w:ascii="宋体" w:hAnsi="Calibri" w:eastAsia="宋体" w:cs="Times New Roman"/>
      <w:kern w:val="2"/>
      <w:sz w:val="21"/>
      <w:lang w:eastAsia="zh-CN"/>
    </w:rPr>
  </w:style>
  <w:style w:type="character" w:customStyle="1" w:styleId="105">
    <w:name w:val="日期 字符1"/>
    <w:link w:val="40"/>
    <w:autoRedefine/>
    <w:qFormat/>
    <w:uiPriority w:val="0"/>
    <w:rPr>
      <w:rFonts w:ascii="Calibri" w:hAnsi="Calibri" w:eastAsia="宋体" w:cs="Times New Roman"/>
      <w:kern w:val="2"/>
      <w:sz w:val="28"/>
      <w:lang w:eastAsia="zh-CN"/>
    </w:rPr>
  </w:style>
  <w:style w:type="character" w:customStyle="1" w:styleId="106">
    <w:name w:val="正文文本缩进 2 字符"/>
    <w:link w:val="41"/>
    <w:autoRedefine/>
    <w:qFormat/>
    <w:uiPriority w:val="0"/>
    <w:rPr>
      <w:rFonts w:ascii="仿宋_GB2312" w:hAnsi="Arial" w:eastAsia="仿宋_GB2312" w:cs="Times New Roman"/>
      <w:sz w:val="24"/>
      <w:szCs w:val="20"/>
      <w:lang w:eastAsia="zh-CN"/>
    </w:rPr>
  </w:style>
  <w:style w:type="character" w:customStyle="1" w:styleId="107">
    <w:name w:val="尾注文本 字符"/>
    <w:link w:val="42"/>
    <w:autoRedefine/>
    <w:qFormat/>
    <w:uiPriority w:val="0"/>
    <w:rPr>
      <w:rFonts w:ascii="Times New Roman" w:hAnsi="Times New Roman" w:eastAsia="宋体" w:cs="Times New Roman"/>
      <w:sz w:val="24"/>
      <w:szCs w:val="20"/>
      <w:lang w:eastAsia="zh-CN"/>
    </w:rPr>
  </w:style>
  <w:style w:type="character" w:customStyle="1" w:styleId="108">
    <w:name w:val="批注框文本 字符1"/>
    <w:link w:val="43"/>
    <w:autoRedefine/>
    <w:qFormat/>
    <w:uiPriority w:val="0"/>
    <w:rPr>
      <w:rFonts w:ascii="Calibri" w:hAnsi="Calibri" w:eastAsia="宋体" w:cs="Times New Roman"/>
      <w:sz w:val="18"/>
      <w:szCs w:val="18"/>
    </w:rPr>
  </w:style>
  <w:style w:type="character" w:customStyle="1" w:styleId="109">
    <w:name w:val="页脚 字符"/>
    <w:link w:val="44"/>
    <w:autoRedefine/>
    <w:qFormat/>
    <w:uiPriority w:val="99"/>
    <w:rPr>
      <w:rFonts w:ascii="Calibri" w:hAnsi="Calibri" w:eastAsia="宋体" w:cs="Times New Roman"/>
      <w:sz w:val="18"/>
      <w:szCs w:val="18"/>
    </w:rPr>
  </w:style>
  <w:style w:type="character" w:customStyle="1" w:styleId="110">
    <w:name w:val="页眉 字符"/>
    <w:link w:val="45"/>
    <w:autoRedefine/>
    <w:qFormat/>
    <w:uiPriority w:val="0"/>
    <w:rPr>
      <w:rFonts w:ascii="Calibri" w:hAnsi="Calibri" w:eastAsia="宋体" w:cs="Times New Roman"/>
      <w:sz w:val="18"/>
      <w:szCs w:val="18"/>
    </w:rPr>
  </w:style>
  <w:style w:type="character" w:customStyle="1" w:styleId="111">
    <w:name w:val="脚注文本 字符"/>
    <w:link w:val="51"/>
    <w:autoRedefine/>
    <w:qFormat/>
    <w:uiPriority w:val="0"/>
    <w:rPr>
      <w:rFonts w:ascii="宋体" w:hAnsi="Times New Roman" w:eastAsia="宋体" w:cs="Times New Roman"/>
      <w:sz w:val="24"/>
      <w:szCs w:val="20"/>
      <w:lang w:eastAsia="zh-CN"/>
    </w:rPr>
  </w:style>
  <w:style w:type="character" w:customStyle="1" w:styleId="112">
    <w:name w:val="正文文本缩进 3 字符"/>
    <w:link w:val="53"/>
    <w:autoRedefine/>
    <w:qFormat/>
    <w:uiPriority w:val="0"/>
    <w:rPr>
      <w:rFonts w:ascii="Arial Narrow" w:hAnsi="Arial Narrow" w:eastAsia="幼圆" w:cs="Times New Roman"/>
      <w:sz w:val="24"/>
      <w:szCs w:val="20"/>
      <w:lang w:eastAsia="zh-CN"/>
    </w:rPr>
  </w:style>
  <w:style w:type="character" w:customStyle="1" w:styleId="113">
    <w:name w:val="正文文本 2 字符"/>
    <w:link w:val="58"/>
    <w:autoRedefine/>
    <w:qFormat/>
    <w:uiPriority w:val="0"/>
    <w:rPr>
      <w:rFonts w:ascii="宋体" w:hAnsi="宋体" w:eastAsia="宋体" w:cs="Times New Roman"/>
      <w:sz w:val="24"/>
      <w:szCs w:val="20"/>
      <w:lang w:eastAsia="zh-CN"/>
    </w:rPr>
  </w:style>
  <w:style w:type="character" w:customStyle="1" w:styleId="114">
    <w:name w:val="HTML 预设格式 字符1"/>
    <w:link w:val="60"/>
    <w:autoRedefine/>
    <w:qFormat/>
    <w:uiPriority w:val="0"/>
    <w:rPr>
      <w:rFonts w:ascii="Arial" w:hAnsi="Arial" w:eastAsia="宋体" w:cs="Arial"/>
      <w:sz w:val="21"/>
      <w:szCs w:val="21"/>
    </w:rPr>
  </w:style>
  <w:style w:type="character" w:customStyle="1" w:styleId="115">
    <w:name w:val="普通(网站) 字符"/>
    <w:link w:val="61"/>
    <w:autoRedefine/>
    <w:qFormat/>
    <w:uiPriority w:val="0"/>
    <w:rPr>
      <w:rFonts w:ascii="宋体" w:hAnsi="宋体" w:eastAsia="宋体" w:cs="宋体"/>
      <w:sz w:val="24"/>
      <w:szCs w:val="24"/>
    </w:rPr>
  </w:style>
  <w:style w:type="character" w:customStyle="1" w:styleId="116">
    <w:name w:val="标题 字符"/>
    <w:link w:val="63"/>
    <w:autoRedefine/>
    <w:qFormat/>
    <w:uiPriority w:val="0"/>
    <w:rPr>
      <w:rFonts w:ascii="Arial" w:hAnsi="Arial" w:eastAsia="宋体" w:cs="Arial"/>
      <w:b/>
      <w:bCs/>
      <w:sz w:val="32"/>
      <w:szCs w:val="32"/>
      <w:lang w:eastAsia="zh-CN"/>
    </w:rPr>
  </w:style>
  <w:style w:type="character" w:customStyle="1" w:styleId="117">
    <w:name w:val="批注主题 字符"/>
    <w:link w:val="64"/>
    <w:autoRedefine/>
    <w:qFormat/>
    <w:uiPriority w:val="0"/>
    <w:rPr>
      <w:rFonts w:ascii="Calibri" w:hAnsi="Calibri" w:eastAsia="宋体" w:cs="Times New Roman"/>
      <w:b/>
      <w:bCs/>
    </w:rPr>
  </w:style>
  <w:style w:type="character" w:customStyle="1" w:styleId="118">
    <w:name w:val="正文文本首行缩进 字符"/>
    <w:link w:val="65"/>
    <w:autoRedefine/>
    <w:qFormat/>
    <w:uiPriority w:val="0"/>
    <w:rPr>
      <w:rFonts w:ascii="Times New Roman" w:hAnsi="Times New Roman" w:eastAsia="宋体" w:cs="Times New Roman"/>
      <w:kern w:val="2"/>
      <w:sz w:val="21"/>
      <w:szCs w:val="24"/>
      <w:lang w:eastAsia="zh-CN"/>
    </w:rPr>
  </w:style>
  <w:style w:type="character" w:customStyle="1" w:styleId="119">
    <w:name w:val="正文文本首行缩进 2 字符"/>
    <w:link w:val="66"/>
    <w:autoRedefine/>
    <w:qFormat/>
    <w:uiPriority w:val="0"/>
    <w:rPr>
      <w:rFonts w:ascii="Times New Roman" w:hAnsi="Times New Roman" w:eastAsia="宋体" w:cs="Times New Roman"/>
      <w:kern w:val="2"/>
      <w:sz w:val="21"/>
      <w:szCs w:val="24"/>
      <w:lang w:eastAsia="zh-CN"/>
    </w:rPr>
  </w:style>
  <w:style w:type="character" w:customStyle="1" w:styleId="120">
    <w:name w:val="批注文字 Char1"/>
    <w:autoRedefine/>
    <w:qFormat/>
    <w:uiPriority w:val="0"/>
    <w:rPr>
      <w:rFonts w:ascii="Calibri" w:hAnsi="Calibri" w:eastAsia="宋体" w:cs="Times New Roman"/>
      <w:bCs/>
      <w:spacing w:val="20"/>
      <w:kern w:val="21"/>
      <w:sz w:val="24"/>
      <w:lang w:val="en-US" w:eastAsia="zh-CN" w:bidi="ar-SA"/>
    </w:rPr>
  </w:style>
  <w:style w:type="character" w:customStyle="1" w:styleId="121">
    <w:name w:val="批注框文本 字符"/>
    <w:autoRedefine/>
    <w:qFormat/>
    <w:uiPriority w:val="0"/>
    <w:rPr>
      <w:rFonts w:ascii="Calibri" w:hAnsi="Calibri" w:eastAsia="宋体" w:cs="Times New Roman"/>
      <w:sz w:val="18"/>
      <w:szCs w:val="18"/>
    </w:rPr>
  </w:style>
  <w:style w:type="character" w:customStyle="1" w:styleId="122">
    <w:name w:val="sidecatalog-index2"/>
    <w:autoRedefine/>
    <w:qFormat/>
    <w:uiPriority w:val="0"/>
    <w:rPr>
      <w:rFonts w:ascii="Arail" w:hAnsi="Arail" w:eastAsia="Arail" w:cs="Arail"/>
      <w:color w:val="999999"/>
      <w:kern w:val="0"/>
      <w:sz w:val="21"/>
      <w:szCs w:val="21"/>
    </w:rPr>
  </w:style>
  <w:style w:type="character" w:customStyle="1" w:styleId="123">
    <w:name w:val="标题 7 字符"/>
    <w:autoRedefine/>
    <w:qFormat/>
    <w:uiPriority w:val="0"/>
    <w:rPr>
      <w:rFonts w:ascii="Calibri" w:hAnsi="Calibri" w:eastAsia="宋体" w:cs="Times New Roman"/>
      <w:b/>
      <w:bCs/>
      <w:sz w:val="24"/>
      <w:szCs w:val="24"/>
    </w:rPr>
  </w:style>
  <w:style w:type="character" w:customStyle="1" w:styleId="124">
    <w:name w:val="H6 Char2"/>
    <w:autoRedefine/>
    <w:qFormat/>
    <w:uiPriority w:val="0"/>
    <w:rPr>
      <w:rFonts w:ascii="Helvetica" w:hAnsi="Helvetica" w:eastAsia="宋体" w:cs="Times New Roman"/>
      <w:b/>
      <w:i/>
      <w:position w:val="-6"/>
      <w:sz w:val="22"/>
      <w:lang w:val="en-GB"/>
    </w:rPr>
  </w:style>
  <w:style w:type="character" w:customStyle="1" w:styleId="125">
    <w:name w:val="页脚 Char1"/>
    <w:autoRedefine/>
    <w:qFormat/>
    <w:uiPriority w:val="0"/>
    <w:rPr>
      <w:rFonts w:ascii="Calibri" w:hAnsi="Calibri" w:eastAsia="宋体" w:cs="Times New Roman"/>
      <w:sz w:val="18"/>
      <w:szCs w:val="18"/>
    </w:rPr>
  </w:style>
  <w:style w:type="character" w:customStyle="1" w:styleId="126">
    <w:name w:val="polysemyred"/>
    <w:autoRedefine/>
    <w:qFormat/>
    <w:uiPriority w:val="0"/>
    <w:rPr>
      <w:rFonts w:ascii="Calibri" w:hAnsi="Calibri" w:eastAsia="宋体" w:cs="Times New Roman"/>
      <w:color w:val="FF6666"/>
      <w:kern w:val="0"/>
      <w:sz w:val="18"/>
      <w:szCs w:val="18"/>
    </w:rPr>
  </w:style>
  <w:style w:type="character" w:customStyle="1" w:styleId="127">
    <w:name w:val="正文文本 3 字符"/>
    <w:autoRedefine/>
    <w:qFormat/>
    <w:uiPriority w:val="0"/>
    <w:rPr>
      <w:rFonts w:ascii="Calibri" w:hAnsi="Calibri" w:eastAsia="宋体" w:cs="Times New Roman"/>
      <w:sz w:val="16"/>
      <w:szCs w:val="16"/>
    </w:rPr>
  </w:style>
  <w:style w:type="character" w:customStyle="1" w:styleId="128">
    <w:name w:val="Char Char14"/>
    <w:autoRedefine/>
    <w:qFormat/>
    <w:uiPriority w:val="0"/>
    <w:rPr>
      <w:rFonts w:ascii="Arial" w:hAnsi="Arial" w:eastAsia="黑体" w:cs="Times New Roman"/>
      <w:b/>
      <w:bCs/>
      <w:kern w:val="2"/>
      <w:sz w:val="32"/>
      <w:szCs w:val="32"/>
      <w:lang w:val="en-US" w:eastAsia="zh-CN" w:bidi="ar-SA"/>
    </w:rPr>
  </w:style>
  <w:style w:type="character" w:customStyle="1" w:styleId="129">
    <w:name w:val="Char Char7"/>
    <w:autoRedefine/>
    <w:qFormat/>
    <w:uiPriority w:val="0"/>
    <w:rPr>
      <w:rFonts w:ascii="Calibri" w:hAnsi="Calibri" w:eastAsia="宋体" w:cs="Times New Roman"/>
      <w:kern w:val="2"/>
      <w:sz w:val="18"/>
      <w:szCs w:val="18"/>
      <w:lang w:val="en-US" w:eastAsia="zh-CN" w:bidi="ar-SA"/>
    </w:rPr>
  </w:style>
  <w:style w:type="character" w:customStyle="1" w:styleId="130">
    <w:name w:val="页脚 Char2"/>
    <w:autoRedefine/>
    <w:qFormat/>
    <w:uiPriority w:val="0"/>
    <w:rPr>
      <w:rFonts w:ascii="Calibri" w:hAnsi="Calibri" w:eastAsia="宋体" w:cs="Times New Roman"/>
      <w:sz w:val="18"/>
      <w:szCs w:val="18"/>
    </w:rPr>
  </w:style>
  <w:style w:type="character" w:customStyle="1" w:styleId="131">
    <w:name w:val="未处理的提及2"/>
    <w:autoRedefine/>
    <w:qFormat/>
    <w:uiPriority w:val="0"/>
    <w:rPr>
      <w:rFonts w:ascii="Calibri" w:hAnsi="Calibri" w:eastAsia="宋体" w:cs="Times New Roman"/>
      <w:color w:val="808080"/>
      <w:shd w:val="clear" w:color="auto" w:fill="E6E6E6"/>
    </w:rPr>
  </w:style>
  <w:style w:type="character" w:customStyle="1" w:styleId="132">
    <w:name w:val="PIM 6 Char"/>
    <w:autoRedefine/>
    <w:qFormat/>
    <w:uiPriority w:val="0"/>
    <w:rPr>
      <w:rFonts w:ascii="Arial" w:hAnsi="Arial" w:eastAsia="黑体" w:cs="Times New Roman"/>
      <w:b/>
      <w:bCs/>
      <w:sz w:val="24"/>
      <w:szCs w:val="24"/>
    </w:rPr>
  </w:style>
  <w:style w:type="character" w:customStyle="1" w:styleId="133">
    <w:name w:val="标题 3 Char"/>
    <w:autoRedefine/>
    <w:qFormat/>
    <w:uiPriority w:val="0"/>
    <w:rPr>
      <w:rFonts w:ascii="Calibri" w:hAnsi="Calibri" w:eastAsia="宋体" w:cs="Times New Roman"/>
      <w:b/>
      <w:bCs/>
      <w:kern w:val="2"/>
      <w:sz w:val="32"/>
      <w:szCs w:val="32"/>
    </w:rPr>
  </w:style>
  <w:style w:type="character" w:customStyle="1" w:styleId="134">
    <w:name w:val="grame"/>
    <w:autoRedefine/>
    <w:qFormat/>
    <w:uiPriority w:val="0"/>
    <w:rPr>
      <w:rFonts w:cs="Times New Roman"/>
    </w:rPr>
  </w:style>
  <w:style w:type="character" w:customStyle="1" w:styleId="135">
    <w:name w:val="表格 Char"/>
    <w:link w:val="136"/>
    <w:autoRedefine/>
    <w:qFormat/>
    <w:uiPriority w:val="0"/>
    <w:rPr>
      <w:rFonts w:ascii="宋体" w:hAnsi="Times New Roman" w:eastAsia="宋体" w:cs="Times New Roman"/>
      <w:kern w:val="2"/>
      <w:sz w:val="24"/>
      <w:szCs w:val="18"/>
      <w:lang w:eastAsia="zh-CN"/>
    </w:rPr>
  </w:style>
  <w:style w:type="paragraph" w:customStyle="1" w:styleId="136">
    <w:name w:val="表格"/>
    <w:basedOn w:val="1"/>
    <w:link w:val="135"/>
    <w:autoRedefine/>
    <w:qFormat/>
    <w:uiPriority w:val="0"/>
    <w:pPr>
      <w:tabs>
        <w:tab w:val="left" w:pos="1200"/>
      </w:tabs>
      <w:spacing w:line="500" w:lineRule="exact"/>
      <w:jc w:val="center"/>
    </w:pPr>
    <w:rPr>
      <w:rFonts w:ascii="宋体" w:hAnsi="Times New Roman"/>
      <w:kern w:val="2"/>
      <w:sz w:val="24"/>
      <w:szCs w:val="18"/>
      <w:lang w:eastAsia="zh-CN"/>
    </w:rPr>
  </w:style>
  <w:style w:type="character" w:customStyle="1" w:styleId="137">
    <w:name w:val="Default Char"/>
    <w:link w:val="84"/>
    <w:autoRedefine/>
    <w:qFormat/>
    <w:uiPriority w:val="0"/>
    <w:rPr>
      <w:rFonts w:ascii="宋体" w:hAnsi="Calibri" w:eastAsia="宋体" w:cs="宋体"/>
      <w:color w:val="000000"/>
      <w:sz w:val="24"/>
      <w:szCs w:val="24"/>
      <w:lang w:eastAsia="zh-CN"/>
    </w:rPr>
  </w:style>
  <w:style w:type="character" w:customStyle="1" w:styleId="138">
    <w:name w:val="desc12"/>
    <w:autoRedefine/>
    <w:qFormat/>
    <w:uiPriority w:val="0"/>
    <w:rPr>
      <w:rFonts w:ascii="Calibri" w:hAnsi="Calibri" w:eastAsia="宋体" w:cs="Times New Roman"/>
      <w:color w:val="000000"/>
      <w:kern w:val="0"/>
      <w:sz w:val="18"/>
      <w:szCs w:val="18"/>
    </w:rPr>
  </w:style>
  <w:style w:type="character" w:customStyle="1" w:styleId="139">
    <w:name w:val="批注主题 Char"/>
    <w:autoRedefine/>
    <w:qFormat/>
    <w:uiPriority w:val="0"/>
    <w:rPr>
      <w:rFonts w:ascii="Calibri" w:hAnsi="Calibri" w:eastAsia="宋体" w:cs="Times New Roman"/>
      <w:b/>
      <w:bCs/>
      <w:kern w:val="2"/>
      <w:sz w:val="21"/>
      <w:szCs w:val="24"/>
    </w:rPr>
  </w:style>
  <w:style w:type="character" w:customStyle="1" w:styleId="140">
    <w:name w:val="页脚 Char"/>
    <w:autoRedefine/>
    <w:qFormat/>
    <w:uiPriority w:val="99"/>
    <w:rPr>
      <w:rFonts w:ascii="Calibri" w:hAnsi="Calibri" w:eastAsia="宋体" w:cs="Times New Roman"/>
      <w:kern w:val="2"/>
      <w:sz w:val="18"/>
      <w:szCs w:val="18"/>
    </w:rPr>
  </w:style>
  <w:style w:type="character" w:customStyle="1" w:styleId="141">
    <w:name w:val="纯文本 字符"/>
    <w:autoRedefine/>
    <w:qFormat/>
    <w:uiPriority w:val="0"/>
    <w:rPr>
      <w:rFonts w:ascii="宋体" w:hAnsi="Courier New" w:eastAsia="宋体" w:cs="Courier New"/>
    </w:rPr>
  </w:style>
  <w:style w:type="character" w:customStyle="1" w:styleId="142">
    <w:name w:val="bds_nopic2"/>
    <w:autoRedefine/>
    <w:qFormat/>
    <w:uiPriority w:val="0"/>
    <w:rPr>
      <w:rFonts w:ascii="Calibri" w:hAnsi="Calibri" w:eastAsia="宋体" w:cs="Times New Roman"/>
      <w:color w:val="000000"/>
      <w:kern w:val="0"/>
    </w:rPr>
  </w:style>
  <w:style w:type="character" w:customStyle="1" w:styleId="143">
    <w:name w:val="未处理的提及4"/>
    <w:autoRedefine/>
    <w:unhideWhenUsed/>
    <w:qFormat/>
    <w:uiPriority w:val="99"/>
    <w:rPr>
      <w:color w:val="605E5C"/>
      <w:shd w:val="clear" w:color="auto" w:fill="E1DFDD"/>
    </w:rPr>
  </w:style>
  <w:style w:type="character" w:customStyle="1" w:styleId="144">
    <w:name w:val="中等深浅网格 2 Char"/>
    <w:link w:val="145"/>
    <w:autoRedefine/>
    <w:qFormat/>
    <w:uiPriority w:val="0"/>
    <w:rPr>
      <w:rFonts w:ascii="Calibri" w:hAnsi="Calibri" w:eastAsia="宋体" w:cs="Times New Roman"/>
      <w:lang w:eastAsia="zh-CN"/>
    </w:rPr>
  </w:style>
  <w:style w:type="paragraph" w:customStyle="1" w:styleId="145">
    <w:name w:val="中等深浅网格 21"/>
    <w:link w:val="144"/>
    <w:autoRedefine/>
    <w:qFormat/>
    <w:uiPriority w:val="0"/>
    <w:rPr>
      <w:rFonts w:ascii="Calibri" w:hAnsi="Calibri" w:eastAsia="宋体" w:cs="Times New Roman"/>
      <w:sz w:val="22"/>
      <w:szCs w:val="22"/>
      <w:lang w:val="en-US" w:eastAsia="zh-CN" w:bidi="ar-SA"/>
    </w:rPr>
  </w:style>
  <w:style w:type="character" w:customStyle="1" w:styleId="146">
    <w:name w:val="日期 字符"/>
    <w:autoRedefine/>
    <w:qFormat/>
    <w:uiPriority w:val="0"/>
    <w:rPr>
      <w:rFonts w:ascii="Calibri" w:hAnsi="Calibri" w:eastAsia="宋体" w:cs="Times New Roman"/>
    </w:rPr>
  </w:style>
  <w:style w:type="character" w:customStyle="1" w:styleId="147">
    <w:name w:val="morelink-item"/>
    <w:autoRedefine/>
    <w:qFormat/>
    <w:uiPriority w:val="0"/>
    <w:rPr>
      <w:rFonts w:ascii="Calibri" w:hAnsi="Calibri" w:eastAsia="宋体" w:cs="Times New Roman"/>
      <w:color w:val="000000"/>
      <w:kern w:val="0"/>
    </w:rPr>
  </w:style>
  <w:style w:type="character" w:customStyle="1" w:styleId="148">
    <w:name w:val="Char Char9"/>
    <w:autoRedefine/>
    <w:qFormat/>
    <w:uiPriority w:val="0"/>
    <w:rPr>
      <w:rFonts w:ascii="宋体" w:hAnsi="宋体" w:eastAsia="宋体" w:cs="Times New Roman"/>
      <w:bCs/>
      <w:spacing w:val="20"/>
      <w:kern w:val="21"/>
      <w:sz w:val="24"/>
      <w:lang w:val="en-US" w:eastAsia="zh-CN" w:bidi="ar-SA"/>
    </w:rPr>
  </w:style>
  <w:style w:type="character" w:customStyle="1" w:styleId="149">
    <w:name w:val="Char Char Char Char Char Char Char Char Char Char Char Char Char Char Char Char Char"/>
    <w:link w:val="150"/>
    <w:autoRedefine/>
    <w:qFormat/>
    <w:uiPriority w:val="0"/>
    <w:rPr>
      <w:rFonts w:ascii="Verdana" w:hAnsi="Verdana" w:eastAsia="仿宋_GB2312" w:cs="Times New Roman"/>
      <w:sz w:val="24"/>
    </w:rPr>
  </w:style>
  <w:style w:type="paragraph" w:customStyle="1" w:styleId="150">
    <w:name w:val="Char Char Char Char Char Char Char Char Char Char Char Char Char Char Char Char1"/>
    <w:basedOn w:val="1"/>
    <w:link w:val="149"/>
    <w:autoRedefine/>
    <w:qFormat/>
    <w:uiPriority w:val="0"/>
    <w:pPr>
      <w:widowControl/>
      <w:spacing w:after="160" w:line="240" w:lineRule="exact"/>
    </w:pPr>
    <w:rPr>
      <w:rFonts w:ascii="Verdana" w:hAnsi="Verdana" w:eastAsia="仿宋_GB2312"/>
      <w:sz w:val="24"/>
    </w:rPr>
  </w:style>
  <w:style w:type="character" w:customStyle="1" w:styleId="151">
    <w:name w:val="未处理的提及1"/>
    <w:autoRedefine/>
    <w:qFormat/>
    <w:uiPriority w:val="0"/>
    <w:rPr>
      <w:rFonts w:ascii="Calibri" w:hAnsi="Calibri" w:eastAsia="宋体" w:cs="Times New Roman"/>
      <w:color w:val="808080"/>
      <w:shd w:val="clear" w:color="auto" w:fill="E6E6E6"/>
    </w:rPr>
  </w:style>
  <w:style w:type="character" w:customStyle="1" w:styleId="152">
    <w:name w:val="bds_more10"/>
    <w:autoRedefine/>
    <w:qFormat/>
    <w:uiPriority w:val="0"/>
    <w:rPr>
      <w:rFonts w:ascii="Calibri" w:hAnsi="Calibri" w:eastAsia="宋体" w:cs="Times New Roman"/>
      <w:color w:val="000000"/>
      <w:kern w:val="0"/>
    </w:rPr>
  </w:style>
  <w:style w:type="character" w:customStyle="1" w:styleId="153">
    <w:name w:val="font01"/>
    <w:autoRedefine/>
    <w:qFormat/>
    <w:uiPriority w:val="0"/>
    <w:rPr>
      <w:rFonts w:hint="eastAsia" w:ascii="宋体" w:hAnsi="宋体" w:eastAsia="宋体" w:cs="宋体"/>
      <w:color w:val="000000"/>
      <w:sz w:val="24"/>
      <w:szCs w:val="24"/>
      <w:u w:val="none"/>
    </w:rPr>
  </w:style>
  <w:style w:type="character" w:customStyle="1" w:styleId="154">
    <w:name w:val="lemmatitleh12"/>
    <w:autoRedefine/>
    <w:qFormat/>
    <w:uiPriority w:val="0"/>
    <w:rPr>
      <w:rFonts w:ascii="Calibri" w:hAnsi="Calibri" w:eastAsia="宋体" w:cs="Times New Roman"/>
      <w:color w:val="000000"/>
      <w:kern w:val="0"/>
    </w:rPr>
  </w:style>
  <w:style w:type="character" w:customStyle="1" w:styleId="155">
    <w:name w:val="Char Char16"/>
    <w:autoRedefine/>
    <w:qFormat/>
    <w:uiPriority w:val="0"/>
    <w:rPr>
      <w:rFonts w:ascii="Times New Roman" w:hAnsi="Times New Roman" w:eastAsia="宋体" w:cs="Times New Roman"/>
      <w:kern w:val="0"/>
      <w:sz w:val="24"/>
      <w:szCs w:val="20"/>
    </w:rPr>
  </w:style>
  <w:style w:type="character" w:customStyle="1" w:styleId="156">
    <w:name w:val="标题 1 Char"/>
    <w:autoRedefine/>
    <w:qFormat/>
    <w:uiPriority w:val="0"/>
    <w:rPr>
      <w:rFonts w:ascii="Calibri" w:hAnsi="Calibri" w:eastAsia="宋体" w:cs="Times New Roman"/>
      <w:b/>
      <w:bCs/>
      <w:kern w:val="44"/>
      <w:sz w:val="44"/>
      <w:szCs w:val="44"/>
    </w:rPr>
  </w:style>
  <w:style w:type="character" w:customStyle="1" w:styleId="157">
    <w:name w:val="页眉 Char2"/>
    <w:autoRedefine/>
    <w:qFormat/>
    <w:uiPriority w:val="0"/>
    <w:rPr>
      <w:rFonts w:ascii="Calibri" w:hAnsi="Calibri" w:eastAsia="宋体" w:cs="Times New Roman"/>
      <w:sz w:val="18"/>
      <w:szCs w:val="18"/>
    </w:rPr>
  </w:style>
  <w:style w:type="character" w:customStyle="1" w:styleId="158">
    <w:name w:val="纯文本 Char1"/>
    <w:autoRedefine/>
    <w:qFormat/>
    <w:uiPriority w:val="0"/>
    <w:rPr>
      <w:rFonts w:ascii="宋体" w:hAnsi="Courier New" w:eastAsia="宋体" w:cs="Courier New"/>
      <w:sz w:val="21"/>
      <w:szCs w:val="21"/>
    </w:rPr>
  </w:style>
  <w:style w:type="character" w:customStyle="1" w:styleId="159">
    <w:name w:val="不明显强调1"/>
    <w:autoRedefine/>
    <w:qFormat/>
    <w:uiPriority w:val="0"/>
    <w:rPr>
      <w:rFonts w:hint="eastAsia" w:ascii="仿宋_GB2312" w:hAnsi="Calibri" w:eastAsia="仿宋_GB2312" w:cs="Times New Roman"/>
      <w:iCs/>
      <w:color w:val="auto"/>
      <w:sz w:val="24"/>
    </w:rPr>
  </w:style>
  <w:style w:type="character" w:customStyle="1" w:styleId="160">
    <w:name w:val="标题 Char1"/>
    <w:autoRedefine/>
    <w:qFormat/>
    <w:uiPriority w:val="0"/>
    <w:rPr>
      <w:rFonts w:hint="default" w:ascii="Cambria" w:hAnsi="Cambria" w:eastAsia="宋体" w:cs="Times New Roman"/>
      <w:b/>
      <w:bCs/>
      <w:kern w:val="2"/>
      <w:sz w:val="32"/>
      <w:szCs w:val="32"/>
    </w:rPr>
  </w:style>
  <w:style w:type="character" w:customStyle="1" w:styleId="161">
    <w:name w:val="普通文字 Char Char"/>
    <w:autoRedefine/>
    <w:qFormat/>
    <w:uiPriority w:val="0"/>
    <w:rPr>
      <w:rFonts w:ascii="宋体" w:hAnsi="Calibri" w:eastAsia="宋体" w:cs="Times New Roman"/>
      <w:kern w:val="2"/>
      <w:sz w:val="21"/>
      <w:lang w:val="en-US" w:eastAsia="zh-CN" w:bidi="ar-SA"/>
    </w:rPr>
  </w:style>
  <w:style w:type="character" w:customStyle="1" w:styleId="162">
    <w:name w:val="font31"/>
    <w:basedOn w:val="71"/>
    <w:autoRedefine/>
    <w:qFormat/>
    <w:uiPriority w:val="0"/>
    <w:rPr>
      <w:rFonts w:hint="eastAsia" w:ascii="宋体" w:hAnsi="宋体" w:eastAsia="宋体" w:cs="宋体"/>
      <w:b/>
      <w:bCs/>
      <w:color w:val="000000"/>
      <w:sz w:val="20"/>
      <w:szCs w:val="20"/>
      <w:u w:val="none"/>
    </w:rPr>
  </w:style>
  <w:style w:type="character" w:customStyle="1" w:styleId="163">
    <w:name w:val="px141"/>
    <w:autoRedefine/>
    <w:qFormat/>
    <w:uiPriority w:val="0"/>
    <w:rPr>
      <w:rFonts w:hint="default" w:ascii="ˎ̥" w:hAnsi="ˎ̥" w:eastAsia="宋体" w:cs="Times New Roman"/>
      <w:sz w:val="21"/>
      <w:szCs w:val="21"/>
    </w:rPr>
  </w:style>
  <w:style w:type="character" w:customStyle="1" w:styleId="164">
    <w:name w:val="标题 9 字符"/>
    <w:autoRedefine/>
    <w:qFormat/>
    <w:uiPriority w:val="0"/>
    <w:rPr>
      <w:rFonts w:ascii="Cambria" w:hAnsi="Cambria" w:eastAsia="宋体" w:cs="Times New Roman"/>
      <w:sz w:val="21"/>
      <w:szCs w:val="21"/>
    </w:rPr>
  </w:style>
  <w:style w:type="character" w:customStyle="1" w:styleId="165">
    <w:name w:val="g Char Char1"/>
    <w:autoRedefine/>
    <w:qFormat/>
    <w:uiPriority w:val="0"/>
    <w:rPr>
      <w:rFonts w:ascii="Calibri" w:hAnsi="Calibri" w:eastAsia="宋体" w:cs="Times New Roman"/>
      <w:kern w:val="2"/>
      <w:sz w:val="18"/>
      <w:lang w:val="en-US" w:eastAsia="zh-CN" w:bidi="ar-SA"/>
    </w:rPr>
  </w:style>
  <w:style w:type="character" w:customStyle="1" w:styleId="166">
    <w:name w:val="HTML 预设格式 Char1"/>
    <w:autoRedefine/>
    <w:qFormat/>
    <w:uiPriority w:val="0"/>
    <w:rPr>
      <w:rFonts w:ascii="Courier New" w:hAnsi="Courier New" w:eastAsia="宋体" w:cs="Courier New"/>
      <w:sz w:val="20"/>
      <w:szCs w:val="20"/>
    </w:rPr>
  </w:style>
  <w:style w:type="character" w:customStyle="1" w:styleId="167">
    <w:name w:val="HTML 预设格式 字符"/>
    <w:autoRedefine/>
    <w:qFormat/>
    <w:uiPriority w:val="0"/>
    <w:rPr>
      <w:rFonts w:ascii="Courier New" w:hAnsi="Courier New" w:eastAsia="宋体" w:cs="Courier New"/>
      <w:sz w:val="20"/>
      <w:szCs w:val="20"/>
    </w:rPr>
  </w:style>
  <w:style w:type="character" w:customStyle="1" w:styleId="168">
    <w:name w:val="Char Char13"/>
    <w:autoRedefine/>
    <w:qFormat/>
    <w:uiPriority w:val="0"/>
    <w:rPr>
      <w:rFonts w:ascii="Calibri" w:hAnsi="Calibri" w:eastAsia="宋体" w:cs="Times New Roman"/>
      <w:b/>
      <w:bCs/>
      <w:sz w:val="32"/>
      <w:szCs w:val="32"/>
      <w:lang w:val="en-US" w:eastAsia="zh-CN" w:bidi="ar-SA"/>
    </w:rPr>
  </w:style>
  <w:style w:type="character" w:customStyle="1" w:styleId="169">
    <w:name w:val="Char Char151"/>
    <w:autoRedefine/>
    <w:qFormat/>
    <w:uiPriority w:val="0"/>
    <w:rPr>
      <w:rFonts w:ascii="Arial Narrow" w:hAnsi="Arial Narrow" w:eastAsia="宋体" w:cs="Times New Roman"/>
      <w:b/>
      <w:bCs/>
      <w:snapToGrid/>
      <w:sz w:val="28"/>
      <w:szCs w:val="44"/>
      <w:lang w:val="en-US" w:eastAsia="zh-CN" w:bidi="ar-SA"/>
    </w:rPr>
  </w:style>
  <w:style w:type="character" w:customStyle="1" w:styleId="170">
    <w:name w:val="标题 1.1 Char Char"/>
    <w:autoRedefine/>
    <w:qFormat/>
    <w:uiPriority w:val="0"/>
    <w:rPr>
      <w:rFonts w:ascii="Arial" w:hAnsi="Arial" w:eastAsia="黑体" w:cs="Times New Roman"/>
      <w:b/>
      <w:bCs/>
      <w:kern w:val="2"/>
      <w:sz w:val="28"/>
      <w:szCs w:val="32"/>
      <w:lang w:val="en-US" w:eastAsia="zh-CN" w:bidi="ar-SA"/>
    </w:rPr>
  </w:style>
  <w:style w:type="character" w:customStyle="1" w:styleId="171">
    <w:name w:val="文档结构图 Char"/>
    <w:autoRedefine/>
    <w:qFormat/>
    <w:uiPriority w:val="0"/>
    <w:rPr>
      <w:rFonts w:ascii="Calibri" w:hAnsi="Calibri" w:eastAsia="宋体" w:cs="Times New Roman"/>
      <w:kern w:val="2"/>
      <w:sz w:val="21"/>
      <w:szCs w:val="24"/>
      <w:shd w:val="clear" w:color="auto" w:fill="000080"/>
    </w:rPr>
  </w:style>
  <w:style w:type="character" w:customStyle="1" w:styleId="172">
    <w:name w:val="条标题1.1.1 Char"/>
    <w:autoRedefine/>
    <w:qFormat/>
    <w:uiPriority w:val="0"/>
    <w:rPr>
      <w:rFonts w:ascii="Times New Roman" w:hAnsi="Times New Roman" w:eastAsia="宋体" w:cs="Times New Roman"/>
      <w:b/>
      <w:bCs/>
      <w:kern w:val="0"/>
      <w:sz w:val="32"/>
      <w:szCs w:val="32"/>
    </w:rPr>
  </w:style>
  <w:style w:type="character" w:customStyle="1" w:styleId="173">
    <w:name w:val="Char Char3"/>
    <w:autoRedefine/>
    <w:qFormat/>
    <w:uiPriority w:val="0"/>
    <w:rPr>
      <w:rFonts w:ascii="宋体" w:hAnsi="Courier New" w:eastAsia="宋体" w:cs="Courier New"/>
      <w:kern w:val="2"/>
      <w:sz w:val="21"/>
      <w:szCs w:val="21"/>
      <w:lang w:val="en-US" w:eastAsia="zh-CN" w:bidi="ar-SA"/>
    </w:rPr>
  </w:style>
  <w:style w:type="character" w:customStyle="1" w:styleId="174">
    <w:name w:val="批注文字 字符"/>
    <w:autoRedefine/>
    <w:qFormat/>
    <w:uiPriority w:val="0"/>
    <w:rPr>
      <w:rFonts w:ascii="Calibri" w:hAnsi="Calibri" w:eastAsia="宋体" w:cs="Times New Roman"/>
    </w:rPr>
  </w:style>
  <w:style w:type="character" w:customStyle="1" w:styleId="175">
    <w:name w:val="标题 6 字符"/>
    <w:autoRedefine/>
    <w:qFormat/>
    <w:uiPriority w:val="0"/>
    <w:rPr>
      <w:rFonts w:ascii="Cambria" w:hAnsi="Cambria" w:eastAsia="宋体" w:cs="Times New Roman"/>
      <w:b/>
      <w:bCs/>
      <w:sz w:val="24"/>
      <w:szCs w:val="24"/>
    </w:rPr>
  </w:style>
  <w:style w:type="character" w:customStyle="1" w:styleId="176">
    <w:name w:val="bds_more7"/>
    <w:autoRedefine/>
    <w:qFormat/>
    <w:uiPriority w:val="0"/>
    <w:rPr>
      <w:rFonts w:hint="eastAsia" w:ascii="宋体" w:hAnsi="宋体" w:eastAsia="宋体" w:cs="宋体"/>
      <w:color w:val="000000"/>
      <w:kern w:val="0"/>
    </w:rPr>
  </w:style>
  <w:style w:type="character" w:customStyle="1" w:styleId="177">
    <w:name w:val="sort1"/>
    <w:autoRedefine/>
    <w:qFormat/>
    <w:uiPriority w:val="0"/>
    <w:rPr>
      <w:rFonts w:ascii="Calibri" w:hAnsi="Calibri" w:eastAsia="宋体" w:cs="Times New Roman"/>
      <w:color w:val="000000"/>
      <w:kern w:val="0"/>
    </w:rPr>
  </w:style>
  <w:style w:type="character" w:customStyle="1" w:styleId="178">
    <w:name w:val="g Char Char"/>
    <w:autoRedefine/>
    <w:qFormat/>
    <w:uiPriority w:val="0"/>
    <w:rPr>
      <w:rFonts w:ascii="Calibri" w:hAnsi="Calibri" w:eastAsia="宋体" w:cs="Times New Roman"/>
      <w:kern w:val="2"/>
      <w:sz w:val="18"/>
      <w:szCs w:val="18"/>
      <w:lang w:val="en-US" w:eastAsia="zh-CN" w:bidi="ar-SA"/>
    </w:rPr>
  </w:style>
  <w:style w:type="character" w:customStyle="1" w:styleId="179">
    <w:name w:val="font41"/>
    <w:autoRedefine/>
    <w:qFormat/>
    <w:uiPriority w:val="0"/>
    <w:rPr>
      <w:rFonts w:hint="eastAsia" w:ascii="宋体" w:hAnsi="宋体" w:eastAsia="宋体" w:cs="宋体"/>
      <w:color w:val="000000"/>
      <w:sz w:val="21"/>
      <w:szCs w:val="21"/>
      <w:u w:val="none"/>
    </w:rPr>
  </w:style>
  <w:style w:type="character" w:customStyle="1" w:styleId="180">
    <w:name w:val="批注文字 Char"/>
    <w:autoRedefine/>
    <w:qFormat/>
    <w:uiPriority w:val="0"/>
    <w:rPr>
      <w:rFonts w:ascii="Calibri" w:hAnsi="Calibri" w:eastAsia="宋体" w:cs="Times New Roman"/>
      <w:kern w:val="2"/>
      <w:sz w:val="21"/>
      <w:szCs w:val="24"/>
    </w:rPr>
  </w:style>
  <w:style w:type="character" w:customStyle="1" w:styleId="181">
    <w:name w:val="未处理的提及3"/>
    <w:autoRedefine/>
    <w:unhideWhenUsed/>
    <w:qFormat/>
    <w:uiPriority w:val="99"/>
    <w:rPr>
      <w:color w:val="605E5C"/>
      <w:shd w:val="clear" w:color="auto" w:fill="E1DFDD"/>
    </w:rPr>
  </w:style>
  <w:style w:type="character" w:customStyle="1" w:styleId="182">
    <w:name w:val="XW封面－日期 Char Char"/>
    <w:autoRedefine/>
    <w:qFormat/>
    <w:uiPriority w:val="0"/>
    <w:rPr>
      <w:rFonts w:ascii="Arial" w:hAnsi="Arial" w:eastAsia="幼圆" w:cs="Times New Roman"/>
      <w:b/>
      <w:kern w:val="0"/>
      <w:sz w:val="32"/>
      <w:szCs w:val="20"/>
    </w:rPr>
  </w:style>
  <w:style w:type="character" w:customStyle="1" w:styleId="183">
    <w:name w:val="sidecatalog-dot"/>
    <w:autoRedefine/>
    <w:qFormat/>
    <w:uiPriority w:val="0"/>
    <w:rPr>
      <w:rFonts w:ascii="Calibri" w:hAnsi="Calibri" w:eastAsia="宋体" w:cs="Times New Roman"/>
      <w:color w:val="000000"/>
      <w:kern w:val="0"/>
    </w:rPr>
  </w:style>
  <w:style w:type="character" w:customStyle="1" w:styleId="184">
    <w:name w:val="标题 Char"/>
    <w:autoRedefine/>
    <w:qFormat/>
    <w:uiPriority w:val="0"/>
    <w:rPr>
      <w:rFonts w:ascii="Calibri" w:hAnsi="Calibri" w:eastAsia="宋体" w:cs="Times New Roman"/>
      <w:b/>
      <w:kern w:val="2"/>
      <w:sz w:val="28"/>
      <w:szCs w:val="24"/>
      <w:lang w:val="en-US" w:eastAsia="zh-CN" w:bidi="ar-SA"/>
    </w:rPr>
  </w:style>
  <w:style w:type="character" w:customStyle="1" w:styleId="185">
    <w:name w:val="H4 Char1"/>
    <w:autoRedefine/>
    <w:qFormat/>
    <w:uiPriority w:val="0"/>
    <w:rPr>
      <w:rFonts w:ascii="宋体" w:hAnsi="Arial" w:eastAsia="宋体" w:cs="Times New Roman"/>
      <w:szCs w:val="20"/>
    </w:rPr>
  </w:style>
  <w:style w:type="character" w:customStyle="1" w:styleId="186">
    <w:name w:val="批注主题 Char1"/>
    <w:autoRedefine/>
    <w:qFormat/>
    <w:uiPriority w:val="0"/>
    <w:rPr>
      <w:rFonts w:ascii="Calibri" w:hAnsi="Calibri" w:eastAsia="宋体" w:cs="Times New Roman"/>
      <w:b/>
      <w:bCs/>
      <w:spacing w:val="20"/>
      <w:kern w:val="2"/>
      <w:sz w:val="21"/>
      <w:szCs w:val="24"/>
      <w:lang w:val="en-US" w:eastAsia="zh-CN" w:bidi="ar-SA"/>
    </w:rPr>
  </w:style>
  <w:style w:type="character" w:customStyle="1" w:styleId="187">
    <w:name w:val="文档结构图 Char2"/>
    <w:autoRedefine/>
    <w:qFormat/>
    <w:uiPriority w:val="0"/>
    <w:rPr>
      <w:rFonts w:ascii="Calibri" w:hAnsi="Calibri" w:eastAsia="宋体" w:cs="Times New Roman"/>
      <w:kern w:val="2"/>
      <w:sz w:val="21"/>
      <w:szCs w:val="24"/>
      <w:lang w:val="en-US" w:eastAsia="zh-CN" w:bidi="ar-SA"/>
    </w:rPr>
  </w:style>
  <w:style w:type="character" w:customStyle="1" w:styleId="188">
    <w:name w:val="无间隔 字符"/>
    <w:link w:val="189"/>
    <w:autoRedefine/>
    <w:qFormat/>
    <w:uiPriority w:val="0"/>
    <w:rPr>
      <w:rFonts w:ascii="Calibri" w:hAnsi="Calibri" w:eastAsia="宋体" w:cs="Times New Roman"/>
      <w:sz w:val="22"/>
      <w:szCs w:val="22"/>
      <w:lang w:val="en-US" w:eastAsia="zh-CN" w:bidi="ar-SA"/>
    </w:rPr>
  </w:style>
  <w:style w:type="paragraph" w:styleId="189">
    <w:name w:val="No Spacing"/>
    <w:link w:val="188"/>
    <w:autoRedefine/>
    <w:qFormat/>
    <w:uiPriority w:val="0"/>
    <w:pPr>
      <w:widowControl w:val="0"/>
    </w:pPr>
    <w:rPr>
      <w:rFonts w:ascii="Calibri" w:hAnsi="Calibri" w:eastAsia="宋体" w:cs="Times New Roman"/>
      <w:sz w:val="22"/>
      <w:szCs w:val="22"/>
      <w:lang w:val="en-US" w:eastAsia="zh-CN" w:bidi="ar-SA"/>
    </w:rPr>
  </w:style>
  <w:style w:type="character" w:customStyle="1" w:styleId="190">
    <w:name w:val="日期 Char"/>
    <w:autoRedefine/>
    <w:qFormat/>
    <w:uiPriority w:val="0"/>
    <w:rPr>
      <w:rFonts w:ascii="Calibri" w:hAnsi="Calibri" w:eastAsia="宋体" w:cs="Times New Roman"/>
      <w:kern w:val="2"/>
      <w:sz w:val="21"/>
      <w:szCs w:val="24"/>
    </w:rPr>
  </w:style>
  <w:style w:type="character" w:customStyle="1" w:styleId="191">
    <w:name w:val="标题 字符1"/>
    <w:autoRedefine/>
    <w:qFormat/>
    <w:uiPriority w:val="0"/>
    <w:rPr>
      <w:rFonts w:hint="eastAsia" w:ascii="等线 Light" w:hAnsi="等线 Light" w:eastAsia="等线 Light" w:cs="Times New Roman"/>
      <w:b/>
      <w:bCs/>
      <w:kern w:val="2"/>
      <w:sz w:val="32"/>
      <w:szCs w:val="32"/>
    </w:rPr>
  </w:style>
  <w:style w:type="character" w:customStyle="1" w:styleId="192">
    <w:name w:val="bds_more8"/>
    <w:autoRedefine/>
    <w:qFormat/>
    <w:uiPriority w:val="0"/>
    <w:rPr>
      <w:rFonts w:ascii="Calibri" w:hAnsi="Calibri" w:eastAsia="宋体" w:cs="Times New Roman"/>
      <w:color w:val="000000"/>
      <w:kern w:val="0"/>
    </w:rPr>
  </w:style>
  <w:style w:type="character" w:customStyle="1" w:styleId="193">
    <w:name w:val="MB1 Char"/>
    <w:autoRedefine/>
    <w:qFormat/>
    <w:uiPriority w:val="0"/>
    <w:rPr>
      <w:rFonts w:ascii="Arial Narrow" w:hAnsi="Arial Narrow" w:eastAsia="宋体" w:cs="Times New Roman"/>
      <w:b/>
      <w:bCs/>
      <w:snapToGrid/>
      <w:sz w:val="36"/>
      <w:szCs w:val="36"/>
      <w:lang w:val="en-US" w:eastAsia="zh-CN" w:bidi="ar-SA"/>
    </w:rPr>
  </w:style>
  <w:style w:type="character" w:customStyle="1" w:styleId="194">
    <w:name w:val="Char Char8"/>
    <w:autoRedefine/>
    <w:qFormat/>
    <w:uiPriority w:val="0"/>
    <w:rPr>
      <w:rFonts w:ascii="宋体" w:hAnsi="Calibri" w:eastAsia="宋体" w:cs="Times New Roman"/>
      <w:b/>
      <w:bCs/>
      <w:sz w:val="21"/>
      <w:lang w:val="en-US" w:eastAsia="zh-CN" w:bidi="ar-SA"/>
    </w:rPr>
  </w:style>
  <w:style w:type="character" w:customStyle="1" w:styleId="195">
    <w:name w:val="H4 Char2"/>
    <w:autoRedefine/>
    <w:qFormat/>
    <w:uiPriority w:val="0"/>
    <w:rPr>
      <w:rFonts w:ascii="宋体" w:hAnsi="Arial" w:eastAsia="宋体" w:cs="Times New Roman"/>
      <w:szCs w:val="20"/>
    </w:rPr>
  </w:style>
  <w:style w:type="character" w:customStyle="1" w:styleId="196">
    <w:name w:val="MB5 Char1"/>
    <w:autoRedefine/>
    <w:qFormat/>
    <w:uiPriority w:val="0"/>
    <w:rPr>
      <w:rFonts w:ascii="Times New Roman" w:hAnsi="Times New Roman" w:eastAsia="宋体" w:cs="Times New Roman"/>
      <w:position w:val="-6"/>
      <w:sz w:val="24"/>
      <w:lang w:val="en-GB"/>
    </w:rPr>
  </w:style>
  <w:style w:type="character" w:customStyle="1" w:styleId="197">
    <w:name w:val="apple-converted-space"/>
    <w:autoRedefine/>
    <w:qFormat/>
    <w:uiPriority w:val="0"/>
    <w:rPr>
      <w:rFonts w:ascii="Calibri" w:hAnsi="Calibri" w:eastAsia="宋体" w:cs="Times New Roman"/>
    </w:rPr>
  </w:style>
  <w:style w:type="character" w:customStyle="1" w:styleId="198">
    <w:name w:val="标题 8 字符"/>
    <w:autoRedefine/>
    <w:qFormat/>
    <w:uiPriority w:val="0"/>
    <w:rPr>
      <w:rFonts w:ascii="Cambria" w:hAnsi="Cambria" w:eastAsia="宋体" w:cs="Times New Roman"/>
      <w:sz w:val="24"/>
      <w:szCs w:val="24"/>
    </w:rPr>
  </w:style>
  <w:style w:type="character" w:customStyle="1" w:styleId="199">
    <w:name w:val="孙普文字 Char"/>
    <w:autoRedefine/>
    <w:qFormat/>
    <w:uiPriority w:val="0"/>
    <w:rPr>
      <w:rFonts w:ascii="宋体" w:hAnsi="Courier New" w:eastAsia="宋体" w:cs="Times New Roman"/>
      <w:szCs w:val="20"/>
    </w:rPr>
  </w:style>
  <w:style w:type="character" w:customStyle="1" w:styleId="200">
    <w:name w:val="Char Char20"/>
    <w:autoRedefine/>
    <w:qFormat/>
    <w:uiPriority w:val="0"/>
    <w:rPr>
      <w:rFonts w:ascii="楷体_GB2312" w:hAnsi="Calibri" w:eastAsia="楷体_GB2312" w:cs="Times New Roman"/>
      <w:b/>
      <w:kern w:val="2"/>
      <w:sz w:val="28"/>
      <w:lang w:val="en-US" w:eastAsia="zh-CN" w:bidi="ar-SA"/>
    </w:rPr>
  </w:style>
  <w:style w:type="character" w:customStyle="1" w:styleId="201">
    <w:name w:val="bds_nopic"/>
    <w:autoRedefine/>
    <w:qFormat/>
    <w:uiPriority w:val="0"/>
    <w:rPr>
      <w:rFonts w:ascii="Calibri" w:hAnsi="Calibri" w:eastAsia="宋体" w:cs="Times New Roman"/>
      <w:color w:val="000000"/>
      <w:kern w:val="0"/>
    </w:rPr>
  </w:style>
  <w:style w:type="character" w:customStyle="1" w:styleId="202">
    <w:name w:val="正文缩进 Char"/>
    <w:autoRedefine/>
    <w:qFormat/>
    <w:uiPriority w:val="0"/>
    <w:rPr>
      <w:rFonts w:ascii="Calibri" w:hAnsi="Calibri" w:eastAsia="宋体" w:cs="Times New Roman"/>
      <w:kern w:val="2"/>
      <w:sz w:val="21"/>
    </w:rPr>
  </w:style>
  <w:style w:type="character" w:customStyle="1" w:styleId="203">
    <w:name w:val="H6 Char1"/>
    <w:autoRedefine/>
    <w:qFormat/>
    <w:uiPriority w:val="0"/>
    <w:rPr>
      <w:rFonts w:ascii="Helvetica" w:hAnsi="Helvetica" w:eastAsia="宋体" w:cs="Times New Roman"/>
      <w:b/>
      <w:i/>
      <w:position w:val="-6"/>
      <w:sz w:val="22"/>
      <w:lang w:val="en-GB" w:eastAsia="zh-CN" w:bidi="ar-SA"/>
    </w:rPr>
  </w:style>
  <w:style w:type="character" w:customStyle="1" w:styleId="204">
    <w:name w:val="正文缩进 Char2"/>
    <w:autoRedefine/>
    <w:qFormat/>
    <w:uiPriority w:val="0"/>
    <w:rPr>
      <w:rFonts w:ascii="Calibri" w:hAnsi="Calibri" w:eastAsia="宋体" w:cs="Times New Roman"/>
      <w:kern w:val="2"/>
      <w:sz w:val="21"/>
    </w:rPr>
  </w:style>
  <w:style w:type="character" w:customStyle="1" w:styleId="205">
    <w:name w:val="Char Char10"/>
    <w:autoRedefine/>
    <w:qFormat/>
    <w:uiPriority w:val="0"/>
    <w:rPr>
      <w:rFonts w:ascii="Helvetica" w:hAnsi="Helvetica" w:eastAsia="宋体" w:cs="Times New Roman"/>
      <w:b/>
      <w:i/>
      <w:position w:val="-6"/>
      <w:sz w:val="22"/>
      <w:lang w:val="en-GB" w:eastAsia="zh-CN" w:bidi="ar-SA"/>
    </w:rPr>
  </w:style>
  <w:style w:type="character" w:customStyle="1" w:styleId="206">
    <w:name w:val="XW封面－日期 Char Char1"/>
    <w:autoRedefine/>
    <w:qFormat/>
    <w:uiPriority w:val="0"/>
    <w:rPr>
      <w:rFonts w:ascii="Times New Roman" w:hAnsi="Times New Roman" w:eastAsia="宋体" w:cs="Times New Roman"/>
      <w:sz w:val="28"/>
      <w:szCs w:val="20"/>
    </w:rPr>
  </w:style>
  <w:style w:type="character" w:customStyle="1" w:styleId="207">
    <w:name w:val="列表段落 字符"/>
    <w:link w:val="208"/>
    <w:autoRedefine/>
    <w:qFormat/>
    <w:uiPriority w:val="34"/>
    <w:rPr>
      <w:rFonts w:ascii="Calibri" w:hAnsi="Calibri" w:eastAsia="宋体" w:cs="Times New Roman"/>
      <w:sz w:val="22"/>
      <w:szCs w:val="22"/>
      <w:lang w:eastAsia="en-US"/>
    </w:rPr>
  </w:style>
  <w:style w:type="paragraph" w:styleId="208">
    <w:name w:val="List Paragraph"/>
    <w:basedOn w:val="1"/>
    <w:link w:val="207"/>
    <w:autoRedefine/>
    <w:qFormat/>
    <w:uiPriority w:val="34"/>
  </w:style>
  <w:style w:type="character" w:customStyle="1" w:styleId="209">
    <w:name w:val="bds_more6"/>
    <w:autoRedefine/>
    <w:qFormat/>
    <w:uiPriority w:val="0"/>
    <w:rPr>
      <w:rFonts w:ascii="Calibri" w:hAnsi="Calibri" w:eastAsia="宋体" w:cs="Times New Roman"/>
      <w:color w:val="000000"/>
      <w:kern w:val="0"/>
    </w:rPr>
  </w:style>
  <w:style w:type="character" w:customStyle="1" w:styleId="210">
    <w:name w:val="Char Char141"/>
    <w:autoRedefine/>
    <w:qFormat/>
    <w:uiPriority w:val="0"/>
    <w:rPr>
      <w:rFonts w:ascii="Arial" w:hAnsi="Arial" w:eastAsia="黑体" w:cs="Times New Roman"/>
      <w:b/>
      <w:bCs/>
      <w:kern w:val="2"/>
      <w:sz w:val="32"/>
      <w:szCs w:val="32"/>
      <w:lang w:val="en-US" w:eastAsia="zh-CN" w:bidi="ar-SA"/>
    </w:rPr>
  </w:style>
  <w:style w:type="character" w:customStyle="1" w:styleId="211">
    <w:name w:val="批注框文本 Char"/>
    <w:autoRedefine/>
    <w:qFormat/>
    <w:uiPriority w:val="0"/>
    <w:rPr>
      <w:rFonts w:ascii="Calibri" w:hAnsi="Calibri" w:eastAsia="宋体" w:cs="Times New Roman"/>
      <w:kern w:val="2"/>
      <w:sz w:val="18"/>
      <w:szCs w:val="18"/>
    </w:rPr>
  </w:style>
  <w:style w:type="character" w:customStyle="1" w:styleId="212">
    <w:name w:val="Char Char2"/>
    <w:autoRedefine/>
    <w:qFormat/>
    <w:uiPriority w:val="0"/>
    <w:rPr>
      <w:rFonts w:ascii="宋体" w:hAnsi="宋体" w:eastAsia="宋体" w:cs="Times New Roman"/>
      <w:kern w:val="2"/>
      <w:sz w:val="28"/>
      <w:lang w:val="en-US" w:eastAsia="zh-CN" w:bidi="ar-SA"/>
    </w:rPr>
  </w:style>
  <w:style w:type="character" w:customStyle="1" w:styleId="213">
    <w:name w:val="Char Char15"/>
    <w:autoRedefine/>
    <w:qFormat/>
    <w:uiPriority w:val="0"/>
    <w:rPr>
      <w:rFonts w:ascii="Arial Narrow" w:hAnsi="Arial Narrow" w:eastAsia="宋体" w:cs="Times New Roman"/>
      <w:b/>
      <w:bCs/>
      <w:snapToGrid/>
      <w:sz w:val="28"/>
      <w:szCs w:val="44"/>
      <w:lang w:val="en-US" w:eastAsia="zh-CN" w:bidi="ar-SA"/>
    </w:rPr>
  </w:style>
  <w:style w:type="character" w:customStyle="1" w:styleId="214">
    <w:name w:val="标题 1.1 Char"/>
    <w:autoRedefine/>
    <w:qFormat/>
    <w:uiPriority w:val="0"/>
    <w:rPr>
      <w:rFonts w:ascii="Arial" w:hAnsi="Arial" w:eastAsia="黑体" w:cs="Times New Roman"/>
      <w:b/>
      <w:bCs/>
      <w:kern w:val="2"/>
      <w:sz w:val="28"/>
      <w:szCs w:val="32"/>
      <w:lang w:val="en-US" w:eastAsia="zh-CN" w:bidi="ar-SA"/>
    </w:rPr>
  </w:style>
  <w:style w:type="character" w:customStyle="1" w:styleId="215">
    <w:name w:val="sort"/>
    <w:autoRedefine/>
    <w:qFormat/>
    <w:uiPriority w:val="0"/>
    <w:rPr>
      <w:rFonts w:ascii="Calibri" w:hAnsi="Calibri" w:eastAsia="宋体" w:cs="Times New Roman"/>
      <w:color w:val="FFFFFF"/>
      <w:kern w:val="0"/>
      <w:bdr w:val="single" w:color="auto" w:sz="24" w:space="0"/>
    </w:rPr>
  </w:style>
  <w:style w:type="character" w:customStyle="1" w:styleId="216">
    <w:name w:val="正文文本缩进 字符"/>
    <w:autoRedefine/>
    <w:qFormat/>
    <w:uiPriority w:val="0"/>
    <w:rPr>
      <w:rFonts w:ascii="Calibri" w:hAnsi="Calibri" w:eastAsia="宋体" w:cs="Times New Roman"/>
    </w:rPr>
  </w:style>
  <w:style w:type="character" w:customStyle="1" w:styleId="217">
    <w:name w:val="页眉 Char1"/>
    <w:autoRedefine/>
    <w:qFormat/>
    <w:uiPriority w:val="0"/>
    <w:rPr>
      <w:rFonts w:ascii="Calibri" w:hAnsi="Calibri" w:eastAsia="宋体" w:cs="Times New Roman"/>
      <w:sz w:val="18"/>
      <w:lang w:val="en-US" w:eastAsia="zh-CN" w:bidi="ar-SA"/>
    </w:rPr>
  </w:style>
  <w:style w:type="character" w:customStyle="1" w:styleId="218">
    <w:name w:val="正文文本缩进 Char1"/>
    <w:autoRedefine/>
    <w:qFormat/>
    <w:uiPriority w:val="0"/>
    <w:rPr>
      <w:rFonts w:ascii="Calibri" w:hAnsi="Calibri" w:eastAsia="宋体" w:cs="Times New Roman"/>
    </w:rPr>
  </w:style>
  <w:style w:type="character" w:customStyle="1" w:styleId="219">
    <w:name w:val="批注框文本 Char1"/>
    <w:autoRedefine/>
    <w:qFormat/>
    <w:uiPriority w:val="0"/>
    <w:rPr>
      <w:rFonts w:ascii="Calibri" w:hAnsi="Calibri" w:eastAsia="宋体" w:cs="Times New Roman"/>
      <w:sz w:val="18"/>
      <w:szCs w:val="18"/>
      <w:lang w:val="en-US" w:eastAsia="zh-CN" w:bidi="ar-SA"/>
    </w:rPr>
  </w:style>
  <w:style w:type="character" w:customStyle="1" w:styleId="220">
    <w:name w:val="Char Char12"/>
    <w:autoRedefine/>
    <w:qFormat/>
    <w:uiPriority w:val="0"/>
    <w:rPr>
      <w:rFonts w:ascii="宋体" w:hAnsi="Arial" w:eastAsia="宋体" w:cs="Times New Roman"/>
      <w:kern w:val="2"/>
      <w:sz w:val="21"/>
      <w:lang w:val="en-US" w:eastAsia="zh-CN" w:bidi="ar-SA"/>
    </w:rPr>
  </w:style>
  <w:style w:type="character" w:customStyle="1" w:styleId="221">
    <w:name w:val="p121"/>
    <w:autoRedefine/>
    <w:qFormat/>
    <w:uiPriority w:val="0"/>
    <w:rPr>
      <w:rFonts w:hint="default" w:ascii="Calibri" w:hAnsi="Calibri" w:eastAsia="宋体" w:cs="Times New Roman"/>
      <w:sz w:val="24"/>
      <w:szCs w:val="24"/>
      <w:u w:val="none"/>
    </w:rPr>
  </w:style>
  <w:style w:type="character" w:customStyle="1" w:styleId="222">
    <w:name w:val="H3 Char"/>
    <w:autoRedefine/>
    <w:qFormat/>
    <w:uiPriority w:val="0"/>
    <w:rPr>
      <w:rFonts w:ascii="黑体" w:hAnsi="宋体" w:eastAsia="黑体" w:cs="Arial"/>
      <w:color w:val="000000"/>
      <w:kern w:val="24"/>
      <w:sz w:val="28"/>
      <w:szCs w:val="28"/>
      <w:lang w:val="sv-SE"/>
    </w:rPr>
  </w:style>
  <w:style w:type="character" w:customStyle="1" w:styleId="223">
    <w:name w:val="文档结构图 Char1"/>
    <w:autoRedefine/>
    <w:qFormat/>
    <w:uiPriority w:val="0"/>
    <w:rPr>
      <w:rFonts w:ascii="宋体" w:hAnsi="Calibri" w:eastAsia="宋体" w:cs="Times New Roman"/>
      <w:sz w:val="18"/>
      <w:szCs w:val="18"/>
    </w:rPr>
  </w:style>
  <w:style w:type="character" w:customStyle="1" w:styleId="224">
    <w:name w:val="普通文字 Char Char2"/>
    <w:autoRedefine/>
    <w:qFormat/>
    <w:uiPriority w:val="0"/>
    <w:rPr>
      <w:rFonts w:ascii="宋体" w:hAnsi="Courier New" w:eastAsia="宋体" w:cs="Courier New"/>
      <w:kern w:val="0"/>
      <w:szCs w:val="21"/>
    </w:rPr>
  </w:style>
  <w:style w:type="character" w:customStyle="1" w:styleId="225">
    <w:name w:val="公式 Char Char Char"/>
    <w:autoRedefine/>
    <w:qFormat/>
    <w:uiPriority w:val="0"/>
    <w:rPr>
      <w:rFonts w:ascii="华文细黑" w:hAnsi="华文细黑" w:eastAsia="华文细黑" w:cs="Arial"/>
      <w:color w:val="000000"/>
      <w:sz w:val="30"/>
      <w:szCs w:val="28"/>
      <w:lang w:val="en-US" w:eastAsia="zh-CN" w:bidi="ar-SA"/>
    </w:rPr>
  </w:style>
  <w:style w:type="character" w:customStyle="1" w:styleId="226">
    <w:name w:val="编号  ww Char"/>
    <w:autoRedefine/>
    <w:qFormat/>
    <w:uiPriority w:val="0"/>
    <w:rPr>
      <w:rFonts w:ascii="Arial" w:hAnsi="Arial" w:eastAsia="黑体" w:cs="Times New Roman"/>
      <w:b/>
      <w:bCs/>
      <w:sz w:val="28"/>
      <w:szCs w:val="28"/>
    </w:rPr>
  </w:style>
  <w:style w:type="character" w:customStyle="1" w:styleId="227">
    <w:name w:val="Char Char Char Char Char Char Char Char Char Char Char Char Char Char Char Char Char1"/>
    <w:autoRedefine/>
    <w:qFormat/>
    <w:uiPriority w:val="0"/>
    <w:rPr>
      <w:rFonts w:ascii="Verdana" w:hAnsi="Verdana" w:eastAsia="仿宋_GB2312" w:cs="Times New Roman"/>
      <w:sz w:val="24"/>
      <w:lang w:eastAsia="en-US"/>
    </w:rPr>
  </w:style>
  <w:style w:type="character" w:customStyle="1" w:styleId="228">
    <w:name w:val="MB5 Char"/>
    <w:autoRedefine/>
    <w:qFormat/>
    <w:uiPriority w:val="0"/>
    <w:rPr>
      <w:rFonts w:ascii="Calibri" w:hAnsi="Calibri" w:eastAsia="宋体" w:cs="Times New Roman"/>
      <w:position w:val="-6"/>
      <w:sz w:val="24"/>
      <w:lang w:val="en-GB" w:eastAsia="zh-CN" w:bidi="ar-SA"/>
    </w:rPr>
  </w:style>
  <w:style w:type="character" w:customStyle="1" w:styleId="229">
    <w:name w:val="bds_nopic1"/>
    <w:autoRedefine/>
    <w:qFormat/>
    <w:uiPriority w:val="0"/>
    <w:rPr>
      <w:rFonts w:ascii="Calibri" w:hAnsi="Calibri" w:eastAsia="宋体" w:cs="Times New Roman"/>
      <w:color w:val="000000"/>
      <w:kern w:val="0"/>
    </w:rPr>
  </w:style>
  <w:style w:type="character" w:customStyle="1" w:styleId="230">
    <w:name w:val="GEDI正文样式 Char"/>
    <w:link w:val="231"/>
    <w:autoRedefine/>
    <w:qFormat/>
    <w:uiPriority w:val="0"/>
    <w:rPr>
      <w:rFonts w:ascii="Times New Roman" w:hAnsi="Times New Roman" w:eastAsia="宋体" w:cs="Times New Roman"/>
      <w:kern w:val="2"/>
      <w:sz w:val="21"/>
      <w:szCs w:val="24"/>
      <w:lang w:eastAsia="zh-CN"/>
    </w:rPr>
  </w:style>
  <w:style w:type="paragraph" w:customStyle="1" w:styleId="231">
    <w:name w:val="GEDI正文样式"/>
    <w:basedOn w:val="1"/>
    <w:link w:val="230"/>
    <w:autoRedefine/>
    <w:qFormat/>
    <w:uiPriority w:val="0"/>
    <w:pPr>
      <w:adjustRightInd w:val="0"/>
      <w:snapToGrid w:val="0"/>
      <w:spacing w:line="480" w:lineRule="atLeast"/>
      <w:ind w:firstLine="480" w:firstLineChars="200"/>
      <w:jc w:val="both"/>
    </w:pPr>
    <w:rPr>
      <w:rFonts w:ascii="Times New Roman" w:hAnsi="Times New Roman"/>
      <w:kern w:val="2"/>
      <w:sz w:val="21"/>
      <w:szCs w:val="24"/>
      <w:lang w:eastAsia="zh-CN"/>
    </w:rPr>
  </w:style>
  <w:style w:type="character" w:customStyle="1" w:styleId="232">
    <w:name w:val="图表名 Char"/>
    <w:link w:val="233"/>
    <w:autoRedefine/>
    <w:qFormat/>
    <w:uiPriority w:val="0"/>
    <w:rPr>
      <w:rFonts w:ascii="宋体" w:hAnsi="宋体" w:eastAsia="宋体" w:cs="Times New Roman"/>
      <w:sz w:val="28"/>
      <w:szCs w:val="28"/>
    </w:rPr>
  </w:style>
  <w:style w:type="paragraph" w:customStyle="1" w:styleId="233">
    <w:name w:val="图表名"/>
    <w:basedOn w:val="1"/>
    <w:next w:val="1"/>
    <w:link w:val="232"/>
    <w:autoRedefine/>
    <w:qFormat/>
    <w:uiPriority w:val="0"/>
    <w:pPr>
      <w:tabs>
        <w:tab w:val="left" w:pos="770"/>
        <w:tab w:val="left" w:pos="4660"/>
      </w:tabs>
      <w:adjustRightInd w:val="0"/>
      <w:snapToGrid w:val="0"/>
      <w:spacing w:line="360" w:lineRule="auto"/>
      <w:jc w:val="center"/>
    </w:pPr>
    <w:rPr>
      <w:rFonts w:ascii="宋体" w:hAnsi="宋体"/>
      <w:sz w:val="28"/>
      <w:szCs w:val="28"/>
    </w:rPr>
  </w:style>
  <w:style w:type="character" w:customStyle="1" w:styleId="234">
    <w:name w:val="样式 标题 1TITRE1章节合同标题H1h1Section Head1st levell1H11H12H... Char"/>
    <w:link w:val="235"/>
    <w:autoRedefine/>
    <w:qFormat/>
    <w:uiPriority w:val="0"/>
    <w:rPr>
      <w:rFonts w:ascii="Arial" w:hAnsi="Arial" w:eastAsia="宋体" w:cs="Times New Roman"/>
      <w:b/>
      <w:bCs/>
      <w:kern w:val="44"/>
      <w:sz w:val="30"/>
      <w:szCs w:val="44"/>
      <w:lang w:eastAsia="zh-CN"/>
    </w:rPr>
  </w:style>
  <w:style w:type="paragraph" w:customStyle="1" w:styleId="235">
    <w:name w:val="样式 标题 1TITRE1章节合同标题H1h1Section Head1st levell1H11H12H..."/>
    <w:basedOn w:val="2"/>
    <w:link w:val="234"/>
    <w:autoRedefine/>
    <w:qFormat/>
    <w:uiPriority w:val="0"/>
    <w:pPr>
      <w:keepNext/>
      <w:keepLines/>
      <w:spacing w:before="340" w:after="330" w:line="576" w:lineRule="auto"/>
      <w:ind w:left="0"/>
      <w:jc w:val="both"/>
    </w:pPr>
    <w:rPr>
      <w:rFonts w:ascii="Arial" w:hAnsi="Arial" w:eastAsia="宋体"/>
      <w:kern w:val="44"/>
      <w:sz w:val="30"/>
      <w:lang w:eastAsia="zh-CN"/>
    </w:rPr>
  </w:style>
  <w:style w:type="character" w:customStyle="1" w:styleId="236">
    <w:name w:val="正文文本 Char"/>
    <w:autoRedefine/>
    <w:qFormat/>
    <w:uiPriority w:val="0"/>
    <w:rPr>
      <w:rFonts w:ascii="Calibri" w:hAnsi="Calibri" w:eastAsia="宋体" w:cs="Times New Roman"/>
      <w:kern w:val="2"/>
      <w:sz w:val="21"/>
      <w:szCs w:val="24"/>
    </w:rPr>
  </w:style>
  <w:style w:type="character" w:customStyle="1" w:styleId="237">
    <w:name w:val="sidecatalog-index1"/>
    <w:autoRedefine/>
    <w:qFormat/>
    <w:uiPriority w:val="0"/>
    <w:rPr>
      <w:rFonts w:ascii="Arial" w:hAnsi="Arial" w:eastAsia="宋体" w:cs="Arial"/>
      <w:b/>
      <w:color w:val="999999"/>
      <w:kern w:val="0"/>
      <w:sz w:val="21"/>
      <w:szCs w:val="21"/>
    </w:rPr>
  </w:style>
  <w:style w:type="character" w:customStyle="1" w:styleId="238">
    <w:name w:val="正文文本缩进 Char"/>
    <w:autoRedefine/>
    <w:qFormat/>
    <w:uiPriority w:val="0"/>
    <w:rPr>
      <w:rFonts w:ascii="Calibri" w:hAnsi="Calibri" w:eastAsia="宋体" w:cs="Times New Roman"/>
      <w:kern w:val="2"/>
      <w:sz w:val="28"/>
      <w:szCs w:val="24"/>
    </w:rPr>
  </w:style>
  <w:style w:type="character" w:customStyle="1" w:styleId="239">
    <w:name w:val="H5 Char"/>
    <w:autoRedefine/>
    <w:qFormat/>
    <w:uiPriority w:val="0"/>
    <w:rPr>
      <w:rFonts w:ascii="Times New Roman" w:hAnsi="Times New Roman" w:eastAsia="宋体" w:cs="Times New Roman"/>
      <w:b/>
      <w:bCs/>
      <w:sz w:val="28"/>
      <w:szCs w:val="28"/>
    </w:rPr>
  </w:style>
  <w:style w:type="character" w:customStyle="1" w:styleId="240">
    <w:name w:val="black1"/>
    <w:autoRedefine/>
    <w:qFormat/>
    <w:uiPriority w:val="0"/>
    <w:rPr>
      <w:rFonts w:hint="default" w:ascii="ˎ̥" w:hAnsi="ˎ̥" w:eastAsia="宋体" w:cs="Times New Roman"/>
      <w:color w:val="333333"/>
      <w:sz w:val="18"/>
      <w:szCs w:val="18"/>
      <w:u w:val="none"/>
    </w:rPr>
  </w:style>
  <w:style w:type="character" w:customStyle="1" w:styleId="241">
    <w:name w:val="polysemyexp"/>
    <w:autoRedefine/>
    <w:qFormat/>
    <w:uiPriority w:val="0"/>
    <w:rPr>
      <w:rFonts w:ascii="Calibri" w:hAnsi="Calibri" w:eastAsia="宋体" w:cs="Times New Roman"/>
      <w:color w:val="AAAAAA"/>
      <w:kern w:val="0"/>
      <w:sz w:val="18"/>
      <w:szCs w:val="18"/>
    </w:rPr>
  </w:style>
  <w:style w:type="character" w:customStyle="1" w:styleId="242">
    <w:name w:val="Char Char17"/>
    <w:autoRedefine/>
    <w:qFormat/>
    <w:uiPriority w:val="0"/>
    <w:rPr>
      <w:rFonts w:ascii="Times New Roman" w:hAnsi="Times New Roman" w:eastAsia="宋体" w:cs="Times New Roman"/>
      <w:kern w:val="0"/>
      <w:sz w:val="18"/>
      <w:szCs w:val="20"/>
    </w:rPr>
  </w:style>
  <w:style w:type="character" w:customStyle="1" w:styleId="243">
    <w:name w:val="正文文本 Char1"/>
    <w:autoRedefine/>
    <w:qFormat/>
    <w:uiPriority w:val="0"/>
    <w:rPr>
      <w:rFonts w:ascii="Calibri" w:hAnsi="Calibri" w:eastAsia="宋体" w:cs="Times New Roman"/>
      <w:kern w:val="2"/>
      <w:sz w:val="21"/>
      <w:szCs w:val="24"/>
    </w:rPr>
  </w:style>
  <w:style w:type="character" w:customStyle="1" w:styleId="244">
    <w:name w:val="sidecatalog-dot1"/>
    <w:autoRedefine/>
    <w:qFormat/>
    <w:uiPriority w:val="0"/>
    <w:rPr>
      <w:rFonts w:ascii="Calibri" w:hAnsi="Calibri" w:eastAsia="宋体" w:cs="Times New Roman"/>
      <w:color w:val="000000"/>
      <w:kern w:val="0"/>
    </w:rPr>
  </w:style>
  <w:style w:type="character" w:customStyle="1" w:styleId="245">
    <w:name w:val="页眉 Char"/>
    <w:autoRedefine/>
    <w:qFormat/>
    <w:uiPriority w:val="99"/>
    <w:rPr>
      <w:rFonts w:ascii="Calibri" w:hAnsi="Calibri" w:eastAsia="宋体" w:cs="Times New Roman"/>
      <w:kern w:val="2"/>
      <w:sz w:val="18"/>
      <w:szCs w:val="18"/>
    </w:rPr>
  </w:style>
  <w:style w:type="character" w:customStyle="1" w:styleId="246">
    <w:name w:val="纯文本 Char"/>
    <w:autoRedefine/>
    <w:qFormat/>
    <w:uiPriority w:val="0"/>
    <w:rPr>
      <w:rFonts w:ascii="宋体" w:hAnsi="Courier New" w:eastAsia="宋体" w:cs="Times New Roman"/>
      <w:kern w:val="2"/>
      <w:sz w:val="21"/>
    </w:rPr>
  </w:style>
  <w:style w:type="character" w:customStyle="1" w:styleId="247">
    <w:name w:val="bds_more9"/>
    <w:autoRedefine/>
    <w:qFormat/>
    <w:uiPriority w:val="0"/>
    <w:rPr>
      <w:rFonts w:ascii="Calibri" w:hAnsi="Calibri" w:eastAsia="宋体" w:cs="Times New Roman"/>
      <w:color w:val="000000"/>
      <w:kern w:val="0"/>
    </w:rPr>
  </w:style>
  <w:style w:type="character" w:customStyle="1" w:styleId="248">
    <w:name w:val="日期 Char1"/>
    <w:autoRedefine/>
    <w:qFormat/>
    <w:uiPriority w:val="0"/>
    <w:rPr>
      <w:rFonts w:ascii="Calibri" w:hAnsi="Calibri" w:eastAsia="宋体" w:cs="Times New Roman"/>
    </w:rPr>
  </w:style>
  <w:style w:type="character" w:customStyle="1" w:styleId="249">
    <w:name w:val="正文文本 3 Char1"/>
    <w:autoRedefine/>
    <w:qFormat/>
    <w:uiPriority w:val="0"/>
    <w:rPr>
      <w:rFonts w:ascii="Calibri" w:hAnsi="Calibri" w:eastAsia="宋体" w:cs="Times New Roman"/>
      <w:sz w:val="16"/>
      <w:szCs w:val="16"/>
    </w:rPr>
  </w:style>
  <w:style w:type="character" w:customStyle="1" w:styleId="250">
    <w:name w:val="标题 2 Char"/>
    <w:link w:val="3"/>
    <w:autoRedefine/>
    <w:qFormat/>
    <w:uiPriority w:val="0"/>
    <w:rPr>
      <w:rFonts w:ascii="Arial" w:hAnsi="Arial" w:eastAsia="黑体" w:cs="Times New Roman"/>
      <w:b/>
      <w:bCs/>
      <w:kern w:val="2"/>
      <w:sz w:val="32"/>
      <w:szCs w:val="32"/>
    </w:rPr>
  </w:style>
  <w:style w:type="character" w:customStyle="1" w:styleId="251">
    <w:name w:val="Char Char11"/>
    <w:autoRedefine/>
    <w:qFormat/>
    <w:uiPriority w:val="0"/>
    <w:rPr>
      <w:rFonts w:ascii="Calibri" w:hAnsi="Calibri" w:eastAsia="宋体" w:cs="Times New Roman"/>
      <w:position w:val="-6"/>
      <w:sz w:val="24"/>
      <w:lang w:val="en-GB" w:eastAsia="zh-CN" w:bidi="ar-SA"/>
    </w:rPr>
  </w:style>
  <w:style w:type="character" w:customStyle="1" w:styleId="252">
    <w:name w:val="plus"/>
    <w:autoRedefine/>
    <w:qFormat/>
    <w:uiPriority w:val="0"/>
    <w:rPr>
      <w:rFonts w:ascii="Calibri" w:hAnsi="Calibri" w:eastAsia="宋体" w:cs="Times New Roman"/>
      <w:b/>
      <w:vanish/>
      <w:color w:val="1F8DEF"/>
      <w:kern w:val="0"/>
      <w:sz w:val="24"/>
      <w:szCs w:val="24"/>
    </w:rPr>
  </w:style>
  <w:style w:type="character" w:customStyle="1" w:styleId="253">
    <w:name w:val="标题 3 Char1"/>
    <w:autoRedefine/>
    <w:qFormat/>
    <w:uiPriority w:val="0"/>
    <w:rPr>
      <w:rFonts w:hint="eastAsia" w:ascii="Microsoft JhengHei" w:hAnsi="Microsoft JhengHei" w:eastAsia="Microsoft JhengHei" w:cs="Microsoft JhengHei"/>
      <w:b/>
      <w:sz w:val="30"/>
      <w:szCs w:val="32"/>
      <w:lang w:eastAsia="en-US"/>
    </w:rPr>
  </w:style>
  <w:style w:type="character" w:customStyle="1" w:styleId="254">
    <w:name w:val="font101"/>
    <w:autoRedefine/>
    <w:qFormat/>
    <w:uiPriority w:val="0"/>
    <w:rPr>
      <w:rFonts w:hint="eastAsia" w:ascii="宋体" w:hAnsi="宋体" w:eastAsia="宋体" w:cs="宋体"/>
      <w:color w:val="000000"/>
      <w:sz w:val="22"/>
      <w:szCs w:val="22"/>
      <w:u w:val="none"/>
    </w:rPr>
  </w:style>
  <w:style w:type="character" w:customStyle="1" w:styleId="255">
    <w:name w:val="font131"/>
    <w:autoRedefine/>
    <w:qFormat/>
    <w:uiPriority w:val="0"/>
    <w:rPr>
      <w:rFonts w:hint="default" w:ascii="Times New Roman" w:hAnsi="Times New Roman" w:cs="Times New Roman"/>
      <w:color w:val="000000"/>
      <w:sz w:val="22"/>
      <w:szCs w:val="22"/>
      <w:u w:val="none"/>
    </w:rPr>
  </w:style>
  <w:style w:type="character" w:customStyle="1" w:styleId="256">
    <w:name w:val="未处理的提及41"/>
    <w:autoRedefine/>
    <w:unhideWhenUsed/>
    <w:qFormat/>
    <w:uiPriority w:val="99"/>
    <w:rPr>
      <w:color w:val="605E5C"/>
      <w:shd w:val="clear" w:color="auto" w:fill="E1DFDD"/>
    </w:rPr>
  </w:style>
  <w:style w:type="character" w:customStyle="1" w:styleId="257">
    <w:name w:val="font21"/>
    <w:autoRedefine/>
    <w:qFormat/>
    <w:uiPriority w:val="0"/>
    <w:rPr>
      <w:rFonts w:hint="eastAsia" w:ascii="微软雅黑" w:hAnsi="微软雅黑" w:eastAsia="微软雅黑" w:cs="微软雅黑"/>
      <w:color w:val="000000"/>
      <w:sz w:val="24"/>
      <w:szCs w:val="24"/>
      <w:u w:val="none"/>
    </w:rPr>
  </w:style>
  <w:style w:type="character" w:customStyle="1" w:styleId="258">
    <w:name w:val="未处理的提及5"/>
    <w:autoRedefine/>
    <w:unhideWhenUsed/>
    <w:qFormat/>
    <w:uiPriority w:val="99"/>
    <w:rPr>
      <w:color w:val="605E5C"/>
      <w:shd w:val="clear" w:color="auto" w:fill="E1DFDD"/>
    </w:rPr>
  </w:style>
  <w:style w:type="paragraph" w:customStyle="1" w:styleId="259">
    <w:name w:val="CM34"/>
    <w:basedOn w:val="84"/>
    <w:next w:val="84"/>
    <w:autoRedefine/>
    <w:qFormat/>
    <w:uiPriority w:val="0"/>
    <w:pPr>
      <w:spacing w:line="398" w:lineRule="atLeast"/>
    </w:pPr>
    <w:rPr>
      <w:rFonts w:ascii="Calibri" w:cs="Times New Roman"/>
      <w:color w:val="auto"/>
    </w:rPr>
  </w:style>
  <w:style w:type="paragraph" w:customStyle="1" w:styleId="260">
    <w:name w:val="正文部分"/>
    <w:basedOn w:val="1"/>
    <w:autoRedefine/>
    <w:qFormat/>
    <w:uiPriority w:val="0"/>
    <w:pPr>
      <w:spacing w:line="500" w:lineRule="exact"/>
      <w:ind w:firstLine="480" w:firstLineChars="200"/>
      <w:textAlignment w:val="center"/>
    </w:pPr>
    <w:rPr>
      <w:rFonts w:ascii="华文细黑" w:hAnsi="华文细黑"/>
      <w:kern w:val="2"/>
      <w:sz w:val="24"/>
      <w:szCs w:val="20"/>
      <w:lang w:eastAsia="zh-CN"/>
    </w:rPr>
  </w:style>
  <w:style w:type="paragraph" w:customStyle="1" w:styleId="261">
    <w:name w:val="CM19"/>
    <w:basedOn w:val="84"/>
    <w:next w:val="84"/>
    <w:autoRedefine/>
    <w:qFormat/>
    <w:uiPriority w:val="0"/>
    <w:pPr>
      <w:spacing w:line="398" w:lineRule="atLeast"/>
    </w:pPr>
    <w:rPr>
      <w:rFonts w:ascii="Calibri" w:cs="Times New Roman"/>
      <w:color w:val="auto"/>
    </w:rPr>
  </w:style>
  <w:style w:type="paragraph" w:customStyle="1" w:styleId="262">
    <w:name w:val="font8"/>
    <w:basedOn w:val="1"/>
    <w:autoRedefine/>
    <w:qFormat/>
    <w:uiPriority w:val="0"/>
    <w:pPr>
      <w:widowControl/>
      <w:spacing w:before="100" w:beforeAutospacing="1" w:after="100" w:afterAutospacing="1"/>
    </w:pPr>
    <w:rPr>
      <w:rFonts w:hint="eastAsia" w:ascii="宋体" w:hAnsi="宋体"/>
      <w:lang w:eastAsia="zh-CN"/>
    </w:rPr>
  </w:style>
  <w:style w:type="paragraph" w:customStyle="1" w:styleId="263">
    <w:name w:val="legal 2"/>
    <w:basedOn w:val="84"/>
    <w:next w:val="84"/>
    <w:autoRedefine/>
    <w:qFormat/>
    <w:uiPriority w:val="0"/>
    <w:pPr>
      <w:spacing w:after="120"/>
    </w:pPr>
    <w:rPr>
      <w:rFonts w:ascii="Calibri" w:cs="Times New Roman"/>
      <w:color w:val="auto"/>
    </w:rPr>
  </w:style>
  <w:style w:type="paragraph" w:customStyle="1" w:styleId="264">
    <w:name w:val="CM7"/>
    <w:basedOn w:val="84"/>
    <w:next w:val="84"/>
    <w:autoRedefine/>
    <w:qFormat/>
    <w:uiPriority w:val="0"/>
    <w:pPr>
      <w:spacing w:line="191" w:lineRule="atLeast"/>
    </w:pPr>
    <w:rPr>
      <w:rFonts w:ascii="Times New Roman" w:hAnsi="Times New Roman" w:cs="Times New Roman"/>
      <w:color w:val="auto"/>
    </w:rPr>
  </w:style>
  <w:style w:type="paragraph" w:customStyle="1" w:styleId="265">
    <w:name w:val="标题11"/>
    <w:basedOn w:val="1"/>
    <w:autoRedefine/>
    <w:qFormat/>
    <w:uiPriority w:val="0"/>
    <w:pPr>
      <w:numPr>
        <w:ilvl w:val="0"/>
        <w:numId w:val="4"/>
      </w:numPr>
      <w:tabs>
        <w:tab w:val="left" w:pos="284"/>
        <w:tab w:val="clear" w:pos="900"/>
      </w:tabs>
      <w:spacing w:line="360" w:lineRule="auto"/>
      <w:ind w:left="722" w:firstLine="116" w:firstLineChars="48"/>
      <w:jc w:val="both"/>
      <w:textAlignment w:val="bottom"/>
    </w:pPr>
    <w:rPr>
      <w:rFonts w:ascii="宋体" w:hAnsi="宋体"/>
      <w:b/>
      <w:sz w:val="24"/>
      <w:szCs w:val="24"/>
      <w:lang w:eastAsia="zh-CN"/>
    </w:rPr>
  </w:style>
  <w:style w:type="paragraph" w:customStyle="1" w:styleId="266">
    <w:name w:val="Char Char Char Char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267">
    <w:name w:val="xl89"/>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268">
    <w:name w:val="标题 1+ 黑体"/>
    <w:basedOn w:val="63"/>
    <w:autoRedefine/>
    <w:qFormat/>
    <w:uiPriority w:val="0"/>
    <w:pPr>
      <w:autoSpaceDE/>
      <w:autoSpaceDN/>
      <w:adjustRightInd/>
      <w:spacing w:beforeLines="0" w:line="240" w:lineRule="auto"/>
      <w:textAlignment w:val="auto"/>
    </w:pPr>
    <w:rPr>
      <w:rFonts w:ascii="黑体" w:hAnsi="Calibri" w:eastAsia="黑体" w:cs="Times New Roman"/>
      <w:kern w:val="2"/>
    </w:rPr>
  </w:style>
  <w:style w:type="paragraph" w:customStyle="1" w:styleId="26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b/>
      <w:bCs/>
      <w:lang w:eastAsia="zh-CN"/>
    </w:rPr>
  </w:style>
  <w:style w:type="paragraph" w:customStyle="1" w:styleId="270">
    <w:name w:val="Table Paragraph"/>
    <w:basedOn w:val="1"/>
    <w:autoRedefine/>
    <w:qFormat/>
    <w:uiPriority w:val="0"/>
  </w:style>
  <w:style w:type="paragraph" w:customStyle="1" w:styleId="271">
    <w:name w:val="CM31"/>
    <w:basedOn w:val="84"/>
    <w:next w:val="84"/>
    <w:autoRedefine/>
    <w:qFormat/>
    <w:uiPriority w:val="0"/>
    <w:pPr>
      <w:spacing w:line="400" w:lineRule="atLeast"/>
    </w:pPr>
    <w:rPr>
      <w:rFonts w:ascii="Calibri" w:cs="Times New Roman"/>
      <w:color w:val="auto"/>
    </w:rPr>
  </w:style>
  <w:style w:type="paragraph" w:customStyle="1" w:styleId="272">
    <w:name w:val="CM15"/>
    <w:basedOn w:val="84"/>
    <w:next w:val="84"/>
    <w:autoRedefine/>
    <w:qFormat/>
    <w:uiPriority w:val="0"/>
    <w:pPr>
      <w:spacing w:line="313" w:lineRule="atLeast"/>
    </w:pPr>
    <w:rPr>
      <w:rFonts w:ascii="Calibri" w:cs="Times New Roman"/>
      <w:color w:val="auto"/>
    </w:rPr>
  </w:style>
  <w:style w:type="paragraph" w:customStyle="1" w:styleId="273">
    <w:name w:val="设备规范标题2"/>
    <w:next w:val="1"/>
    <w:autoRedefine/>
    <w:qFormat/>
    <w:uiPriority w:val="0"/>
    <w:pPr>
      <w:tabs>
        <w:tab w:val="left" w:pos="425"/>
        <w:tab w:val="left" w:pos="720"/>
        <w:tab w:val="left" w:pos="840"/>
      </w:tabs>
      <w:spacing w:beforeLines="100" w:afterLines="50"/>
      <w:ind w:hanging="425"/>
    </w:pPr>
    <w:rPr>
      <w:rFonts w:ascii="Times New Roman" w:hAnsi="Times New Roman" w:eastAsia="楷体_GB2312" w:cs="Times New Roman"/>
      <w:b/>
      <w:bCs/>
      <w:sz w:val="24"/>
      <w:lang w:val="en-US" w:eastAsia="zh-CN" w:bidi="ar-SA"/>
    </w:rPr>
  </w:style>
  <w:style w:type="paragraph" w:customStyle="1" w:styleId="274">
    <w:name w:val="CM98"/>
    <w:basedOn w:val="84"/>
    <w:next w:val="84"/>
    <w:autoRedefine/>
    <w:qFormat/>
    <w:uiPriority w:val="0"/>
    <w:pPr>
      <w:spacing w:after="570"/>
    </w:pPr>
    <w:rPr>
      <w:rFonts w:ascii="Calibri" w:cs="Times New Roman"/>
      <w:color w:val="auto"/>
    </w:rPr>
  </w:style>
  <w:style w:type="paragraph" w:customStyle="1" w:styleId="275">
    <w:name w:val="xl15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76">
    <w:name w:val="Char Char Char"/>
    <w:basedOn w:val="1"/>
    <w:autoRedefine/>
    <w:qFormat/>
    <w:uiPriority w:val="0"/>
    <w:pPr>
      <w:spacing w:line="360" w:lineRule="auto"/>
      <w:jc w:val="both"/>
    </w:pPr>
    <w:rPr>
      <w:rFonts w:ascii="Tahoma" w:hAnsi="Tahoma"/>
      <w:kern w:val="2"/>
      <w:sz w:val="24"/>
      <w:szCs w:val="20"/>
      <w:lang w:eastAsia="zh-CN"/>
    </w:rPr>
  </w:style>
  <w:style w:type="paragraph" w:customStyle="1" w:styleId="277">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278">
    <w:name w:val="xl123"/>
    <w:basedOn w:val="1"/>
    <w:autoRedefine/>
    <w:qFormat/>
    <w:uiPriority w:val="0"/>
    <w:pPr>
      <w:widowControl/>
      <w:pBdr>
        <w:top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79">
    <w:name w:val="封面样式1"/>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280">
    <w:name w:val="font12"/>
    <w:basedOn w:val="1"/>
    <w:autoRedefine/>
    <w:qFormat/>
    <w:uiPriority w:val="0"/>
    <w:pPr>
      <w:widowControl/>
      <w:spacing w:before="100" w:beforeAutospacing="1" w:after="100" w:afterAutospacing="1"/>
    </w:pPr>
    <w:rPr>
      <w:rFonts w:ascii="Times New Roman" w:hAnsi="Times New Roman"/>
      <w:sz w:val="20"/>
      <w:szCs w:val="20"/>
      <w:lang w:eastAsia="zh-CN"/>
    </w:rPr>
  </w:style>
  <w:style w:type="paragraph" w:customStyle="1" w:styleId="281">
    <w:name w:val="Table"/>
    <w:basedOn w:val="1"/>
    <w:autoRedefine/>
    <w:qFormat/>
    <w:uiPriority w:val="0"/>
    <w:pPr>
      <w:widowControl/>
    </w:pPr>
    <w:rPr>
      <w:rFonts w:ascii="宋体" w:hAnsi="宋体"/>
      <w:sz w:val="24"/>
      <w:szCs w:val="24"/>
      <w:lang w:val="en-GB"/>
    </w:rPr>
  </w:style>
  <w:style w:type="paragraph" w:customStyle="1" w:styleId="282">
    <w:name w:val="xl140"/>
    <w:basedOn w:val="1"/>
    <w:autoRedefine/>
    <w:qFormat/>
    <w:uiPriority w:val="0"/>
    <w:pPr>
      <w:widowControl/>
      <w:spacing w:before="100" w:beforeAutospacing="1" w:after="100" w:afterAutospacing="1"/>
    </w:pPr>
    <w:rPr>
      <w:rFonts w:hint="eastAsia" w:ascii="宋体" w:hAnsi="宋体" w:cs="Arial Unicode MS"/>
      <w:sz w:val="24"/>
      <w:szCs w:val="24"/>
      <w:lang w:eastAsia="zh-CN"/>
    </w:rPr>
  </w:style>
  <w:style w:type="paragraph" w:customStyle="1" w:styleId="283">
    <w:name w:val="xl174"/>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4">
    <w:name w:val="xl95"/>
    <w:basedOn w:val="1"/>
    <w:autoRedefine/>
    <w:qFormat/>
    <w:uiPriority w:val="0"/>
    <w:pPr>
      <w:widowControl/>
      <w:pBdr>
        <w:top w:val="single" w:color="auto" w:sz="4" w:space="0"/>
        <w:left w:val="single" w:color="auto" w:sz="8" w:space="0"/>
        <w:bottom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285">
    <w:name w:val="xl19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86">
    <w:name w:val="CM39"/>
    <w:basedOn w:val="84"/>
    <w:next w:val="84"/>
    <w:autoRedefine/>
    <w:qFormat/>
    <w:uiPriority w:val="0"/>
    <w:pPr>
      <w:spacing w:line="400" w:lineRule="atLeast"/>
    </w:pPr>
    <w:rPr>
      <w:rFonts w:ascii="Calibri" w:cs="Times New Roman"/>
      <w:color w:val="auto"/>
    </w:rPr>
  </w:style>
  <w:style w:type="paragraph" w:customStyle="1" w:styleId="287">
    <w:name w:val="附件"/>
    <w:basedOn w:val="1"/>
    <w:autoRedefine/>
    <w:qFormat/>
    <w:uiPriority w:val="0"/>
    <w:pPr>
      <w:numPr>
        <w:ilvl w:val="0"/>
        <w:numId w:val="5"/>
      </w:numPr>
      <w:tabs>
        <w:tab w:val="left" w:pos="420"/>
      </w:tabs>
      <w:spacing w:beforeLines="50" w:line="360" w:lineRule="auto"/>
      <w:jc w:val="both"/>
    </w:pPr>
    <w:rPr>
      <w:rFonts w:ascii="宋体" w:hAnsi="Times New Roman"/>
      <w:b/>
      <w:kern w:val="2"/>
      <w:sz w:val="28"/>
      <w:szCs w:val="24"/>
      <w:lang w:eastAsia="zh-CN"/>
    </w:rPr>
  </w:style>
  <w:style w:type="paragraph" w:customStyle="1" w:styleId="288">
    <w:name w:val="xl13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89">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color w:val="FF0000"/>
      <w:lang w:eastAsia="zh-CN"/>
    </w:rPr>
  </w:style>
  <w:style w:type="paragraph" w:customStyle="1" w:styleId="290">
    <w:name w:val="font10"/>
    <w:basedOn w:val="1"/>
    <w:autoRedefine/>
    <w:qFormat/>
    <w:uiPriority w:val="0"/>
    <w:pPr>
      <w:widowControl/>
      <w:spacing w:before="100" w:beforeAutospacing="1" w:after="100" w:afterAutospacing="1"/>
    </w:pPr>
    <w:rPr>
      <w:rFonts w:ascii="Times New Roman" w:hAnsi="Times New Roman"/>
      <w:b/>
      <w:bCs/>
      <w:sz w:val="20"/>
      <w:szCs w:val="20"/>
      <w:lang w:eastAsia="zh-CN"/>
    </w:rPr>
  </w:style>
  <w:style w:type="paragraph" w:customStyle="1" w:styleId="291">
    <w:name w:val="xl1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2">
    <w:name w:val="xl175"/>
    <w:basedOn w:val="1"/>
    <w:autoRedefine/>
    <w:qFormat/>
    <w:uiPriority w:val="0"/>
    <w:pPr>
      <w:widowControl/>
      <w:pBdr>
        <w:top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3">
    <w:name w:val="xl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294">
    <w:name w:val="xl166"/>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295">
    <w:name w:val="自定义标题3"/>
    <w:basedOn w:val="1"/>
    <w:next w:val="1"/>
    <w:autoRedefine/>
    <w:qFormat/>
    <w:uiPriority w:val="0"/>
    <w:pPr>
      <w:adjustRightInd w:val="0"/>
      <w:spacing w:before="100" w:after="120" w:line="320" w:lineRule="exact"/>
      <w:jc w:val="both"/>
      <w:textAlignment w:val="baseline"/>
    </w:pPr>
    <w:rPr>
      <w:rFonts w:ascii="Arial" w:hAnsi="Arial"/>
      <w:color w:val="0000FF"/>
      <w:sz w:val="24"/>
      <w:szCs w:val="20"/>
      <w:lang w:eastAsia="zh-CN"/>
    </w:rPr>
  </w:style>
  <w:style w:type="paragraph" w:customStyle="1" w:styleId="296">
    <w:name w:val="xl12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297">
    <w:name w:val="正文1"/>
    <w:basedOn w:val="1"/>
    <w:autoRedefine/>
    <w:qFormat/>
    <w:uiPriority w:val="0"/>
    <w:pPr>
      <w:adjustRightInd w:val="0"/>
      <w:spacing w:line="360" w:lineRule="atLeast"/>
      <w:textAlignment w:val="baseline"/>
    </w:pPr>
    <w:rPr>
      <w:rFonts w:ascii="宋体" w:hAnsi="Times New Roman"/>
      <w:sz w:val="24"/>
      <w:szCs w:val="20"/>
      <w:lang w:eastAsia="zh-CN"/>
    </w:rPr>
  </w:style>
  <w:style w:type="paragraph" w:customStyle="1" w:styleId="298">
    <w:name w:val="默认段落字体 Para Char Char Char Char"/>
    <w:basedOn w:val="1"/>
    <w:autoRedefine/>
    <w:qFormat/>
    <w:uiPriority w:val="0"/>
    <w:pPr>
      <w:jc w:val="both"/>
    </w:pPr>
    <w:rPr>
      <w:rFonts w:ascii="Times New Roman" w:hAnsi="Times New Roman"/>
      <w:kern w:val="2"/>
      <w:sz w:val="21"/>
      <w:szCs w:val="24"/>
      <w:lang w:eastAsia="zh-CN"/>
    </w:rPr>
  </w:style>
  <w:style w:type="paragraph" w:customStyle="1" w:styleId="299">
    <w:name w:val="xl88"/>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300">
    <w:name w:val="Head 2"/>
    <w:basedOn w:val="10"/>
    <w:autoRedefine/>
    <w:qFormat/>
    <w:uiPriority w:val="0"/>
    <w:pPr>
      <w:keepNext/>
      <w:widowControl w:val="0"/>
      <w:numPr>
        <w:ilvl w:val="0"/>
        <w:numId w:val="0"/>
      </w:numPr>
      <w:suppressAutoHyphens/>
      <w:overflowPunct/>
      <w:autoSpaceDE/>
      <w:autoSpaceDN/>
      <w:adjustRightInd/>
      <w:spacing w:line="360" w:lineRule="auto"/>
      <w:textAlignment w:val="auto"/>
      <w:outlineLvl w:val="9"/>
    </w:pPr>
    <w:rPr>
      <w:rFonts w:ascii="Times New Roman Bold" w:hAnsi="Times New Roman Bold"/>
      <w:i w:val="0"/>
      <w:spacing w:val="-4"/>
      <w:position w:val="0"/>
      <w:sz w:val="32"/>
      <w:lang w:val="en-US" w:eastAsia="en-US"/>
    </w:rPr>
  </w:style>
  <w:style w:type="paragraph" w:customStyle="1" w:styleId="301">
    <w:name w:val="样式2"/>
    <w:basedOn w:val="1"/>
    <w:autoRedefine/>
    <w:qFormat/>
    <w:uiPriority w:val="0"/>
    <w:pPr>
      <w:adjustRightInd w:val="0"/>
      <w:spacing w:line="410" w:lineRule="atLeast"/>
      <w:jc w:val="both"/>
      <w:textAlignment w:val="baseline"/>
    </w:pPr>
    <w:rPr>
      <w:rFonts w:ascii="Times New Roman" w:hAnsi="Times New Roman"/>
      <w:sz w:val="24"/>
      <w:szCs w:val="20"/>
      <w:lang w:eastAsia="zh-CN"/>
    </w:rPr>
  </w:style>
  <w:style w:type="paragraph" w:customStyle="1" w:styleId="302">
    <w:name w:val="CM69"/>
    <w:basedOn w:val="84"/>
    <w:next w:val="84"/>
    <w:autoRedefine/>
    <w:qFormat/>
    <w:uiPriority w:val="0"/>
    <w:pPr>
      <w:spacing w:line="400" w:lineRule="atLeast"/>
    </w:pPr>
    <w:rPr>
      <w:rFonts w:ascii="Calibri" w:cs="Times New Roman"/>
      <w:color w:val="auto"/>
    </w:rPr>
  </w:style>
  <w:style w:type="paragraph" w:customStyle="1" w:styleId="303">
    <w:name w:val="Normal1"/>
    <w:next w:val="1"/>
    <w:autoRedefine/>
    <w:qFormat/>
    <w:uiPriority w:val="0"/>
    <w:pPr>
      <w:overflowPunct w:val="0"/>
      <w:autoSpaceDE w:val="0"/>
      <w:autoSpaceDN w:val="0"/>
      <w:adjustRightInd w:val="0"/>
      <w:textAlignment w:val="baseline"/>
    </w:pPr>
    <w:rPr>
      <w:rFonts w:ascii="Times" w:hAnsi="Times" w:eastAsia="宋体" w:cs="Times New Roman"/>
      <w:sz w:val="24"/>
      <w:lang w:val="fr-FR" w:eastAsia="zh-CN" w:bidi="ar-SA"/>
    </w:rPr>
  </w:style>
  <w:style w:type="paragraph" w:customStyle="1" w:styleId="304">
    <w:name w:val="xl9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05">
    <w:name w:val="封面字体1"/>
    <w:basedOn w:val="279"/>
    <w:autoRedefine/>
    <w:qFormat/>
    <w:uiPriority w:val="0"/>
    <w:pPr>
      <w:spacing w:line="240" w:lineRule="atLeast"/>
      <w:ind w:firstLine="0" w:firstLineChars="0"/>
    </w:pPr>
    <w:rPr>
      <w:rFonts w:ascii="Calibri" w:hAnsi="Calibri" w:cs="Times New Roman"/>
      <w:b/>
      <w:bCs/>
      <w:spacing w:val="100"/>
      <w:sz w:val="44"/>
    </w:rPr>
  </w:style>
  <w:style w:type="paragraph" w:customStyle="1" w:styleId="306">
    <w:name w:val="正文五号"/>
    <w:basedOn w:val="1"/>
    <w:autoRedefine/>
    <w:qFormat/>
    <w:uiPriority w:val="0"/>
    <w:pPr>
      <w:jc w:val="both"/>
    </w:pPr>
    <w:rPr>
      <w:rFonts w:ascii="宋体" w:eastAsia="仿宋_GB2312"/>
      <w:kern w:val="2"/>
      <w:sz w:val="21"/>
      <w:szCs w:val="20"/>
      <w:lang w:eastAsia="zh-CN"/>
    </w:rPr>
  </w:style>
  <w:style w:type="paragraph" w:customStyle="1" w:styleId="307">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Times New Roman" w:hAnsi="Times New Roman"/>
      <w:lang w:eastAsia="zh-CN"/>
    </w:rPr>
  </w:style>
  <w:style w:type="paragraph" w:customStyle="1" w:styleId="308">
    <w:name w:val="xl18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309">
    <w:name w:val="Char Char Char Char Char Char Char Char1"/>
    <w:basedOn w:val="1"/>
    <w:autoRedefine/>
    <w:qFormat/>
    <w:uiPriority w:val="0"/>
    <w:pPr>
      <w:widowControl/>
      <w:spacing w:after="160" w:line="240" w:lineRule="exact"/>
    </w:pPr>
    <w:rPr>
      <w:rFonts w:ascii="Verdana" w:hAnsi="Verdana"/>
      <w:sz w:val="20"/>
      <w:szCs w:val="20"/>
    </w:rPr>
  </w:style>
  <w:style w:type="paragraph" w:customStyle="1" w:styleId="310">
    <w:name w:val="CM36"/>
    <w:basedOn w:val="84"/>
    <w:next w:val="84"/>
    <w:autoRedefine/>
    <w:qFormat/>
    <w:uiPriority w:val="0"/>
    <w:pPr>
      <w:spacing w:line="400" w:lineRule="atLeast"/>
    </w:pPr>
    <w:rPr>
      <w:rFonts w:ascii="Calibri" w:cs="Times New Roman"/>
      <w:color w:val="auto"/>
    </w:rPr>
  </w:style>
  <w:style w:type="paragraph" w:customStyle="1" w:styleId="311">
    <w:name w:val="p12"/>
    <w:basedOn w:val="1"/>
    <w:autoRedefine/>
    <w:qFormat/>
    <w:uiPriority w:val="0"/>
    <w:pPr>
      <w:widowControl/>
      <w:spacing w:before="100" w:beforeAutospacing="1" w:after="100" w:afterAutospacing="1"/>
    </w:pPr>
    <w:rPr>
      <w:color w:val="000000"/>
      <w:sz w:val="24"/>
      <w:szCs w:val="24"/>
      <w:lang w:eastAsia="zh-CN"/>
    </w:rPr>
  </w:style>
  <w:style w:type="paragraph" w:customStyle="1" w:styleId="312">
    <w:name w:val="大标题"/>
    <w:autoRedefine/>
    <w:qFormat/>
    <w:uiPriority w:val="0"/>
    <w:pPr>
      <w:jc w:val="center"/>
    </w:pPr>
    <w:rPr>
      <w:rFonts w:ascii="Times New Roman" w:hAnsi="Times New Roman" w:eastAsia="楷体_GB2312" w:cs="Times New Roman"/>
      <w:b/>
      <w:sz w:val="48"/>
      <w:lang w:val="en-US" w:eastAsia="zh-CN" w:bidi="ar-SA"/>
    </w:rPr>
  </w:style>
  <w:style w:type="paragraph" w:customStyle="1" w:styleId="313">
    <w:name w:val="封面样式2"/>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14">
    <w:name w:val="xl14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5">
    <w:name w:val="列表编号 2A"/>
    <w:basedOn w:val="1"/>
    <w:autoRedefine/>
    <w:qFormat/>
    <w:uiPriority w:val="0"/>
    <w:pPr>
      <w:numPr>
        <w:ilvl w:val="0"/>
        <w:numId w:val="6"/>
      </w:numPr>
      <w:tabs>
        <w:tab w:val="left" w:pos="845"/>
        <w:tab w:val="left" w:pos="1260"/>
        <w:tab w:val="clear" w:pos="420"/>
      </w:tabs>
      <w:ind w:firstLine="630" w:firstLineChars="300"/>
    </w:pPr>
    <w:rPr>
      <w:rFonts w:ascii="Times New Roman" w:hAnsi="Times New Roman" w:cs="Arial"/>
      <w:kern w:val="2"/>
      <w:sz w:val="28"/>
      <w:szCs w:val="20"/>
      <w:lang w:eastAsia="zh-CN"/>
    </w:rPr>
  </w:style>
  <w:style w:type="paragraph" w:customStyle="1" w:styleId="31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17">
    <w:name w:val="xl42"/>
    <w:basedOn w:val="1"/>
    <w:autoRedefine/>
    <w:qFormat/>
    <w:uiPriority w:val="0"/>
    <w:pPr>
      <w:widowControl/>
      <w:pBdr>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18">
    <w:name w:val="CM60"/>
    <w:basedOn w:val="84"/>
    <w:next w:val="84"/>
    <w:autoRedefine/>
    <w:qFormat/>
    <w:uiPriority w:val="0"/>
    <w:rPr>
      <w:rFonts w:ascii="Times New Roman" w:hAnsi="Times New Roman" w:cs="Times New Roman"/>
      <w:color w:val="auto"/>
    </w:rPr>
  </w:style>
  <w:style w:type="paragraph" w:customStyle="1" w:styleId="319">
    <w:name w:val="CM85"/>
    <w:basedOn w:val="84"/>
    <w:next w:val="84"/>
    <w:autoRedefine/>
    <w:qFormat/>
    <w:uiPriority w:val="0"/>
    <w:pPr>
      <w:spacing w:line="443" w:lineRule="atLeast"/>
    </w:pPr>
    <w:rPr>
      <w:rFonts w:ascii="Calibri" w:cs="Times New Roman"/>
      <w:color w:val="auto"/>
    </w:rPr>
  </w:style>
  <w:style w:type="paragraph" w:customStyle="1" w:styleId="320">
    <w:name w:val="CM103"/>
    <w:basedOn w:val="84"/>
    <w:next w:val="84"/>
    <w:autoRedefine/>
    <w:qFormat/>
    <w:uiPriority w:val="0"/>
    <w:pPr>
      <w:spacing w:after="1508"/>
    </w:pPr>
    <w:rPr>
      <w:rFonts w:ascii="Calibri" w:cs="Times New Roman"/>
      <w:color w:val="auto"/>
    </w:rPr>
  </w:style>
  <w:style w:type="paragraph" w:customStyle="1" w:styleId="321">
    <w:name w:val="xl4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322">
    <w:name w:val="xl124"/>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23">
    <w:name w:val="opening2"/>
    <w:basedOn w:val="1"/>
    <w:autoRedefine/>
    <w:qFormat/>
    <w:uiPriority w:val="0"/>
    <w:pPr>
      <w:widowControl/>
      <w:spacing w:before="100" w:beforeAutospacing="1" w:after="100" w:afterAutospacing="1" w:line="360" w:lineRule="auto"/>
    </w:pPr>
    <w:rPr>
      <w:rFonts w:ascii="宋体" w:hAnsi="宋体"/>
      <w:color w:val="000000"/>
      <w:sz w:val="23"/>
      <w:szCs w:val="23"/>
      <w:lang w:eastAsia="zh-CN"/>
    </w:rPr>
  </w:style>
  <w:style w:type="paragraph" w:customStyle="1" w:styleId="324">
    <w:name w:val="xl189"/>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25">
    <w:name w:val="xl162"/>
    <w:basedOn w:val="1"/>
    <w:autoRedefine/>
    <w:qFormat/>
    <w:uiPriority w:val="0"/>
    <w:pPr>
      <w:widowControl/>
      <w:pBdr>
        <w:left w:val="single" w:color="auto" w:sz="4" w:space="0"/>
        <w:bottom w:val="single" w:color="auto" w:sz="8"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26">
    <w:name w:val="CM56"/>
    <w:basedOn w:val="84"/>
    <w:next w:val="84"/>
    <w:autoRedefine/>
    <w:qFormat/>
    <w:uiPriority w:val="0"/>
    <w:rPr>
      <w:rFonts w:ascii="Calibri" w:cs="Times New Roman"/>
      <w:color w:val="auto"/>
    </w:rPr>
  </w:style>
  <w:style w:type="paragraph" w:customStyle="1" w:styleId="327">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lang w:eastAsia="zh-CN"/>
    </w:rPr>
  </w:style>
  <w:style w:type="paragraph" w:customStyle="1" w:styleId="328">
    <w:name w:val="Body"/>
    <w:autoRedefine/>
    <w:qFormat/>
    <w:uiPriority w:val="0"/>
    <w:pPr>
      <w:spacing w:after="120"/>
      <w:ind w:left="1418"/>
    </w:pPr>
    <w:rPr>
      <w:rFonts w:ascii="Arial" w:hAnsi="Arial" w:eastAsia="宋体" w:cs="Times New Roman"/>
      <w:sz w:val="22"/>
      <w:lang w:val="en-US" w:eastAsia="en-US" w:bidi="ar-SA"/>
    </w:rPr>
  </w:style>
  <w:style w:type="paragraph" w:customStyle="1" w:styleId="329">
    <w:name w:val="xl1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330">
    <w:name w:val="xl18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1">
    <w:name w:val="默认段落字体 Para Char Char Char Char Char Char Char"/>
    <w:basedOn w:val="1"/>
    <w:autoRedefine/>
    <w:qFormat/>
    <w:uiPriority w:val="0"/>
    <w:pPr>
      <w:jc w:val="both"/>
    </w:pPr>
    <w:rPr>
      <w:rFonts w:ascii="Tahoma" w:hAnsi="Tahoma"/>
      <w:kern w:val="2"/>
      <w:sz w:val="24"/>
      <w:szCs w:val="20"/>
      <w:lang w:eastAsia="zh-CN"/>
    </w:rPr>
  </w:style>
  <w:style w:type="paragraph" w:customStyle="1" w:styleId="332">
    <w:name w:val="CB&amp;I 1.1"/>
    <w:basedOn w:val="1"/>
    <w:autoRedefine/>
    <w:qFormat/>
    <w:uiPriority w:val="0"/>
    <w:pPr>
      <w:numPr>
        <w:ilvl w:val="1"/>
        <w:numId w:val="7"/>
      </w:numPr>
      <w:adjustRightInd w:val="0"/>
      <w:spacing w:after="180" w:line="320" w:lineRule="exact"/>
      <w:jc w:val="both"/>
      <w:textAlignment w:val="baseline"/>
    </w:pPr>
    <w:rPr>
      <w:rFonts w:ascii="Arial" w:hAnsi="Arial"/>
      <w:sz w:val="24"/>
      <w:szCs w:val="20"/>
      <w:lang w:eastAsia="zh-CN"/>
    </w:rPr>
  </w:style>
  <w:style w:type="paragraph" w:customStyle="1" w:styleId="333">
    <w:name w:val="强调文字"/>
    <w:basedOn w:val="1"/>
    <w:autoRedefine/>
    <w:qFormat/>
    <w:uiPriority w:val="0"/>
    <w:pPr>
      <w:spacing w:line="440" w:lineRule="exact"/>
      <w:ind w:firstLine="480" w:firstLineChars="200"/>
      <w:jc w:val="both"/>
    </w:pPr>
    <w:rPr>
      <w:rFonts w:ascii="华文细黑" w:hAnsi="华文细黑" w:eastAsia="黑体" w:cs="Arial"/>
      <w:sz w:val="24"/>
      <w:szCs w:val="28"/>
      <w:lang w:eastAsia="zh-CN"/>
    </w:rPr>
  </w:style>
  <w:style w:type="paragraph" w:customStyle="1" w:styleId="334">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35">
    <w:name w:val="Char1"/>
    <w:basedOn w:val="1"/>
    <w:autoRedefine/>
    <w:qFormat/>
    <w:uiPriority w:val="0"/>
    <w:pPr>
      <w:spacing w:line="360" w:lineRule="auto"/>
      <w:jc w:val="both"/>
    </w:pPr>
    <w:rPr>
      <w:rFonts w:ascii="Times New Roman" w:hAnsi="Times New Roman"/>
      <w:kern w:val="2"/>
      <w:sz w:val="24"/>
      <w:szCs w:val="24"/>
      <w:lang w:eastAsia="zh-CN"/>
    </w:rPr>
  </w:style>
  <w:style w:type="paragraph" w:customStyle="1" w:styleId="336">
    <w:name w:val="Char Char"/>
    <w:basedOn w:val="21"/>
    <w:autoRedefine/>
    <w:qFormat/>
    <w:uiPriority w:val="0"/>
    <w:pPr>
      <w:widowControl w:val="0"/>
      <w:tabs>
        <w:tab w:val="clear" w:pos="851"/>
      </w:tabs>
      <w:autoSpaceDE/>
      <w:autoSpaceDN/>
      <w:snapToGrid/>
      <w:spacing w:after="0" w:line="240" w:lineRule="auto"/>
      <w:textAlignment w:val="auto"/>
    </w:pPr>
    <w:rPr>
      <w:rFonts w:ascii="Times New Roman" w:hAnsi="Times New Roman"/>
      <w:bCs w:val="0"/>
      <w:spacing w:val="0"/>
      <w:kern w:val="2"/>
      <w:sz w:val="21"/>
      <w:szCs w:val="24"/>
    </w:rPr>
  </w:style>
  <w:style w:type="paragraph" w:customStyle="1" w:styleId="337">
    <w:name w:val="font7"/>
    <w:basedOn w:val="1"/>
    <w:autoRedefine/>
    <w:qFormat/>
    <w:uiPriority w:val="0"/>
    <w:pPr>
      <w:widowControl/>
      <w:spacing w:before="100" w:beforeAutospacing="1" w:after="100" w:afterAutospacing="1"/>
    </w:pPr>
    <w:rPr>
      <w:rFonts w:hint="eastAsia" w:ascii="宋体" w:hAnsi="宋体"/>
      <w:lang w:eastAsia="zh-CN"/>
    </w:rPr>
  </w:style>
  <w:style w:type="paragraph" w:customStyle="1" w:styleId="338">
    <w:name w:val="xl185"/>
    <w:basedOn w:val="1"/>
    <w:autoRedefine/>
    <w:qFormat/>
    <w:uiPriority w:val="0"/>
    <w:pPr>
      <w:widowControl/>
      <w:pBdr>
        <w:top w:val="single" w:color="auto" w:sz="8"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39">
    <w:name w:val="xl149"/>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40">
    <w:name w:val="样式 正文"/>
    <w:basedOn w:val="1"/>
    <w:autoRedefine/>
    <w:qFormat/>
    <w:uiPriority w:val="0"/>
    <w:pPr>
      <w:adjustRightInd w:val="0"/>
      <w:spacing w:line="360" w:lineRule="auto"/>
      <w:jc w:val="both"/>
      <w:textAlignment w:val="baseline"/>
    </w:pPr>
    <w:rPr>
      <w:rFonts w:ascii="Arial" w:hAnsi="宋体" w:cs="Arial"/>
      <w:sz w:val="24"/>
      <w:szCs w:val="24"/>
      <w:lang w:eastAsia="zh-CN"/>
    </w:rPr>
  </w:style>
  <w:style w:type="paragraph" w:customStyle="1" w:styleId="341">
    <w:name w:val="CM23"/>
    <w:basedOn w:val="84"/>
    <w:next w:val="84"/>
    <w:autoRedefine/>
    <w:qFormat/>
    <w:uiPriority w:val="0"/>
    <w:pPr>
      <w:spacing w:line="398" w:lineRule="atLeast"/>
    </w:pPr>
    <w:rPr>
      <w:rFonts w:ascii="Calibri" w:cs="Times New Roman"/>
      <w:color w:val="auto"/>
    </w:rPr>
  </w:style>
  <w:style w:type="paragraph" w:customStyle="1" w:styleId="342">
    <w:name w:val="xl57"/>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color w:val="FF0000"/>
      <w:lang w:eastAsia="zh-CN"/>
    </w:rPr>
  </w:style>
  <w:style w:type="paragraph" w:customStyle="1" w:styleId="343">
    <w:name w:val="样式3"/>
    <w:basedOn w:val="63"/>
    <w:autoRedefine/>
    <w:qFormat/>
    <w:uiPriority w:val="0"/>
    <w:pPr>
      <w:autoSpaceDE/>
      <w:autoSpaceDN/>
      <w:adjustRightInd/>
      <w:spacing w:beforeLines="0" w:line="240" w:lineRule="auto"/>
      <w:textAlignment w:val="auto"/>
    </w:pPr>
    <w:rPr>
      <w:rFonts w:ascii="Calibri" w:hAnsi="Calibri" w:cs="Times New Roman"/>
      <w:kern w:val="2"/>
    </w:rPr>
  </w:style>
  <w:style w:type="paragraph" w:customStyle="1" w:styleId="344">
    <w:name w:val="xl172"/>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45">
    <w:name w:val="xl134"/>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b/>
      <w:bCs/>
      <w:sz w:val="24"/>
      <w:szCs w:val="24"/>
      <w:lang w:eastAsia="zh-CN"/>
    </w:rPr>
  </w:style>
  <w:style w:type="paragraph" w:customStyle="1" w:styleId="346">
    <w:name w:val="xl5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347">
    <w:name w:val="Absatz2AL"/>
    <w:basedOn w:val="28"/>
    <w:next w:val="1"/>
    <w:autoRedefine/>
    <w:qFormat/>
    <w:uiPriority w:val="0"/>
    <w:pPr>
      <w:widowControl/>
      <w:overflowPunct w:val="0"/>
      <w:autoSpaceDE w:val="0"/>
      <w:autoSpaceDN w:val="0"/>
      <w:adjustRightInd w:val="0"/>
      <w:ind w:left="0"/>
      <w:jc w:val="both"/>
      <w:textAlignment w:val="baseline"/>
    </w:pPr>
    <w:rPr>
      <w:rFonts w:ascii="Times New Roman" w:hAnsi="Times New Roman" w:eastAsia="楷体_GB2312"/>
      <w:sz w:val="24"/>
      <w:szCs w:val="20"/>
      <w:lang w:val="de-DE" w:eastAsia="zh-CN"/>
    </w:rPr>
  </w:style>
  <w:style w:type="paragraph" w:customStyle="1" w:styleId="348">
    <w:name w:val="封面标题"/>
    <w:autoRedefine/>
    <w:qFormat/>
    <w:uiPriority w:val="0"/>
    <w:pPr>
      <w:jc w:val="center"/>
    </w:pPr>
    <w:rPr>
      <w:rFonts w:ascii="Times New Roman" w:hAnsi="Times New Roman" w:eastAsia="隶书" w:cs="Times New Roman"/>
      <w:b/>
      <w:sz w:val="52"/>
      <w:lang w:val="en-US" w:eastAsia="zh-CN" w:bidi="ar-SA"/>
    </w:rPr>
  </w:style>
  <w:style w:type="paragraph" w:customStyle="1" w:styleId="349">
    <w:name w:val="节标题"/>
    <w:basedOn w:val="1"/>
    <w:autoRedefine/>
    <w:qFormat/>
    <w:uiPriority w:val="0"/>
    <w:pPr>
      <w:widowControl/>
      <w:spacing w:line="289" w:lineRule="atLeast"/>
      <w:jc w:val="center"/>
      <w:textAlignment w:val="baseline"/>
    </w:pPr>
    <w:rPr>
      <w:rFonts w:ascii="Times New Roman" w:hAnsi="Times New Roman"/>
      <w:color w:val="000000"/>
      <w:sz w:val="28"/>
      <w:szCs w:val="20"/>
      <w:lang w:eastAsia="zh-CN"/>
    </w:rPr>
  </w:style>
  <w:style w:type="paragraph" w:customStyle="1" w:styleId="350">
    <w:name w:val="CM72"/>
    <w:basedOn w:val="84"/>
    <w:next w:val="84"/>
    <w:autoRedefine/>
    <w:qFormat/>
    <w:uiPriority w:val="0"/>
    <w:rPr>
      <w:rFonts w:ascii="Calibri" w:cs="Times New Roman"/>
      <w:color w:val="auto"/>
    </w:rPr>
  </w:style>
  <w:style w:type="paragraph" w:customStyle="1" w:styleId="351">
    <w:name w:val="Hdr 2"/>
    <w:basedOn w:val="1"/>
    <w:autoRedefine/>
    <w:qFormat/>
    <w:uiPriority w:val="0"/>
    <w:pPr>
      <w:widowControl/>
      <w:spacing w:before="60" w:after="60"/>
    </w:pPr>
    <w:rPr>
      <w:rFonts w:ascii="Times New Roman" w:hAnsi="Times New Roman"/>
      <w:sz w:val="28"/>
      <w:szCs w:val="24"/>
      <w:lang w:eastAsia="zh-CN"/>
    </w:rPr>
  </w:style>
  <w:style w:type="paragraph" w:customStyle="1" w:styleId="352">
    <w:name w:val="设备规范标题1"/>
    <w:next w:val="273"/>
    <w:autoRedefine/>
    <w:qFormat/>
    <w:uiPriority w:val="0"/>
    <w:pPr>
      <w:keepNext/>
      <w:numPr>
        <w:ilvl w:val="0"/>
        <w:numId w:val="8"/>
      </w:numPr>
      <w:tabs>
        <w:tab w:val="left" w:pos="284"/>
      </w:tabs>
      <w:spacing w:beforeLines="100" w:afterLines="50"/>
    </w:pPr>
    <w:rPr>
      <w:rFonts w:ascii="Times New Roman" w:hAnsi="Times New Roman" w:eastAsia="楷体_GB2312" w:cs="Times New Roman"/>
      <w:b/>
      <w:sz w:val="24"/>
      <w:lang w:val="en-US" w:eastAsia="zh-CN" w:bidi="ar-SA"/>
    </w:rPr>
  </w:style>
  <w:style w:type="paragraph" w:customStyle="1" w:styleId="353">
    <w:name w:val="xl6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color w:val="FF0000"/>
      <w:lang w:eastAsia="zh-CN"/>
    </w:rPr>
  </w:style>
  <w:style w:type="paragraph" w:customStyle="1" w:styleId="354">
    <w:name w:val="CM95"/>
    <w:basedOn w:val="84"/>
    <w:next w:val="84"/>
    <w:autoRedefine/>
    <w:qFormat/>
    <w:uiPriority w:val="0"/>
    <w:pPr>
      <w:spacing w:after="115"/>
    </w:pPr>
    <w:rPr>
      <w:rFonts w:ascii="Calibri" w:cs="Times New Roman"/>
      <w:color w:val="auto"/>
    </w:rPr>
  </w:style>
  <w:style w:type="paragraph" w:customStyle="1" w:styleId="355">
    <w:name w:val="正文-zy"/>
    <w:basedOn w:val="1"/>
    <w:autoRedefine/>
    <w:qFormat/>
    <w:uiPriority w:val="0"/>
    <w:pPr>
      <w:widowControl/>
      <w:spacing w:line="360" w:lineRule="auto"/>
      <w:ind w:firstLine="480" w:firstLineChars="200"/>
    </w:pPr>
  </w:style>
  <w:style w:type="paragraph" w:customStyle="1" w:styleId="356">
    <w:name w:val="CM26"/>
    <w:basedOn w:val="84"/>
    <w:next w:val="84"/>
    <w:autoRedefine/>
    <w:qFormat/>
    <w:uiPriority w:val="0"/>
    <w:pPr>
      <w:spacing w:line="400" w:lineRule="atLeast"/>
    </w:pPr>
    <w:rPr>
      <w:rFonts w:ascii="Calibri" w:cs="Times New Roman"/>
      <w:color w:val="auto"/>
    </w:rPr>
  </w:style>
  <w:style w:type="paragraph" w:customStyle="1" w:styleId="357">
    <w:name w:val="CM96"/>
    <w:basedOn w:val="84"/>
    <w:next w:val="84"/>
    <w:autoRedefine/>
    <w:qFormat/>
    <w:uiPriority w:val="0"/>
    <w:pPr>
      <w:spacing w:after="298"/>
    </w:pPr>
    <w:rPr>
      <w:rFonts w:ascii="Calibri" w:cs="Times New Roman"/>
      <w:color w:val="auto"/>
    </w:rPr>
  </w:style>
  <w:style w:type="paragraph" w:customStyle="1" w:styleId="358">
    <w:name w:val="正文再缩近"/>
    <w:basedOn w:val="1"/>
    <w:autoRedefine/>
    <w:qFormat/>
    <w:uiPriority w:val="0"/>
    <w:pPr>
      <w:spacing w:line="440" w:lineRule="exact"/>
      <w:ind w:firstLine="400" w:firstLineChars="400"/>
      <w:jc w:val="both"/>
    </w:pPr>
    <w:rPr>
      <w:rFonts w:ascii="华文细黑" w:hAnsi="华文细黑" w:cs="Arial"/>
      <w:color w:val="FF0000"/>
      <w:sz w:val="21"/>
      <w:szCs w:val="21"/>
      <w:lang w:eastAsia="zh-CN"/>
    </w:rPr>
  </w:style>
  <w:style w:type="paragraph" w:customStyle="1" w:styleId="359">
    <w:name w:val="正文文本缩进 31"/>
    <w:basedOn w:val="1"/>
    <w:autoRedefine/>
    <w:qFormat/>
    <w:uiPriority w:val="0"/>
    <w:pPr>
      <w:adjustRightInd w:val="0"/>
      <w:spacing w:line="360" w:lineRule="auto"/>
      <w:ind w:firstLine="430"/>
      <w:jc w:val="both"/>
      <w:textAlignment w:val="baseline"/>
    </w:pPr>
    <w:rPr>
      <w:rFonts w:ascii="Times New Roman" w:hAnsi="Times New Roman"/>
      <w:kern w:val="2"/>
      <w:sz w:val="24"/>
      <w:szCs w:val="20"/>
      <w:lang w:eastAsia="zh-CN"/>
    </w:rPr>
  </w:style>
  <w:style w:type="paragraph" w:customStyle="1" w:styleId="360">
    <w:name w:val="xl14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1">
    <w:name w:val="xl193"/>
    <w:basedOn w:val="1"/>
    <w:autoRedefine/>
    <w:qFormat/>
    <w:uiPriority w:val="0"/>
    <w:pPr>
      <w:widowControl/>
      <w:pBdr>
        <w:left w:val="single" w:color="auto" w:sz="8" w:space="0"/>
        <w:bottom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2">
    <w:name w:val="xl138"/>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63">
    <w:name w:val="xl3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lang w:eastAsia="zh-CN"/>
    </w:rPr>
  </w:style>
  <w:style w:type="paragraph" w:customStyle="1" w:styleId="364">
    <w:name w:val="CB&amp;I 1.1.1.1"/>
    <w:basedOn w:val="1"/>
    <w:autoRedefine/>
    <w:qFormat/>
    <w:uiPriority w:val="0"/>
    <w:pPr>
      <w:numPr>
        <w:ilvl w:val="3"/>
        <w:numId w:val="7"/>
      </w:numPr>
      <w:adjustRightInd w:val="0"/>
      <w:spacing w:after="180" w:line="320" w:lineRule="exact"/>
      <w:jc w:val="both"/>
      <w:textAlignment w:val="baseline"/>
    </w:pPr>
    <w:rPr>
      <w:rFonts w:ascii="Arial" w:hAnsi="Arial"/>
      <w:sz w:val="24"/>
      <w:szCs w:val="20"/>
      <w:lang w:eastAsia="zh-CN"/>
    </w:rPr>
  </w:style>
  <w:style w:type="paragraph" w:customStyle="1" w:styleId="365">
    <w:name w:val="列表段落1"/>
    <w:basedOn w:val="1"/>
    <w:autoRedefine/>
    <w:qFormat/>
    <w:uiPriority w:val="0"/>
    <w:pPr>
      <w:ind w:firstLine="420" w:firstLineChars="200"/>
      <w:jc w:val="both"/>
    </w:pPr>
    <w:rPr>
      <w:kern w:val="2"/>
      <w:sz w:val="21"/>
      <w:lang w:eastAsia="zh-CN"/>
    </w:rPr>
  </w:style>
  <w:style w:type="paragraph" w:customStyle="1" w:styleId="366">
    <w:name w:val="xl14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7">
    <w:name w:val="xl10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368">
    <w:name w:val="强调文字(用于标题)"/>
    <w:basedOn w:val="2"/>
    <w:autoRedefine/>
    <w:qFormat/>
    <w:uiPriority w:val="0"/>
    <w:pPr>
      <w:keepNext/>
      <w:keepLines/>
      <w:tabs>
        <w:tab w:val="left" w:pos="432"/>
      </w:tabs>
      <w:spacing w:beforeLines="100" w:afterLines="100" w:line="440" w:lineRule="exact"/>
      <w:ind w:left="432" w:hanging="432"/>
      <w:jc w:val="center"/>
      <w:outlineLvl w:val="9"/>
    </w:pPr>
    <w:rPr>
      <w:rFonts w:ascii="黑体" w:hAnsi="华文细黑" w:eastAsia="黑体" w:cs="Arial"/>
      <w:b w:val="0"/>
      <w:color w:val="000000"/>
      <w:sz w:val="24"/>
      <w:szCs w:val="36"/>
      <w:lang w:eastAsia="zh-CN"/>
    </w:rPr>
  </w:style>
  <w:style w:type="paragraph" w:customStyle="1" w:styleId="369">
    <w:name w:val="样式1"/>
    <w:basedOn w:val="1"/>
    <w:autoRedefine/>
    <w:qFormat/>
    <w:uiPriority w:val="0"/>
    <w:pPr>
      <w:adjustRightInd w:val="0"/>
      <w:spacing w:line="420" w:lineRule="auto"/>
      <w:jc w:val="center"/>
      <w:textAlignment w:val="baseline"/>
    </w:pPr>
    <w:rPr>
      <w:rFonts w:ascii="宋体" w:hAnsi="Times New Roman"/>
      <w:sz w:val="24"/>
      <w:szCs w:val="20"/>
      <w:lang w:eastAsia="zh-CN"/>
    </w:rPr>
  </w:style>
  <w:style w:type="paragraph" w:customStyle="1" w:styleId="370">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1">
    <w:name w:val="xl156"/>
    <w:basedOn w:val="1"/>
    <w:autoRedefine/>
    <w:qFormat/>
    <w:uiPriority w:val="0"/>
    <w:pPr>
      <w:widowControl/>
      <w:pBdr>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2">
    <w:name w:val="xl160"/>
    <w:basedOn w:val="1"/>
    <w:autoRedefine/>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3">
    <w:name w:val="xl17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4">
    <w:name w:val="xl173"/>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75">
    <w:name w:val="样式 标题 1 + 段前: 5 磅 段后: 3.6 磅"/>
    <w:basedOn w:val="2"/>
    <w:autoRedefine/>
    <w:qFormat/>
    <w:uiPriority w:val="0"/>
    <w:pPr>
      <w:keepNext/>
      <w:keepLines/>
      <w:widowControl/>
      <w:tabs>
        <w:tab w:val="left" w:pos="3780"/>
      </w:tabs>
      <w:spacing w:beforeLines="50" w:afterLines="50" w:line="360" w:lineRule="auto"/>
      <w:ind w:left="719" w:hanging="719" w:hangingChars="341"/>
      <w:outlineLvl w:val="1"/>
    </w:pPr>
    <w:rPr>
      <w:rFonts w:ascii="Arial" w:hAnsi="Arial" w:eastAsia="新宋体" w:cs="宋体"/>
      <w:color w:val="000000"/>
      <w:kern w:val="44"/>
      <w:sz w:val="21"/>
      <w:szCs w:val="24"/>
      <w:lang w:eastAsia="zh-CN"/>
    </w:rPr>
  </w:style>
  <w:style w:type="paragraph" w:customStyle="1" w:styleId="376">
    <w:name w:val="字元 字元11"/>
    <w:basedOn w:val="1"/>
    <w:autoRedefine/>
    <w:qFormat/>
    <w:uiPriority w:val="0"/>
    <w:pPr>
      <w:jc w:val="both"/>
    </w:pPr>
    <w:rPr>
      <w:rFonts w:ascii="Times New Roman" w:hAnsi="Times New Roman"/>
      <w:kern w:val="2"/>
      <w:sz w:val="21"/>
      <w:szCs w:val="24"/>
      <w:lang w:eastAsia="zh-CN"/>
    </w:rPr>
  </w:style>
  <w:style w:type="paragraph" w:customStyle="1" w:styleId="377">
    <w:name w:val="公式 Char Char"/>
    <w:basedOn w:val="1"/>
    <w:next w:val="1"/>
    <w:autoRedefine/>
    <w:qFormat/>
    <w:uiPriority w:val="0"/>
    <w:pPr>
      <w:spacing w:line="440" w:lineRule="exact"/>
      <w:ind w:firstLine="630" w:firstLineChars="300"/>
    </w:pPr>
    <w:rPr>
      <w:rFonts w:ascii="华文细黑" w:hAnsi="华文细黑" w:eastAsia="华文细黑" w:cs="Arial"/>
      <w:sz w:val="30"/>
      <w:szCs w:val="21"/>
      <w:lang w:eastAsia="zh-CN"/>
    </w:rPr>
  </w:style>
  <w:style w:type="paragraph" w:customStyle="1" w:styleId="378">
    <w:name w:val="Char Char Char Char Char Char1 Char Char11"/>
    <w:basedOn w:val="1"/>
    <w:autoRedefine/>
    <w:qFormat/>
    <w:uiPriority w:val="0"/>
    <w:pPr>
      <w:jc w:val="both"/>
    </w:pPr>
    <w:rPr>
      <w:rFonts w:ascii="Times New Roman" w:hAnsi="Times New Roman"/>
      <w:kern w:val="2"/>
      <w:sz w:val="21"/>
      <w:szCs w:val="24"/>
      <w:lang w:eastAsia="zh-CN"/>
    </w:rPr>
  </w:style>
  <w:style w:type="paragraph" w:customStyle="1" w:styleId="379">
    <w:name w:val="Char2"/>
    <w:basedOn w:val="1"/>
    <w:autoRedefine/>
    <w:qFormat/>
    <w:uiPriority w:val="0"/>
    <w:pPr>
      <w:jc w:val="both"/>
    </w:pPr>
    <w:rPr>
      <w:rFonts w:ascii="Tahoma" w:hAnsi="Tahoma"/>
      <w:kern w:val="2"/>
      <w:sz w:val="24"/>
      <w:szCs w:val="20"/>
      <w:lang w:eastAsia="zh-CN"/>
    </w:rPr>
  </w:style>
  <w:style w:type="paragraph" w:customStyle="1" w:styleId="380">
    <w:name w:val="落款"/>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381">
    <w:name w:val="xl177"/>
    <w:basedOn w:val="1"/>
    <w:autoRedefine/>
    <w:qFormat/>
    <w:uiPriority w:val="0"/>
    <w:pPr>
      <w:widowControl/>
      <w:pBdr>
        <w:top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382">
    <w:name w:val="CM99"/>
    <w:basedOn w:val="84"/>
    <w:next w:val="84"/>
    <w:autoRedefine/>
    <w:qFormat/>
    <w:uiPriority w:val="0"/>
    <w:pPr>
      <w:spacing w:after="443"/>
    </w:pPr>
    <w:rPr>
      <w:rFonts w:ascii="Calibri" w:cs="Times New Roman"/>
      <w:color w:val="auto"/>
    </w:rPr>
  </w:style>
  <w:style w:type="paragraph" w:customStyle="1" w:styleId="383">
    <w:name w:val="CM25"/>
    <w:basedOn w:val="84"/>
    <w:next w:val="84"/>
    <w:autoRedefine/>
    <w:qFormat/>
    <w:uiPriority w:val="0"/>
    <w:pPr>
      <w:spacing w:line="440" w:lineRule="atLeast"/>
    </w:pPr>
    <w:rPr>
      <w:rFonts w:ascii="Calibri" w:cs="Times New Roman"/>
      <w:color w:val="auto"/>
    </w:rPr>
  </w:style>
  <w:style w:type="paragraph" w:customStyle="1" w:styleId="384">
    <w:name w:val="小标题"/>
    <w:basedOn w:val="4"/>
    <w:autoRedefine/>
    <w:qFormat/>
    <w:uiPriority w:val="0"/>
    <w:pPr>
      <w:keepNext/>
      <w:tabs>
        <w:tab w:val="left" w:pos="1080"/>
      </w:tabs>
      <w:ind w:left="1080" w:hanging="1080"/>
      <w:jc w:val="both"/>
    </w:pPr>
    <w:rPr>
      <w:rFonts w:ascii="宋体" w:hAnsi="宋体"/>
      <w:kern w:val="2"/>
      <w:sz w:val="44"/>
      <w:szCs w:val="20"/>
      <w:lang w:eastAsia="zh-CN"/>
    </w:rPr>
  </w:style>
  <w:style w:type="paragraph" w:customStyle="1" w:styleId="385">
    <w:name w:val="小节标题"/>
    <w:basedOn w:val="1"/>
    <w:next w:val="1"/>
    <w:autoRedefine/>
    <w:qFormat/>
    <w:uiPriority w:val="0"/>
    <w:pPr>
      <w:widowControl/>
      <w:spacing w:before="175" w:after="102" w:line="351" w:lineRule="atLeast"/>
      <w:jc w:val="both"/>
      <w:textAlignment w:val="baseline"/>
    </w:pPr>
    <w:rPr>
      <w:rFonts w:ascii="Times New Roman" w:hAnsi="Times New Roman" w:eastAsia="黑体"/>
      <w:color w:val="000000"/>
      <w:sz w:val="21"/>
      <w:szCs w:val="20"/>
      <w:lang w:eastAsia="zh-CN"/>
    </w:rPr>
  </w:style>
  <w:style w:type="paragraph" w:customStyle="1" w:styleId="386">
    <w:name w:val="xl103"/>
    <w:basedOn w:val="1"/>
    <w:autoRedefine/>
    <w:qFormat/>
    <w:uiPriority w:val="0"/>
    <w:pPr>
      <w:widowControl/>
      <w:pBdr>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387">
    <w:name w:val="font1"/>
    <w:basedOn w:val="1"/>
    <w:autoRedefine/>
    <w:qFormat/>
    <w:uiPriority w:val="0"/>
    <w:pPr>
      <w:widowControl/>
      <w:spacing w:before="100" w:beforeAutospacing="1" w:after="100" w:afterAutospacing="1"/>
    </w:pPr>
    <w:rPr>
      <w:rFonts w:hint="eastAsia" w:ascii="宋体" w:hAnsi="宋体"/>
      <w:b/>
      <w:bCs/>
      <w:sz w:val="24"/>
      <w:szCs w:val="24"/>
      <w:lang w:eastAsia="zh-CN"/>
    </w:rPr>
  </w:style>
  <w:style w:type="paragraph" w:customStyle="1" w:styleId="388">
    <w:name w:val="Char Char1 Char"/>
    <w:basedOn w:val="21"/>
    <w:autoRedefine/>
    <w:qFormat/>
    <w:uiPriority w:val="0"/>
    <w:pPr>
      <w:widowControl w:val="0"/>
      <w:autoSpaceDE/>
      <w:autoSpaceDN/>
      <w:snapToGrid/>
      <w:spacing w:after="0"/>
      <w:ind w:left="0" w:leftChars="0" w:firstLine="0" w:firstLineChars="0"/>
      <w:textAlignment w:val="auto"/>
    </w:pPr>
    <w:rPr>
      <w:rFonts w:ascii="Tahoma" w:hAnsi="Tahoma"/>
      <w:bCs w:val="0"/>
      <w:spacing w:val="0"/>
      <w:kern w:val="2"/>
      <w:szCs w:val="24"/>
    </w:rPr>
  </w:style>
  <w:style w:type="paragraph" w:customStyle="1" w:styleId="389">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390">
    <w:name w:val="xl164"/>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391">
    <w:name w:val="正文_1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2">
    <w:name w:val="xl101"/>
    <w:basedOn w:val="1"/>
    <w:autoRedefine/>
    <w:qFormat/>
    <w:uiPriority w:val="0"/>
    <w:pPr>
      <w:widowControl/>
      <w:pBdr>
        <w:top w:val="single" w:color="auto" w:sz="4" w:space="0"/>
        <w:left w:val="single" w:color="auto" w:sz="8" w:space="0"/>
        <w:bottom w:val="single" w:color="auto" w:sz="4" w:space="0"/>
      </w:pBdr>
      <w:spacing w:before="100" w:beforeAutospacing="1" w:after="100" w:afterAutospacing="1"/>
      <w:jc w:val="right"/>
    </w:pPr>
    <w:rPr>
      <w:rFonts w:ascii="Arial" w:hAnsi="Arial" w:eastAsia="Arial Unicode MS" w:cs="Arial"/>
      <w:b/>
      <w:bCs/>
      <w:sz w:val="24"/>
      <w:szCs w:val="24"/>
      <w:lang w:eastAsia="zh-CN"/>
    </w:rPr>
  </w:style>
  <w:style w:type="paragraph" w:customStyle="1" w:styleId="393">
    <w:name w:val="日期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394">
    <w:name w:val="font0"/>
    <w:basedOn w:val="1"/>
    <w:autoRedefine/>
    <w:qFormat/>
    <w:uiPriority w:val="0"/>
    <w:pPr>
      <w:widowControl/>
      <w:spacing w:before="100" w:beforeAutospacing="1" w:after="100" w:afterAutospacing="1"/>
    </w:pPr>
    <w:rPr>
      <w:rFonts w:hint="eastAsia" w:ascii="宋体" w:hAnsi="宋体"/>
      <w:sz w:val="24"/>
      <w:szCs w:val="24"/>
      <w:lang w:eastAsia="zh-CN"/>
    </w:rPr>
  </w:style>
  <w:style w:type="paragraph" w:customStyle="1" w:styleId="395">
    <w:name w:val="正文(齐头)"/>
    <w:basedOn w:val="1"/>
    <w:autoRedefine/>
    <w:qFormat/>
    <w:uiPriority w:val="0"/>
    <w:pPr>
      <w:adjustRightInd w:val="0"/>
      <w:spacing w:after="180" w:line="320" w:lineRule="exact"/>
      <w:ind w:left="1009" w:hanging="1009"/>
      <w:jc w:val="both"/>
      <w:textAlignment w:val="bottom"/>
    </w:pPr>
    <w:rPr>
      <w:rFonts w:ascii="Arial" w:hAnsi="Arial"/>
      <w:sz w:val="24"/>
      <w:szCs w:val="20"/>
      <w:lang w:eastAsia="zh-CN"/>
    </w:rPr>
  </w:style>
  <w:style w:type="paragraph" w:customStyle="1" w:styleId="396">
    <w:name w:val="xl1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397">
    <w:name w:val="无间隔1"/>
    <w:autoRedefine/>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398">
    <w:name w:val="标题 0"/>
    <w:basedOn w:val="2"/>
    <w:autoRedefine/>
    <w:qFormat/>
    <w:uiPriority w:val="0"/>
    <w:pPr>
      <w:tabs>
        <w:tab w:val="left" w:pos="3780"/>
      </w:tabs>
      <w:spacing w:line="360" w:lineRule="auto"/>
      <w:ind w:left="0"/>
    </w:pPr>
    <w:rPr>
      <w:rFonts w:ascii="Times New Roman" w:hAnsi="Times New Roman" w:eastAsia="宋体"/>
      <w:bCs w:val="0"/>
      <w:color w:val="000000"/>
      <w:kern w:val="2"/>
      <w:sz w:val="30"/>
      <w:szCs w:val="20"/>
      <w:lang w:eastAsia="zh-CN"/>
    </w:rPr>
  </w:style>
  <w:style w:type="paragraph" w:customStyle="1" w:styleId="399">
    <w:name w:val="xl145"/>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00">
    <w:name w:val="xl192"/>
    <w:basedOn w:val="1"/>
    <w:autoRedefine/>
    <w:qFormat/>
    <w:uiPriority w:val="0"/>
    <w:pPr>
      <w:widowControl/>
      <w:spacing w:before="100" w:beforeAutospacing="1" w:after="100" w:afterAutospacing="1"/>
      <w:jc w:val="center"/>
    </w:pPr>
    <w:rPr>
      <w:rFonts w:hint="eastAsia" w:ascii="宋体" w:hAnsi="宋体" w:cs="Arial Unicode MS"/>
      <w:b/>
      <w:bCs/>
      <w:sz w:val="24"/>
      <w:szCs w:val="24"/>
      <w:lang w:eastAsia="zh-CN"/>
    </w:rPr>
  </w:style>
  <w:style w:type="paragraph" w:customStyle="1" w:styleId="401">
    <w:name w:val="修订2"/>
    <w:autoRedefine/>
    <w:qFormat/>
    <w:uiPriority w:val="0"/>
    <w:rPr>
      <w:rFonts w:ascii="Calibri" w:hAnsi="Calibri" w:eastAsia="宋体" w:cs="Times New Roman"/>
      <w:sz w:val="22"/>
      <w:szCs w:val="22"/>
      <w:lang w:val="en-US" w:eastAsia="en-US" w:bidi="ar-SA"/>
    </w:rPr>
  </w:style>
  <w:style w:type="paragraph" w:customStyle="1" w:styleId="402">
    <w:name w:val="CM35"/>
    <w:basedOn w:val="84"/>
    <w:next w:val="84"/>
    <w:autoRedefine/>
    <w:qFormat/>
    <w:uiPriority w:val="0"/>
    <w:pPr>
      <w:spacing w:line="400" w:lineRule="atLeast"/>
    </w:pPr>
    <w:rPr>
      <w:rFonts w:ascii="Calibri" w:cs="Times New Roman"/>
      <w:color w:val="auto"/>
    </w:rPr>
  </w:style>
  <w:style w:type="paragraph" w:customStyle="1" w:styleId="403">
    <w:name w:val="Char Char Char Char Char Char Char Char Char Char1"/>
    <w:basedOn w:val="1"/>
    <w:autoRedefine/>
    <w:qFormat/>
    <w:uiPriority w:val="0"/>
    <w:pPr>
      <w:jc w:val="both"/>
    </w:pPr>
    <w:rPr>
      <w:rFonts w:ascii="Times New Roman" w:hAnsi="Times New Roman"/>
      <w:kern w:val="2"/>
      <w:sz w:val="21"/>
      <w:szCs w:val="20"/>
      <w:lang w:eastAsia="zh-CN"/>
    </w:rPr>
  </w:style>
  <w:style w:type="paragraph" w:customStyle="1" w:styleId="404">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FF0000"/>
      <w:lang w:eastAsia="zh-CN"/>
    </w:rPr>
  </w:style>
  <w:style w:type="paragraph" w:customStyle="1" w:styleId="405">
    <w:name w:val="xl109"/>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06">
    <w:name w:val="xl35"/>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07">
    <w:name w:val="Char12"/>
    <w:basedOn w:val="1"/>
    <w:autoRedefine/>
    <w:qFormat/>
    <w:uiPriority w:val="0"/>
    <w:pPr>
      <w:jc w:val="both"/>
    </w:pPr>
    <w:rPr>
      <w:rFonts w:ascii="Times New Roman" w:hAnsi="Times New Roman"/>
      <w:kern w:val="2"/>
      <w:sz w:val="21"/>
      <w:szCs w:val="24"/>
      <w:lang w:eastAsia="zh-CN"/>
    </w:rPr>
  </w:style>
  <w:style w:type="paragraph" w:customStyle="1" w:styleId="408">
    <w:name w:val="表格1"/>
    <w:basedOn w:val="1"/>
    <w:autoRedefine/>
    <w:qFormat/>
    <w:uiPriority w:val="0"/>
    <w:pPr>
      <w:tabs>
        <w:tab w:val="left" w:pos="203"/>
      </w:tabs>
      <w:spacing w:before="40" w:after="40"/>
      <w:jc w:val="center"/>
    </w:pPr>
    <w:rPr>
      <w:rFonts w:ascii="Times New Roman" w:hAnsi="Times New Roman"/>
      <w:b/>
      <w:bCs/>
      <w:kern w:val="2"/>
      <w:sz w:val="28"/>
      <w:szCs w:val="20"/>
      <w:lang w:eastAsia="zh-CN"/>
    </w:rPr>
  </w:style>
  <w:style w:type="paragraph" w:customStyle="1" w:styleId="409">
    <w:name w:val="默认段落字体 Para Char"/>
    <w:basedOn w:val="66"/>
    <w:autoRedefine/>
    <w:qFormat/>
    <w:uiPriority w:val="0"/>
    <w:pPr>
      <w:autoSpaceDE w:val="0"/>
      <w:autoSpaceDN w:val="0"/>
      <w:adjustRightInd w:val="0"/>
      <w:snapToGrid w:val="0"/>
      <w:spacing w:after="0" w:line="360" w:lineRule="auto"/>
      <w:ind w:left="0" w:leftChars="0" w:firstLine="0" w:firstLineChars="0"/>
      <w:jc w:val="left"/>
      <w:textAlignment w:val="baseline"/>
    </w:pPr>
    <w:rPr>
      <w:rFonts w:ascii="宋体" w:hAnsi="Calibri"/>
      <w:kern w:val="0"/>
      <w:sz w:val="28"/>
      <w:szCs w:val="20"/>
    </w:rPr>
  </w:style>
  <w:style w:type="paragraph" w:customStyle="1" w:styleId="410">
    <w:name w:val="xl7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lang w:eastAsia="zh-CN"/>
    </w:rPr>
  </w:style>
  <w:style w:type="paragraph" w:customStyle="1" w:styleId="411">
    <w:name w:val="xl2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12">
    <w:name w:val="xl136"/>
    <w:basedOn w:val="1"/>
    <w:autoRedefine/>
    <w:qFormat/>
    <w:uiPriority w:val="0"/>
    <w:pPr>
      <w:widowControl/>
      <w:pBdr>
        <w:top w:val="single" w:color="auto" w:sz="4" w:space="0"/>
        <w:left w:val="single" w:color="auto" w:sz="8" w:space="0"/>
        <w:bottom w:val="single" w:color="auto" w:sz="4" w:space="0"/>
        <w:right w:val="single" w:color="auto" w:sz="8" w:space="0"/>
      </w:pBdr>
      <w:shd w:val="clear" w:color="auto" w:fill="FFFF99"/>
      <w:spacing w:before="100" w:beforeAutospacing="1" w:after="100" w:afterAutospacing="1"/>
    </w:pPr>
    <w:rPr>
      <w:rFonts w:hint="eastAsia" w:ascii="宋体" w:hAnsi="宋体" w:cs="Arial Unicode MS"/>
      <w:b/>
      <w:bCs/>
      <w:sz w:val="24"/>
      <w:szCs w:val="24"/>
      <w:lang w:eastAsia="zh-CN"/>
    </w:rPr>
  </w:style>
  <w:style w:type="paragraph" w:customStyle="1" w:styleId="413">
    <w:name w:val="表格文字"/>
    <w:next w:val="28"/>
    <w:autoRedefine/>
    <w:qFormat/>
    <w:uiPriority w:val="0"/>
    <w:pPr>
      <w:jc w:val="center"/>
    </w:pPr>
    <w:rPr>
      <w:rFonts w:ascii="Times New Roman" w:hAnsi="Times New Roman" w:eastAsia="楷体_GB2312" w:cs="Times New Roman"/>
      <w:sz w:val="24"/>
      <w:lang w:val="en-US" w:eastAsia="zh-CN" w:bidi="ar-SA"/>
    </w:rPr>
  </w:style>
  <w:style w:type="paragraph" w:customStyle="1" w:styleId="414">
    <w:name w:val="CM76"/>
    <w:basedOn w:val="84"/>
    <w:next w:val="84"/>
    <w:autoRedefine/>
    <w:qFormat/>
    <w:uiPriority w:val="0"/>
    <w:pPr>
      <w:spacing w:line="400" w:lineRule="atLeast"/>
    </w:pPr>
    <w:rPr>
      <w:rFonts w:ascii="Calibri" w:cs="Times New Roman"/>
      <w:color w:val="auto"/>
    </w:rPr>
  </w:style>
  <w:style w:type="paragraph" w:customStyle="1" w:styleId="415">
    <w:name w:val="xl29"/>
    <w:basedOn w:val="1"/>
    <w:autoRedefine/>
    <w:qFormat/>
    <w:uiPriority w:val="0"/>
    <w:pPr>
      <w:widowControl/>
      <w:pBdr>
        <w:left w:val="single" w:color="auto" w:sz="4" w:space="0"/>
        <w:bottom w:val="single" w:color="auto" w:sz="4" w:space="0"/>
        <w:right w:val="single" w:color="auto" w:sz="4" w:space="0"/>
      </w:pBdr>
      <w:spacing w:before="100" w:after="100"/>
      <w:jc w:val="center"/>
      <w:textAlignment w:val="center"/>
    </w:pPr>
    <w:rPr>
      <w:rFonts w:ascii="Arial Unicode MS" w:hAnsi="Arial Unicode MS" w:eastAsia="Arial Unicode MS"/>
      <w:sz w:val="24"/>
      <w:szCs w:val="20"/>
      <w:lang w:eastAsia="zh-CN"/>
    </w:rPr>
  </w:style>
  <w:style w:type="paragraph" w:customStyle="1" w:styleId="416">
    <w:name w:val="xl167"/>
    <w:basedOn w:val="1"/>
    <w:autoRedefine/>
    <w:qFormat/>
    <w:uiPriority w:val="0"/>
    <w:pPr>
      <w:widowControl/>
      <w:spacing w:before="100" w:beforeAutospacing="1" w:after="100" w:afterAutospacing="1"/>
    </w:pPr>
    <w:rPr>
      <w:rFonts w:ascii="Arial" w:hAnsi="Arial" w:eastAsia="Arial Unicode MS" w:cs="Arial"/>
      <w:b/>
      <w:bCs/>
      <w:sz w:val="24"/>
      <w:szCs w:val="24"/>
      <w:lang w:eastAsia="zh-CN"/>
    </w:rPr>
  </w:style>
  <w:style w:type="paragraph" w:customStyle="1" w:styleId="417">
    <w:name w:val="xl10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418">
    <w:name w:val="Char1 Char Char Char Char Char Char Char Char Char Char Char Char1"/>
    <w:basedOn w:val="1"/>
    <w:autoRedefine/>
    <w:qFormat/>
    <w:uiPriority w:val="0"/>
    <w:pPr>
      <w:widowControl/>
      <w:spacing w:after="160" w:line="240" w:lineRule="exact"/>
    </w:pPr>
    <w:rPr>
      <w:rFonts w:ascii="Verdana" w:hAnsi="Verdana" w:eastAsia="仿宋_GB2312"/>
      <w:sz w:val="24"/>
      <w:szCs w:val="20"/>
    </w:rPr>
  </w:style>
  <w:style w:type="paragraph" w:customStyle="1" w:styleId="419">
    <w:name w:val="CM46"/>
    <w:basedOn w:val="84"/>
    <w:next w:val="84"/>
    <w:autoRedefine/>
    <w:qFormat/>
    <w:uiPriority w:val="0"/>
    <w:rPr>
      <w:rFonts w:ascii="Calibri" w:cs="Times New Roman"/>
      <w:color w:val="auto"/>
    </w:rPr>
  </w:style>
  <w:style w:type="paragraph" w:customStyle="1" w:styleId="420">
    <w:name w:val="修订3"/>
    <w:autoRedefine/>
    <w:semiHidden/>
    <w:qFormat/>
    <w:uiPriority w:val="99"/>
    <w:rPr>
      <w:rFonts w:ascii="Calibri" w:hAnsi="Calibri" w:eastAsia="宋体" w:cs="Times New Roman"/>
      <w:sz w:val="22"/>
      <w:szCs w:val="22"/>
      <w:lang w:val="en-US" w:eastAsia="en-US" w:bidi="ar-SA"/>
    </w:rPr>
  </w:style>
  <w:style w:type="paragraph" w:customStyle="1" w:styleId="421">
    <w:name w:val="CM101"/>
    <w:basedOn w:val="84"/>
    <w:next w:val="84"/>
    <w:autoRedefine/>
    <w:qFormat/>
    <w:uiPriority w:val="0"/>
    <w:pPr>
      <w:spacing w:after="800"/>
    </w:pPr>
    <w:rPr>
      <w:rFonts w:ascii="Calibri" w:cs="Times New Roman"/>
      <w:color w:val="auto"/>
    </w:rPr>
  </w:style>
  <w:style w:type="paragraph" w:customStyle="1" w:styleId="422">
    <w:name w:val="CM20"/>
    <w:basedOn w:val="84"/>
    <w:next w:val="84"/>
    <w:autoRedefine/>
    <w:qFormat/>
    <w:uiPriority w:val="0"/>
    <w:pPr>
      <w:spacing w:line="400" w:lineRule="atLeast"/>
    </w:pPr>
    <w:rPr>
      <w:rFonts w:ascii="Calibri" w:cs="Times New Roman"/>
      <w:color w:val="auto"/>
    </w:rPr>
  </w:style>
  <w:style w:type="paragraph" w:customStyle="1" w:styleId="423">
    <w:name w:val="xl184"/>
    <w:basedOn w:val="1"/>
    <w:autoRedefine/>
    <w:qFormat/>
    <w:uiPriority w:val="0"/>
    <w:pPr>
      <w:widowControl/>
      <w:pBdr>
        <w:bottom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424">
    <w:name w:val="Знак Знак Знак"/>
    <w:basedOn w:val="28"/>
    <w:next w:val="28"/>
    <w:autoRedefine/>
    <w:qFormat/>
    <w:uiPriority w:val="0"/>
    <w:pPr>
      <w:widowControl/>
      <w:spacing w:before="60" w:after="160"/>
      <w:ind w:left="794"/>
      <w:jc w:val="both"/>
    </w:pPr>
    <w:rPr>
      <w:rFonts w:ascii="Arial" w:hAnsi="Arial" w:cs="Verdana"/>
      <w:color w:val="000000"/>
      <w:sz w:val="22"/>
      <w:szCs w:val="24"/>
      <w:lang w:val="en-GB" w:eastAsia="zh-CN"/>
    </w:rPr>
  </w:style>
  <w:style w:type="paragraph" w:customStyle="1" w:styleId="425">
    <w:name w:val="xl5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426">
    <w:name w:val="CM62"/>
    <w:basedOn w:val="84"/>
    <w:next w:val="84"/>
    <w:autoRedefine/>
    <w:qFormat/>
    <w:uiPriority w:val="0"/>
    <w:pPr>
      <w:spacing w:line="400" w:lineRule="atLeast"/>
    </w:pPr>
    <w:rPr>
      <w:rFonts w:ascii="Calibri" w:cs="Times New Roman"/>
      <w:color w:val="auto"/>
    </w:rPr>
  </w:style>
  <w:style w:type="paragraph" w:customStyle="1" w:styleId="427">
    <w:name w:val="抬头"/>
    <w:basedOn w:val="1"/>
    <w:autoRedefine/>
    <w:qFormat/>
    <w:uiPriority w:val="0"/>
    <w:pPr>
      <w:spacing w:beforeLines="50" w:line="360" w:lineRule="auto"/>
      <w:jc w:val="both"/>
    </w:pPr>
    <w:rPr>
      <w:rFonts w:ascii="宋体" w:hAnsi="Times New Roman"/>
      <w:kern w:val="2"/>
      <w:sz w:val="24"/>
      <w:szCs w:val="24"/>
      <w:lang w:eastAsia="zh-CN"/>
    </w:rPr>
  </w:style>
  <w:style w:type="paragraph" w:customStyle="1" w:styleId="428">
    <w:name w:val="CM44"/>
    <w:basedOn w:val="84"/>
    <w:next w:val="84"/>
    <w:autoRedefine/>
    <w:qFormat/>
    <w:uiPriority w:val="0"/>
    <w:pPr>
      <w:spacing w:line="440" w:lineRule="atLeast"/>
    </w:pPr>
    <w:rPr>
      <w:rFonts w:ascii="Calibri" w:cs="Times New Roman"/>
      <w:color w:val="auto"/>
    </w:rPr>
  </w:style>
  <w:style w:type="paragraph" w:customStyle="1" w:styleId="429">
    <w:name w:val="xl141"/>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30">
    <w:name w:val="xl40"/>
    <w:basedOn w:val="1"/>
    <w:autoRedefine/>
    <w:qFormat/>
    <w:uiPriority w:val="0"/>
    <w:pPr>
      <w:widowControl/>
      <w:pBdr>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31">
    <w:name w:val="封面样式4"/>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32">
    <w:name w:val="Char1 Char Char Char"/>
    <w:basedOn w:val="1"/>
    <w:autoRedefine/>
    <w:qFormat/>
    <w:uiPriority w:val="0"/>
    <w:pPr>
      <w:jc w:val="both"/>
    </w:pPr>
    <w:rPr>
      <w:rFonts w:ascii="Times New Roman" w:hAnsi="Times New Roman"/>
      <w:kern w:val="2"/>
      <w:sz w:val="21"/>
      <w:szCs w:val="24"/>
      <w:lang w:eastAsia="zh-CN"/>
    </w:rPr>
  </w:style>
  <w:style w:type="paragraph" w:customStyle="1" w:styleId="433">
    <w:name w:val="p2"/>
    <w:basedOn w:val="1"/>
    <w:autoRedefine/>
    <w:qFormat/>
    <w:uiPriority w:val="0"/>
    <w:pPr>
      <w:widowControl/>
      <w:spacing w:line="480" w:lineRule="auto"/>
      <w:ind w:firstLine="420"/>
    </w:pPr>
    <w:rPr>
      <w:rFonts w:ascii="宋体" w:hAnsi="宋体" w:cs="宋体"/>
      <w:sz w:val="21"/>
      <w:szCs w:val="21"/>
      <w:lang w:eastAsia="zh-CN"/>
    </w:rPr>
  </w:style>
  <w:style w:type="paragraph" w:customStyle="1" w:styleId="434">
    <w:name w:val="CM47"/>
    <w:basedOn w:val="84"/>
    <w:next w:val="84"/>
    <w:autoRedefine/>
    <w:qFormat/>
    <w:uiPriority w:val="0"/>
    <w:pPr>
      <w:spacing w:line="440" w:lineRule="atLeast"/>
    </w:pPr>
    <w:rPr>
      <w:rFonts w:ascii="Calibri" w:cs="Times New Roman"/>
      <w:color w:val="auto"/>
    </w:rPr>
  </w:style>
  <w:style w:type="paragraph" w:customStyle="1" w:styleId="435">
    <w:name w:val="不缩进"/>
    <w:basedOn w:val="1"/>
    <w:autoRedefine/>
    <w:qFormat/>
    <w:uiPriority w:val="0"/>
    <w:pPr>
      <w:jc w:val="center"/>
    </w:pPr>
    <w:rPr>
      <w:rFonts w:ascii="楷体_GB2312" w:hAnsi="Times New Roman" w:eastAsia="楷体_GB2312"/>
      <w:spacing w:val="-8"/>
      <w:kern w:val="2"/>
      <w:sz w:val="24"/>
      <w:szCs w:val="20"/>
      <w:lang w:eastAsia="zh-CN"/>
    </w:rPr>
  </w:style>
  <w:style w:type="paragraph" w:customStyle="1" w:styleId="436">
    <w:name w:val="xl106"/>
    <w:basedOn w:val="1"/>
    <w:autoRedefine/>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437">
    <w:name w:val="n"/>
    <w:basedOn w:val="1"/>
    <w:autoRedefine/>
    <w:qFormat/>
    <w:uiPriority w:val="0"/>
    <w:pPr>
      <w:autoSpaceDE w:val="0"/>
      <w:autoSpaceDN w:val="0"/>
      <w:adjustRightInd w:val="0"/>
      <w:spacing w:line="400" w:lineRule="atLeast"/>
      <w:jc w:val="both"/>
      <w:textAlignment w:val="baseline"/>
    </w:pPr>
    <w:rPr>
      <w:rFonts w:ascii="宋体" w:hAnsi="Times New Roman"/>
      <w:sz w:val="24"/>
      <w:szCs w:val="20"/>
      <w:lang w:eastAsia="zh-CN"/>
    </w:rPr>
  </w:style>
  <w:style w:type="paragraph" w:customStyle="1" w:styleId="438">
    <w:name w:val="带编号的正文"/>
    <w:basedOn w:val="1"/>
    <w:autoRedefine/>
    <w:qFormat/>
    <w:uiPriority w:val="0"/>
    <w:pPr>
      <w:tabs>
        <w:tab w:val="left" w:pos="180"/>
        <w:tab w:val="left" w:pos="425"/>
      </w:tabs>
      <w:spacing w:line="360" w:lineRule="auto"/>
      <w:ind w:left="200" w:leftChars="200" w:hanging="425"/>
      <w:jc w:val="both"/>
      <w:textAlignment w:val="bottom"/>
    </w:pPr>
    <w:rPr>
      <w:rFonts w:ascii="宋体" w:hAnsi="宋体" w:eastAsia="楷体_GB2312"/>
      <w:sz w:val="24"/>
      <w:szCs w:val="20"/>
      <w:lang w:eastAsia="zh-CN"/>
    </w:rPr>
  </w:style>
  <w:style w:type="paragraph" w:customStyle="1" w:styleId="439">
    <w:name w:val="xl163"/>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40">
    <w:name w:val="7 正文"/>
    <w:basedOn w:val="17"/>
    <w:autoRedefine/>
    <w:qFormat/>
    <w:uiPriority w:val="0"/>
    <w:pPr>
      <w:spacing w:before="100" w:beforeAutospacing="1" w:after="100" w:afterAutospacing="1" w:line="300" w:lineRule="auto"/>
      <w:ind w:firstLine="200"/>
      <w:jc w:val="left"/>
    </w:pPr>
    <w:rPr>
      <w:rFonts w:ascii="Arial" w:hAnsi="Arial" w:eastAsia="等线"/>
      <w:sz w:val="24"/>
      <w:szCs w:val="20"/>
      <w:lang w:eastAsia="zh-CN"/>
    </w:rPr>
  </w:style>
  <w:style w:type="paragraph" w:customStyle="1" w:styleId="441">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2">
    <w:name w:val="Document 1"/>
    <w:autoRedefine/>
    <w:qFormat/>
    <w:uiPriority w:val="0"/>
    <w:pPr>
      <w:keepNext/>
      <w:keepLines/>
      <w:tabs>
        <w:tab w:val="left" w:pos="-720"/>
      </w:tabs>
      <w:suppressAutoHyphens/>
    </w:pPr>
    <w:rPr>
      <w:rFonts w:ascii="Courier New" w:hAnsi="Courier New" w:eastAsia="宋体" w:cs="Times New Roman"/>
      <w:lang w:val="en-US" w:eastAsia="en-US" w:bidi="ar-SA"/>
    </w:rPr>
  </w:style>
  <w:style w:type="paragraph" w:customStyle="1" w:styleId="443">
    <w:name w:val="CM33"/>
    <w:basedOn w:val="84"/>
    <w:next w:val="84"/>
    <w:autoRedefine/>
    <w:qFormat/>
    <w:uiPriority w:val="0"/>
    <w:rPr>
      <w:rFonts w:ascii="Calibri" w:cs="Times New Roman"/>
      <w:color w:val="auto"/>
    </w:rPr>
  </w:style>
  <w:style w:type="paragraph" w:customStyle="1" w:styleId="444">
    <w:name w:val="List Paragraph1"/>
    <w:basedOn w:val="1"/>
    <w:autoRedefine/>
    <w:qFormat/>
    <w:uiPriority w:val="0"/>
    <w:pPr>
      <w:ind w:firstLine="420" w:firstLineChars="200"/>
      <w:jc w:val="both"/>
    </w:pPr>
    <w:rPr>
      <w:kern w:val="2"/>
      <w:sz w:val="21"/>
      <w:szCs w:val="24"/>
      <w:lang w:eastAsia="zh-CN"/>
    </w:rPr>
  </w:style>
  <w:style w:type="paragraph" w:customStyle="1" w:styleId="445">
    <w:name w:val="图形"/>
    <w:basedOn w:val="1"/>
    <w:autoRedefine/>
    <w:qFormat/>
    <w:uiPriority w:val="0"/>
    <w:pPr>
      <w:spacing w:line="240" w:lineRule="atLeast"/>
    </w:pPr>
    <w:rPr>
      <w:rFonts w:ascii="华文细黑" w:hAnsi="华文细黑" w:cs="Arial"/>
      <w:sz w:val="21"/>
      <w:szCs w:val="21"/>
      <w:lang w:eastAsia="zh-CN"/>
    </w:rPr>
  </w:style>
  <w:style w:type="paragraph" w:customStyle="1" w:styleId="446">
    <w:name w:val="xl7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447">
    <w:name w:val="xl10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pPr>
    <w:rPr>
      <w:rFonts w:hint="eastAsia" w:ascii="宋体" w:hAnsi="宋体" w:cs="Arial Unicode MS"/>
      <w:sz w:val="24"/>
      <w:szCs w:val="24"/>
      <w:lang w:eastAsia="zh-CN"/>
    </w:rPr>
  </w:style>
  <w:style w:type="paragraph" w:customStyle="1" w:styleId="448">
    <w:name w:val="xl87"/>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b/>
      <w:bCs/>
      <w:lang w:eastAsia="zh-CN"/>
    </w:rPr>
  </w:style>
  <w:style w:type="paragraph" w:customStyle="1" w:styleId="449">
    <w:name w:val="CM65"/>
    <w:basedOn w:val="84"/>
    <w:next w:val="84"/>
    <w:autoRedefine/>
    <w:qFormat/>
    <w:uiPriority w:val="0"/>
    <w:rPr>
      <w:rFonts w:ascii="Calibri" w:cs="Times New Roman"/>
      <w:color w:val="auto"/>
    </w:rPr>
  </w:style>
  <w:style w:type="paragraph" w:customStyle="1" w:styleId="450">
    <w:name w:val="封面字体2"/>
    <w:basedOn w:val="305"/>
    <w:autoRedefine/>
    <w:qFormat/>
    <w:uiPriority w:val="0"/>
  </w:style>
  <w:style w:type="paragraph" w:customStyle="1" w:styleId="451">
    <w:name w:val="xl6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452">
    <w:name w:val="第四行"/>
    <w:basedOn w:val="1"/>
    <w:autoRedefine/>
    <w:qFormat/>
    <w:uiPriority w:val="0"/>
    <w:pPr>
      <w:tabs>
        <w:tab w:val="left" w:pos="1200"/>
      </w:tabs>
      <w:spacing w:line="360" w:lineRule="auto"/>
      <w:jc w:val="center"/>
    </w:pPr>
    <w:rPr>
      <w:rFonts w:ascii="宋体" w:hAnsi="Arial Narrow"/>
      <w:b/>
      <w:bCs/>
      <w:spacing w:val="40"/>
      <w:kern w:val="2"/>
      <w:sz w:val="28"/>
      <w:szCs w:val="28"/>
      <w:lang w:eastAsia="zh-CN"/>
    </w:rPr>
  </w:style>
  <w:style w:type="paragraph" w:customStyle="1" w:styleId="453">
    <w:name w:val="General"/>
    <w:basedOn w:val="29"/>
    <w:autoRedefine/>
    <w:qFormat/>
    <w:uiPriority w:val="0"/>
    <w:pPr>
      <w:widowControl w:val="0"/>
      <w:tabs>
        <w:tab w:val="left" w:pos="1418"/>
        <w:tab w:val="clear" w:pos="993"/>
      </w:tabs>
      <w:adjustRightInd w:val="0"/>
      <w:spacing w:line="320" w:lineRule="atLeast"/>
      <w:ind w:left="1416" w:leftChars="0" w:hanging="1416" w:hangingChars="590"/>
      <w:textAlignment w:val="baseline"/>
    </w:pPr>
    <w:rPr>
      <w:rFonts w:ascii="Calibri" w:hAnsi="Calibri" w:eastAsia="Mincho"/>
      <w:b w:val="0"/>
      <w:sz w:val="24"/>
      <w:szCs w:val="24"/>
      <w:lang w:eastAsia="ja-JP"/>
    </w:rPr>
  </w:style>
  <w:style w:type="paragraph" w:customStyle="1" w:styleId="454">
    <w:name w:val="xl6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5">
    <w:name w:val="0C - PS Ceda"/>
    <w:basedOn w:val="1"/>
    <w:autoRedefine/>
    <w:qFormat/>
    <w:uiPriority w:val="0"/>
    <w:pPr>
      <w:widowControl/>
      <w:tabs>
        <w:tab w:val="left" w:pos="1418"/>
        <w:tab w:val="left" w:pos="6521"/>
      </w:tabs>
      <w:jc w:val="both"/>
    </w:pPr>
    <w:rPr>
      <w:rFonts w:ascii="Arial" w:hAnsi="Arial"/>
      <w:szCs w:val="20"/>
      <w:lang w:val="en-GB" w:eastAsia="zh-CN"/>
    </w:rPr>
  </w:style>
  <w:style w:type="paragraph" w:customStyle="1" w:styleId="456">
    <w:name w:val="xl52"/>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457">
    <w:name w:val="xl60"/>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right"/>
    </w:pPr>
    <w:rPr>
      <w:rFonts w:ascii="宋体" w:hAnsi="宋体"/>
      <w:color w:val="FF0000"/>
      <w:lang w:eastAsia="zh-CN"/>
    </w:rPr>
  </w:style>
  <w:style w:type="paragraph" w:customStyle="1" w:styleId="458">
    <w:name w:val="标题A"/>
    <w:basedOn w:val="1"/>
    <w:autoRedefine/>
    <w:qFormat/>
    <w:uiPriority w:val="0"/>
    <w:pPr>
      <w:autoSpaceDE w:val="0"/>
      <w:autoSpaceDN w:val="0"/>
      <w:ind w:left="720" w:right="-866"/>
    </w:pPr>
    <w:rPr>
      <w:rFonts w:hAnsi="Arial" w:eastAsia="黑体"/>
      <w:i/>
      <w:iCs/>
      <w:kern w:val="2"/>
      <w:sz w:val="28"/>
      <w:szCs w:val="28"/>
      <w:lang w:eastAsia="zh-CN"/>
    </w:rPr>
  </w:style>
  <w:style w:type="paragraph" w:customStyle="1" w:styleId="459">
    <w:name w:val="_Style 429"/>
    <w:autoRedefine/>
    <w:qFormat/>
    <w:uiPriority w:val="0"/>
    <w:pPr>
      <w:widowControl w:val="0"/>
    </w:pPr>
    <w:rPr>
      <w:rFonts w:ascii="Calibri" w:hAnsi="Calibri" w:eastAsia="宋体" w:cs="Times New Roman"/>
      <w:sz w:val="22"/>
      <w:szCs w:val="22"/>
      <w:lang w:val="en-US" w:eastAsia="en-US" w:bidi="ar-SA"/>
    </w:rPr>
  </w:style>
  <w:style w:type="paragraph" w:customStyle="1" w:styleId="460">
    <w:name w:val="CM53"/>
    <w:basedOn w:val="84"/>
    <w:next w:val="84"/>
    <w:autoRedefine/>
    <w:qFormat/>
    <w:uiPriority w:val="0"/>
    <w:pPr>
      <w:spacing w:line="400" w:lineRule="atLeast"/>
    </w:pPr>
    <w:rPr>
      <w:rFonts w:ascii="Calibri" w:cs="Times New Roman"/>
      <w:color w:val="auto"/>
    </w:rPr>
  </w:style>
  <w:style w:type="paragraph" w:customStyle="1" w:styleId="461">
    <w:name w:val="字元 字元1"/>
    <w:basedOn w:val="1"/>
    <w:autoRedefine/>
    <w:qFormat/>
    <w:uiPriority w:val="0"/>
    <w:pPr>
      <w:jc w:val="both"/>
    </w:pPr>
    <w:rPr>
      <w:rFonts w:ascii="Times New Roman" w:hAnsi="Times New Roman"/>
      <w:kern w:val="2"/>
      <w:sz w:val="21"/>
      <w:szCs w:val="24"/>
      <w:lang w:eastAsia="zh-CN"/>
    </w:rPr>
  </w:style>
  <w:style w:type="paragraph" w:customStyle="1" w:styleId="462">
    <w:name w:val="BankNormal"/>
    <w:autoRedefine/>
    <w:qFormat/>
    <w:uiPriority w:val="0"/>
    <w:pPr>
      <w:tabs>
        <w:tab w:val="left" w:pos="-720"/>
      </w:tabs>
      <w:suppressAutoHyphens/>
    </w:pPr>
    <w:rPr>
      <w:rFonts w:ascii="CG Times" w:hAnsi="CG Times" w:eastAsia="宋体" w:cs="Times New Roman"/>
      <w:sz w:val="22"/>
      <w:lang w:val="en-US" w:eastAsia="zh-CN" w:bidi="ar-SA"/>
    </w:rPr>
  </w:style>
  <w:style w:type="paragraph" w:customStyle="1" w:styleId="463">
    <w:name w:val="xl195"/>
    <w:basedOn w:val="1"/>
    <w:autoRedefine/>
    <w:qFormat/>
    <w:uiPriority w:val="0"/>
    <w:pPr>
      <w:widowControl/>
      <w:pBdr>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4">
    <w:name w:val="Char3"/>
    <w:basedOn w:val="1"/>
    <w:autoRedefine/>
    <w:qFormat/>
    <w:uiPriority w:val="0"/>
    <w:pPr>
      <w:jc w:val="both"/>
    </w:pPr>
    <w:rPr>
      <w:rFonts w:ascii="Tahoma" w:hAnsi="Tahoma"/>
      <w:kern w:val="2"/>
      <w:sz w:val="24"/>
      <w:szCs w:val="20"/>
      <w:lang w:eastAsia="zh-CN"/>
    </w:rPr>
  </w:style>
  <w:style w:type="paragraph" w:customStyle="1" w:styleId="465">
    <w:name w:val="xl153"/>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66">
    <w:name w:val="Char Char Char Char Char Char Char Char Char Char Char Char Char Char Char Char Char Char"/>
    <w:basedOn w:val="1"/>
    <w:autoRedefine/>
    <w:qFormat/>
    <w:uiPriority w:val="0"/>
    <w:pPr>
      <w:widowControl/>
      <w:spacing w:after="160" w:line="240" w:lineRule="exact"/>
    </w:pPr>
    <w:rPr>
      <w:rFonts w:ascii="Verdana" w:hAnsi="Verdana" w:eastAsia="仿宋_GB2312" w:cs="Verdana"/>
      <w:sz w:val="24"/>
      <w:szCs w:val="24"/>
    </w:rPr>
  </w:style>
  <w:style w:type="paragraph" w:customStyle="1" w:styleId="467">
    <w:name w:val="xl135"/>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ascii="Arial" w:hAnsi="Arial" w:eastAsia="Arial Unicode MS" w:cs="Arial"/>
      <w:sz w:val="24"/>
      <w:szCs w:val="24"/>
      <w:lang w:eastAsia="zh-CN"/>
    </w:rPr>
  </w:style>
  <w:style w:type="paragraph" w:customStyle="1" w:styleId="468">
    <w:name w:val="xl151"/>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469">
    <w:name w:val="CM81"/>
    <w:basedOn w:val="84"/>
    <w:next w:val="84"/>
    <w:autoRedefine/>
    <w:qFormat/>
    <w:uiPriority w:val="0"/>
    <w:pPr>
      <w:spacing w:line="440" w:lineRule="atLeast"/>
    </w:pPr>
    <w:rPr>
      <w:rFonts w:ascii="Calibri" w:cs="Times New Roman"/>
      <w:color w:val="auto"/>
    </w:rPr>
  </w:style>
  <w:style w:type="paragraph" w:customStyle="1" w:styleId="470">
    <w:name w:val="xl168"/>
    <w:basedOn w:val="1"/>
    <w:autoRedefine/>
    <w:qFormat/>
    <w:uiPriority w:val="0"/>
    <w:pPr>
      <w:widowControl/>
      <w:pBdr>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1">
    <w:name w:val="CM6"/>
    <w:basedOn w:val="84"/>
    <w:next w:val="84"/>
    <w:autoRedefine/>
    <w:qFormat/>
    <w:uiPriority w:val="0"/>
    <w:pPr>
      <w:spacing w:line="318" w:lineRule="atLeast"/>
    </w:pPr>
    <w:rPr>
      <w:rFonts w:ascii="Calibri" w:cs="Times New Roman"/>
      <w:color w:val="auto"/>
    </w:rPr>
  </w:style>
  <w:style w:type="paragraph" w:customStyle="1" w:styleId="472">
    <w:name w:val="xl165"/>
    <w:basedOn w:val="1"/>
    <w:autoRedefine/>
    <w:qFormat/>
    <w:uiPriority w:val="0"/>
    <w:pPr>
      <w:widowControl/>
      <w:pBdr>
        <w:top w:val="single" w:color="auto" w:sz="8" w:space="0"/>
        <w:left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3">
    <w:name w:val="xl121"/>
    <w:basedOn w:val="1"/>
    <w:autoRedefine/>
    <w:qFormat/>
    <w:uiPriority w:val="0"/>
    <w:pPr>
      <w:widowControl/>
      <w:pBdr>
        <w:top w:val="single" w:color="auto" w:sz="4" w:space="0"/>
        <w:left w:val="single" w:color="auto" w:sz="8" w:space="0"/>
        <w:bottom w:val="single" w:color="auto" w:sz="4" w:space="0"/>
      </w:pBdr>
      <w:shd w:val="clear" w:color="auto" w:fill="FFFF99"/>
      <w:spacing w:before="100" w:beforeAutospacing="1" w:after="100" w:afterAutospacing="1"/>
      <w:jc w:val="right"/>
    </w:pPr>
    <w:rPr>
      <w:rFonts w:ascii="Arial" w:hAnsi="Arial" w:eastAsia="Arial Unicode MS" w:cs="Arial"/>
      <w:b/>
      <w:bCs/>
      <w:sz w:val="24"/>
      <w:szCs w:val="24"/>
      <w:lang w:eastAsia="zh-CN"/>
    </w:rPr>
  </w:style>
  <w:style w:type="paragraph" w:customStyle="1" w:styleId="474">
    <w:name w:val="xl3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5">
    <w:name w:val="xl158"/>
    <w:basedOn w:val="1"/>
    <w:autoRedefine/>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6">
    <w:name w:val="正文31"/>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477">
    <w:name w:val="xl24"/>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78">
    <w:name w:val="xl190"/>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479">
    <w:name w:val="xl25"/>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480">
    <w:name w:val="Legal 3"/>
    <w:basedOn w:val="1"/>
    <w:autoRedefine/>
    <w:qFormat/>
    <w:uiPriority w:val="0"/>
    <w:pPr>
      <w:tabs>
        <w:tab w:val="left" w:pos="1620"/>
      </w:tabs>
      <w:spacing w:after="120"/>
      <w:jc w:val="both"/>
      <w:outlineLvl w:val="2"/>
    </w:pPr>
    <w:rPr>
      <w:rFonts w:ascii="Times New Roman" w:hAnsi="Times New Roman"/>
      <w:szCs w:val="20"/>
    </w:rPr>
  </w:style>
  <w:style w:type="paragraph" w:customStyle="1" w:styleId="481">
    <w:name w:val="封面样式3"/>
    <w:basedOn w:val="1"/>
    <w:autoRedefine/>
    <w:qFormat/>
    <w:uiPriority w:val="0"/>
    <w:pPr>
      <w:spacing w:line="440" w:lineRule="exact"/>
      <w:ind w:firstLine="630" w:firstLineChars="300"/>
    </w:pPr>
    <w:rPr>
      <w:rFonts w:ascii="华文细黑" w:hAnsi="华文细黑" w:cs="Arial"/>
      <w:sz w:val="21"/>
      <w:szCs w:val="21"/>
      <w:lang w:eastAsia="zh-CN"/>
    </w:rPr>
  </w:style>
  <w:style w:type="paragraph" w:customStyle="1" w:styleId="482">
    <w:name w:val="Char Char Char Char Char Char Char Char Char Char"/>
    <w:basedOn w:val="1"/>
    <w:autoRedefine/>
    <w:qFormat/>
    <w:uiPriority w:val="0"/>
    <w:pPr>
      <w:jc w:val="both"/>
    </w:pPr>
    <w:rPr>
      <w:rFonts w:ascii="Tahoma" w:hAnsi="Tahoma"/>
      <w:kern w:val="2"/>
      <w:sz w:val="24"/>
      <w:szCs w:val="20"/>
      <w:lang w:eastAsia="zh-CN"/>
    </w:rPr>
  </w:style>
  <w:style w:type="paragraph" w:customStyle="1" w:styleId="483">
    <w:name w:val="font11"/>
    <w:basedOn w:val="1"/>
    <w:autoRedefine/>
    <w:qFormat/>
    <w:uiPriority w:val="0"/>
    <w:pPr>
      <w:widowControl/>
      <w:spacing w:before="100" w:beforeAutospacing="1" w:after="100" w:afterAutospacing="1"/>
    </w:pPr>
    <w:rPr>
      <w:rFonts w:ascii="Times New Roman" w:hAnsi="Times New Roman"/>
      <w:b/>
      <w:bCs/>
      <w:sz w:val="24"/>
      <w:szCs w:val="24"/>
      <w:lang w:eastAsia="zh-CN"/>
    </w:rPr>
  </w:style>
  <w:style w:type="paragraph" w:customStyle="1" w:styleId="484">
    <w:name w:val="CM29"/>
    <w:basedOn w:val="84"/>
    <w:next w:val="84"/>
    <w:autoRedefine/>
    <w:qFormat/>
    <w:uiPriority w:val="0"/>
    <w:pPr>
      <w:spacing w:line="400" w:lineRule="atLeast"/>
    </w:pPr>
    <w:rPr>
      <w:rFonts w:ascii="Calibri" w:cs="Times New Roman"/>
      <w:color w:val="auto"/>
    </w:rPr>
  </w:style>
  <w:style w:type="paragraph" w:customStyle="1" w:styleId="485">
    <w:name w:val="xl127"/>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86">
    <w:name w:val="CM5"/>
    <w:basedOn w:val="84"/>
    <w:next w:val="84"/>
    <w:autoRedefine/>
    <w:qFormat/>
    <w:uiPriority w:val="0"/>
    <w:pPr>
      <w:spacing w:line="180" w:lineRule="atLeast"/>
    </w:pPr>
    <w:rPr>
      <w:rFonts w:ascii="Times New Roman" w:hAnsi="Times New Roman" w:cs="Times New Roman"/>
      <w:color w:val="auto"/>
    </w:rPr>
  </w:style>
  <w:style w:type="paragraph" w:customStyle="1" w:styleId="487">
    <w:name w:val="日期11"/>
    <w:basedOn w:val="1"/>
    <w:next w:val="1"/>
    <w:autoRedefine/>
    <w:qFormat/>
    <w:uiPriority w:val="0"/>
    <w:pPr>
      <w:adjustRightInd w:val="0"/>
      <w:spacing w:line="360" w:lineRule="atLeast"/>
      <w:jc w:val="both"/>
      <w:textAlignment w:val="baseline"/>
    </w:pPr>
    <w:rPr>
      <w:rFonts w:ascii="宋体" w:hAnsi="Times New Roman"/>
      <w:sz w:val="28"/>
      <w:szCs w:val="20"/>
      <w:lang w:eastAsia="zh-CN"/>
    </w:rPr>
  </w:style>
  <w:style w:type="paragraph" w:customStyle="1" w:styleId="488">
    <w:name w:val="xl79"/>
    <w:basedOn w:val="1"/>
    <w:autoRedefine/>
    <w:qFormat/>
    <w:uiPriority w:val="0"/>
    <w:pPr>
      <w:widowControl/>
      <w:spacing w:before="100" w:beforeAutospacing="1" w:after="100" w:afterAutospacing="1"/>
    </w:pPr>
    <w:rPr>
      <w:rFonts w:ascii="宋体" w:hAnsi="宋体"/>
      <w:sz w:val="18"/>
      <w:szCs w:val="18"/>
      <w:lang w:eastAsia="zh-CN"/>
    </w:rPr>
  </w:style>
  <w:style w:type="paragraph" w:customStyle="1" w:styleId="489">
    <w:name w:val="Char Char Char Char Char Char Char1"/>
    <w:basedOn w:val="1"/>
    <w:autoRedefine/>
    <w:qFormat/>
    <w:uiPriority w:val="0"/>
    <w:pPr>
      <w:jc w:val="both"/>
    </w:pPr>
    <w:rPr>
      <w:rFonts w:ascii="Times New Roman" w:hAnsi="Times New Roman"/>
      <w:kern w:val="2"/>
      <w:sz w:val="21"/>
      <w:szCs w:val="30"/>
      <w:lang w:eastAsia="zh-CN"/>
    </w:rPr>
  </w:style>
  <w:style w:type="paragraph" w:customStyle="1" w:styleId="490">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491">
    <w:name w:val="Identation 2"/>
    <w:autoRedefine/>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492">
    <w:name w:val="xl6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Times New Roman" w:hAnsi="Times New Roman"/>
      <w:b/>
      <w:bCs/>
      <w:color w:val="FF0000"/>
      <w:lang w:eastAsia="zh-CN"/>
    </w:rPr>
  </w:style>
  <w:style w:type="paragraph" w:customStyle="1" w:styleId="493">
    <w:name w:val="CM57"/>
    <w:basedOn w:val="84"/>
    <w:next w:val="84"/>
    <w:autoRedefine/>
    <w:qFormat/>
    <w:uiPriority w:val="0"/>
    <w:pPr>
      <w:spacing w:line="400" w:lineRule="atLeast"/>
    </w:pPr>
    <w:rPr>
      <w:rFonts w:ascii="Calibri" w:cs="Times New Roman"/>
      <w:color w:val="auto"/>
    </w:rPr>
  </w:style>
  <w:style w:type="paragraph" w:customStyle="1" w:styleId="494">
    <w:name w:val="样式 首行缩进:  2 字符"/>
    <w:basedOn w:val="1"/>
    <w:autoRedefine/>
    <w:qFormat/>
    <w:uiPriority w:val="0"/>
    <w:pPr>
      <w:tabs>
        <w:tab w:val="left" w:pos="770"/>
        <w:tab w:val="left" w:pos="4660"/>
      </w:tabs>
      <w:adjustRightInd w:val="0"/>
      <w:snapToGrid w:val="0"/>
      <w:spacing w:line="360" w:lineRule="auto"/>
      <w:ind w:firstLine="560" w:firstLineChars="200"/>
    </w:pPr>
    <w:rPr>
      <w:rFonts w:ascii="宋体" w:hAnsi="宋体" w:cs="宋体"/>
      <w:kern w:val="2"/>
      <w:sz w:val="28"/>
      <w:szCs w:val="20"/>
      <w:lang w:eastAsia="zh-CN"/>
    </w:rPr>
  </w:style>
  <w:style w:type="paragraph" w:customStyle="1" w:styleId="495">
    <w:name w:val="Char Char Char Char Char Char1 Char Char"/>
    <w:basedOn w:val="1"/>
    <w:autoRedefine/>
    <w:qFormat/>
    <w:uiPriority w:val="0"/>
    <w:pPr>
      <w:jc w:val="both"/>
    </w:pPr>
    <w:rPr>
      <w:rFonts w:ascii="Times New Roman" w:hAnsi="Times New Roman"/>
      <w:kern w:val="2"/>
      <w:sz w:val="21"/>
      <w:szCs w:val="24"/>
      <w:lang w:eastAsia="zh-CN"/>
    </w:rPr>
  </w:style>
  <w:style w:type="paragraph" w:customStyle="1" w:styleId="496">
    <w:name w:val="xl78"/>
    <w:basedOn w:val="1"/>
    <w:autoRedefine/>
    <w:qFormat/>
    <w:uiPriority w:val="0"/>
    <w:pPr>
      <w:widowControl/>
      <w:spacing w:before="100" w:beforeAutospacing="1" w:after="100" w:afterAutospacing="1"/>
    </w:pPr>
    <w:rPr>
      <w:rFonts w:ascii="Times New Roman" w:hAnsi="Times New Roman"/>
      <w:b/>
      <w:bCs/>
      <w:lang w:eastAsia="zh-CN"/>
    </w:rPr>
  </w:style>
  <w:style w:type="paragraph" w:customStyle="1" w:styleId="497">
    <w:name w:val="xl93"/>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498">
    <w:name w:val="xl126"/>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499">
    <w:name w:val="CM80"/>
    <w:basedOn w:val="84"/>
    <w:next w:val="84"/>
    <w:autoRedefine/>
    <w:qFormat/>
    <w:uiPriority w:val="0"/>
    <w:pPr>
      <w:spacing w:line="440" w:lineRule="atLeast"/>
    </w:pPr>
    <w:rPr>
      <w:rFonts w:ascii="Calibri" w:cs="Times New Roman"/>
      <w:color w:val="auto"/>
    </w:rPr>
  </w:style>
  <w:style w:type="paragraph" w:customStyle="1" w:styleId="500">
    <w:name w:val="CM4"/>
    <w:basedOn w:val="84"/>
    <w:next w:val="84"/>
    <w:autoRedefine/>
    <w:qFormat/>
    <w:uiPriority w:val="0"/>
    <w:rPr>
      <w:rFonts w:ascii="Calibri" w:cs="Times New Roman"/>
      <w:color w:val="auto"/>
    </w:rPr>
  </w:style>
  <w:style w:type="paragraph" w:customStyle="1" w:styleId="501">
    <w:name w:val="CM24"/>
    <w:basedOn w:val="84"/>
    <w:next w:val="84"/>
    <w:autoRedefine/>
    <w:qFormat/>
    <w:uiPriority w:val="0"/>
    <w:pPr>
      <w:spacing w:line="440" w:lineRule="atLeast"/>
    </w:pPr>
    <w:rPr>
      <w:rFonts w:ascii="Calibri" w:cs="Times New Roman"/>
      <w:color w:val="auto"/>
    </w:rPr>
  </w:style>
  <w:style w:type="paragraph" w:customStyle="1" w:styleId="502">
    <w:name w:val="xl23"/>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lang w:eastAsia="zh-CN"/>
    </w:rPr>
  </w:style>
  <w:style w:type="paragraph" w:customStyle="1" w:styleId="503">
    <w:name w:val="字元 字元12"/>
    <w:basedOn w:val="1"/>
    <w:autoRedefine/>
    <w:qFormat/>
    <w:uiPriority w:val="0"/>
    <w:pPr>
      <w:jc w:val="both"/>
    </w:pPr>
    <w:rPr>
      <w:rFonts w:ascii="Times New Roman" w:hAnsi="Times New Roman"/>
      <w:kern w:val="2"/>
      <w:sz w:val="21"/>
      <w:szCs w:val="24"/>
      <w:lang w:eastAsia="zh-CN"/>
    </w:rPr>
  </w:style>
  <w:style w:type="paragraph" w:customStyle="1" w:styleId="504">
    <w:name w:val="font9"/>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05">
    <w:name w:val="Char Char Char Char Char Char1 Char Char1"/>
    <w:basedOn w:val="1"/>
    <w:autoRedefine/>
    <w:qFormat/>
    <w:uiPriority w:val="0"/>
    <w:pPr>
      <w:jc w:val="both"/>
    </w:pPr>
    <w:rPr>
      <w:rFonts w:ascii="Times New Roman" w:hAnsi="Times New Roman"/>
      <w:kern w:val="2"/>
      <w:sz w:val="21"/>
      <w:szCs w:val="24"/>
      <w:lang w:eastAsia="zh-CN"/>
    </w:rPr>
  </w:style>
  <w:style w:type="paragraph" w:customStyle="1" w:styleId="506">
    <w:name w:val="xl98"/>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07">
    <w:name w:val="xl77"/>
    <w:basedOn w:val="1"/>
    <w:autoRedefine/>
    <w:qFormat/>
    <w:uiPriority w:val="0"/>
    <w:pPr>
      <w:widowControl/>
      <w:spacing w:before="100" w:beforeAutospacing="1" w:after="100" w:afterAutospacing="1"/>
    </w:pPr>
    <w:rPr>
      <w:rFonts w:ascii="Times New Roman" w:hAnsi="Times New Roman"/>
      <w:b/>
      <w:bCs/>
      <w:sz w:val="18"/>
      <w:szCs w:val="18"/>
      <w:lang w:eastAsia="zh-CN"/>
    </w:rPr>
  </w:style>
  <w:style w:type="paragraph" w:customStyle="1" w:styleId="50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b/>
      <w:bCs/>
      <w:color w:val="FF0000"/>
      <w:lang w:eastAsia="zh-CN"/>
    </w:rPr>
  </w:style>
  <w:style w:type="paragraph" w:customStyle="1" w:styleId="509">
    <w:name w:val="xl170"/>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0">
    <w:name w:val="xl11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11">
    <w:name w:val="Char41"/>
    <w:basedOn w:val="1"/>
    <w:autoRedefine/>
    <w:qFormat/>
    <w:uiPriority w:val="0"/>
    <w:pPr>
      <w:jc w:val="both"/>
    </w:pPr>
    <w:rPr>
      <w:rFonts w:ascii="Tahoma" w:hAnsi="Tahoma"/>
      <w:kern w:val="2"/>
      <w:sz w:val="24"/>
      <w:szCs w:val="20"/>
      <w:lang w:eastAsia="zh-CN"/>
    </w:rPr>
  </w:style>
  <w:style w:type="paragraph" w:customStyle="1" w:styleId="512">
    <w:name w:val="修订1"/>
    <w:autoRedefine/>
    <w:qFormat/>
    <w:uiPriority w:val="0"/>
    <w:rPr>
      <w:rFonts w:ascii="Times New Roman" w:hAnsi="Times New Roman" w:eastAsia="宋体" w:cs="Times New Roman"/>
      <w:lang w:val="en-US" w:eastAsia="zh-CN" w:bidi="ar-SA"/>
    </w:rPr>
  </w:style>
  <w:style w:type="paragraph" w:customStyle="1" w:styleId="513">
    <w:name w:val="xl2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14">
    <w:name w:val="样式 正文缩进 + 首行缩进:  2 字符"/>
    <w:basedOn w:val="17"/>
    <w:autoRedefine/>
    <w:qFormat/>
    <w:uiPriority w:val="0"/>
    <w:pPr>
      <w:spacing w:line="360" w:lineRule="auto"/>
      <w:ind w:firstLine="200"/>
    </w:pPr>
    <w:rPr>
      <w:rFonts w:ascii="宋体" w:hAnsi="宋体" w:cs="宋体"/>
      <w:sz w:val="24"/>
      <w:szCs w:val="22"/>
      <w:lang w:eastAsia="zh-CN"/>
    </w:rPr>
  </w:style>
  <w:style w:type="paragraph" w:customStyle="1" w:styleId="515">
    <w:name w:val="Legal 5"/>
    <w:basedOn w:val="84"/>
    <w:next w:val="84"/>
    <w:autoRedefine/>
    <w:qFormat/>
    <w:uiPriority w:val="0"/>
    <w:pPr>
      <w:spacing w:after="120"/>
    </w:pPr>
    <w:rPr>
      <w:rFonts w:ascii="Calibri" w:cs="Times New Roman"/>
      <w:color w:val="auto"/>
    </w:rPr>
  </w:style>
  <w:style w:type="paragraph" w:customStyle="1" w:styleId="516">
    <w:name w:val="样式 标题 2"/>
    <w:basedOn w:val="1"/>
    <w:next w:val="4"/>
    <w:autoRedefine/>
    <w:qFormat/>
    <w:uiPriority w:val="0"/>
    <w:pPr>
      <w:snapToGrid w:val="0"/>
      <w:spacing w:line="360" w:lineRule="auto"/>
      <w:ind w:firstLine="200" w:firstLineChars="200"/>
      <w:jc w:val="both"/>
    </w:pPr>
    <w:rPr>
      <w:rFonts w:ascii="Times New Roman" w:hAnsi="Times New Roman" w:eastAsia="仿宋_GB2312"/>
      <w:kern w:val="2"/>
      <w:sz w:val="32"/>
      <w:szCs w:val="32"/>
      <w:lang w:eastAsia="zh-CN"/>
    </w:rPr>
  </w:style>
  <w:style w:type="paragraph" w:customStyle="1" w:styleId="517">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800000"/>
      <w:lang w:eastAsia="zh-CN"/>
    </w:rPr>
  </w:style>
  <w:style w:type="paragraph" w:customStyle="1" w:styleId="518">
    <w:name w:val="xl186"/>
    <w:basedOn w:val="1"/>
    <w:autoRedefine/>
    <w:qFormat/>
    <w:uiPriority w:val="0"/>
    <w:pPr>
      <w:widowControl/>
      <w:pBdr>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19">
    <w:name w:val="CM1"/>
    <w:basedOn w:val="84"/>
    <w:next w:val="84"/>
    <w:autoRedefine/>
    <w:qFormat/>
    <w:uiPriority w:val="0"/>
    <w:rPr>
      <w:rFonts w:ascii="Calibri" w:cs="Times New Roman"/>
      <w:color w:val="auto"/>
    </w:rPr>
  </w:style>
  <w:style w:type="paragraph" w:customStyle="1" w:styleId="520">
    <w:name w:val="TOC 标题2"/>
    <w:basedOn w:val="2"/>
    <w:next w:val="1"/>
    <w:autoRedefine/>
    <w:qFormat/>
    <w:uiPriority w:val="0"/>
    <w:pPr>
      <w:keepNext/>
      <w:keepLines/>
      <w:widowControl/>
      <w:spacing w:before="480" w:line="276" w:lineRule="auto"/>
      <w:ind w:left="171" w:hanging="171" w:hangingChars="171"/>
      <w:outlineLvl w:val="9"/>
    </w:pPr>
    <w:rPr>
      <w:rFonts w:ascii="Cambria" w:hAnsi="Cambria" w:eastAsia="宋体"/>
      <w:color w:val="365F91"/>
      <w:sz w:val="28"/>
      <w:szCs w:val="28"/>
      <w:lang w:eastAsia="zh-CN"/>
    </w:rPr>
  </w:style>
  <w:style w:type="paragraph" w:customStyle="1" w:styleId="521">
    <w:name w:val="Char Char Char Char Char Char Char11"/>
    <w:basedOn w:val="1"/>
    <w:autoRedefine/>
    <w:qFormat/>
    <w:uiPriority w:val="0"/>
    <w:pPr>
      <w:jc w:val="both"/>
    </w:pPr>
    <w:rPr>
      <w:rFonts w:ascii="Times New Roman" w:hAnsi="Times New Roman"/>
      <w:kern w:val="2"/>
      <w:sz w:val="21"/>
      <w:szCs w:val="24"/>
      <w:lang w:eastAsia="zh-CN"/>
    </w:rPr>
  </w:style>
  <w:style w:type="paragraph" w:customStyle="1" w:styleId="522">
    <w:name w:val="1"/>
    <w:basedOn w:val="1"/>
    <w:next w:val="36"/>
    <w:autoRedefine/>
    <w:qFormat/>
    <w:uiPriority w:val="0"/>
    <w:pPr>
      <w:jc w:val="both"/>
    </w:pPr>
    <w:rPr>
      <w:rFonts w:ascii="宋体" w:hAnsi="Courier New"/>
      <w:kern w:val="2"/>
      <w:sz w:val="21"/>
      <w:szCs w:val="20"/>
      <w:lang w:eastAsia="zh-CN"/>
    </w:rPr>
  </w:style>
  <w:style w:type="paragraph" w:customStyle="1" w:styleId="523">
    <w:name w:val="TOC 标题1"/>
    <w:basedOn w:val="2"/>
    <w:next w:val="1"/>
    <w:autoRedefine/>
    <w:qFormat/>
    <w:uiPriority w:val="0"/>
    <w:pPr>
      <w:keepNext/>
      <w:keepLines/>
      <w:widowControl/>
      <w:spacing w:before="480" w:line="276" w:lineRule="auto"/>
      <w:ind w:left="171" w:hanging="171" w:hangingChars="171"/>
      <w:outlineLvl w:val="9"/>
    </w:pPr>
    <w:rPr>
      <w:rFonts w:ascii="Cambria" w:hAnsi="Cambria" w:eastAsia="黑体"/>
      <w:bCs w:val="0"/>
      <w:color w:val="365F91"/>
      <w:kern w:val="2"/>
      <w:sz w:val="28"/>
      <w:szCs w:val="28"/>
      <w:lang w:eastAsia="zh-CN"/>
    </w:rPr>
  </w:style>
  <w:style w:type="paragraph" w:customStyle="1" w:styleId="524">
    <w:name w:val="Char"/>
    <w:basedOn w:val="1"/>
    <w:autoRedefine/>
    <w:qFormat/>
    <w:uiPriority w:val="0"/>
    <w:pPr>
      <w:widowControl/>
      <w:spacing w:after="160" w:line="240" w:lineRule="exact"/>
    </w:pPr>
    <w:rPr>
      <w:rFonts w:ascii="Verdana" w:hAnsi="Verdana" w:eastAsia="仿宋_GB2312"/>
      <w:sz w:val="24"/>
      <w:szCs w:val="20"/>
    </w:rPr>
  </w:style>
  <w:style w:type="paragraph" w:customStyle="1" w:styleId="525">
    <w:name w:val="xl176"/>
    <w:basedOn w:val="1"/>
    <w:autoRedefine/>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6">
    <w:name w:val="xl3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27">
    <w:name w:val="xl19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28">
    <w:name w:val="列出段落111"/>
    <w:basedOn w:val="1"/>
    <w:autoRedefine/>
    <w:qFormat/>
    <w:uiPriority w:val="34"/>
    <w:pPr>
      <w:widowControl/>
      <w:ind w:firstLine="420" w:firstLineChars="200"/>
    </w:pPr>
    <w:rPr>
      <w:rFonts w:cs="Calibri"/>
      <w:kern w:val="2"/>
      <w:sz w:val="21"/>
      <w:szCs w:val="24"/>
      <w:lang w:bidi="en-US"/>
    </w:rPr>
  </w:style>
  <w:style w:type="paragraph" w:customStyle="1" w:styleId="529">
    <w:name w:val="xl130"/>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530">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31">
    <w:name w:val="font6"/>
    <w:basedOn w:val="1"/>
    <w:autoRedefine/>
    <w:qFormat/>
    <w:uiPriority w:val="0"/>
    <w:pPr>
      <w:widowControl/>
      <w:spacing w:before="100" w:beforeAutospacing="1" w:after="100" w:afterAutospacing="1"/>
    </w:pPr>
    <w:rPr>
      <w:rFonts w:ascii="Times New Roman" w:hAnsi="Times New Roman"/>
      <w:lang w:eastAsia="zh-CN"/>
    </w:rPr>
  </w:style>
  <w:style w:type="paragraph" w:customStyle="1" w:styleId="532">
    <w:name w:val="CM102"/>
    <w:basedOn w:val="84"/>
    <w:next w:val="84"/>
    <w:autoRedefine/>
    <w:qFormat/>
    <w:uiPriority w:val="0"/>
    <w:pPr>
      <w:spacing w:after="878"/>
    </w:pPr>
    <w:rPr>
      <w:rFonts w:ascii="Calibri" w:cs="Times New Roman"/>
      <w:color w:val="auto"/>
    </w:rPr>
  </w:style>
  <w:style w:type="paragraph" w:customStyle="1" w:styleId="533">
    <w:name w:val="xl91"/>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534">
    <w:name w:val="xl33"/>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35">
    <w:name w:val="xl169"/>
    <w:basedOn w:val="1"/>
    <w:autoRedefine/>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36">
    <w:name w:val="三级标题1"/>
    <w:basedOn w:val="1"/>
    <w:autoRedefine/>
    <w:qFormat/>
    <w:uiPriority w:val="0"/>
    <w:pPr>
      <w:spacing w:before="60"/>
      <w:ind w:left="2279" w:hanging="720" w:hangingChars="252"/>
      <w:outlineLvl w:val="2"/>
    </w:pPr>
    <w:rPr>
      <w:rFonts w:ascii="Microsoft JhengHei" w:hAnsi="Microsoft JhengHei"/>
      <w:b/>
      <w:bCs/>
      <w:sz w:val="30"/>
      <w:szCs w:val="32"/>
    </w:rPr>
  </w:style>
  <w:style w:type="paragraph" w:customStyle="1" w:styleId="537">
    <w:name w:val="xl36"/>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38">
    <w:name w:val="font14"/>
    <w:basedOn w:val="1"/>
    <w:autoRedefine/>
    <w:qFormat/>
    <w:uiPriority w:val="0"/>
    <w:pPr>
      <w:widowControl/>
      <w:spacing w:before="100" w:beforeAutospacing="1" w:after="100" w:afterAutospacing="1"/>
    </w:pPr>
    <w:rPr>
      <w:rFonts w:ascii="Times New Roman" w:hAnsi="Times New Roman" w:eastAsia="Arial Unicode MS"/>
      <w:b/>
      <w:bCs/>
      <w:lang w:eastAsia="zh-CN"/>
    </w:rPr>
  </w:style>
  <w:style w:type="paragraph" w:customStyle="1" w:styleId="539">
    <w:name w:val="xl180"/>
    <w:basedOn w:val="1"/>
    <w:autoRedefine/>
    <w:qFormat/>
    <w:uiPriority w:val="0"/>
    <w:pPr>
      <w:widowControl/>
      <w:pBdr>
        <w:top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40">
    <w:name w:val="CM104"/>
    <w:basedOn w:val="84"/>
    <w:next w:val="84"/>
    <w:autoRedefine/>
    <w:qFormat/>
    <w:uiPriority w:val="0"/>
    <w:pPr>
      <w:spacing w:after="1318"/>
    </w:pPr>
    <w:rPr>
      <w:rFonts w:ascii="Calibri" w:cs="Times New Roman"/>
      <w:color w:val="auto"/>
    </w:rPr>
  </w:style>
  <w:style w:type="paragraph" w:customStyle="1" w:styleId="541">
    <w:name w:val="xl2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b/>
      <w:bCs/>
      <w:lang w:eastAsia="zh-CN"/>
    </w:rPr>
  </w:style>
  <w:style w:type="paragraph" w:customStyle="1" w:styleId="542">
    <w:name w:val="bg1"/>
    <w:basedOn w:val="543"/>
    <w:autoRedefine/>
    <w:qFormat/>
    <w:uiPriority w:val="0"/>
    <w:pPr>
      <w:numPr>
        <w:numId w:val="9"/>
      </w:numPr>
      <w:tabs>
        <w:tab w:val="left" w:pos="360"/>
        <w:tab w:val="left" w:pos="425"/>
        <w:tab w:val="left" w:pos="525"/>
      </w:tabs>
      <w:ind w:left="1080" w:hanging="1080"/>
      <w:jc w:val="both"/>
    </w:pPr>
    <w:rPr>
      <w:rFonts w:ascii="Arial Bold" w:hAnsi="Arial Bold" w:eastAsia="宋体"/>
      <w:lang w:eastAsia="zh-CN"/>
    </w:rPr>
  </w:style>
  <w:style w:type="paragraph" w:customStyle="1" w:styleId="543">
    <w:name w:val="Report Level 1"/>
    <w:basedOn w:val="1"/>
    <w:next w:val="544"/>
    <w:autoRedefine/>
    <w:qFormat/>
    <w:uiPriority w:val="0"/>
    <w:pPr>
      <w:keepNext/>
      <w:widowControl/>
      <w:numPr>
        <w:ilvl w:val="0"/>
        <w:numId w:val="10"/>
      </w:numPr>
      <w:tabs>
        <w:tab w:val="left" w:pos="360"/>
        <w:tab w:val="clear" w:pos="420"/>
      </w:tabs>
      <w:autoSpaceDE w:val="0"/>
      <w:autoSpaceDN w:val="0"/>
      <w:adjustRightInd w:val="0"/>
      <w:spacing w:before="240" w:after="120"/>
      <w:outlineLvl w:val="0"/>
    </w:pPr>
    <w:rPr>
      <w:rFonts w:ascii="Arial" w:hAnsi="Arial" w:eastAsia="PMingLiU"/>
      <w:b/>
      <w:caps/>
      <w:sz w:val="21"/>
      <w:szCs w:val="20"/>
      <w:lang w:val="en-GB"/>
    </w:rPr>
  </w:style>
  <w:style w:type="paragraph" w:customStyle="1" w:styleId="544">
    <w:name w:val="Report Text"/>
    <w:basedOn w:val="1"/>
    <w:autoRedefine/>
    <w:qFormat/>
    <w:uiPriority w:val="0"/>
    <w:pPr>
      <w:widowControl/>
      <w:autoSpaceDE w:val="0"/>
      <w:autoSpaceDN w:val="0"/>
      <w:adjustRightInd w:val="0"/>
      <w:spacing w:after="138"/>
      <w:ind w:left="1080"/>
    </w:pPr>
    <w:rPr>
      <w:rFonts w:ascii="Times New Roman" w:hAnsi="Times New Roman"/>
      <w:szCs w:val="20"/>
      <w:lang w:val="en-GB"/>
    </w:rPr>
  </w:style>
  <w:style w:type="paragraph" w:customStyle="1" w:styleId="545">
    <w:name w:val="7"/>
    <w:autoRedefine/>
    <w:qFormat/>
    <w:uiPriority w:val="0"/>
    <w:rPr>
      <w:rFonts w:ascii="Times New Roman" w:hAnsi="Times New Roman" w:eastAsia="宋体" w:cs="Times New Roman"/>
      <w:lang w:val="en-US" w:eastAsia="zh-CN" w:bidi="ar-SA"/>
    </w:rPr>
  </w:style>
  <w:style w:type="paragraph" w:customStyle="1" w:styleId="546">
    <w:name w:val="CM89"/>
    <w:basedOn w:val="84"/>
    <w:next w:val="84"/>
    <w:autoRedefine/>
    <w:qFormat/>
    <w:uiPriority w:val="0"/>
    <w:pPr>
      <w:spacing w:line="440" w:lineRule="atLeast"/>
    </w:pPr>
    <w:rPr>
      <w:rFonts w:ascii="Calibri" w:cs="Times New Roman"/>
      <w:color w:val="auto"/>
    </w:rPr>
  </w:style>
  <w:style w:type="paragraph" w:customStyle="1" w:styleId="547">
    <w:name w:val="编号"/>
    <w:basedOn w:val="1"/>
    <w:next w:val="1"/>
    <w:autoRedefine/>
    <w:qFormat/>
    <w:uiPriority w:val="0"/>
    <w:pPr>
      <w:tabs>
        <w:tab w:val="left" w:pos="480"/>
      </w:tabs>
      <w:spacing w:line="360" w:lineRule="auto"/>
      <w:ind w:left="200" w:hanging="200" w:hangingChars="200"/>
      <w:jc w:val="both"/>
    </w:pPr>
    <w:rPr>
      <w:rFonts w:ascii="宋体" w:hAnsi="Times New Roman"/>
      <w:kern w:val="2"/>
      <w:sz w:val="24"/>
      <w:szCs w:val="24"/>
      <w:lang w:eastAsia="zh-CN"/>
    </w:rPr>
  </w:style>
  <w:style w:type="paragraph" w:customStyle="1" w:styleId="548">
    <w:name w:val="修订4"/>
    <w:autoRedefine/>
    <w:semiHidden/>
    <w:qFormat/>
    <w:uiPriority w:val="99"/>
    <w:rPr>
      <w:rFonts w:ascii="Calibri" w:hAnsi="Calibri" w:eastAsia="宋体" w:cs="Times New Roman"/>
      <w:sz w:val="22"/>
      <w:szCs w:val="22"/>
      <w:lang w:val="en-US" w:eastAsia="en-US" w:bidi="ar-SA"/>
    </w:rPr>
  </w:style>
  <w:style w:type="paragraph" w:customStyle="1" w:styleId="549">
    <w:name w:val="xl133"/>
    <w:basedOn w:val="1"/>
    <w:autoRedefine/>
    <w:qFormat/>
    <w:uiPriority w:val="0"/>
    <w:pPr>
      <w:widowControl/>
      <w:spacing w:before="100" w:beforeAutospacing="1" w:after="100" w:afterAutospacing="1"/>
      <w:jc w:val="right"/>
    </w:pPr>
    <w:rPr>
      <w:rFonts w:hint="eastAsia" w:ascii="宋体" w:hAnsi="宋体" w:cs="Arial Unicode MS"/>
      <w:b/>
      <w:bCs/>
      <w:sz w:val="24"/>
      <w:szCs w:val="24"/>
      <w:lang w:eastAsia="zh-CN"/>
    </w:rPr>
  </w:style>
  <w:style w:type="paragraph" w:customStyle="1" w:styleId="550">
    <w:name w:val="样式6"/>
    <w:basedOn w:val="1"/>
    <w:autoRedefine/>
    <w:qFormat/>
    <w:uiPriority w:val="0"/>
    <w:pPr>
      <w:jc w:val="center"/>
    </w:pPr>
    <w:rPr>
      <w:rFonts w:ascii="宋体" w:hAnsi="宋体" w:cs="Arial"/>
      <w:sz w:val="21"/>
      <w:szCs w:val="21"/>
      <w:lang w:eastAsia="zh-CN"/>
    </w:rPr>
  </w:style>
  <w:style w:type="paragraph" w:customStyle="1" w:styleId="551">
    <w:name w:val="CM92"/>
    <w:basedOn w:val="84"/>
    <w:next w:val="84"/>
    <w:autoRedefine/>
    <w:qFormat/>
    <w:uiPriority w:val="0"/>
    <w:pPr>
      <w:spacing w:after="530"/>
    </w:pPr>
    <w:rPr>
      <w:rFonts w:ascii="Calibri" w:cs="Times New Roman"/>
      <w:color w:val="auto"/>
    </w:rPr>
  </w:style>
  <w:style w:type="paragraph" w:customStyle="1" w:styleId="552">
    <w:name w:val="设备规范样式2"/>
    <w:basedOn w:val="1"/>
    <w:autoRedefine/>
    <w:qFormat/>
    <w:uiPriority w:val="0"/>
    <w:pPr>
      <w:numPr>
        <w:ilvl w:val="1"/>
        <w:numId w:val="11"/>
      </w:numPr>
      <w:tabs>
        <w:tab w:val="left" w:pos="1260"/>
      </w:tabs>
      <w:spacing w:line="360" w:lineRule="auto"/>
      <w:jc w:val="both"/>
      <w:textAlignment w:val="bottom"/>
    </w:pPr>
    <w:rPr>
      <w:rFonts w:ascii="Times New Roman" w:hAnsi="Times New Roman" w:eastAsia="楷体_GB2312"/>
      <w:sz w:val="24"/>
      <w:szCs w:val="24"/>
      <w:lang w:eastAsia="zh-CN"/>
    </w:rPr>
  </w:style>
  <w:style w:type="paragraph" w:customStyle="1" w:styleId="553">
    <w:name w:val="标题10"/>
    <w:basedOn w:val="8"/>
    <w:autoRedefine/>
    <w:qFormat/>
    <w:uiPriority w:val="0"/>
    <w:pPr>
      <w:keepNext/>
      <w:keepLines/>
      <w:widowControl w:val="0"/>
      <w:numPr>
        <w:ilvl w:val="0"/>
        <w:numId w:val="12"/>
      </w:numPr>
      <w:tabs>
        <w:tab w:val="left" w:pos="720"/>
        <w:tab w:val="left" w:pos="840"/>
      </w:tabs>
      <w:overflowPunct/>
      <w:autoSpaceDE/>
      <w:autoSpaceDN/>
      <w:spacing w:before="240" w:after="64" w:line="320" w:lineRule="atLeast"/>
      <w:ind w:left="901" w:leftChars="300" w:hanging="181"/>
    </w:pPr>
    <w:rPr>
      <w:rFonts w:ascii="Calibri" w:hAnsi="Calibri" w:eastAsia="楷体_GB2312"/>
      <w:b/>
      <w:i w:val="0"/>
      <w:position w:val="0"/>
      <w:sz w:val="24"/>
      <w:szCs w:val="24"/>
      <w:lang w:val="en-US"/>
    </w:rPr>
  </w:style>
  <w:style w:type="paragraph" w:customStyle="1" w:styleId="554">
    <w:name w:val="xl86"/>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pPr>
    <w:rPr>
      <w:rFonts w:ascii="宋体" w:hAnsi="宋体"/>
      <w:lang w:eastAsia="zh-CN"/>
    </w:rPr>
  </w:style>
  <w:style w:type="paragraph" w:customStyle="1" w:styleId="555">
    <w:name w:val="xl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556">
    <w:name w:val="CM50"/>
    <w:basedOn w:val="84"/>
    <w:next w:val="84"/>
    <w:autoRedefine/>
    <w:qFormat/>
    <w:uiPriority w:val="0"/>
    <w:pPr>
      <w:spacing w:line="1020" w:lineRule="atLeast"/>
    </w:pPr>
    <w:rPr>
      <w:rFonts w:ascii="Calibri" w:cs="Times New Roman"/>
      <w:color w:val="auto"/>
    </w:rPr>
  </w:style>
  <w:style w:type="paragraph" w:customStyle="1" w:styleId="55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lang w:eastAsia="zh-CN"/>
    </w:rPr>
  </w:style>
  <w:style w:type="paragraph" w:customStyle="1" w:styleId="558">
    <w:name w:val="xl157"/>
    <w:basedOn w:val="1"/>
    <w:autoRedefine/>
    <w:qFormat/>
    <w:uiPriority w:val="0"/>
    <w:pPr>
      <w:widowControl/>
      <w:pBdr>
        <w:top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59">
    <w:name w:val="Indent 12"/>
    <w:basedOn w:val="1"/>
    <w:autoRedefine/>
    <w:qFormat/>
    <w:uiPriority w:val="0"/>
    <w:pPr>
      <w:widowControl/>
      <w:ind w:left="1304"/>
    </w:pPr>
    <w:rPr>
      <w:rFonts w:ascii="Arial" w:hAnsi="Arial"/>
      <w:sz w:val="24"/>
      <w:szCs w:val="20"/>
    </w:rPr>
  </w:style>
  <w:style w:type="paragraph" w:customStyle="1" w:styleId="560">
    <w:name w:val="注1"/>
    <w:basedOn w:val="1"/>
    <w:autoRedefine/>
    <w:qFormat/>
    <w:uiPriority w:val="0"/>
    <w:pPr>
      <w:spacing w:line="360" w:lineRule="auto"/>
      <w:ind w:left="400" w:leftChars="200" w:hanging="200" w:hangingChars="200"/>
      <w:jc w:val="both"/>
    </w:pPr>
    <w:rPr>
      <w:rFonts w:ascii="宋体" w:hAnsi="Times New Roman"/>
      <w:b/>
      <w:kern w:val="2"/>
      <w:sz w:val="21"/>
      <w:szCs w:val="24"/>
      <w:lang w:eastAsia="zh-CN"/>
    </w:rPr>
  </w:style>
  <w:style w:type="paragraph" w:customStyle="1" w:styleId="561">
    <w:name w:val="xl5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562">
    <w:name w:val="Char Char Char Char Char Char1 Char Char2"/>
    <w:basedOn w:val="1"/>
    <w:autoRedefine/>
    <w:qFormat/>
    <w:uiPriority w:val="0"/>
    <w:pPr>
      <w:jc w:val="both"/>
    </w:pPr>
    <w:rPr>
      <w:rFonts w:ascii="Times New Roman" w:hAnsi="Times New Roman"/>
      <w:kern w:val="2"/>
      <w:sz w:val="21"/>
      <w:szCs w:val="24"/>
      <w:lang w:eastAsia="zh-CN"/>
    </w:rPr>
  </w:style>
  <w:style w:type="paragraph" w:customStyle="1" w:styleId="563">
    <w:name w:val="xl53"/>
    <w:basedOn w:val="1"/>
    <w:autoRedefine/>
    <w:qFormat/>
    <w:uiPriority w:val="0"/>
    <w:pPr>
      <w:widowControl/>
      <w:pBdr>
        <w:top w:val="single" w:color="auto" w:sz="4" w:space="0"/>
        <w:left w:val="single" w:color="auto" w:sz="4" w:space="0"/>
        <w:right w:val="single" w:color="auto" w:sz="8" w:space="0"/>
      </w:pBdr>
      <w:shd w:val="clear" w:color="auto" w:fill="FFFFFF"/>
      <w:spacing w:before="100" w:beforeAutospacing="1" w:after="100" w:afterAutospacing="1"/>
    </w:pPr>
    <w:rPr>
      <w:rFonts w:ascii="宋体" w:hAnsi="宋体"/>
      <w:lang w:eastAsia="zh-CN"/>
    </w:rPr>
  </w:style>
  <w:style w:type="paragraph" w:customStyle="1" w:styleId="564">
    <w:name w:val="xl73"/>
    <w:basedOn w:val="1"/>
    <w:autoRedefine/>
    <w:qFormat/>
    <w:uiPriority w:val="0"/>
    <w:pPr>
      <w:widowControl/>
      <w:pBdr>
        <w:top w:val="single" w:color="auto" w:sz="8" w:space="0"/>
        <w:left w:val="single" w:color="auto" w:sz="4" w:space="0"/>
        <w:bottom w:val="single" w:color="auto" w:sz="4" w:space="0"/>
        <w:right w:val="single" w:color="auto" w:sz="8" w:space="0"/>
      </w:pBdr>
      <w:shd w:val="clear" w:color="auto" w:fill="FFFFFF"/>
      <w:spacing w:before="100" w:beforeAutospacing="1" w:after="100" w:afterAutospacing="1"/>
      <w:jc w:val="center"/>
    </w:pPr>
    <w:rPr>
      <w:rFonts w:ascii="宋体" w:hAnsi="宋体"/>
      <w:b/>
      <w:bCs/>
      <w:lang w:eastAsia="zh-CN"/>
    </w:rPr>
  </w:style>
  <w:style w:type="paragraph" w:customStyle="1" w:styleId="565">
    <w:name w:val="Char Char Char Char1"/>
    <w:basedOn w:val="1"/>
    <w:autoRedefine/>
    <w:qFormat/>
    <w:uiPriority w:val="0"/>
    <w:pPr>
      <w:jc w:val="both"/>
    </w:pPr>
    <w:rPr>
      <w:rFonts w:ascii="Tahoma" w:hAnsi="Tahoma"/>
      <w:kern w:val="2"/>
      <w:sz w:val="24"/>
      <w:szCs w:val="20"/>
      <w:lang w:eastAsia="zh-CN"/>
    </w:rPr>
  </w:style>
  <w:style w:type="paragraph" w:customStyle="1" w:styleId="566">
    <w:name w:val="封面字体3"/>
    <w:basedOn w:val="450"/>
    <w:autoRedefine/>
    <w:qFormat/>
    <w:uiPriority w:val="0"/>
    <w:rPr>
      <w:rFonts w:eastAsia="黑体"/>
    </w:rPr>
  </w:style>
  <w:style w:type="paragraph" w:customStyle="1" w:styleId="567">
    <w:name w:val="xl116"/>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568">
    <w:name w:val="CM90"/>
    <w:basedOn w:val="84"/>
    <w:next w:val="84"/>
    <w:autoRedefine/>
    <w:qFormat/>
    <w:uiPriority w:val="0"/>
    <w:rPr>
      <w:rFonts w:ascii="Calibri" w:cs="Times New Roman"/>
      <w:color w:val="auto"/>
    </w:rPr>
  </w:style>
  <w:style w:type="paragraph" w:customStyle="1" w:styleId="569">
    <w:name w:val="列出段落1"/>
    <w:basedOn w:val="1"/>
    <w:autoRedefine/>
    <w:qFormat/>
    <w:uiPriority w:val="34"/>
    <w:pPr>
      <w:ind w:firstLine="420" w:firstLineChars="200"/>
      <w:jc w:val="both"/>
    </w:pPr>
    <w:rPr>
      <w:kern w:val="2"/>
      <w:sz w:val="21"/>
      <w:szCs w:val="24"/>
      <w:lang w:eastAsia="zh-CN"/>
    </w:rPr>
  </w:style>
  <w:style w:type="paragraph" w:customStyle="1" w:styleId="570">
    <w:name w:val="xl8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Times New Roman" w:hAnsi="Times New Roman"/>
      <w:lang w:eastAsia="zh-CN"/>
    </w:rPr>
  </w:style>
  <w:style w:type="paragraph" w:customStyle="1" w:styleId="571">
    <w:name w:val="_标题2"/>
    <w:basedOn w:val="1"/>
    <w:next w:val="1"/>
    <w:autoRedefine/>
    <w:qFormat/>
    <w:uiPriority w:val="0"/>
    <w:pPr>
      <w:keepNext/>
      <w:numPr>
        <w:ilvl w:val="1"/>
        <w:numId w:val="13"/>
      </w:numPr>
      <w:spacing w:before="50" w:beforeLines="50" w:after="50" w:afterLines="50" w:line="360" w:lineRule="auto"/>
      <w:outlineLvl w:val="1"/>
    </w:pPr>
    <w:rPr>
      <w:rFonts w:ascii="等线" w:hAnsi="等线" w:eastAsia="微软雅黑"/>
      <w:b/>
      <w:kern w:val="2"/>
      <w:sz w:val="32"/>
      <w:szCs w:val="21"/>
      <w:lang w:eastAsia="zh-CN"/>
    </w:rPr>
  </w:style>
  <w:style w:type="paragraph" w:customStyle="1" w:styleId="57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lang w:eastAsia="zh-CN"/>
    </w:rPr>
  </w:style>
  <w:style w:type="paragraph" w:customStyle="1" w:styleId="573">
    <w:name w:val="xl179"/>
    <w:basedOn w:val="1"/>
    <w:autoRedefine/>
    <w:qFormat/>
    <w:uiPriority w:val="0"/>
    <w:pPr>
      <w:widowControl/>
      <w:pBdr>
        <w:top w:val="single" w:color="auto" w:sz="8" w:space="0"/>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574">
    <w:name w:val="xl161"/>
    <w:basedOn w:val="1"/>
    <w:autoRedefine/>
    <w:qFormat/>
    <w:uiPriority w:val="0"/>
    <w:pPr>
      <w:widowControl/>
      <w:pBdr>
        <w:top w:val="single" w:color="auto" w:sz="4" w:space="0"/>
        <w:lef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75">
    <w:name w:val="xl150"/>
    <w:basedOn w:val="1"/>
    <w:autoRedefine/>
    <w:qFormat/>
    <w:uiPriority w:val="0"/>
    <w:pPr>
      <w:widowControl/>
      <w:pBdr>
        <w:left w:val="single" w:color="auto" w:sz="4" w:space="0"/>
        <w:right w:val="single" w:color="auto" w:sz="8"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76">
    <w:name w:val="xl81"/>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77">
    <w:name w:val="CM97"/>
    <w:basedOn w:val="84"/>
    <w:next w:val="84"/>
    <w:autoRedefine/>
    <w:qFormat/>
    <w:uiPriority w:val="0"/>
    <w:pPr>
      <w:spacing w:after="373"/>
    </w:pPr>
    <w:rPr>
      <w:rFonts w:ascii="Calibri" w:cs="Times New Roman"/>
      <w:color w:val="auto"/>
    </w:rPr>
  </w:style>
  <w:style w:type="paragraph" w:customStyle="1" w:styleId="578">
    <w:name w:val="xl97"/>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宋体" w:hAnsi="宋体"/>
      <w:b/>
      <w:bCs/>
      <w:lang w:eastAsia="zh-CN"/>
    </w:rPr>
  </w:style>
  <w:style w:type="paragraph" w:customStyle="1" w:styleId="579">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580">
    <w:name w:val="xl143"/>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581">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2">
    <w:name w:val="Jazzy"/>
    <w:autoRedefine/>
    <w:qFormat/>
    <w:uiPriority w:val="0"/>
    <w:pPr>
      <w:overflowPunct w:val="0"/>
      <w:autoSpaceDE w:val="0"/>
      <w:autoSpaceDN w:val="0"/>
      <w:adjustRightInd w:val="0"/>
      <w:jc w:val="center"/>
      <w:textAlignment w:val="baseline"/>
    </w:pPr>
    <w:rPr>
      <w:rFonts w:ascii="Times New Roman" w:hAnsi="Times New Roman" w:eastAsia="宋体" w:cs="Times New Roman"/>
      <w:b/>
      <w:sz w:val="24"/>
      <w:lang w:val="en-US" w:eastAsia="zh-CN" w:bidi="ar-SA"/>
    </w:rPr>
  </w:style>
  <w:style w:type="paragraph" w:customStyle="1" w:styleId="583">
    <w:name w:val="xl152"/>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584">
    <w:name w:val="xl82"/>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lang w:eastAsia="zh-CN"/>
    </w:rPr>
  </w:style>
  <w:style w:type="paragraph" w:customStyle="1" w:styleId="585">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宋体" w:hAnsi="宋体"/>
      <w:lang w:eastAsia="zh-CN"/>
    </w:rPr>
  </w:style>
  <w:style w:type="paragraph" w:customStyle="1" w:styleId="586">
    <w:name w:val="ÑùÊ½2"/>
    <w:basedOn w:val="1"/>
    <w:autoRedefine/>
    <w:qFormat/>
    <w:uiPriority w:val="0"/>
    <w:pPr>
      <w:overflowPunct w:val="0"/>
      <w:autoSpaceDE w:val="0"/>
      <w:autoSpaceDN w:val="0"/>
      <w:adjustRightInd w:val="0"/>
      <w:spacing w:line="410" w:lineRule="atLeast"/>
      <w:ind w:left="480" w:leftChars="200"/>
      <w:jc w:val="both"/>
    </w:pPr>
    <w:rPr>
      <w:rFonts w:ascii="宋体" w:hAnsi="宋体" w:eastAsia="楷体_GB2312"/>
      <w:sz w:val="24"/>
      <w:szCs w:val="20"/>
      <w:lang w:eastAsia="zh-CN"/>
    </w:rPr>
  </w:style>
  <w:style w:type="paragraph" w:customStyle="1" w:styleId="587">
    <w:name w:val="xl104"/>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588">
    <w:name w:val="横表格"/>
    <w:basedOn w:val="1"/>
    <w:autoRedefine/>
    <w:qFormat/>
    <w:uiPriority w:val="0"/>
    <w:pPr>
      <w:tabs>
        <w:tab w:val="left" w:pos="1200"/>
      </w:tabs>
      <w:spacing w:line="360" w:lineRule="exact"/>
      <w:ind w:right="-41" w:rightChars="-41"/>
      <w:jc w:val="center"/>
    </w:pPr>
    <w:rPr>
      <w:rFonts w:ascii="宋体" w:hAnsi="Times New Roman"/>
      <w:kern w:val="2"/>
      <w:sz w:val="24"/>
      <w:szCs w:val="20"/>
      <w:lang w:eastAsia="zh-CN"/>
    </w:rPr>
  </w:style>
  <w:style w:type="paragraph" w:customStyle="1" w:styleId="589">
    <w:name w:val="Char Char Char Char Char Char Char Char"/>
    <w:basedOn w:val="1"/>
    <w:autoRedefine/>
    <w:qFormat/>
    <w:uiPriority w:val="0"/>
    <w:pPr>
      <w:widowControl/>
      <w:spacing w:after="160" w:line="240" w:lineRule="exact"/>
    </w:pPr>
    <w:rPr>
      <w:rFonts w:ascii="Verdana" w:hAnsi="Verdana"/>
      <w:sz w:val="20"/>
      <w:szCs w:val="20"/>
    </w:rPr>
  </w:style>
  <w:style w:type="paragraph" w:customStyle="1" w:styleId="590">
    <w:name w:val="项目1"/>
    <w:basedOn w:val="17"/>
    <w:next w:val="17"/>
    <w:autoRedefine/>
    <w:qFormat/>
    <w:uiPriority w:val="0"/>
    <w:pPr>
      <w:widowControl/>
      <w:numPr>
        <w:ilvl w:val="0"/>
        <w:numId w:val="14"/>
      </w:numPr>
      <w:snapToGrid w:val="0"/>
      <w:spacing w:line="360" w:lineRule="auto"/>
      <w:ind w:right="-210" w:rightChars="-100" w:firstLine="0" w:firstLineChars="0"/>
      <w:jc w:val="left"/>
    </w:pPr>
    <w:rPr>
      <w:rFonts w:ascii="宋体" w:hAnsi="宋体"/>
      <w:bCs/>
      <w:sz w:val="24"/>
      <w:szCs w:val="21"/>
      <w:lang w:eastAsia="zh-CN"/>
    </w:rPr>
  </w:style>
  <w:style w:type="paragraph" w:customStyle="1" w:styleId="591">
    <w:name w:val="_Style 37"/>
    <w:basedOn w:val="1"/>
    <w:next w:val="208"/>
    <w:autoRedefine/>
    <w:qFormat/>
    <w:uiPriority w:val="0"/>
    <w:pPr>
      <w:ind w:firstLine="420" w:firstLineChars="200"/>
      <w:jc w:val="both"/>
    </w:pPr>
    <w:rPr>
      <w:sz w:val="20"/>
      <w:szCs w:val="20"/>
      <w:lang w:eastAsia="zh-CN"/>
    </w:rPr>
  </w:style>
  <w:style w:type="paragraph" w:customStyle="1" w:styleId="592">
    <w:name w:val="Subtitle 2"/>
    <w:basedOn w:val="44"/>
    <w:autoRedefine/>
    <w:qFormat/>
    <w:uiPriority w:val="0"/>
    <w:pPr>
      <w:widowControl/>
      <w:tabs>
        <w:tab w:val="center" w:pos="4752"/>
        <w:tab w:val="right" w:pos="9864"/>
        <w:tab w:val="clear" w:pos="4153"/>
        <w:tab w:val="clear" w:pos="8306"/>
      </w:tabs>
      <w:snapToGrid/>
      <w:spacing w:before="240" w:after="240"/>
      <w:ind w:firstLine="200" w:firstLineChars="200"/>
      <w:jc w:val="center"/>
      <w:outlineLvl w:val="1"/>
    </w:pPr>
    <w:rPr>
      <w:rFonts w:ascii="Arial" w:hAnsi="Arial"/>
      <w:b/>
      <w:sz w:val="32"/>
      <w:szCs w:val="20"/>
    </w:rPr>
  </w:style>
  <w:style w:type="paragraph" w:customStyle="1" w:styleId="593">
    <w:name w:val="xl4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pPr>
    <w:rPr>
      <w:rFonts w:ascii="宋体" w:hAnsi="宋体"/>
      <w:lang w:eastAsia="zh-CN"/>
    </w:rPr>
  </w:style>
  <w:style w:type="paragraph" w:customStyle="1" w:styleId="594">
    <w:name w:val="plane"/>
    <w:basedOn w:val="1"/>
    <w:autoRedefine/>
    <w:qFormat/>
    <w:uiPriority w:val="0"/>
    <w:pPr>
      <w:widowControl/>
      <w:suppressAutoHyphens/>
      <w:jc w:val="both"/>
    </w:pPr>
    <w:rPr>
      <w:rFonts w:ascii="Tms Rmn" w:hAnsi="Tms Rmn"/>
      <w:sz w:val="24"/>
      <w:szCs w:val="20"/>
      <w:lang w:eastAsia="zh-CN"/>
    </w:rPr>
  </w:style>
  <w:style w:type="paragraph" w:customStyle="1" w:styleId="595">
    <w:name w:val="Legal 4"/>
    <w:basedOn w:val="84"/>
    <w:next w:val="84"/>
    <w:autoRedefine/>
    <w:qFormat/>
    <w:uiPriority w:val="0"/>
    <w:pPr>
      <w:spacing w:after="120"/>
    </w:pPr>
    <w:rPr>
      <w:rFonts w:ascii="Calibri" w:cs="Times New Roman"/>
      <w:color w:val="auto"/>
    </w:rPr>
  </w:style>
  <w:style w:type="paragraph" w:customStyle="1" w:styleId="596">
    <w:name w:val="封面字体4"/>
    <w:basedOn w:val="450"/>
    <w:autoRedefine/>
    <w:qFormat/>
    <w:uiPriority w:val="0"/>
  </w:style>
  <w:style w:type="paragraph" w:customStyle="1" w:styleId="597">
    <w:name w:val="智业正文"/>
    <w:basedOn w:val="65"/>
    <w:autoRedefine/>
    <w:qFormat/>
    <w:uiPriority w:val="0"/>
    <w:pPr>
      <w:spacing w:after="0" w:line="360" w:lineRule="auto"/>
      <w:ind w:firstLine="200" w:firstLineChars="200"/>
    </w:pPr>
    <w:rPr>
      <w:rFonts w:ascii="宋体" w:hAnsi="宋体"/>
    </w:rPr>
  </w:style>
  <w:style w:type="paragraph" w:customStyle="1" w:styleId="598">
    <w:name w:val="Char Char Char Char Char Char1"/>
    <w:basedOn w:val="1"/>
    <w:autoRedefine/>
    <w:qFormat/>
    <w:uiPriority w:val="0"/>
    <w:pPr>
      <w:jc w:val="both"/>
    </w:pPr>
    <w:rPr>
      <w:rFonts w:ascii="Times New Roman" w:hAnsi="Times New Roman"/>
      <w:kern w:val="2"/>
      <w:sz w:val="21"/>
      <w:szCs w:val="24"/>
      <w:lang w:eastAsia="zh-CN"/>
    </w:rPr>
  </w:style>
  <w:style w:type="paragraph" w:customStyle="1" w:styleId="599">
    <w:name w:val="xl187"/>
    <w:basedOn w:val="1"/>
    <w:autoRedefine/>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00">
    <w:name w:val="CB&amp;I 1.1.1"/>
    <w:basedOn w:val="1"/>
    <w:autoRedefine/>
    <w:qFormat/>
    <w:uiPriority w:val="0"/>
    <w:pPr>
      <w:numPr>
        <w:ilvl w:val="2"/>
        <w:numId w:val="7"/>
      </w:numPr>
      <w:adjustRightInd w:val="0"/>
      <w:spacing w:after="180" w:line="320" w:lineRule="exact"/>
      <w:jc w:val="both"/>
      <w:textAlignment w:val="baseline"/>
    </w:pPr>
    <w:rPr>
      <w:rFonts w:ascii="Arial" w:hAnsi="Arial"/>
      <w:sz w:val="24"/>
      <w:szCs w:val="20"/>
      <w:lang w:eastAsia="zh-CN"/>
    </w:rPr>
  </w:style>
  <w:style w:type="paragraph" w:customStyle="1" w:styleId="601">
    <w:name w:val="xl110"/>
    <w:basedOn w:val="1"/>
    <w:autoRedefine/>
    <w:qFormat/>
    <w:uiPriority w:val="0"/>
    <w:pPr>
      <w:widowControl/>
      <w:pBdr>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02">
    <w:name w:val="Char Char1 Char1"/>
    <w:basedOn w:val="21"/>
    <w:autoRedefine/>
    <w:qFormat/>
    <w:uiPriority w:val="0"/>
    <w:pPr>
      <w:widowControl w:val="0"/>
      <w:tabs>
        <w:tab w:val="clear" w:pos="851"/>
      </w:tabs>
      <w:autoSpaceDE/>
      <w:autoSpaceDN/>
      <w:snapToGrid/>
      <w:spacing w:after="0"/>
      <w:textAlignment w:val="auto"/>
    </w:pPr>
    <w:rPr>
      <w:rFonts w:ascii="Tahoma" w:hAnsi="Tahoma"/>
      <w:bCs w:val="0"/>
      <w:spacing w:val="0"/>
      <w:kern w:val="2"/>
      <w:szCs w:val="24"/>
    </w:rPr>
  </w:style>
  <w:style w:type="paragraph" w:customStyle="1" w:styleId="60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lang w:eastAsia="zh-CN"/>
    </w:rPr>
  </w:style>
  <w:style w:type="paragraph" w:customStyle="1" w:styleId="604">
    <w:name w:val="xl5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color w:val="FF0000"/>
      <w:lang w:eastAsia="zh-CN"/>
    </w:rPr>
  </w:style>
  <w:style w:type="paragraph" w:customStyle="1" w:styleId="605">
    <w:name w:val="Legal 2"/>
    <w:basedOn w:val="1"/>
    <w:autoRedefine/>
    <w:qFormat/>
    <w:uiPriority w:val="0"/>
    <w:pPr>
      <w:keepNext/>
      <w:tabs>
        <w:tab w:val="left" w:pos="810"/>
      </w:tabs>
      <w:spacing w:after="120"/>
      <w:ind w:left="810" w:hanging="810"/>
      <w:jc w:val="both"/>
      <w:outlineLvl w:val="1"/>
    </w:pPr>
    <w:rPr>
      <w:rFonts w:ascii="Times New Roman" w:hAnsi="Times New Roman"/>
      <w:sz w:val="24"/>
      <w:szCs w:val="20"/>
    </w:rPr>
  </w:style>
  <w:style w:type="paragraph" w:customStyle="1" w:styleId="606">
    <w:name w:val="xl74"/>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lang w:eastAsia="zh-CN"/>
    </w:rPr>
  </w:style>
  <w:style w:type="paragraph" w:customStyle="1" w:styleId="607">
    <w:name w:val="xl76"/>
    <w:basedOn w:val="1"/>
    <w:autoRedefine/>
    <w:qFormat/>
    <w:uiPriority w:val="0"/>
    <w:pPr>
      <w:widowControl/>
      <w:spacing w:before="100" w:beforeAutospacing="1" w:after="100" w:afterAutospacing="1"/>
    </w:pPr>
    <w:rPr>
      <w:rFonts w:ascii="Times New Roman" w:hAnsi="Times New Roman"/>
      <w:sz w:val="18"/>
      <w:szCs w:val="18"/>
      <w:lang w:eastAsia="zh-CN"/>
    </w:rPr>
  </w:style>
  <w:style w:type="paragraph" w:customStyle="1" w:styleId="608">
    <w:name w:val="Char Char Char Char"/>
    <w:basedOn w:val="1"/>
    <w:autoRedefine/>
    <w:qFormat/>
    <w:uiPriority w:val="0"/>
    <w:pPr>
      <w:jc w:val="both"/>
    </w:pPr>
    <w:rPr>
      <w:rFonts w:ascii="Tahoma" w:hAnsi="Tahoma"/>
      <w:kern w:val="2"/>
      <w:sz w:val="24"/>
      <w:szCs w:val="20"/>
      <w:lang w:eastAsia="zh-CN"/>
    </w:rPr>
  </w:style>
  <w:style w:type="paragraph" w:customStyle="1" w:styleId="609">
    <w:name w:val="Char Char Char Char2"/>
    <w:basedOn w:val="1"/>
    <w:autoRedefine/>
    <w:qFormat/>
    <w:uiPriority w:val="0"/>
    <w:pPr>
      <w:jc w:val="both"/>
    </w:pPr>
    <w:rPr>
      <w:rFonts w:ascii="Tahoma" w:hAnsi="Tahoma"/>
      <w:kern w:val="2"/>
      <w:sz w:val="24"/>
      <w:szCs w:val="20"/>
      <w:lang w:eastAsia="zh-CN"/>
    </w:rPr>
  </w:style>
  <w:style w:type="paragraph" w:customStyle="1" w:styleId="610">
    <w:name w:val="explanatory_notes"/>
    <w:basedOn w:val="1"/>
    <w:autoRedefine/>
    <w:qFormat/>
    <w:uiPriority w:val="0"/>
    <w:pPr>
      <w:widowControl/>
      <w:suppressAutoHyphens/>
      <w:spacing w:after="240" w:line="360" w:lineRule="exact"/>
      <w:jc w:val="both"/>
    </w:pPr>
    <w:rPr>
      <w:rFonts w:ascii="Arial" w:hAnsi="Arial"/>
      <w:sz w:val="24"/>
      <w:szCs w:val="20"/>
      <w:lang w:eastAsia="zh-CN"/>
    </w:rPr>
  </w:style>
  <w:style w:type="paragraph" w:customStyle="1" w:styleId="611">
    <w:name w:val="CM105"/>
    <w:basedOn w:val="84"/>
    <w:next w:val="84"/>
    <w:autoRedefine/>
    <w:qFormat/>
    <w:uiPriority w:val="0"/>
    <w:pPr>
      <w:spacing w:after="1040"/>
    </w:pPr>
    <w:rPr>
      <w:rFonts w:ascii="Calibri" w:cs="Times New Roman"/>
      <w:color w:val="auto"/>
    </w:rPr>
  </w:style>
  <w:style w:type="paragraph" w:customStyle="1" w:styleId="612">
    <w:name w:val="CM3"/>
    <w:basedOn w:val="84"/>
    <w:next w:val="84"/>
    <w:autoRedefine/>
    <w:qFormat/>
    <w:uiPriority w:val="0"/>
    <w:pPr>
      <w:spacing w:line="500" w:lineRule="atLeast"/>
    </w:pPr>
    <w:rPr>
      <w:rFonts w:ascii="Calibri" w:cs="Times New Roman"/>
      <w:color w:val="auto"/>
    </w:rPr>
  </w:style>
  <w:style w:type="paragraph" w:customStyle="1" w:styleId="613">
    <w:name w:val="xl107"/>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14">
    <w:name w:val="xl13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15">
    <w:name w:val="AutoCorrect"/>
    <w:autoRedefine/>
    <w:qFormat/>
    <w:uiPriority w:val="0"/>
    <w:pPr>
      <w:widowControl w:val="0"/>
    </w:pPr>
    <w:rPr>
      <w:rFonts w:ascii="Times New Roman" w:hAnsi="Times New Roman" w:eastAsia="PMingLiU" w:cs="Times New Roman"/>
      <w:kern w:val="2"/>
      <w:sz w:val="24"/>
      <w:lang w:val="en-US" w:eastAsia="zh-TW" w:bidi="ar-SA"/>
    </w:rPr>
  </w:style>
  <w:style w:type="paragraph" w:customStyle="1" w:styleId="616">
    <w:name w:val="注：（正文）"/>
    <w:basedOn w:val="1"/>
    <w:next w:val="1"/>
    <w:autoRedefine/>
    <w:qFormat/>
    <w:uiPriority w:val="0"/>
    <w:pPr>
      <w:tabs>
        <w:tab w:val="left" w:pos="510"/>
      </w:tabs>
      <w:autoSpaceDE w:val="0"/>
      <w:autoSpaceDN w:val="0"/>
      <w:ind w:left="510" w:hanging="510"/>
      <w:jc w:val="both"/>
    </w:pPr>
    <w:rPr>
      <w:rFonts w:ascii="宋体" w:hAnsi="Times New Roman"/>
      <w:sz w:val="18"/>
      <w:szCs w:val="18"/>
      <w:lang w:eastAsia="zh-CN"/>
    </w:rPr>
  </w:style>
  <w:style w:type="paragraph" w:customStyle="1" w:styleId="617">
    <w:name w:val="CM48"/>
    <w:basedOn w:val="84"/>
    <w:next w:val="84"/>
    <w:autoRedefine/>
    <w:qFormat/>
    <w:uiPriority w:val="0"/>
    <w:pPr>
      <w:spacing w:line="540" w:lineRule="atLeast"/>
    </w:pPr>
    <w:rPr>
      <w:rFonts w:ascii="Calibri" w:cs="Times New Roman"/>
      <w:color w:val="auto"/>
    </w:rPr>
  </w:style>
  <w:style w:type="paragraph" w:customStyle="1" w:styleId="618">
    <w:name w:val="列表延续"/>
    <w:basedOn w:val="1"/>
    <w:autoRedefine/>
    <w:qFormat/>
    <w:uiPriority w:val="0"/>
    <w:pPr>
      <w:tabs>
        <w:tab w:val="left" w:pos="420"/>
        <w:tab w:val="left" w:pos="4140"/>
      </w:tabs>
      <w:adjustRightInd w:val="0"/>
      <w:spacing w:line="360" w:lineRule="auto"/>
      <w:ind w:left="420" w:hanging="420"/>
      <w:jc w:val="both"/>
      <w:textAlignment w:val="baseline"/>
    </w:pPr>
    <w:rPr>
      <w:rFonts w:ascii="Times New Roman" w:hAnsi="Tms Rmn" w:eastAsia="楷体_GB2312"/>
      <w:kern w:val="28"/>
      <w:sz w:val="28"/>
      <w:szCs w:val="20"/>
      <w:lang w:eastAsia="zh-CN"/>
    </w:rPr>
  </w:style>
  <w:style w:type="paragraph" w:customStyle="1" w:styleId="619">
    <w:name w:val="CM63"/>
    <w:basedOn w:val="1"/>
    <w:next w:val="1"/>
    <w:autoRedefine/>
    <w:qFormat/>
    <w:uiPriority w:val="0"/>
    <w:pPr>
      <w:autoSpaceDE w:val="0"/>
      <w:autoSpaceDN w:val="0"/>
      <w:adjustRightInd w:val="0"/>
      <w:spacing w:after="143"/>
    </w:pPr>
    <w:rPr>
      <w:rFonts w:ascii="宋体"/>
      <w:sz w:val="24"/>
      <w:szCs w:val="24"/>
      <w:lang w:eastAsia="zh-CN"/>
    </w:rPr>
  </w:style>
  <w:style w:type="paragraph" w:customStyle="1" w:styleId="620">
    <w:name w:val="CM91"/>
    <w:basedOn w:val="84"/>
    <w:next w:val="84"/>
    <w:autoRedefine/>
    <w:qFormat/>
    <w:uiPriority w:val="0"/>
    <w:pPr>
      <w:spacing w:after="160"/>
    </w:pPr>
    <w:rPr>
      <w:rFonts w:ascii="Calibri" w:cs="Times New Roman"/>
      <w:color w:val="auto"/>
    </w:rPr>
  </w:style>
  <w:style w:type="paragraph" w:customStyle="1" w:styleId="621">
    <w:name w:val="2"/>
    <w:autoRedefine/>
    <w:qFormat/>
    <w:uiPriority w:val="0"/>
    <w:pPr>
      <w:widowControl w:val="0"/>
    </w:pPr>
    <w:rPr>
      <w:rFonts w:ascii="Calibri" w:hAnsi="Calibri" w:eastAsia="宋体" w:cs="Times New Roman"/>
      <w:sz w:val="22"/>
      <w:szCs w:val="22"/>
      <w:lang w:val="en-US" w:eastAsia="en-US" w:bidi="ar-SA"/>
    </w:rPr>
  </w:style>
  <w:style w:type="paragraph" w:customStyle="1" w:styleId="622">
    <w:name w:val="Style2"/>
    <w:basedOn w:val="84"/>
    <w:next w:val="84"/>
    <w:autoRedefine/>
    <w:qFormat/>
    <w:uiPriority w:val="0"/>
    <w:rPr>
      <w:rFonts w:ascii="Calibri" w:cs="Calibri"/>
      <w:color w:val="auto"/>
    </w:rPr>
  </w:style>
  <w:style w:type="paragraph" w:customStyle="1" w:styleId="623">
    <w:name w:val="Char1 Char Char Char1"/>
    <w:basedOn w:val="1"/>
    <w:autoRedefine/>
    <w:qFormat/>
    <w:uiPriority w:val="0"/>
    <w:pPr>
      <w:jc w:val="both"/>
    </w:pPr>
    <w:rPr>
      <w:rFonts w:ascii="Times New Roman" w:hAnsi="Times New Roman"/>
      <w:kern w:val="2"/>
      <w:sz w:val="21"/>
      <w:szCs w:val="24"/>
      <w:lang w:eastAsia="zh-CN"/>
    </w:rPr>
  </w:style>
  <w:style w:type="paragraph" w:customStyle="1" w:styleId="624">
    <w:name w:val="xl137"/>
    <w:basedOn w:val="1"/>
    <w:autoRedefine/>
    <w:qFormat/>
    <w:uiPriority w:val="0"/>
    <w:pPr>
      <w:widowControl/>
      <w:pBdr>
        <w:top w:val="single" w:color="auto" w:sz="4" w:space="0"/>
        <w:left w:val="single" w:color="auto" w:sz="8" w:space="0"/>
        <w:bottom w:val="single" w:color="auto" w:sz="4" w:space="0"/>
        <w:right w:val="single" w:color="auto" w:sz="8" w:space="0"/>
      </w:pBdr>
      <w:spacing w:before="100" w:beforeAutospacing="1" w:after="100" w:afterAutospacing="1"/>
    </w:pPr>
    <w:rPr>
      <w:rFonts w:hint="eastAsia" w:ascii="宋体" w:hAnsi="宋体" w:cs="Arial Unicode MS"/>
      <w:sz w:val="24"/>
      <w:szCs w:val="24"/>
      <w:lang w:eastAsia="zh-CN"/>
    </w:rPr>
  </w:style>
  <w:style w:type="paragraph" w:customStyle="1" w:styleId="625">
    <w:name w:val="Char Char Char Char Char Char"/>
    <w:basedOn w:val="1"/>
    <w:autoRedefine/>
    <w:qFormat/>
    <w:uiPriority w:val="0"/>
    <w:pPr>
      <w:jc w:val="both"/>
    </w:pPr>
    <w:rPr>
      <w:rFonts w:ascii="Times New Roman" w:hAnsi="Times New Roman"/>
      <w:kern w:val="2"/>
      <w:sz w:val="21"/>
      <w:szCs w:val="24"/>
      <w:lang w:eastAsia="zh-CN"/>
    </w:rPr>
  </w:style>
  <w:style w:type="paragraph" w:customStyle="1" w:styleId="62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b/>
      <w:bCs/>
      <w:lang w:eastAsia="zh-CN"/>
    </w:rPr>
  </w:style>
  <w:style w:type="paragraph" w:customStyle="1" w:styleId="627">
    <w:name w:val="xl83"/>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FF0000"/>
      <w:lang w:eastAsia="zh-CN"/>
    </w:rPr>
  </w:style>
  <w:style w:type="paragraph" w:customStyle="1" w:styleId="628">
    <w:name w:val="CM94"/>
    <w:basedOn w:val="84"/>
    <w:next w:val="84"/>
    <w:autoRedefine/>
    <w:qFormat/>
    <w:uiPriority w:val="0"/>
    <w:pPr>
      <w:spacing w:after="63"/>
    </w:pPr>
    <w:rPr>
      <w:rFonts w:ascii="Calibri" w:cs="Times New Roman"/>
      <w:color w:val="auto"/>
    </w:rPr>
  </w:style>
  <w:style w:type="paragraph" w:customStyle="1" w:styleId="629">
    <w:name w:val="xl119"/>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Arial" w:hAnsi="Arial" w:eastAsia="Arial Unicode MS" w:cs="Arial"/>
      <w:sz w:val="24"/>
      <w:szCs w:val="24"/>
      <w:lang w:eastAsia="zh-CN"/>
    </w:rPr>
  </w:style>
  <w:style w:type="paragraph" w:customStyle="1" w:styleId="630">
    <w:name w:val="xl85"/>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color w:val="800000"/>
      <w:lang w:eastAsia="zh-CN"/>
    </w:rPr>
  </w:style>
  <w:style w:type="paragraph" w:customStyle="1" w:styleId="631">
    <w:name w:val="Char1 Char Char Char Char Char Char Char Char Char Char Char Char"/>
    <w:basedOn w:val="1"/>
    <w:autoRedefine/>
    <w:qFormat/>
    <w:uiPriority w:val="0"/>
    <w:pPr>
      <w:widowControl/>
      <w:spacing w:after="160" w:line="240" w:lineRule="exact"/>
    </w:pPr>
    <w:rPr>
      <w:rFonts w:ascii="Verdana" w:hAnsi="Verdana" w:eastAsia="仿宋_GB2312"/>
      <w:sz w:val="24"/>
      <w:szCs w:val="20"/>
    </w:rPr>
  </w:style>
  <w:style w:type="paragraph" w:customStyle="1" w:styleId="632">
    <w:name w:val="CM77"/>
    <w:basedOn w:val="84"/>
    <w:next w:val="84"/>
    <w:autoRedefine/>
    <w:qFormat/>
    <w:uiPriority w:val="0"/>
    <w:pPr>
      <w:spacing w:line="400" w:lineRule="atLeast"/>
    </w:pPr>
    <w:rPr>
      <w:rFonts w:ascii="Calibri" w:cs="Times New Roman"/>
      <w:color w:val="auto"/>
    </w:rPr>
  </w:style>
  <w:style w:type="paragraph" w:customStyle="1" w:styleId="633">
    <w:name w:val="样式 TimesNewRoman 小四 左"/>
    <w:basedOn w:val="1"/>
    <w:autoRedefine/>
    <w:qFormat/>
    <w:uiPriority w:val="0"/>
    <w:pPr>
      <w:spacing w:after="120"/>
    </w:pPr>
    <w:rPr>
      <w:rFonts w:ascii="TimesNewRoman" w:hAnsi="TimesNewRoman"/>
      <w:sz w:val="24"/>
      <w:szCs w:val="20"/>
      <w:lang w:eastAsia="zh-CN"/>
    </w:rPr>
  </w:style>
  <w:style w:type="paragraph" w:customStyle="1" w:styleId="634">
    <w:name w:val="xl9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b/>
      <w:bCs/>
      <w:sz w:val="24"/>
      <w:szCs w:val="24"/>
      <w:lang w:eastAsia="zh-CN"/>
    </w:rPr>
  </w:style>
  <w:style w:type="paragraph" w:customStyle="1" w:styleId="635">
    <w:name w:val="xl84"/>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pPr>
    <w:rPr>
      <w:rFonts w:ascii="宋体" w:hAnsi="宋体"/>
      <w:b/>
      <w:bCs/>
      <w:color w:val="FF0000"/>
      <w:lang w:eastAsia="zh-CN"/>
    </w:rPr>
  </w:style>
  <w:style w:type="paragraph" w:customStyle="1" w:styleId="636">
    <w:name w:val="合同落款"/>
    <w:basedOn w:val="1"/>
    <w:autoRedefine/>
    <w:qFormat/>
    <w:uiPriority w:val="0"/>
    <w:pPr>
      <w:spacing w:line="240" w:lineRule="atLeast"/>
      <w:jc w:val="both"/>
    </w:pPr>
    <w:rPr>
      <w:rFonts w:ascii="华文细黑" w:hAnsi="华文细黑" w:eastAsia="楷体_GB2312" w:cs="Arial"/>
      <w:spacing w:val="-18"/>
      <w:sz w:val="32"/>
      <w:szCs w:val="32"/>
      <w:lang w:eastAsia="zh-CN"/>
    </w:rPr>
  </w:style>
  <w:style w:type="paragraph" w:customStyle="1" w:styleId="637">
    <w:name w:val="SP箇条書き"/>
    <w:basedOn w:val="1"/>
    <w:autoRedefine/>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pPr>
    <w:rPr>
      <w:rFonts w:ascii="MS PGothic" w:hAnsi="Arial" w:eastAsia="MS PGothic"/>
      <w:color w:val="000000"/>
      <w:sz w:val="21"/>
      <w:szCs w:val="20"/>
      <w:lang w:eastAsia="ja-JP"/>
    </w:rPr>
  </w:style>
  <w:style w:type="paragraph" w:customStyle="1" w:styleId="638">
    <w:name w:val="正文首行缩进3"/>
    <w:basedOn w:val="1"/>
    <w:autoRedefine/>
    <w:qFormat/>
    <w:uiPriority w:val="0"/>
    <w:pPr>
      <w:numPr>
        <w:ilvl w:val="0"/>
        <w:numId w:val="15"/>
      </w:numPr>
      <w:tabs>
        <w:tab w:val="left" w:pos="0"/>
        <w:tab w:val="clear" w:pos="425"/>
      </w:tabs>
      <w:spacing w:line="360" w:lineRule="auto"/>
      <w:jc w:val="both"/>
      <w:textAlignment w:val="bottom"/>
    </w:pPr>
    <w:rPr>
      <w:rFonts w:ascii="宋体" w:hAnsi="宋体"/>
      <w:color w:val="000000"/>
      <w:sz w:val="24"/>
      <w:szCs w:val="24"/>
      <w:lang w:eastAsia="zh-CN"/>
    </w:rPr>
  </w:style>
  <w:style w:type="paragraph" w:customStyle="1" w:styleId="639">
    <w:name w:val="项标题"/>
    <w:basedOn w:val="2"/>
    <w:autoRedefine/>
    <w:qFormat/>
    <w:uiPriority w:val="0"/>
    <w:pPr>
      <w:keepNext/>
      <w:tabs>
        <w:tab w:val="left" w:pos="432"/>
      </w:tabs>
      <w:adjustRightInd w:val="0"/>
      <w:snapToGrid w:val="0"/>
      <w:spacing w:before="240" w:after="240" w:line="360" w:lineRule="auto"/>
      <w:ind w:left="432" w:hanging="432"/>
      <w:jc w:val="center"/>
    </w:pPr>
    <w:rPr>
      <w:rFonts w:ascii="Times New Roman" w:hAnsi="Times New Roman" w:eastAsia="宋体"/>
      <w:color w:val="000000"/>
      <w:szCs w:val="36"/>
      <w:lang w:eastAsia="zh-CN"/>
    </w:rPr>
  </w:style>
  <w:style w:type="paragraph" w:customStyle="1" w:styleId="640">
    <w:name w:val="xl7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b/>
      <w:bCs/>
      <w:lang w:eastAsia="zh-CN"/>
    </w:rPr>
  </w:style>
  <w:style w:type="paragraph" w:customStyle="1" w:styleId="641">
    <w:name w:val="xl12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hint="eastAsia" w:ascii="宋体" w:hAnsi="宋体" w:cs="Arial Unicode MS"/>
      <w:b/>
      <w:bCs/>
      <w:sz w:val="24"/>
      <w:szCs w:val="24"/>
      <w:lang w:eastAsia="zh-CN"/>
    </w:rPr>
  </w:style>
  <w:style w:type="paragraph" w:customStyle="1" w:styleId="642">
    <w:name w:val="正文2"/>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43">
    <w:name w:val="Char11"/>
    <w:basedOn w:val="1"/>
    <w:autoRedefine/>
    <w:qFormat/>
    <w:uiPriority w:val="0"/>
    <w:pPr>
      <w:jc w:val="both"/>
    </w:pPr>
    <w:rPr>
      <w:rFonts w:ascii="Times New Roman" w:hAnsi="Times New Roman"/>
      <w:kern w:val="2"/>
      <w:sz w:val="21"/>
      <w:szCs w:val="24"/>
      <w:lang w:eastAsia="zh-CN"/>
    </w:rPr>
  </w:style>
  <w:style w:type="paragraph" w:customStyle="1" w:styleId="644">
    <w:name w:val="CM37"/>
    <w:basedOn w:val="84"/>
    <w:next w:val="84"/>
    <w:autoRedefine/>
    <w:qFormat/>
    <w:uiPriority w:val="0"/>
    <w:rPr>
      <w:rFonts w:ascii="Times New Roman" w:hAnsi="Times New Roman" w:cs="Times New Roman"/>
      <w:color w:val="auto"/>
    </w:rPr>
  </w:style>
  <w:style w:type="paragraph" w:customStyle="1" w:styleId="645">
    <w:name w:val="CM49"/>
    <w:basedOn w:val="84"/>
    <w:next w:val="84"/>
    <w:autoRedefine/>
    <w:qFormat/>
    <w:uiPriority w:val="0"/>
    <w:pPr>
      <w:spacing w:line="440" w:lineRule="atLeast"/>
    </w:pPr>
    <w:rPr>
      <w:rFonts w:ascii="Calibri" w:cs="Times New Roman"/>
      <w:color w:val="auto"/>
    </w:rPr>
  </w:style>
  <w:style w:type="paragraph" w:customStyle="1" w:styleId="646">
    <w:name w:val="xl154"/>
    <w:basedOn w:val="1"/>
    <w:autoRedefine/>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47">
    <w:name w:val="CM2"/>
    <w:basedOn w:val="84"/>
    <w:next w:val="84"/>
    <w:autoRedefine/>
    <w:qFormat/>
    <w:uiPriority w:val="0"/>
    <w:pPr>
      <w:spacing w:line="500" w:lineRule="atLeast"/>
    </w:pPr>
    <w:rPr>
      <w:rFonts w:ascii="Calibri" w:cs="Times New Roman"/>
      <w:color w:val="auto"/>
    </w:rPr>
  </w:style>
  <w:style w:type="paragraph" w:customStyle="1" w:styleId="648">
    <w:name w:val="CM83"/>
    <w:basedOn w:val="84"/>
    <w:next w:val="84"/>
    <w:autoRedefine/>
    <w:qFormat/>
    <w:uiPriority w:val="0"/>
    <w:pPr>
      <w:spacing w:line="440" w:lineRule="atLeast"/>
    </w:pPr>
    <w:rPr>
      <w:rFonts w:ascii="Calibri" w:cs="Times New Roman"/>
      <w:color w:val="auto"/>
    </w:rPr>
  </w:style>
  <w:style w:type="paragraph" w:customStyle="1" w:styleId="649">
    <w:name w:val="xl144"/>
    <w:basedOn w:val="1"/>
    <w:autoRedefine/>
    <w:qFormat/>
    <w:uiPriority w:val="0"/>
    <w:pPr>
      <w:widowControl/>
      <w:pBdr>
        <w:left w:val="single" w:color="auto" w:sz="8" w:space="0"/>
        <w:right w:val="single" w:color="auto" w:sz="4" w:space="0"/>
      </w:pBdr>
      <w:spacing w:before="100" w:beforeAutospacing="1" w:after="100" w:afterAutospacing="1"/>
      <w:jc w:val="center"/>
    </w:pPr>
    <w:rPr>
      <w:rFonts w:ascii="Arial" w:hAnsi="Arial" w:eastAsia="Arial Unicode MS" w:cs="Arial"/>
      <w:b/>
      <w:bCs/>
      <w:sz w:val="24"/>
      <w:szCs w:val="24"/>
      <w:lang w:eastAsia="zh-CN"/>
    </w:rPr>
  </w:style>
  <w:style w:type="paragraph" w:customStyle="1" w:styleId="650">
    <w:name w:val="xl94"/>
    <w:basedOn w:val="1"/>
    <w:autoRedefine/>
    <w:qFormat/>
    <w:uiPriority w:val="0"/>
    <w:pPr>
      <w:widowControl/>
      <w:pBdr>
        <w:bottom w:val="single" w:color="auto" w:sz="8" w:space="0"/>
      </w:pBdr>
      <w:spacing w:before="100" w:beforeAutospacing="1" w:after="100" w:afterAutospacing="1"/>
    </w:pPr>
    <w:rPr>
      <w:rFonts w:ascii="宋体" w:hAnsi="宋体"/>
      <w:sz w:val="18"/>
      <w:szCs w:val="18"/>
      <w:lang w:eastAsia="zh-CN"/>
    </w:rPr>
  </w:style>
  <w:style w:type="paragraph" w:customStyle="1" w:styleId="651">
    <w:name w:val="xl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olor w:val="FF0000"/>
      <w:lang w:eastAsia="zh-CN"/>
    </w:rPr>
  </w:style>
  <w:style w:type="paragraph" w:customStyle="1" w:styleId="652">
    <w:name w:val="CM18"/>
    <w:basedOn w:val="84"/>
    <w:next w:val="84"/>
    <w:autoRedefine/>
    <w:qFormat/>
    <w:uiPriority w:val="0"/>
    <w:pPr>
      <w:spacing w:line="313" w:lineRule="atLeast"/>
    </w:pPr>
    <w:rPr>
      <w:rFonts w:ascii="Calibri" w:cs="Times New Roman"/>
      <w:color w:val="auto"/>
    </w:rPr>
  </w:style>
  <w:style w:type="paragraph" w:customStyle="1" w:styleId="653">
    <w:name w:val="Char Char Char Char Char Char Char"/>
    <w:basedOn w:val="1"/>
    <w:autoRedefine/>
    <w:qFormat/>
    <w:uiPriority w:val="0"/>
    <w:pPr>
      <w:jc w:val="both"/>
    </w:pPr>
    <w:rPr>
      <w:rFonts w:ascii="Times New Roman" w:hAnsi="Times New Roman"/>
      <w:kern w:val="2"/>
      <w:sz w:val="21"/>
      <w:szCs w:val="30"/>
      <w:lang w:eastAsia="zh-CN"/>
    </w:rPr>
  </w:style>
  <w:style w:type="paragraph" w:customStyle="1" w:styleId="654">
    <w:name w:val="p0"/>
    <w:basedOn w:val="1"/>
    <w:autoRedefine/>
    <w:qFormat/>
    <w:uiPriority w:val="0"/>
    <w:pPr>
      <w:widowControl/>
      <w:jc w:val="both"/>
    </w:pPr>
    <w:rPr>
      <w:rFonts w:ascii="Times New Roman" w:hAnsi="Times New Roman"/>
      <w:sz w:val="21"/>
      <w:szCs w:val="21"/>
      <w:lang w:eastAsia="zh-CN"/>
    </w:rPr>
  </w:style>
  <w:style w:type="paragraph" w:customStyle="1" w:styleId="655">
    <w:name w:val="CM28"/>
    <w:basedOn w:val="84"/>
    <w:next w:val="84"/>
    <w:autoRedefine/>
    <w:qFormat/>
    <w:uiPriority w:val="0"/>
    <w:rPr>
      <w:rFonts w:ascii="Calibri" w:cs="Times New Roman"/>
      <w:color w:val="auto"/>
    </w:rPr>
  </w:style>
  <w:style w:type="paragraph" w:customStyle="1" w:styleId="656">
    <w:name w:val="CM93"/>
    <w:basedOn w:val="84"/>
    <w:next w:val="84"/>
    <w:autoRedefine/>
    <w:qFormat/>
    <w:uiPriority w:val="0"/>
    <w:pPr>
      <w:spacing w:after="628"/>
    </w:pPr>
    <w:rPr>
      <w:rFonts w:ascii="Calibri" w:cs="Times New Roman"/>
      <w:color w:val="auto"/>
    </w:rPr>
  </w:style>
  <w:style w:type="paragraph" w:customStyle="1" w:styleId="657">
    <w:name w:val="xl178"/>
    <w:basedOn w:val="1"/>
    <w:autoRedefine/>
    <w:qFormat/>
    <w:uiPriority w:val="0"/>
    <w:pPr>
      <w:widowControl/>
      <w:pBdr>
        <w:top w:val="single" w:color="auto" w:sz="8" w:space="0"/>
        <w:bottom w:val="single" w:color="auto" w:sz="4"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58">
    <w:name w:val="xl182"/>
    <w:basedOn w:val="1"/>
    <w:autoRedefine/>
    <w:qFormat/>
    <w:uiPriority w:val="0"/>
    <w:pPr>
      <w:widowControl/>
      <w:spacing w:before="100" w:beforeAutospacing="1" w:after="100" w:afterAutospacing="1"/>
      <w:jc w:val="center"/>
    </w:pPr>
    <w:rPr>
      <w:rFonts w:hint="eastAsia" w:ascii="宋体" w:hAnsi="宋体" w:cs="Arial Unicode MS"/>
      <w:b/>
      <w:bCs/>
      <w:sz w:val="32"/>
      <w:szCs w:val="32"/>
      <w:lang w:eastAsia="zh-CN"/>
    </w:rPr>
  </w:style>
  <w:style w:type="paragraph" w:customStyle="1" w:styleId="659">
    <w:name w:val="xl15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int="eastAsia" w:ascii="宋体" w:hAnsi="宋体" w:cs="Arial Unicode MS"/>
      <w:b/>
      <w:bCs/>
      <w:sz w:val="24"/>
      <w:szCs w:val="24"/>
      <w:lang w:eastAsia="zh-CN"/>
    </w:rPr>
  </w:style>
  <w:style w:type="paragraph" w:customStyle="1" w:styleId="660">
    <w:name w:val="xl12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Arial" w:hAnsi="Arial" w:eastAsia="Arial Unicode MS" w:cs="Arial"/>
      <w:b/>
      <w:bCs/>
      <w:sz w:val="24"/>
      <w:szCs w:val="24"/>
      <w:lang w:eastAsia="zh-CN"/>
    </w:rPr>
  </w:style>
  <w:style w:type="paragraph" w:customStyle="1" w:styleId="661">
    <w:name w:val="xl39"/>
    <w:basedOn w:val="1"/>
    <w:autoRedefine/>
    <w:qFormat/>
    <w:uiPriority w:val="0"/>
    <w:pPr>
      <w:widowControl/>
      <w:pBdr>
        <w:top w:val="single" w:color="auto" w:sz="4" w:space="0"/>
        <w:left w:val="single" w:color="auto" w:sz="8" w:space="0"/>
        <w:right w:val="single" w:color="auto" w:sz="4" w:space="0"/>
      </w:pBdr>
      <w:shd w:val="clear" w:color="auto" w:fill="FFFFFF"/>
      <w:spacing w:before="100" w:beforeAutospacing="1" w:after="100" w:afterAutospacing="1"/>
      <w:jc w:val="center"/>
    </w:pPr>
    <w:rPr>
      <w:rFonts w:ascii="宋体" w:hAnsi="宋体"/>
      <w:lang w:eastAsia="zh-CN"/>
    </w:rPr>
  </w:style>
  <w:style w:type="paragraph" w:customStyle="1" w:styleId="662">
    <w:name w:val="Char4"/>
    <w:basedOn w:val="1"/>
    <w:autoRedefine/>
    <w:qFormat/>
    <w:uiPriority w:val="0"/>
    <w:pPr>
      <w:jc w:val="both"/>
    </w:pPr>
    <w:rPr>
      <w:rFonts w:ascii="Tahoma" w:hAnsi="Tahoma"/>
      <w:kern w:val="2"/>
      <w:sz w:val="24"/>
      <w:szCs w:val="20"/>
      <w:lang w:eastAsia="zh-CN"/>
    </w:rPr>
  </w:style>
  <w:style w:type="paragraph" w:customStyle="1" w:styleId="663">
    <w:name w:val="Outline"/>
    <w:basedOn w:val="1"/>
    <w:autoRedefine/>
    <w:qFormat/>
    <w:uiPriority w:val="0"/>
    <w:pPr>
      <w:widowControl/>
      <w:spacing w:before="240" w:line="360" w:lineRule="auto"/>
      <w:ind w:firstLine="200" w:firstLineChars="200"/>
    </w:pPr>
    <w:rPr>
      <w:rFonts w:ascii="Arial" w:hAnsi="Arial"/>
      <w:kern w:val="28"/>
      <w:sz w:val="20"/>
      <w:szCs w:val="20"/>
      <w:lang w:eastAsia="zh-CN"/>
    </w:rPr>
  </w:style>
  <w:style w:type="paragraph" w:customStyle="1" w:styleId="664">
    <w:name w:val="(1)"/>
    <w:basedOn w:val="1"/>
    <w:autoRedefine/>
    <w:qFormat/>
    <w:uiPriority w:val="0"/>
    <w:pPr>
      <w:tabs>
        <w:tab w:val="left" w:pos="573"/>
      </w:tabs>
      <w:adjustRightInd w:val="0"/>
      <w:snapToGrid w:val="0"/>
      <w:spacing w:before="80" w:after="100" w:line="240" w:lineRule="atLeast"/>
      <w:jc w:val="both"/>
      <w:textAlignment w:val="baseline"/>
    </w:pPr>
    <w:rPr>
      <w:rFonts w:ascii="Arial" w:hAnsi="Arial"/>
      <w:kern w:val="44"/>
      <w:sz w:val="24"/>
      <w:szCs w:val="24"/>
      <w:lang w:eastAsia="zh-CN"/>
    </w:rPr>
  </w:style>
  <w:style w:type="paragraph" w:customStyle="1" w:styleId="665">
    <w:name w:val="(i)"/>
    <w:basedOn w:val="1"/>
    <w:autoRedefine/>
    <w:qFormat/>
    <w:uiPriority w:val="0"/>
    <w:pPr>
      <w:widowControl/>
      <w:suppressAutoHyphens/>
      <w:spacing w:line="360" w:lineRule="auto"/>
      <w:ind w:firstLine="200" w:firstLineChars="200"/>
      <w:jc w:val="both"/>
    </w:pPr>
    <w:rPr>
      <w:rFonts w:ascii="Tms Rmn" w:hAnsi="Tms Rmn"/>
      <w:sz w:val="20"/>
      <w:szCs w:val="20"/>
    </w:rPr>
  </w:style>
  <w:style w:type="paragraph" w:customStyle="1" w:styleId="666">
    <w:name w:val="font13"/>
    <w:basedOn w:val="1"/>
    <w:autoRedefine/>
    <w:qFormat/>
    <w:uiPriority w:val="0"/>
    <w:pPr>
      <w:widowControl/>
      <w:spacing w:before="100" w:beforeAutospacing="1" w:after="100" w:afterAutospacing="1"/>
    </w:pPr>
    <w:rPr>
      <w:rFonts w:ascii="Times New Roman" w:hAnsi="Times New Roman" w:eastAsia="Arial Unicode MS"/>
      <w:b/>
      <w:bCs/>
      <w:sz w:val="20"/>
      <w:szCs w:val="20"/>
      <w:lang w:eastAsia="zh-CN"/>
    </w:rPr>
  </w:style>
  <w:style w:type="paragraph" w:customStyle="1" w:styleId="667">
    <w:name w:val="xl112"/>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68">
    <w:name w:val="xl181"/>
    <w:basedOn w:val="1"/>
    <w:autoRedefine/>
    <w:qFormat/>
    <w:uiPriority w:val="0"/>
    <w:pPr>
      <w:widowControl/>
      <w:pBdr>
        <w:left w:val="single" w:color="auto" w:sz="8" w:space="0"/>
      </w:pBdr>
      <w:spacing w:before="100" w:beforeAutospacing="1" w:after="100" w:afterAutospacing="1"/>
      <w:jc w:val="center"/>
    </w:pPr>
    <w:rPr>
      <w:rFonts w:hint="eastAsia" w:ascii="宋体" w:hAnsi="宋体" w:cs="Arial Unicode MS"/>
      <w:b/>
      <w:bCs/>
      <w:sz w:val="32"/>
      <w:szCs w:val="32"/>
      <w:lang w:eastAsia="zh-CN"/>
    </w:rPr>
  </w:style>
  <w:style w:type="paragraph" w:customStyle="1" w:styleId="669">
    <w:name w:val="xl10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0">
    <w:name w:val="正文4"/>
    <w:basedOn w:val="1"/>
    <w:autoRedefine/>
    <w:qFormat/>
    <w:uiPriority w:val="0"/>
    <w:pPr>
      <w:spacing w:line="360" w:lineRule="auto"/>
      <w:ind w:left="400" w:leftChars="400"/>
      <w:jc w:val="both"/>
    </w:pPr>
    <w:rPr>
      <w:rFonts w:ascii="宋体" w:hAnsi="Times New Roman"/>
      <w:kern w:val="2"/>
      <w:sz w:val="24"/>
      <w:szCs w:val="24"/>
      <w:lang w:eastAsia="zh-CN"/>
    </w:rPr>
  </w:style>
  <w:style w:type="paragraph" w:customStyle="1" w:styleId="671">
    <w:name w:val="正文3"/>
    <w:autoRedefine/>
    <w:qFormat/>
    <w:uiPriority w:val="0"/>
    <w:pPr>
      <w:widowControl w:val="0"/>
      <w:adjustRightInd w:val="0"/>
      <w:spacing w:line="240" w:lineRule="atLeast"/>
      <w:jc w:val="both"/>
      <w:textAlignment w:val="baseline"/>
    </w:pPr>
    <w:rPr>
      <w:rFonts w:ascii="宋体" w:hAnsi="Times New Roman" w:eastAsia="宋体" w:cs="Times New Roman"/>
      <w:sz w:val="34"/>
      <w:lang w:val="en-US" w:eastAsia="zh-CN" w:bidi="ar-SA"/>
    </w:rPr>
  </w:style>
  <w:style w:type="paragraph" w:customStyle="1" w:styleId="672">
    <w:name w:val="Style"/>
    <w:basedOn w:val="1"/>
    <w:next w:val="53"/>
    <w:autoRedefine/>
    <w:qFormat/>
    <w:uiPriority w:val="0"/>
    <w:pPr>
      <w:tabs>
        <w:tab w:val="left" w:pos="1050"/>
      </w:tabs>
      <w:spacing w:line="400" w:lineRule="exact"/>
      <w:ind w:left="1050"/>
      <w:jc w:val="both"/>
    </w:pPr>
    <w:rPr>
      <w:rFonts w:ascii="宋体" w:hAnsi="Times New Roman"/>
      <w:kern w:val="2"/>
      <w:sz w:val="28"/>
      <w:szCs w:val="28"/>
      <w:lang w:eastAsia="zh-CN"/>
    </w:rPr>
  </w:style>
  <w:style w:type="paragraph" w:customStyle="1" w:styleId="673">
    <w:name w:val="招标号"/>
    <w:autoRedefine/>
    <w:qFormat/>
    <w:uiPriority w:val="0"/>
    <w:pPr>
      <w:jc w:val="center"/>
    </w:pPr>
    <w:rPr>
      <w:rFonts w:ascii="Times New Roman" w:hAnsi="Times New Roman" w:eastAsia="隶书" w:cs="Times New Roman"/>
      <w:b/>
      <w:bCs/>
      <w:sz w:val="28"/>
      <w:lang w:val="en-US" w:eastAsia="zh-CN" w:bidi="ar-SA"/>
    </w:rPr>
  </w:style>
  <w:style w:type="paragraph" w:customStyle="1" w:styleId="674">
    <w:name w:val="Char Char Char Char Char Char Char Char Char Char Char Char Char Char Char Char2"/>
    <w:basedOn w:val="1"/>
    <w:autoRedefine/>
    <w:qFormat/>
    <w:uiPriority w:val="0"/>
    <w:pPr>
      <w:widowControl/>
      <w:spacing w:after="160" w:line="240" w:lineRule="exact"/>
    </w:pPr>
    <w:rPr>
      <w:rFonts w:ascii="Verdana" w:hAnsi="Verdana" w:eastAsia="仿宋_GB2312"/>
      <w:sz w:val="24"/>
      <w:szCs w:val="20"/>
    </w:rPr>
  </w:style>
  <w:style w:type="paragraph" w:customStyle="1" w:styleId="675">
    <w:name w:val="CM54"/>
    <w:basedOn w:val="84"/>
    <w:next w:val="84"/>
    <w:autoRedefine/>
    <w:qFormat/>
    <w:uiPriority w:val="0"/>
    <w:pPr>
      <w:spacing w:line="398" w:lineRule="atLeast"/>
    </w:pPr>
    <w:rPr>
      <w:rFonts w:ascii="Calibri" w:cs="Times New Roman"/>
      <w:color w:val="auto"/>
    </w:rPr>
  </w:style>
  <w:style w:type="paragraph" w:customStyle="1" w:styleId="676">
    <w:name w:val="xl120"/>
    <w:basedOn w:val="1"/>
    <w:autoRedefine/>
    <w:qFormat/>
    <w:uiPriority w:val="0"/>
    <w:pPr>
      <w:widowControl/>
      <w:pBdr>
        <w:top w:val="single" w:color="auto" w:sz="4" w:space="0"/>
        <w:bottom w:val="single" w:color="auto" w:sz="4" w:space="0"/>
      </w:pBdr>
      <w:spacing w:before="100" w:beforeAutospacing="1" w:after="100" w:afterAutospacing="1"/>
      <w:jc w:val="center"/>
    </w:pPr>
    <w:rPr>
      <w:rFonts w:ascii="Arial" w:hAnsi="Arial" w:eastAsia="Arial Unicode MS" w:cs="Arial"/>
      <w:sz w:val="24"/>
      <w:szCs w:val="24"/>
      <w:lang w:eastAsia="zh-CN"/>
    </w:rPr>
  </w:style>
  <w:style w:type="paragraph" w:customStyle="1" w:styleId="677">
    <w:name w:val="font5"/>
    <w:basedOn w:val="1"/>
    <w:autoRedefine/>
    <w:qFormat/>
    <w:uiPriority w:val="0"/>
    <w:pPr>
      <w:widowControl/>
      <w:spacing w:before="100" w:beforeAutospacing="1" w:after="100" w:afterAutospacing="1"/>
    </w:pPr>
    <w:rPr>
      <w:rFonts w:hint="eastAsia" w:ascii="宋体" w:hAnsi="宋体"/>
      <w:sz w:val="18"/>
      <w:szCs w:val="18"/>
      <w:lang w:eastAsia="zh-CN"/>
    </w:rPr>
  </w:style>
  <w:style w:type="paragraph" w:customStyle="1" w:styleId="678">
    <w:name w:val="xl142"/>
    <w:basedOn w:val="1"/>
    <w:autoRedefine/>
    <w:qFormat/>
    <w:uiPriority w:val="0"/>
    <w:pPr>
      <w:widowControl/>
      <w:pBdr>
        <w:left w:val="single" w:color="auto" w:sz="8" w:space="0"/>
        <w:right w:val="single" w:color="auto" w:sz="8" w:space="0"/>
      </w:pBdr>
      <w:spacing w:before="100" w:beforeAutospacing="1" w:after="100" w:afterAutospacing="1"/>
      <w:jc w:val="center"/>
    </w:pPr>
    <w:rPr>
      <w:rFonts w:hint="eastAsia" w:ascii="宋体" w:hAnsi="宋体" w:cs="Arial Unicode MS"/>
      <w:b/>
      <w:bCs/>
      <w:sz w:val="24"/>
      <w:szCs w:val="24"/>
      <w:lang w:eastAsia="zh-CN"/>
    </w:rPr>
  </w:style>
  <w:style w:type="table" w:customStyle="1" w:styleId="679">
    <w:name w:val="Table Normal_0"/>
    <w:autoRedefine/>
    <w:qFormat/>
    <w:uiPriority w:val="0"/>
    <w:pPr>
      <w:widowControl w:val="0"/>
    </w:pPr>
    <w:rPr>
      <w:sz w:val="22"/>
      <w:szCs w:val="22"/>
      <w:lang w:eastAsia="en-US"/>
    </w:rPr>
    <w:tblPr>
      <w:tblCellMar>
        <w:top w:w="0" w:type="dxa"/>
        <w:left w:w="0" w:type="dxa"/>
        <w:bottom w:w="0" w:type="dxa"/>
        <w:right w:w="0" w:type="dxa"/>
      </w:tblCellMar>
    </w:tblPr>
  </w:style>
  <w:style w:type="table" w:customStyle="1" w:styleId="680">
    <w:name w:val="表格样式1"/>
    <w:basedOn w:val="68"/>
    <w:autoRedefine/>
    <w:qFormat/>
    <w:uiPriority w:val="0"/>
    <w:rPr>
      <w:rFonts w:ascii="Calibri" w:hAnsi="Calibri"/>
    </w:rPr>
  </w:style>
  <w:style w:type="paragraph" w:customStyle="1" w:styleId="681">
    <w:name w:val="Revision"/>
    <w:autoRedefine/>
    <w:unhideWhenUsed/>
    <w:qFormat/>
    <w:uiPriority w:val="99"/>
    <w:rPr>
      <w:rFonts w:ascii="Calibri" w:hAnsi="Calibri" w:eastAsia="宋体" w:cs="Times New Roman"/>
      <w:sz w:val="22"/>
      <w:szCs w:val="22"/>
      <w:lang w:val="en-US" w:eastAsia="en-US" w:bidi="ar-SA"/>
    </w:rPr>
  </w:style>
  <w:style w:type="character" w:customStyle="1" w:styleId="682">
    <w:name w:val="Unresolved Mention"/>
    <w:autoRedefine/>
    <w:unhideWhenUsed/>
    <w:qFormat/>
    <w:uiPriority w:val="99"/>
    <w:rPr>
      <w:color w:val="605E5C"/>
      <w:shd w:val="clear" w:color="auto" w:fill="E1DFDD"/>
    </w:rPr>
  </w:style>
  <w:style w:type="paragraph" w:customStyle="1" w:styleId="683">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684">
    <w:name w:val="标准中文版式_正文"/>
    <w:basedOn w:val="1"/>
    <w:autoRedefine/>
    <w:qFormat/>
    <w:uiPriority w:val="0"/>
    <w:pPr>
      <w:spacing w:before="30" w:beforeLines="0" w:line="360" w:lineRule="auto"/>
      <w:ind w:firstLineChars="200"/>
    </w:pPr>
    <w:rPr>
      <w:rFonts w:ascii="Arial" w:hAnsi="Arial"/>
      <w:sz w:val="24"/>
    </w:rPr>
  </w:style>
  <w:style w:type="character" w:customStyle="1" w:styleId="685">
    <w:name w:val="标题 2 Char1"/>
    <w:link w:val="3"/>
    <w:autoRedefine/>
    <w:qFormat/>
    <w:uiPriority w:val="0"/>
    <w:rPr>
      <w:rFonts w:ascii="Arial" w:hAnsi="Arial" w:eastAsia="宋体"/>
      <w:b/>
      <w:bCs/>
      <w:kern w:val="2"/>
      <w:sz w:val="24"/>
      <w:szCs w:val="32"/>
      <w:lang w:val="en-US" w:eastAsia="zh-CN" w:bidi="ar-SA"/>
    </w:rPr>
  </w:style>
  <w:style w:type="table" w:customStyle="1" w:styleId="686">
    <w:name w:val="Table Normal_1"/>
    <w:autoRedefine/>
    <w:unhideWhenUsed/>
    <w:qFormat/>
    <w:uiPriority w:val="0"/>
    <w:tblPr>
      <w:tblCellMar>
        <w:top w:w="0" w:type="dxa"/>
        <w:left w:w="0" w:type="dxa"/>
        <w:bottom w:w="0" w:type="dxa"/>
        <w:right w:w="0" w:type="dxa"/>
      </w:tblCellMar>
    </w:tblPr>
  </w:style>
  <w:style w:type="character" w:customStyle="1" w:styleId="687">
    <w:name w:val="old"/>
    <w:basedOn w:val="71"/>
    <w:autoRedefine/>
    <w:qFormat/>
    <w:uiPriority w:val="0"/>
    <w:rPr>
      <w:color w:val="999999"/>
    </w:rPr>
  </w:style>
  <w:style w:type="character" w:customStyle="1" w:styleId="688">
    <w:name w:val="hour_am"/>
    <w:basedOn w:val="71"/>
    <w:autoRedefine/>
    <w:qFormat/>
    <w:uiPriority w:val="0"/>
  </w:style>
  <w:style w:type="character" w:customStyle="1" w:styleId="689">
    <w:name w:val="indent"/>
    <w:basedOn w:val="71"/>
    <w:autoRedefine/>
    <w:qFormat/>
    <w:uiPriority w:val="0"/>
  </w:style>
  <w:style w:type="character" w:customStyle="1" w:styleId="690">
    <w:name w:val="hover1"/>
    <w:basedOn w:val="71"/>
    <w:autoRedefine/>
    <w:qFormat/>
    <w:uiPriority w:val="0"/>
    <w:rPr>
      <w:shd w:val="clear" w:fill="EEEEEE"/>
    </w:rPr>
  </w:style>
  <w:style w:type="character" w:customStyle="1" w:styleId="691">
    <w:name w:val="glyphicon6"/>
    <w:basedOn w:val="71"/>
    <w:autoRedefine/>
    <w:qFormat/>
    <w:uiPriority w:val="0"/>
  </w:style>
  <w:style w:type="character" w:customStyle="1" w:styleId="692">
    <w:name w:val="hour_pm"/>
    <w:basedOn w:val="71"/>
    <w:autoRedefine/>
    <w:qFormat/>
    <w:uiPriority w:val="0"/>
  </w:style>
  <w:style w:type="character" w:customStyle="1" w:styleId="693">
    <w:name w:val="icon"/>
    <w:basedOn w:val="71"/>
    <w:autoRedefine/>
    <w:qFormat/>
    <w:uiPriority w:val="0"/>
  </w:style>
  <w:style w:type="table" w:customStyle="1" w:styleId="694">
    <w:name w:val="Table Normal"/>
    <w:autoRedefine/>
    <w:unhideWhenUsed/>
    <w:qFormat/>
    <w:uiPriority w:val="0"/>
    <w:tblPr>
      <w:tblCellMar>
        <w:top w:w="0" w:type="dxa"/>
        <w:left w:w="0" w:type="dxa"/>
        <w:bottom w:w="0" w:type="dxa"/>
        <w:right w:w="0" w:type="dxa"/>
      </w:tblCellMar>
    </w:tblPr>
  </w:style>
  <w:style w:type="paragraph" w:customStyle="1" w:styleId="695">
    <w:name w:val="null3"/>
    <w:autoRedefine/>
    <w:hidden/>
    <w:qFormat/>
    <w:uiPriority w:val="0"/>
    <w:rPr>
      <w:rFonts w:hint="eastAsia" w:asciiTheme="minorHAnsi" w:hAnsiTheme="minorHAnsi" w:eastAsiaTheme="minorEastAsia" w:cstheme="minorBidi"/>
      <w:lang w:val="en-US" w:eastAsia="zh-Hans"/>
    </w:rPr>
  </w:style>
  <w:style w:type="paragraph" w:customStyle="1" w:styleId="696">
    <w:name w:val="正文文本1"/>
    <w:basedOn w:val="1"/>
    <w:qFormat/>
    <w:uiPriority w:val="0"/>
    <w:pPr>
      <w:autoSpaceDE w:val="0"/>
      <w:autoSpaceDN w:val="0"/>
      <w:jc w:val="left"/>
    </w:pPr>
    <w:rPr>
      <w:rFonts w:ascii="黑体" w:hAnsi="黑体" w:eastAsia="黑体" w:cs="Times New Roman"/>
      <w:b/>
      <w:bCs/>
      <w:kern w:val="0"/>
      <w:sz w:val="24"/>
      <w:lang w:val="zh-CN" w:eastAsia="en-US" w:bidi="zh-CN"/>
    </w:rPr>
  </w:style>
  <w:style w:type="paragraph" w:customStyle="1" w:styleId="697">
    <w:name w:val="表格正文文字"/>
    <w:basedOn w:val="1"/>
    <w:autoRedefine/>
    <w:qFormat/>
    <w:uiPriority w:val="0"/>
    <w:pPr>
      <w:autoSpaceDE w:val="0"/>
      <w:autoSpaceDN w:val="0"/>
      <w:adjustRightInd w:val="0"/>
      <w:snapToGrid w:val="0"/>
      <w:ind w:left="105" w:leftChars="50"/>
      <w:jc w:val="left"/>
    </w:pPr>
    <w:rPr>
      <w:rFonts w:ascii="微软雅黑" w:hAnsi="微软雅黑" w:eastAsia="微软雅黑" w:cs="Arial"/>
      <w:szCs w:val="21"/>
    </w:rPr>
  </w:style>
  <w:style w:type="paragraph" w:customStyle="1" w:styleId="698">
    <w:name w:val="Heading #1|1"/>
    <w:basedOn w:val="1"/>
    <w:qFormat/>
    <w:uiPriority w:val="0"/>
    <w:pPr>
      <w:spacing w:before="220"/>
      <w:jc w:val="center"/>
      <w:outlineLvl w:val="0"/>
    </w:pPr>
    <w:rPr>
      <w:rFonts w:ascii="宋体" w:hAnsi="宋体" w:eastAsia="宋体" w:cs="宋体"/>
      <w:color w:val="000000"/>
      <w:kern w:val="0"/>
      <w:sz w:val="22"/>
      <w:szCs w:val="22"/>
      <w:lang w:val="zh-TW" w:eastAsia="zh-TW" w:bidi="zh-TW"/>
    </w:rPr>
  </w:style>
  <w:style w:type="paragraph" w:customStyle="1" w:styleId="699">
    <w:name w:val="Body text|1"/>
    <w:basedOn w:val="1"/>
    <w:qFormat/>
    <w:uiPriority w:val="0"/>
    <w:pPr>
      <w:spacing w:line="420" w:lineRule="auto"/>
      <w:jc w:val="left"/>
    </w:pPr>
    <w:rPr>
      <w:rFonts w:ascii="宋体" w:hAnsi="宋体" w:eastAsia="宋体" w:cs="宋体"/>
      <w:color w:val="000000"/>
      <w:kern w:val="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wmf"/><Relationship Id="rId11" Type="http://schemas.openxmlformats.org/officeDocument/2006/relationships/oleObject" Target="embeddings/oleObject1.bin"/><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6368</Words>
  <Characters>7100</Characters>
  <Lines>380</Lines>
  <Paragraphs>107</Paragraphs>
  <TotalTime>6</TotalTime>
  <ScaleCrop>false</ScaleCrop>
  <LinksUpToDate>false</LinksUpToDate>
  <CharactersWithSpaces>7337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2023-09-11T06:45:00Z</dcterms:created>
  <dc:creator>dave Z.J</dc:creator>
  <cp:lastModifiedBy>Administrator</cp:lastModifiedBy>
  <cp:lastPrinted>2024-11-29T02:38:00Z</cp:lastPrinted>
  <dcterms:modified xsi:type="dcterms:W3CDTF">2025-05-16T07:50:12Z</dcterms:modified>
  <dc:title>招标文件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2017-09-04T16:00:00Z</vt:filetime>
  </property>
  <property fmtid="{D5CDD505-2E9C-101B-9397-08002B2CF9AE}" pid="3" name="Creator">
    <vt:lpwstr>Microsoft® Word 2013</vt:lpwstr>
  </property>
  <property fmtid="{D5CDD505-2E9C-101B-9397-08002B2CF9AE}" pid="4" name="ICV">
    <vt:lpwstr>2BAC78AD8D9D4D318FAA92260CE6E44F_13</vt:lpwstr>
  </property>
  <property fmtid="{D5CDD505-2E9C-101B-9397-08002B2CF9AE}" pid="5" name="KSOProductBuildVer">
    <vt:lpwstr>2052-12.1.0.20784</vt:lpwstr>
  </property>
  <property fmtid="{D5CDD505-2E9C-101B-9397-08002B2CF9AE}" pid="6" name="LastSaved">
    <vt:filetime>2017-09-17T16:00:00Z</vt:filetime>
  </property>
  <property fmtid="{D5CDD505-2E9C-101B-9397-08002B2CF9AE}" pid="7" name="KSOTemplateDocerSaveRecord">
    <vt:lpwstr>eyJoZGlkIjoiYTIyNjAwMTA4ZjI3ZTIwMjY5ZDUwMjQ2Y2FiOTUwYWUifQ==</vt:lpwstr>
  </property>
</Properties>
</file>