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CD037">
      <w:pPr>
        <w:rPr>
          <w:rFonts w:hint="eastAsia" w:ascii="宋体" w:hAnsi="宋体" w:eastAsia="宋体" w:cs="宋体"/>
          <w:b/>
          <w:bCs/>
          <w:lang w:val="en-US" w:eastAsia="zh-CN"/>
        </w:rPr>
      </w:pPr>
      <w:r>
        <w:rPr>
          <w:rFonts w:hint="eastAsia" w:ascii="宋体" w:hAnsi="宋体" w:eastAsia="宋体" w:cs="宋体"/>
          <w:b/>
          <w:bCs/>
          <w:lang w:val="en-US" w:eastAsia="zh-CN"/>
        </w:rPr>
        <w:t>采购包1考核表：</w:t>
      </w:r>
    </w:p>
    <w:p w14:paraId="13A76327">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color w:val="auto"/>
          <w:spacing w:val="5"/>
          <w:kern w:val="2"/>
          <w:sz w:val="24"/>
          <w:szCs w:val="24"/>
          <w:lang w:val="en-US" w:eastAsia="zh-CN" w:bidi="ar-SA"/>
        </w:rPr>
      </w:pPr>
      <w:r>
        <w:rPr>
          <w:rFonts w:hint="eastAsia" w:ascii="宋体" w:hAnsi="宋体" w:eastAsia="宋体" w:cs="宋体"/>
          <w:color w:val="auto"/>
          <w:spacing w:val="5"/>
          <w:kern w:val="2"/>
          <w:sz w:val="24"/>
          <w:szCs w:val="24"/>
          <w:lang w:val="en-US" w:eastAsia="zh-CN" w:bidi="ar-SA"/>
        </w:rPr>
        <w:t>宁化县农村生活污水处理设施及配套管网</w:t>
      </w:r>
    </w:p>
    <w:p w14:paraId="3FAF915A">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color w:val="auto"/>
          <w:spacing w:val="5"/>
          <w:kern w:val="2"/>
          <w:sz w:val="24"/>
          <w:szCs w:val="24"/>
          <w:lang w:val="en-US" w:eastAsia="zh-CN" w:bidi="ar-SA"/>
        </w:rPr>
      </w:pPr>
      <w:r>
        <w:rPr>
          <w:rFonts w:hint="eastAsia" w:ascii="宋体" w:hAnsi="宋体" w:eastAsia="宋体" w:cs="宋体"/>
          <w:color w:val="auto"/>
          <w:spacing w:val="5"/>
          <w:kern w:val="2"/>
          <w:sz w:val="24"/>
          <w:szCs w:val="24"/>
          <w:lang w:val="en-US" w:eastAsia="zh-CN" w:bidi="ar-SA"/>
        </w:rPr>
        <w:t>运维管理考核评分表</w:t>
      </w:r>
    </w:p>
    <w:p w14:paraId="4A3E275D">
      <w:pPr>
        <w:keepNext w:val="0"/>
        <w:keepLines w:val="0"/>
        <w:widowControl w:val="0"/>
        <w:suppressLineNumbers w:val="0"/>
        <w:spacing w:before="0" w:beforeAutospacing="0" w:after="0" w:afterAutospacing="0"/>
        <w:ind w:left="0" w:right="0"/>
        <w:jc w:val="both"/>
        <w:rPr>
          <w:rFonts w:hint="eastAsia" w:ascii="宋体" w:hAnsi="宋体" w:eastAsia="宋体" w:cs="宋体"/>
          <w:spacing w:val="5"/>
          <w:sz w:val="24"/>
          <w:szCs w:val="24"/>
        </w:rPr>
      </w:pPr>
      <w:r>
        <w:rPr>
          <w:rFonts w:hint="eastAsia" w:ascii="宋体" w:hAnsi="宋体" w:eastAsia="宋体" w:cs="宋体"/>
          <w:b/>
          <w:bCs/>
          <w:kern w:val="2"/>
          <w:sz w:val="24"/>
          <w:szCs w:val="24"/>
          <w:lang w:val="en-US" w:eastAsia="zh-CN" w:bidi="ar"/>
        </w:rPr>
        <w:t xml:space="preserve">                 </w:t>
      </w:r>
      <w:r>
        <w:rPr>
          <w:rFonts w:hint="eastAsia" w:ascii="宋体" w:hAnsi="宋体" w:eastAsia="宋体" w:cs="宋体"/>
          <w:b/>
          <w:bCs/>
          <w:kern w:val="2"/>
          <w:sz w:val="24"/>
          <w:szCs w:val="24"/>
          <w:u w:val="single"/>
          <w:lang w:val="en-US" w:eastAsia="zh-CN" w:bidi="ar"/>
        </w:rPr>
        <w:t xml:space="preserve">           </w:t>
      </w:r>
      <w:r>
        <w:rPr>
          <w:rFonts w:hint="eastAsia" w:ascii="宋体" w:hAnsi="宋体" w:eastAsia="宋体" w:cs="宋体"/>
          <w:b/>
          <w:bCs/>
          <w:kern w:val="2"/>
          <w:sz w:val="24"/>
          <w:szCs w:val="24"/>
          <w:lang w:val="en-US" w:eastAsia="zh-CN" w:bidi="ar"/>
        </w:rPr>
        <w:t xml:space="preserve">  乡 镇</w:t>
      </w:r>
      <w:r>
        <w:rPr>
          <w:rFonts w:hint="eastAsia" w:ascii="宋体" w:hAnsi="宋体" w:eastAsia="宋体" w:cs="宋体"/>
          <w:b/>
          <w:bCs/>
          <w:kern w:val="2"/>
          <w:sz w:val="24"/>
          <w:szCs w:val="24"/>
          <w:u w:val="single"/>
          <w:lang w:val="en-US" w:eastAsia="zh-CN" w:bidi="ar"/>
        </w:rPr>
        <w:t xml:space="preserve">           </w:t>
      </w:r>
      <w:r>
        <w:rPr>
          <w:rFonts w:hint="eastAsia" w:ascii="宋体" w:hAnsi="宋体" w:eastAsia="宋体" w:cs="宋体"/>
          <w:b/>
          <w:bCs/>
          <w:kern w:val="2"/>
          <w:sz w:val="24"/>
          <w:szCs w:val="24"/>
          <w:lang w:val="en-US" w:eastAsia="zh-CN" w:bidi="ar"/>
        </w:rPr>
        <w:t>生活污水处理设施</w:t>
      </w:r>
    </w:p>
    <w:p w14:paraId="038C5EF4">
      <w:pPr>
        <w:keepNext w:val="0"/>
        <w:keepLines w:val="0"/>
        <w:pageBreakBefore w:val="0"/>
        <w:widowControl/>
        <w:kinsoku/>
        <w:wordWrap/>
        <w:overflowPunct/>
        <w:topLinePunct w:val="0"/>
        <w:autoSpaceDE/>
        <w:autoSpaceDN/>
        <w:bidi w:val="0"/>
        <w:adjustRightInd/>
        <w:snapToGrid/>
        <w:spacing w:after="165"/>
        <w:ind w:right="181"/>
        <w:jc w:val="both"/>
        <w:textAlignment w:val="auto"/>
        <w:rPr>
          <w:rFonts w:hint="eastAsia" w:ascii="宋体" w:hAnsi="宋体" w:eastAsia="宋体" w:cs="宋体"/>
          <w:sz w:val="24"/>
          <w:szCs w:val="24"/>
          <w:lang w:val="en-US" w:eastAsia="zh-CN"/>
        </w:rPr>
      </w:pPr>
    </w:p>
    <w:tbl>
      <w:tblPr>
        <w:tblStyle w:val="4"/>
        <w:tblW w:w="4998"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29"/>
        <w:gridCol w:w="580"/>
        <w:gridCol w:w="1374"/>
        <w:gridCol w:w="5227"/>
        <w:gridCol w:w="643"/>
      </w:tblGrid>
      <w:tr w14:paraId="414512E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372" w:type="pct"/>
            <w:tcBorders>
              <w:top w:val="single" w:color="auto" w:sz="6" w:space="0"/>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06EF0E0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b/>
                <w:bCs w:val="0"/>
                <w:kern w:val="0"/>
                <w:sz w:val="24"/>
                <w:szCs w:val="24"/>
                <w:lang w:val="en-US" w:eastAsia="zh-CN" w:bidi="ar"/>
              </w:rPr>
              <w:t>项目</w:t>
            </w:r>
          </w:p>
        </w:tc>
        <w:tc>
          <w:tcPr>
            <w:tcW w:w="343" w:type="pct"/>
            <w:tcBorders>
              <w:top w:val="single" w:color="auto" w:sz="6" w:space="0"/>
              <w:left w:val="nil"/>
              <w:bottom w:val="single" w:color="auto" w:sz="6" w:space="0"/>
              <w:right w:val="single" w:color="auto" w:sz="6" w:space="0"/>
            </w:tcBorders>
            <w:noWrap w:val="0"/>
            <w:tcMar>
              <w:top w:w="0" w:type="dxa"/>
              <w:left w:w="75" w:type="dxa"/>
              <w:bottom w:w="0" w:type="dxa"/>
              <w:right w:w="75" w:type="dxa"/>
            </w:tcMar>
            <w:vAlign w:val="center"/>
          </w:tcPr>
          <w:p w14:paraId="02A2171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项目</w:t>
            </w:r>
          </w:p>
          <w:p w14:paraId="35AC93F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b/>
                <w:bCs w:val="0"/>
                <w:kern w:val="0"/>
                <w:sz w:val="24"/>
                <w:szCs w:val="24"/>
                <w:lang w:val="en-US" w:eastAsia="zh-CN" w:bidi="ar"/>
              </w:rPr>
              <w:t>总分</w:t>
            </w:r>
          </w:p>
        </w:tc>
        <w:tc>
          <w:tcPr>
            <w:tcW w:w="813" w:type="pct"/>
            <w:tcBorders>
              <w:top w:val="single" w:color="auto" w:sz="6" w:space="0"/>
              <w:left w:val="nil"/>
              <w:bottom w:val="single" w:color="auto" w:sz="6" w:space="0"/>
              <w:right w:val="single" w:color="auto" w:sz="6" w:space="0"/>
            </w:tcBorders>
            <w:noWrap w:val="0"/>
            <w:tcMar>
              <w:top w:w="0" w:type="dxa"/>
              <w:left w:w="75" w:type="dxa"/>
              <w:bottom w:w="0" w:type="dxa"/>
              <w:right w:w="75" w:type="dxa"/>
            </w:tcMar>
            <w:vAlign w:val="center"/>
          </w:tcPr>
          <w:p w14:paraId="5BB2E22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b/>
                <w:bCs w:val="0"/>
                <w:kern w:val="0"/>
                <w:sz w:val="24"/>
                <w:szCs w:val="24"/>
                <w:lang w:val="en-US" w:eastAsia="zh-CN" w:bidi="ar"/>
              </w:rPr>
              <w:t>考核内容</w:t>
            </w:r>
          </w:p>
        </w:tc>
        <w:tc>
          <w:tcPr>
            <w:tcW w:w="3091" w:type="pct"/>
            <w:tcBorders>
              <w:top w:val="single" w:color="auto" w:sz="6" w:space="0"/>
              <w:left w:val="nil"/>
              <w:bottom w:val="single" w:color="auto" w:sz="6" w:space="0"/>
              <w:right w:val="single" w:color="auto" w:sz="6" w:space="0"/>
            </w:tcBorders>
            <w:noWrap w:val="0"/>
            <w:tcMar>
              <w:top w:w="0" w:type="dxa"/>
              <w:left w:w="75" w:type="dxa"/>
              <w:bottom w:w="0" w:type="dxa"/>
              <w:right w:w="75" w:type="dxa"/>
            </w:tcMar>
            <w:vAlign w:val="center"/>
          </w:tcPr>
          <w:p w14:paraId="5B30AB5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b/>
                <w:bCs w:val="0"/>
                <w:kern w:val="0"/>
                <w:sz w:val="24"/>
                <w:szCs w:val="24"/>
                <w:lang w:val="en-US" w:eastAsia="zh-CN" w:bidi="ar"/>
              </w:rPr>
              <w:t>评分标准</w:t>
            </w:r>
          </w:p>
        </w:tc>
        <w:tc>
          <w:tcPr>
            <w:tcW w:w="379" w:type="pct"/>
            <w:tcBorders>
              <w:top w:val="single" w:color="auto" w:sz="6" w:space="0"/>
              <w:left w:val="nil"/>
              <w:bottom w:val="single" w:color="auto" w:sz="6" w:space="0"/>
              <w:right w:val="single" w:color="auto" w:sz="6" w:space="0"/>
            </w:tcBorders>
            <w:noWrap w:val="0"/>
            <w:tcMar>
              <w:top w:w="0" w:type="dxa"/>
              <w:left w:w="75" w:type="dxa"/>
              <w:bottom w:w="0" w:type="dxa"/>
              <w:right w:w="75" w:type="dxa"/>
            </w:tcMar>
            <w:vAlign w:val="center"/>
          </w:tcPr>
          <w:p w14:paraId="7754988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考核</w:t>
            </w:r>
          </w:p>
          <w:p w14:paraId="4EA73F0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得分</w:t>
            </w:r>
          </w:p>
        </w:tc>
      </w:tr>
      <w:tr w14:paraId="5A822F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825" w:hRule="atLeast"/>
          <w:jc w:val="center"/>
        </w:trPr>
        <w:tc>
          <w:tcPr>
            <w:tcW w:w="372" w:type="pct"/>
            <w:vMerge w:val="restart"/>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01022364">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组织机构</w:t>
            </w:r>
          </w:p>
          <w:p w14:paraId="7ED415FE">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保障</w:t>
            </w:r>
          </w:p>
        </w:tc>
        <w:tc>
          <w:tcPr>
            <w:tcW w:w="343" w:type="pct"/>
            <w:vMerge w:val="restart"/>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43AB4BB3">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8</w:t>
            </w: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87DFA35">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建立健全各项管理机制</w:t>
            </w:r>
          </w:p>
          <w:p w14:paraId="4E022D58">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6658445B">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建立完善的组织管理机构，有办公场所，制定相应的管理培训、岗位职责、操作规程、日常巡查、故障处理、档案收集等相关制度；定期开展安全培训和有限空间作业培训，少一项扣1分。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F5A6C60">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1D65E10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0"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5A73C3CB">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497DA958">
            <w:pPr>
              <w:rPr>
                <w:rFonts w:hint="eastAsia" w:ascii="宋体" w:hAnsi="宋体" w:eastAsia="宋体" w:cs="宋体"/>
                <w:sz w:val="24"/>
                <w:szCs w:val="24"/>
              </w:rPr>
            </w:pP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081F75D1">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设施、设备</w:t>
            </w:r>
          </w:p>
          <w:p w14:paraId="7D1A542E">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配置情况</w:t>
            </w:r>
          </w:p>
          <w:p w14:paraId="0721C77C">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3251615A">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配备（含租用）专用车辆和设施设备；有合格的水质检测化验室或委托第三方检测；信息化管理平台运行正常。少一项，扣1分。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392270BC">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277A967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0"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21415C9C">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5015E486">
            <w:pPr>
              <w:rPr>
                <w:rFonts w:hint="eastAsia" w:ascii="宋体" w:hAnsi="宋体" w:eastAsia="宋体" w:cs="宋体"/>
                <w:sz w:val="24"/>
                <w:szCs w:val="24"/>
              </w:rPr>
            </w:pP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7B87E940">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人员配置情况</w:t>
            </w:r>
          </w:p>
          <w:p w14:paraId="28A17CD0">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5AD2FE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人员数量按职责要求配备到位且工作期间统一着装,做到持证上岗。发现无证上岗或未统一着装，每项扣0.5分。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49D36940">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781606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45" w:hRule="atLeast"/>
          <w:jc w:val="center"/>
        </w:trPr>
        <w:tc>
          <w:tcPr>
            <w:tcW w:w="372" w:type="pct"/>
            <w:vMerge w:val="restart"/>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404F41CA">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管</w:t>
            </w:r>
          </w:p>
          <w:p w14:paraId="5C8CCA6C">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网</w:t>
            </w:r>
          </w:p>
          <w:p w14:paraId="3478A528">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维</w:t>
            </w:r>
          </w:p>
          <w:p w14:paraId="3851391A">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护</w:t>
            </w:r>
          </w:p>
        </w:tc>
        <w:tc>
          <w:tcPr>
            <w:tcW w:w="343" w:type="pct"/>
            <w:vMerge w:val="restart"/>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40A73440">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19</w:t>
            </w: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46BBD97E">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主支管道</w:t>
            </w:r>
          </w:p>
          <w:p w14:paraId="5597F83B">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（7分）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4F3F5B23">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发现管道破损、堵塞、漏水等问题的，每处扣0.5分。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41B6660">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375A656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00"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0450E455">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5DCB705F">
            <w:pPr>
              <w:rPr>
                <w:rFonts w:hint="eastAsia" w:ascii="宋体" w:hAnsi="宋体" w:eastAsia="宋体" w:cs="宋体"/>
                <w:sz w:val="24"/>
                <w:szCs w:val="24"/>
              </w:rPr>
            </w:pP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B9BA802">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检查井</w:t>
            </w:r>
          </w:p>
          <w:p w14:paraId="22CE4780">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（7分）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51CBB95">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发现井盖破损、无法开启、井内有淤积、破损、漂浮物等问题的，每处扣0.5分。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D49B32B">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000E948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90"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22273FE6">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41C93BA1">
            <w:pPr>
              <w:rPr>
                <w:rFonts w:hint="eastAsia" w:ascii="宋体" w:hAnsi="宋体" w:eastAsia="宋体" w:cs="宋体"/>
                <w:sz w:val="24"/>
                <w:szCs w:val="24"/>
              </w:rPr>
            </w:pP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69144EB3">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管网巡查频次</w:t>
            </w:r>
          </w:p>
          <w:p w14:paraId="78609985">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F86F99F">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对管网、检查井的巡查每季度至少1次，重点管段要加大巡检频次；提供管网巡查路线图或相关照片等佐证资料，少一个村扣0.5分。（年初报巡检计划，每季度对计划内村庄进行核查）。</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8C53C16">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68A357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340" w:hRule="atLeast"/>
          <w:jc w:val="center"/>
        </w:trPr>
        <w:tc>
          <w:tcPr>
            <w:tcW w:w="372" w:type="pct"/>
            <w:vMerge w:val="restart"/>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264853EF">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站</w:t>
            </w:r>
          </w:p>
          <w:p w14:paraId="6E59DB8F">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区</w:t>
            </w:r>
          </w:p>
          <w:p w14:paraId="1755715B">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运</w:t>
            </w:r>
          </w:p>
          <w:p w14:paraId="547B9910">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营</w:t>
            </w:r>
          </w:p>
          <w:p w14:paraId="0BBC452D">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管</w:t>
            </w:r>
          </w:p>
          <w:p w14:paraId="2F01B5A2">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理</w:t>
            </w:r>
          </w:p>
        </w:tc>
        <w:tc>
          <w:tcPr>
            <w:tcW w:w="343" w:type="pct"/>
            <w:vMerge w:val="restart"/>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0E5704BB">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58</w:t>
            </w: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0700DA0">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定期清理设施进水井、格栅池、配水槽、排放口。（6分）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0BC5B399">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格栅池或进水井淤积物较多每处扣1分；格栅池雍水或污水外溢每处扣1分；出水井或排放口清理不及时每处扣1分；配水槽水位过高或清理不及时每处扣1分。扣完为止。</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5383BD8">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778E893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40"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3D67E5F1">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2C961A25">
            <w:pPr>
              <w:rPr>
                <w:rFonts w:hint="eastAsia" w:ascii="宋体" w:hAnsi="宋体" w:eastAsia="宋体" w:cs="宋体"/>
                <w:sz w:val="24"/>
                <w:szCs w:val="24"/>
              </w:rPr>
            </w:pPr>
          </w:p>
        </w:tc>
        <w:tc>
          <w:tcPr>
            <w:tcW w:w="813" w:type="pct"/>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42F39B7F">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场站运维巡查频次（6分）</w:t>
            </w:r>
          </w:p>
        </w:tc>
        <w:tc>
          <w:tcPr>
            <w:tcW w:w="3091" w:type="pct"/>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5851561A">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对每个设施每月巡查维护达到规定频次，每少一次扣0.5分。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6E351B21">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5D8C703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0" w:hRule="atLeast"/>
          <w:jc w:val="center"/>
        </w:trPr>
        <w:tc>
          <w:tcPr>
            <w:tcW w:w="372" w:type="pct"/>
            <w:vMerge w:val="continue"/>
            <w:tcBorders>
              <w:top w:val="nil"/>
              <w:left w:val="single" w:color="auto" w:sz="6" w:space="0"/>
              <w:bottom w:val="single" w:color="auto" w:sz="4" w:space="0"/>
              <w:right w:val="single" w:color="auto" w:sz="6" w:space="0"/>
            </w:tcBorders>
            <w:noWrap w:val="0"/>
            <w:tcMar>
              <w:top w:w="0" w:type="dxa"/>
              <w:left w:w="75" w:type="dxa"/>
              <w:bottom w:w="0" w:type="dxa"/>
              <w:right w:w="75" w:type="dxa"/>
            </w:tcMar>
            <w:vAlign w:val="center"/>
          </w:tcPr>
          <w:p w14:paraId="66600C4E">
            <w:pPr>
              <w:rPr>
                <w:rFonts w:hint="eastAsia" w:ascii="宋体" w:hAnsi="宋体" w:eastAsia="宋体" w:cs="宋体"/>
                <w:sz w:val="24"/>
                <w:szCs w:val="24"/>
              </w:rPr>
            </w:pPr>
          </w:p>
        </w:tc>
        <w:tc>
          <w:tcPr>
            <w:tcW w:w="343" w:type="pct"/>
            <w:vMerge w:val="continue"/>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7B7B1258">
            <w:pPr>
              <w:rPr>
                <w:rFonts w:hint="eastAsia" w:ascii="宋体" w:hAnsi="宋体" w:eastAsia="宋体" w:cs="宋体"/>
                <w:sz w:val="24"/>
                <w:szCs w:val="24"/>
              </w:rPr>
            </w:pPr>
          </w:p>
        </w:tc>
        <w:tc>
          <w:tcPr>
            <w:tcW w:w="813"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7410845A">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定期检查湿地系统或微动力系统，并确保湿地系统或微动力系统正常运行。（7分）</w:t>
            </w:r>
          </w:p>
        </w:tc>
        <w:tc>
          <w:tcPr>
            <w:tcW w:w="3091"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289879B5">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湿地系统管网淤堵或人工湿地积水，每个设施扣2分；人工湿地或设备运行不正常或未运行的，每个设施扣3分；电气线路或设备存在安全隐患每处扣1分。扣完为止。</w:t>
            </w:r>
          </w:p>
        </w:tc>
        <w:tc>
          <w:tcPr>
            <w:tcW w:w="379"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2938B043">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5F81B7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372" w:type="pct"/>
            <w:vMerge w:val="continue"/>
            <w:tcBorders>
              <w:top w:val="single" w:color="auto" w:sz="4" w:space="0"/>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1C2D749E">
            <w:pPr>
              <w:rPr>
                <w:rFonts w:hint="eastAsia" w:ascii="宋体" w:hAnsi="宋体" w:eastAsia="宋体" w:cs="宋体"/>
                <w:sz w:val="24"/>
                <w:szCs w:val="24"/>
              </w:rPr>
            </w:pPr>
          </w:p>
        </w:tc>
        <w:tc>
          <w:tcPr>
            <w:tcW w:w="343" w:type="pct"/>
            <w:vMerge w:val="continue"/>
            <w:tcBorders>
              <w:top w:val="single" w:color="auto" w:sz="4" w:space="0"/>
              <w:left w:val="nil"/>
              <w:bottom w:val="outset" w:color="auto" w:sz="6" w:space="0"/>
              <w:right w:val="single" w:color="auto" w:sz="6" w:space="0"/>
            </w:tcBorders>
            <w:noWrap w:val="0"/>
            <w:tcMar>
              <w:top w:w="0" w:type="dxa"/>
              <w:left w:w="75" w:type="dxa"/>
              <w:bottom w:w="0" w:type="dxa"/>
              <w:right w:w="75" w:type="dxa"/>
            </w:tcMar>
            <w:vAlign w:val="center"/>
          </w:tcPr>
          <w:p w14:paraId="0A8491D9">
            <w:pPr>
              <w:rPr>
                <w:rFonts w:hint="eastAsia" w:ascii="宋体" w:hAnsi="宋体" w:eastAsia="宋体" w:cs="宋体"/>
                <w:sz w:val="24"/>
                <w:szCs w:val="24"/>
              </w:rPr>
            </w:pPr>
          </w:p>
        </w:tc>
        <w:tc>
          <w:tcPr>
            <w:tcW w:w="813"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1C7CD620">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进水水质</w:t>
            </w:r>
          </w:p>
          <w:p w14:paraId="73BA8685">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（5分）</w:t>
            </w:r>
          </w:p>
        </w:tc>
        <w:tc>
          <w:tcPr>
            <w:tcW w:w="3091"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00100B35">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进水水质COD浓度≥100，得满分；90≤进水水质COD浓度＜100，一个扣0.1分；70≤进水水质COD浓度＜80，一个扣0.15分；进水水质COD浓度＜60，将开展去除率计算：去除率＜40%的，一个站点扣0.2分，去除率≥40%的，一个站点扣0.15分，扣完为止。（每季度优先按照第三方检测数据为准）；</w:t>
            </w:r>
          </w:p>
        </w:tc>
        <w:tc>
          <w:tcPr>
            <w:tcW w:w="379"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2E5A8857">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p w14:paraId="461E7B1F">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56BC0AD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00"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69844438">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106B2861">
            <w:pPr>
              <w:rPr>
                <w:rFonts w:hint="eastAsia" w:ascii="宋体" w:hAnsi="宋体" w:eastAsia="宋体" w:cs="宋体"/>
                <w:sz w:val="24"/>
                <w:szCs w:val="24"/>
              </w:rPr>
            </w:pPr>
          </w:p>
        </w:tc>
        <w:tc>
          <w:tcPr>
            <w:tcW w:w="813"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7783C747">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出水水质</w:t>
            </w:r>
          </w:p>
          <w:p w14:paraId="41F4978D">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（30分）</w:t>
            </w:r>
          </w:p>
        </w:tc>
        <w:tc>
          <w:tcPr>
            <w:tcW w:w="3091"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639FA0BA">
            <w:pPr>
              <w:keepNext w:val="0"/>
              <w:keepLines w:val="0"/>
              <w:widowControl/>
              <w:suppressLineNumbers w:val="0"/>
              <w:spacing w:before="0" w:beforeAutospacing="0" w:after="0" w:afterAutospacing="0" w:line="28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出水水质达到《福建省农村生活污水处理设施水污染物排放标准》（DB35/1869-2019），按要求频次开展水质自行监测，出水水质均达标，得30分，每有一个指标不达标扣1分，出水水质倒挂的每个指标扣1分，自行监测每少一座次扣1分，扣完为止。（水质以生态环境部门监督性监测、第三方检测数据为准）</w:t>
            </w:r>
          </w:p>
        </w:tc>
        <w:tc>
          <w:tcPr>
            <w:tcW w:w="379" w:type="pct"/>
            <w:tcBorders>
              <w:top w:val="single" w:color="auto" w:sz="4" w:space="0"/>
              <w:left w:val="nil"/>
              <w:bottom w:val="single" w:color="auto" w:sz="4" w:space="0"/>
              <w:right w:val="single" w:color="auto" w:sz="4" w:space="0"/>
            </w:tcBorders>
            <w:noWrap w:val="0"/>
            <w:tcMar>
              <w:top w:w="0" w:type="dxa"/>
              <w:left w:w="75" w:type="dxa"/>
              <w:bottom w:w="0" w:type="dxa"/>
              <w:right w:w="75" w:type="dxa"/>
            </w:tcMar>
            <w:vAlign w:val="center"/>
          </w:tcPr>
          <w:p w14:paraId="0783008B">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39B0A29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00"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0D68E949">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542444BA">
            <w:pPr>
              <w:rPr>
                <w:rFonts w:hint="eastAsia" w:ascii="宋体" w:hAnsi="宋体" w:eastAsia="宋体" w:cs="宋体"/>
                <w:sz w:val="24"/>
                <w:szCs w:val="24"/>
              </w:rPr>
            </w:pPr>
          </w:p>
        </w:tc>
        <w:tc>
          <w:tcPr>
            <w:tcW w:w="813" w:type="pct"/>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43E5F5B0">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站内垃圾及时清理，污泥规范化处置</w:t>
            </w:r>
          </w:p>
          <w:p w14:paraId="15268985">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p>
        </w:tc>
        <w:tc>
          <w:tcPr>
            <w:tcW w:w="3091" w:type="pct"/>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3DF2566F">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场站垃圾或收割的水生植物未运走乱堆存的，每个场站扣1分；污泥（若有）转运处置不规范的，每次扣1分。</w:t>
            </w:r>
          </w:p>
        </w:tc>
        <w:tc>
          <w:tcPr>
            <w:tcW w:w="379" w:type="pct"/>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792FAFC3">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4C2F75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095" w:hRule="atLeast"/>
          <w:jc w:val="center"/>
        </w:trPr>
        <w:tc>
          <w:tcPr>
            <w:tcW w:w="372" w:type="pct"/>
            <w:vMerge w:val="continue"/>
            <w:tcBorders>
              <w:top w:val="nil"/>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75410323">
            <w:pPr>
              <w:rPr>
                <w:rFonts w:hint="eastAsia" w:ascii="宋体" w:hAnsi="宋体" w:eastAsia="宋体" w:cs="宋体"/>
                <w:sz w:val="24"/>
                <w:szCs w:val="24"/>
              </w:rPr>
            </w:pPr>
          </w:p>
        </w:tc>
        <w:tc>
          <w:tcPr>
            <w:tcW w:w="343" w:type="pct"/>
            <w:vMerge w:val="continue"/>
            <w:tcBorders>
              <w:top w:val="nil"/>
              <w:left w:val="nil"/>
              <w:bottom w:val="outset" w:color="auto" w:sz="6" w:space="0"/>
              <w:right w:val="single" w:color="auto" w:sz="6" w:space="0"/>
            </w:tcBorders>
            <w:noWrap w:val="0"/>
            <w:tcMar>
              <w:top w:w="0" w:type="dxa"/>
              <w:left w:w="75" w:type="dxa"/>
              <w:bottom w:w="0" w:type="dxa"/>
              <w:right w:w="75" w:type="dxa"/>
            </w:tcMar>
            <w:vAlign w:val="center"/>
          </w:tcPr>
          <w:p w14:paraId="02065CD8">
            <w:pPr>
              <w:rPr>
                <w:rFonts w:hint="eastAsia" w:ascii="宋体" w:hAnsi="宋体" w:eastAsia="宋体" w:cs="宋体"/>
                <w:sz w:val="24"/>
                <w:szCs w:val="24"/>
              </w:rPr>
            </w:pPr>
          </w:p>
        </w:tc>
        <w:tc>
          <w:tcPr>
            <w:tcW w:w="813"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06377D64">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场站标识牌</w:t>
            </w:r>
          </w:p>
          <w:p w14:paraId="1183D48C">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（2分）</w:t>
            </w:r>
          </w:p>
        </w:tc>
        <w:tc>
          <w:tcPr>
            <w:tcW w:w="3091"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6932DDF6">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场站无标识、简介牌，发现1处扣0.5分。标识牌、简介牌破损或破旧未更换的，每处扣0.2分。场站无标注运维人员联系电话的每处扣0.1分</w:t>
            </w:r>
          </w:p>
        </w:tc>
        <w:tc>
          <w:tcPr>
            <w:tcW w:w="379"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0A0DAF7E">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613F94D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115" w:hRule="atLeast"/>
          <w:jc w:val="center"/>
        </w:trPr>
        <w:tc>
          <w:tcPr>
            <w:tcW w:w="372" w:type="pct"/>
            <w:tcBorders>
              <w:top w:val="outset" w:color="auto" w:sz="6" w:space="0"/>
              <w:left w:val="single" w:color="auto" w:sz="6" w:space="0"/>
              <w:bottom w:val="outset" w:color="auto" w:sz="6" w:space="0"/>
              <w:right w:val="single" w:color="auto" w:sz="6" w:space="0"/>
            </w:tcBorders>
            <w:noWrap w:val="0"/>
            <w:tcMar>
              <w:top w:w="0" w:type="dxa"/>
              <w:left w:w="75" w:type="dxa"/>
              <w:bottom w:w="0" w:type="dxa"/>
              <w:right w:w="75" w:type="dxa"/>
            </w:tcMar>
            <w:vAlign w:val="center"/>
          </w:tcPr>
          <w:p w14:paraId="18A87332">
            <w:pPr>
              <w:keepNext w:val="0"/>
              <w:keepLines w:val="0"/>
              <w:widowControl/>
              <w:suppressLineNumbers w:val="0"/>
              <w:spacing w:before="0" w:beforeAutospacing="0" w:after="0" w:afterAutospacing="0" w:line="36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流量计运行管理</w:t>
            </w:r>
          </w:p>
        </w:tc>
        <w:tc>
          <w:tcPr>
            <w:tcW w:w="343" w:type="pct"/>
            <w:tcBorders>
              <w:top w:val="outset" w:color="auto" w:sz="6" w:space="0"/>
              <w:left w:val="nil"/>
              <w:bottom w:val="outset" w:color="auto" w:sz="6" w:space="0"/>
              <w:right w:val="single" w:color="auto" w:sz="6" w:space="0"/>
            </w:tcBorders>
            <w:noWrap w:val="0"/>
            <w:tcMar>
              <w:top w:w="0" w:type="dxa"/>
              <w:left w:w="75" w:type="dxa"/>
              <w:bottom w:w="0" w:type="dxa"/>
              <w:right w:w="75" w:type="dxa"/>
            </w:tcMar>
            <w:vAlign w:val="center"/>
          </w:tcPr>
          <w:p w14:paraId="4FC50E17">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p>
        </w:tc>
        <w:tc>
          <w:tcPr>
            <w:tcW w:w="813" w:type="pct"/>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1B9CA416">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流量计稳定在线运行</w:t>
            </w:r>
          </w:p>
          <w:p w14:paraId="1EE467A8">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（2分）</w:t>
            </w:r>
          </w:p>
        </w:tc>
        <w:tc>
          <w:tcPr>
            <w:tcW w:w="3091" w:type="pct"/>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731C665D">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流量计运行正常，平台查询无异常，考核期间发现流量计异常场站的扣1分。监管平台故障及免责情况除外。</w:t>
            </w:r>
          </w:p>
        </w:tc>
        <w:tc>
          <w:tcPr>
            <w:tcW w:w="379" w:type="pct"/>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2EA7585B">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5DDA65A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00" w:hRule="atLeast"/>
          <w:jc w:val="center"/>
        </w:trPr>
        <w:tc>
          <w:tcPr>
            <w:tcW w:w="372" w:type="pct"/>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6024AA55">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档案</w:t>
            </w:r>
          </w:p>
          <w:p w14:paraId="5BACADCF">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资料</w:t>
            </w:r>
          </w:p>
        </w:tc>
        <w:tc>
          <w:tcPr>
            <w:tcW w:w="34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94DB66E">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w:t>
            </w: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73B68258">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资料台账管理</w:t>
            </w:r>
          </w:p>
          <w:p w14:paraId="1A6F5FBC">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440EB2F">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各类台账资料完整（包括各类巡查报告、季度水质监测报告、季度运行维护报告、队伍人员资料、设备清单等），缺一项扣1分。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7A1796B1">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604F87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00" w:hRule="atLeast"/>
          <w:jc w:val="center"/>
        </w:trPr>
        <w:tc>
          <w:tcPr>
            <w:tcW w:w="372" w:type="pct"/>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15ED1D25">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问题</w:t>
            </w:r>
          </w:p>
          <w:p w14:paraId="65218B51">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整改</w:t>
            </w:r>
          </w:p>
        </w:tc>
        <w:tc>
          <w:tcPr>
            <w:tcW w:w="343" w:type="pct"/>
            <w:tcBorders>
              <w:top w:val="single" w:color="auto" w:sz="6" w:space="0"/>
              <w:left w:val="nil"/>
              <w:bottom w:val="single" w:color="auto" w:sz="4" w:space="0"/>
              <w:right w:val="single" w:color="auto" w:sz="6" w:space="0"/>
            </w:tcBorders>
            <w:noWrap w:val="0"/>
            <w:tcMar>
              <w:top w:w="0" w:type="dxa"/>
              <w:left w:w="75" w:type="dxa"/>
              <w:bottom w:w="0" w:type="dxa"/>
              <w:right w:w="75" w:type="dxa"/>
            </w:tcMar>
            <w:vAlign w:val="center"/>
          </w:tcPr>
          <w:p w14:paraId="305BB81C">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w:t>
            </w:r>
          </w:p>
        </w:tc>
        <w:tc>
          <w:tcPr>
            <w:tcW w:w="813"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1B64072">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通报问题</w:t>
            </w:r>
          </w:p>
          <w:p w14:paraId="28CE7C04">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整改情况</w:t>
            </w:r>
          </w:p>
          <w:p w14:paraId="6EFE8903">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（5分）</w:t>
            </w:r>
          </w:p>
        </w:tc>
        <w:tc>
          <w:tcPr>
            <w:tcW w:w="3091"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29C9178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对省市县通报问题或上季度考评通报的问题在期限内完成整改并书面回复主管部门，未及时整改或整改不到位的每处设施每次扣1分，扣完为止。未整改的不得分。</w:t>
            </w:r>
          </w:p>
        </w:tc>
        <w:tc>
          <w:tcPr>
            <w:tcW w:w="379" w:type="pct"/>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DB31368">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432CDC7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85" w:hRule="atLeast"/>
          <w:jc w:val="center"/>
        </w:trPr>
        <w:tc>
          <w:tcPr>
            <w:tcW w:w="372" w:type="pct"/>
            <w:tcBorders>
              <w:top w:val="nil"/>
              <w:left w:val="single" w:color="auto" w:sz="6" w:space="0"/>
              <w:bottom w:val="single" w:color="auto" w:sz="4" w:space="0"/>
              <w:right w:val="single" w:color="auto" w:sz="6" w:space="0"/>
            </w:tcBorders>
            <w:noWrap w:val="0"/>
            <w:tcMar>
              <w:top w:w="0" w:type="dxa"/>
              <w:left w:w="75" w:type="dxa"/>
              <w:bottom w:w="0" w:type="dxa"/>
              <w:right w:w="75" w:type="dxa"/>
            </w:tcMar>
            <w:vAlign w:val="center"/>
          </w:tcPr>
          <w:p w14:paraId="0CC509F3">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社会</w:t>
            </w:r>
          </w:p>
          <w:p w14:paraId="3CB1F983">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监督</w:t>
            </w:r>
          </w:p>
        </w:tc>
        <w:tc>
          <w:tcPr>
            <w:tcW w:w="343"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75AE148C">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813"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64B454CB">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群众投诉</w:t>
            </w:r>
          </w:p>
          <w:p w14:paraId="6FC9FE43">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（3分）</w:t>
            </w:r>
          </w:p>
        </w:tc>
        <w:tc>
          <w:tcPr>
            <w:tcW w:w="3091"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00C442C8">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对公众投诉及时处理并及时回复投诉人的得满分，未及时处理的，每次扣1分。</w:t>
            </w:r>
          </w:p>
        </w:tc>
        <w:tc>
          <w:tcPr>
            <w:tcW w:w="379" w:type="pct"/>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29D38319">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556BC1E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85" w:hRule="atLeast"/>
          <w:jc w:val="center"/>
        </w:trPr>
        <w:tc>
          <w:tcPr>
            <w:tcW w:w="372" w:type="pct"/>
            <w:tcBorders>
              <w:top w:val="single" w:color="auto" w:sz="4" w:space="0"/>
              <w:left w:val="single" w:color="auto" w:sz="4" w:space="0"/>
              <w:bottom w:val="single" w:color="auto" w:sz="4" w:space="0"/>
              <w:right w:val="single" w:color="auto" w:sz="6" w:space="0"/>
            </w:tcBorders>
            <w:noWrap w:val="0"/>
            <w:tcMar>
              <w:top w:w="0" w:type="dxa"/>
              <w:left w:w="75" w:type="dxa"/>
              <w:bottom w:w="0" w:type="dxa"/>
              <w:right w:w="75" w:type="dxa"/>
            </w:tcMar>
            <w:vAlign w:val="center"/>
          </w:tcPr>
          <w:p w14:paraId="3F828E8E">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否</w:t>
            </w:r>
          </w:p>
          <w:p w14:paraId="42FDBA20">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决</w:t>
            </w:r>
          </w:p>
          <w:p w14:paraId="2F1288D2">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项</w:t>
            </w:r>
          </w:p>
        </w:tc>
        <w:tc>
          <w:tcPr>
            <w:tcW w:w="343"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523CAAC9">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p>
        </w:tc>
        <w:tc>
          <w:tcPr>
            <w:tcW w:w="3905" w:type="pct"/>
            <w:gridSpan w:val="2"/>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076653C8">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如发生环境污染事件（不可抗逆因素除外）和死亡等安全生产事故，季度考评为0分。</w:t>
            </w:r>
          </w:p>
        </w:tc>
        <w:tc>
          <w:tcPr>
            <w:tcW w:w="379" w:type="pct"/>
            <w:tcBorders>
              <w:top w:val="single" w:color="auto" w:sz="4" w:space="0"/>
              <w:left w:val="nil"/>
              <w:bottom w:val="single" w:color="auto" w:sz="4" w:space="0"/>
              <w:right w:val="single" w:color="auto" w:sz="4" w:space="0"/>
            </w:tcBorders>
            <w:noWrap w:val="0"/>
            <w:tcMar>
              <w:top w:w="0" w:type="dxa"/>
              <w:left w:w="75" w:type="dxa"/>
              <w:bottom w:w="0" w:type="dxa"/>
              <w:right w:w="75" w:type="dxa"/>
            </w:tcMar>
            <w:vAlign w:val="center"/>
          </w:tcPr>
          <w:p w14:paraId="4DBED0D7">
            <w:pPr>
              <w:keepNext w:val="0"/>
              <w:keepLines w:val="0"/>
              <w:widowControl/>
              <w:suppressLineNumbers w:val="0"/>
              <w:spacing w:before="0" w:beforeAutospacing="0" w:after="0" w:afterAutospacing="0" w:line="300" w:lineRule="exact"/>
              <w:ind w:left="0" w:right="0"/>
              <w:jc w:val="left"/>
              <w:rPr>
                <w:rFonts w:hint="eastAsia" w:ascii="宋体" w:hAnsi="宋体" w:eastAsia="宋体" w:cs="宋体"/>
                <w:kern w:val="0"/>
                <w:sz w:val="24"/>
                <w:szCs w:val="24"/>
                <w:lang w:val="en-US" w:eastAsia="zh-CN" w:bidi="ar"/>
              </w:rPr>
            </w:pPr>
          </w:p>
        </w:tc>
      </w:tr>
      <w:tr w14:paraId="028961F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340" w:hRule="atLeast"/>
          <w:jc w:val="center"/>
        </w:trPr>
        <w:tc>
          <w:tcPr>
            <w:tcW w:w="372" w:type="pct"/>
            <w:tcBorders>
              <w:top w:val="single" w:color="auto" w:sz="4" w:space="0"/>
              <w:left w:val="single" w:color="auto" w:sz="4" w:space="0"/>
              <w:bottom w:val="single" w:color="auto" w:sz="4" w:space="0"/>
              <w:right w:val="single" w:color="auto" w:sz="6" w:space="0"/>
            </w:tcBorders>
            <w:noWrap w:val="0"/>
            <w:tcMar>
              <w:top w:w="0" w:type="dxa"/>
              <w:left w:w="75" w:type="dxa"/>
              <w:bottom w:w="0" w:type="dxa"/>
              <w:right w:w="75" w:type="dxa"/>
            </w:tcMar>
            <w:vAlign w:val="center"/>
          </w:tcPr>
          <w:p w14:paraId="65D1DFA4">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合计</w:t>
            </w:r>
          </w:p>
        </w:tc>
        <w:tc>
          <w:tcPr>
            <w:tcW w:w="343" w:type="pct"/>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522C7DC5">
            <w:pPr>
              <w:keepNext w:val="0"/>
              <w:keepLines w:val="0"/>
              <w:widowControl/>
              <w:suppressLineNumbers w:val="0"/>
              <w:spacing w:before="100" w:beforeAutospacing="1" w:after="100" w:afterAutospacing="1" w:line="440" w:lineRule="exact"/>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100</w:t>
            </w:r>
          </w:p>
        </w:tc>
        <w:tc>
          <w:tcPr>
            <w:tcW w:w="3905" w:type="pct"/>
            <w:gridSpan w:val="2"/>
            <w:tcBorders>
              <w:top w:val="single" w:color="auto" w:sz="4" w:space="0"/>
              <w:left w:val="nil"/>
              <w:bottom w:val="single" w:color="auto" w:sz="4" w:space="0"/>
              <w:right w:val="single" w:color="auto" w:sz="6" w:space="0"/>
            </w:tcBorders>
            <w:noWrap w:val="0"/>
            <w:tcMar>
              <w:top w:w="0" w:type="dxa"/>
              <w:left w:w="75" w:type="dxa"/>
              <w:bottom w:w="0" w:type="dxa"/>
              <w:right w:w="75" w:type="dxa"/>
            </w:tcMar>
            <w:vAlign w:val="center"/>
          </w:tcPr>
          <w:p w14:paraId="38C02625">
            <w:pPr>
              <w:keepNext w:val="0"/>
              <w:keepLines w:val="0"/>
              <w:widowControl/>
              <w:suppressLineNumbers w:val="0"/>
              <w:spacing w:before="100" w:beforeAutospacing="1" w:after="100" w:afterAutospacing="1" w:line="440" w:lineRule="exact"/>
              <w:ind w:left="0" w:right="0"/>
              <w:jc w:val="left"/>
              <w:rPr>
                <w:rFonts w:hint="eastAsia" w:ascii="宋体" w:hAnsi="宋体" w:eastAsia="宋体" w:cs="宋体"/>
                <w:kern w:val="0"/>
                <w:sz w:val="24"/>
                <w:szCs w:val="24"/>
                <w:lang w:val="en-US" w:eastAsia="zh-CN" w:bidi="ar"/>
              </w:rPr>
            </w:pPr>
          </w:p>
        </w:tc>
        <w:tc>
          <w:tcPr>
            <w:tcW w:w="379" w:type="pct"/>
            <w:tcBorders>
              <w:top w:val="single" w:color="auto" w:sz="4" w:space="0"/>
              <w:left w:val="nil"/>
              <w:bottom w:val="single" w:color="auto" w:sz="4" w:space="0"/>
              <w:right w:val="single" w:color="auto" w:sz="4" w:space="0"/>
            </w:tcBorders>
            <w:noWrap w:val="0"/>
            <w:tcMar>
              <w:top w:w="0" w:type="dxa"/>
              <w:left w:w="75" w:type="dxa"/>
              <w:bottom w:w="0" w:type="dxa"/>
              <w:right w:w="75" w:type="dxa"/>
            </w:tcMar>
            <w:vAlign w:val="center"/>
          </w:tcPr>
          <w:p w14:paraId="5DC63249">
            <w:pPr>
              <w:keepNext w:val="0"/>
              <w:keepLines w:val="0"/>
              <w:widowControl/>
              <w:suppressLineNumbers w:val="0"/>
              <w:spacing w:before="100" w:beforeAutospacing="1" w:after="100" w:afterAutospacing="1" w:line="440" w:lineRule="exact"/>
              <w:ind w:left="0" w:right="0"/>
              <w:jc w:val="left"/>
              <w:rPr>
                <w:rFonts w:hint="eastAsia" w:ascii="宋体" w:hAnsi="宋体" w:eastAsia="宋体" w:cs="宋体"/>
                <w:kern w:val="0"/>
                <w:sz w:val="24"/>
                <w:szCs w:val="24"/>
                <w:lang w:val="en-US" w:eastAsia="zh-CN" w:bidi="ar"/>
              </w:rPr>
            </w:pPr>
          </w:p>
        </w:tc>
      </w:tr>
      <w:tr w14:paraId="608C5B9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865" w:hRule="atLeast"/>
          <w:jc w:val="center"/>
        </w:trPr>
        <w:tc>
          <w:tcPr>
            <w:tcW w:w="5000" w:type="pct"/>
            <w:gridSpan w:val="5"/>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45C0DD83">
            <w:pPr>
              <w:keepNext w:val="0"/>
              <w:keepLines w:val="0"/>
              <w:widowControl/>
              <w:suppressLineNumbers w:val="0"/>
              <w:autoSpaceDE w:val="0"/>
              <w:autoSpaceDN/>
              <w:spacing w:before="0" w:beforeAutospacing="0" w:after="0" w:afterAutospacing="0" w:line="480" w:lineRule="exact"/>
              <w:ind w:left="0" w:right="0"/>
              <w:jc w:val="both"/>
              <w:rPr>
                <w:rFonts w:hint="eastAsia" w:ascii="宋体" w:hAnsi="宋体" w:eastAsia="宋体" w:cs="宋体"/>
                <w:kern w:val="2"/>
                <w:sz w:val="24"/>
                <w:szCs w:val="24"/>
              </w:rPr>
            </w:pPr>
            <w:r>
              <w:rPr>
                <w:rFonts w:hint="eastAsia" w:ascii="宋体" w:hAnsi="宋体" w:eastAsia="宋体" w:cs="宋体"/>
                <w:b/>
                <w:bCs/>
                <w:kern w:val="0"/>
                <w:sz w:val="24"/>
                <w:szCs w:val="24"/>
                <w:lang w:val="en-US" w:eastAsia="zh-CN" w:bidi="ar"/>
              </w:rPr>
              <w:t>考核组成员签字：</w:t>
            </w:r>
          </w:p>
          <w:p w14:paraId="6418440D">
            <w:pPr>
              <w:keepNext/>
              <w:keepLines/>
              <w:widowControl/>
              <w:suppressLineNumbers w:val="0"/>
              <w:autoSpaceDE w:val="0"/>
              <w:autoSpaceDN/>
              <w:spacing w:before="0" w:beforeAutospacing="0" w:after="0" w:afterAutospacing="0" w:line="480" w:lineRule="exact"/>
              <w:ind w:left="0" w:right="0" w:firstLine="117" w:firstLineChars="49"/>
              <w:jc w:val="right"/>
              <w:outlineLvl w:val="2"/>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考核日期：      年   月   日</w:t>
            </w:r>
          </w:p>
        </w:tc>
      </w:tr>
      <w:tr w14:paraId="7E2584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082" w:hRule="atLeast"/>
          <w:jc w:val="center"/>
        </w:trPr>
        <w:tc>
          <w:tcPr>
            <w:tcW w:w="5000" w:type="pct"/>
            <w:gridSpan w:val="5"/>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09A5C8AA">
            <w:pPr>
              <w:keepNext w:val="0"/>
              <w:keepLines w:val="0"/>
              <w:widowControl/>
              <w:suppressLineNumbers w:val="0"/>
              <w:autoSpaceDE w:val="0"/>
              <w:autoSpaceDN/>
              <w:spacing w:before="0" w:beforeAutospacing="0" w:after="0" w:afterAutospacing="0" w:line="300" w:lineRule="exact"/>
              <w:ind w:left="0" w:right="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注：1、考核方式：原则上考核期内同一事项或事件不重复扣分。</w:t>
            </w:r>
          </w:p>
          <w:p w14:paraId="4A2A89D2">
            <w:pPr>
              <w:keepNext w:val="0"/>
              <w:keepLines w:val="0"/>
              <w:widowControl/>
              <w:suppressLineNumbers w:val="0"/>
              <w:autoSpaceDE w:val="0"/>
              <w:autoSpaceDN/>
              <w:spacing w:before="0" w:beforeAutospacing="0" w:after="0" w:afterAutospacing="0" w:line="300" w:lineRule="exact"/>
              <w:ind w:left="0" w:right="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 xml:space="preserve">    2、相关数值参考《福建省农村生活污水治理成效评估暂行办法》等文件规范要求。</w:t>
            </w:r>
          </w:p>
        </w:tc>
      </w:tr>
    </w:tbl>
    <w:p w14:paraId="40405303">
      <w:pPr>
        <w:rPr>
          <w:rFonts w:hint="eastAsia" w:ascii="Calibri" w:hAnsi="Calibri" w:eastAsia="宋体" w:cs="Times New Roman"/>
          <w:lang w:val="en-US" w:eastAsia="zh-Hans"/>
        </w:rPr>
      </w:pPr>
    </w:p>
    <w:p w14:paraId="3AB4B5DB">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采购包2考核表：</w:t>
      </w:r>
    </w:p>
    <w:p w14:paraId="60CDCC70">
      <w:pPr>
        <w:jc w:val="center"/>
        <w:rPr>
          <w:rFonts w:hint="eastAsia" w:ascii="宋体" w:hAnsi="宋体" w:eastAsia="宋体" w:cs="宋体"/>
          <w:color w:val="auto"/>
          <w:spacing w:val="5"/>
          <w:kern w:val="2"/>
          <w:sz w:val="24"/>
          <w:szCs w:val="24"/>
          <w:lang w:val="en-US" w:eastAsia="zh-CN" w:bidi="ar-SA"/>
        </w:rPr>
      </w:pPr>
    </w:p>
    <w:p w14:paraId="242374C4">
      <w:pPr>
        <w:jc w:val="center"/>
        <w:rPr>
          <w:rFonts w:hint="eastAsia" w:ascii="宋体" w:hAnsi="宋体" w:eastAsia="宋体" w:cs="宋体"/>
          <w:b/>
          <w:bCs/>
          <w:color w:val="FF0000"/>
          <w:lang w:val="en-US" w:eastAsia="zh-CN"/>
        </w:rPr>
      </w:pPr>
      <w:r>
        <w:rPr>
          <w:rFonts w:hint="eastAsia" w:ascii="宋体" w:hAnsi="宋体" w:eastAsia="宋体" w:cs="宋体"/>
          <w:color w:val="auto"/>
          <w:spacing w:val="5"/>
          <w:kern w:val="2"/>
          <w:sz w:val="24"/>
          <w:szCs w:val="24"/>
          <w:lang w:val="en-US" w:eastAsia="zh-CN" w:bidi="ar-SA"/>
        </w:rPr>
        <w:t>宁化县莲塘食品工业园污水预处理站运维服务考核评分表</w:t>
      </w:r>
    </w:p>
    <w:tbl>
      <w:tblPr>
        <w:tblStyle w:val="5"/>
        <w:tblpPr w:leftFromText="180" w:rightFromText="180" w:vertAnchor="text" w:horzAnchor="page" w:tblpX="1821" w:tblpY="558"/>
        <w:tblOverlap w:val="never"/>
        <w:tblW w:w="85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823"/>
        <w:gridCol w:w="3460"/>
        <w:gridCol w:w="690"/>
        <w:gridCol w:w="2327"/>
        <w:gridCol w:w="754"/>
      </w:tblGrid>
      <w:tr w14:paraId="6DE6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33" w:type="dxa"/>
          </w:tcPr>
          <w:p w14:paraId="59640AFD">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br w:type="page"/>
            </w:r>
            <w:r>
              <w:rPr>
                <w:rFonts w:hint="eastAsia" w:ascii="宋体" w:hAnsi="宋体" w:eastAsia="宋体" w:cs="宋体"/>
                <w:kern w:val="0"/>
                <w:sz w:val="24"/>
                <w:szCs w:val="24"/>
                <w:lang w:val="en-US" w:eastAsia="zh-CN" w:bidi="ar"/>
              </w:rPr>
              <w:t>序号</w:t>
            </w:r>
          </w:p>
        </w:tc>
        <w:tc>
          <w:tcPr>
            <w:tcW w:w="823" w:type="dxa"/>
          </w:tcPr>
          <w:p w14:paraId="3821820D">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考核项目</w:t>
            </w:r>
          </w:p>
        </w:tc>
        <w:tc>
          <w:tcPr>
            <w:tcW w:w="3460" w:type="dxa"/>
          </w:tcPr>
          <w:p w14:paraId="78AF09B1">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考核内容及标准</w:t>
            </w:r>
          </w:p>
        </w:tc>
        <w:tc>
          <w:tcPr>
            <w:tcW w:w="690" w:type="dxa"/>
          </w:tcPr>
          <w:p w14:paraId="0667806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分值</w:t>
            </w:r>
          </w:p>
        </w:tc>
        <w:tc>
          <w:tcPr>
            <w:tcW w:w="2327" w:type="dxa"/>
          </w:tcPr>
          <w:p w14:paraId="7F6ABB0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评分细则</w:t>
            </w:r>
          </w:p>
        </w:tc>
        <w:tc>
          <w:tcPr>
            <w:tcW w:w="754" w:type="dxa"/>
          </w:tcPr>
          <w:p w14:paraId="719161A1">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得分</w:t>
            </w:r>
          </w:p>
        </w:tc>
      </w:tr>
      <w:tr w14:paraId="1EB4A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trPr>
        <w:tc>
          <w:tcPr>
            <w:tcW w:w="533" w:type="dxa"/>
          </w:tcPr>
          <w:p w14:paraId="3C363AC9">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p>
        </w:tc>
        <w:tc>
          <w:tcPr>
            <w:tcW w:w="823" w:type="dxa"/>
          </w:tcPr>
          <w:p w14:paraId="769EBD4D">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设备运行管理</w:t>
            </w:r>
          </w:p>
        </w:tc>
        <w:tc>
          <w:tcPr>
            <w:tcW w:w="3460" w:type="dxa"/>
          </w:tcPr>
          <w:p w14:paraId="501B36E3">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主要设备(潜污泵、气浮机、鼓风机、加药泵、压滤机等)按操作规程正常运行，无擅自停运。2.设备运行记录完整、真实，每日按时填写。3.设备故障及时处理，一般故障24小时内修复，重大故障48小时内提出方案并实施。</w:t>
            </w:r>
          </w:p>
        </w:tc>
        <w:tc>
          <w:tcPr>
            <w:tcW w:w="690" w:type="dxa"/>
          </w:tcPr>
          <w:p w14:paraId="6B3FA2E1">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20</w:t>
            </w:r>
          </w:p>
        </w:tc>
        <w:tc>
          <w:tcPr>
            <w:tcW w:w="2327" w:type="dxa"/>
          </w:tcPr>
          <w:p w14:paraId="07A48986">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每发现一次设备擅自停运扣5分;记录缺漏或虚假每次扣2分:故障处理超时每次扣3分;扣完为止。</w:t>
            </w:r>
          </w:p>
        </w:tc>
        <w:tc>
          <w:tcPr>
            <w:tcW w:w="754" w:type="dxa"/>
          </w:tcPr>
          <w:p w14:paraId="748234C4">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30D7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533" w:type="dxa"/>
          </w:tcPr>
          <w:p w14:paraId="06B74F56">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p>
        </w:tc>
        <w:tc>
          <w:tcPr>
            <w:tcW w:w="823" w:type="dxa"/>
          </w:tcPr>
          <w:p w14:paraId="37DB3736">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出水水质达标</w:t>
            </w:r>
          </w:p>
        </w:tc>
        <w:tc>
          <w:tcPr>
            <w:tcW w:w="3460" w:type="dxa"/>
          </w:tcPr>
          <w:p w14:paraId="3C99742F">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1.处理后出水水质符合设计要求(COD、氨氮总磷、pH等主要指标)。2.监测数据，数据真实有效。</w:t>
            </w:r>
          </w:p>
        </w:tc>
        <w:tc>
          <w:tcPr>
            <w:tcW w:w="690" w:type="dxa"/>
          </w:tcPr>
          <w:p w14:paraId="2A383C4B">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30</w:t>
            </w:r>
          </w:p>
        </w:tc>
        <w:tc>
          <w:tcPr>
            <w:tcW w:w="2327" w:type="dxa"/>
          </w:tcPr>
          <w:p w14:paraId="278CA645">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出现一次水质超标扣10分;未提供有效检测报告扣5分;数据造假本项不得分，并视为考核不合格。</w:t>
            </w:r>
          </w:p>
        </w:tc>
        <w:tc>
          <w:tcPr>
            <w:tcW w:w="754" w:type="dxa"/>
          </w:tcPr>
          <w:p w14:paraId="46D3F6A4">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31F5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533" w:type="dxa"/>
          </w:tcPr>
          <w:p w14:paraId="148FA0C9">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823" w:type="dxa"/>
          </w:tcPr>
          <w:p w14:paraId="43DB7837">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维护保养与检修</w:t>
            </w:r>
          </w:p>
        </w:tc>
        <w:tc>
          <w:tcPr>
            <w:tcW w:w="3460" w:type="dxa"/>
          </w:tcPr>
          <w:p w14:paraId="071F8B10">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1.按设备说明书及运维计划执行日常保养、定期润滑、易损件更换等。2.有维护保养记录，内容详实。3.检修后设备恢复完好，无遗留隐患</w:t>
            </w:r>
          </w:p>
        </w:tc>
        <w:tc>
          <w:tcPr>
            <w:tcW w:w="690" w:type="dxa"/>
          </w:tcPr>
          <w:p w14:paraId="5A64FA65">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15</w:t>
            </w:r>
          </w:p>
        </w:tc>
        <w:tc>
          <w:tcPr>
            <w:tcW w:w="2327" w:type="dxa"/>
          </w:tcPr>
          <w:p w14:paraId="1E03E96C">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未按计划保养每次扣3分;无记录或记录不全每次扣2分;检修后仍存在隐患扣5分。</w:t>
            </w:r>
          </w:p>
          <w:p w14:paraId="2B991B99">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w:t>
            </w:r>
          </w:p>
        </w:tc>
        <w:tc>
          <w:tcPr>
            <w:tcW w:w="754" w:type="dxa"/>
          </w:tcPr>
          <w:p w14:paraId="71540C98">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40DC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533" w:type="dxa"/>
          </w:tcPr>
          <w:p w14:paraId="32B8DE10">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w:t>
            </w:r>
          </w:p>
        </w:tc>
        <w:tc>
          <w:tcPr>
            <w:tcW w:w="823" w:type="dxa"/>
          </w:tcPr>
          <w:p w14:paraId="261E8AA9">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药剂及能耗管理</w:t>
            </w:r>
          </w:p>
        </w:tc>
        <w:tc>
          <w:tcPr>
            <w:tcW w:w="3460" w:type="dxa"/>
          </w:tcPr>
          <w:p w14:paraId="6C4B5CBB">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1.药剂(PAC、PAM等)投加量合理，记录准确，无浪费现象。</w:t>
            </w:r>
          </w:p>
        </w:tc>
        <w:tc>
          <w:tcPr>
            <w:tcW w:w="690" w:type="dxa"/>
          </w:tcPr>
          <w:p w14:paraId="4F32DD74">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10</w:t>
            </w:r>
          </w:p>
        </w:tc>
        <w:tc>
          <w:tcPr>
            <w:tcW w:w="2327" w:type="dxa"/>
          </w:tcPr>
          <w:p w14:paraId="2BDA0D46">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投加记录缺失或明显不合理每次扣2分;能耗异常无合理解释扣3分。</w:t>
            </w:r>
          </w:p>
        </w:tc>
        <w:tc>
          <w:tcPr>
            <w:tcW w:w="754" w:type="dxa"/>
          </w:tcPr>
          <w:p w14:paraId="51454D0A">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613A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533" w:type="dxa"/>
          </w:tcPr>
          <w:p w14:paraId="4CA24638">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w:t>
            </w:r>
          </w:p>
        </w:tc>
        <w:tc>
          <w:tcPr>
            <w:tcW w:w="823" w:type="dxa"/>
          </w:tcPr>
          <w:p w14:paraId="1260BEED">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安全管理</w:t>
            </w:r>
          </w:p>
        </w:tc>
        <w:tc>
          <w:tcPr>
            <w:tcW w:w="3460" w:type="dxa"/>
          </w:tcPr>
          <w:p w14:paraId="33306830">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1.遵守安全生产规定，现场无违章操作。2.</w:t>
            </w:r>
          </w:p>
          <w:p w14:paraId="1482B53D">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安全管理消防器材、安全防护设施齐全有效。3.发生安全事故及时上报并妥善处理。</w:t>
            </w:r>
          </w:p>
        </w:tc>
        <w:tc>
          <w:tcPr>
            <w:tcW w:w="690" w:type="dxa"/>
          </w:tcPr>
          <w:p w14:paraId="7918ECA7">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10</w:t>
            </w:r>
          </w:p>
        </w:tc>
        <w:tc>
          <w:tcPr>
            <w:tcW w:w="2327" w:type="dxa"/>
          </w:tcPr>
          <w:p w14:paraId="516D27AA">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发现违章操作每次扣5分;安全设施缺失或失效每处扣2分;发生安全事故隐瞒不报本项不得分。</w:t>
            </w:r>
          </w:p>
        </w:tc>
        <w:tc>
          <w:tcPr>
            <w:tcW w:w="754" w:type="dxa"/>
          </w:tcPr>
          <w:p w14:paraId="54AD7F8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73A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533" w:type="dxa"/>
          </w:tcPr>
          <w:p w14:paraId="517480C5">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6</w:t>
            </w:r>
          </w:p>
        </w:tc>
        <w:tc>
          <w:tcPr>
            <w:tcW w:w="823" w:type="dxa"/>
          </w:tcPr>
          <w:p w14:paraId="3590B3C9">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资料与档案管理</w:t>
            </w:r>
          </w:p>
        </w:tc>
        <w:tc>
          <w:tcPr>
            <w:tcW w:w="3460" w:type="dxa"/>
          </w:tcPr>
          <w:p w14:paraId="294C770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1.运行记录、水质报告、故障处理报告等归档齐全，分类清晰。2.按时提交季度运维总结报告。</w:t>
            </w:r>
          </w:p>
        </w:tc>
        <w:tc>
          <w:tcPr>
            <w:tcW w:w="690" w:type="dxa"/>
          </w:tcPr>
          <w:p w14:paraId="0FA590D4">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w:t>
            </w:r>
          </w:p>
        </w:tc>
        <w:tc>
          <w:tcPr>
            <w:tcW w:w="2327" w:type="dxa"/>
          </w:tcPr>
          <w:p w14:paraId="17F3ED64">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资料缺漏或混乱扣2分;未按时提交报告每次扣3分。</w:t>
            </w:r>
          </w:p>
        </w:tc>
        <w:tc>
          <w:tcPr>
            <w:tcW w:w="754" w:type="dxa"/>
          </w:tcPr>
          <w:p w14:paraId="10BDEC2D">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114E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533" w:type="dxa"/>
          </w:tcPr>
          <w:p w14:paraId="6333345E">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7</w:t>
            </w:r>
          </w:p>
        </w:tc>
        <w:tc>
          <w:tcPr>
            <w:tcW w:w="823" w:type="dxa"/>
          </w:tcPr>
          <w:p w14:paraId="4D32BCC7">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人员配置与培训</w:t>
            </w:r>
          </w:p>
        </w:tc>
        <w:tc>
          <w:tcPr>
            <w:tcW w:w="3460" w:type="dxa"/>
          </w:tcPr>
          <w:p w14:paraId="25E848CB">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1.现场配备足够且持证上岗的操作人员，满足人员配置24小时值守要求。2.定期组织操作人员培训与培训</w:t>
            </w:r>
          </w:p>
        </w:tc>
        <w:tc>
          <w:tcPr>
            <w:tcW w:w="690" w:type="dxa"/>
          </w:tcPr>
          <w:p w14:paraId="4179805B">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w:t>
            </w:r>
          </w:p>
        </w:tc>
        <w:tc>
          <w:tcPr>
            <w:tcW w:w="2327" w:type="dxa"/>
          </w:tcPr>
          <w:p w14:paraId="3C2AB107">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人员不足或未持证上岗扣3分;无培训记录扣2分。</w:t>
            </w:r>
          </w:p>
          <w:p w14:paraId="448600A4">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c>
          <w:tcPr>
            <w:tcW w:w="754" w:type="dxa"/>
          </w:tcPr>
          <w:p w14:paraId="2F9300A0">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6A39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33" w:type="dxa"/>
          </w:tcPr>
          <w:p w14:paraId="0E5781F1">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8</w:t>
            </w:r>
          </w:p>
        </w:tc>
        <w:tc>
          <w:tcPr>
            <w:tcW w:w="823" w:type="dxa"/>
          </w:tcPr>
          <w:p w14:paraId="1175A5A5">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响应与配合</w:t>
            </w:r>
          </w:p>
        </w:tc>
        <w:tc>
          <w:tcPr>
            <w:tcW w:w="3460" w:type="dxa"/>
          </w:tcPr>
          <w:p w14:paraId="1578537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1.对考核单位、主管部门的检查、整改要求及时响应，按时完成整改。2.积极配合环保检查、采样等工作。</w:t>
            </w:r>
          </w:p>
        </w:tc>
        <w:tc>
          <w:tcPr>
            <w:tcW w:w="690" w:type="dxa"/>
          </w:tcPr>
          <w:p w14:paraId="626A0106">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w:t>
            </w:r>
          </w:p>
        </w:tc>
        <w:tc>
          <w:tcPr>
            <w:tcW w:w="2327" w:type="dxa"/>
          </w:tcPr>
          <w:p w14:paraId="6D92E4FC">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整改超时或未完成每次扣2分;不配合工作每次扣3分。</w:t>
            </w:r>
          </w:p>
        </w:tc>
        <w:tc>
          <w:tcPr>
            <w:tcW w:w="754" w:type="dxa"/>
          </w:tcPr>
          <w:p w14:paraId="372B70DC">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01E4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3" w:type="dxa"/>
          </w:tcPr>
          <w:p w14:paraId="1E7F375C">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9</w:t>
            </w:r>
          </w:p>
        </w:tc>
        <w:tc>
          <w:tcPr>
            <w:tcW w:w="823" w:type="dxa"/>
          </w:tcPr>
          <w:p w14:paraId="5A45E32E">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附件扣分项</w:t>
            </w:r>
          </w:p>
        </w:tc>
        <w:tc>
          <w:tcPr>
            <w:tcW w:w="3460" w:type="dxa"/>
          </w:tcPr>
          <w:p w14:paraId="0DCAF98E">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发生下列情形之一，直接判定为考核不合格:发生较大及以上安全事故或环境事件;出水水质连续两次超标且未有效整改;自停运污水处理设施;·数据造假、映报，</w:t>
            </w:r>
          </w:p>
        </w:tc>
        <w:tc>
          <w:tcPr>
            <w:tcW w:w="690" w:type="dxa"/>
          </w:tcPr>
          <w:p w14:paraId="577917D2">
            <w:pPr>
              <w:keepNext w:val="0"/>
              <w:keepLines w:val="0"/>
              <w:widowControl/>
              <w:suppressLineNumbers w:val="0"/>
              <w:spacing w:before="0" w:beforeAutospacing="0" w:after="0" w:afterAutospacing="0" w:line="300" w:lineRule="exact"/>
              <w:ind w:left="0" w:right="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w:t>
            </w:r>
          </w:p>
        </w:tc>
        <w:tc>
          <w:tcPr>
            <w:tcW w:w="2327" w:type="dxa"/>
          </w:tcPr>
          <w:p w14:paraId="37EDAFA1">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出现上述任一情况，本季度考核总分记为0分，不合格。</w:t>
            </w:r>
          </w:p>
        </w:tc>
        <w:tc>
          <w:tcPr>
            <w:tcW w:w="754" w:type="dxa"/>
          </w:tcPr>
          <w:p w14:paraId="28DC14BD">
            <w:pPr>
              <w:keepNext w:val="0"/>
              <w:keepLines w:val="0"/>
              <w:widowControl/>
              <w:suppressLineNumbers w:val="0"/>
              <w:spacing w:before="0" w:beforeAutospacing="0" w:after="0" w:afterAutospacing="0" w:line="300" w:lineRule="exact"/>
              <w:ind w:left="0" w:right="0"/>
              <w:jc w:val="both"/>
              <w:rPr>
                <w:rFonts w:hint="eastAsia" w:ascii="宋体" w:hAnsi="宋体" w:eastAsia="宋体" w:cs="宋体"/>
                <w:kern w:val="0"/>
                <w:sz w:val="24"/>
                <w:szCs w:val="24"/>
                <w:lang w:val="en-US" w:eastAsia="zh-CN" w:bidi="ar"/>
              </w:rPr>
            </w:pPr>
          </w:p>
        </w:tc>
      </w:tr>
      <w:tr w14:paraId="71EF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33" w:type="dxa"/>
            <w:gridSpan w:val="5"/>
            <w:vAlign w:val="center"/>
          </w:tcPr>
          <w:p w14:paraId="58F06EE8">
            <w:pPr>
              <w:keepNext w:val="0"/>
              <w:keepLines w:val="0"/>
              <w:widowControl/>
              <w:suppressLineNumbers w:val="0"/>
              <w:spacing w:before="100" w:beforeAutospacing="1" w:after="100" w:afterAutospacing="1" w:line="440" w:lineRule="exact"/>
              <w:ind w:left="0" w:leftChars="0" w:right="0" w:rightChars="0"/>
              <w:jc w:val="righ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合计</w:t>
            </w:r>
          </w:p>
        </w:tc>
        <w:tc>
          <w:tcPr>
            <w:tcW w:w="754" w:type="dxa"/>
            <w:vAlign w:val="center"/>
          </w:tcPr>
          <w:p w14:paraId="5B476060">
            <w:pPr>
              <w:keepNext w:val="0"/>
              <w:keepLines w:val="0"/>
              <w:widowControl/>
              <w:suppressLineNumbers w:val="0"/>
              <w:spacing w:before="100" w:beforeAutospacing="1" w:after="100" w:afterAutospacing="1" w:line="440" w:lineRule="exact"/>
              <w:ind w:left="0" w:leftChars="0" w:right="0" w:rightChars="0"/>
              <w:jc w:val="center"/>
              <w:rPr>
                <w:rFonts w:hint="eastAsia" w:ascii="宋体" w:hAnsi="宋体" w:eastAsia="宋体" w:cs="宋体"/>
                <w:kern w:val="0"/>
                <w:sz w:val="24"/>
                <w:szCs w:val="24"/>
                <w:lang w:val="en-US" w:eastAsia="zh-CN" w:bidi="ar"/>
              </w:rPr>
            </w:pPr>
          </w:p>
        </w:tc>
      </w:tr>
      <w:tr w14:paraId="41B0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87" w:type="dxa"/>
            <w:gridSpan w:val="6"/>
            <w:vAlign w:val="center"/>
          </w:tcPr>
          <w:p w14:paraId="5AB3F78A">
            <w:pPr>
              <w:keepNext w:val="0"/>
              <w:keepLines w:val="0"/>
              <w:widowControl/>
              <w:suppressLineNumbers w:val="0"/>
              <w:autoSpaceDE w:val="0"/>
              <w:autoSpaceDN/>
              <w:spacing w:before="0" w:beforeAutospacing="0" w:after="0" w:afterAutospacing="0" w:line="480" w:lineRule="exact"/>
              <w:ind w:left="0" w:right="0"/>
              <w:jc w:val="both"/>
              <w:rPr>
                <w:rFonts w:hint="eastAsia" w:ascii="宋体" w:hAnsi="宋体" w:eastAsia="宋体" w:cs="宋体"/>
                <w:kern w:val="2"/>
                <w:sz w:val="24"/>
                <w:szCs w:val="24"/>
              </w:rPr>
            </w:pPr>
            <w:r>
              <w:rPr>
                <w:rFonts w:hint="eastAsia" w:ascii="宋体" w:hAnsi="宋体" w:eastAsia="宋体" w:cs="宋体"/>
                <w:b/>
                <w:bCs/>
                <w:kern w:val="0"/>
                <w:sz w:val="24"/>
                <w:szCs w:val="24"/>
                <w:lang w:val="en-US" w:eastAsia="zh-CN" w:bidi="ar"/>
              </w:rPr>
              <w:t>考核组成员签字：</w:t>
            </w:r>
          </w:p>
          <w:p w14:paraId="6A19B542">
            <w:pPr>
              <w:keepNext/>
              <w:keepLines/>
              <w:widowControl/>
              <w:suppressLineNumbers w:val="0"/>
              <w:autoSpaceDE w:val="0"/>
              <w:autoSpaceDN/>
              <w:spacing w:before="0" w:beforeAutospacing="0" w:after="0" w:afterAutospacing="0" w:line="480" w:lineRule="exact"/>
              <w:ind w:left="0" w:leftChars="0" w:right="0" w:rightChars="0" w:firstLine="117" w:firstLineChars="49"/>
              <w:jc w:val="right"/>
              <w:outlineLvl w:val="2"/>
              <w:rPr>
                <w:rFonts w:hint="eastAsia" w:ascii="宋体" w:hAnsi="宋体" w:eastAsia="宋体" w:cs="宋体"/>
                <w:kern w:val="0"/>
                <w:sz w:val="24"/>
                <w:szCs w:val="24"/>
                <w:lang w:val="en-US" w:eastAsia="zh-CN" w:bidi="ar"/>
              </w:rPr>
            </w:pPr>
            <w:r>
              <w:rPr>
                <w:rFonts w:hint="eastAsia" w:ascii="宋体" w:hAnsi="宋体" w:eastAsia="宋体" w:cs="宋体"/>
                <w:kern w:val="2"/>
                <w:sz w:val="24"/>
                <w:szCs w:val="24"/>
                <w:lang w:val="en-US" w:eastAsia="zh-CN" w:bidi="ar"/>
              </w:rPr>
              <w:t>考核日期：      年   月   日</w:t>
            </w:r>
          </w:p>
        </w:tc>
      </w:tr>
    </w:tbl>
    <w:p w14:paraId="1E741C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05333"/>
    <w:rsid w:val="17A05333"/>
    <w:rsid w:val="4BED7F78"/>
    <w:rsid w:val="58794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before="240" w:after="240"/>
    </w:pPr>
    <w:rPr>
      <w:rFonts w:ascii="Times New Roman" w:hAnsi="Times New Roman" w:eastAsia="宋体"/>
      <w:b/>
      <w:sz w:val="24"/>
    </w:rPr>
  </w:style>
  <w:style w:type="paragraph" w:styleId="3">
    <w:name w:val="toc 2"/>
    <w:basedOn w:val="1"/>
    <w:next w:val="1"/>
    <w:qFormat/>
    <w:uiPriority w:val="0"/>
    <w:pPr>
      <w:spacing w:before="240" w:after="240"/>
      <w:ind w:left="420" w:leftChars="200"/>
    </w:pPr>
    <w:rPr>
      <w:rFonts w:ascii="Times New Roman" w:hAnsi="Times New Roman" w:eastAsia="宋体"/>
      <w:b/>
      <w:sz w:val="24"/>
    </w:rPr>
  </w:style>
  <w:style w:type="table" w:styleId="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2026-08-12T09:55:00Z</dcterms:created>
  <dc:creator>yan</dc:creator>
  <cp:lastModifiedBy>yan</cp:lastModifiedBy>
  <dcterms:modified xsi:type="dcterms:W3CDTF">2026-08-12T09:56:13Z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28194DEBDD5A4134ABA4AFC2F2F4A83A_11</vt:lpwstr>
  </property>
  <property fmtid="{D5CDD505-2E9C-101B-9397-08002B2CF9AE}" pid="4" name="KSOTemplateDocerSaveRecord">
    <vt:lpwstr>eyJoZGlkIjoiODZkNjg3NDQxZDc3OTYyZWMzYzgyOThhOTQ1ODZiMjgiLCJ1c2VySWQiOiIxMDAzMzQ3NDkxIn0=</vt:lpwstr>
  </property>
</Properties>
</file>