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C87D89E">
      <w:pPr>
        <w:spacing w:line="420" w:lineRule="auto"/>
        <w:rPr>
          <w:rFonts w:ascii="宋体" w:hAnsi="宋体" w:cs="宋体"/>
          <w:b/>
          <w:bCs/>
          <w:color w:val="auto"/>
          <w:sz w:val="30"/>
          <w:szCs w:val="30"/>
          <w:highlight w:val="none"/>
        </w:rPr>
      </w:pPr>
      <w:r>
        <w:rPr>
          <w:rFonts w:hint="eastAsia" w:ascii="宋体" w:hAnsi="宋体" w:cs="宋体"/>
          <w:b/>
          <w:color w:val="auto"/>
          <w:sz w:val="84"/>
          <w:highlight w:val="none"/>
        </w:rPr>
        <w:drawing>
          <wp:inline distT="0" distB="0" distL="114300" distR="114300">
            <wp:extent cx="821055" cy="1028065"/>
            <wp:effectExtent l="0" t="0" r="1905" b="8255"/>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23" cstate="print"/>
                    <a:stretch>
                      <a:fillRect/>
                    </a:stretch>
                  </pic:blipFill>
                  <pic:spPr>
                    <a:xfrm>
                      <a:off x="0" y="0"/>
                      <a:ext cx="821055" cy="1028065"/>
                    </a:xfrm>
                    <a:prstGeom prst="rect">
                      <a:avLst/>
                    </a:prstGeom>
                    <a:noFill/>
                    <a:ln>
                      <a:noFill/>
                    </a:ln>
                  </pic:spPr>
                </pic:pic>
              </a:graphicData>
            </a:graphic>
          </wp:inline>
        </w:drawing>
      </w:r>
    </w:p>
    <w:p w14:paraId="00EEA2B6">
      <w:pPr>
        <w:pStyle w:val="7"/>
        <w:adjustRightInd w:val="0"/>
        <w:snapToGrid w:val="0"/>
        <w:spacing w:line="360" w:lineRule="auto"/>
        <w:rPr>
          <w:rFonts w:ascii="宋体" w:hAnsi="宋体" w:eastAsia="宋体" w:cs="宋体"/>
          <w:color w:val="auto"/>
          <w:highlight w:val="none"/>
        </w:rPr>
      </w:pPr>
      <w:r>
        <w:rPr>
          <w:rFonts w:hint="eastAsia" w:ascii="宋体" w:hAnsi="宋体" w:eastAsia="宋体" w:cs="宋体"/>
          <w:color w:val="auto"/>
          <w:highlight w:val="none"/>
        </w:rPr>
        <w:t>CNTCITC</w:t>
      </w:r>
    </w:p>
    <w:p w14:paraId="61AAF807">
      <w:pPr>
        <w:ind w:left="840" w:leftChars="350" w:firstLine="1124" w:firstLineChars="200"/>
        <w:rPr>
          <w:rFonts w:ascii="宋体" w:hAnsi="宋体" w:cs="宋体"/>
          <w:b/>
          <w:color w:val="auto"/>
          <w:spacing w:val="40"/>
          <w:sz w:val="48"/>
          <w:szCs w:val="48"/>
          <w:highlight w:val="none"/>
        </w:rPr>
      </w:pPr>
    </w:p>
    <w:p w14:paraId="544383C6">
      <w:pPr>
        <w:ind w:left="840" w:leftChars="350" w:firstLine="1124" w:firstLineChars="200"/>
        <w:rPr>
          <w:rFonts w:ascii="宋体" w:hAnsi="宋体" w:cs="宋体"/>
          <w:b/>
          <w:color w:val="auto"/>
          <w:spacing w:val="40"/>
          <w:sz w:val="48"/>
          <w:szCs w:val="48"/>
          <w:highlight w:val="none"/>
        </w:rPr>
      </w:pPr>
    </w:p>
    <w:p w14:paraId="59E16AD2">
      <w:pPr>
        <w:spacing w:line="240" w:lineRule="auto"/>
        <w:jc w:val="center"/>
        <w:rPr>
          <w:rFonts w:ascii="宋体"/>
          <w:b/>
          <w:color w:val="auto"/>
          <w:sz w:val="84"/>
          <w:szCs w:val="24"/>
          <w:highlight w:val="none"/>
        </w:rPr>
      </w:pPr>
      <w:r>
        <w:rPr>
          <w:rFonts w:hint="eastAsia" w:ascii="宋体"/>
          <w:b/>
          <w:color w:val="auto"/>
          <w:sz w:val="84"/>
          <w:szCs w:val="24"/>
          <w:highlight w:val="none"/>
        </w:rPr>
        <w:t>招标文件</w:t>
      </w:r>
    </w:p>
    <w:p w14:paraId="2BF8DE08">
      <w:pPr>
        <w:spacing w:line="480" w:lineRule="auto"/>
        <w:ind w:left="2031" w:leftChars="500" w:right="-11" w:hanging="831" w:hangingChars="230"/>
        <w:rPr>
          <w:rFonts w:ascii="Arial" w:hAnsi="Arial" w:cs="Arial"/>
          <w:b/>
          <w:color w:val="auto"/>
          <w:sz w:val="36"/>
          <w:szCs w:val="36"/>
          <w:highlight w:val="none"/>
        </w:rPr>
      </w:pPr>
    </w:p>
    <w:p w14:paraId="4B1A59EF">
      <w:pPr>
        <w:spacing w:line="480" w:lineRule="auto"/>
        <w:ind w:left="2031" w:leftChars="500" w:right="-11" w:hanging="831" w:hangingChars="230"/>
        <w:rPr>
          <w:rFonts w:ascii="Arial" w:hAnsi="Arial" w:cs="Arial"/>
          <w:b/>
          <w:color w:val="auto"/>
          <w:sz w:val="36"/>
          <w:szCs w:val="36"/>
          <w:highlight w:val="none"/>
        </w:rPr>
      </w:pPr>
    </w:p>
    <w:p w14:paraId="39F1AB55">
      <w:pPr>
        <w:spacing w:line="480" w:lineRule="auto"/>
        <w:ind w:left="2031" w:leftChars="500" w:right="-11" w:hanging="831" w:hangingChars="230"/>
        <w:rPr>
          <w:rFonts w:ascii="Arial" w:hAnsi="Arial" w:cs="Arial"/>
          <w:b/>
          <w:color w:val="auto"/>
          <w:sz w:val="36"/>
          <w:szCs w:val="36"/>
          <w:highlight w:val="none"/>
        </w:rPr>
      </w:pPr>
    </w:p>
    <w:p w14:paraId="7A7BF30B">
      <w:pPr>
        <w:spacing w:line="480" w:lineRule="auto"/>
        <w:ind w:left="2027" w:leftChars="500" w:right="-11" w:hanging="827" w:hangingChars="230"/>
        <w:rPr>
          <w:rFonts w:ascii="宋体" w:hAnsi="宋体" w:cs="Arial"/>
          <w:color w:val="auto"/>
          <w:sz w:val="36"/>
          <w:szCs w:val="36"/>
          <w:highlight w:val="none"/>
        </w:rPr>
      </w:pPr>
      <w:r>
        <w:rPr>
          <w:rFonts w:hint="eastAsia" w:ascii="宋体" w:hAnsi="宋体" w:cs="Arial"/>
          <w:color w:val="auto"/>
          <w:sz w:val="36"/>
          <w:szCs w:val="36"/>
          <w:highlight w:val="none"/>
        </w:rPr>
        <w:t>项目编号：TC249XMAD</w:t>
      </w:r>
    </w:p>
    <w:p w14:paraId="097017D4">
      <w:pPr>
        <w:spacing w:line="480" w:lineRule="auto"/>
        <w:ind w:left="2784" w:leftChars="500" w:right="-11" w:hanging="1584" w:hangingChars="528"/>
        <w:rPr>
          <w:rFonts w:hint="eastAsia" w:ascii="宋体" w:hAnsi="宋体" w:cs="Arial"/>
          <w:color w:val="auto"/>
          <w:sz w:val="30"/>
          <w:szCs w:val="30"/>
          <w:highlight w:val="none"/>
        </w:rPr>
      </w:pPr>
      <w:r>
        <w:rPr>
          <w:rFonts w:ascii="宋体" w:hAnsi="宋体" w:cs="Arial"/>
          <w:color w:val="auto"/>
          <w:sz w:val="30"/>
          <w:szCs w:val="30"/>
          <w:highlight w:val="none"/>
        </w:rPr>
        <w:t>项目名称：</w:t>
      </w:r>
      <w:r>
        <w:rPr>
          <w:rFonts w:hint="eastAsia" w:ascii="宋体" w:hAnsi="宋体" w:cs="Arial"/>
          <w:color w:val="auto"/>
          <w:sz w:val="30"/>
          <w:szCs w:val="30"/>
          <w:highlight w:val="none"/>
        </w:rPr>
        <w:t>国家计算机网络与信息安全管理中心江西分中心</w:t>
      </w:r>
    </w:p>
    <w:p w14:paraId="5393C4F5">
      <w:pPr>
        <w:spacing w:line="480" w:lineRule="auto"/>
        <w:ind w:left="2775" w:leftChars="1125" w:right="-11" w:hanging="75" w:hangingChars="25"/>
        <w:rPr>
          <w:rFonts w:ascii="宋体" w:hAnsi="宋体" w:cs="Arial"/>
          <w:color w:val="auto"/>
          <w:sz w:val="30"/>
          <w:szCs w:val="30"/>
          <w:highlight w:val="none"/>
        </w:rPr>
      </w:pPr>
      <w:r>
        <w:rPr>
          <w:rFonts w:hint="eastAsia" w:ascii="宋体" w:hAnsi="宋体" w:cs="Arial"/>
          <w:color w:val="auto"/>
          <w:sz w:val="30"/>
          <w:szCs w:val="30"/>
          <w:highlight w:val="none"/>
        </w:rPr>
        <w:t>综合机房楼物业管理综合服务项目</w:t>
      </w:r>
    </w:p>
    <w:p w14:paraId="13F789DC">
      <w:pPr>
        <w:spacing w:line="480" w:lineRule="auto"/>
        <w:ind w:left="1890" w:leftChars="500" w:right="-11" w:hanging="690" w:hangingChars="230"/>
        <w:rPr>
          <w:rFonts w:ascii="宋体" w:hAnsi="宋体" w:cs="Arial"/>
          <w:color w:val="auto"/>
          <w:sz w:val="30"/>
          <w:szCs w:val="30"/>
          <w:highlight w:val="none"/>
        </w:rPr>
      </w:pPr>
      <w:r>
        <w:rPr>
          <w:rFonts w:hint="eastAsia" w:ascii="宋体" w:hAnsi="宋体" w:cs="Arial"/>
          <w:color w:val="auto"/>
          <w:sz w:val="30"/>
          <w:szCs w:val="30"/>
          <w:highlight w:val="none"/>
        </w:rPr>
        <w:t>采购</w:t>
      </w:r>
      <w:r>
        <w:rPr>
          <w:rFonts w:ascii="宋体" w:hAnsi="宋体" w:cs="Arial"/>
          <w:color w:val="auto"/>
          <w:sz w:val="30"/>
          <w:szCs w:val="30"/>
          <w:highlight w:val="none"/>
        </w:rPr>
        <w:t>人：</w:t>
      </w:r>
      <w:r>
        <w:rPr>
          <w:rFonts w:hint="eastAsia" w:ascii="宋体" w:hAnsi="宋体" w:cs="Arial"/>
          <w:color w:val="auto"/>
          <w:sz w:val="30"/>
          <w:szCs w:val="30"/>
          <w:highlight w:val="none"/>
        </w:rPr>
        <w:t>国家计算机网络与信息安全管理中心江西分中心</w:t>
      </w:r>
    </w:p>
    <w:p w14:paraId="214C8F39">
      <w:pPr>
        <w:spacing w:line="480" w:lineRule="auto"/>
        <w:ind w:left="1890" w:leftChars="500" w:right="-11" w:hanging="690" w:hangingChars="230"/>
        <w:rPr>
          <w:rFonts w:ascii="宋体" w:hAnsi="宋体" w:cs="Arial"/>
          <w:color w:val="auto"/>
          <w:sz w:val="30"/>
          <w:szCs w:val="30"/>
          <w:highlight w:val="none"/>
        </w:rPr>
      </w:pPr>
      <w:r>
        <w:rPr>
          <w:rFonts w:hint="eastAsia" w:ascii="宋体" w:hAnsi="宋体" w:cs="Arial"/>
          <w:color w:val="auto"/>
          <w:sz w:val="30"/>
          <w:szCs w:val="30"/>
          <w:highlight w:val="none"/>
        </w:rPr>
        <w:t>采购</w:t>
      </w:r>
      <w:r>
        <w:rPr>
          <w:rFonts w:ascii="宋体" w:hAnsi="宋体" w:cs="Arial"/>
          <w:color w:val="auto"/>
          <w:sz w:val="30"/>
          <w:szCs w:val="30"/>
          <w:highlight w:val="none"/>
        </w:rPr>
        <w:t>代理机构：</w:t>
      </w:r>
      <w:r>
        <w:rPr>
          <w:rFonts w:hint="eastAsia" w:ascii="宋体" w:hAnsi="宋体" w:cs="Arial"/>
          <w:color w:val="auto"/>
          <w:sz w:val="30"/>
          <w:szCs w:val="30"/>
          <w:highlight w:val="none"/>
        </w:rPr>
        <w:t>中招国际招标有限公司江西分公司</w:t>
      </w:r>
    </w:p>
    <w:p w14:paraId="1D88AC32">
      <w:pPr>
        <w:tabs>
          <w:tab w:val="left" w:pos="1418"/>
        </w:tabs>
        <w:rPr>
          <w:rFonts w:ascii="Arial" w:hAnsi="Arial" w:cs="Arial"/>
          <w:color w:val="auto"/>
          <w:highlight w:val="none"/>
        </w:rPr>
      </w:pPr>
    </w:p>
    <w:p w14:paraId="2D2B9F6E">
      <w:pPr>
        <w:ind w:right="-11"/>
        <w:jc w:val="center"/>
        <w:rPr>
          <w:rFonts w:ascii="Arial" w:hAnsi="Arial" w:cs="Arial"/>
          <w:bCs/>
          <w:color w:val="auto"/>
          <w:sz w:val="32"/>
          <w:szCs w:val="22"/>
          <w:highlight w:val="none"/>
        </w:rPr>
      </w:pPr>
    </w:p>
    <w:p w14:paraId="4B38081F">
      <w:pPr>
        <w:ind w:right="-11"/>
        <w:jc w:val="center"/>
        <w:rPr>
          <w:rFonts w:ascii="Arial" w:hAnsi="Arial" w:cs="Arial"/>
          <w:bCs/>
          <w:color w:val="auto"/>
          <w:sz w:val="32"/>
          <w:szCs w:val="22"/>
          <w:highlight w:val="none"/>
        </w:rPr>
      </w:pPr>
    </w:p>
    <w:p w14:paraId="65BDFA83">
      <w:pPr>
        <w:ind w:right="-11"/>
        <w:jc w:val="center"/>
        <w:rPr>
          <w:rFonts w:ascii="宋体" w:hAnsi="宋体" w:cs="宋体"/>
          <w:b/>
          <w:color w:val="auto"/>
          <w:sz w:val="36"/>
          <w:szCs w:val="36"/>
          <w:highlight w:val="none"/>
        </w:rPr>
      </w:pPr>
      <w:r>
        <w:rPr>
          <w:rFonts w:ascii="宋体" w:hAnsi="宋体" w:cs="宋体"/>
          <w:b/>
          <w:color w:val="auto"/>
          <w:sz w:val="36"/>
          <w:szCs w:val="36"/>
          <w:highlight w:val="none"/>
        </w:rPr>
        <w:t>二〇二</w:t>
      </w:r>
      <w:r>
        <w:rPr>
          <w:rFonts w:hint="eastAsia" w:ascii="宋体" w:hAnsi="宋体" w:cs="宋体"/>
          <w:b/>
          <w:color w:val="auto"/>
          <w:sz w:val="36"/>
          <w:szCs w:val="36"/>
          <w:highlight w:val="none"/>
        </w:rPr>
        <w:t>四</w:t>
      </w:r>
      <w:r>
        <w:rPr>
          <w:rFonts w:ascii="宋体" w:hAnsi="宋体" w:cs="宋体"/>
          <w:b/>
          <w:color w:val="auto"/>
          <w:sz w:val="36"/>
          <w:szCs w:val="36"/>
          <w:highlight w:val="none"/>
        </w:rPr>
        <w:t>年</w:t>
      </w:r>
      <w:r>
        <w:rPr>
          <w:rFonts w:hint="eastAsia" w:ascii="宋体" w:hAnsi="宋体" w:cs="宋体"/>
          <w:b/>
          <w:color w:val="auto"/>
          <w:sz w:val="36"/>
          <w:szCs w:val="36"/>
          <w:highlight w:val="none"/>
        </w:rPr>
        <w:t>十一</w:t>
      </w:r>
      <w:r>
        <w:rPr>
          <w:rFonts w:ascii="宋体" w:hAnsi="宋体" w:cs="宋体"/>
          <w:b/>
          <w:color w:val="auto"/>
          <w:sz w:val="36"/>
          <w:szCs w:val="36"/>
          <w:highlight w:val="none"/>
        </w:rPr>
        <w:t>月</w:t>
      </w:r>
    </w:p>
    <w:p w14:paraId="6C53CA35">
      <w:pPr>
        <w:spacing w:line="420" w:lineRule="auto"/>
        <w:ind w:left="840" w:leftChars="350" w:firstLine="602" w:firstLineChars="200"/>
        <w:rPr>
          <w:rFonts w:ascii="宋体" w:hAnsi="宋体" w:cs="宋体"/>
          <w:b/>
          <w:bCs/>
          <w:color w:val="auto"/>
          <w:sz w:val="30"/>
          <w:szCs w:val="30"/>
          <w:highlight w:val="none"/>
        </w:rPr>
      </w:pPr>
    </w:p>
    <w:p w14:paraId="45747E5A">
      <w:pPr>
        <w:pStyle w:val="46"/>
        <w:spacing w:before="120" w:after="120"/>
        <w:jc w:val="center"/>
        <w:rPr>
          <w:rFonts w:ascii="宋体" w:hAnsi="宋体" w:eastAsia="宋体" w:cs="宋体"/>
          <w:b w:val="0"/>
          <w:bCs w:val="0"/>
          <w:color w:val="auto"/>
          <w:kern w:val="2"/>
          <w:sz w:val="21"/>
          <w:szCs w:val="20"/>
          <w:highlight w:val="none"/>
          <w:lang w:val="zh-CN"/>
        </w:rPr>
        <w:sectPr>
          <w:headerReference r:id="rId6" w:type="first"/>
          <w:footerReference r:id="rId8" w:type="first"/>
          <w:footerReference r:id="rId7" w:type="default"/>
          <w:headerReference r:id="rId5" w:type="even"/>
          <w:pgSz w:w="11907" w:h="16840"/>
          <w:pgMar w:top="1474" w:right="1247" w:bottom="1474" w:left="1247" w:header="720" w:footer="720" w:gutter="0"/>
          <w:pgNumType w:fmt="decimal" w:start="1"/>
          <w:cols w:space="720" w:num="1"/>
          <w:docGrid w:linePitch="285" w:charSpace="0"/>
        </w:sectPr>
      </w:pPr>
    </w:p>
    <w:sdt>
      <w:sdtPr>
        <w:rPr>
          <w:rFonts w:hint="eastAsia" w:ascii="宋体" w:hAnsi="宋体" w:eastAsia="宋体" w:cs="宋体"/>
          <w:b w:val="0"/>
          <w:bCs w:val="0"/>
          <w:color w:val="auto"/>
          <w:kern w:val="2"/>
          <w:sz w:val="21"/>
          <w:szCs w:val="20"/>
          <w:highlight w:val="none"/>
          <w:lang w:val="zh-CN"/>
        </w:rPr>
        <w:id w:val="25081592"/>
      </w:sdtPr>
      <w:sdtEndPr>
        <w:rPr>
          <w:rFonts w:hint="eastAsia" w:ascii="宋体" w:hAnsi="宋体" w:eastAsia="宋体" w:cs="宋体"/>
          <w:b w:val="0"/>
          <w:bCs w:val="0"/>
          <w:color w:val="auto"/>
          <w:kern w:val="2"/>
          <w:sz w:val="24"/>
          <w:szCs w:val="20"/>
          <w:highlight w:val="none"/>
          <w:lang w:val="en-US"/>
        </w:rPr>
      </w:sdtEndPr>
      <w:sdtContent>
        <w:p w14:paraId="3DE3CD1F">
          <w:pPr>
            <w:pStyle w:val="46"/>
            <w:spacing w:before="120" w:after="120"/>
            <w:jc w:val="center"/>
            <w:rPr>
              <w:rFonts w:ascii="宋体" w:hAnsi="宋体" w:eastAsia="宋体" w:cs="宋体"/>
              <w:color w:val="auto"/>
              <w:szCs w:val="32"/>
              <w:highlight w:val="none"/>
            </w:rPr>
          </w:pPr>
          <w:r>
            <w:rPr>
              <w:rFonts w:hint="eastAsia" w:ascii="宋体" w:hAnsi="宋体" w:eastAsia="宋体" w:cs="宋体"/>
              <w:color w:val="auto"/>
              <w:szCs w:val="32"/>
              <w:highlight w:val="none"/>
              <w:lang w:val="zh-CN"/>
            </w:rPr>
            <w:t>目录</w:t>
          </w:r>
        </w:p>
        <w:p w14:paraId="67C8C578">
          <w:pPr>
            <w:pStyle w:val="20"/>
            <w:tabs>
              <w:tab w:val="right" w:leader="dot" w:pos="9403"/>
            </w:tabs>
            <w:rPr>
              <w:rFonts w:asciiTheme="minorHAnsi" w:hAnsiTheme="minorHAnsi" w:eastAsiaTheme="minorEastAsia" w:cstheme="minorBidi"/>
              <w:color w:val="auto"/>
              <w:sz w:val="21"/>
              <w:szCs w:val="22"/>
              <w:highlight w:val="none"/>
            </w:rPr>
          </w:pPr>
          <w:r>
            <w:rPr>
              <w:rFonts w:hint="eastAsia" w:ascii="宋体" w:hAnsi="宋体" w:cs="宋体"/>
              <w:color w:val="auto"/>
              <w:sz w:val="21"/>
              <w:szCs w:val="21"/>
              <w:highlight w:val="none"/>
            </w:rPr>
            <w:fldChar w:fldCharType="begin"/>
          </w:r>
          <w:r>
            <w:rPr>
              <w:rFonts w:hint="eastAsia" w:ascii="宋体" w:hAnsi="宋体" w:cs="宋体"/>
              <w:color w:val="auto"/>
              <w:sz w:val="21"/>
              <w:szCs w:val="21"/>
              <w:highlight w:val="none"/>
            </w:rPr>
            <w:instrText xml:space="preserve"> TOC \o "1-3" \h \z \u </w:instrText>
          </w:r>
          <w:r>
            <w:rPr>
              <w:rFonts w:hint="eastAsia" w:ascii="宋体" w:hAnsi="宋体" w:cs="宋体"/>
              <w:color w:val="auto"/>
              <w:sz w:val="21"/>
              <w:szCs w:val="21"/>
              <w:highlight w:val="none"/>
            </w:rPr>
            <w:fldChar w:fldCharType="separate"/>
          </w:r>
          <w:r>
            <w:rPr>
              <w:color w:val="auto"/>
              <w:highlight w:val="none"/>
            </w:rPr>
            <w:fldChar w:fldCharType="begin"/>
          </w:r>
          <w:r>
            <w:rPr>
              <w:color w:val="auto"/>
              <w:highlight w:val="none"/>
            </w:rPr>
            <w:instrText xml:space="preserve"> HYPERLINK \l "_Toc135054602" </w:instrText>
          </w:r>
          <w:r>
            <w:rPr>
              <w:color w:val="auto"/>
              <w:highlight w:val="none"/>
            </w:rPr>
            <w:fldChar w:fldCharType="separate"/>
          </w:r>
          <w:r>
            <w:rPr>
              <w:rStyle w:val="33"/>
              <w:rFonts w:hint="eastAsia" w:cs="宋体"/>
              <w:color w:val="auto"/>
              <w:highlight w:val="none"/>
            </w:rPr>
            <w:t>第一章　投标邀请</w:t>
          </w:r>
          <w:r>
            <w:rPr>
              <w:color w:val="auto"/>
              <w:highlight w:val="none"/>
            </w:rPr>
            <w:tab/>
          </w:r>
          <w:r>
            <w:rPr>
              <w:color w:val="auto"/>
              <w:highlight w:val="none"/>
            </w:rPr>
            <w:fldChar w:fldCharType="begin"/>
          </w:r>
          <w:r>
            <w:rPr>
              <w:color w:val="auto"/>
              <w:highlight w:val="none"/>
            </w:rPr>
            <w:instrText xml:space="preserve"> PAGEREF _Toc135054602 \h </w:instrText>
          </w:r>
          <w:r>
            <w:rPr>
              <w:color w:val="auto"/>
              <w:highlight w:val="none"/>
            </w:rPr>
            <w:fldChar w:fldCharType="separate"/>
          </w:r>
          <w:r>
            <w:rPr>
              <w:color w:val="auto"/>
              <w:highlight w:val="none"/>
            </w:rPr>
            <w:t>3</w:t>
          </w:r>
          <w:r>
            <w:rPr>
              <w:color w:val="auto"/>
              <w:highlight w:val="none"/>
            </w:rPr>
            <w:fldChar w:fldCharType="end"/>
          </w:r>
          <w:r>
            <w:rPr>
              <w:color w:val="auto"/>
              <w:highlight w:val="none"/>
            </w:rPr>
            <w:fldChar w:fldCharType="end"/>
          </w:r>
        </w:p>
        <w:p w14:paraId="2F1A27A3">
          <w:pPr>
            <w:pStyle w:val="20"/>
            <w:tabs>
              <w:tab w:val="right" w:leader="dot" w:pos="9403"/>
            </w:tabs>
            <w:rPr>
              <w:rFonts w:asciiTheme="minorHAnsi" w:hAnsiTheme="minorHAnsi" w:eastAsiaTheme="minorEastAsia" w:cstheme="minorBidi"/>
              <w:color w:val="auto"/>
              <w:sz w:val="21"/>
              <w:szCs w:val="22"/>
              <w:highlight w:val="none"/>
            </w:rPr>
          </w:pPr>
          <w:r>
            <w:rPr>
              <w:color w:val="auto"/>
              <w:highlight w:val="none"/>
            </w:rPr>
            <w:fldChar w:fldCharType="begin"/>
          </w:r>
          <w:r>
            <w:rPr>
              <w:color w:val="auto"/>
              <w:highlight w:val="none"/>
            </w:rPr>
            <w:instrText xml:space="preserve"> HYPERLINK \l "_Toc135054603" </w:instrText>
          </w:r>
          <w:r>
            <w:rPr>
              <w:color w:val="auto"/>
              <w:highlight w:val="none"/>
            </w:rPr>
            <w:fldChar w:fldCharType="separate"/>
          </w:r>
          <w:r>
            <w:rPr>
              <w:rStyle w:val="33"/>
              <w:rFonts w:hint="eastAsia" w:cs="宋体"/>
              <w:color w:val="auto"/>
              <w:highlight w:val="none"/>
            </w:rPr>
            <w:t>第二章　投标人须知</w:t>
          </w:r>
          <w:r>
            <w:rPr>
              <w:color w:val="auto"/>
              <w:highlight w:val="none"/>
            </w:rPr>
            <w:tab/>
          </w:r>
          <w:r>
            <w:rPr>
              <w:color w:val="auto"/>
              <w:highlight w:val="none"/>
            </w:rPr>
            <w:fldChar w:fldCharType="begin"/>
          </w:r>
          <w:r>
            <w:rPr>
              <w:color w:val="auto"/>
              <w:highlight w:val="none"/>
            </w:rPr>
            <w:instrText xml:space="preserve"> PAGEREF _Toc135054603 \h </w:instrText>
          </w:r>
          <w:r>
            <w:rPr>
              <w:color w:val="auto"/>
              <w:highlight w:val="none"/>
            </w:rPr>
            <w:fldChar w:fldCharType="separate"/>
          </w:r>
          <w:r>
            <w:rPr>
              <w:color w:val="auto"/>
              <w:highlight w:val="none"/>
            </w:rPr>
            <w:t>6</w:t>
          </w:r>
          <w:r>
            <w:rPr>
              <w:color w:val="auto"/>
              <w:highlight w:val="none"/>
            </w:rPr>
            <w:fldChar w:fldCharType="end"/>
          </w:r>
          <w:r>
            <w:rPr>
              <w:color w:val="auto"/>
              <w:highlight w:val="none"/>
            </w:rPr>
            <w:fldChar w:fldCharType="end"/>
          </w:r>
        </w:p>
        <w:p w14:paraId="5E52A115">
          <w:pPr>
            <w:pStyle w:val="20"/>
            <w:tabs>
              <w:tab w:val="right" w:leader="dot" w:pos="9403"/>
            </w:tabs>
            <w:rPr>
              <w:rFonts w:asciiTheme="minorHAnsi" w:hAnsiTheme="minorHAnsi" w:eastAsiaTheme="minorEastAsia" w:cstheme="minorBidi"/>
              <w:color w:val="auto"/>
              <w:sz w:val="21"/>
              <w:szCs w:val="22"/>
              <w:highlight w:val="none"/>
            </w:rPr>
          </w:pPr>
          <w:r>
            <w:rPr>
              <w:color w:val="auto"/>
              <w:highlight w:val="none"/>
            </w:rPr>
            <w:fldChar w:fldCharType="begin"/>
          </w:r>
          <w:r>
            <w:rPr>
              <w:color w:val="auto"/>
              <w:highlight w:val="none"/>
            </w:rPr>
            <w:instrText xml:space="preserve"> HYPERLINK \l "_Toc135054604" </w:instrText>
          </w:r>
          <w:r>
            <w:rPr>
              <w:color w:val="auto"/>
              <w:highlight w:val="none"/>
            </w:rPr>
            <w:fldChar w:fldCharType="separate"/>
          </w:r>
          <w:r>
            <w:rPr>
              <w:rStyle w:val="33"/>
              <w:rFonts w:hint="eastAsia" w:cs="宋体"/>
              <w:color w:val="auto"/>
              <w:highlight w:val="none"/>
            </w:rPr>
            <w:t>第三章　评标办法</w:t>
          </w:r>
          <w:r>
            <w:rPr>
              <w:color w:val="auto"/>
              <w:highlight w:val="none"/>
            </w:rPr>
            <w:tab/>
          </w:r>
          <w:r>
            <w:rPr>
              <w:color w:val="auto"/>
              <w:highlight w:val="none"/>
            </w:rPr>
            <w:fldChar w:fldCharType="begin"/>
          </w:r>
          <w:r>
            <w:rPr>
              <w:color w:val="auto"/>
              <w:highlight w:val="none"/>
            </w:rPr>
            <w:instrText xml:space="preserve"> PAGEREF _Toc135054604 \h </w:instrText>
          </w:r>
          <w:r>
            <w:rPr>
              <w:color w:val="auto"/>
              <w:highlight w:val="none"/>
            </w:rPr>
            <w:fldChar w:fldCharType="separate"/>
          </w:r>
          <w:r>
            <w:rPr>
              <w:color w:val="auto"/>
              <w:highlight w:val="none"/>
            </w:rPr>
            <w:t>23</w:t>
          </w:r>
          <w:r>
            <w:rPr>
              <w:color w:val="auto"/>
              <w:highlight w:val="none"/>
            </w:rPr>
            <w:fldChar w:fldCharType="end"/>
          </w:r>
          <w:r>
            <w:rPr>
              <w:color w:val="auto"/>
              <w:highlight w:val="none"/>
            </w:rPr>
            <w:fldChar w:fldCharType="end"/>
          </w:r>
        </w:p>
        <w:p w14:paraId="41131052">
          <w:pPr>
            <w:pStyle w:val="20"/>
            <w:tabs>
              <w:tab w:val="right" w:leader="dot" w:pos="9403"/>
            </w:tabs>
            <w:rPr>
              <w:rFonts w:asciiTheme="minorHAnsi" w:hAnsiTheme="minorHAnsi" w:eastAsiaTheme="minorEastAsia" w:cstheme="minorBidi"/>
              <w:color w:val="auto"/>
              <w:sz w:val="21"/>
              <w:szCs w:val="22"/>
              <w:highlight w:val="none"/>
            </w:rPr>
          </w:pPr>
          <w:r>
            <w:rPr>
              <w:color w:val="auto"/>
              <w:highlight w:val="none"/>
            </w:rPr>
            <w:fldChar w:fldCharType="begin"/>
          </w:r>
          <w:r>
            <w:rPr>
              <w:color w:val="auto"/>
              <w:highlight w:val="none"/>
            </w:rPr>
            <w:instrText xml:space="preserve"> HYPERLINK \l "_Toc135054605" </w:instrText>
          </w:r>
          <w:r>
            <w:rPr>
              <w:color w:val="auto"/>
              <w:highlight w:val="none"/>
            </w:rPr>
            <w:fldChar w:fldCharType="separate"/>
          </w:r>
          <w:r>
            <w:rPr>
              <w:rStyle w:val="33"/>
              <w:rFonts w:hint="eastAsia" w:cs="宋体"/>
              <w:color w:val="auto"/>
              <w:highlight w:val="none"/>
            </w:rPr>
            <w:t>第四章　采购需求</w:t>
          </w:r>
          <w:r>
            <w:rPr>
              <w:color w:val="auto"/>
              <w:highlight w:val="none"/>
            </w:rPr>
            <w:tab/>
          </w:r>
          <w:r>
            <w:rPr>
              <w:color w:val="auto"/>
              <w:highlight w:val="none"/>
            </w:rPr>
            <w:fldChar w:fldCharType="begin"/>
          </w:r>
          <w:r>
            <w:rPr>
              <w:color w:val="auto"/>
              <w:highlight w:val="none"/>
            </w:rPr>
            <w:instrText xml:space="preserve"> PAGEREF _Toc135054605 \h </w:instrText>
          </w:r>
          <w:r>
            <w:rPr>
              <w:color w:val="auto"/>
              <w:highlight w:val="none"/>
            </w:rPr>
            <w:fldChar w:fldCharType="separate"/>
          </w:r>
          <w:r>
            <w:rPr>
              <w:color w:val="auto"/>
              <w:highlight w:val="none"/>
            </w:rPr>
            <w:t>32</w:t>
          </w:r>
          <w:r>
            <w:rPr>
              <w:color w:val="auto"/>
              <w:highlight w:val="none"/>
            </w:rPr>
            <w:fldChar w:fldCharType="end"/>
          </w:r>
          <w:r>
            <w:rPr>
              <w:color w:val="auto"/>
              <w:highlight w:val="none"/>
            </w:rPr>
            <w:fldChar w:fldCharType="end"/>
          </w:r>
        </w:p>
        <w:p w14:paraId="7BDB3A77">
          <w:pPr>
            <w:pStyle w:val="20"/>
            <w:tabs>
              <w:tab w:val="right" w:leader="dot" w:pos="9403"/>
            </w:tabs>
            <w:rPr>
              <w:rFonts w:asciiTheme="minorHAnsi" w:hAnsiTheme="minorHAnsi" w:eastAsiaTheme="minorEastAsia" w:cstheme="minorBidi"/>
              <w:color w:val="auto"/>
              <w:sz w:val="21"/>
              <w:szCs w:val="22"/>
              <w:highlight w:val="none"/>
            </w:rPr>
          </w:pPr>
          <w:r>
            <w:rPr>
              <w:color w:val="auto"/>
              <w:highlight w:val="none"/>
            </w:rPr>
            <w:fldChar w:fldCharType="begin"/>
          </w:r>
          <w:r>
            <w:rPr>
              <w:color w:val="auto"/>
              <w:highlight w:val="none"/>
            </w:rPr>
            <w:instrText xml:space="preserve"> HYPERLINK \l "_Toc135054606" </w:instrText>
          </w:r>
          <w:r>
            <w:rPr>
              <w:color w:val="auto"/>
              <w:highlight w:val="none"/>
            </w:rPr>
            <w:fldChar w:fldCharType="separate"/>
          </w:r>
          <w:r>
            <w:rPr>
              <w:rStyle w:val="33"/>
              <w:rFonts w:hint="eastAsia" w:cs="宋体"/>
              <w:color w:val="auto"/>
              <w:highlight w:val="none"/>
            </w:rPr>
            <w:t>第五章　</w:t>
          </w:r>
          <w:r>
            <w:rPr>
              <w:rStyle w:val="33"/>
              <w:rFonts w:hint="eastAsia"/>
              <w:color w:val="auto"/>
              <w:highlight w:val="none"/>
            </w:rPr>
            <w:t>合同条款及格式</w:t>
          </w:r>
          <w:r>
            <w:rPr>
              <w:color w:val="auto"/>
              <w:highlight w:val="none"/>
            </w:rPr>
            <w:tab/>
          </w:r>
          <w:r>
            <w:rPr>
              <w:color w:val="auto"/>
              <w:highlight w:val="none"/>
            </w:rPr>
            <w:fldChar w:fldCharType="begin"/>
          </w:r>
          <w:r>
            <w:rPr>
              <w:color w:val="auto"/>
              <w:highlight w:val="none"/>
            </w:rPr>
            <w:instrText xml:space="preserve"> PAGEREF _Toc135054606 \h</w:instrText>
          </w:r>
          <w:r>
            <w:rPr>
              <w:color w:val="auto"/>
              <w:highlight w:val="none"/>
            </w:rPr>
            <w:fldChar w:fldCharType="separate"/>
          </w:r>
          <w:r>
            <w:rPr>
              <w:color w:val="auto"/>
              <w:highlight w:val="none"/>
            </w:rPr>
            <w:t>63</w:t>
          </w:r>
          <w:r>
            <w:rPr>
              <w:color w:val="auto"/>
              <w:highlight w:val="none"/>
            </w:rPr>
            <w:fldChar w:fldCharType="end"/>
          </w:r>
          <w:r>
            <w:rPr>
              <w:color w:val="auto"/>
              <w:highlight w:val="none"/>
            </w:rPr>
            <w:fldChar w:fldCharType="end"/>
          </w:r>
        </w:p>
        <w:p w14:paraId="35E0A95F">
          <w:pPr>
            <w:pStyle w:val="20"/>
            <w:tabs>
              <w:tab w:val="right" w:leader="dot" w:pos="9403"/>
            </w:tabs>
            <w:rPr>
              <w:rFonts w:asciiTheme="minorHAnsi" w:hAnsiTheme="minorHAnsi" w:eastAsiaTheme="minorEastAsia" w:cstheme="minorBidi"/>
              <w:color w:val="auto"/>
              <w:sz w:val="21"/>
              <w:szCs w:val="22"/>
              <w:highlight w:val="none"/>
            </w:rPr>
          </w:pPr>
          <w:r>
            <w:rPr>
              <w:color w:val="auto"/>
              <w:highlight w:val="none"/>
            </w:rPr>
            <w:fldChar w:fldCharType="begin"/>
          </w:r>
          <w:r>
            <w:rPr>
              <w:color w:val="auto"/>
              <w:highlight w:val="none"/>
            </w:rPr>
            <w:instrText xml:space="preserve"> HYPERLINK \l "_Toc135054607" </w:instrText>
          </w:r>
          <w:r>
            <w:rPr>
              <w:color w:val="auto"/>
              <w:highlight w:val="none"/>
            </w:rPr>
            <w:fldChar w:fldCharType="separate"/>
          </w:r>
          <w:r>
            <w:rPr>
              <w:rStyle w:val="33"/>
              <w:rFonts w:hint="eastAsia" w:cs="宋体"/>
              <w:color w:val="auto"/>
              <w:highlight w:val="none"/>
            </w:rPr>
            <w:t>第六章　投标文件格式</w:t>
          </w:r>
          <w:r>
            <w:rPr>
              <w:color w:val="auto"/>
              <w:highlight w:val="none"/>
            </w:rPr>
            <w:tab/>
          </w:r>
          <w:r>
            <w:rPr>
              <w:color w:val="auto"/>
              <w:highlight w:val="none"/>
            </w:rPr>
            <w:fldChar w:fldCharType="begin"/>
          </w:r>
          <w:r>
            <w:rPr>
              <w:color w:val="auto"/>
              <w:highlight w:val="none"/>
            </w:rPr>
            <w:instrText xml:space="preserve"> PAGEREF _Toc135054607 \h </w:instrText>
          </w:r>
          <w:r>
            <w:rPr>
              <w:color w:val="auto"/>
              <w:highlight w:val="none"/>
            </w:rPr>
            <w:fldChar w:fldCharType="separate"/>
          </w:r>
          <w:r>
            <w:rPr>
              <w:color w:val="auto"/>
              <w:highlight w:val="none"/>
            </w:rPr>
            <w:t>75</w:t>
          </w:r>
          <w:r>
            <w:rPr>
              <w:color w:val="auto"/>
              <w:highlight w:val="none"/>
            </w:rPr>
            <w:fldChar w:fldCharType="end"/>
          </w:r>
          <w:r>
            <w:rPr>
              <w:color w:val="auto"/>
              <w:highlight w:val="none"/>
            </w:rPr>
            <w:fldChar w:fldCharType="end"/>
          </w:r>
        </w:p>
        <w:p w14:paraId="2A2DCA89">
          <w:pPr>
            <w:tabs>
              <w:tab w:val="right" w:pos="9413"/>
            </w:tabs>
            <w:spacing w:line="240" w:lineRule="auto"/>
            <w:rPr>
              <w:rFonts w:ascii="宋体" w:hAnsi="宋体" w:cs="宋体"/>
              <w:b/>
              <w:color w:val="auto"/>
              <w:sz w:val="36"/>
              <w:highlight w:val="none"/>
            </w:rPr>
            <w:sectPr>
              <w:pgSz w:w="11907" w:h="16840"/>
              <w:pgMar w:top="1474" w:right="1247" w:bottom="1474" w:left="1247" w:header="720" w:footer="720" w:gutter="0"/>
              <w:pgNumType w:fmt="decimal"/>
              <w:cols w:space="720" w:num="1"/>
              <w:docGrid w:linePitch="285" w:charSpace="0"/>
            </w:sectPr>
          </w:pPr>
          <w:r>
            <w:rPr>
              <w:rFonts w:hint="eastAsia" w:ascii="宋体" w:hAnsi="宋体" w:cs="宋体"/>
              <w:color w:val="auto"/>
              <w:szCs w:val="21"/>
              <w:highlight w:val="none"/>
            </w:rPr>
            <w:fldChar w:fldCharType="end"/>
          </w:r>
        </w:p>
      </w:sdtContent>
    </w:sdt>
    <w:p w14:paraId="7CD29A00">
      <w:pPr>
        <w:pStyle w:val="3"/>
        <w:spacing w:before="156" w:after="156"/>
        <w:rPr>
          <w:rFonts w:cs="宋体"/>
          <w:b w:val="0"/>
          <w:bCs w:val="0"/>
          <w:color w:val="auto"/>
          <w:highlight w:val="none"/>
        </w:rPr>
      </w:pPr>
      <w:bookmarkStart w:id="0" w:name="_Toc135054602"/>
      <w:r>
        <w:rPr>
          <w:rFonts w:hint="eastAsia" w:cs="宋体"/>
          <w:color w:val="auto"/>
          <w:highlight w:val="none"/>
        </w:rPr>
        <w:t>第一章　投标邀请</w:t>
      </w:r>
      <w:bookmarkEnd w:id="0"/>
    </w:p>
    <w:p w14:paraId="65D935BF">
      <w:pPr>
        <w:ind w:firstLine="630" w:firstLineChars="300"/>
        <w:rPr>
          <w:rFonts w:ascii="宋体" w:hAnsi="宋体" w:cs="宋体"/>
          <w:color w:val="auto"/>
          <w:sz w:val="21"/>
          <w:szCs w:val="21"/>
          <w:highlight w:val="none"/>
        </w:rPr>
      </w:pPr>
      <w:r>
        <w:rPr>
          <w:rFonts w:hint="eastAsia" w:ascii="宋体" w:hAnsi="宋体" w:cs="宋体"/>
          <w:color w:val="auto"/>
          <w:sz w:val="21"/>
          <w:szCs w:val="21"/>
          <w:highlight w:val="none"/>
        </w:rPr>
        <w:t>中招国际招标有限公司江西分公司（以下简称“招标代理机构”）受国家计算机网络与信息安全管理中心江西分中心（以下简称“招标人”）委托，就国家计算机网络与信息安全管理中心江西分中心综合机房楼物业管理综合服务项目进行国内公开招标，欢迎符合资格条件的投标人参加投标。</w:t>
      </w:r>
    </w:p>
    <w:p w14:paraId="0F2461B9">
      <w:pPr>
        <w:rPr>
          <w:rFonts w:ascii="宋体" w:hAnsi="宋体" w:cs="宋体"/>
          <w:b/>
          <w:color w:val="auto"/>
          <w:sz w:val="21"/>
          <w:szCs w:val="21"/>
          <w:highlight w:val="none"/>
        </w:rPr>
      </w:pPr>
      <w:r>
        <w:rPr>
          <w:rFonts w:hint="eastAsia" w:ascii="宋体" w:hAnsi="宋体" w:cs="宋体"/>
          <w:b/>
          <w:color w:val="auto"/>
          <w:sz w:val="21"/>
          <w:szCs w:val="21"/>
          <w:highlight w:val="none"/>
        </w:rPr>
        <w:t>一、项目基本情况</w:t>
      </w:r>
    </w:p>
    <w:p w14:paraId="0E4F7A1A">
      <w:pPr>
        <w:ind w:firstLine="420" w:firstLineChars="200"/>
        <w:rPr>
          <w:rFonts w:ascii="宋体" w:hAnsi="宋体" w:cs="宋体"/>
          <w:color w:val="auto"/>
          <w:sz w:val="21"/>
          <w:szCs w:val="21"/>
          <w:highlight w:val="none"/>
        </w:rPr>
      </w:pPr>
      <w:r>
        <w:rPr>
          <w:rFonts w:hint="eastAsia" w:ascii="宋体" w:hAnsi="宋体" w:cs="宋体"/>
          <w:color w:val="auto"/>
          <w:sz w:val="21"/>
          <w:szCs w:val="21"/>
          <w:highlight w:val="none"/>
        </w:rPr>
        <w:t>项目编号：TC249XMAD</w:t>
      </w:r>
    </w:p>
    <w:p w14:paraId="6FD83821">
      <w:pPr>
        <w:ind w:firstLine="420" w:firstLineChars="200"/>
        <w:rPr>
          <w:rFonts w:ascii="宋体" w:hAnsi="宋体" w:cs="宋体"/>
          <w:color w:val="auto"/>
          <w:sz w:val="21"/>
          <w:szCs w:val="21"/>
          <w:highlight w:val="none"/>
        </w:rPr>
      </w:pPr>
      <w:r>
        <w:rPr>
          <w:rFonts w:hint="eastAsia" w:ascii="宋体" w:hAnsi="宋体" w:cs="宋体"/>
          <w:color w:val="auto"/>
          <w:sz w:val="21"/>
          <w:szCs w:val="21"/>
          <w:highlight w:val="none"/>
        </w:rPr>
        <w:t>项目名称：国家计算机网络与信息安全管理中心江西分中心综合机房楼物业管理综合服务项目</w:t>
      </w:r>
    </w:p>
    <w:p w14:paraId="66D32907">
      <w:pPr>
        <w:ind w:firstLine="420" w:firstLineChars="200"/>
        <w:rPr>
          <w:rFonts w:ascii="宋体" w:hAnsi="宋体" w:cs="宋体"/>
          <w:bCs/>
          <w:color w:val="auto"/>
          <w:sz w:val="21"/>
          <w:szCs w:val="21"/>
          <w:highlight w:val="none"/>
        </w:rPr>
      </w:pPr>
      <w:r>
        <w:rPr>
          <w:rFonts w:hint="eastAsia" w:ascii="宋体" w:hAnsi="宋体" w:cs="宋体"/>
          <w:bCs/>
          <w:color w:val="auto"/>
          <w:sz w:val="21"/>
          <w:szCs w:val="21"/>
          <w:highlight w:val="none"/>
        </w:rPr>
        <w:t>预算金额：</w:t>
      </w:r>
      <w:r>
        <w:rPr>
          <w:rFonts w:ascii="宋体" w:hAnsi="宋体" w:cs="宋体"/>
          <w:bCs/>
          <w:color w:val="auto"/>
          <w:sz w:val="21"/>
          <w:szCs w:val="21"/>
          <w:highlight w:val="none"/>
        </w:rPr>
        <w:t>249.35</w:t>
      </w:r>
      <w:r>
        <w:rPr>
          <w:rFonts w:hint="eastAsia" w:ascii="宋体" w:hAnsi="宋体" w:cs="宋体"/>
          <w:bCs/>
          <w:color w:val="auto"/>
          <w:sz w:val="21"/>
          <w:szCs w:val="21"/>
          <w:highlight w:val="none"/>
        </w:rPr>
        <w:t>万元（人民币）</w:t>
      </w:r>
    </w:p>
    <w:p w14:paraId="7CA735EE">
      <w:pPr>
        <w:ind w:firstLine="420" w:firstLineChars="200"/>
        <w:rPr>
          <w:rFonts w:ascii="宋体" w:hAnsi="宋体" w:cs="宋体"/>
          <w:bCs/>
          <w:color w:val="auto"/>
          <w:sz w:val="21"/>
          <w:szCs w:val="21"/>
          <w:highlight w:val="none"/>
        </w:rPr>
      </w:pPr>
      <w:r>
        <w:rPr>
          <w:rFonts w:hint="eastAsia" w:ascii="宋体" w:hAnsi="宋体" w:cs="宋体"/>
          <w:bCs/>
          <w:color w:val="auto"/>
          <w:sz w:val="21"/>
          <w:szCs w:val="21"/>
          <w:highlight w:val="none"/>
        </w:rPr>
        <w:t>采购需求：</w:t>
      </w:r>
    </w:p>
    <w:tbl>
      <w:tblPr>
        <w:tblStyle w:val="27"/>
        <w:tblW w:w="852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47"/>
        <w:gridCol w:w="1701"/>
        <w:gridCol w:w="1925"/>
        <w:gridCol w:w="3355"/>
      </w:tblGrid>
      <w:tr w14:paraId="4EB236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1" w:hRule="atLeast"/>
          <w:jc w:val="center"/>
        </w:trPr>
        <w:tc>
          <w:tcPr>
            <w:tcW w:w="1547" w:type="dxa"/>
            <w:tcBorders>
              <w:top w:val="single" w:color="auto" w:sz="4" w:space="0"/>
              <w:left w:val="single" w:color="auto" w:sz="4" w:space="0"/>
              <w:bottom w:val="single" w:color="auto" w:sz="4" w:space="0"/>
              <w:right w:val="single" w:color="auto" w:sz="4" w:space="0"/>
            </w:tcBorders>
            <w:vAlign w:val="center"/>
          </w:tcPr>
          <w:p w14:paraId="06DF1FAA">
            <w:pPr>
              <w:jc w:val="center"/>
              <w:textAlignment w:val="center"/>
              <w:rPr>
                <w:rFonts w:ascii="宋体" w:hAnsi="宋体" w:cs="宋体"/>
                <w:b/>
                <w:color w:val="auto"/>
                <w:sz w:val="21"/>
                <w:szCs w:val="21"/>
                <w:highlight w:val="none"/>
              </w:rPr>
            </w:pPr>
            <w:bookmarkStart w:id="1" w:name="_Hlk132218898"/>
            <w:r>
              <w:rPr>
                <w:rFonts w:hint="eastAsia" w:ascii="宋体" w:hAnsi="宋体" w:cs="宋体"/>
                <w:b/>
                <w:color w:val="auto"/>
                <w:sz w:val="21"/>
                <w:szCs w:val="21"/>
                <w:highlight w:val="none"/>
              </w:rPr>
              <w:t>标的名称</w:t>
            </w:r>
          </w:p>
        </w:tc>
        <w:tc>
          <w:tcPr>
            <w:tcW w:w="1701" w:type="dxa"/>
            <w:tcBorders>
              <w:top w:val="single" w:color="auto" w:sz="4" w:space="0"/>
              <w:left w:val="single" w:color="auto" w:sz="4" w:space="0"/>
              <w:bottom w:val="single" w:color="auto" w:sz="4" w:space="0"/>
              <w:right w:val="single" w:color="auto" w:sz="4" w:space="0"/>
            </w:tcBorders>
            <w:vAlign w:val="center"/>
          </w:tcPr>
          <w:p w14:paraId="269DB673">
            <w:pPr>
              <w:jc w:val="center"/>
              <w:textAlignment w:val="center"/>
              <w:rPr>
                <w:rFonts w:ascii="宋体" w:hAnsi="宋体" w:cs="宋体"/>
                <w:b/>
                <w:color w:val="auto"/>
                <w:sz w:val="21"/>
                <w:szCs w:val="21"/>
                <w:highlight w:val="none"/>
              </w:rPr>
            </w:pPr>
            <w:r>
              <w:rPr>
                <w:rFonts w:hint="eastAsia" w:ascii="宋体" w:hAnsi="宋体" w:cs="宋体"/>
                <w:b/>
                <w:color w:val="auto"/>
                <w:sz w:val="21"/>
                <w:szCs w:val="21"/>
                <w:highlight w:val="none"/>
              </w:rPr>
              <w:t>数量</w:t>
            </w:r>
          </w:p>
        </w:tc>
        <w:tc>
          <w:tcPr>
            <w:tcW w:w="1925" w:type="dxa"/>
            <w:tcBorders>
              <w:top w:val="single" w:color="auto" w:sz="4" w:space="0"/>
              <w:left w:val="single" w:color="auto" w:sz="4" w:space="0"/>
              <w:bottom w:val="single" w:color="auto" w:sz="4" w:space="0"/>
              <w:right w:val="single" w:color="auto" w:sz="4" w:space="0"/>
            </w:tcBorders>
            <w:vAlign w:val="center"/>
          </w:tcPr>
          <w:p w14:paraId="43333565">
            <w:pPr>
              <w:jc w:val="center"/>
              <w:textAlignment w:val="center"/>
              <w:rPr>
                <w:rFonts w:ascii="宋体" w:hAnsi="宋体" w:cs="宋体"/>
                <w:b/>
                <w:color w:val="auto"/>
                <w:sz w:val="21"/>
                <w:szCs w:val="21"/>
                <w:highlight w:val="none"/>
              </w:rPr>
            </w:pPr>
            <w:r>
              <w:rPr>
                <w:rFonts w:hint="eastAsia" w:ascii="宋体" w:hAnsi="宋体" w:cs="宋体"/>
                <w:b/>
                <w:color w:val="auto"/>
                <w:sz w:val="21"/>
                <w:szCs w:val="21"/>
                <w:highlight w:val="none"/>
              </w:rPr>
              <w:t>采购预算</w:t>
            </w:r>
          </w:p>
          <w:p w14:paraId="3A53C5DF">
            <w:pPr>
              <w:jc w:val="center"/>
              <w:textAlignment w:val="center"/>
              <w:rPr>
                <w:rFonts w:ascii="宋体" w:hAnsi="宋体" w:cs="宋体"/>
                <w:b/>
                <w:color w:val="auto"/>
                <w:sz w:val="21"/>
                <w:szCs w:val="21"/>
                <w:highlight w:val="none"/>
              </w:rPr>
            </w:pPr>
            <w:r>
              <w:rPr>
                <w:rFonts w:hint="eastAsia" w:ascii="宋体" w:hAnsi="宋体" w:cs="宋体"/>
                <w:b/>
                <w:color w:val="auto"/>
                <w:sz w:val="21"/>
                <w:szCs w:val="21"/>
                <w:highlight w:val="none"/>
              </w:rPr>
              <w:t>（人民币）</w:t>
            </w:r>
          </w:p>
        </w:tc>
        <w:tc>
          <w:tcPr>
            <w:tcW w:w="3355" w:type="dxa"/>
            <w:tcBorders>
              <w:top w:val="single" w:color="auto" w:sz="4" w:space="0"/>
              <w:left w:val="single" w:color="auto" w:sz="4" w:space="0"/>
              <w:bottom w:val="single" w:color="auto" w:sz="4" w:space="0"/>
              <w:right w:val="single" w:color="auto" w:sz="4" w:space="0"/>
            </w:tcBorders>
            <w:vAlign w:val="center"/>
          </w:tcPr>
          <w:p w14:paraId="724E2E2C">
            <w:pPr>
              <w:jc w:val="center"/>
              <w:textAlignment w:val="center"/>
              <w:rPr>
                <w:rFonts w:ascii="宋体" w:hAnsi="宋体" w:cs="宋体"/>
                <w:b/>
                <w:color w:val="auto"/>
                <w:sz w:val="21"/>
                <w:szCs w:val="21"/>
                <w:highlight w:val="none"/>
              </w:rPr>
            </w:pPr>
            <w:r>
              <w:rPr>
                <w:rFonts w:hint="eastAsia" w:ascii="宋体" w:hAnsi="宋体" w:cs="宋体"/>
                <w:b/>
                <w:color w:val="auto"/>
                <w:sz w:val="21"/>
                <w:szCs w:val="21"/>
                <w:highlight w:val="none"/>
              </w:rPr>
              <w:t>简要技术要求或服务要求</w:t>
            </w:r>
          </w:p>
        </w:tc>
      </w:tr>
      <w:tr w14:paraId="5E7360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3" w:hRule="atLeast"/>
          <w:jc w:val="center"/>
        </w:trPr>
        <w:tc>
          <w:tcPr>
            <w:tcW w:w="1547" w:type="dxa"/>
            <w:tcBorders>
              <w:top w:val="single" w:color="auto" w:sz="4" w:space="0"/>
              <w:left w:val="single" w:color="auto" w:sz="4" w:space="0"/>
              <w:bottom w:val="single" w:color="auto" w:sz="4" w:space="0"/>
              <w:right w:val="single" w:color="auto" w:sz="4" w:space="0"/>
            </w:tcBorders>
            <w:vAlign w:val="center"/>
          </w:tcPr>
          <w:p w14:paraId="114787B7">
            <w:pPr>
              <w:jc w:val="center"/>
              <w:textAlignment w:val="center"/>
              <w:rPr>
                <w:rFonts w:ascii="宋体" w:hAnsi="宋体" w:cs="宋体"/>
                <w:bCs/>
                <w:color w:val="auto"/>
                <w:sz w:val="21"/>
                <w:szCs w:val="21"/>
                <w:highlight w:val="none"/>
              </w:rPr>
            </w:pPr>
            <w:r>
              <w:rPr>
                <w:rFonts w:hint="eastAsia" w:ascii="宋体" w:hAnsi="宋体" w:cs="宋体"/>
                <w:bCs/>
                <w:color w:val="auto"/>
                <w:sz w:val="21"/>
                <w:szCs w:val="21"/>
                <w:highlight w:val="none"/>
              </w:rPr>
              <w:t>物业服务</w:t>
            </w:r>
          </w:p>
        </w:tc>
        <w:tc>
          <w:tcPr>
            <w:tcW w:w="1701" w:type="dxa"/>
            <w:tcBorders>
              <w:top w:val="single" w:color="auto" w:sz="4" w:space="0"/>
              <w:left w:val="single" w:color="auto" w:sz="4" w:space="0"/>
              <w:bottom w:val="single" w:color="auto" w:sz="4" w:space="0"/>
              <w:right w:val="single" w:color="auto" w:sz="4" w:space="0"/>
            </w:tcBorders>
            <w:vAlign w:val="center"/>
          </w:tcPr>
          <w:p w14:paraId="7B7E2F6C">
            <w:pPr>
              <w:jc w:val="center"/>
              <w:textAlignment w:val="center"/>
              <w:rPr>
                <w:rFonts w:ascii="宋体" w:hAnsi="宋体" w:cs="宋体"/>
                <w:bCs/>
                <w:color w:val="auto"/>
                <w:sz w:val="21"/>
                <w:szCs w:val="21"/>
                <w:highlight w:val="none"/>
              </w:rPr>
            </w:pPr>
            <w:r>
              <w:rPr>
                <w:rFonts w:hint="eastAsia" w:ascii="宋体" w:hAnsi="宋体" w:cs="宋体"/>
                <w:bCs/>
                <w:color w:val="auto"/>
                <w:sz w:val="21"/>
                <w:szCs w:val="21"/>
                <w:highlight w:val="none"/>
              </w:rPr>
              <w:t>1</w:t>
            </w:r>
            <w:r>
              <w:rPr>
                <w:rFonts w:hint="eastAsia" w:ascii="宋体" w:hAnsi="宋体" w:cs="宋体"/>
                <w:bCs/>
                <w:color w:val="auto"/>
                <w:sz w:val="21"/>
                <w:szCs w:val="21"/>
                <w:highlight w:val="none"/>
                <w:lang w:val="en-US" w:eastAsia="zh-CN"/>
              </w:rPr>
              <w:t>年</w:t>
            </w:r>
          </w:p>
        </w:tc>
        <w:tc>
          <w:tcPr>
            <w:tcW w:w="1925" w:type="dxa"/>
            <w:tcBorders>
              <w:top w:val="single" w:color="auto" w:sz="4" w:space="0"/>
              <w:left w:val="single" w:color="auto" w:sz="4" w:space="0"/>
              <w:bottom w:val="single" w:color="auto" w:sz="4" w:space="0"/>
              <w:right w:val="single" w:color="auto" w:sz="4" w:space="0"/>
            </w:tcBorders>
            <w:vAlign w:val="center"/>
          </w:tcPr>
          <w:p w14:paraId="5B70A92B">
            <w:pPr>
              <w:jc w:val="center"/>
              <w:textAlignment w:val="center"/>
              <w:rPr>
                <w:rFonts w:ascii="宋体" w:hAnsi="宋体" w:cs="宋体"/>
                <w:bCs/>
                <w:color w:val="auto"/>
                <w:sz w:val="21"/>
                <w:szCs w:val="21"/>
                <w:highlight w:val="none"/>
              </w:rPr>
            </w:pPr>
            <w:r>
              <w:rPr>
                <w:rFonts w:hint="eastAsia" w:ascii="宋体" w:hAnsi="宋体" w:cs="宋体"/>
                <w:bCs/>
                <w:color w:val="auto"/>
                <w:sz w:val="21"/>
                <w:szCs w:val="21"/>
                <w:highlight w:val="none"/>
              </w:rPr>
              <w:t>1833500元</w:t>
            </w:r>
          </w:p>
        </w:tc>
        <w:tc>
          <w:tcPr>
            <w:tcW w:w="3355" w:type="dxa"/>
            <w:tcBorders>
              <w:top w:val="single" w:color="auto" w:sz="4" w:space="0"/>
              <w:left w:val="single" w:color="auto" w:sz="4" w:space="0"/>
              <w:bottom w:val="single" w:color="auto" w:sz="4" w:space="0"/>
              <w:right w:val="single" w:color="auto" w:sz="4" w:space="0"/>
            </w:tcBorders>
            <w:vAlign w:val="center"/>
          </w:tcPr>
          <w:p w14:paraId="54118005">
            <w:pPr>
              <w:jc w:val="center"/>
              <w:textAlignment w:val="center"/>
              <w:rPr>
                <w:rFonts w:ascii="宋体" w:hAnsi="宋体" w:cs="宋体"/>
                <w:bCs/>
                <w:color w:val="auto"/>
                <w:sz w:val="21"/>
                <w:szCs w:val="21"/>
                <w:highlight w:val="none"/>
              </w:rPr>
            </w:pPr>
            <w:r>
              <w:rPr>
                <w:rFonts w:hint="eastAsia" w:ascii="宋体" w:hAnsi="宋体" w:cs="宋体"/>
                <w:bCs/>
                <w:color w:val="auto"/>
                <w:sz w:val="21"/>
                <w:szCs w:val="21"/>
                <w:highlight w:val="none"/>
              </w:rPr>
              <w:t>详见采购需求</w:t>
            </w:r>
          </w:p>
        </w:tc>
      </w:tr>
      <w:tr w14:paraId="58D437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3" w:hRule="atLeast"/>
          <w:jc w:val="center"/>
        </w:trPr>
        <w:tc>
          <w:tcPr>
            <w:tcW w:w="1547" w:type="dxa"/>
            <w:tcBorders>
              <w:top w:val="single" w:color="auto" w:sz="4" w:space="0"/>
              <w:left w:val="single" w:color="auto" w:sz="4" w:space="0"/>
              <w:bottom w:val="single" w:color="auto" w:sz="4" w:space="0"/>
              <w:right w:val="single" w:color="auto" w:sz="4" w:space="0"/>
            </w:tcBorders>
            <w:vAlign w:val="center"/>
          </w:tcPr>
          <w:p w14:paraId="41220C96">
            <w:pPr>
              <w:jc w:val="center"/>
              <w:textAlignment w:val="center"/>
              <w:rPr>
                <w:rFonts w:ascii="宋体" w:hAnsi="宋体" w:cs="宋体"/>
                <w:bCs/>
                <w:color w:val="auto"/>
                <w:sz w:val="21"/>
                <w:szCs w:val="21"/>
                <w:highlight w:val="none"/>
              </w:rPr>
            </w:pPr>
            <w:r>
              <w:rPr>
                <w:rFonts w:hint="eastAsia" w:ascii="宋体" w:hAnsi="宋体" w:cs="宋体"/>
                <w:bCs/>
                <w:color w:val="auto"/>
                <w:sz w:val="21"/>
                <w:szCs w:val="21"/>
                <w:highlight w:val="none"/>
              </w:rPr>
              <w:t>餐饮服务</w:t>
            </w:r>
          </w:p>
        </w:tc>
        <w:tc>
          <w:tcPr>
            <w:tcW w:w="1701" w:type="dxa"/>
            <w:tcBorders>
              <w:top w:val="single" w:color="auto" w:sz="4" w:space="0"/>
              <w:left w:val="single" w:color="auto" w:sz="4" w:space="0"/>
              <w:bottom w:val="single" w:color="auto" w:sz="4" w:space="0"/>
              <w:right w:val="single" w:color="auto" w:sz="4" w:space="0"/>
            </w:tcBorders>
            <w:vAlign w:val="center"/>
          </w:tcPr>
          <w:p w14:paraId="19388287">
            <w:pPr>
              <w:jc w:val="center"/>
              <w:textAlignment w:val="center"/>
              <w:rPr>
                <w:rFonts w:hint="eastAsia" w:ascii="宋体" w:hAnsi="宋体" w:eastAsia="宋体" w:cs="宋体"/>
                <w:bCs/>
                <w:color w:val="auto"/>
                <w:sz w:val="21"/>
                <w:szCs w:val="21"/>
                <w:highlight w:val="none"/>
                <w:lang w:val="en-US" w:eastAsia="zh-CN"/>
              </w:rPr>
            </w:pPr>
            <w:r>
              <w:rPr>
                <w:rFonts w:hint="eastAsia" w:ascii="宋体" w:hAnsi="宋体" w:cs="宋体"/>
                <w:bCs/>
                <w:color w:val="auto"/>
                <w:sz w:val="21"/>
                <w:szCs w:val="21"/>
                <w:highlight w:val="none"/>
              </w:rPr>
              <w:t>1</w:t>
            </w:r>
            <w:r>
              <w:rPr>
                <w:rFonts w:hint="eastAsia" w:ascii="宋体" w:hAnsi="宋体" w:cs="宋体"/>
                <w:bCs/>
                <w:color w:val="auto"/>
                <w:sz w:val="21"/>
                <w:szCs w:val="21"/>
                <w:highlight w:val="none"/>
                <w:lang w:val="en-US" w:eastAsia="zh-CN"/>
              </w:rPr>
              <w:t>年</w:t>
            </w:r>
          </w:p>
        </w:tc>
        <w:tc>
          <w:tcPr>
            <w:tcW w:w="1925" w:type="dxa"/>
            <w:tcBorders>
              <w:top w:val="single" w:color="auto" w:sz="4" w:space="0"/>
              <w:left w:val="single" w:color="auto" w:sz="4" w:space="0"/>
              <w:bottom w:val="single" w:color="auto" w:sz="4" w:space="0"/>
              <w:right w:val="single" w:color="auto" w:sz="4" w:space="0"/>
            </w:tcBorders>
            <w:vAlign w:val="center"/>
          </w:tcPr>
          <w:p w14:paraId="2256BB51">
            <w:pPr>
              <w:jc w:val="center"/>
              <w:textAlignment w:val="center"/>
              <w:rPr>
                <w:rFonts w:ascii="宋体" w:hAnsi="宋体" w:cs="宋体"/>
                <w:bCs/>
                <w:color w:val="auto"/>
                <w:sz w:val="21"/>
                <w:szCs w:val="21"/>
                <w:highlight w:val="none"/>
              </w:rPr>
            </w:pPr>
            <w:r>
              <w:rPr>
                <w:rFonts w:hint="eastAsia" w:ascii="宋体" w:hAnsi="宋体" w:cs="宋体"/>
                <w:bCs/>
                <w:color w:val="auto"/>
                <w:sz w:val="21"/>
                <w:szCs w:val="21"/>
                <w:highlight w:val="none"/>
              </w:rPr>
              <w:t>660000元</w:t>
            </w:r>
          </w:p>
        </w:tc>
        <w:tc>
          <w:tcPr>
            <w:tcW w:w="3355" w:type="dxa"/>
            <w:tcBorders>
              <w:top w:val="single" w:color="auto" w:sz="4" w:space="0"/>
              <w:left w:val="single" w:color="auto" w:sz="4" w:space="0"/>
              <w:bottom w:val="single" w:color="auto" w:sz="4" w:space="0"/>
              <w:right w:val="single" w:color="auto" w:sz="4" w:space="0"/>
            </w:tcBorders>
            <w:vAlign w:val="center"/>
          </w:tcPr>
          <w:p w14:paraId="725F39EA">
            <w:pPr>
              <w:jc w:val="center"/>
              <w:textAlignment w:val="center"/>
              <w:rPr>
                <w:rFonts w:ascii="宋体" w:hAnsi="宋体" w:cs="宋体"/>
                <w:bCs/>
                <w:color w:val="auto"/>
                <w:sz w:val="21"/>
                <w:szCs w:val="21"/>
                <w:highlight w:val="none"/>
              </w:rPr>
            </w:pPr>
            <w:r>
              <w:rPr>
                <w:rFonts w:hint="eastAsia" w:ascii="宋体" w:hAnsi="宋体" w:cs="宋体"/>
                <w:bCs/>
                <w:color w:val="auto"/>
                <w:sz w:val="21"/>
                <w:szCs w:val="21"/>
                <w:highlight w:val="none"/>
              </w:rPr>
              <w:t>详见采购需求</w:t>
            </w:r>
          </w:p>
        </w:tc>
      </w:tr>
      <w:bookmarkEnd w:id="1"/>
    </w:tbl>
    <w:p w14:paraId="60FA61F8">
      <w:pPr>
        <w:ind w:firstLine="420" w:firstLineChars="200"/>
        <w:rPr>
          <w:rFonts w:ascii="宋体" w:hAnsi="宋体" w:cs="宋体"/>
          <w:bCs/>
          <w:color w:val="auto"/>
          <w:sz w:val="21"/>
          <w:szCs w:val="21"/>
          <w:highlight w:val="none"/>
        </w:rPr>
      </w:pPr>
      <w:r>
        <w:rPr>
          <w:rFonts w:hint="eastAsia" w:ascii="宋体" w:hAnsi="宋体" w:cs="宋体"/>
          <w:bCs/>
          <w:color w:val="auto"/>
          <w:sz w:val="21"/>
          <w:szCs w:val="21"/>
          <w:highlight w:val="none"/>
        </w:rPr>
        <w:t>合同履行期限：服务期为</w:t>
      </w:r>
      <w:r>
        <w:rPr>
          <w:rFonts w:ascii="宋体" w:hAnsi="宋体" w:cs="宋体"/>
          <w:bCs/>
          <w:color w:val="auto"/>
          <w:sz w:val="21"/>
          <w:szCs w:val="21"/>
          <w:highlight w:val="none"/>
        </w:rPr>
        <w:t>2025</w:t>
      </w:r>
      <w:r>
        <w:rPr>
          <w:rFonts w:hint="eastAsia" w:ascii="宋体" w:hAnsi="宋体" w:cs="宋体"/>
          <w:bCs/>
          <w:color w:val="auto"/>
          <w:sz w:val="21"/>
          <w:szCs w:val="21"/>
          <w:highlight w:val="none"/>
        </w:rPr>
        <w:t>年</w:t>
      </w:r>
      <w:r>
        <w:rPr>
          <w:rFonts w:ascii="宋体" w:hAnsi="宋体" w:cs="宋体"/>
          <w:bCs/>
          <w:color w:val="auto"/>
          <w:sz w:val="21"/>
          <w:szCs w:val="21"/>
          <w:highlight w:val="none"/>
        </w:rPr>
        <w:t>1</w:t>
      </w:r>
      <w:r>
        <w:rPr>
          <w:rFonts w:hint="eastAsia" w:ascii="宋体" w:hAnsi="宋体" w:cs="宋体"/>
          <w:bCs/>
          <w:color w:val="auto"/>
          <w:sz w:val="21"/>
          <w:szCs w:val="21"/>
          <w:highlight w:val="none"/>
        </w:rPr>
        <w:t>月</w:t>
      </w:r>
      <w:r>
        <w:rPr>
          <w:rFonts w:ascii="宋体" w:hAnsi="宋体" w:cs="宋体"/>
          <w:bCs/>
          <w:color w:val="auto"/>
          <w:sz w:val="21"/>
          <w:szCs w:val="21"/>
          <w:highlight w:val="none"/>
        </w:rPr>
        <w:t>1</w:t>
      </w:r>
      <w:r>
        <w:rPr>
          <w:rFonts w:hint="eastAsia" w:ascii="宋体" w:hAnsi="宋体" w:cs="宋体"/>
          <w:bCs/>
          <w:color w:val="auto"/>
          <w:sz w:val="21"/>
          <w:szCs w:val="21"/>
          <w:highlight w:val="none"/>
        </w:rPr>
        <w:t>日至</w:t>
      </w:r>
      <w:r>
        <w:rPr>
          <w:rFonts w:ascii="宋体" w:hAnsi="宋体" w:cs="宋体"/>
          <w:bCs/>
          <w:color w:val="auto"/>
          <w:sz w:val="21"/>
          <w:szCs w:val="21"/>
          <w:highlight w:val="none"/>
        </w:rPr>
        <w:t>2025</w:t>
      </w:r>
      <w:r>
        <w:rPr>
          <w:rFonts w:hint="eastAsia" w:ascii="宋体" w:hAnsi="宋体" w:cs="宋体"/>
          <w:bCs/>
          <w:color w:val="auto"/>
          <w:sz w:val="21"/>
          <w:szCs w:val="21"/>
          <w:highlight w:val="none"/>
        </w:rPr>
        <w:t>年</w:t>
      </w:r>
      <w:r>
        <w:rPr>
          <w:rFonts w:ascii="宋体" w:hAnsi="宋体" w:cs="宋体"/>
          <w:bCs/>
          <w:color w:val="auto"/>
          <w:sz w:val="21"/>
          <w:szCs w:val="21"/>
          <w:highlight w:val="none"/>
        </w:rPr>
        <w:t>12</w:t>
      </w:r>
      <w:r>
        <w:rPr>
          <w:rFonts w:hint="eastAsia" w:ascii="宋体" w:hAnsi="宋体" w:cs="宋体"/>
          <w:bCs/>
          <w:color w:val="auto"/>
          <w:sz w:val="21"/>
          <w:szCs w:val="21"/>
          <w:highlight w:val="none"/>
        </w:rPr>
        <w:t>月</w:t>
      </w:r>
      <w:r>
        <w:rPr>
          <w:rFonts w:ascii="宋体" w:hAnsi="宋体" w:cs="宋体"/>
          <w:bCs/>
          <w:color w:val="auto"/>
          <w:sz w:val="21"/>
          <w:szCs w:val="21"/>
          <w:highlight w:val="none"/>
        </w:rPr>
        <w:t>31</w:t>
      </w:r>
      <w:r>
        <w:rPr>
          <w:rFonts w:hint="eastAsia" w:ascii="宋体" w:hAnsi="宋体" w:cs="宋体"/>
          <w:bCs/>
          <w:color w:val="auto"/>
          <w:sz w:val="21"/>
          <w:szCs w:val="21"/>
          <w:highlight w:val="none"/>
        </w:rPr>
        <w:t>日，在年度预算有保障且经招标人质控考核合格前提下，通过一年一续签方式签订合同，累计总服务期最长不超过</w:t>
      </w:r>
      <w:r>
        <w:rPr>
          <w:rFonts w:ascii="宋体" w:hAnsi="宋体" w:cs="宋体"/>
          <w:bCs/>
          <w:color w:val="auto"/>
          <w:sz w:val="21"/>
          <w:szCs w:val="21"/>
          <w:highlight w:val="none"/>
        </w:rPr>
        <w:t>3</w:t>
      </w:r>
      <w:r>
        <w:rPr>
          <w:rFonts w:hint="eastAsia" w:ascii="宋体" w:hAnsi="宋体" w:cs="宋体"/>
          <w:bCs/>
          <w:color w:val="auto"/>
          <w:sz w:val="21"/>
          <w:szCs w:val="21"/>
          <w:highlight w:val="none"/>
        </w:rPr>
        <w:t>年。合同期满，招标人根据采购预算</w:t>
      </w:r>
      <w:r>
        <w:rPr>
          <w:rFonts w:hint="eastAsia" w:ascii="宋体" w:hAnsi="宋体" w:cs="宋体"/>
          <w:bCs/>
          <w:color w:val="auto"/>
          <w:sz w:val="21"/>
          <w:szCs w:val="21"/>
          <w:highlight w:val="none"/>
          <w:lang w:eastAsia="zh-CN"/>
        </w:rPr>
        <w:t>保障</w:t>
      </w:r>
      <w:r>
        <w:rPr>
          <w:rFonts w:hint="eastAsia" w:ascii="宋体" w:hAnsi="宋体" w:cs="宋体"/>
          <w:bCs/>
          <w:color w:val="auto"/>
          <w:sz w:val="21"/>
          <w:szCs w:val="21"/>
          <w:highlight w:val="none"/>
        </w:rPr>
        <w:t>和</w:t>
      </w:r>
      <w:r>
        <w:rPr>
          <w:rFonts w:hint="eastAsia" w:ascii="宋体" w:hAnsi="宋体" w:cs="宋体"/>
          <w:bCs/>
          <w:color w:val="auto"/>
          <w:sz w:val="21"/>
          <w:szCs w:val="21"/>
          <w:highlight w:val="none"/>
          <w:lang w:eastAsia="zh-CN"/>
        </w:rPr>
        <w:t>全年至少三个季度评估结果为优秀及月度考核结果均为良好以上的前提下</w:t>
      </w:r>
      <w:r>
        <w:rPr>
          <w:rFonts w:hint="eastAsia" w:ascii="宋体" w:hAnsi="宋体" w:cs="宋体"/>
          <w:bCs/>
          <w:color w:val="auto"/>
          <w:sz w:val="21"/>
          <w:szCs w:val="21"/>
          <w:highlight w:val="none"/>
        </w:rPr>
        <w:t>决定是否续签合同，续签主动权在招标人。</w:t>
      </w:r>
    </w:p>
    <w:p w14:paraId="0EFCEDDA">
      <w:pPr>
        <w:ind w:firstLine="420" w:firstLineChars="200"/>
        <w:rPr>
          <w:rFonts w:ascii="宋体" w:hAnsi="宋体" w:cs="宋体"/>
          <w:bCs/>
          <w:color w:val="auto"/>
          <w:sz w:val="21"/>
          <w:szCs w:val="21"/>
          <w:highlight w:val="none"/>
        </w:rPr>
      </w:pPr>
      <w:r>
        <w:rPr>
          <w:rFonts w:hint="eastAsia" w:ascii="宋体" w:hAnsi="宋体" w:cs="宋体"/>
          <w:bCs/>
          <w:color w:val="auto"/>
          <w:sz w:val="21"/>
          <w:szCs w:val="21"/>
          <w:highlight w:val="none"/>
        </w:rPr>
        <w:t>本项目( 不接受  )联合体投标。</w:t>
      </w:r>
    </w:p>
    <w:p w14:paraId="37251B80">
      <w:pPr>
        <w:ind w:left="1493" w:right="94" w:rightChars="39" w:hanging="1493" w:hangingChars="708"/>
        <w:rPr>
          <w:rFonts w:ascii="宋体" w:hAnsi="宋体" w:cs="宋体"/>
          <w:b/>
          <w:bCs/>
          <w:color w:val="auto"/>
          <w:sz w:val="21"/>
          <w:szCs w:val="21"/>
          <w:highlight w:val="none"/>
        </w:rPr>
      </w:pPr>
      <w:r>
        <w:rPr>
          <w:rFonts w:hint="eastAsia" w:ascii="宋体" w:hAnsi="宋体" w:cs="宋体"/>
          <w:b/>
          <w:bCs/>
          <w:color w:val="auto"/>
          <w:sz w:val="21"/>
          <w:szCs w:val="21"/>
          <w:highlight w:val="none"/>
        </w:rPr>
        <w:t>二、申请人的资格条件</w:t>
      </w:r>
    </w:p>
    <w:p w14:paraId="6F8DA69E">
      <w:pPr>
        <w:wordWrap w:val="0"/>
        <w:ind w:left="418" w:leftChars="174" w:firstLine="105" w:firstLineChars="50"/>
        <w:rPr>
          <w:rFonts w:ascii="宋体" w:hAnsi="宋体" w:cs="宋体"/>
          <w:b/>
          <w:bCs/>
          <w:color w:val="auto"/>
          <w:sz w:val="21"/>
          <w:szCs w:val="21"/>
          <w:highlight w:val="none"/>
        </w:rPr>
      </w:pPr>
      <w:r>
        <w:rPr>
          <w:rFonts w:hint="eastAsia" w:ascii="宋体" w:hAnsi="宋体" w:cs="宋体"/>
          <w:b/>
          <w:bCs/>
          <w:color w:val="auto"/>
          <w:sz w:val="21"/>
          <w:szCs w:val="21"/>
          <w:highlight w:val="none"/>
        </w:rPr>
        <w:t>1.满足《中华人民共和国政府采购法》第二十二条规定；</w:t>
      </w:r>
    </w:p>
    <w:p w14:paraId="5E1E4402">
      <w:pPr>
        <w:wordWrap w:val="0"/>
        <w:ind w:left="418" w:leftChars="174" w:firstLine="105" w:firstLineChars="50"/>
        <w:rPr>
          <w:rFonts w:ascii="宋体" w:hAnsi="宋体" w:cs="宋体"/>
          <w:color w:val="auto"/>
          <w:sz w:val="21"/>
          <w:szCs w:val="21"/>
          <w:highlight w:val="none"/>
        </w:rPr>
      </w:pPr>
      <w:r>
        <w:rPr>
          <w:rFonts w:hint="eastAsia" w:ascii="宋体" w:hAnsi="宋体" w:cs="宋体"/>
          <w:b/>
          <w:bCs/>
          <w:color w:val="auto"/>
          <w:sz w:val="21"/>
          <w:szCs w:val="21"/>
          <w:highlight w:val="none"/>
        </w:rPr>
        <w:t>2.落实政府采购政策需满足的资格要求</w:t>
      </w:r>
      <w:r>
        <w:rPr>
          <w:rFonts w:hint="eastAsia" w:ascii="宋体" w:hAnsi="宋体" w:cs="宋体"/>
          <w:color w:val="auto"/>
          <w:sz w:val="21"/>
          <w:szCs w:val="21"/>
          <w:highlight w:val="none"/>
        </w:rPr>
        <w:t>：</w:t>
      </w:r>
    </w:p>
    <w:p w14:paraId="155127F5">
      <w:pPr>
        <w:pStyle w:val="10"/>
        <w:spacing w:after="0"/>
        <w:ind w:left="0" w:leftChars="0" w:right="0" w:rightChars="0" w:firstLine="420" w:firstLineChars="200"/>
        <w:jc w:val="left"/>
        <w:rPr>
          <w:rFonts w:ascii="宋体" w:hAnsi="宋体" w:cs="宋体"/>
          <w:bCs/>
          <w:color w:val="auto"/>
          <w:kern w:val="0"/>
          <w:sz w:val="21"/>
          <w:szCs w:val="21"/>
          <w:highlight w:val="none"/>
        </w:rPr>
      </w:pPr>
      <w:r>
        <w:rPr>
          <w:rFonts w:hint="eastAsia" w:ascii="宋体" w:hAnsi="宋体" w:cs="宋体"/>
          <w:bCs/>
          <w:color w:val="auto"/>
          <w:kern w:val="0"/>
          <w:sz w:val="21"/>
          <w:szCs w:val="21"/>
          <w:highlight w:val="none"/>
        </w:rPr>
        <w:t>本项目落实促进中小企业发展政策、监狱企业扶持政策、残疾人就业政府采购政策、政府采购节约能源政策、政府采购环境保护政策等，具体内容详见采购文件。</w:t>
      </w:r>
    </w:p>
    <w:p w14:paraId="32530CDF">
      <w:pPr>
        <w:tabs>
          <w:tab w:val="left" w:pos="8104"/>
        </w:tabs>
        <w:wordWrap w:val="0"/>
        <w:ind w:left="418" w:leftChars="174" w:firstLine="105" w:firstLineChars="50"/>
        <w:rPr>
          <w:rFonts w:ascii="宋体" w:hAnsi="宋体" w:cs="宋体"/>
          <w:b/>
          <w:bCs/>
          <w:color w:val="auto"/>
          <w:sz w:val="21"/>
          <w:szCs w:val="21"/>
          <w:highlight w:val="none"/>
        </w:rPr>
      </w:pPr>
      <w:r>
        <w:rPr>
          <w:rFonts w:hint="eastAsia" w:ascii="宋体" w:hAnsi="宋体" w:cs="宋体"/>
          <w:b/>
          <w:bCs/>
          <w:color w:val="auto"/>
          <w:sz w:val="21"/>
          <w:szCs w:val="21"/>
          <w:highlight w:val="none"/>
        </w:rPr>
        <w:t>3.本项目的特定资格要求：</w:t>
      </w:r>
      <w:r>
        <w:rPr>
          <w:rFonts w:ascii="宋体" w:hAnsi="宋体" w:cs="宋体"/>
          <w:b/>
          <w:bCs/>
          <w:color w:val="auto"/>
          <w:sz w:val="21"/>
          <w:szCs w:val="21"/>
          <w:highlight w:val="none"/>
        </w:rPr>
        <w:tab/>
      </w:r>
    </w:p>
    <w:p w14:paraId="5C1B05A4">
      <w:pPr>
        <w:pStyle w:val="10"/>
        <w:numPr>
          <w:ilvl w:val="0"/>
          <w:numId w:val="1"/>
        </w:numPr>
        <w:spacing w:after="0"/>
        <w:ind w:leftChars="0" w:right="0" w:rightChars="0"/>
        <w:jc w:val="left"/>
        <w:rPr>
          <w:rFonts w:ascii="宋体" w:hAnsi="宋体" w:cs="宋体"/>
          <w:bCs/>
          <w:color w:val="auto"/>
          <w:kern w:val="0"/>
          <w:sz w:val="21"/>
          <w:szCs w:val="21"/>
          <w:highlight w:val="none"/>
        </w:rPr>
      </w:pPr>
      <w:r>
        <w:rPr>
          <w:rFonts w:hint="eastAsia" w:ascii="宋体" w:hAnsi="宋体" w:cs="宋体"/>
          <w:bCs/>
          <w:color w:val="auto"/>
          <w:kern w:val="0"/>
          <w:sz w:val="21"/>
          <w:szCs w:val="21"/>
          <w:highlight w:val="none"/>
        </w:rPr>
        <w:t>投标人须是在中华人民共和国境内注册，能够独立承担民事责任，有提供本项目服务能力的供应商，包括法人、非法人组织或者自然人。</w:t>
      </w:r>
    </w:p>
    <w:p w14:paraId="147B7ABE">
      <w:pPr>
        <w:pStyle w:val="10"/>
        <w:numPr>
          <w:ilvl w:val="0"/>
          <w:numId w:val="1"/>
        </w:numPr>
        <w:spacing w:after="0"/>
        <w:ind w:leftChars="0" w:right="0" w:rightChars="0"/>
        <w:jc w:val="left"/>
        <w:rPr>
          <w:rFonts w:ascii="宋体" w:hAnsi="宋体" w:cs="宋体"/>
          <w:bCs/>
          <w:color w:val="auto"/>
          <w:kern w:val="0"/>
          <w:sz w:val="21"/>
          <w:szCs w:val="21"/>
          <w:highlight w:val="none"/>
        </w:rPr>
      </w:pPr>
      <w:r>
        <w:rPr>
          <w:rFonts w:hint="eastAsia" w:ascii="宋体" w:hAnsi="宋体" w:cs="宋体"/>
          <w:bCs/>
          <w:color w:val="auto"/>
          <w:kern w:val="0"/>
          <w:sz w:val="21"/>
          <w:szCs w:val="21"/>
          <w:highlight w:val="none"/>
        </w:rPr>
        <w:t>投标人须满足《中华人民共和国政府采购法》第二十二条相关规定。</w:t>
      </w:r>
    </w:p>
    <w:p w14:paraId="550A189E">
      <w:pPr>
        <w:pStyle w:val="10"/>
        <w:numPr>
          <w:ilvl w:val="0"/>
          <w:numId w:val="1"/>
        </w:numPr>
        <w:spacing w:after="0"/>
        <w:ind w:leftChars="0" w:right="0" w:rightChars="0"/>
        <w:jc w:val="left"/>
        <w:rPr>
          <w:rFonts w:ascii="宋体" w:hAnsi="宋体" w:cs="宋体"/>
          <w:bCs/>
          <w:color w:val="auto"/>
          <w:kern w:val="0"/>
          <w:sz w:val="21"/>
          <w:szCs w:val="21"/>
          <w:highlight w:val="none"/>
        </w:rPr>
      </w:pPr>
      <w:r>
        <w:rPr>
          <w:rFonts w:hint="eastAsia" w:ascii="宋体" w:hAnsi="宋体" w:cs="宋体"/>
          <w:bCs/>
          <w:color w:val="auto"/>
          <w:kern w:val="0"/>
          <w:sz w:val="21"/>
          <w:szCs w:val="21"/>
          <w:highlight w:val="none"/>
        </w:rPr>
        <w:t>投标人须购买本项目招标文件。</w:t>
      </w:r>
    </w:p>
    <w:p w14:paraId="67564B94">
      <w:pPr>
        <w:pStyle w:val="10"/>
        <w:numPr>
          <w:ilvl w:val="0"/>
          <w:numId w:val="1"/>
        </w:numPr>
        <w:spacing w:after="0"/>
        <w:ind w:leftChars="0" w:right="0" w:rightChars="0"/>
        <w:jc w:val="left"/>
        <w:rPr>
          <w:rFonts w:ascii="宋体" w:hAnsi="宋体" w:cs="宋体"/>
          <w:bCs/>
          <w:color w:val="auto"/>
          <w:kern w:val="0"/>
          <w:sz w:val="21"/>
          <w:szCs w:val="21"/>
          <w:highlight w:val="none"/>
        </w:rPr>
      </w:pPr>
      <w:r>
        <w:rPr>
          <w:rFonts w:hint="eastAsia" w:ascii="宋体" w:hAnsi="宋体" w:cs="宋体"/>
          <w:bCs/>
          <w:color w:val="auto"/>
          <w:kern w:val="0"/>
          <w:sz w:val="21"/>
          <w:szCs w:val="21"/>
          <w:highlight w:val="none"/>
        </w:rPr>
        <w:t>单位负责人为同一人或者存在直接控股、管理关系的不同供应商，不得参加同一合同项下的政府采购活动。</w:t>
      </w:r>
    </w:p>
    <w:p w14:paraId="3501637E">
      <w:pPr>
        <w:pStyle w:val="10"/>
        <w:numPr>
          <w:ilvl w:val="0"/>
          <w:numId w:val="1"/>
        </w:numPr>
        <w:spacing w:after="0"/>
        <w:ind w:leftChars="0" w:right="0" w:rightChars="0"/>
        <w:jc w:val="left"/>
        <w:rPr>
          <w:rFonts w:ascii="宋体" w:hAnsi="宋体" w:cs="宋体"/>
          <w:bCs/>
          <w:color w:val="auto"/>
          <w:kern w:val="0"/>
          <w:sz w:val="21"/>
          <w:szCs w:val="21"/>
          <w:highlight w:val="none"/>
        </w:rPr>
      </w:pPr>
      <w:r>
        <w:rPr>
          <w:rFonts w:hint="eastAsia" w:ascii="宋体" w:hAnsi="宋体" w:cs="宋体"/>
          <w:bCs/>
          <w:color w:val="auto"/>
          <w:kern w:val="0"/>
          <w:sz w:val="21"/>
          <w:szCs w:val="21"/>
          <w:highlight w:val="none"/>
        </w:rPr>
        <w:t>除单一来源采购项目外，为采购项目提供整体设计、规范编制或者项目管理、监理、检测等服务的供应商，不得再参加该采购项目的其他采购活动。</w:t>
      </w:r>
    </w:p>
    <w:p w14:paraId="64EAD07F">
      <w:pPr>
        <w:pStyle w:val="10"/>
        <w:numPr>
          <w:ilvl w:val="0"/>
          <w:numId w:val="1"/>
        </w:numPr>
        <w:spacing w:after="0"/>
        <w:ind w:leftChars="0" w:right="0" w:rightChars="0"/>
        <w:jc w:val="left"/>
        <w:rPr>
          <w:rFonts w:ascii="宋体" w:hAnsi="宋体" w:cs="宋体"/>
          <w:bCs/>
          <w:color w:val="auto"/>
          <w:kern w:val="0"/>
          <w:sz w:val="21"/>
          <w:szCs w:val="21"/>
          <w:highlight w:val="none"/>
        </w:rPr>
      </w:pPr>
      <w:r>
        <w:rPr>
          <w:rFonts w:hint="eastAsia" w:ascii="宋体" w:hAnsi="宋体" w:cs="宋体"/>
          <w:bCs/>
          <w:color w:val="auto"/>
          <w:kern w:val="0"/>
          <w:sz w:val="21"/>
          <w:szCs w:val="21"/>
          <w:highlight w:val="none"/>
        </w:rPr>
        <w:t>根据财库〔2016〕125号《财政部关于在政府采购活动中查询及使用信用记录有关问题的通知》的要求，通过“信用中国”网站（www.creditchina.gov.cn）和中国政府采购网（www.ccgp.gov.cn）查询相关主体信用记录，查询时间为招标文件购买截止时点至投标截止时点后12个小时内。对列入失信被执行人、重大税收违法失信主体、政府采购严重违法失信行为记录名单的供应商，拒绝其参与政府采购活动。</w:t>
      </w:r>
    </w:p>
    <w:p w14:paraId="3432B3DC">
      <w:pPr>
        <w:pStyle w:val="10"/>
        <w:numPr>
          <w:ilvl w:val="0"/>
          <w:numId w:val="1"/>
        </w:numPr>
        <w:spacing w:after="0"/>
        <w:ind w:leftChars="0" w:right="0" w:rightChars="0"/>
        <w:jc w:val="left"/>
        <w:rPr>
          <w:rFonts w:ascii="宋体" w:hAnsi="宋体" w:cs="宋体"/>
          <w:bCs/>
          <w:color w:val="auto"/>
          <w:kern w:val="0"/>
          <w:sz w:val="21"/>
          <w:szCs w:val="21"/>
          <w:highlight w:val="none"/>
        </w:rPr>
      </w:pPr>
      <w:r>
        <w:rPr>
          <w:rFonts w:hint="eastAsia" w:ascii="宋体" w:hAnsi="宋体" w:cs="宋体"/>
          <w:bCs/>
          <w:color w:val="auto"/>
          <w:kern w:val="0"/>
          <w:sz w:val="21"/>
          <w:szCs w:val="21"/>
          <w:highlight w:val="none"/>
        </w:rPr>
        <w:t>本项目不接受联合体投标，</w:t>
      </w:r>
      <w:bookmarkStart w:id="2" w:name="_Hlk132286263"/>
      <w:r>
        <w:rPr>
          <w:rFonts w:hint="eastAsia" w:ascii="宋体" w:hAnsi="宋体" w:cs="宋体"/>
          <w:bCs/>
          <w:color w:val="auto"/>
          <w:kern w:val="0"/>
          <w:sz w:val="21"/>
          <w:szCs w:val="21"/>
          <w:highlight w:val="none"/>
        </w:rPr>
        <w:t>不得转包和违法分包</w:t>
      </w:r>
      <w:bookmarkEnd w:id="2"/>
      <w:r>
        <w:rPr>
          <w:rFonts w:hint="eastAsia" w:ascii="宋体" w:hAnsi="宋体" w:cs="宋体"/>
          <w:bCs/>
          <w:color w:val="auto"/>
          <w:kern w:val="0"/>
          <w:sz w:val="21"/>
          <w:szCs w:val="21"/>
          <w:highlight w:val="none"/>
        </w:rPr>
        <w:t>。</w:t>
      </w:r>
    </w:p>
    <w:p w14:paraId="78B2389E">
      <w:pPr>
        <w:wordWrap w:val="0"/>
        <w:ind w:left="316" w:hanging="316" w:hangingChars="150"/>
        <w:rPr>
          <w:rFonts w:ascii="宋体" w:hAnsi="宋体" w:cs="宋体"/>
          <w:b/>
          <w:bCs/>
          <w:color w:val="auto"/>
          <w:sz w:val="21"/>
          <w:szCs w:val="21"/>
          <w:highlight w:val="none"/>
        </w:rPr>
      </w:pPr>
      <w:r>
        <w:rPr>
          <w:rFonts w:hint="eastAsia" w:ascii="宋体" w:hAnsi="宋体" w:cs="宋体"/>
          <w:b/>
          <w:bCs/>
          <w:color w:val="auto"/>
          <w:sz w:val="21"/>
          <w:szCs w:val="21"/>
          <w:highlight w:val="none"/>
        </w:rPr>
        <w:t>三．获取招标文件：</w:t>
      </w:r>
    </w:p>
    <w:p w14:paraId="673A74C4">
      <w:pPr>
        <w:pStyle w:val="10"/>
        <w:spacing w:after="0"/>
        <w:ind w:left="0" w:leftChars="0" w:right="0" w:rightChars="0" w:firstLine="420" w:firstLineChars="200"/>
        <w:jc w:val="left"/>
        <w:rPr>
          <w:rFonts w:ascii="宋体" w:hAnsi="宋体" w:cs="宋体"/>
          <w:color w:val="auto"/>
          <w:sz w:val="21"/>
          <w:szCs w:val="21"/>
          <w:highlight w:val="none"/>
        </w:rPr>
      </w:pPr>
      <w:r>
        <w:rPr>
          <w:rFonts w:hint="eastAsia" w:ascii="宋体" w:hAnsi="宋体" w:cs="宋体"/>
          <w:color w:val="auto"/>
          <w:sz w:val="21"/>
          <w:szCs w:val="21"/>
          <w:highlight w:val="none"/>
        </w:rPr>
        <w:t>时间：</w:t>
      </w:r>
      <w:r>
        <w:rPr>
          <w:rFonts w:hint="eastAsia" w:ascii="宋体" w:hAnsi="宋体" w:cs="宋体"/>
          <w:b/>
          <w:color w:val="auto"/>
          <w:sz w:val="21"/>
          <w:szCs w:val="21"/>
          <w:highlight w:val="none"/>
        </w:rPr>
        <w:t>2024年11月1</w:t>
      </w:r>
      <w:r>
        <w:rPr>
          <w:rFonts w:hint="eastAsia" w:ascii="宋体" w:hAnsi="宋体" w:cs="宋体"/>
          <w:b/>
          <w:color w:val="auto"/>
          <w:sz w:val="21"/>
          <w:szCs w:val="21"/>
          <w:highlight w:val="none"/>
          <w:lang w:val="en-US" w:eastAsia="zh-CN"/>
        </w:rPr>
        <w:t>4</w:t>
      </w:r>
      <w:r>
        <w:rPr>
          <w:rFonts w:hint="eastAsia" w:ascii="宋体" w:hAnsi="宋体" w:cs="宋体"/>
          <w:b/>
          <w:color w:val="auto"/>
          <w:sz w:val="21"/>
          <w:szCs w:val="21"/>
          <w:highlight w:val="none"/>
        </w:rPr>
        <w:t>日至 2024年11月2</w:t>
      </w:r>
      <w:r>
        <w:rPr>
          <w:rFonts w:hint="eastAsia" w:ascii="宋体" w:hAnsi="宋体" w:cs="宋体"/>
          <w:b/>
          <w:color w:val="auto"/>
          <w:sz w:val="21"/>
          <w:szCs w:val="21"/>
          <w:highlight w:val="none"/>
          <w:lang w:val="en-US" w:eastAsia="zh-CN"/>
        </w:rPr>
        <w:t>1</w:t>
      </w:r>
      <w:r>
        <w:rPr>
          <w:rFonts w:hint="eastAsia" w:ascii="宋体" w:hAnsi="宋体" w:cs="宋体"/>
          <w:b/>
          <w:color w:val="auto"/>
          <w:sz w:val="21"/>
          <w:szCs w:val="21"/>
          <w:highlight w:val="none"/>
        </w:rPr>
        <w:t>日</w:t>
      </w:r>
      <w:r>
        <w:rPr>
          <w:rFonts w:hint="eastAsia" w:ascii="宋体" w:hAnsi="宋体" w:cs="宋体"/>
          <w:color w:val="auto"/>
          <w:sz w:val="21"/>
          <w:szCs w:val="21"/>
          <w:highlight w:val="none"/>
        </w:rPr>
        <w:t>，</w:t>
      </w:r>
      <w:bookmarkStart w:id="3" w:name="_Hlk132219127"/>
      <w:r>
        <w:rPr>
          <w:rFonts w:hint="eastAsia" w:ascii="宋体" w:hAnsi="宋体" w:cs="宋体"/>
          <w:color w:val="auto"/>
          <w:sz w:val="21"/>
          <w:szCs w:val="21"/>
          <w:highlight w:val="none"/>
        </w:rPr>
        <w:t>每天上午</w:t>
      </w:r>
      <w:r>
        <w:rPr>
          <w:rFonts w:ascii="宋体" w:hAnsi="宋体" w:cs="宋体"/>
          <w:color w:val="auto"/>
          <w:sz w:val="21"/>
          <w:szCs w:val="21"/>
          <w:highlight w:val="none"/>
        </w:rPr>
        <w:t>9</w:t>
      </w:r>
      <w:r>
        <w:rPr>
          <w:rFonts w:hint="eastAsia" w:ascii="宋体" w:hAnsi="宋体" w:cs="宋体"/>
          <w:color w:val="auto"/>
          <w:sz w:val="21"/>
          <w:szCs w:val="21"/>
          <w:highlight w:val="none"/>
        </w:rPr>
        <w:t>:00至12:00，下午14:00至1</w:t>
      </w:r>
      <w:r>
        <w:rPr>
          <w:rFonts w:ascii="宋体" w:hAnsi="宋体" w:cs="宋体"/>
          <w:color w:val="auto"/>
          <w:sz w:val="21"/>
          <w:szCs w:val="21"/>
          <w:highlight w:val="none"/>
        </w:rPr>
        <w:t>7</w:t>
      </w:r>
      <w:r>
        <w:rPr>
          <w:rFonts w:hint="eastAsia" w:ascii="宋体" w:hAnsi="宋体" w:cs="宋体"/>
          <w:color w:val="auto"/>
          <w:sz w:val="21"/>
          <w:szCs w:val="21"/>
          <w:highlight w:val="none"/>
        </w:rPr>
        <w:t>:00。（北京时间，法定节假日除外）</w:t>
      </w:r>
      <w:bookmarkEnd w:id="3"/>
      <w:bookmarkStart w:id="69" w:name="_GoBack"/>
      <w:bookmarkEnd w:id="69"/>
    </w:p>
    <w:p w14:paraId="33C63EF6">
      <w:pPr>
        <w:pStyle w:val="10"/>
        <w:spacing w:after="0"/>
        <w:ind w:left="0" w:leftChars="0" w:right="0" w:rightChars="0" w:firstLine="420" w:firstLineChars="200"/>
        <w:jc w:val="left"/>
        <w:rPr>
          <w:rFonts w:ascii="宋体" w:hAnsi="宋体" w:cs="宋体"/>
          <w:color w:val="auto"/>
          <w:sz w:val="21"/>
          <w:szCs w:val="21"/>
          <w:highlight w:val="none"/>
        </w:rPr>
      </w:pPr>
      <w:r>
        <w:rPr>
          <w:rFonts w:hint="eastAsia" w:ascii="宋体" w:hAnsi="宋体" w:cs="宋体"/>
          <w:color w:val="auto"/>
          <w:sz w:val="21"/>
          <w:szCs w:val="21"/>
          <w:highlight w:val="none"/>
        </w:rPr>
        <w:t>地点：中招联合招标采购平台（网址：www.365trade.com.cn）线上购买</w:t>
      </w:r>
    </w:p>
    <w:p w14:paraId="04E52283">
      <w:pPr>
        <w:pStyle w:val="10"/>
        <w:spacing w:after="0"/>
        <w:ind w:left="0" w:leftChars="0" w:right="0" w:rightChars="0" w:firstLine="420" w:firstLineChars="200"/>
        <w:jc w:val="left"/>
        <w:rPr>
          <w:rFonts w:ascii="宋体" w:hAnsi="宋体" w:cs="宋体"/>
          <w:color w:val="auto"/>
          <w:sz w:val="21"/>
          <w:szCs w:val="21"/>
          <w:highlight w:val="none"/>
        </w:rPr>
      </w:pPr>
      <w:r>
        <w:rPr>
          <w:rFonts w:hint="eastAsia" w:ascii="宋体" w:hAnsi="宋体" w:cs="宋体"/>
          <w:color w:val="auto"/>
          <w:sz w:val="21"/>
          <w:szCs w:val="21"/>
          <w:highlight w:val="none"/>
        </w:rPr>
        <w:t>方式：</w:t>
      </w:r>
      <w:r>
        <w:rPr>
          <w:rFonts w:hint="eastAsia" w:ascii="宋体" w:hAnsi="宋体" w:cs="宋体"/>
          <w:bCs/>
          <w:color w:val="auto"/>
          <w:sz w:val="21"/>
          <w:szCs w:val="21"/>
          <w:highlight w:val="none"/>
        </w:rPr>
        <w:t>线上（</w:t>
      </w:r>
      <w:r>
        <w:rPr>
          <w:rFonts w:hint="eastAsia" w:ascii="宋体" w:hAnsi="宋体" w:cs="宋体"/>
          <w:b/>
          <w:color w:val="auto"/>
          <w:sz w:val="21"/>
          <w:szCs w:val="21"/>
          <w:highlight w:val="none"/>
        </w:rPr>
        <w:t>电汇支付方式须在“中招联合招标采购平台”上传汇款凭证并通过邮箱发送至huxiaoshuang@cntcitc.com.cn，账户信息—账户名称：中招国际招标有限公司江西分公司；开户行：中国银行南昌市红谷滩支行营业部；账号：1977 4494 9453；不接受个人账户汇款。</w:t>
      </w:r>
      <w:r>
        <w:rPr>
          <w:rFonts w:hint="eastAsia" w:ascii="宋体" w:hAnsi="宋体" w:cs="宋体"/>
          <w:bCs/>
          <w:color w:val="auto"/>
          <w:sz w:val="21"/>
          <w:szCs w:val="21"/>
          <w:highlight w:val="none"/>
        </w:rPr>
        <w:t>）</w:t>
      </w:r>
    </w:p>
    <w:p w14:paraId="594991A2">
      <w:pPr>
        <w:pStyle w:val="10"/>
        <w:spacing w:after="0"/>
        <w:ind w:left="0" w:leftChars="0" w:right="0" w:rightChars="0" w:firstLine="420" w:firstLineChars="200"/>
        <w:jc w:val="left"/>
        <w:rPr>
          <w:rFonts w:ascii="宋体" w:hAnsi="宋体" w:cs="宋体"/>
          <w:color w:val="auto"/>
          <w:sz w:val="21"/>
          <w:szCs w:val="21"/>
          <w:highlight w:val="none"/>
        </w:rPr>
      </w:pPr>
      <w:r>
        <w:rPr>
          <w:rFonts w:hint="eastAsia" w:ascii="宋体" w:hAnsi="宋体" w:cs="宋体"/>
          <w:color w:val="auto"/>
          <w:sz w:val="21"/>
          <w:szCs w:val="21"/>
          <w:highlight w:val="none"/>
        </w:rPr>
        <w:t>售价：￥</w:t>
      </w:r>
      <w:r>
        <w:rPr>
          <w:rFonts w:ascii="宋体" w:hAnsi="宋体" w:cs="宋体"/>
          <w:color w:val="auto"/>
          <w:sz w:val="21"/>
          <w:szCs w:val="21"/>
          <w:highlight w:val="none"/>
        </w:rPr>
        <w:t>500</w:t>
      </w:r>
      <w:r>
        <w:rPr>
          <w:rFonts w:hint="eastAsia" w:ascii="宋体" w:hAnsi="宋体" w:cs="宋体"/>
          <w:color w:val="auto"/>
          <w:sz w:val="21"/>
          <w:szCs w:val="21"/>
          <w:highlight w:val="none"/>
        </w:rPr>
        <w:t>元</w:t>
      </w:r>
    </w:p>
    <w:p w14:paraId="0ECC464D">
      <w:pPr>
        <w:wordWrap w:val="0"/>
        <w:ind w:left="316" w:hanging="316" w:hangingChars="150"/>
        <w:rPr>
          <w:rFonts w:ascii="宋体" w:hAnsi="宋体" w:cs="宋体"/>
          <w:b/>
          <w:bCs/>
          <w:color w:val="auto"/>
          <w:sz w:val="21"/>
          <w:szCs w:val="21"/>
          <w:highlight w:val="none"/>
        </w:rPr>
      </w:pPr>
      <w:r>
        <w:rPr>
          <w:rFonts w:hint="eastAsia" w:ascii="宋体" w:hAnsi="宋体" w:cs="宋体"/>
          <w:b/>
          <w:bCs/>
          <w:color w:val="auto"/>
          <w:sz w:val="21"/>
          <w:szCs w:val="21"/>
          <w:highlight w:val="none"/>
        </w:rPr>
        <w:t>四、提交投标文件截止时间、开标时间和地点</w:t>
      </w:r>
    </w:p>
    <w:p w14:paraId="2ECC54B9">
      <w:pPr>
        <w:ind w:firstLine="420" w:firstLineChars="200"/>
        <w:rPr>
          <w:rFonts w:ascii="宋体" w:hAnsi="宋体" w:cs="宋体"/>
          <w:color w:val="auto"/>
          <w:sz w:val="21"/>
          <w:szCs w:val="21"/>
          <w:highlight w:val="none"/>
        </w:rPr>
      </w:pPr>
      <w:r>
        <w:rPr>
          <w:rFonts w:hint="eastAsia" w:ascii="宋体" w:hAnsi="宋体" w:cs="宋体"/>
          <w:color w:val="auto"/>
          <w:sz w:val="21"/>
          <w:szCs w:val="21"/>
          <w:highlight w:val="none"/>
        </w:rPr>
        <w:t>提交投标文件截止时间：</w:t>
      </w:r>
      <w:r>
        <w:rPr>
          <w:rFonts w:hint="eastAsia" w:ascii="宋体" w:hAnsi="宋体" w:cs="宋体"/>
          <w:b/>
          <w:color w:val="auto"/>
          <w:sz w:val="21"/>
          <w:szCs w:val="21"/>
          <w:highlight w:val="none"/>
        </w:rPr>
        <w:t>2024年12月</w:t>
      </w:r>
      <w:r>
        <w:rPr>
          <w:rFonts w:hint="eastAsia" w:ascii="宋体" w:hAnsi="宋体" w:cs="宋体"/>
          <w:b/>
          <w:color w:val="auto"/>
          <w:sz w:val="21"/>
          <w:szCs w:val="21"/>
          <w:highlight w:val="none"/>
          <w:lang w:val="en-US" w:eastAsia="zh-CN"/>
        </w:rPr>
        <w:t>05</w:t>
      </w:r>
      <w:r>
        <w:rPr>
          <w:rFonts w:hint="eastAsia" w:ascii="宋体" w:hAnsi="宋体" w:cs="宋体"/>
          <w:b/>
          <w:color w:val="auto"/>
          <w:sz w:val="21"/>
          <w:szCs w:val="21"/>
          <w:highlight w:val="none"/>
        </w:rPr>
        <w:t>日 09点30分</w:t>
      </w:r>
      <w:r>
        <w:rPr>
          <w:rFonts w:hint="eastAsia" w:ascii="宋体" w:hAnsi="宋体" w:cs="宋体"/>
          <w:color w:val="auto"/>
          <w:sz w:val="21"/>
          <w:szCs w:val="21"/>
          <w:highlight w:val="none"/>
        </w:rPr>
        <w:t>（北京时间）</w:t>
      </w:r>
    </w:p>
    <w:p w14:paraId="4EB6A75B">
      <w:pPr>
        <w:ind w:firstLine="420" w:firstLineChars="200"/>
        <w:rPr>
          <w:rFonts w:ascii="宋体" w:hAnsi="宋体" w:cs="宋体"/>
          <w:color w:val="auto"/>
          <w:sz w:val="21"/>
          <w:szCs w:val="21"/>
          <w:highlight w:val="none"/>
        </w:rPr>
      </w:pPr>
      <w:r>
        <w:rPr>
          <w:rFonts w:hint="eastAsia" w:ascii="宋体" w:hAnsi="宋体" w:cs="宋体"/>
          <w:color w:val="auto"/>
          <w:sz w:val="21"/>
          <w:szCs w:val="21"/>
          <w:highlight w:val="none"/>
        </w:rPr>
        <w:t>开标时间：</w:t>
      </w:r>
      <w:r>
        <w:rPr>
          <w:rFonts w:hint="eastAsia" w:ascii="宋体" w:hAnsi="宋体" w:cs="宋体"/>
          <w:b/>
          <w:color w:val="auto"/>
          <w:sz w:val="21"/>
          <w:szCs w:val="21"/>
          <w:highlight w:val="none"/>
        </w:rPr>
        <w:t>2024年12月</w:t>
      </w:r>
      <w:r>
        <w:rPr>
          <w:rFonts w:hint="eastAsia" w:ascii="宋体" w:hAnsi="宋体" w:cs="宋体"/>
          <w:b/>
          <w:color w:val="auto"/>
          <w:sz w:val="21"/>
          <w:szCs w:val="21"/>
          <w:highlight w:val="none"/>
          <w:lang w:val="en-US" w:eastAsia="zh-CN"/>
        </w:rPr>
        <w:t>05</w:t>
      </w:r>
      <w:r>
        <w:rPr>
          <w:rFonts w:hint="eastAsia" w:ascii="宋体" w:hAnsi="宋体" w:cs="宋体"/>
          <w:b/>
          <w:color w:val="auto"/>
          <w:sz w:val="21"/>
          <w:szCs w:val="21"/>
          <w:highlight w:val="none"/>
        </w:rPr>
        <w:t>日09点30分</w:t>
      </w:r>
      <w:r>
        <w:rPr>
          <w:rFonts w:hint="eastAsia" w:ascii="宋体" w:hAnsi="宋体" w:cs="宋体"/>
          <w:color w:val="auto"/>
          <w:sz w:val="21"/>
          <w:szCs w:val="21"/>
          <w:highlight w:val="none"/>
        </w:rPr>
        <w:t>（北京时间）</w:t>
      </w:r>
    </w:p>
    <w:p w14:paraId="01928C13">
      <w:pPr>
        <w:wordWrap w:val="0"/>
        <w:ind w:firstLine="420" w:firstLineChars="200"/>
        <w:rPr>
          <w:rFonts w:ascii="宋体" w:hAnsi="宋体" w:cs="宋体"/>
          <w:color w:val="auto"/>
          <w:sz w:val="21"/>
          <w:szCs w:val="21"/>
          <w:highlight w:val="none"/>
        </w:rPr>
      </w:pPr>
      <w:r>
        <w:rPr>
          <w:rFonts w:hint="eastAsia" w:ascii="宋体" w:hAnsi="宋体" w:cs="宋体"/>
          <w:color w:val="auto"/>
          <w:sz w:val="21"/>
          <w:szCs w:val="21"/>
          <w:highlight w:val="none"/>
        </w:rPr>
        <w:t>地点：江西省南昌市高新技术产业开发区昌东大道7199号中节能国际中心1号楼6层</w:t>
      </w:r>
    </w:p>
    <w:p w14:paraId="03C7BA33">
      <w:pPr>
        <w:wordWrap w:val="0"/>
        <w:rPr>
          <w:rFonts w:ascii="宋体" w:hAnsi="宋体" w:cs="宋体"/>
          <w:b/>
          <w:bCs/>
          <w:color w:val="auto"/>
          <w:sz w:val="21"/>
          <w:szCs w:val="21"/>
          <w:highlight w:val="none"/>
        </w:rPr>
      </w:pPr>
      <w:r>
        <w:rPr>
          <w:rFonts w:ascii="宋体" w:hAnsi="宋体" w:cs="宋体"/>
          <w:b/>
          <w:bCs/>
          <w:color w:val="auto"/>
          <w:sz w:val="21"/>
          <w:szCs w:val="21"/>
          <w:highlight w:val="none"/>
        </w:rPr>
        <w:t>五、公告期限</w:t>
      </w:r>
    </w:p>
    <w:p w14:paraId="23C970AB">
      <w:pPr>
        <w:ind w:firstLine="420" w:firstLineChars="200"/>
        <w:rPr>
          <w:rFonts w:ascii="宋体" w:hAnsi="宋体" w:cs="宋体"/>
          <w:color w:val="auto"/>
          <w:sz w:val="21"/>
          <w:szCs w:val="21"/>
          <w:highlight w:val="none"/>
        </w:rPr>
      </w:pPr>
      <w:r>
        <w:rPr>
          <w:rFonts w:hint="eastAsia" w:ascii="宋体" w:hAnsi="宋体" w:cs="宋体"/>
          <w:color w:val="auto"/>
          <w:sz w:val="21"/>
          <w:szCs w:val="21"/>
          <w:highlight w:val="none"/>
        </w:rPr>
        <w:t>自本公告发布之日起5个工作日</w:t>
      </w:r>
    </w:p>
    <w:p w14:paraId="50B2273E">
      <w:pPr>
        <w:numPr>
          <w:ilvl w:val="0"/>
          <w:numId w:val="2"/>
        </w:numPr>
        <w:wordWrap w:val="0"/>
        <w:ind w:left="316" w:hanging="316" w:hangingChars="150"/>
        <w:rPr>
          <w:rFonts w:ascii="宋体" w:hAnsi="宋体" w:cs="宋体"/>
          <w:b/>
          <w:bCs/>
          <w:color w:val="auto"/>
          <w:sz w:val="21"/>
          <w:szCs w:val="21"/>
          <w:highlight w:val="none"/>
        </w:rPr>
      </w:pPr>
      <w:r>
        <w:rPr>
          <w:rFonts w:ascii="宋体" w:hAnsi="宋体" w:cs="宋体"/>
          <w:b/>
          <w:bCs/>
          <w:color w:val="auto"/>
          <w:sz w:val="21"/>
          <w:szCs w:val="21"/>
          <w:highlight w:val="none"/>
        </w:rPr>
        <w:t>其他补充事宜</w:t>
      </w:r>
    </w:p>
    <w:p w14:paraId="1C3BD237">
      <w:pPr>
        <w:wordWrap w:val="0"/>
        <w:ind w:left="-360" w:leftChars="-150" w:firstLine="840" w:firstLineChars="400"/>
        <w:rPr>
          <w:rFonts w:ascii="宋体" w:hAnsi="宋体" w:cs="宋体"/>
          <w:color w:val="auto"/>
          <w:sz w:val="21"/>
          <w:szCs w:val="21"/>
          <w:highlight w:val="none"/>
        </w:rPr>
      </w:pPr>
      <w:r>
        <w:rPr>
          <w:rFonts w:hint="eastAsia" w:ascii="宋体" w:hAnsi="宋体" w:cs="宋体"/>
          <w:color w:val="auto"/>
          <w:sz w:val="21"/>
          <w:szCs w:val="21"/>
          <w:highlight w:val="none"/>
        </w:rPr>
        <w:t>无</w:t>
      </w:r>
    </w:p>
    <w:p w14:paraId="1179A09D">
      <w:pPr>
        <w:wordWrap w:val="0"/>
        <w:ind w:left="316" w:hanging="316" w:hangingChars="150"/>
        <w:rPr>
          <w:rFonts w:ascii="宋体" w:hAnsi="宋体" w:cs="宋体"/>
          <w:b/>
          <w:bCs/>
          <w:color w:val="auto"/>
          <w:sz w:val="21"/>
          <w:szCs w:val="21"/>
          <w:highlight w:val="none"/>
        </w:rPr>
      </w:pPr>
      <w:r>
        <w:rPr>
          <w:rFonts w:ascii="宋体" w:hAnsi="宋体" w:cs="宋体"/>
          <w:b/>
          <w:bCs/>
          <w:color w:val="auto"/>
          <w:sz w:val="21"/>
          <w:szCs w:val="21"/>
          <w:highlight w:val="none"/>
        </w:rPr>
        <w:t>七、对本次招标提出询问，请按以下方式联系</w:t>
      </w:r>
    </w:p>
    <w:p w14:paraId="5F4984C0">
      <w:pPr>
        <w:ind w:firstLine="420" w:firstLineChars="200"/>
        <w:rPr>
          <w:rFonts w:ascii="宋体" w:hAnsi="宋体" w:cs="宋体"/>
          <w:color w:val="auto"/>
          <w:sz w:val="21"/>
          <w:szCs w:val="21"/>
          <w:highlight w:val="none"/>
        </w:rPr>
      </w:pPr>
      <w:r>
        <w:rPr>
          <w:rFonts w:hint="eastAsia" w:ascii="宋体" w:hAnsi="宋体" w:cs="宋体"/>
          <w:color w:val="auto"/>
          <w:sz w:val="21"/>
          <w:szCs w:val="21"/>
          <w:highlight w:val="none"/>
        </w:rPr>
        <w:t>1.采购人信息</w:t>
      </w:r>
    </w:p>
    <w:p w14:paraId="3AC81E02">
      <w:pPr>
        <w:ind w:firstLine="420" w:firstLineChars="200"/>
        <w:rPr>
          <w:rFonts w:ascii="宋体" w:hAnsi="宋体" w:cs="宋体"/>
          <w:color w:val="auto"/>
          <w:sz w:val="21"/>
          <w:szCs w:val="21"/>
          <w:highlight w:val="none"/>
        </w:rPr>
      </w:pPr>
      <w:r>
        <w:rPr>
          <w:rFonts w:hint="eastAsia" w:ascii="宋体" w:hAnsi="宋体" w:cs="宋体"/>
          <w:color w:val="auto"/>
          <w:sz w:val="21"/>
          <w:szCs w:val="21"/>
          <w:highlight w:val="none"/>
        </w:rPr>
        <w:t>名称：国家计算机网络与信息安全管理中心江西分中心</w:t>
      </w:r>
    </w:p>
    <w:p w14:paraId="5F1BED9F">
      <w:pPr>
        <w:ind w:firstLine="420" w:firstLineChars="200"/>
        <w:rPr>
          <w:rFonts w:ascii="宋体" w:hAnsi="宋体" w:cs="宋体"/>
          <w:color w:val="auto"/>
          <w:sz w:val="21"/>
          <w:szCs w:val="21"/>
          <w:highlight w:val="none"/>
        </w:rPr>
      </w:pPr>
      <w:r>
        <w:rPr>
          <w:rFonts w:hint="eastAsia" w:ascii="宋体" w:hAnsi="宋体" w:cs="宋体"/>
          <w:color w:val="auto"/>
          <w:sz w:val="21"/>
          <w:szCs w:val="21"/>
          <w:highlight w:val="none"/>
        </w:rPr>
        <w:t>地址：江西省南昌市红谷滩区广昌路198号</w:t>
      </w:r>
    </w:p>
    <w:p w14:paraId="4114FF81">
      <w:pPr>
        <w:ind w:firstLine="420" w:firstLineChars="200"/>
        <w:rPr>
          <w:rFonts w:ascii="宋体" w:hAnsi="宋体" w:cs="宋体"/>
          <w:color w:val="auto"/>
          <w:sz w:val="21"/>
          <w:szCs w:val="21"/>
          <w:highlight w:val="none"/>
        </w:rPr>
      </w:pPr>
      <w:r>
        <w:rPr>
          <w:rFonts w:hint="eastAsia" w:ascii="宋体" w:hAnsi="宋体" w:cs="宋体"/>
          <w:color w:val="auto"/>
          <w:sz w:val="21"/>
          <w:szCs w:val="21"/>
          <w:highlight w:val="none"/>
        </w:rPr>
        <w:t>联系方式：0791-86218381</w:t>
      </w:r>
    </w:p>
    <w:p w14:paraId="0F2F8C7D">
      <w:pPr>
        <w:ind w:firstLine="420" w:firstLineChars="200"/>
        <w:rPr>
          <w:rFonts w:ascii="宋体" w:hAnsi="宋体" w:cs="宋体"/>
          <w:color w:val="auto"/>
          <w:sz w:val="21"/>
          <w:szCs w:val="21"/>
          <w:highlight w:val="none"/>
        </w:rPr>
      </w:pPr>
      <w:r>
        <w:rPr>
          <w:rFonts w:hint="eastAsia" w:ascii="宋体" w:hAnsi="宋体" w:cs="宋体"/>
          <w:color w:val="auto"/>
          <w:sz w:val="21"/>
          <w:szCs w:val="21"/>
          <w:highlight w:val="none"/>
        </w:rPr>
        <w:t>2.采购代理机构信息</w:t>
      </w:r>
    </w:p>
    <w:p w14:paraId="1337E2D4">
      <w:pPr>
        <w:ind w:firstLine="420" w:firstLineChars="200"/>
        <w:rPr>
          <w:rFonts w:ascii="宋体" w:hAnsi="宋体" w:cs="宋体"/>
          <w:color w:val="auto"/>
          <w:sz w:val="21"/>
          <w:szCs w:val="21"/>
          <w:highlight w:val="none"/>
        </w:rPr>
      </w:pPr>
      <w:r>
        <w:rPr>
          <w:rFonts w:hint="eastAsia" w:ascii="宋体" w:hAnsi="宋体" w:cs="宋体"/>
          <w:color w:val="auto"/>
          <w:sz w:val="21"/>
          <w:szCs w:val="21"/>
          <w:highlight w:val="none"/>
        </w:rPr>
        <w:t>名称：中招国际招标有限公司江西分公司江西分公司</w:t>
      </w:r>
    </w:p>
    <w:p w14:paraId="615FE3CA">
      <w:pPr>
        <w:ind w:firstLine="420" w:firstLineChars="200"/>
        <w:rPr>
          <w:rFonts w:ascii="宋体" w:hAnsi="宋体" w:cs="宋体"/>
          <w:color w:val="auto"/>
          <w:sz w:val="21"/>
          <w:szCs w:val="21"/>
          <w:highlight w:val="none"/>
        </w:rPr>
      </w:pPr>
      <w:r>
        <w:rPr>
          <w:rFonts w:hint="eastAsia" w:ascii="宋体" w:hAnsi="宋体" w:cs="宋体"/>
          <w:color w:val="auto"/>
          <w:sz w:val="21"/>
          <w:szCs w:val="21"/>
          <w:highlight w:val="none"/>
        </w:rPr>
        <w:t>地址：江西省南昌市高新技术产业开发区昌东大道7199号中节能国际中心1号楼6层</w:t>
      </w:r>
    </w:p>
    <w:p w14:paraId="7BC6A63C">
      <w:pPr>
        <w:ind w:firstLine="420" w:firstLineChars="200"/>
        <w:rPr>
          <w:rFonts w:ascii="宋体" w:hAnsi="宋体" w:cs="宋体"/>
          <w:color w:val="auto"/>
          <w:sz w:val="21"/>
          <w:szCs w:val="21"/>
          <w:highlight w:val="none"/>
        </w:rPr>
      </w:pPr>
      <w:r>
        <w:rPr>
          <w:rFonts w:hint="eastAsia" w:ascii="宋体" w:hAnsi="宋体" w:cs="宋体"/>
          <w:color w:val="auto"/>
          <w:sz w:val="21"/>
          <w:szCs w:val="21"/>
          <w:highlight w:val="none"/>
        </w:rPr>
        <w:t>联系方式：胡潇爽、洪子琪、刘琛、罗会京0791-83850126、86370205</w:t>
      </w:r>
    </w:p>
    <w:p w14:paraId="0C42AF91">
      <w:pPr>
        <w:ind w:firstLine="420" w:firstLineChars="200"/>
        <w:rPr>
          <w:rFonts w:ascii="宋体" w:hAnsi="宋体" w:cs="宋体"/>
          <w:color w:val="auto"/>
          <w:sz w:val="21"/>
          <w:szCs w:val="21"/>
          <w:highlight w:val="none"/>
        </w:rPr>
      </w:pPr>
      <w:r>
        <w:rPr>
          <w:rFonts w:hint="eastAsia" w:ascii="宋体" w:hAnsi="宋体" w:cs="宋体"/>
          <w:color w:val="auto"/>
          <w:sz w:val="21"/>
          <w:szCs w:val="21"/>
          <w:highlight w:val="none"/>
        </w:rPr>
        <w:t>3.项目联系方式</w:t>
      </w:r>
    </w:p>
    <w:p w14:paraId="26833FCB">
      <w:pPr>
        <w:ind w:firstLine="420" w:firstLineChars="200"/>
        <w:rPr>
          <w:rFonts w:ascii="宋体" w:hAnsi="宋体" w:cs="宋体"/>
          <w:color w:val="auto"/>
          <w:sz w:val="21"/>
          <w:szCs w:val="21"/>
          <w:highlight w:val="none"/>
        </w:rPr>
      </w:pPr>
      <w:r>
        <w:rPr>
          <w:rFonts w:hint="eastAsia" w:ascii="宋体" w:hAnsi="宋体" w:cs="宋体"/>
          <w:color w:val="auto"/>
          <w:sz w:val="21"/>
          <w:szCs w:val="21"/>
          <w:highlight w:val="none"/>
        </w:rPr>
        <w:t>项目联系人：胡潇爽、洪子琪、刘琛、罗会京</w:t>
      </w:r>
    </w:p>
    <w:p w14:paraId="78E4B58F">
      <w:pPr>
        <w:ind w:firstLine="420" w:firstLineChars="200"/>
        <w:rPr>
          <w:rFonts w:ascii="宋体" w:hAnsi="宋体" w:cs="宋体"/>
          <w:color w:val="auto"/>
          <w:sz w:val="21"/>
          <w:szCs w:val="21"/>
          <w:highlight w:val="none"/>
        </w:rPr>
      </w:pPr>
      <w:r>
        <w:rPr>
          <w:rFonts w:hint="eastAsia" w:ascii="宋体" w:hAnsi="宋体" w:cs="宋体"/>
          <w:color w:val="auto"/>
          <w:sz w:val="21"/>
          <w:szCs w:val="21"/>
          <w:highlight w:val="none"/>
        </w:rPr>
        <w:t>电话：0791-83850126、86370205</w:t>
      </w:r>
    </w:p>
    <w:p w14:paraId="0D49D15E">
      <w:pPr>
        <w:widowControl/>
        <w:spacing w:line="240" w:lineRule="auto"/>
        <w:rPr>
          <w:rFonts w:ascii="宋体" w:hAnsi="宋体" w:cs="宋体"/>
          <w:color w:val="auto"/>
          <w:sz w:val="21"/>
          <w:szCs w:val="21"/>
          <w:highlight w:val="none"/>
        </w:rPr>
      </w:pPr>
      <w:r>
        <w:rPr>
          <w:rFonts w:ascii="宋体" w:hAnsi="宋体" w:cs="宋体"/>
          <w:color w:val="auto"/>
          <w:sz w:val="21"/>
          <w:szCs w:val="21"/>
          <w:highlight w:val="none"/>
        </w:rPr>
        <w:br w:type="page"/>
      </w:r>
    </w:p>
    <w:p w14:paraId="1B3D655B">
      <w:pPr>
        <w:pStyle w:val="3"/>
        <w:spacing w:before="156" w:after="156"/>
        <w:rPr>
          <w:rFonts w:cs="宋体"/>
          <w:b w:val="0"/>
          <w:bCs w:val="0"/>
          <w:color w:val="auto"/>
          <w:highlight w:val="none"/>
        </w:rPr>
      </w:pPr>
      <w:bookmarkStart w:id="4" w:name="_Toc406059257"/>
      <w:bookmarkStart w:id="5" w:name="_Toc135054603"/>
      <w:r>
        <w:rPr>
          <w:rFonts w:hint="eastAsia" w:cs="宋体"/>
          <w:color w:val="auto"/>
          <w:highlight w:val="none"/>
        </w:rPr>
        <w:t>第二章　投标人须知</w:t>
      </w:r>
      <w:bookmarkEnd w:id="4"/>
      <w:bookmarkEnd w:id="5"/>
    </w:p>
    <w:p w14:paraId="53EE7D78">
      <w:pPr>
        <w:jc w:val="center"/>
        <w:rPr>
          <w:rFonts w:cs="宋体"/>
          <w:b/>
          <w:bCs/>
          <w:color w:val="auto"/>
          <w:sz w:val="30"/>
          <w:szCs w:val="30"/>
          <w:highlight w:val="none"/>
        </w:rPr>
      </w:pPr>
      <w:bookmarkStart w:id="6" w:name="_Toc406059258"/>
      <w:r>
        <w:rPr>
          <w:rFonts w:hint="eastAsia" w:cs="宋体"/>
          <w:b/>
          <w:bCs/>
          <w:color w:val="auto"/>
          <w:sz w:val="30"/>
          <w:szCs w:val="30"/>
          <w:highlight w:val="none"/>
        </w:rPr>
        <w:t>一、投标人须知前附表</w:t>
      </w:r>
      <w:bookmarkEnd w:id="6"/>
    </w:p>
    <w:tbl>
      <w:tblPr>
        <w:tblStyle w:val="27"/>
        <w:tblW w:w="980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18"/>
        <w:gridCol w:w="8788"/>
      </w:tblGrid>
      <w:tr w14:paraId="5FF0E7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2" w:hRule="atLeast"/>
          <w:tblHeader/>
          <w:jc w:val="center"/>
        </w:trPr>
        <w:tc>
          <w:tcPr>
            <w:tcW w:w="1018" w:type="dxa"/>
          </w:tcPr>
          <w:p w14:paraId="47C4E387">
            <w:pPr>
              <w:snapToGrid w:val="0"/>
              <w:jc w:val="center"/>
              <w:textAlignment w:val="center"/>
              <w:rPr>
                <w:rFonts w:ascii="宋体" w:hAnsi="宋体" w:cs="宋体"/>
                <w:bCs/>
                <w:color w:val="auto"/>
                <w:sz w:val="21"/>
                <w:szCs w:val="21"/>
                <w:highlight w:val="none"/>
              </w:rPr>
            </w:pPr>
            <w:r>
              <w:rPr>
                <w:rFonts w:hint="eastAsia" w:ascii="宋体" w:hAnsi="宋体" w:cs="宋体"/>
                <w:bCs/>
                <w:color w:val="auto"/>
                <w:sz w:val="21"/>
                <w:szCs w:val="21"/>
                <w:highlight w:val="none"/>
              </w:rPr>
              <w:t>序号</w:t>
            </w:r>
          </w:p>
        </w:tc>
        <w:tc>
          <w:tcPr>
            <w:tcW w:w="8788" w:type="dxa"/>
          </w:tcPr>
          <w:p w14:paraId="4A5539F1">
            <w:pPr>
              <w:snapToGrid w:val="0"/>
              <w:jc w:val="center"/>
              <w:textAlignment w:val="center"/>
              <w:rPr>
                <w:rFonts w:ascii="宋体" w:hAnsi="宋体" w:cs="宋体"/>
                <w:bCs/>
                <w:color w:val="auto"/>
                <w:sz w:val="21"/>
                <w:szCs w:val="21"/>
                <w:highlight w:val="none"/>
              </w:rPr>
            </w:pPr>
            <w:r>
              <w:rPr>
                <w:rFonts w:hint="eastAsia" w:ascii="宋体" w:hAnsi="宋体" w:cs="宋体"/>
                <w:bCs/>
                <w:color w:val="auto"/>
                <w:sz w:val="21"/>
                <w:szCs w:val="21"/>
                <w:highlight w:val="none"/>
              </w:rPr>
              <w:t>内容</w:t>
            </w:r>
          </w:p>
        </w:tc>
      </w:tr>
      <w:tr w14:paraId="3F77B6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jc w:val="center"/>
        </w:trPr>
        <w:tc>
          <w:tcPr>
            <w:tcW w:w="1018" w:type="dxa"/>
            <w:vAlign w:val="center"/>
          </w:tcPr>
          <w:p w14:paraId="65712071">
            <w:pPr>
              <w:snapToGrid w:val="0"/>
              <w:jc w:val="center"/>
              <w:textAlignment w:val="center"/>
              <w:rPr>
                <w:rFonts w:ascii="宋体" w:hAnsi="宋体" w:cs="宋体"/>
                <w:color w:val="auto"/>
                <w:sz w:val="21"/>
                <w:szCs w:val="21"/>
                <w:highlight w:val="none"/>
              </w:rPr>
            </w:pPr>
            <w:r>
              <w:rPr>
                <w:rFonts w:hint="eastAsia" w:ascii="宋体" w:hAnsi="宋体" w:cs="宋体"/>
                <w:color w:val="auto"/>
                <w:sz w:val="21"/>
                <w:szCs w:val="21"/>
                <w:highlight w:val="none"/>
              </w:rPr>
              <w:t>1</w:t>
            </w:r>
          </w:p>
        </w:tc>
        <w:tc>
          <w:tcPr>
            <w:tcW w:w="8788" w:type="dxa"/>
          </w:tcPr>
          <w:p w14:paraId="465DD3C8">
            <w:pPr>
              <w:snapToGrid w:val="0"/>
              <w:textAlignment w:val="center"/>
              <w:rPr>
                <w:rFonts w:ascii="宋体" w:hAnsi="宋体" w:cs="宋体"/>
                <w:bCs/>
                <w:color w:val="auto"/>
                <w:sz w:val="21"/>
                <w:szCs w:val="21"/>
                <w:highlight w:val="none"/>
              </w:rPr>
            </w:pPr>
            <w:r>
              <w:rPr>
                <w:rFonts w:hint="eastAsia" w:ascii="宋体" w:hAnsi="宋体" w:cs="宋体"/>
                <w:b/>
                <w:color w:val="auto"/>
                <w:sz w:val="21"/>
                <w:szCs w:val="21"/>
                <w:highlight w:val="none"/>
              </w:rPr>
              <w:t>项目名称:</w:t>
            </w:r>
            <w:r>
              <w:rPr>
                <w:rFonts w:hint="eastAsia" w:ascii="宋体" w:hAnsi="宋体" w:cs="宋体"/>
                <w:bCs/>
                <w:color w:val="auto"/>
                <w:sz w:val="21"/>
                <w:szCs w:val="21"/>
                <w:highlight w:val="none"/>
              </w:rPr>
              <w:t>国家计算机网络与信息安全管理中心江西分中心综合机房楼物业管理综合服务项目</w:t>
            </w:r>
          </w:p>
          <w:p w14:paraId="1A016703">
            <w:pPr>
              <w:snapToGrid w:val="0"/>
              <w:textAlignment w:val="center"/>
              <w:rPr>
                <w:rFonts w:ascii="宋体" w:hAnsi="宋体" w:cs="宋体"/>
                <w:b/>
                <w:color w:val="auto"/>
                <w:sz w:val="21"/>
                <w:szCs w:val="21"/>
                <w:highlight w:val="none"/>
              </w:rPr>
            </w:pPr>
            <w:r>
              <w:rPr>
                <w:rFonts w:hint="eastAsia" w:ascii="宋体" w:hAnsi="宋体" w:cs="宋体"/>
                <w:b/>
                <w:color w:val="auto"/>
                <w:sz w:val="21"/>
                <w:szCs w:val="21"/>
                <w:highlight w:val="none"/>
              </w:rPr>
              <w:t>项目编号</w:t>
            </w:r>
            <w:r>
              <w:rPr>
                <w:rFonts w:ascii="宋体" w:hAnsi="宋体" w:cs="宋体"/>
                <w:b/>
                <w:color w:val="auto"/>
                <w:sz w:val="21"/>
                <w:szCs w:val="21"/>
                <w:highlight w:val="none"/>
              </w:rPr>
              <w:t>:</w:t>
            </w:r>
            <w:r>
              <w:rPr>
                <w:rFonts w:hint="eastAsia" w:ascii="宋体" w:hAnsi="宋体" w:cs="宋体"/>
                <w:b/>
                <w:color w:val="auto"/>
                <w:sz w:val="21"/>
                <w:szCs w:val="21"/>
                <w:highlight w:val="none"/>
              </w:rPr>
              <w:t>TC249XMAD</w:t>
            </w:r>
          </w:p>
          <w:p w14:paraId="786C2CAD">
            <w:pPr>
              <w:snapToGrid w:val="0"/>
              <w:textAlignment w:val="center"/>
              <w:rPr>
                <w:rFonts w:ascii="宋体" w:hAnsi="宋体" w:cs="宋体"/>
                <w:b/>
                <w:color w:val="auto"/>
                <w:sz w:val="21"/>
                <w:szCs w:val="21"/>
                <w:highlight w:val="none"/>
              </w:rPr>
            </w:pPr>
            <w:r>
              <w:rPr>
                <w:rFonts w:hint="eastAsia" w:ascii="宋体" w:hAnsi="宋体" w:cs="宋体"/>
                <w:b/>
                <w:color w:val="auto"/>
                <w:sz w:val="21"/>
                <w:szCs w:val="21"/>
                <w:highlight w:val="none"/>
              </w:rPr>
              <w:t>采购项目的属性：</w:t>
            </w:r>
            <w:r>
              <w:rPr>
                <w:rFonts w:ascii="宋体" w:hAnsi="宋体" w:cs="宋体"/>
                <w:bCs/>
                <w:color w:val="auto"/>
                <w:sz w:val="21"/>
                <w:szCs w:val="21"/>
                <w:highlight w:val="none"/>
              </w:rPr>
              <w:t>服务</w:t>
            </w:r>
          </w:p>
          <w:p w14:paraId="516FBCB7">
            <w:pPr>
              <w:snapToGrid w:val="0"/>
              <w:textAlignment w:val="center"/>
              <w:rPr>
                <w:rFonts w:ascii="宋体" w:hAnsi="宋体" w:cs="宋体"/>
                <w:bCs/>
                <w:color w:val="auto"/>
                <w:sz w:val="21"/>
                <w:szCs w:val="21"/>
                <w:highlight w:val="none"/>
              </w:rPr>
            </w:pPr>
            <w:r>
              <w:rPr>
                <w:rFonts w:hint="eastAsia" w:ascii="宋体" w:hAnsi="宋体" w:cs="宋体"/>
                <w:b/>
                <w:color w:val="auto"/>
                <w:sz w:val="21"/>
                <w:szCs w:val="21"/>
                <w:highlight w:val="none"/>
              </w:rPr>
              <w:t>采购用途：</w:t>
            </w:r>
            <w:r>
              <w:rPr>
                <w:rFonts w:hint="eastAsia" w:ascii="宋体" w:hAnsi="宋体" w:cs="宋体"/>
                <w:bCs/>
                <w:color w:val="auto"/>
                <w:sz w:val="21"/>
                <w:szCs w:val="21"/>
                <w:highlight w:val="none"/>
              </w:rPr>
              <w:t>自用</w:t>
            </w:r>
          </w:p>
          <w:p w14:paraId="4B09D61C">
            <w:pPr>
              <w:snapToGrid w:val="0"/>
              <w:textAlignment w:val="center"/>
              <w:rPr>
                <w:b/>
                <w:color w:val="auto"/>
                <w:highlight w:val="none"/>
              </w:rPr>
            </w:pPr>
            <w:r>
              <w:rPr>
                <w:rFonts w:hint="eastAsia" w:ascii="宋体" w:hAnsi="宋体" w:cs="宋体"/>
                <w:b/>
                <w:color w:val="auto"/>
                <w:sz w:val="21"/>
                <w:szCs w:val="21"/>
                <w:highlight w:val="none"/>
              </w:rPr>
              <w:t>本项目是否为</w:t>
            </w:r>
            <w:r>
              <w:rPr>
                <w:rFonts w:hint="eastAsia" w:ascii="宋体" w:hAnsi="宋体" w:cs="宋体"/>
                <w:b/>
                <w:bCs/>
                <w:color w:val="auto"/>
                <w:sz w:val="21"/>
                <w:szCs w:val="21"/>
                <w:highlight w:val="none"/>
              </w:rPr>
              <w:t>专门面向中小企业采购：否</w:t>
            </w:r>
          </w:p>
        </w:tc>
      </w:tr>
      <w:tr w14:paraId="7523CF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18" w:type="dxa"/>
            <w:vAlign w:val="center"/>
          </w:tcPr>
          <w:p w14:paraId="49735FCA">
            <w:pPr>
              <w:snapToGrid w:val="0"/>
              <w:jc w:val="center"/>
              <w:textAlignment w:val="center"/>
              <w:rPr>
                <w:rFonts w:ascii="宋体" w:hAnsi="宋体" w:cs="宋体"/>
                <w:color w:val="auto"/>
                <w:sz w:val="21"/>
                <w:szCs w:val="21"/>
                <w:highlight w:val="none"/>
              </w:rPr>
            </w:pPr>
            <w:r>
              <w:rPr>
                <w:rFonts w:hint="eastAsia" w:ascii="宋体" w:hAnsi="宋体" w:cs="宋体"/>
                <w:color w:val="auto"/>
                <w:sz w:val="21"/>
                <w:szCs w:val="21"/>
                <w:highlight w:val="none"/>
              </w:rPr>
              <w:t>2</w:t>
            </w:r>
          </w:p>
        </w:tc>
        <w:tc>
          <w:tcPr>
            <w:tcW w:w="8788" w:type="dxa"/>
          </w:tcPr>
          <w:p w14:paraId="1451D3CF">
            <w:pPr>
              <w:snapToGrid w:val="0"/>
              <w:textAlignment w:val="center"/>
              <w:rPr>
                <w:rFonts w:ascii="宋体" w:hAnsi="宋体" w:cs="宋体"/>
                <w:b/>
                <w:color w:val="auto"/>
                <w:sz w:val="21"/>
                <w:szCs w:val="21"/>
                <w:highlight w:val="none"/>
              </w:rPr>
            </w:pPr>
            <w:r>
              <w:rPr>
                <w:rFonts w:hint="eastAsia" w:ascii="宋体" w:hAnsi="宋体" w:cs="宋体"/>
                <w:b/>
                <w:color w:val="auto"/>
                <w:sz w:val="21"/>
                <w:szCs w:val="21"/>
                <w:highlight w:val="none"/>
              </w:rPr>
              <w:t>招标人名称：</w:t>
            </w:r>
            <w:r>
              <w:rPr>
                <w:rFonts w:hint="eastAsia" w:ascii="宋体" w:hAnsi="宋体" w:cs="宋体"/>
                <w:color w:val="auto"/>
                <w:sz w:val="21"/>
                <w:szCs w:val="21"/>
                <w:highlight w:val="none"/>
              </w:rPr>
              <w:t>国家计算机网络与信息安全管理中心江西分中心</w:t>
            </w:r>
          </w:p>
          <w:p w14:paraId="0D329D97">
            <w:pPr>
              <w:snapToGrid w:val="0"/>
              <w:textAlignment w:val="center"/>
              <w:rPr>
                <w:rFonts w:ascii="宋体" w:hAnsi="宋体" w:cs="宋体"/>
                <w:b/>
                <w:color w:val="auto"/>
                <w:sz w:val="21"/>
                <w:szCs w:val="21"/>
                <w:highlight w:val="none"/>
              </w:rPr>
            </w:pPr>
            <w:r>
              <w:rPr>
                <w:rFonts w:hint="eastAsia" w:ascii="宋体" w:hAnsi="宋体" w:cs="宋体"/>
                <w:b/>
                <w:bCs/>
                <w:color w:val="auto"/>
                <w:sz w:val="21"/>
                <w:szCs w:val="21"/>
                <w:highlight w:val="none"/>
              </w:rPr>
              <w:t>详细地址：</w:t>
            </w:r>
            <w:r>
              <w:rPr>
                <w:rFonts w:hint="eastAsia" w:ascii="宋体" w:hAnsi="宋体" w:cs="宋体"/>
                <w:color w:val="auto"/>
                <w:sz w:val="21"/>
                <w:szCs w:val="21"/>
                <w:highlight w:val="none"/>
              </w:rPr>
              <w:t>江西省南昌市红谷滩区广昌路198号</w:t>
            </w:r>
          </w:p>
          <w:p w14:paraId="08D60E0E">
            <w:pPr>
              <w:snapToGrid w:val="0"/>
              <w:textAlignment w:val="center"/>
              <w:rPr>
                <w:rFonts w:ascii="宋体" w:hAnsi="宋体" w:cs="宋体"/>
                <w:color w:val="auto"/>
                <w:sz w:val="21"/>
                <w:szCs w:val="21"/>
                <w:highlight w:val="none"/>
              </w:rPr>
            </w:pPr>
            <w:r>
              <w:rPr>
                <w:rFonts w:hint="eastAsia" w:ascii="宋体" w:hAnsi="宋体" w:cs="宋体"/>
                <w:b/>
                <w:bCs/>
                <w:color w:val="auto"/>
                <w:sz w:val="21"/>
                <w:szCs w:val="21"/>
                <w:highlight w:val="none"/>
              </w:rPr>
              <w:t>联系电话：0791-86218381</w:t>
            </w:r>
          </w:p>
        </w:tc>
      </w:tr>
      <w:tr w14:paraId="56B692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27" w:hRule="atLeast"/>
          <w:jc w:val="center"/>
        </w:trPr>
        <w:tc>
          <w:tcPr>
            <w:tcW w:w="1018" w:type="dxa"/>
            <w:vAlign w:val="center"/>
          </w:tcPr>
          <w:p w14:paraId="214664A5">
            <w:pPr>
              <w:snapToGrid w:val="0"/>
              <w:jc w:val="center"/>
              <w:textAlignment w:val="center"/>
              <w:rPr>
                <w:rFonts w:ascii="宋体" w:hAnsi="宋体" w:cs="宋体"/>
                <w:color w:val="auto"/>
                <w:sz w:val="21"/>
                <w:szCs w:val="21"/>
                <w:highlight w:val="none"/>
              </w:rPr>
            </w:pPr>
            <w:r>
              <w:rPr>
                <w:rFonts w:hint="eastAsia" w:ascii="宋体" w:hAnsi="宋体" w:cs="宋体"/>
                <w:color w:val="auto"/>
                <w:sz w:val="21"/>
                <w:szCs w:val="21"/>
                <w:highlight w:val="none"/>
              </w:rPr>
              <w:t>3</w:t>
            </w:r>
          </w:p>
        </w:tc>
        <w:tc>
          <w:tcPr>
            <w:tcW w:w="8788" w:type="dxa"/>
          </w:tcPr>
          <w:p w14:paraId="03E15D64">
            <w:pPr>
              <w:snapToGrid w:val="0"/>
              <w:textAlignment w:val="center"/>
              <w:rPr>
                <w:rFonts w:ascii="宋体" w:hAnsi="宋体" w:cs="宋体"/>
                <w:color w:val="auto"/>
                <w:sz w:val="21"/>
                <w:szCs w:val="21"/>
                <w:highlight w:val="none"/>
              </w:rPr>
            </w:pPr>
            <w:r>
              <w:rPr>
                <w:rFonts w:hint="eastAsia" w:ascii="宋体" w:hAnsi="宋体" w:cs="宋体"/>
                <w:b/>
                <w:color w:val="auto"/>
                <w:sz w:val="21"/>
                <w:szCs w:val="21"/>
                <w:highlight w:val="none"/>
              </w:rPr>
              <w:t>招标代理机构：</w:t>
            </w:r>
            <w:r>
              <w:rPr>
                <w:rFonts w:hint="eastAsia" w:ascii="宋体" w:hAnsi="宋体" w:cs="宋体"/>
                <w:color w:val="auto"/>
                <w:sz w:val="21"/>
                <w:szCs w:val="21"/>
                <w:highlight w:val="none"/>
              </w:rPr>
              <w:t>中招国际招标有限公司江西分公司</w:t>
            </w:r>
          </w:p>
          <w:p w14:paraId="1E68D5E8">
            <w:pPr>
              <w:snapToGrid w:val="0"/>
              <w:textAlignment w:val="center"/>
              <w:rPr>
                <w:rFonts w:ascii="宋体" w:hAnsi="宋体" w:cs="宋体"/>
                <w:bCs/>
                <w:color w:val="auto"/>
                <w:sz w:val="21"/>
                <w:szCs w:val="21"/>
                <w:highlight w:val="none"/>
              </w:rPr>
            </w:pPr>
            <w:r>
              <w:rPr>
                <w:rFonts w:hint="eastAsia" w:ascii="宋体" w:hAnsi="宋体" w:cs="宋体"/>
                <w:b/>
                <w:color w:val="auto"/>
                <w:sz w:val="21"/>
                <w:szCs w:val="21"/>
                <w:highlight w:val="none"/>
              </w:rPr>
              <w:t>详细地址：</w:t>
            </w:r>
            <w:r>
              <w:rPr>
                <w:rFonts w:hint="eastAsia" w:ascii="宋体" w:hAnsi="宋体" w:cs="宋体"/>
                <w:color w:val="auto"/>
                <w:sz w:val="21"/>
                <w:szCs w:val="21"/>
                <w:highlight w:val="none"/>
              </w:rPr>
              <w:t>江西省南昌市高新技术产业开发区昌东大道7199号中节能国际中心1号楼6层</w:t>
            </w:r>
          </w:p>
          <w:p w14:paraId="567E4BB4">
            <w:pPr>
              <w:snapToGrid w:val="0"/>
              <w:textAlignment w:val="center"/>
              <w:rPr>
                <w:rFonts w:ascii="宋体" w:hAnsi="宋体" w:cs="宋体"/>
                <w:b/>
                <w:color w:val="auto"/>
                <w:sz w:val="21"/>
                <w:szCs w:val="21"/>
                <w:highlight w:val="none"/>
              </w:rPr>
            </w:pPr>
            <w:r>
              <w:rPr>
                <w:rFonts w:hint="eastAsia" w:ascii="宋体" w:hAnsi="宋体" w:cs="宋体"/>
                <w:b/>
                <w:color w:val="auto"/>
                <w:sz w:val="21"/>
                <w:szCs w:val="21"/>
                <w:highlight w:val="none"/>
              </w:rPr>
              <w:t>邮编：</w:t>
            </w:r>
            <w:r>
              <w:rPr>
                <w:rFonts w:hint="eastAsia" w:ascii="宋体" w:hAnsi="宋体" w:cs="宋体"/>
                <w:bCs/>
                <w:color w:val="auto"/>
                <w:sz w:val="21"/>
                <w:szCs w:val="21"/>
                <w:highlight w:val="none"/>
              </w:rPr>
              <w:t>330038</w:t>
            </w:r>
          </w:p>
          <w:p w14:paraId="112963B4">
            <w:pPr>
              <w:snapToGrid w:val="0"/>
              <w:textAlignment w:val="center"/>
              <w:rPr>
                <w:rFonts w:ascii="宋体" w:hAnsi="宋体" w:cs="宋体"/>
                <w:b/>
                <w:color w:val="auto"/>
                <w:sz w:val="21"/>
                <w:szCs w:val="21"/>
                <w:highlight w:val="none"/>
              </w:rPr>
            </w:pPr>
            <w:r>
              <w:rPr>
                <w:rFonts w:hint="eastAsia" w:ascii="宋体" w:hAnsi="宋体" w:cs="宋体"/>
                <w:b/>
                <w:color w:val="auto"/>
                <w:sz w:val="21"/>
                <w:szCs w:val="21"/>
                <w:highlight w:val="none"/>
              </w:rPr>
              <w:t>联系人：</w:t>
            </w:r>
            <w:r>
              <w:rPr>
                <w:rFonts w:hint="eastAsia" w:ascii="宋体" w:hAnsi="宋体" w:cs="宋体"/>
                <w:color w:val="auto"/>
                <w:sz w:val="21"/>
                <w:szCs w:val="21"/>
                <w:highlight w:val="none"/>
              </w:rPr>
              <w:t>胡潇爽、洪子琪、刘琛、罗会京</w:t>
            </w:r>
          </w:p>
          <w:p w14:paraId="7ECF887B">
            <w:pPr>
              <w:snapToGrid w:val="0"/>
              <w:textAlignment w:val="center"/>
              <w:rPr>
                <w:rFonts w:ascii="宋体" w:hAnsi="宋体" w:cs="宋体"/>
                <w:bCs/>
                <w:color w:val="auto"/>
                <w:sz w:val="21"/>
                <w:szCs w:val="21"/>
                <w:highlight w:val="none"/>
              </w:rPr>
            </w:pPr>
            <w:r>
              <w:rPr>
                <w:rFonts w:hint="eastAsia" w:ascii="宋体" w:hAnsi="宋体" w:cs="宋体"/>
                <w:b/>
                <w:color w:val="auto"/>
                <w:sz w:val="21"/>
                <w:szCs w:val="21"/>
                <w:highlight w:val="none"/>
              </w:rPr>
              <w:t>电话：</w:t>
            </w:r>
            <w:r>
              <w:rPr>
                <w:rFonts w:hint="eastAsia" w:ascii="宋体" w:hAnsi="宋体" w:cs="宋体"/>
                <w:bCs/>
                <w:color w:val="auto"/>
                <w:sz w:val="21"/>
                <w:szCs w:val="21"/>
                <w:highlight w:val="none"/>
              </w:rPr>
              <w:t>0791-83850126、86370205</w:t>
            </w:r>
          </w:p>
          <w:p w14:paraId="3562ED7B">
            <w:pPr>
              <w:snapToGrid w:val="0"/>
              <w:textAlignment w:val="center"/>
              <w:rPr>
                <w:color w:val="auto"/>
                <w:highlight w:val="none"/>
              </w:rPr>
            </w:pPr>
            <w:r>
              <w:rPr>
                <w:rFonts w:hint="eastAsia" w:ascii="宋体" w:hAnsi="宋体" w:cs="宋体"/>
                <w:b/>
                <w:color w:val="auto"/>
                <w:sz w:val="21"/>
                <w:szCs w:val="21"/>
                <w:highlight w:val="none"/>
              </w:rPr>
              <w:t>电子邮箱：</w:t>
            </w:r>
            <w:r>
              <w:rPr>
                <w:rFonts w:hint="eastAsia" w:ascii="宋体" w:hAnsi="宋体" w:cs="宋体"/>
                <w:bCs/>
                <w:color w:val="auto"/>
                <w:sz w:val="21"/>
                <w:szCs w:val="21"/>
                <w:highlight w:val="none"/>
              </w:rPr>
              <w:t>huxiaoshuang@</w:t>
            </w:r>
            <w:r>
              <w:rPr>
                <w:rFonts w:ascii="宋体" w:hAnsi="宋体" w:cs="宋体"/>
                <w:bCs/>
                <w:color w:val="auto"/>
                <w:sz w:val="21"/>
                <w:szCs w:val="21"/>
                <w:highlight w:val="none"/>
              </w:rPr>
              <w:t>cntcitc.com.cn/luohuijing@cntcitc.com.cn</w:t>
            </w:r>
          </w:p>
        </w:tc>
      </w:tr>
      <w:tr w14:paraId="050157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9" w:hRule="atLeast"/>
          <w:jc w:val="center"/>
        </w:trPr>
        <w:tc>
          <w:tcPr>
            <w:tcW w:w="1018" w:type="dxa"/>
            <w:vAlign w:val="center"/>
          </w:tcPr>
          <w:p w14:paraId="45A14B86">
            <w:pPr>
              <w:snapToGrid w:val="0"/>
              <w:jc w:val="center"/>
              <w:textAlignment w:val="center"/>
              <w:rPr>
                <w:rFonts w:ascii="宋体" w:hAnsi="宋体" w:cs="宋体"/>
                <w:color w:val="auto"/>
                <w:sz w:val="21"/>
                <w:szCs w:val="21"/>
                <w:highlight w:val="none"/>
              </w:rPr>
            </w:pPr>
            <w:r>
              <w:rPr>
                <w:rFonts w:hint="eastAsia" w:ascii="宋体" w:hAnsi="宋体" w:cs="宋体"/>
                <w:color w:val="auto"/>
                <w:sz w:val="21"/>
                <w:szCs w:val="21"/>
                <w:highlight w:val="none"/>
              </w:rPr>
              <w:t>4</w:t>
            </w:r>
          </w:p>
        </w:tc>
        <w:tc>
          <w:tcPr>
            <w:tcW w:w="8788" w:type="dxa"/>
            <w:shd w:val="clear" w:color="auto" w:fill="auto"/>
          </w:tcPr>
          <w:p w14:paraId="486D0C4B">
            <w:pPr>
              <w:rPr>
                <w:rFonts w:ascii="宋体" w:hAnsi="宋体" w:cs="宋体"/>
                <w:color w:val="auto"/>
                <w:sz w:val="21"/>
                <w:szCs w:val="21"/>
                <w:highlight w:val="none"/>
              </w:rPr>
            </w:pPr>
            <w:r>
              <w:rPr>
                <w:rFonts w:hint="eastAsia" w:ascii="宋体" w:hAnsi="宋体" w:cs="宋体"/>
                <w:b/>
                <w:color w:val="auto"/>
                <w:sz w:val="21"/>
                <w:szCs w:val="21"/>
                <w:highlight w:val="none"/>
              </w:rPr>
              <w:t>项目资金：</w:t>
            </w:r>
            <w:r>
              <w:rPr>
                <w:rFonts w:hint="eastAsia" w:ascii="宋体" w:hAnsi="宋体" w:cs="宋体"/>
                <w:color w:val="auto"/>
                <w:sz w:val="21"/>
                <w:szCs w:val="21"/>
                <w:highlight w:val="none"/>
              </w:rPr>
              <w:t>财政性资金</w:t>
            </w:r>
          </w:p>
          <w:p w14:paraId="3103473F">
            <w:pPr>
              <w:rPr>
                <w:rFonts w:hint="eastAsia" w:ascii="宋体" w:hAnsi="宋体" w:cs="宋体"/>
                <w:b/>
                <w:color w:val="auto"/>
                <w:sz w:val="21"/>
                <w:szCs w:val="21"/>
                <w:highlight w:val="none"/>
              </w:rPr>
            </w:pPr>
            <w:r>
              <w:rPr>
                <w:rFonts w:hint="eastAsia" w:ascii="宋体" w:hAnsi="宋体" w:cs="宋体"/>
                <w:b/>
                <w:color w:val="auto"/>
                <w:sz w:val="21"/>
                <w:szCs w:val="21"/>
                <w:highlight w:val="none"/>
              </w:rPr>
              <w:t>项目预算金额：</w:t>
            </w:r>
            <w:r>
              <w:rPr>
                <w:rFonts w:ascii="宋体" w:hAnsi="宋体" w:cs="宋体"/>
                <w:b/>
                <w:color w:val="auto"/>
                <w:sz w:val="21"/>
                <w:szCs w:val="21"/>
                <w:highlight w:val="none"/>
              </w:rPr>
              <w:t>249.35</w:t>
            </w:r>
            <w:r>
              <w:rPr>
                <w:rFonts w:hint="eastAsia" w:ascii="宋体" w:hAnsi="宋体" w:cs="宋体"/>
                <w:b/>
                <w:color w:val="auto"/>
                <w:sz w:val="21"/>
                <w:szCs w:val="21"/>
                <w:highlight w:val="none"/>
              </w:rPr>
              <w:t>万元</w:t>
            </w:r>
            <w:r>
              <w:rPr>
                <w:rFonts w:ascii="宋体" w:hAnsi="宋体" w:cs="宋体"/>
                <w:b/>
                <w:color w:val="auto"/>
                <w:sz w:val="21"/>
                <w:szCs w:val="21"/>
                <w:highlight w:val="none"/>
              </w:rPr>
              <w:t>/</w:t>
            </w:r>
            <w:r>
              <w:rPr>
                <w:rFonts w:hint="eastAsia" w:ascii="宋体" w:hAnsi="宋体" w:cs="宋体"/>
                <w:b/>
                <w:color w:val="auto"/>
                <w:sz w:val="21"/>
                <w:szCs w:val="21"/>
                <w:highlight w:val="none"/>
              </w:rPr>
              <w:t>年（人民币）</w:t>
            </w:r>
          </w:p>
          <w:p w14:paraId="33EE984E">
            <w:pPr>
              <w:pStyle w:val="2"/>
              <w:ind w:firstLine="0"/>
              <w:rPr>
                <w:color w:val="auto"/>
                <w:highlight w:val="none"/>
              </w:rPr>
            </w:pPr>
            <w:r>
              <w:rPr>
                <w:rFonts w:hint="eastAsia" w:ascii="宋体" w:hAnsi="宋体" w:cs="宋体"/>
                <w:b/>
                <w:color w:val="auto"/>
                <w:sz w:val="21"/>
                <w:szCs w:val="21"/>
                <w:highlight w:val="none"/>
                <w:lang w:eastAsia="zh-CN"/>
              </w:rPr>
              <w:t>（</w:t>
            </w:r>
            <w:r>
              <w:rPr>
                <w:rFonts w:hint="eastAsia" w:ascii="宋体" w:hAnsi="宋体" w:cs="宋体"/>
                <w:b/>
                <w:color w:val="auto"/>
                <w:sz w:val="21"/>
                <w:szCs w:val="21"/>
                <w:highlight w:val="none"/>
              </w:rPr>
              <w:t>物业服务控制价为183</w:t>
            </w:r>
            <w:r>
              <w:rPr>
                <w:rFonts w:hint="eastAsia" w:ascii="宋体" w:hAnsi="宋体" w:cs="宋体"/>
                <w:b/>
                <w:color w:val="auto"/>
                <w:sz w:val="21"/>
                <w:szCs w:val="21"/>
                <w:highlight w:val="none"/>
                <w:lang w:val="en-US" w:eastAsia="zh-CN"/>
              </w:rPr>
              <w:t>.</w:t>
            </w:r>
            <w:r>
              <w:rPr>
                <w:rFonts w:hint="eastAsia" w:ascii="宋体" w:hAnsi="宋体" w:cs="宋体"/>
                <w:b/>
                <w:color w:val="auto"/>
                <w:sz w:val="21"/>
                <w:szCs w:val="21"/>
                <w:highlight w:val="none"/>
              </w:rPr>
              <w:t>35</w:t>
            </w:r>
            <w:r>
              <w:rPr>
                <w:rFonts w:hint="eastAsia" w:ascii="宋体" w:hAnsi="宋体" w:cs="宋体"/>
                <w:b/>
                <w:color w:val="auto"/>
                <w:sz w:val="21"/>
                <w:szCs w:val="21"/>
                <w:highlight w:val="none"/>
                <w:lang w:val="en-US" w:eastAsia="zh-CN"/>
              </w:rPr>
              <w:t>万</w:t>
            </w:r>
            <w:r>
              <w:rPr>
                <w:rFonts w:hint="eastAsia" w:ascii="宋体" w:hAnsi="宋体" w:cs="宋体"/>
                <w:b/>
                <w:color w:val="auto"/>
                <w:sz w:val="21"/>
                <w:szCs w:val="21"/>
                <w:highlight w:val="none"/>
              </w:rPr>
              <w:t>元，餐饮服务控制价为66</w:t>
            </w:r>
            <w:r>
              <w:rPr>
                <w:rFonts w:hint="eastAsia" w:ascii="宋体" w:hAnsi="宋体" w:cs="宋体"/>
                <w:b/>
                <w:color w:val="auto"/>
                <w:sz w:val="21"/>
                <w:szCs w:val="21"/>
                <w:highlight w:val="none"/>
                <w:lang w:val="en-US" w:eastAsia="zh-CN"/>
              </w:rPr>
              <w:t>万</w:t>
            </w:r>
            <w:r>
              <w:rPr>
                <w:rFonts w:hint="eastAsia" w:ascii="宋体" w:hAnsi="宋体" w:cs="宋体"/>
                <w:b/>
                <w:color w:val="auto"/>
                <w:sz w:val="21"/>
                <w:szCs w:val="21"/>
                <w:highlight w:val="none"/>
              </w:rPr>
              <w:t>元。投标人报价超过各项控制价的，作无效投标处理。</w:t>
            </w:r>
            <w:r>
              <w:rPr>
                <w:rFonts w:hint="eastAsia" w:ascii="宋体" w:hAnsi="宋体" w:cs="宋体"/>
                <w:b/>
                <w:color w:val="auto"/>
                <w:sz w:val="21"/>
                <w:szCs w:val="21"/>
                <w:highlight w:val="none"/>
                <w:lang w:eastAsia="zh-CN"/>
              </w:rPr>
              <w:t>）</w:t>
            </w:r>
          </w:p>
        </w:tc>
      </w:tr>
      <w:tr w14:paraId="69E9F7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18" w:type="dxa"/>
            <w:vAlign w:val="center"/>
          </w:tcPr>
          <w:p w14:paraId="73CCFC4E">
            <w:pPr>
              <w:snapToGrid w:val="0"/>
              <w:jc w:val="center"/>
              <w:textAlignment w:val="center"/>
              <w:rPr>
                <w:rFonts w:ascii="宋体" w:hAnsi="宋体" w:cs="宋体"/>
                <w:color w:val="auto"/>
                <w:sz w:val="21"/>
                <w:szCs w:val="21"/>
                <w:highlight w:val="none"/>
              </w:rPr>
            </w:pPr>
            <w:r>
              <w:rPr>
                <w:rFonts w:hint="eastAsia" w:ascii="宋体" w:hAnsi="宋体" w:cs="宋体"/>
                <w:color w:val="auto"/>
                <w:sz w:val="21"/>
                <w:szCs w:val="21"/>
                <w:highlight w:val="none"/>
              </w:rPr>
              <w:t>5</w:t>
            </w:r>
          </w:p>
        </w:tc>
        <w:tc>
          <w:tcPr>
            <w:tcW w:w="8788" w:type="dxa"/>
          </w:tcPr>
          <w:p w14:paraId="193ADCA0">
            <w:pPr>
              <w:snapToGrid w:val="0"/>
              <w:spacing w:line="420" w:lineRule="exact"/>
              <w:textAlignment w:val="center"/>
              <w:rPr>
                <w:rFonts w:ascii="宋体" w:hAnsi="宋体" w:cs="宋体"/>
                <w:b/>
                <w:color w:val="auto"/>
                <w:sz w:val="21"/>
                <w:szCs w:val="21"/>
                <w:highlight w:val="none"/>
              </w:rPr>
            </w:pPr>
            <w:r>
              <w:rPr>
                <w:rFonts w:hint="eastAsia" w:ascii="宋体" w:hAnsi="宋体" w:cs="宋体"/>
                <w:b/>
                <w:color w:val="auto"/>
                <w:sz w:val="21"/>
                <w:szCs w:val="21"/>
                <w:highlight w:val="none"/>
              </w:rPr>
              <w:t>合格投标人的资格证明文件：</w:t>
            </w:r>
          </w:p>
          <w:p w14:paraId="572A36FE">
            <w:pPr>
              <w:autoSpaceDE w:val="0"/>
              <w:autoSpaceDN w:val="0"/>
              <w:adjustRightInd w:val="0"/>
              <w:spacing w:line="420" w:lineRule="exact"/>
              <w:rPr>
                <w:rFonts w:ascii="宋体" w:hAnsi="宋体" w:cs="宋体"/>
                <w:color w:val="auto"/>
                <w:kern w:val="0"/>
                <w:sz w:val="21"/>
                <w:szCs w:val="21"/>
                <w:highlight w:val="none"/>
              </w:rPr>
            </w:pPr>
            <w:r>
              <w:rPr>
                <w:rFonts w:hint="eastAsia" w:ascii="宋体" w:hAnsi="宋体" w:cs="宋体"/>
                <w:color w:val="auto"/>
                <w:kern w:val="0"/>
                <w:sz w:val="21"/>
                <w:szCs w:val="21"/>
                <w:highlight w:val="none"/>
              </w:rPr>
              <w:t>（1）详见招标文件第一章投标邀请“申请人的资格条件”。</w:t>
            </w:r>
          </w:p>
          <w:p w14:paraId="4B9184C5">
            <w:pPr>
              <w:autoSpaceDE w:val="0"/>
              <w:autoSpaceDN w:val="0"/>
              <w:adjustRightInd w:val="0"/>
              <w:spacing w:line="420" w:lineRule="exact"/>
              <w:rPr>
                <w:rFonts w:ascii="宋体" w:hAnsi="宋体" w:cs="宋体"/>
                <w:color w:val="auto"/>
                <w:sz w:val="21"/>
                <w:szCs w:val="21"/>
                <w:highlight w:val="none"/>
              </w:rPr>
            </w:pPr>
            <w:r>
              <w:rPr>
                <w:rFonts w:hint="eastAsia" w:ascii="宋体" w:hAnsi="宋体" w:cs="宋体"/>
                <w:color w:val="auto"/>
                <w:kern w:val="0"/>
                <w:sz w:val="21"/>
                <w:szCs w:val="21"/>
                <w:highlight w:val="none"/>
              </w:rPr>
              <w:t>（2）合格投标人的资格证明文件格式及要求详见招标文件第六章“投标文件格式”。</w:t>
            </w:r>
          </w:p>
          <w:p w14:paraId="089E864D">
            <w:pPr>
              <w:ind w:left="419" w:leftChars="-45" w:hanging="527" w:hangingChars="250"/>
              <w:textAlignment w:val="center"/>
              <w:rPr>
                <w:rFonts w:ascii="宋体" w:hAnsi="宋体" w:cs="宋体"/>
                <w:color w:val="auto"/>
                <w:sz w:val="21"/>
                <w:szCs w:val="21"/>
                <w:highlight w:val="none"/>
              </w:rPr>
            </w:pPr>
            <w:r>
              <w:rPr>
                <w:rFonts w:hint="eastAsia" w:ascii="宋体" w:hAnsi="宋体" w:cs="宋体"/>
                <w:b/>
                <w:bCs/>
                <w:color w:val="auto"/>
                <w:sz w:val="21"/>
                <w:szCs w:val="21"/>
                <w:highlight w:val="none"/>
              </w:rPr>
              <w:t>注：上述投标人的资格证明文件均应为有效文件并加盖本单位公章，否则评标时不予认可。具体格式要求详见招标文件第六章。</w:t>
            </w:r>
          </w:p>
        </w:tc>
      </w:tr>
      <w:tr w14:paraId="011616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3" w:hRule="atLeast"/>
          <w:jc w:val="center"/>
        </w:trPr>
        <w:tc>
          <w:tcPr>
            <w:tcW w:w="1018" w:type="dxa"/>
            <w:vAlign w:val="center"/>
          </w:tcPr>
          <w:p w14:paraId="1298164D">
            <w:pPr>
              <w:snapToGrid w:val="0"/>
              <w:jc w:val="center"/>
              <w:textAlignment w:val="center"/>
              <w:rPr>
                <w:rFonts w:ascii="宋体" w:hAnsi="宋体" w:cs="宋体"/>
                <w:color w:val="auto"/>
                <w:sz w:val="21"/>
                <w:szCs w:val="21"/>
                <w:highlight w:val="none"/>
              </w:rPr>
            </w:pPr>
            <w:r>
              <w:rPr>
                <w:rFonts w:hint="eastAsia" w:ascii="宋体" w:hAnsi="宋体" w:cs="宋体"/>
                <w:color w:val="auto"/>
                <w:sz w:val="21"/>
                <w:szCs w:val="21"/>
                <w:highlight w:val="none"/>
              </w:rPr>
              <w:t>6</w:t>
            </w:r>
          </w:p>
        </w:tc>
        <w:tc>
          <w:tcPr>
            <w:tcW w:w="8788" w:type="dxa"/>
          </w:tcPr>
          <w:p w14:paraId="5BAB7EC0">
            <w:pPr>
              <w:rPr>
                <w:rFonts w:ascii="宋体" w:hAnsi="宋体" w:cs="宋体"/>
                <w:b/>
                <w:color w:val="auto"/>
                <w:sz w:val="21"/>
                <w:szCs w:val="21"/>
                <w:highlight w:val="none"/>
              </w:rPr>
            </w:pPr>
            <w:r>
              <w:rPr>
                <w:rFonts w:hint="eastAsia" w:ascii="宋体" w:hAnsi="宋体" w:cs="宋体"/>
                <w:b/>
                <w:color w:val="auto"/>
                <w:sz w:val="21"/>
                <w:szCs w:val="21"/>
                <w:highlight w:val="none"/>
              </w:rPr>
              <w:t>现场勘察：投标人可自行向采购代理机构申请进行现场勘察。现场勘察时间、地点由采购机构另行通知，但因踏勘产生的一切费用及影响由投标人自行承担。勘察联系人及联系方式见本须知前附表招标人信息。</w:t>
            </w:r>
          </w:p>
        </w:tc>
      </w:tr>
      <w:tr w14:paraId="2679A5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18" w:type="dxa"/>
            <w:vAlign w:val="center"/>
          </w:tcPr>
          <w:p w14:paraId="37F0A04F">
            <w:pPr>
              <w:snapToGrid w:val="0"/>
              <w:jc w:val="center"/>
              <w:textAlignment w:val="center"/>
              <w:rPr>
                <w:rFonts w:ascii="宋体" w:hAnsi="宋体" w:cs="宋体"/>
                <w:color w:val="auto"/>
                <w:sz w:val="21"/>
                <w:szCs w:val="21"/>
                <w:highlight w:val="none"/>
              </w:rPr>
            </w:pPr>
            <w:r>
              <w:rPr>
                <w:rFonts w:hint="eastAsia" w:ascii="宋体" w:hAnsi="宋体" w:cs="宋体"/>
                <w:color w:val="auto"/>
                <w:sz w:val="21"/>
                <w:szCs w:val="21"/>
                <w:highlight w:val="none"/>
              </w:rPr>
              <w:t>7</w:t>
            </w:r>
          </w:p>
        </w:tc>
        <w:tc>
          <w:tcPr>
            <w:tcW w:w="8788" w:type="dxa"/>
          </w:tcPr>
          <w:p w14:paraId="4F31DBF5">
            <w:pPr>
              <w:snapToGrid w:val="0"/>
              <w:textAlignment w:val="center"/>
              <w:rPr>
                <w:rFonts w:ascii="宋体" w:hAnsi="宋体" w:cs="宋体"/>
                <w:b/>
                <w:color w:val="auto"/>
                <w:sz w:val="21"/>
                <w:szCs w:val="21"/>
                <w:highlight w:val="none"/>
              </w:rPr>
            </w:pPr>
            <w:r>
              <w:rPr>
                <w:rFonts w:hint="eastAsia" w:ascii="宋体" w:hAnsi="宋体" w:cs="宋体"/>
                <w:b/>
                <w:color w:val="auto"/>
                <w:sz w:val="21"/>
                <w:szCs w:val="21"/>
                <w:highlight w:val="none"/>
              </w:rPr>
              <w:t>是否允许提供备选方案：</w:t>
            </w:r>
            <w:r>
              <w:rPr>
                <w:rFonts w:hint="eastAsia" w:ascii="宋体" w:hAnsi="宋体" w:cs="宋体"/>
                <w:color w:val="auto"/>
                <w:kern w:val="0"/>
                <w:sz w:val="21"/>
                <w:szCs w:val="21"/>
                <w:highlight w:val="none"/>
              </w:rPr>
              <w:t>否</w:t>
            </w:r>
          </w:p>
        </w:tc>
      </w:tr>
      <w:tr w14:paraId="693D49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18" w:type="dxa"/>
            <w:vAlign w:val="center"/>
          </w:tcPr>
          <w:p w14:paraId="20C9975E">
            <w:pPr>
              <w:snapToGrid w:val="0"/>
              <w:jc w:val="center"/>
              <w:textAlignment w:val="center"/>
              <w:rPr>
                <w:rFonts w:ascii="宋体" w:hAnsi="宋体" w:cs="宋体"/>
                <w:color w:val="auto"/>
                <w:sz w:val="21"/>
                <w:szCs w:val="21"/>
                <w:highlight w:val="none"/>
              </w:rPr>
            </w:pPr>
            <w:r>
              <w:rPr>
                <w:rFonts w:hint="eastAsia" w:ascii="宋体" w:hAnsi="宋体" w:cs="宋体"/>
                <w:color w:val="auto"/>
                <w:sz w:val="21"/>
                <w:szCs w:val="21"/>
                <w:highlight w:val="none"/>
              </w:rPr>
              <w:t>8</w:t>
            </w:r>
          </w:p>
        </w:tc>
        <w:tc>
          <w:tcPr>
            <w:tcW w:w="8788" w:type="dxa"/>
          </w:tcPr>
          <w:p w14:paraId="63D9C0FA">
            <w:pPr>
              <w:snapToGrid w:val="0"/>
              <w:textAlignment w:val="center"/>
              <w:rPr>
                <w:rFonts w:ascii="宋体" w:hAnsi="宋体" w:cs="宋体"/>
                <w:color w:val="auto"/>
                <w:sz w:val="21"/>
                <w:szCs w:val="21"/>
                <w:highlight w:val="none"/>
              </w:rPr>
            </w:pPr>
            <w:r>
              <w:rPr>
                <w:rFonts w:hint="eastAsia" w:ascii="宋体" w:hAnsi="宋体" w:cs="宋体"/>
                <w:b/>
                <w:color w:val="auto"/>
                <w:sz w:val="21"/>
                <w:szCs w:val="21"/>
                <w:highlight w:val="none"/>
              </w:rPr>
              <w:t>是否允许联合体参加投标：</w:t>
            </w:r>
            <w:r>
              <w:rPr>
                <w:rFonts w:hint="eastAsia" w:ascii="宋体" w:hAnsi="宋体" w:cs="宋体"/>
                <w:color w:val="auto"/>
                <w:sz w:val="21"/>
                <w:szCs w:val="21"/>
                <w:highlight w:val="none"/>
              </w:rPr>
              <w:t>否</w:t>
            </w:r>
          </w:p>
        </w:tc>
      </w:tr>
      <w:tr w14:paraId="4B0589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2" w:hRule="atLeast"/>
          <w:jc w:val="center"/>
        </w:trPr>
        <w:tc>
          <w:tcPr>
            <w:tcW w:w="1018" w:type="dxa"/>
            <w:vAlign w:val="center"/>
          </w:tcPr>
          <w:p w14:paraId="6EAC768F">
            <w:pPr>
              <w:snapToGrid w:val="0"/>
              <w:jc w:val="center"/>
              <w:textAlignment w:val="center"/>
              <w:rPr>
                <w:rFonts w:ascii="宋体" w:hAnsi="宋体" w:cs="宋体"/>
                <w:color w:val="auto"/>
                <w:sz w:val="21"/>
                <w:szCs w:val="21"/>
                <w:highlight w:val="none"/>
              </w:rPr>
            </w:pPr>
            <w:r>
              <w:rPr>
                <w:rFonts w:hint="eastAsia" w:ascii="宋体" w:hAnsi="宋体" w:cs="宋体"/>
                <w:color w:val="auto"/>
                <w:sz w:val="21"/>
                <w:szCs w:val="21"/>
                <w:highlight w:val="none"/>
              </w:rPr>
              <w:t>9</w:t>
            </w:r>
          </w:p>
        </w:tc>
        <w:tc>
          <w:tcPr>
            <w:tcW w:w="8788" w:type="dxa"/>
          </w:tcPr>
          <w:p w14:paraId="531633C1">
            <w:pPr>
              <w:adjustRightInd w:val="0"/>
              <w:snapToGrid w:val="0"/>
              <w:spacing w:line="440" w:lineRule="exact"/>
              <w:rPr>
                <w:rFonts w:ascii="宋体" w:hAnsi="宋体" w:cs="宋体"/>
                <w:color w:val="auto"/>
                <w:sz w:val="21"/>
                <w:szCs w:val="21"/>
                <w:highlight w:val="none"/>
              </w:rPr>
            </w:pPr>
            <w:r>
              <w:rPr>
                <w:rFonts w:hint="eastAsia" w:ascii="宋体" w:hAnsi="宋体" w:cs="宋体"/>
                <w:b/>
                <w:color w:val="auto"/>
                <w:sz w:val="21"/>
                <w:szCs w:val="21"/>
                <w:highlight w:val="none"/>
              </w:rPr>
              <w:t>投标保证金金额：</w:t>
            </w:r>
            <w:r>
              <w:rPr>
                <w:rFonts w:hint="eastAsia" w:ascii="宋体" w:hAnsi="宋体" w:cs="宋体"/>
                <w:color w:val="auto"/>
                <w:sz w:val="21"/>
                <w:szCs w:val="21"/>
                <w:highlight w:val="none"/>
              </w:rPr>
              <w:t>¥</w:t>
            </w:r>
            <w:r>
              <w:rPr>
                <w:rFonts w:hint="eastAsia" w:ascii="宋体" w:hAnsi="宋体" w:cs="宋体"/>
                <w:color w:val="auto"/>
                <w:sz w:val="21"/>
                <w:szCs w:val="21"/>
                <w:highlight w:val="none"/>
                <w:lang w:val="en-US" w:eastAsia="zh-CN"/>
              </w:rPr>
              <w:t>49000</w:t>
            </w:r>
            <w:r>
              <w:rPr>
                <w:rFonts w:hint="eastAsia" w:ascii="宋体" w:hAnsi="宋体" w:cs="宋体"/>
                <w:color w:val="auto"/>
                <w:sz w:val="21"/>
                <w:szCs w:val="21"/>
                <w:highlight w:val="none"/>
              </w:rPr>
              <w:t>元（人民币</w:t>
            </w:r>
            <w:r>
              <w:rPr>
                <w:rFonts w:hint="eastAsia" w:ascii="宋体" w:hAnsi="宋体" w:cs="宋体"/>
                <w:color w:val="auto"/>
                <w:sz w:val="21"/>
                <w:szCs w:val="21"/>
                <w:highlight w:val="none"/>
                <w:lang w:val="en-US" w:eastAsia="zh-CN"/>
              </w:rPr>
              <w:t>肆万玖仟</w:t>
            </w:r>
            <w:r>
              <w:rPr>
                <w:rFonts w:hint="eastAsia" w:ascii="宋体" w:hAnsi="宋体" w:cs="宋体"/>
                <w:color w:val="auto"/>
                <w:sz w:val="21"/>
                <w:szCs w:val="21"/>
                <w:highlight w:val="none"/>
              </w:rPr>
              <w:t>元整）</w:t>
            </w:r>
          </w:p>
          <w:p w14:paraId="44DEE0B9">
            <w:pPr>
              <w:adjustRightInd w:val="0"/>
              <w:snapToGrid w:val="0"/>
              <w:spacing w:line="440" w:lineRule="exact"/>
              <w:rPr>
                <w:rFonts w:ascii="宋体"/>
                <w:color w:val="auto"/>
                <w:sz w:val="21"/>
                <w:szCs w:val="21"/>
                <w:highlight w:val="none"/>
              </w:rPr>
            </w:pPr>
            <w:r>
              <w:rPr>
                <w:rFonts w:hint="eastAsia" w:ascii="宋体" w:hAnsi="宋体"/>
                <w:color w:val="auto"/>
                <w:sz w:val="21"/>
                <w:szCs w:val="21"/>
                <w:highlight w:val="none"/>
              </w:rPr>
              <w:t>到账时间：开标时间</w:t>
            </w:r>
            <w:r>
              <w:rPr>
                <w:rFonts w:hint="eastAsia" w:ascii="宋体" w:hAnsi="宋体" w:cs="宋体"/>
                <w:color w:val="auto"/>
                <w:sz w:val="21"/>
                <w:szCs w:val="21"/>
                <w:highlight w:val="none"/>
              </w:rPr>
              <w:t>之前</w:t>
            </w:r>
          </w:p>
          <w:p w14:paraId="2350E489">
            <w:pPr>
              <w:adjustRightInd w:val="0"/>
              <w:snapToGrid w:val="0"/>
              <w:spacing w:line="440" w:lineRule="exact"/>
              <w:rPr>
                <w:rFonts w:ascii="宋体" w:hAnsi="宋体"/>
                <w:color w:val="auto"/>
                <w:sz w:val="21"/>
                <w:szCs w:val="21"/>
                <w:highlight w:val="none"/>
              </w:rPr>
            </w:pPr>
            <w:r>
              <w:rPr>
                <w:rFonts w:hint="eastAsia" w:ascii="宋体" w:hAnsi="宋体"/>
                <w:color w:val="auto"/>
                <w:sz w:val="21"/>
                <w:szCs w:val="21"/>
                <w:highlight w:val="none"/>
              </w:rPr>
              <w:t>保证金形式：电汇或银行转账或保函（银行保函或担保机构出具的保函）</w:t>
            </w:r>
          </w:p>
          <w:p w14:paraId="574B94A6">
            <w:pPr>
              <w:adjustRightInd w:val="0"/>
              <w:snapToGrid w:val="0"/>
              <w:spacing w:line="440" w:lineRule="exact"/>
              <w:rPr>
                <w:rFonts w:ascii="宋体"/>
                <w:color w:val="auto"/>
                <w:sz w:val="21"/>
                <w:szCs w:val="21"/>
                <w:highlight w:val="none"/>
              </w:rPr>
            </w:pPr>
            <w:r>
              <w:rPr>
                <w:rFonts w:hint="eastAsia" w:ascii="宋体" w:hAnsi="宋体"/>
                <w:color w:val="auto"/>
                <w:sz w:val="21"/>
                <w:szCs w:val="21"/>
                <w:highlight w:val="none"/>
              </w:rPr>
              <w:t>汇款用途栏注明“</w:t>
            </w:r>
            <w:r>
              <w:rPr>
                <w:rFonts w:ascii="宋体" w:hAnsi="宋体"/>
                <w:color w:val="auto"/>
                <w:sz w:val="21"/>
                <w:szCs w:val="21"/>
                <w:highlight w:val="none"/>
              </w:rPr>
              <w:t>XX</w:t>
            </w:r>
            <w:r>
              <w:rPr>
                <w:rFonts w:hint="eastAsia" w:ascii="宋体" w:hAnsi="宋体"/>
                <w:color w:val="auto"/>
                <w:sz w:val="21"/>
                <w:szCs w:val="21"/>
                <w:highlight w:val="none"/>
              </w:rPr>
              <w:t>项目（或项目编号）投标保证金”</w:t>
            </w:r>
          </w:p>
          <w:p w14:paraId="3243775D">
            <w:pPr>
              <w:adjustRightInd w:val="0"/>
              <w:snapToGrid w:val="0"/>
              <w:spacing w:line="440" w:lineRule="exact"/>
              <w:rPr>
                <w:rFonts w:ascii="宋体"/>
                <w:b/>
                <w:color w:val="auto"/>
                <w:sz w:val="21"/>
                <w:szCs w:val="21"/>
                <w:highlight w:val="none"/>
              </w:rPr>
            </w:pPr>
            <w:r>
              <w:rPr>
                <w:rFonts w:hint="eastAsia" w:ascii="宋体"/>
                <w:b/>
                <w:color w:val="auto"/>
                <w:sz w:val="21"/>
                <w:szCs w:val="21"/>
                <w:highlight w:val="none"/>
              </w:rPr>
              <w:t>注：以电汇或银行转账形式缴纳保证金的投标人注意事项：</w:t>
            </w:r>
          </w:p>
          <w:p w14:paraId="7C6E3AC0">
            <w:pPr>
              <w:textAlignment w:val="center"/>
              <w:rPr>
                <w:rFonts w:ascii="宋体"/>
                <w:b/>
                <w:color w:val="auto"/>
                <w:sz w:val="21"/>
                <w:szCs w:val="21"/>
                <w:highlight w:val="none"/>
              </w:rPr>
            </w:pPr>
            <w:r>
              <w:rPr>
                <w:rFonts w:hint="eastAsia" w:ascii="宋体"/>
                <w:b/>
                <w:color w:val="auto"/>
                <w:sz w:val="21"/>
                <w:szCs w:val="21"/>
                <w:highlight w:val="none"/>
              </w:rPr>
              <w:t>1）采用电汇转账方式提交投标保证金的，进入中招联合电子招标采购平台“缴纳保证金”功能模块，填写相关信息后通过平台自动获取保证金收款账户信息。请投标人按此信息将保证金电汇或银行转账至指定账户（该账号为虚拟账号，仅针对本投标人本项目分包有效，对于其他投标人、其他项目或分包无效）。中招国际招标有限公司委托中招联合信息股份有限公司及平安银行股份有限公司北京分行办理投标保证金收、退、转及结账、结算等相关业务。保证金办理相关问题请咨询中招联合（</w:t>
            </w:r>
            <w:r>
              <w:rPr>
                <w:rFonts w:ascii="宋体"/>
                <w:b/>
                <w:color w:val="auto"/>
                <w:sz w:val="21"/>
                <w:szCs w:val="21"/>
                <w:highlight w:val="none"/>
              </w:rPr>
              <w:t>010-86397110</w:t>
            </w:r>
            <w:r>
              <w:rPr>
                <w:rFonts w:hint="eastAsia" w:ascii="宋体"/>
                <w:b/>
                <w:color w:val="auto"/>
                <w:sz w:val="21"/>
                <w:szCs w:val="21"/>
                <w:highlight w:val="none"/>
              </w:rPr>
              <w:t>）。</w:t>
            </w:r>
          </w:p>
          <w:p w14:paraId="1BCB9275">
            <w:pPr>
              <w:textAlignment w:val="center"/>
              <w:rPr>
                <w:b/>
                <w:bCs/>
                <w:color w:val="auto"/>
                <w:highlight w:val="none"/>
              </w:rPr>
            </w:pPr>
            <w:r>
              <w:rPr>
                <w:rFonts w:hint="eastAsia" w:ascii="宋体"/>
                <w:b/>
                <w:color w:val="auto"/>
                <w:sz w:val="21"/>
                <w:szCs w:val="21"/>
                <w:highlight w:val="none"/>
              </w:rPr>
              <w:t>2）为方便开标，保证金缴纳凭证另单独提供单独密封。</w:t>
            </w:r>
          </w:p>
        </w:tc>
      </w:tr>
      <w:tr w14:paraId="3A749A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18" w:type="dxa"/>
            <w:vAlign w:val="center"/>
          </w:tcPr>
          <w:p w14:paraId="5B5068AC">
            <w:pPr>
              <w:snapToGrid w:val="0"/>
              <w:jc w:val="center"/>
              <w:rPr>
                <w:rFonts w:ascii="宋体" w:hAnsi="宋体" w:cs="宋体"/>
                <w:color w:val="auto"/>
                <w:sz w:val="21"/>
                <w:szCs w:val="21"/>
                <w:highlight w:val="none"/>
              </w:rPr>
            </w:pPr>
            <w:r>
              <w:rPr>
                <w:rFonts w:hint="eastAsia" w:ascii="宋体" w:hAnsi="宋体" w:cs="宋体"/>
                <w:color w:val="auto"/>
                <w:sz w:val="21"/>
                <w:szCs w:val="21"/>
                <w:highlight w:val="none"/>
              </w:rPr>
              <w:t>10</w:t>
            </w:r>
          </w:p>
        </w:tc>
        <w:tc>
          <w:tcPr>
            <w:tcW w:w="8788" w:type="dxa"/>
          </w:tcPr>
          <w:p w14:paraId="75DC4803">
            <w:pPr>
              <w:snapToGrid w:val="0"/>
              <w:textAlignment w:val="center"/>
              <w:rPr>
                <w:rFonts w:ascii="宋体" w:hAnsi="宋体" w:cs="宋体"/>
                <w:color w:val="auto"/>
                <w:sz w:val="21"/>
                <w:szCs w:val="21"/>
                <w:highlight w:val="none"/>
              </w:rPr>
            </w:pPr>
            <w:r>
              <w:rPr>
                <w:rFonts w:hint="eastAsia" w:ascii="宋体" w:hAnsi="宋体" w:cs="宋体"/>
                <w:b/>
                <w:color w:val="auto"/>
                <w:sz w:val="21"/>
                <w:szCs w:val="21"/>
                <w:highlight w:val="none"/>
              </w:rPr>
              <w:t>投标有效期：从提交投标文件的截止之日起90天</w:t>
            </w:r>
            <w:r>
              <w:rPr>
                <w:rFonts w:hint="eastAsia" w:ascii="宋体" w:hAnsi="宋体" w:cs="宋体"/>
                <w:color w:val="auto"/>
                <w:sz w:val="21"/>
                <w:szCs w:val="21"/>
                <w:highlight w:val="none"/>
              </w:rPr>
              <w:t>（投标保证金有效期应当与投标有效期一致）。</w:t>
            </w:r>
          </w:p>
        </w:tc>
      </w:tr>
      <w:tr w14:paraId="2A2F21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18" w:type="dxa"/>
          </w:tcPr>
          <w:p w14:paraId="2AEC4A5A">
            <w:pPr>
              <w:snapToGrid w:val="0"/>
              <w:jc w:val="center"/>
              <w:textAlignment w:val="center"/>
              <w:rPr>
                <w:rFonts w:ascii="宋体" w:hAnsi="宋体" w:cs="宋体"/>
                <w:color w:val="auto"/>
                <w:sz w:val="21"/>
                <w:szCs w:val="21"/>
                <w:highlight w:val="none"/>
              </w:rPr>
            </w:pPr>
            <w:r>
              <w:rPr>
                <w:rFonts w:hint="eastAsia" w:ascii="宋体" w:hAnsi="宋体" w:cs="宋体"/>
                <w:color w:val="auto"/>
                <w:sz w:val="21"/>
                <w:szCs w:val="21"/>
                <w:highlight w:val="none"/>
              </w:rPr>
              <w:t>11</w:t>
            </w:r>
          </w:p>
        </w:tc>
        <w:tc>
          <w:tcPr>
            <w:tcW w:w="8788" w:type="dxa"/>
          </w:tcPr>
          <w:p w14:paraId="59766215">
            <w:pPr>
              <w:snapToGrid w:val="0"/>
              <w:textAlignment w:val="center"/>
              <w:rPr>
                <w:rFonts w:ascii="宋体" w:hAnsi="宋体" w:cs="宋体"/>
                <w:color w:val="auto"/>
                <w:sz w:val="21"/>
                <w:szCs w:val="21"/>
                <w:highlight w:val="none"/>
              </w:rPr>
            </w:pPr>
            <w:r>
              <w:rPr>
                <w:rFonts w:hint="eastAsia" w:ascii="宋体" w:hAnsi="宋体" w:cs="宋体"/>
                <w:b/>
                <w:color w:val="auto"/>
                <w:sz w:val="21"/>
                <w:szCs w:val="21"/>
                <w:highlight w:val="none"/>
              </w:rPr>
              <w:t>投标文件数量：正本一套，副本四套，电子版U盘一份（单独密封），</w:t>
            </w:r>
            <w:r>
              <w:rPr>
                <w:rFonts w:hint="eastAsia" w:ascii="宋体" w:hAnsi="宋体" w:cs="宋体"/>
                <w:color w:val="auto"/>
                <w:sz w:val="21"/>
                <w:szCs w:val="21"/>
                <w:highlight w:val="none"/>
              </w:rPr>
              <w:t>应包含纸质投标文件全部内容（电子版中应含word等可编辑文件与响应文件盖章扫描后的pdf文件各1份，响应文件包括的其他电子文档也应包含在内）。具体详见投标人须知“19.投标文件的密封及标记”。</w:t>
            </w:r>
          </w:p>
          <w:p w14:paraId="250A14ED">
            <w:pPr>
              <w:snapToGrid w:val="0"/>
              <w:textAlignment w:val="center"/>
              <w:rPr>
                <w:color w:val="auto"/>
                <w:highlight w:val="none"/>
              </w:rPr>
            </w:pPr>
            <w:r>
              <w:rPr>
                <w:rFonts w:hint="eastAsia" w:ascii="宋体" w:hAnsi="宋体" w:cs="宋体"/>
                <w:b/>
                <w:color w:val="auto"/>
                <w:sz w:val="21"/>
                <w:szCs w:val="21"/>
                <w:highlight w:val="none"/>
              </w:rPr>
              <w:t>原件递交要求：</w:t>
            </w:r>
            <w:r>
              <w:rPr>
                <w:rFonts w:hint="eastAsia" w:ascii="宋体" w:hAnsi="宋体" w:cs="宋体"/>
                <w:color w:val="auto"/>
                <w:sz w:val="21"/>
                <w:szCs w:val="21"/>
                <w:highlight w:val="none"/>
              </w:rPr>
              <w:t>招标文件要求提供材料原件核查的，所提供的材料原件必须在投标截止时间前递交至开标地点，逾期不予接收。</w:t>
            </w:r>
          </w:p>
        </w:tc>
      </w:tr>
      <w:tr w14:paraId="0CF81E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18" w:type="dxa"/>
            <w:vAlign w:val="center"/>
          </w:tcPr>
          <w:p w14:paraId="50FC178A">
            <w:pPr>
              <w:snapToGrid w:val="0"/>
              <w:jc w:val="center"/>
              <w:rPr>
                <w:rFonts w:ascii="宋体" w:hAnsi="宋体" w:cs="宋体"/>
                <w:color w:val="auto"/>
                <w:sz w:val="21"/>
                <w:szCs w:val="21"/>
                <w:highlight w:val="none"/>
              </w:rPr>
            </w:pPr>
            <w:r>
              <w:rPr>
                <w:rFonts w:hint="eastAsia" w:ascii="宋体" w:hAnsi="宋体" w:cs="宋体"/>
                <w:color w:val="auto"/>
                <w:sz w:val="21"/>
                <w:szCs w:val="21"/>
                <w:highlight w:val="none"/>
              </w:rPr>
              <w:t>12</w:t>
            </w:r>
          </w:p>
        </w:tc>
        <w:tc>
          <w:tcPr>
            <w:tcW w:w="8788" w:type="dxa"/>
          </w:tcPr>
          <w:p w14:paraId="21029B94">
            <w:pPr>
              <w:snapToGrid w:val="0"/>
              <w:textAlignment w:val="center"/>
              <w:rPr>
                <w:rFonts w:ascii="宋体" w:hAnsi="宋体" w:cs="宋体"/>
                <w:b/>
                <w:color w:val="auto"/>
                <w:sz w:val="21"/>
                <w:szCs w:val="21"/>
                <w:highlight w:val="none"/>
              </w:rPr>
            </w:pPr>
            <w:r>
              <w:rPr>
                <w:rFonts w:hint="eastAsia" w:ascii="宋体" w:hAnsi="宋体" w:cs="宋体"/>
                <w:b/>
                <w:color w:val="auto"/>
                <w:sz w:val="21"/>
                <w:szCs w:val="21"/>
                <w:highlight w:val="none"/>
              </w:rPr>
              <w:t>开标时间：</w:t>
            </w:r>
            <w:r>
              <w:rPr>
                <w:rFonts w:hint="eastAsia" w:ascii="宋体" w:hAnsi="宋体" w:cs="宋体"/>
                <w:color w:val="auto"/>
                <w:sz w:val="21"/>
                <w:szCs w:val="21"/>
                <w:highlight w:val="none"/>
              </w:rPr>
              <w:t>详见“投标邀请”</w:t>
            </w:r>
          </w:p>
          <w:p w14:paraId="3BF22DBB">
            <w:pPr>
              <w:snapToGrid w:val="0"/>
              <w:textAlignment w:val="center"/>
              <w:rPr>
                <w:rFonts w:ascii="宋体" w:hAnsi="宋体" w:cs="宋体"/>
                <w:b/>
                <w:color w:val="auto"/>
                <w:sz w:val="21"/>
                <w:szCs w:val="21"/>
                <w:highlight w:val="none"/>
              </w:rPr>
            </w:pPr>
            <w:r>
              <w:rPr>
                <w:rFonts w:hint="eastAsia" w:ascii="宋体" w:hAnsi="宋体" w:cs="宋体"/>
                <w:b/>
                <w:color w:val="auto"/>
                <w:sz w:val="21"/>
                <w:szCs w:val="21"/>
                <w:highlight w:val="none"/>
              </w:rPr>
              <w:t>开标地点：</w:t>
            </w:r>
            <w:r>
              <w:rPr>
                <w:rFonts w:hint="eastAsia" w:ascii="宋体" w:hAnsi="宋体" w:cs="宋体"/>
                <w:color w:val="auto"/>
                <w:sz w:val="21"/>
                <w:szCs w:val="21"/>
                <w:highlight w:val="none"/>
              </w:rPr>
              <w:t>详见“投标邀请”</w:t>
            </w:r>
          </w:p>
        </w:tc>
      </w:tr>
      <w:tr w14:paraId="2C8CE1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18" w:type="dxa"/>
            <w:vAlign w:val="center"/>
          </w:tcPr>
          <w:p w14:paraId="62B41BF3">
            <w:pPr>
              <w:snapToGrid w:val="0"/>
              <w:jc w:val="center"/>
              <w:textAlignment w:val="center"/>
              <w:rPr>
                <w:rFonts w:ascii="宋体" w:hAnsi="宋体" w:cs="宋体"/>
                <w:color w:val="auto"/>
                <w:sz w:val="21"/>
                <w:szCs w:val="21"/>
                <w:highlight w:val="none"/>
              </w:rPr>
            </w:pPr>
            <w:r>
              <w:rPr>
                <w:rFonts w:hint="eastAsia" w:ascii="宋体" w:hAnsi="宋体" w:cs="宋体"/>
                <w:color w:val="auto"/>
                <w:sz w:val="21"/>
                <w:szCs w:val="21"/>
                <w:highlight w:val="none"/>
              </w:rPr>
              <w:t>13</w:t>
            </w:r>
          </w:p>
        </w:tc>
        <w:tc>
          <w:tcPr>
            <w:tcW w:w="8788" w:type="dxa"/>
          </w:tcPr>
          <w:p w14:paraId="0290493B">
            <w:pPr>
              <w:snapToGrid w:val="0"/>
              <w:textAlignment w:val="center"/>
              <w:rPr>
                <w:rFonts w:ascii="宋体" w:hAnsi="宋体" w:cs="宋体"/>
                <w:b/>
                <w:color w:val="auto"/>
                <w:sz w:val="21"/>
                <w:szCs w:val="21"/>
                <w:highlight w:val="none"/>
              </w:rPr>
            </w:pPr>
            <w:r>
              <w:rPr>
                <w:rFonts w:hint="eastAsia" w:ascii="宋体" w:hAnsi="宋体" w:cs="宋体"/>
                <w:b/>
                <w:color w:val="auto"/>
                <w:sz w:val="21"/>
                <w:szCs w:val="21"/>
                <w:highlight w:val="none"/>
              </w:rPr>
              <w:t>评审方法：</w:t>
            </w:r>
            <w:r>
              <w:rPr>
                <w:rFonts w:hint="eastAsia" w:ascii="宋体" w:hAnsi="宋体" w:cs="宋体"/>
                <w:color w:val="auto"/>
                <w:sz w:val="21"/>
                <w:szCs w:val="21"/>
                <w:highlight w:val="none"/>
              </w:rPr>
              <w:t>综合评分法（</w:t>
            </w:r>
            <w:r>
              <w:rPr>
                <w:rFonts w:hint="eastAsia" w:ascii="宋体" w:hAnsi="宋体" w:cs="宋体"/>
                <w:color w:val="auto"/>
                <w:kern w:val="0"/>
                <w:sz w:val="21"/>
                <w:szCs w:val="21"/>
                <w:highlight w:val="none"/>
              </w:rPr>
              <w:t>详见招标文件第三章</w:t>
            </w:r>
            <w:r>
              <w:rPr>
                <w:rFonts w:hint="eastAsia" w:ascii="宋体" w:hAnsi="宋体" w:cs="宋体"/>
                <w:color w:val="auto"/>
                <w:sz w:val="21"/>
                <w:szCs w:val="21"/>
                <w:highlight w:val="none"/>
              </w:rPr>
              <w:t>）</w:t>
            </w:r>
          </w:p>
        </w:tc>
      </w:tr>
      <w:tr w14:paraId="07D11D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18" w:type="dxa"/>
            <w:vAlign w:val="center"/>
          </w:tcPr>
          <w:p w14:paraId="26760797">
            <w:pPr>
              <w:snapToGrid w:val="0"/>
              <w:jc w:val="center"/>
              <w:textAlignment w:val="center"/>
              <w:rPr>
                <w:rFonts w:ascii="宋体" w:hAnsi="宋体" w:cs="宋体"/>
                <w:color w:val="auto"/>
                <w:sz w:val="21"/>
                <w:szCs w:val="21"/>
                <w:highlight w:val="none"/>
              </w:rPr>
            </w:pPr>
            <w:r>
              <w:rPr>
                <w:rFonts w:hint="eastAsia" w:ascii="宋体" w:hAnsi="宋体" w:cs="宋体"/>
                <w:color w:val="auto"/>
                <w:sz w:val="21"/>
                <w:szCs w:val="21"/>
                <w:highlight w:val="none"/>
              </w:rPr>
              <w:t>14</w:t>
            </w:r>
          </w:p>
        </w:tc>
        <w:tc>
          <w:tcPr>
            <w:tcW w:w="8788" w:type="dxa"/>
          </w:tcPr>
          <w:p w14:paraId="4CDEF977">
            <w:pPr>
              <w:spacing w:line="460" w:lineRule="exact"/>
              <w:textAlignment w:val="center"/>
              <w:rPr>
                <w:rFonts w:ascii="宋体" w:hAnsi="宋体" w:cs="宋体"/>
                <w:b/>
                <w:color w:val="auto"/>
                <w:sz w:val="21"/>
                <w:szCs w:val="21"/>
                <w:highlight w:val="none"/>
              </w:rPr>
            </w:pPr>
            <w:r>
              <w:rPr>
                <w:rFonts w:hint="eastAsia" w:ascii="宋体" w:hAnsi="宋体" w:cs="宋体"/>
                <w:b/>
                <w:color w:val="auto"/>
                <w:sz w:val="21"/>
                <w:szCs w:val="21"/>
                <w:highlight w:val="none"/>
              </w:rPr>
              <w:t>本项目采购标的对应的中小企业划分标准所属行业：</w:t>
            </w:r>
            <w:r>
              <w:rPr>
                <w:rFonts w:hint="eastAsia" w:ascii="宋体" w:hAnsi="宋体" w:cs="宋体"/>
                <w:b/>
                <w:color w:val="auto"/>
                <w:sz w:val="21"/>
                <w:szCs w:val="21"/>
                <w:highlight w:val="none"/>
                <w:u w:val="single"/>
              </w:rPr>
              <w:t>物业管理。</w:t>
            </w:r>
          </w:p>
          <w:p w14:paraId="007C84B2">
            <w:pPr>
              <w:spacing w:line="460" w:lineRule="exact"/>
              <w:textAlignment w:val="center"/>
              <w:rPr>
                <w:rFonts w:ascii="宋体" w:hAnsi="宋体" w:cs="宋体"/>
                <w:bCs/>
                <w:i/>
                <w:color w:val="auto"/>
                <w:sz w:val="21"/>
                <w:szCs w:val="21"/>
                <w:highlight w:val="none"/>
              </w:rPr>
            </w:pPr>
            <w:r>
              <w:rPr>
                <w:rFonts w:hint="eastAsia" w:ascii="宋体" w:hAnsi="宋体" w:cs="宋体"/>
                <w:b/>
                <w:color w:val="auto"/>
                <w:sz w:val="21"/>
                <w:szCs w:val="21"/>
                <w:highlight w:val="none"/>
              </w:rPr>
              <w:t>政府采购优惠政策：</w:t>
            </w:r>
          </w:p>
          <w:p w14:paraId="57749114">
            <w:pPr>
              <w:spacing w:line="440" w:lineRule="exact"/>
              <w:rPr>
                <w:rFonts w:ascii="宋体" w:hAnsi="宋体" w:cs="宋体"/>
                <w:bCs/>
                <w:color w:val="auto"/>
                <w:sz w:val="21"/>
                <w:szCs w:val="21"/>
                <w:highlight w:val="none"/>
              </w:rPr>
            </w:pPr>
            <w:r>
              <w:rPr>
                <w:rFonts w:hint="eastAsia" w:ascii="宋体" w:hAnsi="宋体" w:cs="宋体"/>
                <w:bCs/>
                <w:color w:val="auto"/>
                <w:sz w:val="21"/>
                <w:szCs w:val="21"/>
                <w:highlight w:val="none"/>
              </w:rPr>
              <w:t>①促进中小企业发展政策：符合条件的中小企业参与本项目采购活动时，应当提交《中小企业声明函》，供应商应对提交的《中小企业声明函》的真实性负责，提交的《中小企业声明函》与事实不符的，应承担相应的法律责任。未按要求提交《中小企业声明函》不享受相关中小企业扶持政策。供应商按照采购文件中规定的格式自行出具《中小企业声明函》，否则评标时不予认可。</w:t>
            </w:r>
          </w:p>
          <w:p w14:paraId="1F0729DA">
            <w:pPr>
              <w:spacing w:line="440" w:lineRule="exact"/>
              <w:rPr>
                <w:rFonts w:ascii="宋体" w:hAnsi="宋体" w:cs="宋体"/>
                <w:bCs/>
                <w:color w:val="auto"/>
                <w:sz w:val="21"/>
                <w:szCs w:val="21"/>
                <w:highlight w:val="none"/>
              </w:rPr>
            </w:pPr>
            <w:r>
              <w:rPr>
                <w:rFonts w:hint="eastAsia" w:ascii="宋体" w:hAnsi="宋体" w:cs="宋体"/>
                <w:bCs/>
                <w:color w:val="auto"/>
                <w:sz w:val="21"/>
                <w:szCs w:val="21"/>
                <w:highlight w:val="none"/>
              </w:rPr>
              <w:t>②监狱企业扶持政策：供应商如为监狱企业将视同为小型或微型企业。供应商为监狱企业的，应提供由省级以上监狱管理局、戒毒管理局（含新疆生产建设兵团）出具的属于监狱企业的证明文件。供应商应对提交的属于监狱企业的证明文件的真实性负责，提交的监狱企业的证明文件不真实的，应承担相应的法律责任。</w:t>
            </w:r>
          </w:p>
          <w:p w14:paraId="416673EF">
            <w:pPr>
              <w:spacing w:line="440" w:lineRule="exact"/>
              <w:rPr>
                <w:rFonts w:ascii="宋体" w:hAnsi="宋体" w:cs="宋体"/>
                <w:bCs/>
                <w:color w:val="auto"/>
                <w:sz w:val="21"/>
                <w:szCs w:val="21"/>
                <w:highlight w:val="none"/>
              </w:rPr>
            </w:pPr>
            <w:r>
              <w:rPr>
                <w:rFonts w:hint="eastAsia" w:ascii="宋体" w:hAnsi="宋体" w:cs="宋体"/>
                <w:bCs/>
                <w:color w:val="auto"/>
                <w:sz w:val="21"/>
                <w:szCs w:val="21"/>
                <w:highlight w:val="none"/>
              </w:rPr>
              <w:t>③政府采购节约能源政策：强制或在同等条件下优先采购属于国家公布的《节能产品政府采购品目清单》中产品。</w:t>
            </w:r>
          </w:p>
          <w:p w14:paraId="06D4D475">
            <w:pPr>
              <w:spacing w:line="440" w:lineRule="exact"/>
              <w:rPr>
                <w:rFonts w:ascii="宋体" w:hAnsi="宋体" w:cs="宋体"/>
                <w:bCs/>
                <w:color w:val="auto"/>
                <w:sz w:val="21"/>
                <w:szCs w:val="21"/>
                <w:highlight w:val="none"/>
              </w:rPr>
            </w:pPr>
            <w:r>
              <w:rPr>
                <w:rFonts w:hint="eastAsia" w:ascii="宋体" w:hAnsi="宋体" w:cs="宋体"/>
                <w:bCs/>
                <w:color w:val="auto"/>
                <w:sz w:val="21"/>
                <w:szCs w:val="21"/>
                <w:highlight w:val="none"/>
              </w:rPr>
              <w:t>④政府采购环境保护政策：强制或在同等条件下优先采购国家公布的《环境标志产品政府采购品目清单》中产品。</w:t>
            </w:r>
          </w:p>
          <w:p w14:paraId="63491EE8">
            <w:pPr>
              <w:rPr>
                <w:rFonts w:ascii="宋体" w:hAnsi="宋体" w:cs="宋体"/>
                <w:bCs/>
                <w:color w:val="auto"/>
                <w:sz w:val="21"/>
                <w:szCs w:val="21"/>
                <w:highlight w:val="none"/>
              </w:rPr>
            </w:pPr>
            <w:r>
              <w:rPr>
                <w:rFonts w:hint="eastAsia" w:ascii="宋体" w:hAnsi="宋体" w:cs="宋体"/>
                <w:bCs/>
                <w:color w:val="auto"/>
                <w:sz w:val="21"/>
                <w:szCs w:val="21"/>
                <w:highlight w:val="none"/>
              </w:rPr>
              <w:t>⑤促进残疾人就业政策：根据《关于促进残疾人就业政府采购政策的通知》（财库〔2017〕141号）的规定，供应商为残疾人福利性单位将视同为小型或微型企业。残疾人福利性单位提交《残疾人福利性单位声明函》，供应商应对提交的《残疾人福利性单位声明函》的真实性负责，提交的《残疾人福利性单位声明函》不真实的，应承担相应的法律责任。</w:t>
            </w:r>
          </w:p>
          <w:p w14:paraId="206BA7AF">
            <w:pPr>
              <w:rPr>
                <w:rFonts w:ascii="宋体" w:hAnsi="宋体" w:cs="宋体"/>
                <w:color w:val="auto"/>
                <w:szCs w:val="24"/>
                <w:highlight w:val="none"/>
              </w:rPr>
            </w:pPr>
            <w:r>
              <w:rPr>
                <w:rFonts w:hint="eastAsia" w:ascii="宋体" w:hAnsi="宋体" w:cs="宋体"/>
                <w:b/>
                <w:bCs/>
                <w:color w:val="auto"/>
                <w:sz w:val="21"/>
                <w:szCs w:val="21"/>
                <w:highlight w:val="none"/>
              </w:rPr>
              <w:t>备注：供应商同属以上优惠类型企业的，不重复享受政策优惠。</w:t>
            </w:r>
          </w:p>
        </w:tc>
      </w:tr>
      <w:tr w14:paraId="74C1BC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18" w:type="dxa"/>
            <w:vAlign w:val="center"/>
          </w:tcPr>
          <w:p w14:paraId="20127D0F">
            <w:pPr>
              <w:snapToGrid w:val="0"/>
              <w:jc w:val="center"/>
              <w:textAlignment w:val="center"/>
              <w:rPr>
                <w:rFonts w:ascii="宋体" w:hAnsi="宋体" w:cs="宋体"/>
                <w:color w:val="auto"/>
                <w:sz w:val="21"/>
                <w:szCs w:val="21"/>
                <w:highlight w:val="none"/>
              </w:rPr>
            </w:pPr>
            <w:r>
              <w:rPr>
                <w:rFonts w:hint="eastAsia" w:ascii="宋体" w:hAnsi="宋体" w:cs="宋体"/>
                <w:color w:val="auto"/>
                <w:sz w:val="21"/>
                <w:szCs w:val="21"/>
                <w:highlight w:val="none"/>
              </w:rPr>
              <w:t>1</w:t>
            </w:r>
            <w:r>
              <w:rPr>
                <w:rFonts w:ascii="宋体" w:hAnsi="宋体" w:cs="宋体"/>
                <w:color w:val="auto"/>
                <w:sz w:val="21"/>
                <w:szCs w:val="21"/>
                <w:highlight w:val="none"/>
              </w:rPr>
              <w:t>5</w:t>
            </w:r>
          </w:p>
        </w:tc>
        <w:tc>
          <w:tcPr>
            <w:tcW w:w="8788" w:type="dxa"/>
          </w:tcPr>
          <w:p w14:paraId="3E9370F7">
            <w:pPr>
              <w:spacing w:line="460" w:lineRule="exact"/>
              <w:textAlignment w:val="center"/>
              <w:rPr>
                <w:rFonts w:ascii="宋体" w:hAnsi="宋体" w:cs="宋体"/>
                <w:bCs/>
                <w:color w:val="auto"/>
                <w:sz w:val="21"/>
                <w:szCs w:val="21"/>
                <w:highlight w:val="none"/>
              </w:rPr>
            </w:pPr>
            <w:r>
              <w:rPr>
                <w:rFonts w:hint="eastAsia" w:ascii="宋体" w:hAnsi="宋体" w:cs="宋体"/>
                <w:bCs/>
                <w:color w:val="auto"/>
                <w:sz w:val="21"/>
                <w:szCs w:val="21"/>
                <w:highlight w:val="none"/>
              </w:rPr>
              <w:t>根据财库〔2016〕125号《财政部关于在政府采购活动中查询及使用信用记录有关问题的通知》规定，对列入失信被执行人、重大税收违法失信主体、政府采购严重违法失信行为记录名单及其他不符合《中华人民共和国政府采购法》第二十二条规定条件的供应商，将拒绝其参与政府采购活动。供应商相关信用信息由招标人或采购代理机构通过“信用中国”网站、中国政府采购网等渠道进行查询。</w:t>
            </w:r>
          </w:p>
        </w:tc>
      </w:tr>
      <w:tr w14:paraId="5ABC69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18" w:type="dxa"/>
            <w:vAlign w:val="center"/>
          </w:tcPr>
          <w:p w14:paraId="5B973E1C">
            <w:pPr>
              <w:snapToGrid w:val="0"/>
              <w:jc w:val="center"/>
              <w:textAlignment w:val="center"/>
              <w:rPr>
                <w:rFonts w:ascii="宋体" w:hAnsi="宋体" w:cs="宋体"/>
                <w:color w:val="auto"/>
                <w:sz w:val="21"/>
                <w:szCs w:val="21"/>
                <w:highlight w:val="none"/>
              </w:rPr>
            </w:pPr>
            <w:r>
              <w:rPr>
                <w:rFonts w:hint="eastAsia" w:ascii="宋体" w:hAnsi="宋体" w:cs="宋体"/>
                <w:color w:val="auto"/>
                <w:sz w:val="21"/>
                <w:szCs w:val="21"/>
                <w:highlight w:val="none"/>
              </w:rPr>
              <w:t>1</w:t>
            </w:r>
            <w:r>
              <w:rPr>
                <w:rFonts w:ascii="宋体" w:hAnsi="宋体" w:cs="宋体"/>
                <w:color w:val="auto"/>
                <w:sz w:val="21"/>
                <w:szCs w:val="21"/>
                <w:highlight w:val="none"/>
              </w:rPr>
              <w:t>6</w:t>
            </w:r>
          </w:p>
        </w:tc>
        <w:tc>
          <w:tcPr>
            <w:tcW w:w="8788" w:type="dxa"/>
          </w:tcPr>
          <w:p w14:paraId="1B4D8049">
            <w:pPr>
              <w:adjustRightInd w:val="0"/>
              <w:snapToGrid w:val="0"/>
              <w:textAlignment w:val="center"/>
              <w:rPr>
                <w:rFonts w:ascii="宋体" w:hAnsi="宋体" w:cs="宋体"/>
                <w:b/>
                <w:bCs/>
                <w:color w:val="auto"/>
                <w:sz w:val="21"/>
                <w:szCs w:val="21"/>
                <w:highlight w:val="none"/>
              </w:rPr>
            </w:pPr>
            <w:r>
              <w:rPr>
                <w:rFonts w:hint="eastAsia" w:ascii="宋体" w:hAnsi="宋体" w:cs="宋体"/>
                <w:b/>
                <w:bCs/>
                <w:color w:val="auto"/>
                <w:sz w:val="21"/>
                <w:szCs w:val="21"/>
                <w:highlight w:val="none"/>
              </w:rPr>
              <w:t>中标候选人的确定：</w:t>
            </w:r>
            <w:r>
              <w:rPr>
                <w:rFonts w:hint="eastAsia" w:ascii="宋体" w:hAnsi="宋体" w:cs="宋体"/>
                <w:color w:val="auto"/>
                <w:kern w:val="0"/>
                <w:sz w:val="21"/>
                <w:szCs w:val="21"/>
                <w:highlight w:val="none"/>
              </w:rPr>
              <w:t>按照招标文件规定的评标办法确定中标候选人，具体评审方法和标准详见招标文件第三章内容。</w:t>
            </w:r>
          </w:p>
        </w:tc>
      </w:tr>
      <w:tr w14:paraId="6315FA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18" w:type="dxa"/>
            <w:vAlign w:val="center"/>
          </w:tcPr>
          <w:p w14:paraId="563655C0">
            <w:pPr>
              <w:snapToGrid w:val="0"/>
              <w:jc w:val="center"/>
              <w:textAlignment w:val="center"/>
              <w:rPr>
                <w:rFonts w:ascii="宋体" w:hAnsi="宋体" w:cs="宋体"/>
                <w:color w:val="auto"/>
                <w:sz w:val="21"/>
                <w:szCs w:val="21"/>
                <w:highlight w:val="none"/>
              </w:rPr>
            </w:pPr>
            <w:r>
              <w:rPr>
                <w:rFonts w:hint="eastAsia" w:ascii="宋体" w:hAnsi="宋体" w:cs="宋体"/>
                <w:color w:val="auto"/>
                <w:sz w:val="21"/>
                <w:szCs w:val="21"/>
                <w:highlight w:val="none"/>
              </w:rPr>
              <w:t>1</w:t>
            </w:r>
            <w:r>
              <w:rPr>
                <w:rFonts w:ascii="宋体" w:hAnsi="宋体" w:cs="宋体"/>
                <w:color w:val="auto"/>
                <w:sz w:val="21"/>
                <w:szCs w:val="21"/>
                <w:highlight w:val="none"/>
              </w:rPr>
              <w:t>7</w:t>
            </w:r>
          </w:p>
        </w:tc>
        <w:tc>
          <w:tcPr>
            <w:tcW w:w="8788" w:type="dxa"/>
          </w:tcPr>
          <w:p w14:paraId="78ED14E9">
            <w:pPr>
              <w:rPr>
                <w:rFonts w:ascii="宋体" w:hAnsi="宋体" w:cs="宋体"/>
                <w:color w:val="auto"/>
                <w:highlight w:val="none"/>
              </w:rPr>
            </w:pPr>
            <w:r>
              <w:rPr>
                <w:rFonts w:hint="eastAsia" w:ascii="宋体" w:hAnsi="宋体" w:cs="宋体"/>
                <w:b/>
                <w:color w:val="auto"/>
                <w:sz w:val="21"/>
                <w:szCs w:val="21"/>
                <w:highlight w:val="none"/>
              </w:rPr>
              <w:t>履约保证金：详见商务条款。</w:t>
            </w:r>
          </w:p>
        </w:tc>
      </w:tr>
      <w:tr w14:paraId="501C82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5" w:hRule="atLeast"/>
          <w:jc w:val="center"/>
        </w:trPr>
        <w:tc>
          <w:tcPr>
            <w:tcW w:w="1018" w:type="dxa"/>
            <w:vAlign w:val="center"/>
          </w:tcPr>
          <w:p w14:paraId="2825244A">
            <w:pPr>
              <w:snapToGrid w:val="0"/>
              <w:jc w:val="center"/>
              <w:textAlignment w:val="center"/>
              <w:rPr>
                <w:rFonts w:ascii="宋体" w:hAnsi="宋体" w:cs="宋体"/>
                <w:color w:val="auto"/>
                <w:sz w:val="21"/>
                <w:szCs w:val="21"/>
                <w:highlight w:val="none"/>
              </w:rPr>
            </w:pPr>
            <w:r>
              <w:rPr>
                <w:rFonts w:hint="eastAsia" w:ascii="宋体" w:hAnsi="宋体" w:cs="宋体"/>
                <w:color w:val="auto"/>
                <w:sz w:val="21"/>
                <w:szCs w:val="21"/>
                <w:highlight w:val="none"/>
              </w:rPr>
              <w:t>1</w:t>
            </w:r>
            <w:r>
              <w:rPr>
                <w:rFonts w:ascii="宋体" w:hAnsi="宋体" w:cs="宋体"/>
                <w:color w:val="auto"/>
                <w:sz w:val="21"/>
                <w:szCs w:val="21"/>
                <w:highlight w:val="none"/>
              </w:rPr>
              <w:t>8</w:t>
            </w:r>
          </w:p>
        </w:tc>
        <w:tc>
          <w:tcPr>
            <w:tcW w:w="8788" w:type="dxa"/>
          </w:tcPr>
          <w:p w14:paraId="3A6EBA2D">
            <w:pPr>
              <w:rPr>
                <w:rFonts w:hint="default" w:eastAsia="宋体"/>
                <w:lang w:val="en-US" w:eastAsia="zh-CN"/>
              </w:rPr>
            </w:pPr>
            <w:r>
              <w:rPr>
                <w:rFonts w:hint="eastAsia" w:ascii="宋体" w:hAnsi="宋体" w:cs="宋体"/>
                <w:b/>
                <w:color w:val="auto"/>
                <w:sz w:val="21"/>
                <w:szCs w:val="21"/>
                <w:highlight w:val="none"/>
              </w:rPr>
              <w:t>招标代理服务费：</w:t>
            </w:r>
            <w:r>
              <w:rPr>
                <w:rFonts w:hint="eastAsia" w:ascii="宋体" w:hAnsi="宋体" w:cs="宋体"/>
                <w:bCs/>
                <w:color w:val="auto"/>
                <w:sz w:val="21"/>
                <w:szCs w:val="21"/>
                <w:highlight w:val="none"/>
              </w:rPr>
              <w:t>中标供应商应在领取中标通知书前，向采购代理机构交纳采购代理服务费</w:t>
            </w:r>
            <w:r>
              <w:rPr>
                <w:rFonts w:hint="eastAsia" w:ascii="宋体" w:hAnsi="宋体" w:cs="宋体"/>
                <w:bCs/>
                <w:color w:val="auto"/>
                <w:sz w:val="21"/>
                <w:szCs w:val="21"/>
                <w:highlight w:val="none"/>
                <w:lang w:val="en-US" w:eastAsia="zh-CN"/>
              </w:rPr>
              <w:t>和咨询服务费</w:t>
            </w:r>
            <w:r>
              <w:rPr>
                <w:rFonts w:hint="eastAsia" w:ascii="宋体" w:hAnsi="宋体" w:cs="宋体"/>
                <w:bCs/>
                <w:color w:val="auto"/>
                <w:sz w:val="21"/>
                <w:szCs w:val="21"/>
                <w:highlight w:val="none"/>
                <w:lang w:eastAsia="zh-CN"/>
              </w:rPr>
              <w:t>。</w:t>
            </w:r>
            <w:r>
              <w:rPr>
                <w:rFonts w:hint="eastAsia" w:ascii="宋体" w:hAnsi="宋体" w:cs="宋体"/>
                <w:bCs/>
                <w:color w:val="auto"/>
                <w:sz w:val="21"/>
                <w:szCs w:val="21"/>
                <w:highlight w:val="none"/>
                <w:lang w:val="en-US" w:eastAsia="zh-CN"/>
              </w:rPr>
              <w:t>①</w:t>
            </w:r>
            <w:r>
              <w:rPr>
                <w:rFonts w:hint="eastAsia" w:ascii="宋体" w:hAnsi="宋体" w:cs="宋体"/>
                <w:bCs/>
                <w:color w:val="auto"/>
                <w:sz w:val="21"/>
                <w:szCs w:val="21"/>
                <w:highlight w:val="none"/>
              </w:rPr>
              <w:t>本项目</w:t>
            </w:r>
            <w:r>
              <w:rPr>
                <w:rFonts w:hint="eastAsia" w:ascii="宋体" w:hAnsi="宋体" w:cs="宋体"/>
                <w:bCs/>
                <w:color w:val="auto"/>
                <w:sz w:val="21"/>
                <w:szCs w:val="21"/>
                <w:highlight w:val="none"/>
                <w:lang w:val="en-US" w:eastAsia="zh-CN"/>
              </w:rPr>
              <w:t>采购</w:t>
            </w:r>
            <w:r>
              <w:rPr>
                <w:rFonts w:hint="eastAsia" w:ascii="宋体" w:hAnsi="宋体" w:cs="宋体"/>
                <w:bCs/>
                <w:color w:val="auto"/>
                <w:sz w:val="21"/>
                <w:szCs w:val="21"/>
                <w:highlight w:val="none"/>
              </w:rPr>
              <w:t>代理服务费根据项目中标金额按“计价格[2002]1980号文”规定的差额定率累进法计算标准的90%计取。不足3000元按3000元收取</w:t>
            </w:r>
            <w:r>
              <w:rPr>
                <w:rFonts w:hint="eastAsia" w:ascii="宋体" w:hAnsi="宋体" w:cs="宋体"/>
                <w:bCs/>
                <w:color w:val="auto"/>
                <w:sz w:val="21"/>
                <w:szCs w:val="21"/>
                <w:highlight w:val="none"/>
                <w:lang w:eastAsia="zh-CN"/>
              </w:rPr>
              <w:t>；</w:t>
            </w:r>
            <w:r>
              <w:rPr>
                <w:rFonts w:hint="eastAsia" w:ascii="宋体" w:hAnsi="宋体" w:cs="宋体"/>
                <w:bCs/>
                <w:color w:val="auto"/>
                <w:sz w:val="21"/>
                <w:szCs w:val="21"/>
                <w:highlight w:val="none"/>
                <w:lang w:val="en-US" w:eastAsia="zh-CN"/>
              </w:rPr>
              <w:t>②</w:t>
            </w:r>
            <w:r>
              <w:rPr>
                <w:rFonts w:hint="eastAsia" w:hAnsi="宋体" w:cs="宋体"/>
                <w:bCs/>
                <w:color w:val="auto"/>
                <w:sz w:val="21"/>
                <w:szCs w:val="21"/>
                <w:highlight w:val="none"/>
                <w:lang w:val="en-US" w:eastAsia="zh-CN"/>
              </w:rPr>
              <w:t>咨询服务费按中标金额的0.4%计取。</w:t>
            </w:r>
          </w:p>
        </w:tc>
      </w:tr>
    </w:tbl>
    <w:p w14:paraId="46148F66">
      <w:pPr>
        <w:autoSpaceDE w:val="0"/>
        <w:autoSpaceDN w:val="0"/>
        <w:adjustRightInd w:val="0"/>
        <w:textAlignment w:val="center"/>
        <w:rPr>
          <w:rFonts w:ascii="宋体" w:hAnsi="宋体" w:cs="宋体"/>
          <w:color w:val="auto"/>
          <w:kern w:val="0"/>
          <w:szCs w:val="24"/>
          <w:highlight w:val="none"/>
        </w:rPr>
      </w:pPr>
      <w:bookmarkStart w:id="7" w:name="_Toc406059259"/>
      <w:r>
        <w:rPr>
          <w:rFonts w:hint="eastAsia" w:ascii="宋体" w:hAnsi="宋体" w:cs="宋体"/>
          <w:b/>
          <w:color w:val="auto"/>
          <w:kern w:val="0"/>
          <w:szCs w:val="24"/>
          <w:highlight w:val="none"/>
        </w:rPr>
        <w:t>注：</w:t>
      </w:r>
      <w:r>
        <w:rPr>
          <w:rFonts w:hint="eastAsia" w:ascii="宋体" w:hAnsi="宋体" w:cs="宋体"/>
          <w:color w:val="auto"/>
          <w:kern w:val="0"/>
          <w:szCs w:val="24"/>
          <w:highlight w:val="none"/>
        </w:rPr>
        <w:t>本表是对招标文件“投标人须知”的具体补充和修改，如与招标文件其他部分内容有差异，应以本资料表为准。</w:t>
      </w:r>
    </w:p>
    <w:p w14:paraId="4A2539C8">
      <w:pPr>
        <w:autoSpaceDE w:val="0"/>
        <w:autoSpaceDN w:val="0"/>
        <w:adjustRightInd w:val="0"/>
        <w:textAlignment w:val="center"/>
        <w:rPr>
          <w:rFonts w:ascii="宋体" w:hAnsi="宋体" w:cs="宋体"/>
          <w:color w:val="auto"/>
          <w:kern w:val="0"/>
          <w:szCs w:val="24"/>
          <w:highlight w:val="none"/>
        </w:rPr>
      </w:pPr>
    </w:p>
    <w:p w14:paraId="681EFB98">
      <w:pPr>
        <w:autoSpaceDE w:val="0"/>
        <w:autoSpaceDN w:val="0"/>
        <w:adjustRightInd w:val="0"/>
        <w:textAlignment w:val="center"/>
        <w:rPr>
          <w:rFonts w:ascii="宋体" w:hAnsi="宋体" w:cs="宋体"/>
          <w:color w:val="auto"/>
          <w:kern w:val="0"/>
          <w:szCs w:val="24"/>
          <w:highlight w:val="none"/>
        </w:rPr>
        <w:sectPr>
          <w:headerReference r:id="rId11" w:type="first"/>
          <w:headerReference r:id="rId9" w:type="default"/>
          <w:footerReference r:id="rId12" w:type="default"/>
          <w:headerReference r:id="rId10" w:type="even"/>
          <w:pgSz w:w="11906" w:h="16838"/>
          <w:pgMar w:top="1418" w:right="1418" w:bottom="1418" w:left="1418" w:header="851" w:footer="992" w:gutter="0"/>
          <w:pgNumType w:fmt="decimal"/>
          <w:cols w:space="425" w:num="1"/>
          <w:docGrid w:type="lines" w:linePitch="312" w:charSpace="0"/>
        </w:sectPr>
      </w:pPr>
    </w:p>
    <w:p w14:paraId="59CB3F98">
      <w:pPr>
        <w:jc w:val="center"/>
        <w:rPr>
          <w:rFonts w:cs="宋体"/>
          <w:b/>
          <w:bCs/>
          <w:color w:val="auto"/>
          <w:sz w:val="30"/>
          <w:szCs w:val="30"/>
          <w:highlight w:val="none"/>
        </w:rPr>
      </w:pPr>
      <w:r>
        <w:rPr>
          <w:rFonts w:hint="eastAsia" w:cs="宋体"/>
          <w:b/>
          <w:bCs/>
          <w:color w:val="auto"/>
          <w:sz w:val="30"/>
          <w:szCs w:val="30"/>
          <w:highlight w:val="none"/>
        </w:rPr>
        <w:t>二、说明</w:t>
      </w:r>
      <w:bookmarkEnd w:id="7"/>
    </w:p>
    <w:p w14:paraId="31E1C4FF">
      <w:pPr>
        <w:rPr>
          <w:rFonts w:ascii="宋体" w:hAnsi="宋体" w:cs="宋体"/>
          <w:b/>
          <w:bCs/>
          <w:color w:val="auto"/>
          <w:sz w:val="21"/>
          <w:szCs w:val="21"/>
          <w:highlight w:val="none"/>
        </w:rPr>
      </w:pPr>
      <w:bookmarkStart w:id="8" w:name="_Toc492561881"/>
      <w:bookmarkStart w:id="9" w:name="_Toc286758305"/>
      <w:bookmarkStart w:id="10" w:name="_Toc502674927"/>
      <w:r>
        <w:rPr>
          <w:rFonts w:hint="eastAsia" w:ascii="宋体" w:hAnsi="宋体" w:cs="宋体"/>
          <w:b/>
          <w:bCs/>
          <w:color w:val="auto"/>
          <w:sz w:val="21"/>
          <w:szCs w:val="21"/>
          <w:highlight w:val="none"/>
        </w:rPr>
        <w:t>1.适用范围</w:t>
      </w:r>
      <w:bookmarkEnd w:id="8"/>
      <w:bookmarkEnd w:id="9"/>
      <w:bookmarkEnd w:id="10"/>
    </w:p>
    <w:p w14:paraId="72CB39AC">
      <w:pPr>
        <w:rPr>
          <w:rFonts w:ascii="宋体" w:hAnsi="宋体" w:cs="宋体"/>
          <w:color w:val="auto"/>
          <w:sz w:val="21"/>
          <w:szCs w:val="21"/>
          <w:highlight w:val="none"/>
        </w:rPr>
      </w:pPr>
      <w:r>
        <w:rPr>
          <w:rFonts w:hint="eastAsia" w:ascii="宋体" w:hAnsi="宋体" w:cs="宋体"/>
          <w:color w:val="auto"/>
          <w:sz w:val="21"/>
          <w:szCs w:val="21"/>
          <w:highlight w:val="none"/>
        </w:rPr>
        <w:t>1.1本招标文件仅适用于投标邀请中所述货物和服务采购。</w:t>
      </w:r>
    </w:p>
    <w:p w14:paraId="61507DC5">
      <w:pPr>
        <w:rPr>
          <w:rFonts w:ascii="宋体" w:hAnsi="宋体" w:cs="宋体"/>
          <w:b/>
          <w:bCs/>
          <w:color w:val="auto"/>
          <w:sz w:val="21"/>
          <w:szCs w:val="21"/>
          <w:highlight w:val="none"/>
        </w:rPr>
      </w:pPr>
      <w:r>
        <w:rPr>
          <w:rFonts w:hint="eastAsia" w:ascii="宋体" w:hAnsi="宋体" w:cs="宋体"/>
          <w:b/>
          <w:bCs/>
          <w:color w:val="auto"/>
          <w:sz w:val="21"/>
          <w:szCs w:val="21"/>
          <w:highlight w:val="none"/>
        </w:rPr>
        <w:t>2.定义</w:t>
      </w:r>
    </w:p>
    <w:p w14:paraId="2C239DB1">
      <w:pPr>
        <w:ind w:left="510" w:hanging="510"/>
        <w:rPr>
          <w:rFonts w:ascii="宋体" w:hAnsi="宋体" w:cs="宋体"/>
          <w:color w:val="auto"/>
          <w:sz w:val="21"/>
          <w:szCs w:val="21"/>
          <w:highlight w:val="none"/>
        </w:rPr>
      </w:pPr>
      <w:r>
        <w:rPr>
          <w:rFonts w:hint="eastAsia" w:ascii="宋体" w:hAnsi="宋体" w:cs="宋体"/>
          <w:color w:val="auto"/>
          <w:sz w:val="21"/>
          <w:szCs w:val="21"/>
          <w:highlight w:val="none"/>
        </w:rPr>
        <w:t>2.1招标人：系指国家计算机网络与信息安全管理中心江西分中心。</w:t>
      </w:r>
    </w:p>
    <w:p w14:paraId="66EFAAFC">
      <w:pPr>
        <w:ind w:left="510" w:hanging="510"/>
        <w:rPr>
          <w:rFonts w:ascii="宋体" w:hAnsi="宋体" w:cs="宋体"/>
          <w:color w:val="auto"/>
          <w:sz w:val="21"/>
          <w:szCs w:val="21"/>
          <w:highlight w:val="none"/>
        </w:rPr>
      </w:pPr>
      <w:r>
        <w:rPr>
          <w:rFonts w:hint="eastAsia" w:ascii="宋体" w:hAnsi="宋体" w:cs="宋体"/>
          <w:color w:val="auto"/>
          <w:sz w:val="21"/>
          <w:szCs w:val="21"/>
          <w:highlight w:val="none"/>
        </w:rPr>
        <w:t>2.2招标代理机构：系指根据招标人的委托依法办理招标代理事宜的机构。</w:t>
      </w:r>
    </w:p>
    <w:p w14:paraId="55F32035">
      <w:pPr>
        <w:ind w:left="510" w:hanging="510"/>
        <w:rPr>
          <w:rFonts w:ascii="宋体" w:hAnsi="宋体" w:cs="宋体"/>
          <w:color w:val="auto"/>
          <w:sz w:val="21"/>
          <w:szCs w:val="21"/>
          <w:highlight w:val="none"/>
        </w:rPr>
      </w:pPr>
      <w:r>
        <w:rPr>
          <w:rFonts w:hint="eastAsia" w:ascii="宋体" w:hAnsi="宋体" w:cs="宋体"/>
          <w:color w:val="auto"/>
          <w:sz w:val="21"/>
          <w:szCs w:val="21"/>
          <w:highlight w:val="none"/>
        </w:rPr>
        <w:t>2.3投标人：系指向招标人提供投标邀请中所述货物的法人、其它组织或者自然人。</w:t>
      </w:r>
    </w:p>
    <w:p w14:paraId="68DDF521">
      <w:pPr>
        <w:ind w:left="510" w:hanging="510"/>
        <w:rPr>
          <w:rFonts w:ascii="宋体" w:hAnsi="宋体" w:cs="宋体"/>
          <w:color w:val="auto"/>
          <w:sz w:val="21"/>
          <w:szCs w:val="21"/>
          <w:highlight w:val="none"/>
        </w:rPr>
      </w:pPr>
      <w:r>
        <w:rPr>
          <w:rFonts w:hint="eastAsia" w:ascii="宋体" w:hAnsi="宋体" w:cs="宋体"/>
          <w:color w:val="auto"/>
          <w:sz w:val="21"/>
          <w:szCs w:val="21"/>
          <w:highlight w:val="none"/>
        </w:rPr>
        <w:t>2.4货物：系指投标人按招标文件规定，须向招标人提供的完成本项目应提供的一切货物及配套设备及其它有关技术资料；</w:t>
      </w:r>
    </w:p>
    <w:p w14:paraId="388A312C">
      <w:pPr>
        <w:ind w:left="510" w:hanging="510"/>
        <w:rPr>
          <w:rFonts w:ascii="宋体" w:hAnsi="宋体" w:cs="宋体"/>
          <w:color w:val="auto"/>
          <w:sz w:val="21"/>
          <w:szCs w:val="21"/>
          <w:highlight w:val="none"/>
        </w:rPr>
      </w:pPr>
      <w:r>
        <w:rPr>
          <w:rFonts w:hint="eastAsia" w:ascii="宋体" w:hAnsi="宋体" w:cs="宋体"/>
          <w:color w:val="auto"/>
          <w:sz w:val="21"/>
          <w:szCs w:val="21"/>
          <w:highlight w:val="none"/>
        </w:rPr>
        <w:t>2.5服务：系指招标文件规定投标人须承担的项目相关服务以及其他类似的义务。</w:t>
      </w:r>
    </w:p>
    <w:p w14:paraId="77E48033">
      <w:pPr>
        <w:rPr>
          <w:rFonts w:ascii="宋体" w:hAnsi="宋体" w:cs="宋体"/>
          <w:b/>
          <w:bCs/>
          <w:color w:val="auto"/>
          <w:sz w:val="21"/>
          <w:szCs w:val="21"/>
          <w:highlight w:val="none"/>
        </w:rPr>
      </w:pPr>
      <w:r>
        <w:rPr>
          <w:rFonts w:hint="eastAsia" w:ascii="宋体" w:hAnsi="宋体" w:cs="宋体"/>
          <w:b/>
          <w:bCs/>
          <w:color w:val="auto"/>
          <w:sz w:val="21"/>
          <w:szCs w:val="21"/>
          <w:highlight w:val="none"/>
        </w:rPr>
        <w:t>3.资金来源</w:t>
      </w:r>
    </w:p>
    <w:p w14:paraId="6C502952">
      <w:pPr>
        <w:ind w:left="510" w:hanging="510"/>
        <w:rPr>
          <w:rFonts w:ascii="宋体" w:hAnsi="宋体" w:cs="宋体"/>
          <w:color w:val="auto"/>
          <w:sz w:val="21"/>
          <w:szCs w:val="21"/>
          <w:highlight w:val="none"/>
        </w:rPr>
      </w:pPr>
      <w:r>
        <w:rPr>
          <w:rFonts w:hint="eastAsia" w:ascii="宋体" w:hAnsi="宋体" w:cs="宋体"/>
          <w:color w:val="auto"/>
          <w:sz w:val="21"/>
          <w:szCs w:val="21"/>
          <w:highlight w:val="none"/>
        </w:rPr>
        <w:t>3.1招标人已获得《投标人须知前附表》所述资金，计划用于支付本次招标活动后所签订合同项下</w:t>
      </w:r>
    </w:p>
    <w:p w14:paraId="0A704FC9">
      <w:pPr>
        <w:ind w:left="120" w:leftChars="50" w:firstLine="210" w:firstLineChars="100"/>
        <w:rPr>
          <w:rFonts w:ascii="宋体" w:hAnsi="宋体" w:cs="宋体"/>
          <w:color w:val="auto"/>
          <w:sz w:val="21"/>
          <w:szCs w:val="21"/>
          <w:highlight w:val="none"/>
        </w:rPr>
      </w:pPr>
      <w:r>
        <w:rPr>
          <w:rFonts w:hint="eastAsia" w:ascii="宋体" w:hAnsi="宋体" w:cs="宋体"/>
          <w:color w:val="auto"/>
          <w:sz w:val="21"/>
          <w:szCs w:val="21"/>
          <w:highlight w:val="none"/>
        </w:rPr>
        <w:t>的款项。</w:t>
      </w:r>
    </w:p>
    <w:p w14:paraId="543B5A7E">
      <w:pPr>
        <w:rPr>
          <w:rFonts w:ascii="宋体" w:hAnsi="宋体" w:cs="宋体"/>
          <w:b/>
          <w:bCs/>
          <w:color w:val="auto"/>
          <w:sz w:val="21"/>
          <w:szCs w:val="21"/>
          <w:highlight w:val="none"/>
        </w:rPr>
      </w:pPr>
      <w:r>
        <w:rPr>
          <w:rFonts w:hint="eastAsia" w:ascii="宋体" w:hAnsi="宋体" w:cs="宋体"/>
          <w:b/>
          <w:bCs/>
          <w:color w:val="auto"/>
          <w:sz w:val="21"/>
          <w:szCs w:val="21"/>
          <w:highlight w:val="none"/>
        </w:rPr>
        <w:t>4.合格的投标人</w:t>
      </w:r>
    </w:p>
    <w:p w14:paraId="0296E44F">
      <w:pPr>
        <w:rPr>
          <w:rFonts w:ascii="宋体" w:hAnsi="宋体" w:cs="宋体"/>
          <w:b/>
          <w:bCs/>
          <w:color w:val="auto"/>
          <w:sz w:val="21"/>
          <w:szCs w:val="21"/>
          <w:highlight w:val="none"/>
        </w:rPr>
      </w:pPr>
      <w:r>
        <w:rPr>
          <w:rFonts w:hint="eastAsia" w:ascii="宋体" w:hAnsi="宋体" w:cs="宋体"/>
          <w:color w:val="auto"/>
          <w:sz w:val="21"/>
          <w:szCs w:val="21"/>
          <w:highlight w:val="none"/>
        </w:rPr>
        <w:t>4.1合格供应商的资格要求详见供应商须知前附表。</w:t>
      </w:r>
    </w:p>
    <w:p w14:paraId="742B028E">
      <w:pPr>
        <w:rPr>
          <w:rFonts w:ascii="宋体" w:hAnsi="宋体" w:cs="宋体"/>
          <w:b/>
          <w:bCs/>
          <w:color w:val="auto"/>
          <w:sz w:val="21"/>
          <w:szCs w:val="21"/>
          <w:highlight w:val="none"/>
        </w:rPr>
      </w:pPr>
      <w:r>
        <w:rPr>
          <w:rFonts w:hint="eastAsia" w:ascii="宋体" w:hAnsi="宋体" w:cs="宋体"/>
          <w:b/>
          <w:bCs/>
          <w:color w:val="auto"/>
          <w:sz w:val="21"/>
          <w:szCs w:val="21"/>
          <w:highlight w:val="none"/>
        </w:rPr>
        <w:t>5.投标人代表</w:t>
      </w:r>
    </w:p>
    <w:p w14:paraId="5937D6B5">
      <w:pPr>
        <w:ind w:left="420" w:hanging="420" w:hangingChars="200"/>
        <w:rPr>
          <w:rFonts w:ascii="宋体" w:hAnsi="宋体" w:cs="宋体"/>
          <w:b/>
          <w:bCs/>
          <w:color w:val="auto"/>
          <w:sz w:val="21"/>
          <w:szCs w:val="21"/>
          <w:highlight w:val="none"/>
        </w:rPr>
      </w:pPr>
      <w:r>
        <w:rPr>
          <w:rFonts w:hint="eastAsia" w:ascii="宋体" w:hAnsi="宋体" w:cs="宋体"/>
          <w:bCs/>
          <w:color w:val="auto"/>
          <w:sz w:val="21"/>
          <w:szCs w:val="21"/>
          <w:highlight w:val="none"/>
        </w:rPr>
        <w:t>5.1投标人代表为法定代表人的，投标时应提供《法定代表人资格证明书》（格式详见招标文件第六章）；非法定代表人的，应提供《法定代表人资格证明书》和《法定代表人授权委托书》（格式详见招标文件第六章）。</w:t>
      </w:r>
    </w:p>
    <w:p w14:paraId="10960A63">
      <w:pPr>
        <w:rPr>
          <w:rFonts w:ascii="宋体" w:hAnsi="宋体" w:cs="宋体"/>
          <w:b/>
          <w:bCs/>
          <w:color w:val="auto"/>
          <w:sz w:val="21"/>
          <w:szCs w:val="21"/>
          <w:highlight w:val="none"/>
        </w:rPr>
      </w:pPr>
      <w:r>
        <w:rPr>
          <w:rFonts w:hint="eastAsia" w:ascii="宋体" w:hAnsi="宋体" w:cs="宋体"/>
          <w:b/>
          <w:bCs/>
          <w:color w:val="auto"/>
          <w:sz w:val="21"/>
          <w:szCs w:val="21"/>
          <w:highlight w:val="none"/>
        </w:rPr>
        <w:t>6.投标费用</w:t>
      </w:r>
    </w:p>
    <w:p w14:paraId="0EF27CBC">
      <w:pPr>
        <w:ind w:left="454" w:hanging="454"/>
        <w:rPr>
          <w:rFonts w:ascii="宋体" w:hAnsi="宋体" w:cs="宋体"/>
          <w:color w:val="auto"/>
          <w:sz w:val="21"/>
          <w:szCs w:val="21"/>
          <w:highlight w:val="none"/>
        </w:rPr>
      </w:pPr>
      <w:r>
        <w:rPr>
          <w:rFonts w:hint="eastAsia" w:ascii="宋体" w:hAnsi="宋体" w:cs="宋体"/>
          <w:color w:val="auto"/>
          <w:sz w:val="21"/>
          <w:szCs w:val="21"/>
          <w:highlight w:val="none"/>
        </w:rPr>
        <w:t>6.1投标人应自行承担所有与准备和参加投标活动有关的全部费用。不论招标的结果如何，招标人和招标代理机构均无义务和责任承担这些费用。</w:t>
      </w:r>
    </w:p>
    <w:p w14:paraId="70E49BE1">
      <w:pPr>
        <w:rPr>
          <w:rFonts w:ascii="宋体" w:hAnsi="宋体" w:cs="宋体"/>
          <w:b/>
          <w:bCs/>
          <w:color w:val="auto"/>
          <w:sz w:val="21"/>
          <w:szCs w:val="21"/>
          <w:highlight w:val="none"/>
        </w:rPr>
      </w:pPr>
      <w:r>
        <w:rPr>
          <w:rFonts w:hint="eastAsia" w:ascii="宋体" w:hAnsi="宋体" w:cs="宋体"/>
          <w:b/>
          <w:bCs/>
          <w:color w:val="auto"/>
          <w:sz w:val="21"/>
          <w:szCs w:val="21"/>
          <w:highlight w:val="none"/>
        </w:rPr>
        <w:t>7.现场勘察</w:t>
      </w:r>
    </w:p>
    <w:p w14:paraId="38D13CB1">
      <w:pPr>
        <w:rPr>
          <w:rFonts w:ascii="宋体" w:hAnsi="宋体" w:cs="宋体"/>
          <w:color w:val="auto"/>
          <w:highlight w:val="none"/>
        </w:rPr>
      </w:pPr>
      <w:r>
        <w:rPr>
          <w:rFonts w:hint="eastAsia" w:ascii="宋体" w:hAnsi="宋体" w:cs="宋体"/>
          <w:color w:val="auto"/>
          <w:sz w:val="21"/>
          <w:szCs w:val="21"/>
          <w:highlight w:val="none"/>
        </w:rPr>
        <w:t>7.1本项目是否需要现场勘察详见</w:t>
      </w:r>
      <w:r>
        <w:rPr>
          <w:rFonts w:hint="eastAsia" w:ascii="宋体" w:hAnsi="宋体" w:cs="宋体"/>
          <w:b/>
          <w:color w:val="auto"/>
          <w:sz w:val="21"/>
          <w:szCs w:val="21"/>
          <w:highlight w:val="none"/>
        </w:rPr>
        <w:t>投标人须知前附表</w:t>
      </w:r>
      <w:r>
        <w:rPr>
          <w:rFonts w:hint="eastAsia" w:ascii="宋体" w:hAnsi="宋体" w:cs="宋体"/>
          <w:color w:val="auto"/>
          <w:sz w:val="21"/>
          <w:szCs w:val="21"/>
          <w:highlight w:val="none"/>
        </w:rPr>
        <w:t>。</w:t>
      </w:r>
    </w:p>
    <w:p w14:paraId="4859400A">
      <w:pPr>
        <w:rPr>
          <w:rFonts w:ascii="宋体" w:hAnsi="宋体" w:cs="宋体"/>
          <w:b/>
          <w:bCs/>
          <w:color w:val="auto"/>
          <w:sz w:val="21"/>
          <w:szCs w:val="21"/>
          <w:highlight w:val="none"/>
        </w:rPr>
      </w:pPr>
      <w:bookmarkStart w:id="11" w:name="_Toc286758309"/>
      <w:r>
        <w:rPr>
          <w:rFonts w:hint="eastAsia" w:ascii="宋体" w:hAnsi="宋体" w:cs="宋体"/>
          <w:b/>
          <w:bCs/>
          <w:color w:val="auto"/>
          <w:sz w:val="21"/>
          <w:szCs w:val="21"/>
          <w:highlight w:val="none"/>
        </w:rPr>
        <w:t>8.</w:t>
      </w:r>
      <w:bookmarkEnd w:id="11"/>
      <w:r>
        <w:rPr>
          <w:rFonts w:hint="eastAsia" w:ascii="宋体" w:hAnsi="宋体" w:cs="宋体"/>
          <w:b/>
          <w:bCs/>
          <w:color w:val="auto"/>
          <w:sz w:val="21"/>
          <w:szCs w:val="21"/>
          <w:highlight w:val="none"/>
        </w:rPr>
        <w:t>项目属性</w:t>
      </w:r>
    </w:p>
    <w:p w14:paraId="543528FF">
      <w:pPr>
        <w:rPr>
          <w:rFonts w:ascii="宋体" w:hAnsi="宋体" w:cs="宋体"/>
          <w:color w:val="auto"/>
          <w:highlight w:val="none"/>
        </w:rPr>
      </w:pPr>
      <w:r>
        <w:rPr>
          <w:rFonts w:hint="eastAsia" w:ascii="宋体" w:hAnsi="宋体" w:cs="宋体"/>
          <w:color w:val="auto"/>
          <w:sz w:val="21"/>
          <w:szCs w:val="21"/>
          <w:highlight w:val="none"/>
        </w:rPr>
        <w:t>8.1</w:t>
      </w:r>
      <w:r>
        <w:rPr>
          <w:rFonts w:hint="eastAsia" w:ascii="宋体" w:hAnsi="宋体" w:cs="宋体"/>
          <w:b/>
          <w:bCs/>
          <w:color w:val="auto"/>
          <w:sz w:val="21"/>
          <w:szCs w:val="21"/>
          <w:highlight w:val="none"/>
        </w:rPr>
        <w:t>项目属性见投标人须知前附表</w:t>
      </w:r>
      <w:r>
        <w:rPr>
          <w:rFonts w:hint="eastAsia" w:ascii="宋体" w:hAnsi="宋体" w:cs="宋体"/>
          <w:color w:val="auto"/>
          <w:sz w:val="21"/>
          <w:szCs w:val="21"/>
          <w:highlight w:val="none"/>
        </w:rPr>
        <w:t>。招标人、代理机构、投标人和评标委员会的相关行为均受有关法律法规的约束和保护。</w:t>
      </w:r>
    </w:p>
    <w:p w14:paraId="3922DAC2">
      <w:pPr>
        <w:jc w:val="center"/>
        <w:rPr>
          <w:rFonts w:cs="宋体"/>
          <w:b/>
          <w:bCs/>
          <w:color w:val="auto"/>
          <w:sz w:val="30"/>
          <w:szCs w:val="30"/>
          <w:highlight w:val="none"/>
        </w:rPr>
      </w:pPr>
      <w:bookmarkStart w:id="12" w:name="_Toc406059260"/>
      <w:r>
        <w:rPr>
          <w:rFonts w:hint="eastAsia" w:cs="宋体"/>
          <w:b/>
          <w:bCs/>
          <w:color w:val="auto"/>
          <w:sz w:val="30"/>
          <w:szCs w:val="30"/>
          <w:highlight w:val="none"/>
        </w:rPr>
        <w:t>三、招标文件</w:t>
      </w:r>
      <w:bookmarkEnd w:id="12"/>
    </w:p>
    <w:p w14:paraId="3BB8A55C">
      <w:pPr>
        <w:rPr>
          <w:rFonts w:ascii="宋体" w:hAnsi="宋体" w:cs="宋体"/>
          <w:b/>
          <w:bCs/>
          <w:color w:val="auto"/>
          <w:sz w:val="21"/>
          <w:szCs w:val="21"/>
          <w:highlight w:val="none"/>
        </w:rPr>
      </w:pPr>
      <w:bookmarkStart w:id="13" w:name="_Toc286758311"/>
      <w:r>
        <w:rPr>
          <w:rFonts w:hint="eastAsia" w:ascii="宋体" w:hAnsi="宋体" w:cs="宋体"/>
          <w:b/>
          <w:bCs/>
          <w:color w:val="auto"/>
          <w:sz w:val="21"/>
          <w:szCs w:val="21"/>
          <w:highlight w:val="none"/>
        </w:rPr>
        <w:t>9.招标文件的构成</w:t>
      </w:r>
      <w:bookmarkEnd w:id="13"/>
    </w:p>
    <w:p w14:paraId="18A2D86E">
      <w:pPr>
        <w:ind w:left="420" w:hanging="420" w:hangingChars="200"/>
        <w:rPr>
          <w:rFonts w:ascii="宋体" w:hAnsi="宋体" w:cs="宋体"/>
          <w:color w:val="auto"/>
          <w:sz w:val="21"/>
          <w:szCs w:val="21"/>
          <w:highlight w:val="none"/>
        </w:rPr>
      </w:pPr>
      <w:r>
        <w:rPr>
          <w:rFonts w:hint="eastAsia" w:ascii="宋体" w:hAnsi="宋体" w:cs="宋体"/>
          <w:color w:val="auto"/>
          <w:sz w:val="21"/>
          <w:szCs w:val="21"/>
          <w:highlight w:val="none"/>
        </w:rPr>
        <w:t>9.1本招标文件共六章，各章的内容如下：</w:t>
      </w:r>
    </w:p>
    <w:p w14:paraId="4606B7E9">
      <w:pPr>
        <w:ind w:left="480" w:leftChars="200"/>
        <w:rPr>
          <w:rFonts w:ascii="宋体" w:hAnsi="宋体" w:cs="宋体"/>
          <w:color w:val="auto"/>
          <w:sz w:val="21"/>
          <w:szCs w:val="21"/>
          <w:highlight w:val="none"/>
        </w:rPr>
      </w:pPr>
      <w:r>
        <w:rPr>
          <w:rFonts w:hint="eastAsia" w:ascii="宋体" w:hAnsi="宋体" w:cs="宋体"/>
          <w:color w:val="auto"/>
          <w:sz w:val="21"/>
          <w:szCs w:val="21"/>
          <w:highlight w:val="none"/>
        </w:rPr>
        <w:t>第一章投标邀请</w:t>
      </w:r>
    </w:p>
    <w:p w14:paraId="660DB005">
      <w:pPr>
        <w:ind w:left="480" w:leftChars="200"/>
        <w:rPr>
          <w:rFonts w:ascii="宋体" w:hAnsi="宋体" w:cs="宋体"/>
          <w:color w:val="auto"/>
          <w:sz w:val="21"/>
          <w:szCs w:val="21"/>
          <w:highlight w:val="none"/>
        </w:rPr>
      </w:pPr>
      <w:r>
        <w:rPr>
          <w:rFonts w:hint="eastAsia" w:ascii="宋体" w:hAnsi="宋体" w:cs="宋体"/>
          <w:color w:val="auto"/>
          <w:sz w:val="21"/>
          <w:szCs w:val="21"/>
          <w:highlight w:val="none"/>
        </w:rPr>
        <w:t>第二章投标人须知</w:t>
      </w:r>
    </w:p>
    <w:p w14:paraId="13CE7562">
      <w:pPr>
        <w:ind w:left="480" w:leftChars="200"/>
        <w:rPr>
          <w:rFonts w:ascii="宋体" w:hAnsi="宋体" w:cs="宋体"/>
          <w:color w:val="auto"/>
          <w:sz w:val="21"/>
          <w:szCs w:val="21"/>
          <w:highlight w:val="none"/>
        </w:rPr>
      </w:pPr>
      <w:r>
        <w:rPr>
          <w:rFonts w:hint="eastAsia" w:ascii="宋体" w:hAnsi="宋体" w:cs="宋体"/>
          <w:color w:val="auto"/>
          <w:sz w:val="21"/>
          <w:szCs w:val="21"/>
          <w:highlight w:val="none"/>
        </w:rPr>
        <w:t>第三章评标办法</w:t>
      </w:r>
    </w:p>
    <w:p w14:paraId="3B78C78F">
      <w:pPr>
        <w:ind w:left="480" w:leftChars="200"/>
        <w:rPr>
          <w:rFonts w:ascii="宋体" w:hAnsi="宋体" w:cs="宋体"/>
          <w:color w:val="auto"/>
          <w:sz w:val="21"/>
          <w:szCs w:val="21"/>
          <w:highlight w:val="none"/>
        </w:rPr>
      </w:pPr>
      <w:r>
        <w:rPr>
          <w:rFonts w:hint="eastAsia" w:ascii="宋体" w:hAnsi="宋体" w:cs="宋体"/>
          <w:color w:val="auto"/>
          <w:sz w:val="21"/>
          <w:szCs w:val="21"/>
          <w:highlight w:val="none"/>
        </w:rPr>
        <w:t>第四章采购需求</w:t>
      </w:r>
    </w:p>
    <w:p w14:paraId="5BC6A3E3">
      <w:pPr>
        <w:ind w:left="480" w:leftChars="200"/>
        <w:rPr>
          <w:rFonts w:ascii="宋体" w:hAnsi="宋体" w:cs="宋体"/>
          <w:color w:val="auto"/>
          <w:sz w:val="21"/>
          <w:szCs w:val="21"/>
          <w:highlight w:val="none"/>
        </w:rPr>
      </w:pPr>
      <w:r>
        <w:rPr>
          <w:rFonts w:hint="eastAsia" w:ascii="宋体" w:hAnsi="宋体" w:cs="宋体"/>
          <w:color w:val="auto"/>
          <w:sz w:val="21"/>
          <w:szCs w:val="21"/>
          <w:highlight w:val="none"/>
        </w:rPr>
        <w:t>第五章合同条款及格式</w:t>
      </w:r>
    </w:p>
    <w:p w14:paraId="36A89AB9">
      <w:pPr>
        <w:ind w:left="480" w:leftChars="200"/>
        <w:rPr>
          <w:rFonts w:ascii="宋体" w:hAnsi="宋体" w:cs="宋体"/>
          <w:color w:val="auto"/>
          <w:sz w:val="21"/>
          <w:szCs w:val="21"/>
          <w:highlight w:val="none"/>
        </w:rPr>
      </w:pPr>
      <w:r>
        <w:rPr>
          <w:rFonts w:hint="eastAsia" w:ascii="宋体" w:hAnsi="宋体" w:cs="宋体"/>
          <w:color w:val="auto"/>
          <w:sz w:val="21"/>
          <w:szCs w:val="21"/>
          <w:highlight w:val="none"/>
        </w:rPr>
        <w:t>第六章投标文件格式</w:t>
      </w:r>
    </w:p>
    <w:p w14:paraId="7EA3767E">
      <w:pPr>
        <w:ind w:firstLine="420" w:firstLineChars="200"/>
        <w:rPr>
          <w:rFonts w:ascii="宋体" w:hAnsi="宋体" w:cs="宋体"/>
          <w:color w:val="auto"/>
          <w:sz w:val="21"/>
          <w:szCs w:val="21"/>
          <w:highlight w:val="none"/>
        </w:rPr>
      </w:pPr>
      <w:r>
        <w:rPr>
          <w:rFonts w:hint="eastAsia" w:ascii="宋体" w:hAnsi="宋体" w:cs="宋体"/>
          <w:color w:val="auto"/>
          <w:sz w:val="21"/>
          <w:szCs w:val="21"/>
          <w:highlight w:val="none"/>
        </w:rPr>
        <w:t>除所述各章节内容外，招标人或招标代理机构在招标期间发出的补充通知和其它正式有效函件均是招标文件的组成部分。</w:t>
      </w:r>
    </w:p>
    <w:p w14:paraId="3AB91AFB">
      <w:pPr>
        <w:rPr>
          <w:rFonts w:ascii="宋体" w:hAnsi="宋体" w:cs="宋体"/>
          <w:b/>
          <w:bCs/>
          <w:color w:val="auto"/>
          <w:sz w:val="21"/>
          <w:szCs w:val="21"/>
          <w:highlight w:val="none"/>
        </w:rPr>
      </w:pPr>
      <w:bookmarkStart w:id="14" w:name="_Toc286758313"/>
      <w:r>
        <w:rPr>
          <w:rFonts w:hint="eastAsia" w:ascii="宋体" w:hAnsi="宋体" w:cs="宋体"/>
          <w:b/>
          <w:bCs/>
          <w:color w:val="auto"/>
          <w:sz w:val="21"/>
          <w:szCs w:val="21"/>
          <w:highlight w:val="none"/>
        </w:rPr>
        <w:t>10.招标文件的澄清或修改</w:t>
      </w:r>
      <w:bookmarkEnd w:id="14"/>
    </w:p>
    <w:p w14:paraId="63668BA9">
      <w:pPr>
        <w:ind w:left="525" w:hanging="525" w:hangingChars="250"/>
        <w:rPr>
          <w:rFonts w:ascii="宋体" w:hAnsi="宋体" w:cs="宋体"/>
          <w:color w:val="auto"/>
          <w:sz w:val="21"/>
          <w:szCs w:val="21"/>
          <w:highlight w:val="none"/>
        </w:rPr>
      </w:pPr>
      <w:r>
        <w:rPr>
          <w:rFonts w:hint="eastAsia" w:ascii="宋体" w:hAnsi="宋体" w:cs="宋体"/>
          <w:color w:val="auto"/>
          <w:sz w:val="21"/>
          <w:szCs w:val="21"/>
          <w:highlight w:val="none"/>
        </w:rPr>
        <w:t>10.1潜在投标人对招标文件（含变更文件）有疑问的，可要求澄清。但需按投标邀请书中载明的地址以书面形式（须加盖投标人公章）送达招标代理机构。</w:t>
      </w:r>
    </w:p>
    <w:p w14:paraId="16B53E13">
      <w:pPr>
        <w:ind w:left="525" w:hanging="525" w:hangingChars="250"/>
        <w:rPr>
          <w:rFonts w:ascii="宋体" w:hAnsi="宋体" w:cs="宋体"/>
          <w:color w:val="auto"/>
          <w:sz w:val="21"/>
          <w:szCs w:val="21"/>
          <w:highlight w:val="none"/>
        </w:rPr>
      </w:pPr>
      <w:r>
        <w:rPr>
          <w:rFonts w:hint="eastAsia" w:ascii="宋体" w:hAnsi="宋体" w:cs="宋体"/>
          <w:color w:val="auto"/>
          <w:sz w:val="21"/>
          <w:szCs w:val="21"/>
          <w:highlight w:val="none"/>
        </w:rPr>
        <w:t>10.2 在投标截止期前的任何时候，无论出于何种原因，招标代理机构可主动地或在解答投标人提出的澄清问题时对招标文件进行澄清或修改。澄清或修改的内容是招标文件的组成部分，并对所有潜在投标人具有约束力。</w:t>
      </w:r>
    </w:p>
    <w:p w14:paraId="3897659A">
      <w:pPr>
        <w:ind w:left="525" w:hanging="525" w:hangingChars="250"/>
        <w:rPr>
          <w:rFonts w:ascii="宋体" w:hAnsi="宋体" w:cs="宋体"/>
          <w:color w:val="auto"/>
          <w:sz w:val="21"/>
          <w:szCs w:val="21"/>
          <w:highlight w:val="none"/>
        </w:rPr>
      </w:pPr>
      <w:r>
        <w:rPr>
          <w:rFonts w:hint="eastAsia" w:ascii="宋体" w:hAnsi="宋体" w:cs="宋体"/>
          <w:color w:val="auto"/>
          <w:sz w:val="21"/>
          <w:szCs w:val="21"/>
          <w:highlight w:val="none"/>
        </w:rPr>
        <w:t>10.3招标代理机构将在刊登本项目招标公告的媒体上发布变更公告。并书面通知已经购买招标文件的投标人。</w:t>
      </w:r>
    </w:p>
    <w:p w14:paraId="48BE1A7A">
      <w:pPr>
        <w:ind w:left="525" w:hanging="525" w:hangingChars="250"/>
        <w:rPr>
          <w:rFonts w:ascii="宋体" w:hAnsi="宋体" w:cs="宋体"/>
          <w:color w:val="auto"/>
          <w:sz w:val="21"/>
          <w:szCs w:val="21"/>
          <w:highlight w:val="none"/>
        </w:rPr>
      </w:pPr>
      <w:r>
        <w:rPr>
          <w:rFonts w:hint="eastAsia" w:ascii="宋体" w:hAnsi="宋体" w:cs="宋体"/>
          <w:color w:val="auto"/>
          <w:sz w:val="21"/>
          <w:szCs w:val="21"/>
          <w:highlight w:val="none"/>
        </w:rPr>
        <w:t>10.4 澄清或者修改的内容可能影响投标文件编制的，招标人或招标代理机构应当在投标截止时间至少15日前，通知所有获取招标文件的潜在投标人；不足15日的，招标人或招标代理机构可适当顺延提交投标文件的截止时间。</w:t>
      </w:r>
    </w:p>
    <w:p w14:paraId="352A6325">
      <w:pPr>
        <w:ind w:left="454" w:hanging="454"/>
        <w:rPr>
          <w:rFonts w:ascii="宋体" w:hAnsi="宋体" w:cs="宋体"/>
          <w:color w:val="auto"/>
          <w:sz w:val="21"/>
          <w:szCs w:val="21"/>
          <w:highlight w:val="none"/>
        </w:rPr>
      </w:pPr>
    </w:p>
    <w:p w14:paraId="461B4E65">
      <w:pPr>
        <w:jc w:val="center"/>
        <w:rPr>
          <w:rFonts w:cs="宋体"/>
          <w:b/>
          <w:bCs/>
          <w:color w:val="auto"/>
          <w:sz w:val="30"/>
          <w:szCs w:val="30"/>
          <w:highlight w:val="none"/>
        </w:rPr>
      </w:pPr>
      <w:bookmarkStart w:id="15" w:name="_Toc406059261"/>
      <w:r>
        <w:rPr>
          <w:rFonts w:hint="eastAsia" w:cs="宋体"/>
          <w:b/>
          <w:bCs/>
          <w:color w:val="auto"/>
          <w:sz w:val="30"/>
          <w:szCs w:val="30"/>
          <w:highlight w:val="none"/>
        </w:rPr>
        <w:t>四、投标文件的编制</w:t>
      </w:r>
      <w:bookmarkEnd w:id="15"/>
    </w:p>
    <w:p w14:paraId="00830C8C">
      <w:pPr>
        <w:rPr>
          <w:rFonts w:ascii="宋体" w:hAnsi="宋体" w:cs="宋体"/>
          <w:b/>
          <w:bCs/>
          <w:color w:val="auto"/>
          <w:sz w:val="21"/>
          <w:szCs w:val="21"/>
          <w:highlight w:val="none"/>
        </w:rPr>
      </w:pPr>
      <w:bookmarkStart w:id="16" w:name="_Toc286758315"/>
      <w:r>
        <w:rPr>
          <w:rFonts w:hint="eastAsia" w:ascii="宋体" w:hAnsi="宋体" w:cs="宋体"/>
          <w:b/>
          <w:bCs/>
          <w:color w:val="auto"/>
          <w:sz w:val="21"/>
          <w:szCs w:val="21"/>
          <w:highlight w:val="none"/>
        </w:rPr>
        <w:t>11.</w:t>
      </w:r>
      <w:bookmarkEnd w:id="16"/>
      <w:r>
        <w:rPr>
          <w:rFonts w:hint="eastAsia" w:ascii="宋体" w:hAnsi="宋体" w:cs="宋体"/>
          <w:b/>
          <w:bCs/>
          <w:color w:val="auto"/>
          <w:sz w:val="21"/>
          <w:szCs w:val="21"/>
          <w:highlight w:val="none"/>
        </w:rPr>
        <w:t>编制要求</w:t>
      </w:r>
      <w:r>
        <w:rPr>
          <w:rFonts w:hint="eastAsia" w:ascii="宋体" w:hAnsi="宋体" w:cs="宋体"/>
          <w:b/>
          <w:bCs/>
          <w:color w:val="auto"/>
          <w:sz w:val="21"/>
          <w:szCs w:val="21"/>
          <w:highlight w:val="none"/>
        </w:rPr>
        <w:tab/>
      </w:r>
    </w:p>
    <w:p w14:paraId="3474FA00">
      <w:pPr>
        <w:ind w:left="525" w:hanging="525" w:hangingChars="250"/>
        <w:rPr>
          <w:rFonts w:ascii="宋体" w:hAnsi="宋体" w:cs="宋体"/>
          <w:color w:val="auto"/>
          <w:kern w:val="0"/>
          <w:sz w:val="21"/>
          <w:szCs w:val="21"/>
          <w:highlight w:val="none"/>
        </w:rPr>
      </w:pPr>
      <w:r>
        <w:rPr>
          <w:rFonts w:hint="eastAsia" w:ascii="宋体" w:hAnsi="宋体" w:cs="宋体"/>
          <w:color w:val="auto"/>
          <w:kern w:val="0"/>
          <w:sz w:val="21"/>
          <w:szCs w:val="21"/>
          <w:highlight w:val="none"/>
        </w:rPr>
        <w:t>11.1投标人应当认真审阅和全面理解本采购文件中所有的事项、格式、条款等。如投标人没有按照招标文件要求提交全部资料，或者投标文件没有对招标文件在各方面都做出实质性响应是投标人的风险，</w:t>
      </w:r>
      <w:r>
        <w:rPr>
          <w:rFonts w:hint="eastAsia" w:ascii="宋体" w:hAnsi="宋体" w:cs="宋体"/>
          <w:b/>
          <w:color w:val="auto"/>
          <w:kern w:val="0"/>
          <w:sz w:val="21"/>
          <w:szCs w:val="21"/>
          <w:highlight w:val="none"/>
        </w:rPr>
        <w:t>并可能导致投标文件无效</w:t>
      </w:r>
      <w:r>
        <w:rPr>
          <w:rFonts w:hint="eastAsia" w:ascii="宋体" w:hAnsi="宋体" w:cs="宋体"/>
          <w:color w:val="auto"/>
          <w:kern w:val="0"/>
          <w:sz w:val="21"/>
          <w:szCs w:val="21"/>
          <w:highlight w:val="none"/>
        </w:rPr>
        <w:t>。</w:t>
      </w:r>
    </w:p>
    <w:p w14:paraId="4D300897">
      <w:pPr>
        <w:ind w:left="525" w:hanging="525" w:hangingChars="250"/>
        <w:rPr>
          <w:rFonts w:ascii="宋体" w:hAnsi="宋体" w:cs="宋体"/>
          <w:color w:val="auto"/>
          <w:kern w:val="0"/>
          <w:sz w:val="21"/>
          <w:szCs w:val="21"/>
          <w:highlight w:val="none"/>
        </w:rPr>
      </w:pPr>
      <w:r>
        <w:rPr>
          <w:rFonts w:hint="eastAsia" w:ascii="宋体" w:hAnsi="宋体" w:cs="宋体"/>
          <w:color w:val="auto"/>
          <w:sz w:val="21"/>
          <w:szCs w:val="21"/>
          <w:highlight w:val="none"/>
        </w:rPr>
        <w:t xml:space="preserve">11.2 </w:t>
      </w:r>
      <w:r>
        <w:rPr>
          <w:rFonts w:hint="eastAsia" w:ascii="宋体" w:hAnsi="宋体" w:cs="宋体"/>
          <w:color w:val="auto"/>
          <w:kern w:val="0"/>
          <w:sz w:val="21"/>
          <w:szCs w:val="21"/>
          <w:highlight w:val="none"/>
        </w:rPr>
        <w:t>如</w:t>
      </w:r>
      <w:r>
        <w:rPr>
          <w:rFonts w:hint="eastAsia" w:ascii="宋体" w:hAnsi="宋体" w:cs="宋体"/>
          <w:color w:val="auto"/>
          <w:sz w:val="21"/>
          <w:szCs w:val="21"/>
          <w:highlight w:val="none"/>
        </w:rPr>
        <w:t>《投标人须知前附表》</w:t>
      </w:r>
      <w:r>
        <w:rPr>
          <w:rFonts w:hint="eastAsia" w:ascii="宋体" w:hAnsi="宋体" w:cs="宋体"/>
          <w:color w:val="auto"/>
          <w:kern w:val="0"/>
          <w:sz w:val="21"/>
          <w:szCs w:val="21"/>
          <w:highlight w:val="none"/>
        </w:rPr>
        <w:t>中允许提供备选方案，投标人可提交符合招标文件要求备选响应方案及其报价，但要明确标明“备选方案”。备选方案只能有一个，提供两个以上备选方案的</w:t>
      </w:r>
      <w:r>
        <w:rPr>
          <w:rFonts w:hint="eastAsia" w:ascii="宋体" w:hAnsi="宋体" w:cs="宋体"/>
          <w:b/>
          <w:color w:val="auto"/>
          <w:kern w:val="0"/>
          <w:sz w:val="21"/>
          <w:szCs w:val="21"/>
          <w:highlight w:val="none"/>
        </w:rPr>
        <w:t>投标文件均无效</w:t>
      </w:r>
      <w:r>
        <w:rPr>
          <w:rFonts w:hint="eastAsia" w:ascii="宋体" w:hAnsi="宋体" w:cs="宋体"/>
          <w:color w:val="auto"/>
          <w:kern w:val="0"/>
          <w:sz w:val="21"/>
          <w:szCs w:val="21"/>
          <w:highlight w:val="none"/>
        </w:rPr>
        <w:t>。如不允许提交备选方案，所有提交备选方案的</w:t>
      </w:r>
      <w:r>
        <w:rPr>
          <w:rFonts w:hint="eastAsia" w:ascii="宋体" w:hAnsi="宋体" w:cs="宋体"/>
          <w:b/>
          <w:color w:val="auto"/>
          <w:kern w:val="0"/>
          <w:sz w:val="21"/>
          <w:szCs w:val="21"/>
          <w:highlight w:val="none"/>
        </w:rPr>
        <w:t>投标文件均无效</w:t>
      </w:r>
      <w:r>
        <w:rPr>
          <w:rFonts w:hint="eastAsia" w:ascii="宋体" w:hAnsi="宋体" w:cs="宋体"/>
          <w:color w:val="auto"/>
          <w:kern w:val="0"/>
          <w:sz w:val="21"/>
          <w:szCs w:val="21"/>
          <w:highlight w:val="none"/>
        </w:rPr>
        <w:t>。</w:t>
      </w:r>
    </w:p>
    <w:p w14:paraId="106C69CC">
      <w:pPr>
        <w:autoSpaceDE w:val="0"/>
        <w:autoSpaceDN w:val="0"/>
        <w:adjustRightInd w:val="0"/>
        <w:ind w:left="525" w:hanging="525" w:hangingChars="250"/>
        <w:rPr>
          <w:rFonts w:ascii="宋体" w:hAnsi="宋体" w:cs="宋体"/>
          <w:color w:val="auto"/>
          <w:kern w:val="0"/>
          <w:sz w:val="21"/>
          <w:szCs w:val="21"/>
          <w:highlight w:val="none"/>
        </w:rPr>
      </w:pPr>
      <w:r>
        <w:rPr>
          <w:rFonts w:hint="eastAsia" w:ascii="宋体" w:hAnsi="宋体" w:cs="宋体"/>
          <w:color w:val="auto"/>
          <w:kern w:val="0"/>
          <w:sz w:val="21"/>
          <w:szCs w:val="21"/>
          <w:highlight w:val="none"/>
        </w:rPr>
        <w:t>11.3投标人提交的投标文件以及投标人与采购方有关招标的所有来往函电均应以中文书写。投标人提交的支持资料和已印制的文献可以用另一种语言，但相应内容应附有中文翻译本，在解释投标文件时以中文翻译本为准。</w:t>
      </w:r>
      <w:r>
        <w:rPr>
          <w:rFonts w:hint="eastAsia" w:ascii="宋体" w:hAnsi="宋体" w:cs="宋体"/>
          <w:color w:val="auto"/>
          <w:sz w:val="21"/>
          <w:szCs w:val="21"/>
          <w:highlight w:val="none"/>
        </w:rPr>
        <w:t>但不能故意错误翻译，</w:t>
      </w:r>
      <w:r>
        <w:rPr>
          <w:rFonts w:hint="eastAsia" w:ascii="宋体" w:hAnsi="宋体" w:cs="宋体"/>
          <w:b/>
          <w:color w:val="auto"/>
          <w:sz w:val="21"/>
          <w:szCs w:val="21"/>
          <w:highlight w:val="none"/>
        </w:rPr>
        <w:t>否则，投标人的投标文件被视为无效</w:t>
      </w:r>
      <w:r>
        <w:rPr>
          <w:rFonts w:hint="eastAsia" w:ascii="宋体" w:hAnsi="宋体" w:cs="宋体"/>
          <w:color w:val="auto"/>
          <w:sz w:val="21"/>
          <w:szCs w:val="21"/>
          <w:highlight w:val="none"/>
        </w:rPr>
        <w:t>。</w:t>
      </w:r>
    </w:p>
    <w:p w14:paraId="4018DD60">
      <w:pPr>
        <w:autoSpaceDE w:val="0"/>
        <w:autoSpaceDN w:val="0"/>
        <w:adjustRightInd w:val="0"/>
        <w:ind w:left="525" w:hanging="525" w:hangingChars="250"/>
        <w:rPr>
          <w:rFonts w:ascii="宋体" w:hAnsi="宋体" w:cs="宋体"/>
          <w:color w:val="auto"/>
          <w:kern w:val="0"/>
          <w:sz w:val="21"/>
          <w:szCs w:val="21"/>
          <w:highlight w:val="none"/>
        </w:rPr>
      </w:pPr>
      <w:r>
        <w:rPr>
          <w:rFonts w:hint="eastAsia" w:ascii="宋体" w:hAnsi="宋体" w:cs="宋体"/>
          <w:color w:val="auto"/>
          <w:kern w:val="0"/>
          <w:sz w:val="21"/>
          <w:szCs w:val="21"/>
          <w:highlight w:val="none"/>
        </w:rPr>
        <w:t>11.4投标文件中所使用的计量单位，除招标文件中有特殊要求外，应采用中华人民共和国法定计量单位。</w:t>
      </w:r>
    </w:p>
    <w:p w14:paraId="1097DF13">
      <w:pPr>
        <w:rPr>
          <w:rFonts w:ascii="宋体" w:hAnsi="宋体" w:cs="宋体"/>
          <w:b/>
          <w:bCs/>
          <w:color w:val="auto"/>
          <w:sz w:val="21"/>
          <w:szCs w:val="21"/>
          <w:highlight w:val="none"/>
        </w:rPr>
      </w:pPr>
      <w:r>
        <w:rPr>
          <w:rFonts w:hint="eastAsia" w:ascii="宋体" w:hAnsi="宋体" w:cs="宋体"/>
          <w:b/>
          <w:bCs/>
          <w:color w:val="auto"/>
          <w:sz w:val="21"/>
          <w:szCs w:val="21"/>
          <w:highlight w:val="none"/>
        </w:rPr>
        <w:t>12.投标文件的构成</w:t>
      </w:r>
    </w:p>
    <w:p w14:paraId="707A1D80">
      <w:pPr>
        <w:ind w:left="525" w:hanging="525" w:hangingChars="250"/>
        <w:rPr>
          <w:rFonts w:ascii="宋体" w:hAnsi="宋体" w:cs="宋体"/>
          <w:color w:val="auto"/>
          <w:sz w:val="21"/>
          <w:szCs w:val="21"/>
          <w:highlight w:val="none"/>
        </w:rPr>
      </w:pPr>
      <w:r>
        <w:rPr>
          <w:rFonts w:hint="eastAsia" w:ascii="宋体" w:hAnsi="宋体" w:cs="宋体"/>
          <w:color w:val="auto"/>
          <w:sz w:val="21"/>
          <w:szCs w:val="21"/>
          <w:highlight w:val="none"/>
        </w:rPr>
        <w:t>12.1投标文件由资格证明文件部分、商务和技术部分两部分组成。</w:t>
      </w:r>
    </w:p>
    <w:p w14:paraId="63D841DE">
      <w:pPr>
        <w:ind w:left="525" w:hanging="525" w:hangingChars="250"/>
        <w:rPr>
          <w:rFonts w:ascii="宋体" w:hAnsi="宋体" w:cs="宋体"/>
          <w:color w:val="auto"/>
          <w:sz w:val="21"/>
          <w:szCs w:val="21"/>
          <w:highlight w:val="none"/>
        </w:rPr>
      </w:pPr>
      <w:bookmarkStart w:id="17" w:name="_Hlk132887963"/>
      <w:r>
        <w:rPr>
          <w:rFonts w:hint="eastAsia" w:ascii="宋体" w:hAnsi="宋体" w:cs="宋体"/>
          <w:color w:val="auto"/>
          <w:sz w:val="21"/>
          <w:szCs w:val="21"/>
          <w:highlight w:val="none"/>
        </w:rPr>
        <w:t>1</w:t>
      </w:r>
      <w:r>
        <w:rPr>
          <w:rFonts w:ascii="宋体" w:hAnsi="宋体" w:cs="宋体"/>
          <w:color w:val="auto"/>
          <w:sz w:val="21"/>
          <w:szCs w:val="21"/>
          <w:highlight w:val="none"/>
        </w:rPr>
        <w:t>2.2</w:t>
      </w:r>
      <w:bookmarkEnd w:id="17"/>
      <w:r>
        <w:rPr>
          <w:rFonts w:hint="eastAsia" w:ascii="宋体" w:hAnsi="宋体" w:cs="宋体"/>
          <w:color w:val="auto"/>
          <w:sz w:val="21"/>
          <w:szCs w:val="21"/>
          <w:highlight w:val="none"/>
        </w:rPr>
        <w:t>投标人应按照招标文件提供的投标文件格式及顺序要求编写投标文件，投标人提交的投标文件构成如下：</w:t>
      </w:r>
    </w:p>
    <w:p w14:paraId="4153D7FE">
      <w:pPr>
        <w:ind w:firstLine="602" w:firstLineChars="250"/>
        <w:rPr>
          <w:rFonts w:ascii="宋体" w:hAnsi="宋体" w:cs="宋体"/>
          <w:b/>
          <w:bCs/>
          <w:color w:val="auto"/>
          <w:kern w:val="0"/>
          <w:szCs w:val="24"/>
          <w:highlight w:val="none"/>
        </w:rPr>
      </w:pPr>
      <w:r>
        <w:rPr>
          <w:rFonts w:hint="eastAsia" w:ascii="宋体" w:hAnsi="宋体" w:cs="宋体"/>
          <w:b/>
          <w:bCs/>
          <w:color w:val="auto"/>
          <w:kern w:val="0"/>
          <w:szCs w:val="24"/>
          <w:highlight w:val="none"/>
        </w:rPr>
        <w:t>（1）资格证明文件部分的编制（应包括以下内容）</w:t>
      </w:r>
    </w:p>
    <w:p w14:paraId="43497A09">
      <w:pPr>
        <w:pStyle w:val="69"/>
        <w:numPr>
          <w:ilvl w:val="0"/>
          <w:numId w:val="3"/>
        </w:numPr>
        <w:ind w:firstLineChars="0"/>
        <w:rPr>
          <w:rFonts w:ascii="宋体" w:hAnsi="宋体" w:cs="宋体"/>
          <w:b/>
          <w:bCs/>
          <w:color w:val="auto"/>
          <w:kern w:val="0"/>
          <w:sz w:val="21"/>
          <w:szCs w:val="21"/>
          <w:highlight w:val="none"/>
        </w:rPr>
      </w:pPr>
      <w:r>
        <w:rPr>
          <w:rFonts w:hint="eastAsia" w:ascii="宋体" w:hAnsi="宋体" w:cs="宋体"/>
          <w:b/>
          <w:bCs/>
          <w:color w:val="auto"/>
          <w:kern w:val="0"/>
          <w:sz w:val="21"/>
          <w:szCs w:val="21"/>
          <w:highlight w:val="none"/>
        </w:rPr>
        <w:t>法定代表人授权书</w:t>
      </w:r>
    </w:p>
    <w:p w14:paraId="24BB714C">
      <w:pPr>
        <w:pStyle w:val="69"/>
        <w:ind w:left="1389" w:firstLine="0" w:firstLineChars="0"/>
        <w:rPr>
          <w:rFonts w:ascii="宋体" w:hAnsi="宋体" w:cs="宋体"/>
          <w:b/>
          <w:bCs/>
          <w:color w:val="auto"/>
          <w:kern w:val="0"/>
          <w:sz w:val="21"/>
          <w:szCs w:val="21"/>
          <w:highlight w:val="none"/>
        </w:rPr>
      </w:pPr>
      <w:r>
        <w:rPr>
          <w:rFonts w:hint="eastAsia" w:ascii="宋体" w:hAnsi="宋体" w:cs="宋体"/>
          <w:b/>
          <w:bCs/>
          <w:color w:val="auto"/>
          <w:kern w:val="0"/>
          <w:sz w:val="21"/>
          <w:szCs w:val="21"/>
          <w:highlight w:val="none"/>
        </w:rPr>
        <w:t>法定代表人资格证明书</w:t>
      </w:r>
    </w:p>
    <w:p w14:paraId="2AC16634">
      <w:pPr>
        <w:pStyle w:val="69"/>
        <w:ind w:left="1389" w:firstLine="0" w:firstLineChars="0"/>
        <w:rPr>
          <w:rFonts w:ascii="宋体" w:hAnsi="宋体" w:cs="宋体"/>
          <w:b/>
          <w:bCs/>
          <w:color w:val="auto"/>
          <w:kern w:val="0"/>
          <w:sz w:val="21"/>
          <w:szCs w:val="21"/>
          <w:highlight w:val="none"/>
        </w:rPr>
      </w:pPr>
      <w:r>
        <w:rPr>
          <w:rFonts w:hint="eastAsia" w:ascii="宋体" w:hAnsi="宋体" w:cs="宋体"/>
          <w:b/>
          <w:bCs/>
          <w:color w:val="auto"/>
          <w:kern w:val="0"/>
          <w:sz w:val="21"/>
          <w:szCs w:val="21"/>
          <w:highlight w:val="none"/>
        </w:rPr>
        <w:t>法定代表人授权委托书（非法定代表人参与提供）</w:t>
      </w:r>
    </w:p>
    <w:p w14:paraId="6CFA4053">
      <w:pPr>
        <w:pStyle w:val="69"/>
        <w:numPr>
          <w:ilvl w:val="0"/>
          <w:numId w:val="3"/>
        </w:numPr>
        <w:ind w:firstLineChars="0"/>
        <w:rPr>
          <w:rFonts w:ascii="宋体" w:hAnsi="宋体" w:cs="宋体"/>
          <w:b/>
          <w:bCs/>
          <w:color w:val="auto"/>
          <w:kern w:val="0"/>
          <w:sz w:val="21"/>
          <w:szCs w:val="21"/>
          <w:highlight w:val="none"/>
        </w:rPr>
      </w:pPr>
      <w:r>
        <w:rPr>
          <w:rFonts w:hint="eastAsia" w:ascii="宋体" w:hAnsi="宋体" w:cs="宋体"/>
          <w:b/>
          <w:bCs/>
          <w:color w:val="auto"/>
          <w:kern w:val="0"/>
          <w:sz w:val="21"/>
          <w:szCs w:val="21"/>
          <w:highlight w:val="none"/>
        </w:rPr>
        <w:t>投标人如为企业法人，须提供企业法人营业执照副本复印件；投标人如为事业单位或其他组织，须提供事业法人证书或登记证或组织机构代码证或其他有效证明文件复印件（须在有效期内）</w:t>
      </w:r>
    </w:p>
    <w:p w14:paraId="646DE728">
      <w:pPr>
        <w:pStyle w:val="69"/>
        <w:numPr>
          <w:ilvl w:val="0"/>
          <w:numId w:val="3"/>
        </w:numPr>
        <w:ind w:firstLineChars="0"/>
        <w:rPr>
          <w:rFonts w:ascii="宋体" w:hAnsi="宋体" w:cs="宋体"/>
          <w:b/>
          <w:bCs/>
          <w:color w:val="auto"/>
          <w:kern w:val="0"/>
          <w:sz w:val="21"/>
          <w:szCs w:val="21"/>
          <w:highlight w:val="none"/>
        </w:rPr>
      </w:pPr>
      <w:r>
        <w:rPr>
          <w:rFonts w:hint="eastAsia" w:ascii="宋体" w:hAnsi="宋体" w:cs="宋体"/>
          <w:b/>
          <w:bCs/>
          <w:color w:val="auto"/>
          <w:kern w:val="0"/>
          <w:sz w:val="21"/>
          <w:szCs w:val="21"/>
          <w:highlight w:val="none"/>
        </w:rPr>
        <w:t>投标人提供供应商资格声明书</w:t>
      </w:r>
    </w:p>
    <w:p w14:paraId="642116AA">
      <w:pPr>
        <w:rPr>
          <w:rFonts w:ascii="宋体" w:hAnsi="宋体" w:cs="宋体"/>
          <w:b/>
          <w:bCs/>
          <w:color w:val="auto"/>
          <w:kern w:val="0"/>
          <w:szCs w:val="24"/>
          <w:highlight w:val="none"/>
        </w:rPr>
      </w:pPr>
      <w:r>
        <w:rPr>
          <w:rFonts w:hint="eastAsia" w:ascii="宋体" w:hAnsi="宋体" w:cs="宋体"/>
          <w:b/>
          <w:bCs/>
          <w:color w:val="auto"/>
          <w:kern w:val="0"/>
          <w:szCs w:val="24"/>
          <w:highlight w:val="none"/>
        </w:rPr>
        <w:t>注：投标文件中未提供上述完整有效的资格证明文件，将导致投标无效。</w:t>
      </w:r>
    </w:p>
    <w:p w14:paraId="6779F7F3">
      <w:pPr>
        <w:ind w:firstLine="602" w:firstLineChars="250"/>
        <w:rPr>
          <w:rFonts w:ascii="宋体" w:hAnsi="宋体" w:cs="宋体"/>
          <w:b/>
          <w:bCs/>
          <w:color w:val="auto"/>
          <w:kern w:val="0"/>
          <w:szCs w:val="24"/>
          <w:highlight w:val="none"/>
        </w:rPr>
      </w:pPr>
      <w:r>
        <w:rPr>
          <w:rFonts w:hint="eastAsia" w:ascii="宋体" w:hAnsi="宋体" w:cs="宋体"/>
          <w:b/>
          <w:bCs/>
          <w:color w:val="auto"/>
          <w:kern w:val="0"/>
          <w:szCs w:val="24"/>
          <w:highlight w:val="none"/>
        </w:rPr>
        <w:t>（2）商务、技术部分（应包括以下内容）</w:t>
      </w:r>
    </w:p>
    <w:p w14:paraId="09B4FC11">
      <w:pPr>
        <w:pStyle w:val="69"/>
        <w:numPr>
          <w:ilvl w:val="0"/>
          <w:numId w:val="4"/>
        </w:numPr>
        <w:ind w:firstLineChars="0"/>
        <w:rPr>
          <w:rFonts w:ascii="宋体" w:hAnsi="宋体" w:cs="宋体"/>
          <w:b/>
          <w:bCs/>
          <w:color w:val="auto"/>
          <w:kern w:val="0"/>
          <w:sz w:val="21"/>
          <w:szCs w:val="21"/>
          <w:highlight w:val="none"/>
        </w:rPr>
      </w:pPr>
      <w:r>
        <w:rPr>
          <w:rFonts w:hint="eastAsia" w:ascii="宋体" w:hAnsi="宋体"/>
          <w:b/>
          <w:color w:val="auto"/>
          <w:highlight w:val="none"/>
        </w:rPr>
        <w:t>★</w:t>
      </w:r>
      <w:r>
        <w:rPr>
          <w:rFonts w:hint="eastAsia" w:ascii="宋体" w:hAnsi="宋体" w:cs="宋体"/>
          <w:b/>
          <w:bCs/>
          <w:color w:val="auto"/>
          <w:kern w:val="0"/>
          <w:sz w:val="21"/>
          <w:szCs w:val="21"/>
          <w:highlight w:val="none"/>
        </w:rPr>
        <w:t>投标函</w:t>
      </w:r>
    </w:p>
    <w:p w14:paraId="4FDEBA4E">
      <w:pPr>
        <w:pStyle w:val="69"/>
        <w:numPr>
          <w:ilvl w:val="0"/>
          <w:numId w:val="4"/>
        </w:numPr>
        <w:ind w:firstLineChars="0"/>
        <w:rPr>
          <w:rFonts w:ascii="宋体" w:hAnsi="宋体" w:cs="宋体"/>
          <w:b/>
          <w:bCs/>
          <w:color w:val="auto"/>
          <w:kern w:val="0"/>
          <w:sz w:val="21"/>
          <w:szCs w:val="21"/>
          <w:highlight w:val="none"/>
        </w:rPr>
      </w:pPr>
      <w:r>
        <w:rPr>
          <w:rFonts w:hint="eastAsia" w:ascii="宋体" w:hAnsi="宋体"/>
          <w:b/>
          <w:color w:val="auto"/>
          <w:highlight w:val="none"/>
        </w:rPr>
        <w:t>★</w:t>
      </w:r>
      <w:r>
        <w:rPr>
          <w:rFonts w:hint="eastAsia" w:ascii="宋体" w:hAnsi="宋体" w:cs="宋体"/>
          <w:b/>
          <w:bCs/>
          <w:color w:val="auto"/>
          <w:kern w:val="0"/>
          <w:sz w:val="21"/>
          <w:szCs w:val="21"/>
          <w:highlight w:val="none"/>
        </w:rPr>
        <w:t>开标一览表</w:t>
      </w:r>
    </w:p>
    <w:p w14:paraId="425DFE80">
      <w:pPr>
        <w:pStyle w:val="69"/>
        <w:numPr>
          <w:ilvl w:val="0"/>
          <w:numId w:val="4"/>
        </w:numPr>
        <w:ind w:firstLineChars="0"/>
        <w:rPr>
          <w:rFonts w:ascii="宋体" w:hAnsi="宋体" w:cs="宋体"/>
          <w:b/>
          <w:bCs/>
          <w:color w:val="auto"/>
          <w:kern w:val="0"/>
          <w:sz w:val="21"/>
          <w:szCs w:val="21"/>
          <w:highlight w:val="none"/>
        </w:rPr>
      </w:pPr>
      <w:r>
        <w:rPr>
          <w:rFonts w:hint="eastAsia" w:ascii="宋体" w:hAnsi="宋体" w:cs="宋体"/>
          <w:b/>
          <w:bCs/>
          <w:color w:val="auto"/>
          <w:kern w:val="0"/>
          <w:sz w:val="21"/>
          <w:szCs w:val="21"/>
          <w:highlight w:val="none"/>
        </w:rPr>
        <w:t>分项报价表（如有）</w:t>
      </w:r>
    </w:p>
    <w:p w14:paraId="41E352BF">
      <w:pPr>
        <w:pStyle w:val="69"/>
        <w:numPr>
          <w:ilvl w:val="0"/>
          <w:numId w:val="4"/>
        </w:numPr>
        <w:ind w:firstLineChars="0"/>
        <w:rPr>
          <w:rFonts w:ascii="宋体" w:hAnsi="宋体" w:cs="宋体"/>
          <w:b/>
          <w:bCs/>
          <w:color w:val="auto"/>
          <w:kern w:val="0"/>
          <w:sz w:val="21"/>
          <w:szCs w:val="21"/>
          <w:highlight w:val="none"/>
        </w:rPr>
      </w:pPr>
      <w:r>
        <w:rPr>
          <w:rFonts w:hint="eastAsia" w:ascii="宋体" w:hAnsi="宋体"/>
          <w:b/>
          <w:color w:val="auto"/>
          <w:highlight w:val="none"/>
        </w:rPr>
        <w:t>★</w:t>
      </w:r>
      <w:r>
        <w:rPr>
          <w:rFonts w:hint="eastAsia" w:ascii="宋体" w:hAnsi="宋体" w:cs="宋体"/>
          <w:b/>
          <w:bCs/>
          <w:color w:val="auto"/>
          <w:kern w:val="0"/>
          <w:sz w:val="21"/>
          <w:szCs w:val="21"/>
          <w:highlight w:val="none"/>
        </w:rPr>
        <w:t>投标保证金证明文件</w:t>
      </w:r>
    </w:p>
    <w:p w14:paraId="68C4ACA1">
      <w:pPr>
        <w:pStyle w:val="69"/>
        <w:numPr>
          <w:ilvl w:val="0"/>
          <w:numId w:val="4"/>
        </w:numPr>
        <w:ind w:firstLineChars="0"/>
        <w:rPr>
          <w:rFonts w:ascii="宋体" w:hAnsi="宋体" w:cs="宋体"/>
          <w:b/>
          <w:bCs/>
          <w:color w:val="auto"/>
          <w:kern w:val="0"/>
          <w:sz w:val="21"/>
          <w:szCs w:val="21"/>
          <w:highlight w:val="none"/>
        </w:rPr>
      </w:pPr>
      <w:r>
        <w:rPr>
          <w:rFonts w:hint="eastAsia" w:ascii="宋体" w:hAnsi="宋体"/>
          <w:b/>
          <w:color w:val="auto"/>
          <w:highlight w:val="none"/>
        </w:rPr>
        <w:t>★</w:t>
      </w:r>
      <w:r>
        <w:rPr>
          <w:rFonts w:hint="eastAsia" w:ascii="宋体" w:hAnsi="宋体" w:cs="宋体"/>
          <w:b/>
          <w:bCs/>
          <w:color w:val="auto"/>
          <w:kern w:val="0"/>
          <w:sz w:val="21"/>
          <w:szCs w:val="21"/>
          <w:highlight w:val="none"/>
        </w:rPr>
        <w:t>商务条款响应/偏离表</w:t>
      </w:r>
    </w:p>
    <w:p w14:paraId="70364E97">
      <w:pPr>
        <w:pStyle w:val="69"/>
        <w:numPr>
          <w:ilvl w:val="0"/>
          <w:numId w:val="4"/>
        </w:numPr>
        <w:ind w:firstLineChars="0"/>
        <w:rPr>
          <w:rFonts w:ascii="宋体" w:hAnsi="宋体" w:cs="宋体"/>
          <w:b/>
          <w:bCs/>
          <w:color w:val="auto"/>
          <w:kern w:val="0"/>
          <w:sz w:val="21"/>
          <w:szCs w:val="21"/>
          <w:highlight w:val="none"/>
        </w:rPr>
      </w:pPr>
      <w:r>
        <w:rPr>
          <w:rFonts w:hint="eastAsia" w:ascii="宋体" w:hAnsi="宋体"/>
          <w:b/>
          <w:color w:val="auto"/>
          <w:highlight w:val="none"/>
        </w:rPr>
        <w:t>★</w:t>
      </w:r>
      <w:r>
        <w:rPr>
          <w:rFonts w:hint="eastAsia" w:ascii="宋体" w:hAnsi="宋体" w:cs="宋体"/>
          <w:b/>
          <w:bCs/>
          <w:color w:val="auto"/>
          <w:kern w:val="0"/>
          <w:sz w:val="21"/>
          <w:szCs w:val="21"/>
          <w:highlight w:val="none"/>
        </w:rPr>
        <w:t>技术条款响应及偏离表</w:t>
      </w:r>
    </w:p>
    <w:p w14:paraId="06F449A1">
      <w:pPr>
        <w:pStyle w:val="69"/>
        <w:numPr>
          <w:ilvl w:val="0"/>
          <w:numId w:val="4"/>
        </w:numPr>
        <w:ind w:firstLineChars="0"/>
        <w:rPr>
          <w:rFonts w:ascii="宋体" w:hAnsi="宋体" w:cs="宋体"/>
          <w:b/>
          <w:bCs/>
          <w:color w:val="auto"/>
          <w:kern w:val="0"/>
          <w:sz w:val="21"/>
          <w:szCs w:val="21"/>
          <w:highlight w:val="none"/>
        </w:rPr>
      </w:pPr>
      <w:r>
        <w:rPr>
          <w:rFonts w:hint="eastAsia" w:ascii="宋体" w:hAnsi="宋体" w:cs="宋体"/>
          <w:b/>
          <w:bCs/>
          <w:color w:val="auto"/>
          <w:kern w:val="0"/>
          <w:sz w:val="21"/>
          <w:szCs w:val="21"/>
          <w:highlight w:val="none"/>
        </w:rPr>
        <w:t>商务、技术响应文件（依据第三章“评标办法”）</w:t>
      </w:r>
    </w:p>
    <w:p w14:paraId="209E59B9">
      <w:pPr>
        <w:pStyle w:val="69"/>
        <w:numPr>
          <w:ilvl w:val="0"/>
          <w:numId w:val="4"/>
        </w:numPr>
        <w:ind w:firstLineChars="0"/>
        <w:rPr>
          <w:rFonts w:ascii="宋体" w:hAnsi="宋体" w:cs="宋体"/>
          <w:b/>
          <w:bCs/>
          <w:color w:val="auto"/>
          <w:kern w:val="0"/>
          <w:sz w:val="21"/>
          <w:szCs w:val="21"/>
          <w:highlight w:val="none"/>
        </w:rPr>
      </w:pPr>
      <w:r>
        <w:rPr>
          <w:rFonts w:hint="eastAsia" w:ascii="宋体" w:hAnsi="宋体" w:cs="宋体"/>
          <w:b/>
          <w:bCs/>
          <w:color w:val="auto"/>
          <w:kern w:val="0"/>
          <w:sz w:val="21"/>
          <w:szCs w:val="21"/>
          <w:highlight w:val="none"/>
        </w:rPr>
        <w:t>招标文件要求的其它内容</w:t>
      </w:r>
    </w:p>
    <w:p w14:paraId="57C9B72C">
      <w:pPr>
        <w:pStyle w:val="69"/>
        <w:numPr>
          <w:ilvl w:val="0"/>
          <w:numId w:val="4"/>
        </w:numPr>
        <w:ind w:firstLineChars="0"/>
        <w:rPr>
          <w:rFonts w:ascii="宋体" w:hAnsi="宋体" w:cs="宋体"/>
          <w:b/>
          <w:bCs/>
          <w:color w:val="auto"/>
          <w:kern w:val="0"/>
          <w:sz w:val="21"/>
          <w:szCs w:val="21"/>
          <w:highlight w:val="none"/>
        </w:rPr>
      </w:pPr>
      <w:r>
        <w:rPr>
          <w:rFonts w:hint="eastAsia" w:ascii="宋体" w:hAnsi="宋体" w:cs="宋体"/>
          <w:b/>
          <w:bCs/>
          <w:color w:val="auto"/>
          <w:kern w:val="0"/>
          <w:sz w:val="21"/>
          <w:szCs w:val="21"/>
          <w:highlight w:val="none"/>
        </w:rPr>
        <w:t>投标人认为其它需要说明或提供的文件</w:t>
      </w:r>
    </w:p>
    <w:p w14:paraId="1DD273D5">
      <w:pPr>
        <w:rPr>
          <w:rFonts w:ascii="宋体" w:hAnsi="宋体" w:cs="宋体"/>
          <w:b/>
          <w:bCs/>
          <w:color w:val="auto"/>
          <w:kern w:val="0"/>
          <w:sz w:val="21"/>
          <w:szCs w:val="21"/>
          <w:highlight w:val="none"/>
        </w:rPr>
      </w:pPr>
      <w:r>
        <w:rPr>
          <w:rFonts w:hint="eastAsia" w:ascii="宋体"/>
          <w:b/>
          <w:color w:val="auto"/>
          <w:highlight w:val="none"/>
          <w:u w:val="single"/>
        </w:rPr>
        <w:t>注：投标文件中未提供上述加注★的</w:t>
      </w:r>
      <w:r>
        <w:rPr>
          <w:rFonts w:ascii="宋体"/>
          <w:b/>
          <w:color w:val="auto"/>
          <w:highlight w:val="none"/>
          <w:u w:val="single"/>
        </w:rPr>
        <w:t>完整有效的</w:t>
      </w:r>
      <w:r>
        <w:rPr>
          <w:rFonts w:hint="eastAsia" w:ascii="宋体"/>
          <w:b/>
          <w:color w:val="auto"/>
          <w:highlight w:val="none"/>
          <w:u w:val="single"/>
        </w:rPr>
        <w:t>文件，将导致投标无效。</w:t>
      </w:r>
    </w:p>
    <w:p w14:paraId="44BC3358">
      <w:pPr>
        <w:autoSpaceDE w:val="0"/>
        <w:autoSpaceDN w:val="0"/>
        <w:adjustRightInd w:val="0"/>
        <w:ind w:left="525" w:hanging="525" w:hangingChars="250"/>
        <w:rPr>
          <w:rFonts w:ascii="宋体" w:hAnsi="宋体" w:cs="宋体"/>
          <w:color w:val="auto"/>
          <w:sz w:val="21"/>
          <w:szCs w:val="21"/>
          <w:highlight w:val="none"/>
        </w:rPr>
      </w:pPr>
      <w:r>
        <w:rPr>
          <w:rFonts w:hint="eastAsia" w:ascii="宋体" w:hAnsi="宋体" w:cs="宋体"/>
          <w:color w:val="auto"/>
          <w:sz w:val="21"/>
          <w:szCs w:val="21"/>
          <w:highlight w:val="none"/>
        </w:rPr>
        <w:t>12.2投标人应按12.1条规定的顺序编排，并编写“投标文件目录”。</w:t>
      </w:r>
    </w:p>
    <w:p w14:paraId="72C1C76E">
      <w:pPr>
        <w:rPr>
          <w:rFonts w:ascii="宋体" w:hAnsi="宋体" w:cs="宋体"/>
          <w:b/>
          <w:bCs/>
          <w:color w:val="auto"/>
          <w:sz w:val="21"/>
          <w:szCs w:val="21"/>
          <w:highlight w:val="none"/>
        </w:rPr>
      </w:pPr>
      <w:r>
        <w:rPr>
          <w:rFonts w:hint="eastAsia" w:ascii="宋体" w:hAnsi="宋体" w:cs="宋体"/>
          <w:b/>
          <w:bCs/>
          <w:color w:val="auto"/>
          <w:sz w:val="21"/>
          <w:szCs w:val="21"/>
          <w:highlight w:val="none"/>
        </w:rPr>
        <w:t>13.证明投标人合格和资格的文件</w:t>
      </w:r>
    </w:p>
    <w:p w14:paraId="715BD50C">
      <w:pPr>
        <w:ind w:left="525" w:hanging="525" w:hangingChars="250"/>
        <w:rPr>
          <w:rFonts w:ascii="宋体" w:hAnsi="宋体" w:cs="宋体"/>
          <w:color w:val="auto"/>
          <w:sz w:val="21"/>
          <w:szCs w:val="21"/>
          <w:highlight w:val="none"/>
        </w:rPr>
      </w:pPr>
      <w:bookmarkStart w:id="18" w:name="_Toc286758320"/>
      <w:r>
        <w:rPr>
          <w:rFonts w:hint="eastAsia" w:ascii="宋体" w:hAnsi="宋体" w:cs="宋体"/>
          <w:color w:val="auto"/>
          <w:sz w:val="21"/>
          <w:szCs w:val="21"/>
          <w:highlight w:val="none"/>
        </w:rPr>
        <w:t>13.1投标人应按《投标人须知前附表》要求提交证明其有资格参加投标和中标后有能力履行合同的文件，并作为其投标文件的一部分。本次招标是否允许联合体投标见《</w:t>
      </w:r>
      <w:r>
        <w:rPr>
          <w:rFonts w:hint="eastAsia" w:ascii="宋体" w:hAnsi="宋体" w:cs="宋体"/>
          <w:b/>
          <w:color w:val="auto"/>
          <w:sz w:val="21"/>
          <w:szCs w:val="21"/>
          <w:highlight w:val="none"/>
        </w:rPr>
        <w:t>投标人须知前附表</w:t>
      </w:r>
      <w:r>
        <w:rPr>
          <w:rFonts w:hint="eastAsia" w:ascii="宋体" w:hAnsi="宋体" w:cs="宋体"/>
          <w:color w:val="auto"/>
          <w:sz w:val="21"/>
          <w:szCs w:val="21"/>
          <w:highlight w:val="none"/>
        </w:rPr>
        <w:t>》，如果允许联合体投标，应提交联合体各方的资格证明文件、联合体投标协议并注明联合体主体及各方拟承担的工作和责任，并承诺一旦中标联合体各方将向招标人承担连带责任，</w:t>
      </w:r>
      <w:r>
        <w:rPr>
          <w:rFonts w:hint="eastAsia" w:ascii="宋体" w:hAnsi="宋体" w:cs="宋体"/>
          <w:b/>
          <w:color w:val="auto"/>
          <w:sz w:val="21"/>
          <w:szCs w:val="21"/>
          <w:highlight w:val="none"/>
        </w:rPr>
        <w:t>否则投标无效。</w:t>
      </w:r>
    </w:p>
    <w:p w14:paraId="793C46B7">
      <w:pPr>
        <w:ind w:left="525" w:hanging="525" w:hangingChars="250"/>
        <w:rPr>
          <w:rFonts w:ascii="宋体" w:hAnsi="宋体" w:cs="宋体"/>
          <w:color w:val="auto"/>
          <w:sz w:val="21"/>
          <w:szCs w:val="21"/>
          <w:highlight w:val="none"/>
        </w:rPr>
      </w:pPr>
      <w:r>
        <w:rPr>
          <w:rFonts w:hint="eastAsia" w:ascii="宋体" w:hAnsi="宋体" w:cs="宋体"/>
          <w:color w:val="auto"/>
          <w:sz w:val="21"/>
          <w:szCs w:val="21"/>
          <w:highlight w:val="none"/>
        </w:rPr>
        <w:t>13.2在招标过程中，投标人发生合并、分立、破产等重大变化时，应当及时书面告知招标人。</w:t>
      </w:r>
    </w:p>
    <w:p w14:paraId="7073A270">
      <w:pPr>
        <w:rPr>
          <w:rFonts w:ascii="宋体" w:hAnsi="宋体" w:cs="宋体"/>
          <w:b/>
          <w:bCs/>
          <w:color w:val="auto"/>
          <w:sz w:val="21"/>
          <w:szCs w:val="21"/>
          <w:highlight w:val="none"/>
        </w:rPr>
      </w:pPr>
      <w:r>
        <w:rPr>
          <w:rFonts w:hint="eastAsia" w:ascii="宋体" w:hAnsi="宋体" w:cs="宋体"/>
          <w:b/>
          <w:bCs/>
          <w:color w:val="auto"/>
          <w:sz w:val="21"/>
          <w:szCs w:val="21"/>
          <w:highlight w:val="none"/>
        </w:rPr>
        <w:t>14.</w:t>
      </w:r>
      <w:bookmarkEnd w:id="18"/>
      <w:r>
        <w:rPr>
          <w:rFonts w:hint="eastAsia" w:ascii="宋体" w:hAnsi="宋体" w:cs="宋体"/>
          <w:b/>
          <w:bCs/>
          <w:color w:val="auto"/>
          <w:sz w:val="21"/>
          <w:szCs w:val="21"/>
          <w:highlight w:val="none"/>
        </w:rPr>
        <w:t>证明货物及服务符合招标文件规定的文件</w:t>
      </w:r>
    </w:p>
    <w:p w14:paraId="44A73943">
      <w:pPr>
        <w:rPr>
          <w:rFonts w:ascii="宋体" w:hAnsi="宋体" w:cs="宋体"/>
          <w:b/>
          <w:bCs/>
          <w:color w:val="auto"/>
          <w:sz w:val="21"/>
          <w:szCs w:val="21"/>
          <w:highlight w:val="none"/>
        </w:rPr>
      </w:pPr>
      <w:bookmarkStart w:id="19" w:name="_Toc286758321"/>
      <w:r>
        <w:rPr>
          <w:rFonts w:hint="eastAsia" w:ascii="宋体" w:hAnsi="宋体" w:cs="宋体"/>
          <w:color w:val="auto"/>
          <w:sz w:val="21"/>
          <w:szCs w:val="21"/>
          <w:highlight w:val="none"/>
        </w:rPr>
        <w:t>14.1 供应商应提交证明文件证明其所提供的货物及与之相关的服务符合招标文件的规定，并作为投标响应文件的一部分。</w:t>
      </w:r>
    </w:p>
    <w:p w14:paraId="0B61D6CA">
      <w:pPr>
        <w:rPr>
          <w:rFonts w:ascii="宋体" w:hAnsi="宋体" w:cs="宋体"/>
          <w:b/>
          <w:bCs/>
          <w:color w:val="auto"/>
          <w:sz w:val="21"/>
          <w:szCs w:val="21"/>
          <w:highlight w:val="none"/>
        </w:rPr>
      </w:pPr>
      <w:r>
        <w:rPr>
          <w:rFonts w:hint="eastAsia" w:ascii="宋体" w:hAnsi="宋体" w:cs="宋体"/>
          <w:color w:val="auto"/>
          <w:sz w:val="21"/>
          <w:szCs w:val="21"/>
          <w:highlight w:val="none"/>
        </w:rPr>
        <w:t>14.2证明货物及服务与招标文件一致的文件可以是文字资料、图纸和数据，包括但不限于：</w:t>
      </w:r>
    </w:p>
    <w:p w14:paraId="3D35A033">
      <w:pPr>
        <w:ind w:firstLine="420" w:firstLineChars="200"/>
        <w:rPr>
          <w:rFonts w:ascii="宋体" w:hAnsi="宋体" w:cs="宋体"/>
          <w:color w:val="auto"/>
          <w:sz w:val="21"/>
          <w:szCs w:val="21"/>
          <w:highlight w:val="none"/>
        </w:rPr>
      </w:pPr>
      <w:r>
        <w:rPr>
          <w:rFonts w:hint="eastAsia" w:ascii="宋体" w:hAnsi="宋体" w:cs="宋体"/>
          <w:color w:val="auto"/>
          <w:sz w:val="21"/>
          <w:szCs w:val="21"/>
          <w:highlight w:val="none"/>
        </w:rPr>
        <w:t>1）对照招标文件采购需求，逐条说明所提供货物及服务已对招标人的采购需求做出了实质性的响应，或申明与采购需求条文的偏差和例外。特别对于有具体参数要求的指标；</w:t>
      </w:r>
    </w:p>
    <w:p w14:paraId="60A5BFFF">
      <w:pPr>
        <w:ind w:firstLine="420" w:firstLineChars="200"/>
        <w:rPr>
          <w:rFonts w:ascii="宋体" w:hAnsi="宋体" w:cs="宋体"/>
          <w:color w:val="auto"/>
          <w:sz w:val="21"/>
          <w:szCs w:val="21"/>
          <w:highlight w:val="none"/>
        </w:rPr>
      </w:pPr>
      <w:r>
        <w:rPr>
          <w:rFonts w:hint="eastAsia" w:ascii="宋体" w:hAnsi="宋体" w:cs="宋体"/>
          <w:color w:val="auto"/>
          <w:sz w:val="21"/>
          <w:szCs w:val="21"/>
          <w:highlight w:val="none"/>
        </w:rPr>
        <w:t>2)履约期间及质保期内正常、连续地使用所必须的备件和专用工具清单，包括备件和专用工具的货源及现行价格；</w:t>
      </w:r>
    </w:p>
    <w:p w14:paraId="35D7BCA4">
      <w:pPr>
        <w:ind w:firstLine="420" w:firstLineChars="200"/>
        <w:rPr>
          <w:rFonts w:ascii="宋体" w:hAnsi="宋体" w:cs="宋体"/>
          <w:color w:val="auto"/>
          <w:sz w:val="21"/>
          <w:szCs w:val="21"/>
          <w:highlight w:val="none"/>
        </w:rPr>
      </w:pPr>
      <w:r>
        <w:rPr>
          <w:rFonts w:hint="eastAsia" w:ascii="宋体" w:hAnsi="宋体" w:cs="宋体"/>
          <w:color w:val="auto"/>
          <w:sz w:val="21"/>
          <w:szCs w:val="21"/>
          <w:highlight w:val="none"/>
        </w:rPr>
        <w:t>3）本条所指证明文件不得为对招标文件相关部分的文字、图标的复制；</w:t>
      </w:r>
    </w:p>
    <w:p w14:paraId="2CAC6000">
      <w:pPr>
        <w:ind w:firstLine="420" w:firstLineChars="200"/>
        <w:rPr>
          <w:rFonts w:ascii="宋体" w:hAnsi="宋体" w:cs="宋体"/>
          <w:b/>
          <w:bCs/>
          <w:color w:val="auto"/>
          <w:sz w:val="21"/>
          <w:szCs w:val="21"/>
          <w:highlight w:val="none"/>
        </w:rPr>
      </w:pPr>
      <w:r>
        <w:rPr>
          <w:rFonts w:hint="eastAsia" w:ascii="宋体" w:hAnsi="宋体" w:cs="宋体"/>
          <w:color w:val="auto"/>
          <w:sz w:val="21"/>
          <w:szCs w:val="21"/>
          <w:highlight w:val="none"/>
        </w:rPr>
        <w:t>4）投标人认为的其他必要内容。</w:t>
      </w:r>
    </w:p>
    <w:p w14:paraId="1A9E4E95">
      <w:pPr>
        <w:rPr>
          <w:rFonts w:ascii="宋体" w:hAnsi="宋体" w:cs="宋体"/>
          <w:b/>
          <w:bCs/>
          <w:color w:val="auto"/>
          <w:sz w:val="21"/>
          <w:szCs w:val="21"/>
          <w:highlight w:val="none"/>
        </w:rPr>
      </w:pPr>
      <w:r>
        <w:rPr>
          <w:rFonts w:hint="eastAsia" w:ascii="宋体" w:hAnsi="宋体" w:cs="宋体"/>
          <w:b/>
          <w:bCs/>
          <w:color w:val="auto"/>
          <w:sz w:val="21"/>
          <w:szCs w:val="21"/>
          <w:highlight w:val="none"/>
        </w:rPr>
        <w:t>15.投标报价</w:t>
      </w:r>
      <w:bookmarkEnd w:id="19"/>
    </w:p>
    <w:p w14:paraId="2A4F596E">
      <w:pPr>
        <w:rPr>
          <w:rFonts w:ascii="宋体" w:hAnsi="宋体" w:cs="宋体"/>
          <w:color w:val="auto"/>
          <w:sz w:val="21"/>
          <w:szCs w:val="21"/>
          <w:highlight w:val="none"/>
        </w:rPr>
      </w:pPr>
      <w:bookmarkStart w:id="20" w:name="_Toc286758322"/>
      <w:r>
        <w:rPr>
          <w:rFonts w:hint="eastAsia" w:ascii="宋体" w:hAnsi="宋体" w:cs="宋体"/>
          <w:color w:val="auto"/>
          <w:sz w:val="21"/>
          <w:szCs w:val="21"/>
          <w:highlight w:val="none"/>
        </w:rPr>
        <w:t>15.1所有投标均以人民币报价。投标人的投标报价应遵守《中华人民共和国价格法》。</w:t>
      </w:r>
    </w:p>
    <w:p w14:paraId="1D3D3C5F">
      <w:pPr>
        <w:ind w:left="420" w:hanging="420" w:hangingChars="200"/>
        <w:rPr>
          <w:rFonts w:ascii="宋体" w:hAnsi="宋体" w:cs="宋体"/>
          <w:color w:val="auto"/>
          <w:sz w:val="21"/>
          <w:szCs w:val="21"/>
          <w:highlight w:val="none"/>
        </w:rPr>
      </w:pPr>
      <w:r>
        <w:rPr>
          <w:rFonts w:hint="eastAsia" w:ascii="宋体" w:hAnsi="宋体" w:cs="宋体"/>
          <w:color w:val="auto"/>
          <w:sz w:val="21"/>
          <w:szCs w:val="21"/>
          <w:highlight w:val="none"/>
        </w:rPr>
        <w:t>15.2投标人应按开标一览表和分项报价表（统一格式）中的内容填写单价、总价及其他事项。投标总价中不得包含招标文件要求以外的内容，否则，在评标时不予核减。</w:t>
      </w:r>
      <w:r>
        <w:rPr>
          <w:rFonts w:hint="eastAsia" w:ascii="宋体" w:hAnsi="宋体" w:cs="宋体"/>
          <w:b/>
          <w:color w:val="auto"/>
          <w:sz w:val="21"/>
          <w:szCs w:val="21"/>
          <w:highlight w:val="none"/>
        </w:rPr>
        <w:t>若投标人不同意，投标无效。</w:t>
      </w:r>
    </w:p>
    <w:p w14:paraId="5B21D739">
      <w:pPr>
        <w:ind w:left="420" w:hanging="420" w:hangingChars="200"/>
        <w:rPr>
          <w:rFonts w:ascii="宋体" w:hAnsi="宋体" w:cs="宋体"/>
          <w:color w:val="auto"/>
          <w:sz w:val="21"/>
          <w:szCs w:val="21"/>
          <w:highlight w:val="none"/>
        </w:rPr>
      </w:pPr>
      <w:r>
        <w:rPr>
          <w:rFonts w:hint="eastAsia" w:ascii="宋体" w:hAnsi="宋体" w:cs="宋体"/>
          <w:color w:val="auto"/>
          <w:sz w:val="21"/>
          <w:szCs w:val="21"/>
          <w:highlight w:val="none"/>
        </w:rPr>
        <w:t>15.3投标人的投标总报价中应包括但不限于</w:t>
      </w:r>
      <w:r>
        <w:rPr>
          <w:rFonts w:hint="eastAsia" w:ascii="宋体" w:hAnsi="宋体" w:cs="宋体"/>
          <w:b/>
          <w:bCs/>
          <w:color w:val="auto"/>
          <w:sz w:val="21"/>
          <w:szCs w:val="21"/>
          <w:highlight w:val="none"/>
          <w:lang w:val="zh-CN"/>
        </w:rPr>
        <w:t>实现招标文件中第四章《采购需求》而支付的一切费用及</w:t>
      </w:r>
      <w:r>
        <w:rPr>
          <w:rFonts w:hint="eastAsia" w:ascii="宋体" w:hAnsi="宋体" w:cs="宋体"/>
          <w:b/>
          <w:color w:val="auto"/>
          <w:sz w:val="21"/>
          <w:szCs w:val="21"/>
          <w:highlight w:val="none"/>
        </w:rPr>
        <w:t>招标文件中规定的投标人应承担的其他费用</w:t>
      </w:r>
      <w:r>
        <w:rPr>
          <w:rFonts w:hint="eastAsia" w:ascii="宋体" w:hAnsi="宋体" w:cs="宋体"/>
          <w:color w:val="auto"/>
          <w:sz w:val="21"/>
          <w:szCs w:val="21"/>
          <w:highlight w:val="none"/>
        </w:rPr>
        <w:t>。否则投标无效。</w:t>
      </w:r>
    </w:p>
    <w:p w14:paraId="7CD95633">
      <w:pPr>
        <w:ind w:left="420" w:hanging="420" w:hangingChars="200"/>
        <w:rPr>
          <w:rFonts w:ascii="宋体" w:hAnsi="宋体" w:cs="宋体"/>
          <w:color w:val="auto"/>
          <w:sz w:val="21"/>
          <w:szCs w:val="21"/>
          <w:highlight w:val="none"/>
        </w:rPr>
      </w:pPr>
      <w:r>
        <w:rPr>
          <w:rFonts w:hint="eastAsia" w:ascii="宋体" w:hAnsi="宋体" w:cs="宋体"/>
          <w:color w:val="auto"/>
          <w:kern w:val="0"/>
          <w:sz w:val="21"/>
          <w:szCs w:val="21"/>
          <w:highlight w:val="none"/>
        </w:rPr>
        <w:t>15.4</w:t>
      </w:r>
      <w:r>
        <w:rPr>
          <w:rFonts w:hint="eastAsia" w:ascii="宋体" w:hAnsi="宋体" w:cs="宋体"/>
          <w:color w:val="auto"/>
          <w:sz w:val="21"/>
          <w:szCs w:val="21"/>
          <w:highlight w:val="none"/>
        </w:rPr>
        <w:t>对于投标人在投标报价中没有进行报价的项目，并且该项目在招标文件中并没有明确提出免除投标人的义务，招标人将视为该项目的价格已包含在投标报价中。</w:t>
      </w:r>
    </w:p>
    <w:p w14:paraId="6D0627C0">
      <w:pPr>
        <w:ind w:left="420" w:hanging="420" w:hangingChars="200"/>
        <w:rPr>
          <w:rFonts w:ascii="宋体" w:hAnsi="宋体" w:cs="宋体"/>
          <w:color w:val="auto"/>
          <w:sz w:val="21"/>
          <w:szCs w:val="21"/>
          <w:highlight w:val="none"/>
        </w:rPr>
      </w:pPr>
      <w:r>
        <w:rPr>
          <w:rFonts w:hint="eastAsia" w:ascii="宋体" w:hAnsi="宋体" w:cs="宋体"/>
          <w:color w:val="auto"/>
          <w:sz w:val="21"/>
          <w:szCs w:val="21"/>
          <w:highlight w:val="none"/>
        </w:rPr>
        <w:t>15.5本项目投标报价为最终报价。投标人所报的价格在合同执行过程中是固定不变的，不得以任何理由予以变更。任何包含价格调整要求的投标，将被认为是非实质性响应投标而投标无效。</w:t>
      </w:r>
    </w:p>
    <w:p w14:paraId="22990A68">
      <w:pPr>
        <w:ind w:left="420" w:hanging="420" w:hangingChars="200"/>
        <w:rPr>
          <w:rFonts w:ascii="宋体" w:hAnsi="宋体" w:cs="宋体"/>
          <w:color w:val="auto"/>
          <w:sz w:val="21"/>
          <w:szCs w:val="21"/>
          <w:highlight w:val="none"/>
        </w:rPr>
      </w:pPr>
      <w:r>
        <w:rPr>
          <w:rFonts w:hint="eastAsia" w:ascii="宋体" w:hAnsi="宋体" w:cs="宋体"/>
          <w:color w:val="auto"/>
          <w:sz w:val="21"/>
          <w:szCs w:val="21"/>
          <w:highlight w:val="none"/>
        </w:rPr>
        <w:t>15.6 招标人未响应限价要求的投标报价将不予接受，该投标文件将被视为非实质性响应予以拒绝。</w:t>
      </w:r>
    </w:p>
    <w:p w14:paraId="7CACC4FE">
      <w:pPr>
        <w:rPr>
          <w:rFonts w:ascii="宋体" w:hAnsi="宋体" w:cs="宋体"/>
          <w:color w:val="auto"/>
          <w:sz w:val="21"/>
          <w:szCs w:val="21"/>
          <w:highlight w:val="none"/>
        </w:rPr>
      </w:pPr>
      <w:r>
        <w:rPr>
          <w:rFonts w:hint="eastAsia" w:ascii="宋体" w:hAnsi="宋体" w:cs="宋体"/>
          <w:color w:val="auto"/>
          <w:sz w:val="21"/>
          <w:szCs w:val="21"/>
          <w:highlight w:val="none"/>
        </w:rPr>
        <w:t>15.7最低报价不能作为中标的保证。</w:t>
      </w:r>
    </w:p>
    <w:p w14:paraId="4A16D50C">
      <w:pPr>
        <w:rPr>
          <w:rFonts w:ascii="宋体" w:hAnsi="宋体" w:cs="宋体"/>
          <w:b/>
          <w:bCs/>
          <w:color w:val="auto"/>
          <w:sz w:val="21"/>
          <w:szCs w:val="21"/>
          <w:highlight w:val="none"/>
        </w:rPr>
      </w:pPr>
      <w:r>
        <w:rPr>
          <w:rFonts w:hint="eastAsia" w:ascii="宋体" w:hAnsi="宋体" w:cs="宋体"/>
          <w:b/>
          <w:bCs/>
          <w:color w:val="auto"/>
          <w:sz w:val="21"/>
          <w:szCs w:val="21"/>
          <w:highlight w:val="none"/>
        </w:rPr>
        <w:t>16.投标保证金</w:t>
      </w:r>
      <w:bookmarkEnd w:id="20"/>
    </w:p>
    <w:p w14:paraId="14E63306">
      <w:pPr>
        <w:ind w:left="525" w:hanging="525" w:hangingChars="250"/>
        <w:rPr>
          <w:rFonts w:ascii="宋体" w:hAnsi="宋体" w:cs="宋体"/>
          <w:bCs/>
          <w:color w:val="auto"/>
          <w:sz w:val="21"/>
          <w:szCs w:val="21"/>
          <w:highlight w:val="none"/>
        </w:rPr>
      </w:pPr>
      <w:r>
        <w:rPr>
          <w:rFonts w:hint="eastAsia" w:ascii="宋体" w:hAnsi="宋体" w:cs="宋体"/>
          <w:bCs/>
          <w:color w:val="auto"/>
          <w:sz w:val="21"/>
          <w:szCs w:val="21"/>
          <w:highlight w:val="none"/>
        </w:rPr>
        <w:t>16.1 投标人须在投标文件递交截止时间之前向招标代理机构提交“投标人须知前附表”规定的投标保证金，并作为其投标文件的一部分。投标人在汇款时务必注明所项目编号，否则，因款项用途不明导致投标无效等后果由投标人自行承担。</w:t>
      </w:r>
    </w:p>
    <w:p w14:paraId="6291609C">
      <w:pPr>
        <w:ind w:left="840" w:hanging="840" w:hangingChars="400"/>
        <w:rPr>
          <w:rFonts w:ascii="宋体" w:hAnsi="宋体" w:cs="宋体"/>
          <w:color w:val="auto"/>
          <w:sz w:val="21"/>
          <w:szCs w:val="21"/>
          <w:highlight w:val="none"/>
        </w:rPr>
      </w:pPr>
      <w:r>
        <w:rPr>
          <w:rFonts w:hint="eastAsia" w:ascii="宋体" w:hAnsi="宋体" w:cs="宋体"/>
          <w:color w:val="auto"/>
          <w:sz w:val="21"/>
          <w:szCs w:val="21"/>
          <w:highlight w:val="none"/>
        </w:rPr>
        <w:t>注：可凭银行进账单复印件作为投标凭据。</w:t>
      </w:r>
    </w:p>
    <w:p w14:paraId="100724B1">
      <w:pPr>
        <w:ind w:left="567" w:hanging="567"/>
        <w:rPr>
          <w:rFonts w:ascii="宋体" w:hAnsi="宋体" w:cs="宋体"/>
          <w:color w:val="auto"/>
          <w:sz w:val="21"/>
          <w:szCs w:val="21"/>
          <w:highlight w:val="none"/>
        </w:rPr>
      </w:pPr>
      <w:r>
        <w:rPr>
          <w:rFonts w:hint="eastAsia" w:ascii="宋体" w:hAnsi="宋体" w:cs="宋体"/>
          <w:color w:val="auto"/>
          <w:sz w:val="21"/>
          <w:szCs w:val="21"/>
          <w:highlight w:val="none"/>
        </w:rPr>
        <w:t>16.2任何未按“投标人须知第16.1条”要求提交投标保证金的投标文件</w:t>
      </w:r>
      <w:r>
        <w:rPr>
          <w:rFonts w:hint="eastAsia" w:ascii="宋体" w:hAnsi="宋体" w:cs="宋体"/>
          <w:b/>
          <w:color w:val="auto"/>
          <w:sz w:val="21"/>
          <w:szCs w:val="21"/>
          <w:highlight w:val="none"/>
        </w:rPr>
        <w:t>被视为无效。</w:t>
      </w:r>
    </w:p>
    <w:p w14:paraId="6F18FB09">
      <w:pPr>
        <w:ind w:left="567" w:hanging="567"/>
        <w:rPr>
          <w:rFonts w:ascii="宋体" w:hAnsi="宋体" w:cs="宋体"/>
          <w:color w:val="auto"/>
          <w:sz w:val="21"/>
          <w:szCs w:val="21"/>
          <w:highlight w:val="none"/>
        </w:rPr>
      </w:pPr>
      <w:r>
        <w:rPr>
          <w:rFonts w:hint="eastAsia" w:ascii="宋体" w:hAnsi="宋体" w:cs="宋体"/>
          <w:color w:val="auto"/>
          <w:sz w:val="21"/>
          <w:szCs w:val="21"/>
          <w:highlight w:val="none"/>
        </w:rPr>
        <w:t>16.3中标人的投标保证金，在中标人与招标人签订合同后5个工作日内原额退还。</w:t>
      </w:r>
    </w:p>
    <w:p w14:paraId="019E3EB7">
      <w:pPr>
        <w:ind w:left="567" w:hanging="567"/>
        <w:rPr>
          <w:rFonts w:ascii="宋体" w:hAnsi="宋体" w:cs="宋体"/>
          <w:color w:val="auto"/>
          <w:sz w:val="21"/>
          <w:szCs w:val="21"/>
          <w:highlight w:val="none"/>
        </w:rPr>
      </w:pPr>
      <w:r>
        <w:rPr>
          <w:rFonts w:hint="eastAsia" w:ascii="宋体" w:hAnsi="宋体" w:cs="宋体"/>
          <w:color w:val="auto"/>
          <w:sz w:val="21"/>
          <w:szCs w:val="21"/>
          <w:highlight w:val="none"/>
        </w:rPr>
        <w:t>16.4未中标人的投标保证金，在中标通知书发出后5个工作日内原额退还。</w:t>
      </w:r>
    </w:p>
    <w:p w14:paraId="05D36715">
      <w:pPr>
        <w:ind w:left="567" w:hanging="567"/>
        <w:rPr>
          <w:rFonts w:ascii="宋体" w:hAnsi="宋体" w:cs="宋体"/>
          <w:color w:val="auto"/>
          <w:sz w:val="21"/>
          <w:szCs w:val="21"/>
          <w:highlight w:val="none"/>
        </w:rPr>
      </w:pPr>
      <w:r>
        <w:rPr>
          <w:rFonts w:hint="eastAsia" w:ascii="宋体" w:hAnsi="宋体" w:cs="宋体"/>
          <w:color w:val="auto"/>
          <w:sz w:val="21"/>
          <w:szCs w:val="21"/>
          <w:highlight w:val="none"/>
        </w:rPr>
        <w:t>16.5 有下列情形之一的，投标保证金不予退还：</w:t>
      </w:r>
    </w:p>
    <w:p w14:paraId="6444131E">
      <w:pPr>
        <w:ind w:left="567"/>
        <w:rPr>
          <w:rFonts w:ascii="宋体" w:hAnsi="宋体" w:cs="宋体"/>
          <w:color w:val="auto"/>
          <w:sz w:val="21"/>
          <w:szCs w:val="21"/>
          <w:highlight w:val="none"/>
        </w:rPr>
      </w:pPr>
      <w:r>
        <w:rPr>
          <w:rFonts w:hint="eastAsia" w:ascii="宋体" w:hAnsi="宋体" w:cs="宋体"/>
          <w:color w:val="auto"/>
          <w:sz w:val="21"/>
          <w:szCs w:val="21"/>
          <w:highlight w:val="none"/>
        </w:rPr>
        <w:t>(1)投标人在提交投标文件截止时间后撤回投标文件的；</w:t>
      </w:r>
    </w:p>
    <w:p w14:paraId="00ABB438">
      <w:pPr>
        <w:ind w:left="567"/>
        <w:rPr>
          <w:rFonts w:ascii="宋体" w:hAnsi="宋体" w:cs="宋体"/>
          <w:color w:val="auto"/>
          <w:sz w:val="21"/>
          <w:szCs w:val="21"/>
          <w:highlight w:val="none"/>
        </w:rPr>
      </w:pPr>
      <w:r>
        <w:rPr>
          <w:rFonts w:hint="eastAsia" w:ascii="宋体" w:hAnsi="宋体" w:cs="宋体"/>
          <w:color w:val="auto"/>
          <w:sz w:val="21"/>
          <w:szCs w:val="21"/>
          <w:highlight w:val="none"/>
        </w:rPr>
        <w:t>(2)投标人在投标文件中提供虚假材料的；</w:t>
      </w:r>
    </w:p>
    <w:p w14:paraId="729A2B05">
      <w:pPr>
        <w:ind w:left="567"/>
        <w:rPr>
          <w:rFonts w:ascii="宋体" w:hAnsi="宋体" w:cs="宋体"/>
          <w:color w:val="auto"/>
          <w:sz w:val="21"/>
          <w:szCs w:val="21"/>
          <w:highlight w:val="none"/>
        </w:rPr>
      </w:pPr>
      <w:r>
        <w:rPr>
          <w:rFonts w:hint="eastAsia" w:ascii="宋体" w:hAnsi="宋体" w:cs="宋体"/>
          <w:color w:val="auto"/>
          <w:sz w:val="21"/>
          <w:szCs w:val="21"/>
          <w:highlight w:val="none"/>
        </w:rPr>
        <w:t>(3)除因不可抗力或招标文件认可的情形以外，中标人不与招标人签订合同的；</w:t>
      </w:r>
    </w:p>
    <w:p w14:paraId="38501F17">
      <w:pPr>
        <w:ind w:left="567"/>
        <w:rPr>
          <w:rFonts w:ascii="宋体" w:hAnsi="宋体" w:cs="宋体"/>
          <w:color w:val="auto"/>
          <w:kern w:val="0"/>
          <w:sz w:val="21"/>
          <w:szCs w:val="21"/>
          <w:highlight w:val="none"/>
        </w:rPr>
      </w:pPr>
      <w:r>
        <w:rPr>
          <w:rFonts w:hint="eastAsia" w:ascii="宋体" w:hAnsi="宋体" w:cs="宋体"/>
          <w:color w:val="auto"/>
          <w:sz w:val="21"/>
          <w:szCs w:val="21"/>
          <w:highlight w:val="none"/>
        </w:rPr>
        <w:t>(4)投标人与招标人、其他投标人或招标代理机构恶意串通的。</w:t>
      </w:r>
    </w:p>
    <w:p w14:paraId="6FEC9CD9">
      <w:pPr>
        <w:rPr>
          <w:rFonts w:ascii="宋体" w:hAnsi="宋体" w:cs="宋体"/>
          <w:b/>
          <w:bCs/>
          <w:color w:val="auto"/>
          <w:sz w:val="21"/>
          <w:szCs w:val="21"/>
          <w:highlight w:val="none"/>
        </w:rPr>
      </w:pPr>
      <w:bookmarkStart w:id="21" w:name="_Toc286758323"/>
      <w:r>
        <w:rPr>
          <w:rFonts w:hint="eastAsia" w:ascii="宋体" w:hAnsi="宋体" w:cs="宋体"/>
          <w:b/>
          <w:bCs/>
          <w:color w:val="auto"/>
          <w:sz w:val="21"/>
          <w:szCs w:val="21"/>
          <w:highlight w:val="none"/>
        </w:rPr>
        <w:t>17.投标有效期</w:t>
      </w:r>
      <w:bookmarkEnd w:id="21"/>
    </w:p>
    <w:p w14:paraId="39E3C2D3">
      <w:pPr>
        <w:ind w:left="525" w:hanging="525" w:hangingChars="250"/>
        <w:rPr>
          <w:rFonts w:ascii="宋体" w:hAnsi="宋体" w:cs="宋体"/>
          <w:b/>
          <w:color w:val="auto"/>
          <w:sz w:val="21"/>
          <w:szCs w:val="21"/>
          <w:highlight w:val="none"/>
        </w:rPr>
      </w:pPr>
      <w:r>
        <w:rPr>
          <w:rFonts w:hint="eastAsia" w:ascii="宋体" w:hAnsi="宋体" w:cs="宋体"/>
          <w:color w:val="auto"/>
          <w:sz w:val="21"/>
          <w:szCs w:val="21"/>
          <w:highlight w:val="none"/>
        </w:rPr>
        <w:t>17.1投标有效期为自开标之日起不少于“投标人须知前附表”规定的时间保持有效。投标有效期不足的</w:t>
      </w:r>
      <w:r>
        <w:rPr>
          <w:rFonts w:hint="eastAsia" w:ascii="宋体" w:hAnsi="宋体" w:cs="宋体"/>
          <w:b/>
          <w:color w:val="auto"/>
          <w:sz w:val="21"/>
          <w:szCs w:val="21"/>
          <w:highlight w:val="none"/>
        </w:rPr>
        <w:t>投标文件被视为无效。</w:t>
      </w:r>
    </w:p>
    <w:p w14:paraId="298FFEA4">
      <w:pPr>
        <w:rPr>
          <w:rFonts w:ascii="宋体" w:hAnsi="宋体" w:cs="宋体"/>
          <w:b/>
          <w:bCs/>
          <w:color w:val="auto"/>
          <w:sz w:val="21"/>
          <w:szCs w:val="21"/>
          <w:highlight w:val="none"/>
        </w:rPr>
      </w:pPr>
      <w:r>
        <w:rPr>
          <w:rFonts w:hint="eastAsia" w:ascii="宋体" w:hAnsi="宋体" w:cs="宋体"/>
          <w:b/>
          <w:bCs/>
          <w:color w:val="auto"/>
          <w:sz w:val="21"/>
          <w:szCs w:val="21"/>
          <w:highlight w:val="none"/>
        </w:rPr>
        <w:t>18.投标文件的签署及规定</w:t>
      </w:r>
    </w:p>
    <w:p w14:paraId="3CAED2D9">
      <w:pPr>
        <w:ind w:left="567" w:hanging="567"/>
        <w:rPr>
          <w:rFonts w:ascii="宋体" w:hAnsi="宋体" w:cs="宋体"/>
          <w:color w:val="auto"/>
          <w:sz w:val="21"/>
          <w:szCs w:val="21"/>
          <w:highlight w:val="none"/>
        </w:rPr>
      </w:pPr>
      <w:r>
        <w:rPr>
          <w:rFonts w:hint="eastAsia" w:ascii="宋体" w:hAnsi="宋体" w:cs="宋体"/>
          <w:color w:val="auto"/>
          <w:sz w:val="21"/>
          <w:szCs w:val="21"/>
          <w:highlight w:val="none"/>
        </w:rPr>
        <w:t>18.1投标人应准备一套投标文件正本和“投标人须知前附表”规定的副本。每套投标文件须清楚地标明“正本”或“副本”。若正本和副本不符，以正本为准。</w:t>
      </w:r>
    </w:p>
    <w:p w14:paraId="6B1C6FAA">
      <w:pPr>
        <w:ind w:left="567" w:hanging="567"/>
        <w:rPr>
          <w:rFonts w:ascii="宋体" w:hAnsi="宋体" w:cs="宋体"/>
          <w:color w:val="auto"/>
          <w:sz w:val="21"/>
          <w:szCs w:val="21"/>
          <w:highlight w:val="none"/>
        </w:rPr>
      </w:pPr>
      <w:r>
        <w:rPr>
          <w:rFonts w:hint="eastAsia" w:ascii="宋体" w:hAnsi="宋体" w:cs="宋体"/>
          <w:color w:val="auto"/>
          <w:sz w:val="21"/>
          <w:szCs w:val="21"/>
          <w:highlight w:val="none"/>
        </w:rPr>
        <w:t>18.2投标文件需打印并成册，并由投标人法定代表人或经正式授权的代理人按照本招标文件规定在投标文件上签字和加盖投标人公章。</w:t>
      </w:r>
      <w:r>
        <w:rPr>
          <w:rFonts w:hint="eastAsia" w:ascii="宋体" w:hAnsi="宋体" w:cs="宋体"/>
          <w:b/>
          <w:bCs/>
          <w:color w:val="auto"/>
          <w:sz w:val="21"/>
          <w:szCs w:val="21"/>
          <w:highlight w:val="none"/>
        </w:rPr>
        <w:t>投标文件副本可采用正本的复印件</w:t>
      </w:r>
      <w:r>
        <w:rPr>
          <w:rFonts w:hint="eastAsia" w:ascii="宋体" w:hAnsi="宋体" w:cs="宋体"/>
          <w:color w:val="auto"/>
          <w:sz w:val="21"/>
          <w:szCs w:val="21"/>
          <w:highlight w:val="none"/>
        </w:rPr>
        <w:t>。</w:t>
      </w:r>
    </w:p>
    <w:p w14:paraId="1CCCB271">
      <w:pPr>
        <w:ind w:left="567" w:hanging="567"/>
        <w:rPr>
          <w:rFonts w:ascii="宋体" w:hAnsi="宋体" w:cs="宋体"/>
          <w:color w:val="auto"/>
          <w:sz w:val="21"/>
          <w:szCs w:val="21"/>
          <w:highlight w:val="none"/>
        </w:rPr>
      </w:pPr>
      <w:r>
        <w:rPr>
          <w:rFonts w:hint="eastAsia" w:ascii="宋体" w:hAnsi="宋体" w:cs="宋体"/>
          <w:color w:val="auto"/>
          <w:sz w:val="21"/>
          <w:szCs w:val="21"/>
          <w:highlight w:val="none"/>
        </w:rPr>
        <w:t>18.3投标文件不得涂改和增删，如有修改，必须由投标文件签字人签字或盖章。</w:t>
      </w:r>
    </w:p>
    <w:p w14:paraId="3F7AA7EA">
      <w:pPr>
        <w:ind w:left="567" w:hanging="567"/>
        <w:rPr>
          <w:rFonts w:ascii="宋体" w:hAnsi="宋体" w:cs="宋体"/>
          <w:color w:val="auto"/>
          <w:sz w:val="21"/>
          <w:szCs w:val="21"/>
          <w:highlight w:val="none"/>
        </w:rPr>
      </w:pPr>
      <w:r>
        <w:rPr>
          <w:rFonts w:hint="eastAsia" w:ascii="宋体" w:hAnsi="宋体" w:cs="宋体"/>
          <w:color w:val="auto"/>
          <w:sz w:val="21"/>
          <w:szCs w:val="21"/>
          <w:highlight w:val="none"/>
        </w:rPr>
        <w:t>18.4投标文件因字迹潦草或表达不清所引起的后果由投标人负责。</w:t>
      </w:r>
    </w:p>
    <w:p w14:paraId="77DE4BE3">
      <w:pPr>
        <w:ind w:left="525" w:hanging="525" w:hangingChars="250"/>
        <w:rPr>
          <w:rFonts w:ascii="宋体" w:hAnsi="宋体" w:cs="宋体"/>
          <w:color w:val="auto"/>
          <w:kern w:val="0"/>
          <w:sz w:val="21"/>
          <w:szCs w:val="21"/>
          <w:highlight w:val="none"/>
        </w:rPr>
      </w:pPr>
      <w:r>
        <w:rPr>
          <w:rFonts w:hint="eastAsia" w:ascii="宋体" w:hAnsi="宋体" w:cs="宋体"/>
          <w:color w:val="auto"/>
          <w:sz w:val="21"/>
          <w:szCs w:val="21"/>
          <w:highlight w:val="none"/>
        </w:rPr>
        <w:t>18.5 电报、电传、传真形式的投标文件概不接受。</w:t>
      </w:r>
    </w:p>
    <w:p w14:paraId="00E0C1BB">
      <w:pPr>
        <w:ind w:left="600" w:hanging="600" w:hangingChars="250"/>
        <w:rPr>
          <w:rFonts w:ascii="宋体" w:hAnsi="宋体" w:cs="宋体"/>
          <w:color w:val="auto"/>
          <w:szCs w:val="24"/>
          <w:highlight w:val="none"/>
        </w:rPr>
      </w:pPr>
    </w:p>
    <w:p w14:paraId="6440E8B6">
      <w:pPr>
        <w:jc w:val="center"/>
        <w:rPr>
          <w:rFonts w:cs="宋体"/>
          <w:b/>
          <w:bCs/>
          <w:color w:val="auto"/>
          <w:sz w:val="30"/>
          <w:szCs w:val="30"/>
          <w:highlight w:val="none"/>
        </w:rPr>
      </w:pPr>
      <w:bookmarkStart w:id="22" w:name="_Toc406059262"/>
      <w:bookmarkStart w:id="23" w:name="_Toc289183625"/>
      <w:r>
        <w:rPr>
          <w:rFonts w:hint="eastAsia" w:cs="宋体"/>
          <w:b/>
          <w:bCs/>
          <w:color w:val="auto"/>
          <w:sz w:val="30"/>
          <w:szCs w:val="30"/>
          <w:highlight w:val="none"/>
        </w:rPr>
        <w:t>五、投标文件的递交</w:t>
      </w:r>
      <w:bookmarkEnd w:id="22"/>
      <w:bookmarkEnd w:id="23"/>
    </w:p>
    <w:p w14:paraId="78E9DC7A">
      <w:pPr>
        <w:rPr>
          <w:rFonts w:ascii="宋体" w:hAnsi="宋体" w:cs="宋体"/>
          <w:b/>
          <w:bCs/>
          <w:color w:val="auto"/>
          <w:sz w:val="21"/>
          <w:szCs w:val="21"/>
          <w:highlight w:val="none"/>
        </w:rPr>
      </w:pPr>
      <w:r>
        <w:rPr>
          <w:rFonts w:hint="eastAsia" w:ascii="宋体" w:hAnsi="宋体" w:cs="宋体"/>
          <w:b/>
          <w:bCs/>
          <w:color w:val="auto"/>
          <w:sz w:val="21"/>
          <w:szCs w:val="21"/>
          <w:highlight w:val="none"/>
        </w:rPr>
        <w:t>19.投标文件的密封及标记</w:t>
      </w:r>
    </w:p>
    <w:p w14:paraId="5F8B1E7A">
      <w:pPr>
        <w:ind w:left="567" w:hanging="567"/>
        <w:rPr>
          <w:rFonts w:ascii="宋体" w:hAnsi="宋体" w:cs="宋体"/>
          <w:color w:val="auto"/>
          <w:sz w:val="21"/>
          <w:szCs w:val="21"/>
          <w:highlight w:val="none"/>
        </w:rPr>
      </w:pPr>
      <w:r>
        <w:rPr>
          <w:rFonts w:hint="eastAsia" w:ascii="宋体" w:hAnsi="宋体" w:cs="宋体"/>
          <w:color w:val="auto"/>
          <w:sz w:val="21"/>
          <w:szCs w:val="21"/>
          <w:highlight w:val="none"/>
        </w:rPr>
        <w:t>19.1投标人应将投标文件正本一套和“投标人须知前附表”规定的副本密封装在单独的信封中。用封条在投标文件密封袋背面开口处密封。封口处加盖投标人的单位公章。在信封面上标明招标编号、招标项目名称、投标人名称、“资格证明文件部分”或“商务和技术部分”及“正本”或“副本”。</w:t>
      </w:r>
    </w:p>
    <w:p w14:paraId="3C94961F">
      <w:pPr>
        <w:ind w:left="567" w:hanging="567"/>
        <w:rPr>
          <w:rFonts w:ascii="宋体" w:hAnsi="宋体" w:cs="宋体"/>
          <w:b/>
          <w:bCs/>
          <w:color w:val="auto"/>
          <w:sz w:val="21"/>
          <w:szCs w:val="21"/>
          <w:highlight w:val="none"/>
        </w:rPr>
      </w:pPr>
      <w:r>
        <w:rPr>
          <w:rFonts w:hint="eastAsia" w:ascii="宋体" w:hAnsi="宋体" w:cs="宋体"/>
          <w:b/>
          <w:bCs/>
          <w:color w:val="auto"/>
          <w:sz w:val="21"/>
          <w:szCs w:val="21"/>
          <w:highlight w:val="none"/>
        </w:rPr>
        <w:t>19.2为方便唱标，投标人应将“开标一览表”的正本及投标保证金（电汇时为汇款凭证复印件）单独置于包装内，并在该包装上标明“开标一览表”、“投标保证金”字样。</w:t>
      </w:r>
    </w:p>
    <w:p w14:paraId="6E52777C">
      <w:pPr>
        <w:ind w:left="567" w:hanging="567"/>
        <w:rPr>
          <w:rFonts w:ascii="宋体" w:hAnsi="宋体" w:cs="宋体"/>
          <w:color w:val="auto"/>
          <w:sz w:val="21"/>
          <w:szCs w:val="21"/>
          <w:highlight w:val="none"/>
        </w:rPr>
      </w:pPr>
      <w:r>
        <w:rPr>
          <w:rFonts w:hint="eastAsia" w:ascii="宋体" w:hAnsi="宋体" w:cs="宋体"/>
          <w:color w:val="auto"/>
          <w:sz w:val="21"/>
          <w:szCs w:val="21"/>
          <w:highlight w:val="none"/>
        </w:rPr>
        <w:t>19.3投标人应将投标文件电子文档U盘单独置于包装内，并在该包装上标明“电子文档”字样。</w:t>
      </w:r>
    </w:p>
    <w:p w14:paraId="75407EDC">
      <w:pPr>
        <w:ind w:left="567" w:hanging="567"/>
        <w:rPr>
          <w:color w:val="auto"/>
          <w:highlight w:val="none"/>
        </w:rPr>
      </w:pPr>
      <w:r>
        <w:rPr>
          <w:rFonts w:hint="eastAsia" w:ascii="宋体" w:hAnsi="宋体" w:cs="宋体"/>
          <w:color w:val="auto"/>
          <w:sz w:val="21"/>
          <w:szCs w:val="21"/>
          <w:highlight w:val="none"/>
        </w:rPr>
        <w:t>19.</w:t>
      </w:r>
      <w:r>
        <w:rPr>
          <w:rFonts w:ascii="宋体" w:hAnsi="宋体" w:cs="宋体"/>
          <w:color w:val="auto"/>
          <w:sz w:val="21"/>
          <w:szCs w:val="21"/>
          <w:highlight w:val="none"/>
        </w:rPr>
        <w:t>4</w:t>
      </w:r>
      <w:r>
        <w:rPr>
          <w:rFonts w:hint="eastAsia" w:ascii="宋体" w:hAnsi="宋体" w:cs="宋体"/>
          <w:b/>
          <w:bCs/>
          <w:color w:val="auto"/>
          <w:sz w:val="21"/>
          <w:szCs w:val="21"/>
          <w:highlight w:val="none"/>
        </w:rPr>
        <w:t>为了方便采购人、采购代理机构进行资格审查，投标人应将“资格证明文件册”正、副本分别置于一独立包装内，并在该包装上标明“资格证明文件册”字样。投标人的投标文件（资格证明文件部分、商务和技术部分）须分别提交正本一份和副本四份、电子版文档一份。在每一份投标文件上要明确注明“资格证明文件部分”、“商务和技术部分”、“电子版”以及“正本”、“副本”字样。</w:t>
      </w:r>
    </w:p>
    <w:p w14:paraId="4E192A00">
      <w:pPr>
        <w:ind w:left="567" w:hanging="567"/>
        <w:rPr>
          <w:rFonts w:ascii="宋体" w:hAnsi="宋体" w:cs="宋体"/>
          <w:color w:val="auto"/>
          <w:sz w:val="21"/>
          <w:szCs w:val="21"/>
          <w:highlight w:val="none"/>
        </w:rPr>
      </w:pPr>
      <w:r>
        <w:rPr>
          <w:rFonts w:hint="eastAsia" w:ascii="宋体" w:hAnsi="宋体" w:cs="宋体"/>
          <w:color w:val="auto"/>
          <w:sz w:val="21"/>
          <w:szCs w:val="21"/>
          <w:highlight w:val="none"/>
        </w:rPr>
        <w:t>如果投标人未按上述要求密封及加写标记，招标代理机构对投标文件的误投和提前启封概不负责。</w:t>
      </w:r>
    </w:p>
    <w:p w14:paraId="29BCEBDB">
      <w:pPr>
        <w:rPr>
          <w:rFonts w:ascii="宋体" w:hAnsi="宋体" w:cs="宋体"/>
          <w:b/>
          <w:bCs/>
          <w:color w:val="auto"/>
          <w:sz w:val="21"/>
          <w:szCs w:val="21"/>
          <w:highlight w:val="none"/>
        </w:rPr>
      </w:pPr>
      <w:r>
        <w:rPr>
          <w:rFonts w:hint="eastAsia" w:ascii="宋体" w:hAnsi="宋体" w:cs="宋体"/>
          <w:b/>
          <w:bCs/>
          <w:color w:val="auto"/>
          <w:sz w:val="21"/>
          <w:szCs w:val="21"/>
          <w:highlight w:val="none"/>
        </w:rPr>
        <w:t>20.招标文件递交截止时间</w:t>
      </w:r>
    </w:p>
    <w:p w14:paraId="44046ACD">
      <w:pPr>
        <w:ind w:left="567" w:hanging="567"/>
        <w:rPr>
          <w:rFonts w:ascii="宋体" w:hAnsi="宋体" w:cs="宋体"/>
          <w:color w:val="auto"/>
          <w:sz w:val="21"/>
          <w:szCs w:val="21"/>
          <w:highlight w:val="none"/>
        </w:rPr>
      </w:pPr>
      <w:r>
        <w:rPr>
          <w:rFonts w:hint="eastAsia" w:ascii="宋体" w:hAnsi="宋体" w:cs="宋体"/>
          <w:color w:val="auto"/>
          <w:sz w:val="21"/>
          <w:szCs w:val="21"/>
          <w:highlight w:val="none"/>
        </w:rPr>
        <w:t>20.1 投标文件必须在投标邀请规定的投标文件递交截止时间前送达指定的开标地点。</w:t>
      </w:r>
    </w:p>
    <w:p w14:paraId="20757A6E">
      <w:pPr>
        <w:rPr>
          <w:rFonts w:ascii="宋体" w:hAnsi="宋体" w:cs="宋体"/>
          <w:b/>
          <w:bCs/>
          <w:color w:val="auto"/>
          <w:sz w:val="21"/>
          <w:szCs w:val="21"/>
          <w:highlight w:val="none"/>
        </w:rPr>
      </w:pPr>
      <w:r>
        <w:rPr>
          <w:rFonts w:hint="eastAsia" w:ascii="宋体" w:hAnsi="宋体" w:cs="宋体"/>
          <w:b/>
          <w:bCs/>
          <w:color w:val="auto"/>
          <w:sz w:val="21"/>
          <w:szCs w:val="21"/>
          <w:highlight w:val="none"/>
        </w:rPr>
        <w:t>21.迟交的投标文件</w:t>
      </w:r>
    </w:p>
    <w:p w14:paraId="28A5A5F9">
      <w:pPr>
        <w:ind w:left="525" w:hanging="525" w:hangingChars="250"/>
        <w:rPr>
          <w:rFonts w:ascii="宋体" w:hAnsi="宋体" w:cs="宋体"/>
          <w:color w:val="auto"/>
          <w:sz w:val="21"/>
          <w:szCs w:val="21"/>
          <w:highlight w:val="none"/>
        </w:rPr>
      </w:pPr>
      <w:r>
        <w:rPr>
          <w:rFonts w:hint="eastAsia" w:ascii="宋体" w:hAnsi="宋体" w:cs="宋体"/>
          <w:color w:val="auto"/>
          <w:sz w:val="21"/>
          <w:szCs w:val="21"/>
          <w:highlight w:val="none"/>
        </w:rPr>
        <w:t>21.1在投标文件递交截止时间以后送达的投标文件为无效文件，招标代理机构将拒绝接收。</w:t>
      </w:r>
    </w:p>
    <w:p w14:paraId="7615E16F">
      <w:pPr>
        <w:rPr>
          <w:rFonts w:ascii="宋体" w:hAnsi="宋体" w:cs="宋体"/>
          <w:b/>
          <w:bCs/>
          <w:color w:val="auto"/>
          <w:sz w:val="21"/>
          <w:szCs w:val="21"/>
          <w:highlight w:val="none"/>
        </w:rPr>
      </w:pPr>
      <w:r>
        <w:rPr>
          <w:rFonts w:hint="eastAsia" w:ascii="宋体" w:hAnsi="宋体" w:cs="宋体"/>
          <w:b/>
          <w:bCs/>
          <w:color w:val="auto"/>
          <w:sz w:val="21"/>
          <w:szCs w:val="21"/>
          <w:highlight w:val="none"/>
        </w:rPr>
        <w:t>22.投标文件的修改及撤回</w:t>
      </w:r>
    </w:p>
    <w:p w14:paraId="5B0E61BB">
      <w:pPr>
        <w:ind w:left="567" w:hanging="567"/>
        <w:rPr>
          <w:rFonts w:ascii="宋体" w:hAnsi="宋体" w:cs="宋体"/>
          <w:color w:val="auto"/>
          <w:sz w:val="21"/>
          <w:szCs w:val="21"/>
          <w:highlight w:val="none"/>
        </w:rPr>
      </w:pPr>
      <w:r>
        <w:rPr>
          <w:rFonts w:hint="eastAsia" w:ascii="宋体" w:hAnsi="宋体" w:cs="宋体"/>
          <w:color w:val="auto"/>
          <w:sz w:val="21"/>
          <w:szCs w:val="21"/>
          <w:highlight w:val="none"/>
        </w:rPr>
        <w:t>22.1投标人在递交投标文件后，可以修改或撤回其投标文件，但投标人必须在规定的开标时间之前将修改或撤回的书面通知递交到招标代理机构。</w:t>
      </w:r>
    </w:p>
    <w:p w14:paraId="1DFAD987">
      <w:pPr>
        <w:ind w:left="567" w:hanging="567"/>
        <w:rPr>
          <w:rFonts w:ascii="宋体" w:hAnsi="宋体" w:cs="宋体"/>
          <w:color w:val="auto"/>
          <w:sz w:val="21"/>
          <w:szCs w:val="21"/>
          <w:highlight w:val="none"/>
        </w:rPr>
      </w:pPr>
      <w:r>
        <w:rPr>
          <w:rFonts w:hint="eastAsia" w:ascii="宋体" w:hAnsi="宋体" w:cs="宋体"/>
          <w:color w:val="auto"/>
          <w:sz w:val="21"/>
          <w:szCs w:val="21"/>
          <w:highlight w:val="none"/>
        </w:rPr>
        <w:t>22.2 从投标文件递交截止期至投标有效期期满这段时间内，投标人不得撤回其投标文件，否则不予退还其交纳的投标保证金。</w:t>
      </w:r>
    </w:p>
    <w:p w14:paraId="60A29C79">
      <w:pPr>
        <w:ind w:left="567" w:hanging="567"/>
        <w:rPr>
          <w:rFonts w:ascii="宋体" w:hAnsi="宋体" w:cs="宋体"/>
          <w:color w:val="auto"/>
          <w:sz w:val="21"/>
          <w:szCs w:val="21"/>
          <w:highlight w:val="none"/>
        </w:rPr>
      </w:pPr>
    </w:p>
    <w:p w14:paraId="07A11E35">
      <w:pPr>
        <w:jc w:val="center"/>
        <w:rPr>
          <w:rFonts w:cs="宋体"/>
          <w:b/>
          <w:bCs/>
          <w:color w:val="auto"/>
          <w:sz w:val="30"/>
          <w:szCs w:val="30"/>
          <w:highlight w:val="none"/>
        </w:rPr>
      </w:pPr>
      <w:r>
        <w:rPr>
          <w:rFonts w:hint="eastAsia" w:cs="宋体"/>
          <w:b/>
          <w:bCs/>
          <w:color w:val="auto"/>
          <w:sz w:val="30"/>
          <w:szCs w:val="30"/>
          <w:highlight w:val="none"/>
        </w:rPr>
        <w:t>六、评审</w:t>
      </w:r>
    </w:p>
    <w:p w14:paraId="1ED29E38">
      <w:pPr>
        <w:rPr>
          <w:rFonts w:ascii="宋体" w:hAnsi="宋体" w:cs="宋体"/>
          <w:b/>
          <w:bCs/>
          <w:color w:val="auto"/>
          <w:sz w:val="21"/>
          <w:szCs w:val="21"/>
          <w:highlight w:val="none"/>
        </w:rPr>
      </w:pPr>
      <w:r>
        <w:rPr>
          <w:rFonts w:hint="eastAsia" w:ascii="宋体" w:hAnsi="宋体" w:cs="宋体"/>
          <w:b/>
          <w:bCs/>
          <w:color w:val="auto"/>
          <w:sz w:val="21"/>
          <w:szCs w:val="21"/>
          <w:highlight w:val="none"/>
        </w:rPr>
        <w:t>23.评标委员会</w:t>
      </w:r>
    </w:p>
    <w:p w14:paraId="1B7AF783">
      <w:pPr>
        <w:ind w:left="567" w:hanging="567"/>
        <w:jc w:val="both"/>
        <w:rPr>
          <w:rFonts w:ascii="宋体" w:hAnsi="宋体" w:cs="宋体"/>
          <w:color w:val="auto"/>
          <w:sz w:val="21"/>
          <w:szCs w:val="21"/>
          <w:highlight w:val="none"/>
        </w:rPr>
      </w:pPr>
      <w:r>
        <w:rPr>
          <w:rFonts w:hint="eastAsia" w:ascii="宋体" w:hAnsi="宋体" w:cs="宋体"/>
          <w:color w:val="auto"/>
          <w:sz w:val="21"/>
          <w:szCs w:val="21"/>
          <w:highlight w:val="none"/>
        </w:rPr>
        <w:t>23.1 招标代理机构应按照依据法律法规从</w:t>
      </w:r>
      <w:r>
        <w:rPr>
          <w:rFonts w:hint="eastAsia" w:ascii="宋体" w:hAnsi="宋体" w:cs="宋体"/>
          <w:color w:val="auto"/>
          <w:sz w:val="21"/>
          <w:szCs w:val="21"/>
          <w:highlight w:val="none"/>
          <w:lang w:val="en-GB"/>
        </w:rPr>
        <w:t>综合评审专家</w:t>
      </w:r>
      <w:r>
        <w:rPr>
          <w:rFonts w:hint="eastAsia" w:ascii="宋体" w:hAnsi="宋体" w:cs="宋体"/>
          <w:color w:val="auto"/>
          <w:sz w:val="21"/>
          <w:szCs w:val="21"/>
          <w:highlight w:val="none"/>
        </w:rPr>
        <w:t>库中随机抽取评审专家，依法成立评标委员会。评审工作将由评标委员会负责。</w:t>
      </w:r>
    </w:p>
    <w:p w14:paraId="723BC2A5">
      <w:pPr>
        <w:rPr>
          <w:rFonts w:ascii="宋体" w:hAnsi="宋体" w:cs="宋体"/>
          <w:b/>
          <w:bCs/>
          <w:color w:val="auto"/>
          <w:sz w:val="21"/>
          <w:szCs w:val="21"/>
          <w:highlight w:val="none"/>
        </w:rPr>
      </w:pPr>
      <w:r>
        <w:rPr>
          <w:rFonts w:hint="eastAsia" w:ascii="宋体" w:hAnsi="宋体" w:cs="宋体"/>
          <w:b/>
          <w:bCs/>
          <w:color w:val="auto"/>
          <w:sz w:val="21"/>
          <w:szCs w:val="21"/>
          <w:highlight w:val="none"/>
        </w:rPr>
        <w:t>24.评审</w:t>
      </w:r>
    </w:p>
    <w:p w14:paraId="02DE7820">
      <w:pPr>
        <w:ind w:left="525" w:hanging="525" w:hangingChars="250"/>
        <w:jc w:val="both"/>
        <w:rPr>
          <w:rFonts w:ascii="宋体" w:hAnsi="宋体" w:cs="宋体"/>
          <w:color w:val="auto"/>
          <w:sz w:val="21"/>
          <w:szCs w:val="21"/>
          <w:highlight w:val="none"/>
          <w:lang w:val="en-GB"/>
        </w:rPr>
      </w:pPr>
      <w:r>
        <w:rPr>
          <w:rFonts w:hint="eastAsia" w:ascii="宋体" w:hAnsi="宋体" w:cs="宋体"/>
          <w:color w:val="auto"/>
          <w:sz w:val="21"/>
          <w:szCs w:val="21"/>
          <w:highlight w:val="none"/>
          <w:lang w:val="en-GB"/>
        </w:rPr>
        <w:t>24.1 招标代理机构在“投标邀请”中规定的时间和地点组织评标。参加投标的投标人代表应签名报到以证明其出席。签到时间以递交投标文件时间为准。</w:t>
      </w:r>
    </w:p>
    <w:p w14:paraId="344825F5">
      <w:pPr>
        <w:ind w:left="525" w:hanging="525" w:hangingChars="250"/>
        <w:jc w:val="both"/>
        <w:rPr>
          <w:rFonts w:ascii="宋体" w:hAnsi="宋体" w:cs="宋体"/>
          <w:color w:val="auto"/>
          <w:sz w:val="21"/>
          <w:szCs w:val="21"/>
          <w:highlight w:val="none"/>
          <w:lang w:val="en-GB"/>
        </w:rPr>
      </w:pPr>
      <w:r>
        <w:rPr>
          <w:rFonts w:hint="eastAsia" w:ascii="宋体" w:hAnsi="宋体" w:cs="宋体"/>
          <w:color w:val="auto"/>
          <w:sz w:val="21"/>
          <w:szCs w:val="21"/>
          <w:highlight w:val="none"/>
          <w:lang w:val="en-GB"/>
        </w:rPr>
        <w:t>24.2 截至投标文件递交截止时间，递交投标文件的投标人数量不足3家的</w:t>
      </w:r>
      <w:r>
        <w:rPr>
          <w:rFonts w:hint="eastAsia" w:ascii="宋体" w:hAnsi="宋体" w:cs="宋体"/>
          <w:color w:val="auto"/>
          <w:sz w:val="21"/>
          <w:szCs w:val="21"/>
          <w:highlight w:val="none"/>
        </w:rPr>
        <w:t>不得开标</w:t>
      </w:r>
      <w:r>
        <w:rPr>
          <w:rFonts w:hint="eastAsia" w:ascii="宋体" w:hAnsi="宋体" w:cs="宋体"/>
          <w:color w:val="auto"/>
          <w:sz w:val="21"/>
          <w:szCs w:val="21"/>
          <w:highlight w:val="none"/>
          <w:lang w:val="en-GB"/>
        </w:rPr>
        <w:t>。投标文件原封退回各投标人。</w:t>
      </w:r>
    </w:p>
    <w:p w14:paraId="365BCD79">
      <w:pPr>
        <w:ind w:left="525" w:hanging="525" w:hangingChars="250"/>
        <w:jc w:val="both"/>
        <w:rPr>
          <w:rFonts w:ascii="宋体" w:hAnsi="宋体" w:cs="宋体"/>
          <w:color w:val="auto"/>
          <w:sz w:val="21"/>
          <w:szCs w:val="21"/>
          <w:highlight w:val="none"/>
          <w:lang w:val="en-GB"/>
        </w:rPr>
      </w:pPr>
      <w:r>
        <w:rPr>
          <w:rFonts w:hint="eastAsia" w:ascii="宋体" w:hAnsi="宋体" w:cs="宋体"/>
          <w:color w:val="auto"/>
          <w:sz w:val="21"/>
          <w:szCs w:val="21"/>
          <w:highlight w:val="none"/>
          <w:lang w:val="en-GB"/>
        </w:rPr>
        <w:t>24.3 招标代理机构根据投标人签到表公布响应投标人名单。</w:t>
      </w:r>
    </w:p>
    <w:p w14:paraId="0D5C9B99">
      <w:pPr>
        <w:ind w:left="525" w:hanging="525" w:hangingChars="250"/>
        <w:rPr>
          <w:rFonts w:ascii="宋体" w:hAnsi="宋体" w:cs="宋体"/>
          <w:color w:val="auto"/>
          <w:sz w:val="21"/>
          <w:szCs w:val="21"/>
          <w:highlight w:val="none"/>
        </w:rPr>
      </w:pPr>
      <w:r>
        <w:rPr>
          <w:rFonts w:hint="eastAsia" w:ascii="宋体" w:hAnsi="宋体" w:cs="宋体"/>
          <w:color w:val="auto"/>
          <w:sz w:val="21"/>
          <w:szCs w:val="21"/>
          <w:highlight w:val="none"/>
        </w:rPr>
        <w:t>24.4 在监督代表的监督下，按开标要求的程序进行。开标时，宣读投标人名称、投标报价、投标声明、投标保证金和开标一览表中的其他主要内容；开标时未宣读的投标报价、投标声明等内容，评标时不予承认。</w:t>
      </w:r>
    </w:p>
    <w:p w14:paraId="0EA7B87D">
      <w:pPr>
        <w:ind w:left="525" w:hanging="525" w:hangingChars="250"/>
        <w:rPr>
          <w:rFonts w:ascii="宋体" w:hAnsi="宋体" w:cs="宋体"/>
          <w:color w:val="auto"/>
          <w:sz w:val="21"/>
          <w:szCs w:val="21"/>
          <w:highlight w:val="none"/>
        </w:rPr>
      </w:pPr>
      <w:r>
        <w:rPr>
          <w:rFonts w:hint="eastAsia" w:ascii="宋体" w:hAnsi="宋体" w:cs="宋体"/>
          <w:color w:val="auto"/>
          <w:sz w:val="21"/>
          <w:szCs w:val="21"/>
          <w:highlight w:val="none"/>
        </w:rPr>
        <w:t>24.5 投标人对开标有异议的，应当在开标现场提出。招标代理机构将当场作出答复，并制作记录。</w:t>
      </w:r>
    </w:p>
    <w:p w14:paraId="23FF82DD">
      <w:pPr>
        <w:ind w:left="525" w:hanging="525" w:hangingChars="250"/>
        <w:rPr>
          <w:rFonts w:ascii="宋体" w:hAnsi="宋体" w:cs="宋体"/>
          <w:color w:val="auto"/>
          <w:sz w:val="21"/>
          <w:szCs w:val="21"/>
          <w:highlight w:val="none"/>
        </w:rPr>
      </w:pPr>
      <w:r>
        <w:rPr>
          <w:rFonts w:hint="eastAsia" w:ascii="宋体" w:hAnsi="宋体" w:cs="宋体"/>
          <w:color w:val="auto"/>
          <w:sz w:val="21"/>
          <w:szCs w:val="21"/>
          <w:highlight w:val="none"/>
        </w:rPr>
        <w:t>24.6 招标代理机构将制作并打印开标记录，记录的内容应包括按规定在开标时宣读的全部内容。</w:t>
      </w:r>
      <w:r>
        <w:rPr>
          <w:rFonts w:hint="eastAsia" w:ascii="宋体" w:hAnsi="宋体" w:cs="宋体"/>
          <w:color w:val="auto"/>
          <w:kern w:val="0"/>
          <w:sz w:val="21"/>
          <w:szCs w:val="21"/>
          <w:highlight w:val="none"/>
        </w:rPr>
        <w:t>与会的投标人代表应在开标记录上签字确认。</w:t>
      </w:r>
    </w:p>
    <w:p w14:paraId="647B146B">
      <w:pPr>
        <w:rPr>
          <w:rFonts w:ascii="宋体" w:hAnsi="宋体" w:cs="宋体"/>
          <w:b/>
          <w:bCs/>
          <w:color w:val="auto"/>
          <w:sz w:val="21"/>
          <w:szCs w:val="21"/>
          <w:highlight w:val="none"/>
        </w:rPr>
      </w:pPr>
      <w:r>
        <w:rPr>
          <w:rFonts w:hint="eastAsia" w:ascii="宋体" w:hAnsi="宋体" w:cs="宋体"/>
          <w:b/>
          <w:bCs/>
          <w:color w:val="auto"/>
          <w:sz w:val="21"/>
          <w:szCs w:val="21"/>
          <w:highlight w:val="none"/>
        </w:rPr>
        <w:t>24.5投标文件初审</w:t>
      </w:r>
    </w:p>
    <w:p w14:paraId="0C3C8111">
      <w:pPr>
        <w:ind w:left="649" w:leftChars="8" w:hanging="630" w:hangingChars="300"/>
        <w:jc w:val="both"/>
        <w:rPr>
          <w:rFonts w:ascii="宋体" w:hAnsi="宋体" w:cs="宋体"/>
          <w:color w:val="auto"/>
          <w:sz w:val="21"/>
          <w:szCs w:val="21"/>
          <w:highlight w:val="none"/>
          <w:lang w:val="en-GB"/>
        </w:rPr>
      </w:pPr>
      <w:r>
        <w:rPr>
          <w:rFonts w:hint="eastAsia" w:ascii="宋体" w:hAnsi="宋体" w:cs="宋体"/>
          <w:color w:val="auto"/>
          <w:sz w:val="21"/>
          <w:szCs w:val="21"/>
          <w:highlight w:val="none"/>
          <w:lang w:val="en-GB"/>
        </w:rPr>
        <w:t>24.5.1</w:t>
      </w:r>
      <w:r>
        <w:rPr>
          <w:rFonts w:hint="eastAsia" w:ascii="宋体" w:hAnsi="宋体" w:cs="宋体"/>
          <w:b/>
          <w:color w:val="auto"/>
          <w:sz w:val="21"/>
          <w:szCs w:val="21"/>
          <w:highlight w:val="none"/>
          <w:lang w:val="en-GB"/>
        </w:rPr>
        <w:t>资格性检查：</w:t>
      </w:r>
      <w:r>
        <w:rPr>
          <w:rFonts w:hint="eastAsia" w:ascii="宋体" w:hAnsi="宋体" w:cs="宋体"/>
          <w:color w:val="auto"/>
          <w:sz w:val="21"/>
          <w:szCs w:val="21"/>
          <w:highlight w:val="none"/>
          <w:lang w:val="en-GB"/>
        </w:rPr>
        <w:t>采购人、采购代理机构按照</w:t>
      </w:r>
      <w:r>
        <w:rPr>
          <w:rFonts w:hint="eastAsia" w:ascii="宋体" w:hAnsi="宋体" w:cs="宋体"/>
          <w:color w:val="auto"/>
          <w:sz w:val="21"/>
          <w:szCs w:val="21"/>
          <w:highlight w:val="none"/>
        </w:rPr>
        <w:t>招标文件中关于资格条件的规定，对投标人投标文件中提供的资格证明文件进行审查，以确定投标人是否具备参加投标资格。</w:t>
      </w:r>
    </w:p>
    <w:p w14:paraId="62720BF1">
      <w:pPr>
        <w:ind w:left="649" w:leftChars="8" w:hanging="630" w:hangingChars="300"/>
        <w:jc w:val="both"/>
        <w:rPr>
          <w:rFonts w:ascii="宋体" w:hAnsi="宋体" w:cs="宋体"/>
          <w:color w:val="auto"/>
          <w:sz w:val="21"/>
          <w:szCs w:val="21"/>
          <w:highlight w:val="none"/>
          <w:lang w:val="en-GB"/>
        </w:rPr>
      </w:pPr>
      <w:r>
        <w:rPr>
          <w:rFonts w:hint="eastAsia" w:ascii="宋体" w:hAnsi="宋体" w:cs="宋体"/>
          <w:color w:val="auto"/>
          <w:sz w:val="21"/>
          <w:szCs w:val="21"/>
          <w:highlight w:val="none"/>
          <w:lang w:val="en-GB"/>
        </w:rPr>
        <w:t>24.5.2</w:t>
      </w:r>
      <w:r>
        <w:rPr>
          <w:rFonts w:hint="eastAsia" w:ascii="宋体" w:hAnsi="宋体" w:cs="宋体"/>
          <w:b/>
          <w:color w:val="auto"/>
          <w:sz w:val="21"/>
          <w:szCs w:val="21"/>
          <w:highlight w:val="none"/>
          <w:lang w:val="en-GB"/>
        </w:rPr>
        <w:t>符合性检查：</w:t>
      </w:r>
      <w:r>
        <w:rPr>
          <w:rFonts w:hint="eastAsia" w:ascii="宋体" w:hAnsi="宋体" w:cs="宋体"/>
          <w:color w:val="auto"/>
          <w:sz w:val="21"/>
          <w:szCs w:val="21"/>
          <w:highlight w:val="none"/>
          <w:lang w:val="en-GB"/>
        </w:rPr>
        <w:t>评标委员会按照招标文件规定的除资格条件外的其他实质性条款，对符合资格条件投标人的投标文件进行有效性、完整性和</w:t>
      </w:r>
      <w:r>
        <w:rPr>
          <w:rFonts w:hint="eastAsia" w:ascii="宋体" w:hAnsi="宋体" w:cs="宋体"/>
          <w:color w:val="auto"/>
          <w:sz w:val="21"/>
          <w:szCs w:val="21"/>
          <w:highlight w:val="none"/>
        </w:rPr>
        <w:t>响应程度审查。未实质性响应</w:t>
      </w:r>
      <w:r>
        <w:rPr>
          <w:rFonts w:hint="eastAsia" w:ascii="宋体" w:hAnsi="宋体" w:cs="宋体"/>
          <w:color w:val="auto"/>
          <w:sz w:val="21"/>
          <w:szCs w:val="21"/>
          <w:highlight w:val="none"/>
          <w:lang w:val="en-GB"/>
        </w:rPr>
        <w:t>招标文件</w:t>
      </w:r>
      <w:r>
        <w:rPr>
          <w:rFonts w:hint="eastAsia" w:ascii="宋体" w:hAnsi="宋体" w:cs="宋体"/>
          <w:color w:val="auto"/>
          <w:sz w:val="21"/>
          <w:szCs w:val="21"/>
          <w:highlight w:val="none"/>
        </w:rPr>
        <w:t>的投标人将按无效处理，不得参加后续评标</w:t>
      </w:r>
      <w:r>
        <w:rPr>
          <w:rFonts w:hint="eastAsia" w:ascii="宋体" w:hAnsi="宋体" w:cs="宋体"/>
          <w:color w:val="auto"/>
          <w:sz w:val="21"/>
          <w:szCs w:val="21"/>
          <w:highlight w:val="none"/>
          <w:lang w:val="en-GB"/>
        </w:rPr>
        <w:t>。</w:t>
      </w:r>
    </w:p>
    <w:p w14:paraId="5711E3E6">
      <w:pPr>
        <w:rPr>
          <w:rFonts w:ascii="宋体" w:hAnsi="宋体" w:cs="宋体"/>
          <w:b/>
          <w:bCs/>
          <w:color w:val="auto"/>
          <w:sz w:val="21"/>
          <w:szCs w:val="21"/>
          <w:highlight w:val="none"/>
        </w:rPr>
      </w:pPr>
      <w:r>
        <w:rPr>
          <w:rFonts w:hint="eastAsia" w:ascii="宋体" w:hAnsi="宋体" w:cs="宋体"/>
          <w:b/>
          <w:bCs/>
          <w:color w:val="auto"/>
          <w:sz w:val="21"/>
          <w:szCs w:val="21"/>
          <w:highlight w:val="none"/>
        </w:rPr>
        <w:t>24.6 投标的澄清</w:t>
      </w:r>
    </w:p>
    <w:p w14:paraId="45CB0673">
      <w:pPr>
        <w:ind w:left="420" w:hanging="420" w:hangingChars="200"/>
        <w:jc w:val="both"/>
        <w:rPr>
          <w:rFonts w:ascii="宋体" w:hAnsi="宋体" w:cs="宋体"/>
          <w:color w:val="auto"/>
          <w:sz w:val="21"/>
          <w:szCs w:val="21"/>
          <w:highlight w:val="none"/>
        </w:rPr>
      </w:pPr>
      <w:r>
        <w:rPr>
          <w:rFonts w:hint="eastAsia" w:ascii="宋体" w:hAnsi="宋体" w:cs="宋体"/>
          <w:color w:val="auto"/>
          <w:sz w:val="21"/>
          <w:szCs w:val="21"/>
          <w:highlight w:val="none"/>
        </w:rPr>
        <w:t>24.6.1 评标委员会在对投标文件的有效性、完整性和响应程度进行审查时，可以要求投标人对投标文件中含义不明确、同类问题表述不一致或者有明显文字和计算错误的内容等作出必要的澄清、说明或者更正。投标人的澄清、说明或者更正不得超出投标文件的范围或者改变投标文件的实质性内容。</w:t>
      </w:r>
    </w:p>
    <w:p w14:paraId="370376DD">
      <w:pPr>
        <w:ind w:left="420" w:hanging="420" w:hangingChars="200"/>
        <w:jc w:val="both"/>
        <w:rPr>
          <w:rFonts w:ascii="宋体" w:hAnsi="宋体" w:cs="宋体"/>
          <w:color w:val="auto"/>
          <w:sz w:val="21"/>
          <w:szCs w:val="21"/>
          <w:highlight w:val="none"/>
        </w:rPr>
      </w:pPr>
      <w:r>
        <w:rPr>
          <w:rFonts w:hint="eastAsia" w:ascii="宋体" w:hAnsi="宋体" w:cs="宋体"/>
          <w:color w:val="auto"/>
          <w:sz w:val="21"/>
          <w:szCs w:val="21"/>
          <w:highlight w:val="none"/>
        </w:rPr>
        <w:t>24.6.2 评标委员会要求投标人澄清、说明或者更正投标文件应当以书面形式作出。投标人的澄清、说明或者更正应当由法定代表人或其授权代表签字或者加盖公章。</w:t>
      </w:r>
    </w:p>
    <w:p w14:paraId="1AAF9CF4">
      <w:pPr>
        <w:ind w:left="420" w:hanging="420" w:hangingChars="200"/>
        <w:jc w:val="both"/>
        <w:rPr>
          <w:rFonts w:ascii="宋体" w:hAnsi="宋体" w:cs="宋体"/>
          <w:color w:val="auto"/>
          <w:sz w:val="21"/>
          <w:szCs w:val="21"/>
          <w:highlight w:val="none"/>
        </w:rPr>
      </w:pPr>
      <w:r>
        <w:rPr>
          <w:rFonts w:hint="eastAsia" w:ascii="宋体" w:hAnsi="宋体" w:cs="宋体"/>
          <w:color w:val="auto"/>
          <w:sz w:val="21"/>
          <w:szCs w:val="21"/>
          <w:highlight w:val="none"/>
        </w:rPr>
        <w:t>2</w:t>
      </w:r>
      <w:r>
        <w:rPr>
          <w:rFonts w:ascii="宋体" w:hAnsi="宋体" w:cs="宋体"/>
          <w:color w:val="auto"/>
          <w:sz w:val="21"/>
          <w:szCs w:val="21"/>
          <w:highlight w:val="none"/>
        </w:rPr>
        <w:t xml:space="preserve">4.6.3 </w:t>
      </w:r>
      <w:r>
        <w:rPr>
          <w:rFonts w:hint="eastAsia" w:ascii="宋体" w:hAnsi="宋体" w:cs="宋体"/>
          <w:color w:val="auto"/>
          <w:sz w:val="21"/>
          <w:szCs w:val="21"/>
          <w:highlight w:val="none"/>
        </w:rPr>
        <w:t>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p w14:paraId="11A627CB">
      <w:pPr>
        <w:ind w:left="420" w:hanging="420" w:hangingChars="200"/>
        <w:jc w:val="both"/>
        <w:rPr>
          <w:rFonts w:ascii="宋体" w:hAnsi="宋体" w:cs="宋体"/>
          <w:color w:val="auto"/>
          <w:sz w:val="21"/>
          <w:szCs w:val="21"/>
          <w:highlight w:val="none"/>
        </w:rPr>
      </w:pPr>
      <w:r>
        <w:rPr>
          <w:rFonts w:hint="eastAsia" w:ascii="宋体" w:hAnsi="宋体" w:cs="宋体"/>
          <w:color w:val="auto"/>
          <w:sz w:val="21"/>
          <w:szCs w:val="21"/>
          <w:highlight w:val="none"/>
        </w:rPr>
        <w:t>2</w:t>
      </w:r>
      <w:r>
        <w:rPr>
          <w:rFonts w:ascii="宋体" w:hAnsi="宋体" w:cs="宋体"/>
          <w:color w:val="auto"/>
          <w:sz w:val="21"/>
          <w:szCs w:val="21"/>
          <w:highlight w:val="none"/>
        </w:rPr>
        <w:t>6</w:t>
      </w:r>
      <w:r>
        <w:rPr>
          <w:rFonts w:hint="eastAsia" w:ascii="宋体" w:hAnsi="宋体" w:cs="宋体"/>
          <w:color w:val="auto"/>
          <w:sz w:val="21"/>
          <w:szCs w:val="21"/>
          <w:highlight w:val="none"/>
        </w:rPr>
        <w:t>.</w:t>
      </w:r>
      <w:r>
        <w:rPr>
          <w:rFonts w:ascii="宋体" w:hAnsi="宋体" w:cs="宋体"/>
          <w:color w:val="auto"/>
          <w:sz w:val="21"/>
          <w:szCs w:val="21"/>
          <w:highlight w:val="none"/>
        </w:rPr>
        <w:t>6</w:t>
      </w:r>
      <w:r>
        <w:rPr>
          <w:rFonts w:hint="eastAsia" w:ascii="宋体" w:hAnsi="宋体" w:cs="宋体"/>
          <w:color w:val="auto"/>
          <w:sz w:val="21"/>
          <w:szCs w:val="21"/>
          <w:highlight w:val="none"/>
        </w:rPr>
        <w:t>.</w:t>
      </w:r>
      <w:r>
        <w:rPr>
          <w:rFonts w:ascii="宋体" w:hAnsi="宋体" w:cs="宋体"/>
          <w:color w:val="auto"/>
          <w:sz w:val="21"/>
          <w:szCs w:val="21"/>
          <w:highlight w:val="none"/>
        </w:rPr>
        <w:t>4</w:t>
      </w:r>
      <w:r>
        <w:rPr>
          <w:rFonts w:hint="eastAsia" w:ascii="宋体" w:hAnsi="宋体" w:cs="宋体"/>
          <w:color w:val="auto"/>
          <w:sz w:val="21"/>
          <w:szCs w:val="21"/>
          <w:highlight w:val="none"/>
        </w:rPr>
        <w:t>如一个项目/分包内只有一种产品，不同投标人所投产品为同一品牌的，按如下方式处理：</w:t>
      </w:r>
    </w:p>
    <w:p w14:paraId="02E62177">
      <w:pPr>
        <w:ind w:left="420" w:hanging="420" w:hangingChars="200"/>
        <w:jc w:val="both"/>
        <w:rPr>
          <w:rFonts w:ascii="宋体" w:hAnsi="宋体" w:cs="宋体"/>
          <w:color w:val="auto"/>
          <w:sz w:val="21"/>
          <w:szCs w:val="21"/>
          <w:highlight w:val="none"/>
        </w:rPr>
      </w:pPr>
      <w:r>
        <w:rPr>
          <w:rFonts w:hint="eastAsia" w:ascii="宋体" w:hAnsi="宋体" w:cs="宋体"/>
          <w:color w:val="auto"/>
          <w:sz w:val="21"/>
          <w:szCs w:val="21"/>
          <w:highlight w:val="none"/>
        </w:rPr>
        <w:t>2</w:t>
      </w:r>
      <w:r>
        <w:rPr>
          <w:rFonts w:ascii="宋体" w:hAnsi="宋体" w:cs="宋体"/>
          <w:color w:val="auto"/>
          <w:sz w:val="21"/>
          <w:szCs w:val="21"/>
          <w:highlight w:val="none"/>
        </w:rPr>
        <w:t>6</w:t>
      </w:r>
      <w:r>
        <w:rPr>
          <w:rFonts w:hint="eastAsia" w:ascii="宋体" w:hAnsi="宋体" w:cs="宋体"/>
          <w:color w:val="auto"/>
          <w:sz w:val="21"/>
          <w:szCs w:val="21"/>
          <w:highlight w:val="none"/>
        </w:rPr>
        <w:t>.</w:t>
      </w:r>
      <w:r>
        <w:rPr>
          <w:rFonts w:ascii="宋体" w:hAnsi="宋体" w:cs="宋体"/>
          <w:color w:val="auto"/>
          <w:sz w:val="21"/>
          <w:szCs w:val="21"/>
          <w:highlight w:val="none"/>
        </w:rPr>
        <w:t>6</w:t>
      </w:r>
      <w:r>
        <w:rPr>
          <w:rFonts w:hint="eastAsia" w:ascii="宋体" w:hAnsi="宋体" w:cs="宋体"/>
          <w:color w:val="auto"/>
          <w:sz w:val="21"/>
          <w:szCs w:val="21"/>
          <w:highlight w:val="none"/>
        </w:rPr>
        <w:t>.</w:t>
      </w:r>
      <w:r>
        <w:rPr>
          <w:rFonts w:ascii="宋体" w:hAnsi="宋体" w:cs="宋体"/>
          <w:color w:val="auto"/>
          <w:sz w:val="21"/>
          <w:szCs w:val="21"/>
          <w:highlight w:val="none"/>
        </w:rPr>
        <w:t>4</w:t>
      </w:r>
      <w:r>
        <w:rPr>
          <w:rFonts w:hint="eastAsia" w:ascii="宋体" w:hAnsi="宋体" w:cs="宋体"/>
          <w:color w:val="auto"/>
          <w:sz w:val="21"/>
          <w:szCs w:val="21"/>
          <w:highlight w:val="none"/>
        </w:rPr>
        <w:t>.1如本项目使用最低评标价法，提供相同品牌产品的不同投标人以其中通过资格审查、符合性审查且报价最低的参加评标；报价相同的，由采购人或者采购人委托评标委员会按照招标文件中评标办法规定的方式确定一个参加评标的投标人；未规定的采取随机抽取方式确定，其他投标无效。</w:t>
      </w:r>
    </w:p>
    <w:p w14:paraId="442AA898">
      <w:pPr>
        <w:ind w:left="420" w:hanging="420" w:hangingChars="200"/>
        <w:jc w:val="both"/>
        <w:rPr>
          <w:rFonts w:ascii="宋体" w:hAnsi="宋体" w:cs="宋体"/>
          <w:color w:val="auto"/>
          <w:sz w:val="21"/>
          <w:szCs w:val="21"/>
          <w:highlight w:val="none"/>
        </w:rPr>
      </w:pPr>
      <w:r>
        <w:rPr>
          <w:rFonts w:hint="eastAsia" w:ascii="宋体" w:hAnsi="宋体" w:cs="宋体"/>
          <w:color w:val="auto"/>
          <w:sz w:val="21"/>
          <w:szCs w:val="21"/>
          <w:highlight w:val="none"/>
        </w:rPr>
        <w:t>2</w:t>
      </w:r>
      <w:r>
        <w:rPr>
          <w:rFonts w:ascii="宋体" w:hAnsi="宋体" w:cs="宋体"/>
          <w:color w:val="auto"/>
          <w:sz w:val="21"/>
          <w:szCs w:val="21"/>
          <w:highlight w:val="none"/>
        </w:rPr>
        <w:t>6</w:t>
      </w:r>
      <w:r>
        <w:rPr>
          <w:rFonts w:hint="eastAsia" w:ascii="宋体" w:hAnsi="宋体" w:cs="宋体"/>
          <w:color w:val="auto"/>
          <w:sz w:val="21"/>
          <w:szCs w:val="21"/>
          <w:highlight w:val="none"/>
        </w:rPr>
        <w:t>.</w:t>
      </w:r>
      <w:r>
        <w:rPr>
          <w:rFonts w:ascii="宋体" w:hAnsi="宋体" w:cs="宋体"/>
          <w:color w:val="auto"/>
          <w:sz w:val="21"/>
          <w:szCs w:val="21"/>
          <w:highlight w:val="none"/>
        </w:rPr>
        <w:t>6</w:t>
      </w:r>
      <w:r>
        <w:rPr>
          <w:rFonts w:hint="eastAsia" w:ascii="宋体" w:hAnsi="宋体" w:cs="宋体"/>
          <w:color w:val="auto"/>
          <w:sz w:val="21"/>
          <w:szCs w:val="21"/>
          <w:highlight w:val="none"/>
        </w:rPr>
        <w:t>.</w:t>
      </w:r>
      <w:r>
        <w:rPr>
          <w:rFonts w:ascii="宋体" w:hAnsi="宋体" w:cs="宋体"/>
          <w:color w:val="auto"/>
          <w:sz w:val="21"/>
          <w:szCs w:val="21"/>
          <w:highlight w:val="none"/>
        </w:rPr>
        <w:t>4</w:t>
      </w:r>
      <w:r>
        <w:rPr>
          <w:rFonts w:hint="eastAsia" w:ascii="宋体" w:hAnsi="宋体" w:cs="宋体"/>
          <w:color w:val="auto"/>
          <w:sz w:val="21"/>
          <w:szCs w:val="21"/>
          <w:highlight w:val="none"/>
        </w:rPr>
        <w:t>.2 如本项目使用综合评分法，提供相同品牌产品且通过资格审查、符合性审查的不同投标人，按一家投标人计算，评审后得分最高的同品牌投标人获得中标人推荐资格；评审得分相同的，由评标委员会确定技术部分得分较高的投标人获得中标人推荐资格，其他同品牌投标人不作为中标候选人；未规定的采取随机抽取方式确定，其他同品牌投标人不作为中标候选人。</w:t>
      </w:r>
    </w:p>
    <w:p w14:paraId="051315C3">
      <w:pPr>
        <w:ind w:left="420" w:hanging="420" w:hangingChars="200"/>
        <w:jc w:val="both"/>
        <w:rPr>
          <w:rFonts w:ascii="宋体" w:hAnsi="宋体" w:cs="宋体"/>
          <w:color w:val="auto"/>
          <w:sz w:val="21"/>
          <w:szCs w:val="21"/>
          <w:highlight w:val="none"/>
        </w:rPr>
      </w:pPr>
      <w:r>
        <w:rPr>
          <w:rFonts w:hint="eastAsia" w:ascii="宋体" w:hAnsi="宋体" w:cs="宋体"/>
          <w:color w:val="auto"/>
          <w:sz w:val="21"/>
          <w:szCs w:val="21"/>
          <w:highlight w:val="none"/>
        </w:rPr>
        <w:t>2</w:t>
      </w:r>
      <w:r>
        <w:rPr>
          <w:rFonts w:ascii="宋体" w:hAnsi="宋体" w:cs="宋体"/>
          <w:color w:val="auto"/>
          <w:sz w:val="21"/>
          <w:szCs w:val="21"/>
          <w:highlight w:val="none"/>
        </w:rPr>
        <w:t>6</w:t>
      </w:r>
      <w:r>
        <w:rPr>
          <w:rFonts w:hint="eastAsia" w:ascii="宋体" w:hAnsi="宋体" w:cs="宋体"/>
          <w:color w:val="auto"/>
          <w:sz w:val="21"/>
          <w:szCs w:val="21"/>
          <w:highlight w:val="none"/>
        </w:rPr>
        <w:t>.</w:t>
      </w:r>
      <w:r>
        <w:rPr>
          <w:rFonts w:ascii="宋体" w:hAnsi="宋体" w:cs="宋体"/>
          <w:color w:val="auto"/>
          <w:sz w:val="21"/>
          <w:szCs w:val="21"/>
          <w:highlight w:val="none"/>
        </w:rPr>
        <w:t>6</w:t>
      </w:r>
      <w:r>
        <w:rPr>
          <w:rFonts w:hint="eastAsia" w:ascii="宋体" w:hAnsi="宋体" w:cs="宋体"/>
          <w:color w:val="auto"/>
          <w:sz w:val="21"/>
          <w:szCs w:val="21"/>
          <w:highlight w:val="none"/>
        </w:rPr>
        <w:t>.</w:t>
      </w:r>
      <w:r>
        <w:rPr>
          <w:rFonts w:ascii="宋体" w:hAnsi="宋体" w:cs="宋体"/>
          <w:color w:val="auto"/>
          <w:sz w:val="21"/>
          <w:szCs w:val="21"/>
          <w:highlight w:val="none"/>
        </w:rPr>
        <w:t>5</w:t>
      </w:r>
      <w:r>
        <w:rPr>
          <w:rFonts w:hint="eastAsia" w:ascii="宋体" w:hAnsi="宋体" w:cs="宋体"/>
          <w:color w:val="auto"/>
          <w:sz w:val="21"/>
          <w:szCs w:val="21"/>
          <w:highlight w:val="none"/>
        </w:rPr>
        <w:t>如一个分包内包含多种产品的，采购人或采购代理机构将在投标人须知中载明核心产品，多家投标人提供的核心产品品牌相同的，按第21.3.3条规定处理。</w:t>
      </w:r>
    </w:p>
    <w:p w14:paraId="54D60207">
      <w:pPr>
        <w:ind w:left="420" w:hanging="420" w:hangingChars="200"/>
        <w:jc w:val="both"/>
        <w:rPr>
          <w:rFonts w:ascii="宋体" w:hAnsi="宋体" w:cs="宋体"/>
          <w:color w:val="auto"/>
          <w:sz w:val="21"/>
          <w:szCs w:val="21"/>
          <w:highlight w:val="none"/>
        </w:rPr>
      </w:pPr>
      <w:r>
        <w:rPr>
          <w:rFonts w:hint="eastAsia" w:ascii="宋体" w:hAnsi="宋体" w:cs="宋体"/>
          <w:color w:val="auto"/>
          <w:sz w:val="21"/>
          <w:szCs w:val="21"/>
          <w:highlight w:val="none"/>
        </w:rPr>
        <w:t>2</w:t>
      </w:r>
      <w:r>
        <w:rPr>
          <w:rFonts w:ascii="宋体" w:hAnsi="宋体" w:cs="宋体"/>
          <w:color w:val="auto"/>
          <w:sz w:val="21"/>
          <w:szCs w:val="21"/>
          <w:highlight w:val="none"/>
        </w:rPr>
        <w:t>6</w:t>
      </w:r>
      <w:r>
        <w:rPr>
          <w:rFonts w:hint="eastAsia" w:ascii="宋体" w:hAnsi="宋体" w:cs="宋体"/>
          <w:color w:val="auto"/>
          <w:sz w:val="21"/>
          <w:szCs w:val="21"/>
          <w:highlight w:val="none"/>
        </w:rPr>
        <w:t>.</w:t>
      </w:r>
      <w:r>
        <w:rPr>
          <w:rFonts w:ascii="宋体" w:hAnsi="宋体" w:cs="宋体"/>
          <w:color w:val="auto"/>
          <w:sz w:val="21"/>
          <w:szCs w:val="21"/>
          <w:highlight w:val="none"/>
        </w:rPr>
        <w:t>6</w:t>
      </w:r>
      <w:r>
        <w:rPr>
          <w:rFonts w:hint="eastAsia" w:ascii="宋体" w:hAnsi="宋体" w:cs="宋体"/>
          <w:color w:val="auto"/>
          <w:sz w:val="21"/>
          <w:szCs w:val="21"/>
          <w:highlight w:val="none"/>
        </w:rPr>
        <w:t>.</w:t>
      </w:r>
      <w:r>
        <w:rPr>
          <w:rFonts w:ascii="宋体" w:hAnsi="宋体" w:cs="宋体"/>
          <w:color w:val="auto"/>
          <w:sz w:val="21"/>
          <w:szCs w:val="21"/>
          <w:highlight w:val="none"/>
        </w:rPr>
        <w:t>6</w:t>
      </w:r>
      <w:r>
        <w:rPr>
          <w:rFonts w:hint="eastAsia" w:ascii="宋体" w:hAnsi="宋体" w:cs="宋体"/>
          <w:color w:val="auto"/>
          <w:sz w:val="21"/>
          <w:szCs w:val="21"/>
          <w:highlight w:val="none"/>
        </w:rPr>
        <w:t>如采购人所采购产品为政府强制采购的节能产品，投标人所投产品的品牌及型号必须为清单中有效期内产品并提供证明文件，否则其投标将作为无效投标被拒绝。</w:t>
      </w:r>
    </w:p>
    <w:p w14:paraId="18BE1DF2">
      <w:pPr>
        <w:rPr>
          <w:rFonts w:ascii="宋体" w:hAnsi="宋体" w:cs="宋体"/>
          <w:b/>
          <w:bCs/>
          <w:color w:val="auto"/>
          <w:sz w:val="21"/>
          <w:szCs w:val="21"/>
          <w:highlight w:val="none"/>
        </w:rPr>
      </w:pPr>
      <w:r>
        <w:rPr>
          <w:rFonts w:hint="eastAsia" w:ascii="宋体" w:hAnsi="宋体" w:cs="宋体"/>
          <w:b/>
          <w:bCs/>
          <w:color w:val="auto"/>
          <w:sz w:val="21"/>
          <w:szCs w:val="21"/>
          <w:highlight w:val="none"/>
        </w:rPr>
        <w:t>25.无效投标情形</w:t>
      </w:r>
    </w:p>
    <w:p w14:paraId="3B332929">
      <w:pPr>
        <w:rPr>
          <w:rFonts w:ascii="宋体" w:hAnsi="宋体" w:cs="宋体"/>
          <w:b/>
          <w:bCs/>
          <w:color w:val="auto"/>
          <w:sz w:val="21"/>
          <w:szCs w:val="21"/>
          <w:highlight w:val="none"/>
        </w:rPr>
      </w:pPr>
      <w:r>
        <w:rPr>
          <w:rFonts w:hint="eastAsia" w:ascii="宋体" w:hAnsi="宋体" w:cs="宋体"/>
          <w:b/>
          <w:bCs/>
          <w:color w:val="auto"/>
          <w:sz w:val="21"/>
          <w:szCs w:val="21"/>
          <w:highlight w:val="none"/>
        </w:rPr>
        <w:t>25.1资格性检查过程中，出现以下情形之一的，其投标被视为无效投标：</w:t>
      </w:r>
    </w:p>
    <w:p w14:paraId="33E99529">
      <w:pPr>
        <w:ind w:left="523" w:leftChars="174" w:hanging="105" w:hangingChars="50"/>
        <w:rPr>
          <w:rFonts w:ascii="宋体" w:hAnsi="宋体" w:cs="宋体"/>
          <w:color w:val="auto"/>
          <w:sz w:val="21"/>
          <w:szCs w:val="21"/>
          <w:highlight w:val="none"/>
        </w:rPr>
      </w:pPr>
      <w:r>
        <w:rPr>
          <w:rFonts w:hint="eastAsia" w:ascii="宋体" w:hAnsi="宋体" w:cs="宋体"/>
          <w:color w:val="auto"/>
          <w:sz w:val="21"/>
          <w:szCs w:val="21"/>
          <w:highlight w:val="none"/>
        </w:rPr>
        <w:t>（</w:t>
      </w:r>
      <w:r>
        <w:rPr>
          <w:rFonts w:ascii="宋体" w:hAnsi="宋体" w:cs="宋体"/>
          <w:color w:val="auto"/>
          <w:sz w:val="21"/>
          <w:szCs w:val="21"/>
          <w:highlight w:val="none"/>
        </w:rPr>
        <w:t>1</w:t>
      </w:r>
      <w:r>
        <w:rPr>
          <w:rFonts w:hint="eastAsia" w:ascii="宋体" w:hAnsi="宋体" w:cs="宋体"/>
          <w:color w:val="auto"/>
          <w:sz w:val="21"/>
          <w:szCs w:val="21"/>
          <w:highlight w:val="none"/>
        </w:rPr>
        <w:t>）未按</w:t>
      </w:r>
      <w:r>
        <w:rPr>
          <w:rFonts w:ascii="宋体" w:hAnsi="宋体" w:cs="宋体"/>
          <w:color w:val="auto"/>
          <w:sz w:val="21"/>
          <w:szCs w:val="21"/>
          <w:highlight w:val="none"/>
        </w:rPr>
        <w:t>12.2</w:t>
      </w:r>
      <w:r>
        <w:rPr>
          <w:rFonts w:hint="eastAsia" w:ascii="宋体" w:hAnsi="宋体" w:cs="宋体"/>
          <w:color w:val="auto"/>
          <w:sz w:val="21"/>
          <w:szCs w:val="21"/>
          <w:highlight w:val="none"/>
        </w:rPr>
        <w:t>（</w:t>
      </w:r>
      <w:r>
        <w:rPr>
          <w:rFonts w:ascii="宋体" w:hAnsi="宋体" w:cs="宋体"/>
          <w:color w:val="auto"/>
          <w:sz w:val="21"/>
          <w:szCs w:val="21"/>
          <w:highlight w:val="none"/>
        </w:rPr>
        <w:t>1</w:t>
      </w:r>
      <w:r>
        <w:rPr>
          <w:rFonts w:hint="eastAsia" w:ascii="宋体" w:hAnsi="宋体" w:cs="宋体"/>
          <w:color w:val="auto"/>
          <w:sz w:val="21"/>
          <w:szCs w:val="21"/>
          <w:highlight w:val="none"/>
        </w:rPr>
        <w:t>）递交完整有效的资格证明文件；</w:t>
      </w:r>
    </w:p>
    <w:p w14:paraId="27AEC741">
      <w:pPr>
        <w:ind w:left="525" w:hanging="525" w:hangingChars="250"/>
        <w:rPr>
          <w:rFonts w:ascii="宋体" w:hAnsi="宋体" w:cs="宋体"/>
          <w:color w:val="auto"/>
          <w:sz w:val="21"/>
          <w:szCs w:val="21"/>
          <w:highlight w:val="none"/>
        </w:rPr>
      </w:pPr>
      <w:r>
        <w:rPr>
          <w:rFonts w:hint="eastAsia" w:ascii="宋体" w:hAnsi="宋体" w:cs="宋体"/>
          <w:color w:val="auto"/>
          <w:kern w:val="0"/>
          <w:sz w:val="21"/>
          <w:szCs w:val="21"/>
          <w:highlight w:val="none"/>
        </w:rPr>
        <w:t>25.2 合格投标人不足3家的，不得组织评标。</w:t>
      </w:r>
    </w:p>
    <w:p w14:paraId="5CA293F2">
      <w:pPr>
        <w:rPr>
          <w:rFonts w:ascii="宋体" w:hAnsi="宋体" w:cs="宋体"/>
          <w:b/>
          <w:bCs/>
          <w:color w:val="auto"/>
          <w:sz w:val="21"/>
          <w:szCs w:val="21"/>
          <w:highlight w:val="none"/>
        </w:rPr>
      </w:pPr>
      <w:bookmarkStart w:id="24" w:name="_Toc498350860"/>
      <w:bookmarkStart w:id="25" w:name="_Toc498952905"/>
      <w:bookmarkStart w:id="26" w:name="_Toc502674956"/>
      <w:r>
        <w:rPr>
          <w:rFonts w:hint="eastAsia" w:ascii="宋体" w:hAnsi="宋体" w:cs="宋体"/>
          <w:b/>
          <w:bCs/>
          <w:color w:val="auto"/>
          <w:sz w:val="21"/>
          <w:szCs w:val="21"/>
          <w:highlight w:val="none"/>
        </w:rPr>
        <w:t>26.组建评标委员会</w:t>
      </w:r>
      <w:bookmarkEnd w:id="24"/>
      <w:bookmarkEnd w:id="25"/>
      <w:bookmarkEnd w:id="26"/>
    </w:p>
    <w:p w14:paraId="6AEE2754">
      <w:pPr>
        <w:ind w:left="525" w:hanging="525" w:hangingChars="250"/>
        <w:rPr>
          <w:rFonts w:ascii="宋体" w:hAnsi="宋体" w:cs="宋体"/>
          <w:color w:val="auto"/>
          <w:sz w:val="21"/>
          <w:szCs w:val="21"/>
          <w:highlight w:val="none"/>
        </w:rPr>
      </w:pPr>
      <w:r>
        <w:rPr>
          <w:rFonts w:hint="eastAsia" w:ascii="宋体" w:hAnsi="宋体" w:cs="宋体"/>
          <w:color w:val="auto"/>
          <w:sz w:val="21"/>
          <w:szCs w:val="21"/>
          <w:highlight w:val="none"/>
        </w:rPr>
        <w:t>26.1评标委员会由招标代理机构负责依法组建。评标委员会负责具体评标工作，并独立履行下列职责：审查、评价投标文件是否符合招标文件的商务、技术等实质性要求；要求投标人对投标文件有关事项作出澄清或者说明；对投标文件进行比较和评价；确定中标候选人名单；提交评标报告。</w:t>
      </w:r>
    </w:p>
    <w:p w14:paraId="161FEB4F">
      <w:pPr>
        <w:rPr>
          <w:rFonts w:ascii="宋体" w:hAnsi="宋体" w:cs="宋体"/>
          <w:b/>
          <w:bCs/>
          <w:color w:val="auto"/>
          <w:sz w:val="21"/>
          <w:szCs w:val="21"/>
          <w:highlight w:val="none"/>
        </w:rPr>
      </w:pPr>
      <w:bookmarkStart w:id="27" w:name="_Toc502674957"/>
      <w:bookmarkStart w:id="28" w:name="_Toc498350861"/>
      <w:bookmarkStart w:id="29" w:name="_Toc498952906"/>
      <w:r>
        <w:rPr>
          <w:rFonts w:hint="eastAsia" w:ascii="宋体" w:hAnsi="宋体" w:cs="宋体"/>
          <w:b/>
          <w:bCs/>
          <w:color w:val="auto"/>
          <w:sz w:val="21"/>
          <w:szCs w:val="21"/>
          <w:highlight w:val="none"/>
        </w:rPr>
        <w:t>27.评标程序</w:t>
      </w:r>
      <w:bookmarkEnd w:id="27"/>
      <w:bookmarkEnd w:id="28"/>
      <w:bookmarkEnd w:id="29"/>
    </w:p>
    <w:p w14:paraId="519AE978">
      <w:pPr>
        <w:autoSpaceDE w:val="0"/>
        <w:autoSpaceDN w:val="0"/>
        <w:adjustRightInd w:val="0"/>
        <w:ind w:left="525" w:hanging="525" w:hangingChars="250"/>
        <w:rPr>
          <w:rFonts w:ascii="宋体" w:hAnsi="宋体" w:cs="宋体"/>
          <w:color w:val="auto"/>
          <w:sz w:val="21"/>
          <w:szCs w:val="21"/>
          <w:highlight w:val="none"/>
        </w:rPr>
      </w:pPr>
      <w:r>
        <w:rPr>
          <w:rFonts w:hint="eastAsia" w:ascii="宋体" w:hAnsi="宋体" w:cs="宋体"/>
          <w:color w:val="auto"/>
          <w:sz w:val="21"/>
          <w:szCs w:val="21"/>
          <w:highlight w:val="none"/>
        </w:rPr>
        <w:t>27.1 招标代理机构应在评标前核对评审专家身份及招标人代表授权函，并宣布评标纪律等应告知的其他相关内容。</w:t>
      </w:r>
    </w:p>
    <w:p w14:paraId="4866025B">
      <w:pPr>
        <w:autoSpaceDE w:val="0"/>
        <w:autoSpaceDN w:val="0"/>
        <w:adjustRightInd w:val="0"/>
        <w:ind w:left="525" w:hanging="525" w:hangingChars="250"/>
        <w:rPr>
          <w:rFonts w:ascii="宋体" w:hAnsi="宋体" w:cs="宋体"/>
          <w:color w:val="auto"/>
          <w:sz w:val="21"/>
          <w:szCs w:val="21"/>
          <w:highlight w:val="none"/>
        </w:rPr>
      </w:pPr>
      <w:r>
        <w:rPr>
          <w:rFonts w:hint="eastAsia" w:ascii="宋体" w:hAnsi="宋体" w:cs="宋体"/>
          <w:color w:val="auto"/>
          <w:sz w:val="21"/>
          <w:szCs w:val="21"/>
          <w:highlight w:val="none"/>
        </w:rPr>
        <w:t>27.2 评标委员会推荐评标组长，但招标人代表不得担任组长。</w:t>
      </w:r>
    </w:p>
    <w:p w14:paraId="1AF283D3">
      <w:pPr>
        <w:autoSpaceDE w:val="0"/>
        <w:autoSpaceDN w:val="0"/>
        <w:adjustRightInd w:val="0"/>
        <w:ind w:left="525" w:hanging="525" w:hangingChars="250"/>
        <w:rPr>
          <w:rFonts w:ascii="宋体" w:hAnsi="宋体" w:cs="宋体"/>
          <w:color w:val="auto"/>
          <w:sz w:val="21"/>
          <w:szCs w:val="21"/>
          <w:highlight w:val="none"/>
        </w:rPr>
      </w:pPr>
      <w:r>
        <w:rPr>
          <w:rFonts w:hint="eastAsia" w:ascii="宋体" w:hAnsi="宋体" w:cs="宋体"/>
          <w:color w:val="auto"/>
          <w:sz w:val="21"/>
          <w:szCs w:val="21"/>
          <w:highlight w:val="none"/>
        </w:rPr>
        <w:t>27.3 评标委员会应按照招标文件要求，对符合资格的投标人的投标文件进行符合性评审，以确定</w:t>
      </w:r>
      <w:r>
        <w:rPr>
          <w:rFonts w:hint="eastAsia" w:ascii="宋体" w:hAnsi="宋体" w:cs="宋体"/>
          <w:color w:val="auto"/>
          <w:kern w:val="0"/>
          <w:sz w:val="21"/>
          <w:szCs w:val="21"/>
          <w:highlight w:val="none"/>
        </w:rPr>
        <w:t>是否满足招标文件的实质性要求。</w:t>
      </w:r>
    </w:p>
    <w:p w14:paraId="3999A9C6">
      <w:pPr>
        <w:ind w:left="567" w:hanging="567"/>
        <w:rPr>
          <w:rFonts w:ascii="宋体" w:hAnsi="宋体" w:cs="宋体"/>
          <w:color w:val="auto"/>
          <w:sz w:val="21"/>
          <w:szCs w:val="21"/>
          <w:highlight w:val="none"/>
        </w:rPr>
      </w:pPr>
      <w:r>
        <w:rPr>
          <w:rFonts w:hint="eastAsia" w:ascii="宋体" w:hAnsi="宋体" w:cs="宋体"/>
          <w:color w:val="auto"/>
          <w:sz w:val="21"/>
          <w:szCs w:val="21"/>
          <w:highlight w:val="none"/>
        </w:rPr>
        <w:t>27.4投标文件报价出现前后不一致的，按下列规定修正：</w:t>
      </w:r>
    </w:p>
    <w:p w14:paraId="09B4C42D">
      <w:pPr>
        <w:ind w:left="590" w:leftChars="202" w:hanging="105" w:hangingChars="50"/>
        <w:rPr>
          <w:rFonts w:ascii="宋体" w:hAnsi="宋体" w:cs="宋体"/>
          <w:color w:val="auto"/>
          <w:sz w:val="21"/>
          <w:szCs w:val="21"/>
          <w:highlight w:val="none"/>
        </w:rPr>
      </w:pPr>
      <w:r>
        <w:rPr>
          <w:rFonts w:hint="eastAsia" w:ascii="宋体" w:hAnsi="宋体" w:cs="宋体"/>
          <w:color w:val="auto"/>
          <w:sz w:val="21"/>
          <w:szCs w:val="21"/>
          <w:highlight w:val="none"/>
        </w:rPr>
        <w:t>（1)投标文件中开标一览表（报价表）内容与投标文件中相应内容不一致的，以开标一览表（报价表）为准；</w:t>
      </w:r>
    </w:p>
    <w:p w14:paraId="7DEF14DA">
      <w:pPr>
        <w:ind w:left="245" w:leftChars="102" w:firstLine="210" w:firstLineChars="100"/>
        <w:rPr>
          <w:rFonts w:ascii="宋体" w:hAnsi="宋体" w:cs="宋体"/>
          <w:color w:val="auto"/>
          <w:sz w:val="21"/>
          <w:szCs w:val="21"/>
          <w:highlight w:val="none"/>
        </w:rPr>
      </w:pPr>
      <w:r>
        <w:rPr>
          <w:rFonts w:hint="eastAsia" w:ascii="宋体" w:hAnsi="宋体" w:cs="宋体"/>
          <w:color w:val="auto"/>
          <w:sz w:val="21"/>
          <w:szCs w:val="21"/>
          <w:highlight w:val="none"/>
        </w:rPr>
        <w:t>（2)大写金额和小写金额不一致的，以大写金额为准；</w:t>
      </w:r>
    </w:p>
    <w:p w14:paraId="150A3E78">
      <w:pPr>
        <w:ind w:left="590" w:leftChars="202" w:hanging="105" w:hangingChars="50"/>
        <w:rPr>
          <w:rFonts w:ascii="宋体" w:hAnsi="宋体" w:cs="宋体"/>
          <w:color w:val="auto"/>
          <w:sz w:val="21"/>
          <w:szCs w:val="21"/>
          <w:highlight w:val="none"/>
        </w:rPr>
      </w:pPr>
      <w:r>
        <w:rPr>
          <w:rFonts w:hint="eastAsia" w:ascii="宋体" w:hAnsi="宋体" w:cs="宋体"/>
          <w:color w:val="auto"/>
          <w:sz w:val="21"/>
          <w:szCs w:val="21"/>
          <w:highlight w:val="none"/>
        </w:rPr>
        <w:t>（3)单价金额小数点或者百分比有明显错位的，以开标一览表的总价为准，并修改单价；</w:t>
      </w:r>
    </w:p>
    <w:p w14:paraId="59DC23A3">
      <w:pPr>
        <w:ind w:left="907" w:leftChars="203" w:hanging="420" w:hangingChars="200"/>
        <w:rPr>
          <w:rFonts w:ascii="宋体" w:hAnsi="宋体" w:cs="宋体"/>
          <w:color w:val="auto"/>
          <w:sz w:val="21"/>
          <w:szCs w:val="21"/>
          <w:highlight w:val="none"/>
        </w:rPr>
      </w:pPr>
      <w:r>
        <w:rPr>
          <w:rFonts w:hint="eastAsia" w:ascii="宋体" w:hAnsi="宋体" w:cs="宋体"/>
          <w:color w:val="auto"/>
          <w:sz w:val="21"/>
          <w:szCs w:val="21"/>
          <w:highlight w:val="none"/>
        </w:rPr>
        <w:t>（4)总价金额与按单价汇总金额不一致的，以单价金额计算结果为准。</w:t>
      </w:r>
    </w:p>
    <w:p w14:paraId="079253C8">
      <w:pPr>
        <w:ind w:firstLine="525" w:firstLineChars="250"/>
        <w:rPr>
          <w:rFonts w:ascii="宋体" w:hAnsi="宋体" w:cs="宋体"/>
          <w:color w:val="auto"/>
          <w:sz w:val="21"/>
          <w:szCs w:val="21"/>
          <w:highlight w:val="none"/>
        </w:rPr>
      </w:pPr>
      <w:r>
        <w:rPr>
          <w:rFonts w:hint="eastAsia" w:ascii="宋体" w:hAnsi="宋体" w:cs="宋体"/>
          <w:color w:val="auto"/>
          <w:sz w:val="21"/>
          <w:szCs w:val="21"/>
          <w:highlight w:val="none"/>
        </w:rPr>
        <w:t>同时出现两种以上不一致的，按照前款规定的顺序修正，若投标人不同意对其错误的修正，</w:t>
      </w:r>
      <w:r>
        <w:rPr>
          <w:rFonts w:hint="eastAsia" w:ascii="宋体" w:hAnsi="宋体" w:cs="宋体"/>
          <w:b/>
          <w:color w:val="auto"/>
          <w:sz w:val="21"/>
          <w:szCs w:val="21"/>
          <w:highlight w:val="none"/>
        </w:rPr>
        <w:t>投标无效。</w:t>
      </w:r>
    </w:p>
    <w:p w14:paraId="0EB56CAE">
      <w:pPr>
        <w:ind w:left="525" w:hanging="525" w:hangingChars="250"/>
        <w:rPr>
          <w:rFonts w:ascii="宋体" w:hAnsi="宋体" w:cs="宋体"/>
          <w:color w:val="auto"/>
          <w:sz w:val="21"/>
          <w:szCs w:val="21"/>
          <w:highlight w:val="none"/>
        </w:rPr>
      </w:pPr>
      <w:r>
        <w:rPr>
          <w:rFonts w:hint="eastAsia" w:ascii="宋体" w:hAnsi="宋体" w:cs="宋体"/>
          <w:color w:val="auto"/>
          <w:sz w:val="21"/>
          <w:szCs w:val="21"/>
          <w:highlight w:val="none"/>
        </w:rPr>
        <w:t>27.5 评标委员会可以允许投标文件中存在不构成实质性偏差的不正规、不一致或不规范，但不能损害或影响任何投标人的相对排序。</w:t>
      </w:r>
    </w:p>
    <w:p w14:paraId="0D923925">
      <w:pPr>
        <w:ind w:left="525" w:hanging="525" w:hangingChars="250"/>
        <w:rPr>
          <w:rFonts w:ascii="宋体" w:hAnsi="宋体" w:cs="宋体"/>
          <w:color w:val="auto"/>
          <w:sz w:val="21"/>
          <w:szCs w:val="21"/>
          <w:highlight w:val="none"/>
        </w:rPr>
      </w:pPr>
      <w:r>
        <w:rPr>
          <w:rFonts w:hint="eastAsia" w:ascii="宋体" w:hAnsi="宋体" w:cs="宋体"/>
          <w:color w:val="auto"/>
          <w:sz w:val="21"/>
          <w:szCs w:val="21"/>
          <w:highlight w:val="none"/>
        </w:rPr>
        <w:t>27.6 在详细评标之前，评标委员会要审查每份投标文件是否实质性响应了招标文件的要求。实质性响应的投标应该是与招标文件要求的全部条款、条件和规格相符，没有重大偏离或保留的投标。</w:t>
      </w:r>
    </w:p>
    <w:p w14:paraId="65B262A1">
      <w:pPr>
        <w:ind w:left="525" w:hanging="525" w:hangingChars="250"/>
        <w:rPr>
          <w:rFonts w:ascii="宋体" w:hAnsi="宋体" w:cs="宋体"/>
          <w:color w:val="auto"/>
          <w:sz w:val="21"/>
          <w:szCs w:val="21"/>
          <w:highlight w:val="none"/>
        </w:rPr>
      </w:pPr>
      <w:r>
        <w:rPr>
          <w:rFonts w:hint="eastAsia" w:ascii="宋体" w:hAnsi="宋体" w:cs="宋体"/>
          <w:color w:val="auto"/>
          <w:sz w:val="21"/>
          <w:szCs w:val="21"/>
          <w:highlight w:val="none"/>
        </w:rPr>
        <w:t>27.7实质上没有响应招标文件要求的投标无效。投标人不得通过修正、补充或撤销不合要求的偏离或保留从而使其投标成为实质上响应的投标。招标文件要求提供原件的，应当提供原件，</w:t>
      </w:r>
      <w:r>
        <w:rPr>
          <w:rFonts w:hint="eastAsia" w:ascii="宋体" w:hAnsi="宋体" w:cs="宋体"/>
          <w:b/>
          <w:color w:val="auto"/>
          <w:sz w:val="21"/>
          <w:szCs w:val="21"/>
          <w:highlight w:val="none"/>
        </w:rPr>
        <w:t>否则投标无效</w:t>
      </w:r>
      <w:r>
        <w:rPr>
          <w:rFonts w:hint="eastAsia" w:ascii="宋体" w:hAnsi="宋体" w:cs="宋体"/>
          <w:color w:val="auto"/>
          <w:sz w:val="21"/>
          <w:szCs w:val="21"/>
          <w:highlight w:val="none"/>
        </w:rPr>
        <w:t>。</w:t>
      </w:r>
    </w:p>
    <w:p w14:paraId="05FCF6CD">
      <w:pPr>
        <w:rPr>
          <w:rFonts w:ascii="宋体" w:hAnsi="宋体" w:cs="宋体"/>
          <w:color w:val="auto"/>
          <w:sz w:val="21"/>
          <w:szCs w:val="21"/>
          <w:highlight w:val="none"/>
        </w:rPr>
      </w:pPr>
      <w:r>
        <w:rPr>
          <w:rFonts w:hint="eastAsia" w:ascii="宋体" w:hAnsi="宋体" w:cs="宋体"/>
          <w:b/>
          <w:color w:val="auto"/>
          <w:sz w:val="21"/>
          <w:szCs w:val="21"/>
          <w:highlight w:val="none"/>
        </w:rPr>
        <w:t>27.8 符合性检查过程中，出现以下情形之一的，将按照无效投标处理：</w:t>
      </w:r>
    </w:p>
    <w:p w14:paraId="5F922DF5">
      <w:pPr>
        <w:pStyle w:val="69"/>
        <w:numPr>
          <w:ilvl w:val="0"/>
          <w:numId w:val="5"/>
        </w:numPr>
        <w:ind w:firstLineChars="0"/>
        <w:rPr>
          <w:rFonts w:ascii="宋体" w:hAnsi="宋体" w:cs="宋体"/>
          <w:color w:val="auto"/>
          <w:sz w:val="21"/>
          <w:szCs w:val="21"/>
          <w:highlight w:val="none"/>
        </w:rPr>
      </w:pPr>
      <w:r>
        <w:rPr>
          <w:rFonts w:hint="eastAsia" w:ascii="宋体" w:hAnsi="宋体" w:cs="宋体"/>
          <w:color w:val="auto"/>
          <w:sz w:val="21"/>
          <w:szCs w:val="21"/>
          <w:highlight w:val="none"/>
        </w:rPr>
        <w:t>未按招标文件要求提供投标函、开标一览表的；</w:t>
      </w:r>
    </w:p>
    <w:p w14:paraId="0190B73C">
      <w:pPr>
        <w:pStyle w:val="69"/>
        <w:numPr>
          <w:ilvl w:val="0"/>
          <w:numId w:val="5"/>
        </w:numPr>
        <w:ind w:firstLineChars="0"/>
        <w:rPr>
          <w:rFonts w:ascii="宋体" w:hAnsi="宋体" w:cs="宋体"/>
          <w:color w:val="auto"/>
          <w:sz w:val="21"/>
          <w:szCs w:val="21"/>
          <w:highlight w:val="none"/>
        </w:rPr>
      </w:pPr>
      <w:r>
        <w:rPr>
          <w:rFonts w:hint="eastAsia" w:ascii="宋体" w:hAnsi="宋体" w:cs="宋体"/>
          <w:color w:val="auto"/>
          <w:sz w:val="21"/>
          <w:szCs w:val="21"/>
          <w:highlight w:val="none"/>
        </w:rPr>
        <w:t>投标文件未按招标文件要求签署、盖章的；</w:t>
      </w:r>
    </w:p>
    <w:p w14:paraId="3C686B2D">
      <w:pPr>
        <w:pStyle w:val="69"/>
        <w:numPr>
          <w:ilvl w:val="0"/>
          <w:numId w:val="5"/>
        </w:numPr>
        <w:ind w:firstLineChars="0"/>
        <w:rPr>
          <w:rFonts w:ascii="宋体" w:hAnsi="宋体" w:cs="宋体"/>
          <w:color w:val="auto"/>
          <w:sz w:val="21"/>
          <w:szCs w:val="21"/>
          <w:highlight w:val="none"/>
        </w:rPr>
      </w:pPr>
      <w:r>
        <w:rPr>
          <w:rFonts w:hint="eastAsia" w:ascii="宋体" w:hAnsi="宋体" w:cs="宋体"/>
          <w:color w:val="auto"/>
          <w:sz w:val="21"/>
          <w:szCs w:val="21"/>
          <w:highlight w:val="none"/>
        </w:rPr>
        <w:t>不同意对投标文件中算术计算错误进行更正的；</w:t>
      </w:r>
    </w:p>
    <w:p w14:paraId="3C3BAE2B">
      <w:pPr>
        <w:pStyle w:val="69"/>
        <w:numPr>
          <w:ilvl w:val="0"/>
          <w:numId w:val="5"/>
        </w:numPr>
        <w:ind w:firstLineChars="0"/>
        <w:rPr>
          <w:rFonts w:ascii="宋体" w:hAnsi="宋体" w:cs="宋体"/>
          <w:color w:val="auto"/>
          <w:sz w:val="21"/>
          <w:szCs w:val="21"/>
          <w:highlight w:val="none"/>
        </w:rPr>
      </w:pPr>
      <w:r>
        <w:rPr>
          <w:rFonts w:hint="eastAsia" w:ascii="宋体" w:hAnsi="宋体" w:cs="宋体"/>
          <w:color w:val="auto"/>
          <w:sz w:val="21"/>
          <w:szCs w:val="21"/>
          <w:highlight w:val="none"/>
        </w:rPr>
        <w:t>投标报价超过项目预算或最高限价的；</w:t>
      </w:r>
    </w:p>
    <w:p w14:paraId="258A161B">
      <w:pPr>
        <w:pStyle w:val="69"/>
        <w:numPr>
          <w:ilvl w:val="0"/>
          <w:numId w:val="5"/>
        </w:numPr>
        <w:ind w:firstLineChars="0"/>
        <w:rPr>
          <w:rFonts w:ascii="宋体" w:hAnsi="宋体" w:cs="宋体"/>
          <w:color w:val="auto"/>
          <w:sz w:val="21"/>
          <w:szCs w:val="21"/>
          <w:highlight w:val="none"/>
        </w:rPr>
      </w:pPr>
      <w:r>
        <w:rPr>
          <w:rFonts w:hint="eastAsia" w:ascii="宋体" w:hAnsi="宋体" w:cs="宋体"/>
          <w:color w:val="auto"/>
          <w:sz w:val="21"/>
          <w:szCs w:val="21"/>
          <w:highlight w:val="none"/>
        </w:rPr>
        <w:t>投标有效期不满足招标文件要求的；</w:t>
      </w:r>
    </w:p>
    <w:p w14:paraId="5E56945F">
      <w:pPr>
        <w:pStyle w:val="69"/>
        <w:numPr>
          <w:ilvl w:val="0"/>
          <w:numId w:val="5"/>
        </w:numPr>
        <w:ind w:firstLineChars="0"/>
        <w:rPr>
          <w:rFonts w:ascii="宋体" w:hAnsi="宋体" w:cs="宋体"/>
          <w:color w:val="auto"/>
          <w:sz w:val="21"/>
          <w:szCs w:val="21"/>
          <w:highlight w:val="none"/>
        </w:rPr>
      </w:pPr>
      <w:r>
        <w:rPr>
          <w:rFonts w:hint="eastAsia" w:ascii="宋体" w:hAnsi="宋体" w:cs="宋体"/>
          <w:color w:val="auto"/>
          <w:sz w:val="21"/>
          <w:szCs w:val="21"/>
          <w:highlight w:val="none"/>
        </w:rPr>
        <w:t>未按招标文件要求提交投标保证金的；</w:t>
      </w:r>
    </w:p>
    <w:p w14:paraId="0CBCD787">
      <w:pPr>
        <w:pStyle w:val="69"/>
        <w:numPr>
          <w:ilvl w:val="0"/>
          <w:numId w:val="5"/>
        </w:numPr>
        <w:ind w:firstLineChars="0"/>
        <w:rPr>
          <w:rFonts w:ascii="宋体" w:hAnsi="宋体" w:cs="宋体"/>
          <w:color w:val="auto"/>
          <w:sz w:val="21"/>
          <w:szCs w:val="21"/>
          <w:highlight w:val="none"/>
        </w:rPr>
      </w:pPr>
      <w:r>
        <w:rPr>
          <w:rFonts w:hint="eastAsia" w:ascii="宋体" w:hAnsi="宋体" w:cs="宋体"/>
          <w:color w:val="auto"/>
          <w:sz w:val="21"/>
          <w:szCs w:val="21"/>
          <w:highlight w:val="none"/>
        </w:rPr>
        <w:t>对招标文件商务和技术部分规定的实质性条款未做出实质性响应的；</w:t>
      </w:r>
    </w:p>
    <w:p w14:paraId="258CC59C">
      <w:pPr>
        <w:pStyle w:val="69"/>
        <w:numPr>
          <w:ilvl w:val="0"/>
          <w:numId w:val="5"/>
        </w:numPr>
        <w:ind w:firstLineChars="0"/>
        <w:rPr>
          <w:rFonts w:ascii="宋体" w:hAnsi="宋体" w:cs="宋体"/>
          <w:color w:val="auto"/>
          <w:sz w:val="21"/>
          <w:szCs w:val="21"/>
          <w:highlight w:val="none"/>
        </w:rPr>
      </w:pPr>
      <w:r>
        <w:rPr>
          <w:rFonts w:hint="eastAsia" w:ascii="宋体" w:hAnsi="宋体" w:cs="宋体"/>
          <w:color w:val="auto"/>
          <w:sz w:val="21"/>
          <w:szCs w:val="21"/>
          <w:highlight w:val="none"/>
        </w:rPr>
        <w:t>投标文件含有采购人不能接受的附加条件的；</w:t>
      </w:r>
    </w:p>
    <w:p w14:paraId="59F3EBAF">
      <w:pPr>
        <w:pStyle w:val="69"/>
        <w:numPr>
          <w:ilvl w:val="0"/>
          <w:numId w:val="5"/>
        </w:numPr>
        <w:ind w:firstLineChars="0"/>
        <w:rPr>
          <w:rFonts w:ascii="宋体" w:hAnsi="宋体" w:cs="宋体"/>
          <w:color w:val="auto"/>
          <w:sz w:val="21"/>
          <w:szCs w:val="21"/>
          <w:highlight w:val="none"/>
        </w:rPr>
      </w:pPr>
      <w:r>
        <w:rPr>
          <w:rFonts w:hint="eastAsia" w:ascii="宋体" w:hAnsi="宋体" w:cs="宋体"/>
          <w:color w:val="auto"/>
          <w:sz w:val="21"/>
          <w:szCs w:val="21"/>
          <w:highlight w:val="none"/>
        </w:rPr>
        <w:t>提交选择性报价的；</w:t>
      </w:r>
    </w:p>
    <w:p w14:paraId="7B7D7093">
      <w:pPr>
        <w:pStyle w:val="69"/>
        <w:numPr>
          <w:ilvl w:val="0"/>
          <w:numId w:val="5"/>
        </w:numPr>
        <w:ind w:firstLineChars="0"/>
        <w:rPr>
          <w:rFonts w:ascii="宋体" w:hAnsi="宋体" w:cs="宋体"/>
          <w:color w:val="auto"/>
          <w:sz w:val="21"/>
          <w:szCs w:val="21"/>
          <w:highlight w:val="none"/>
        </w:rPr>
      </w:pPr>
      <w:r>
        <w:rPr>
          <w:rFonts w:hint="eastAsia" w:ascii="宋体" w:hAnsi="宋体" w:cs="宋体"/>
          <w:color w:val="auto"/>
          <w:sz w:val="21"/>
          <w:szCs w:val="21"/>
          <w:highlight w:val="none"/>
        </w:rPr>
        <w:t>存在的串通投标情形的；</w:t>
      </w:r>
    </w:p>
    <w:p w14:paraId="0087E1DC">
      <w:pPr>
        <w:pStyle w:val="69"/>
        <w:numPr>
          <w:ilvl w:val="0"/>
          <w:numId w:val="5"/>
        </w:numPr>
        <w:ind w:firstLineChars="0"/>
        <w:rPr>
          <w:rFonts w:ascii="宋体" w:hAnsi="宋体" w:cs="宋体"/>
          <w:color w:val="auto"/>
          <w:sz w:val="21"/>
          <w:szCs w:val="21"/>
          <w:highlight w:val="none"/>
        </w:rPr>
      </w:pPr>
      <w:r>
        <w:rPr>
          <w:rFonts w:hint="eastAsia" w:ascii="宋体" w:hAnsi="宋体" w:cs="宋体"/>
          <w:color w:val="auto"/>
          <w:sz w:val="21"/>
          <w:szCs w:val="21"/>
          <w:highlight w:val="none"/>
        </w:rPr>
        <w:t>不满足投标人须知前附表中要求的合格投标人的资格证明文件（通过资格性审查的条款除外）；</w:t>
      </w:r>
    </w:p>
    <w:p w14:paraId="2FB0C276">
      <w:pPr>
        <w:pStyle w:val="69"/>
        <w:numPr>
          <w:ilvl w:val="0"/>
          <w:numId w:val="5"/>
        </w:numPr>
        <w:ind w:left="523" w:leftChars="174" w:hanging="105" w:hangingChars="50"/>
        <w:rPr>
          <w:rFonts w:ascii="宋体" w:hAnsi="宋体" w:cs="宋体"/>
          <w:color w:val="auto"/>
          <w:sz w:val="21"/>
          <w:szCs w:val="21"/>
          <w:highlight w:val="none"/>
        </w:rPr>
      </w:pPr>
      <w:r>
        <w:rPr>
          <w:rFonts w:hint="eastAsia" w:ascii="宋体" w:hAnsi="宋体" w:cs="宋体"/>
          <w:color w:val="auto"/>
          <w:sz w:val="21"/>
          <w:szCs w:val="21"/>
          <w:highlight w:val="none"/>
        </w:rPr>
        <w:t>法律、法规和招标文件规定的其他无效情形。</w:t>
      </w:r>
    </w:p>
    <w:p w14:paraId="7DD5323B">
      <w:pPr>
        <w:ind w:left="527" w:hanging="527" w:hangingChars="250"/>
        <w:rPr>
          <w:rFonts w:ascii="宋体" w:hAnsi="宋体" w:cs="宋体"/>
          <w:b/>
          <w:color w:val="auto"/>
          <w:sz w:val="21"/>
          <w:szCs w:val="21"/>
          <w:highlight w:val="none"/>
        </w:rPr>
      </w:pPr>
      <w:r>
        <w:rPr>
          <w:rFonts w:hint="eastAsia" w:ascii="宋体" w:hAnsi="宋体" w:cs="宋体"/>
          <w:b/>
          <w:color w:val="auto"/>
          <w:sz w:val="21"/>
          <w:szCs w:val="21"/>
          <w:highlight w:val="none"/>
        </w:rPr>
        <w:t>27.9比较与评价</w:t>
      </w:r>
    </w:p>
    <w:p w14:paraId="39CEAF9D">
      <w:pPr>
        <w:ind w:left="525" w:hanging="525" w:hangingChars="250"/>
        <w:rPr>
          <w:rFonts w:ascii="宋体" w:hAnsi="宋体" w:cs="宋体"/>
          <w:color w:val="auto"/>
          <w:sz w:val="21"/>
          <w:szCs w:val="21"/>
          <w:highlight w:val="none"/>
        </w:rPr>
      </w:pPr>
      <w:r>
        <w:rPr>
          <w:rFonts w:hint="eastAsia" w:ascii="宋体" w:hAnsi="宋体" w:cs="宋体"/>
          <w:color w:val="auto"/>
          <w:sz w:val="21"/>
          <w:szCs w:val="21"/>
          <w:highlight w:val="none"/>
        </w:rPr>
        <w:t>27.9.1评标委员会应当按照招标文件中规定的评标方法和标准，对资格性检查和符合性检查合格的投标文件进行商务和技术评估，综合比较和评价。</w:t>
      </w:r>
    </w:p>
    <w:p w14:paraId="58E1C721">
      <w:pPr>
        <w:ind w:left="525" w:hanging="525" w:hangingChars="250"/>
        <w:rPr>
          <w:rFonts w:ascii="宋体" w:hAnsi="宋体" w:cs="宋体"/>
          <w:color w:val="auto"/>
          <w:sz w:val="21"/>
          <w:szCs w:val="21"/>
          <w:highlight w:val="none"/>
        </w:rPr>
      </w:pPr>
      <w:r>
        <w:rPr>
          <w:rFonts w:hint="eastAsia" w:ascii="宋体" w:hAnsi="宋体" w:cs="宋体"/>
          <w:color w:val="auto"/>
          <w:sz w:val="21"/>
          <w:szCs w:val="21"/>
          <w:highlight w:val="none"/>
        </w:rPr>
        <w:t>27.9.2本项目采用下述</w:t>
      </w:r>
      <w:r>
        <w:rPr>
          <w:rFonts w:hint="eastAsia" w:ascii="宋体" w:hAnsi="宋体" w:cs="宋体"/>
          <w:b/>
          <w:color w:val="auto"/>
          <w:sz w:val="21"/>
          <w:szCs w:val="21"/>
          <w:highlight w:val="none"/>
        </w:rPr>
        <w:t>第（2）种</w:t>
      </w:r>
      <w:r>
        <w:rPr>
          <w:rFonts w:hint="eastAsia" w:ascii="宋体" w:hAnsi="宋体" w:cs="宋体"/>
          <w:color w:val="auto"/>
          <w:sz w:val="21"/>
          <w:szCs w:val="21"/>
          <w:highlight w:val="none"/>
        </w:rPr>
        <w:t>评标方法（评标标准详见招标文件第三章）：</w:t>
      </w:r>
    </w:p>
    <w:p w14:paraId="1A2D8937">
      <w:pPr>
        <w:ind w:left="795" w:leftChars="200" w:hanging="315" w:hangingChars="150"/>
        <w:rPr>
          <w:rFonts w:ascii="宋体" w:hAnsi="宋体" w:cs="宋体"/>
          <w:color w:val="auto"/>
          <w:sz w:val="21"/>
          <w:szCs w:val="21"/>
          <w:highlight w:val="none"/>
        </w:rPr>
      </w:pPr>
      <w:r>
        <w:rPr>
          <w:rFonts w:hint="eastAsia" w:ascii="宋体" w:hAnsi="宋体" w:cs="宋体"/>
          <w:color w:val="auto"/>
          <w:sz w:val="21"/>
          <w:szCs w:val="21"/>
          <w:highlight w:val="none"/>
        </w:rPr>
        <w:t>(1)</w:t>
      </w:r>
      <w:r>
        <w:rPr>
          <w:rFonts w:hint="eastAsia" w:ascii="宋体" w:hAnsi="宋体" w:cs="宋体"/>
          <w:b/>
          <w:color w:val="auto"/>
          <w:sz w:val="21"/>
          <w:szCs w:val="21"/>
          <w:highlight w:val="none"/>
        </w:rPr>
        <w:t>最低评标价法</w:t>
      </w:r>
      <w:r>
        <w:rPr>
          <w:rFonts w:hint="eastAsia" w:ascii="宋体" w:hAnsi="宋体" w:cs="宋体"/>
          <w:color w:val="auto"/>
          <w:sz w:val="21"/>
          <w:szCs w:val="21"/>
          <w:highlight w:val="none"/>
        </w:rPr>
        <w:t>。是指投标文件满足招标文件全部实质性要求，且投标报价最低的投标人为中标候选人的评标办法。</w:t>
      </w:r>
    </w:p>
    <w:p w14:paraId="0B9CAEDE">
      <w:pPr>
        <w:ind w:left="795" w:leftChars="200" w:hanging="315" w:hangingChars="150"/>
        <w:rPr>
          <w:rFonts w:ascii="宋体" w:hAnsi="宋体" w:cs="宋体"/>
          <w:color w:val="auto"/>
          <w:sz w:val="21"/>
          <w:szCs w:val="21"/>
          <w:highlight w:val="none"/>
        </w:rPr>
      </w:pPr>
      <w:r>
        <w:rPr>
          <w:rFonts w:hint="eastAsia" w:ascii="宋体" w:hAnsi="宋体" w:cs="宋体"/>
          <w:color w:val="auto"/>
          <w:sz w:val="21"/>
          <w:szCs w:val="21"/>
          <w:highlight w:val="none"/>
        </w:rPr>
        <w:t>(2)</w:t>
      </w:r>
      <w:r>
        <w:rPr>
          <w:rFonts w:hint="eastAsia" w:ascii="宋体" w:hAnsi="宋体" w:cs="宋体"/>
          <w:b/>
          <w:color w:val="auto"/>
          <w:sz w:val="21"/>
          <w:szCs w:val="21"/>
          <w:highlight w:val="none"/>
        </w:rPr>
        <w:t>综合评分法</w:t>
      </w:r>
      <w:r>
        <w:rPr>
          <w:rFonts w:hint="eastAsia" w:ascii="宋体" w:hAnsi="宋体" w:cs="宋体"/>
          <w:color w:val="auto"/>
          <w:sz w:val="21"/>
          <w:szCs w:val="21"/>
          <w:highlight w:val="none"/>
        </w:rPr>
        <w:t>。是指投标文件满足招标文件全部实质性要求，且按照评审因素的量化指标评审得分最高的投标人为中标候选人的评标方法。</w:t>
      </w:r>
    </w:p>
    <w:p w14:paraId="40F01AB4">
      <w:pPr>
        <w:ind w:left="568" w:leftChars="18" w:hanging="525" w:hangingChars="250"/>
        <w:rPr>
          <w:rFonts w:ascii="宋体" w:hAnsi="宋体" w:cs="宋体"/>
          <w:color w:val="auto"/>
          <w:sz w:val="21"/>
          <w:szCs w:val="21"/>
          <w:highlight w:val="none"/>
        </w:rPr>
      </w:pPr>
      <w:r>
        <w:rPr>
          <w:rFonts w:hint="eastAsia" w:ascii="宋体" w:hAnsi="宋体" w:cs="宋体"/>
          <w:color w:val="auto"/>
          <w:sz w:val="21"/>
          <w:szCs w:val="21"/>
          <w:highlight w:val="none"/>
        </w:rPr>
        <w:t>27.9.3备选方案的评审。如投标人须知前附表中允许提交备选方案，评审过程中只考虑主方案。只有当主方案的投标人为第一中标候选投标人，且开标时报出的备选方案满足招标文件要求、报价低于主方案时，招标人才可考虑选用备选方案。</w:t>
      </w:r>
    </w:p>
    <w:p w14:paraId="2B1A4C8F">
      <w:pPr>
        <w:rPr>
          <w:rFonts w:ascii="宋体" w:hAnsi="宋体" w:cs="宋体"/>
          <w:color w:val="auto"/>
          <w:sz w:val="21"/>
          <w:szCs w:val="21"/>
          <w:highlight w:val="none"/>
        </w:rPr>
      </w:pPr>
      <w:r>
        <w:rPr>
          <w:rFonts w:hint="eastAsia" w:ascii="宋体" w:hAnsi="宋体" w:cs="宋体"/>
          <w:color w:val="auto"/>
          <w:sz w:val="21"/>
          <w:szCs w:val="21"/>
          <w:highlight w:val="none"/>
        </w:rPr>
        <w:t>27.10</w:t>
      </w:r>
      <w:r>
        <w:rPr>
          <w:rFonts w:hint="eastAsia" w:ascii="宋体" w:hAnsi="宋体" w:cs="宋体"/>
          <w:b/>
          <w:color w:val="auto"/>
          <w:sz w:val="21"/>
          <w:szCs w:val="21"/>
          <w:highlight w:val="none"/>
        </w:rPr>
        <w:t>本次招标活动中，出现下列情况之一的，应予以废标：</w:t>
      </w:r>
    </w:p>
    <w:p w14:paraId="27D1FC63">
      <w:pPr>
        <w:ind w:firstLine="420" w:firstLineChars="200"/>
        <w:rPr>
          <w:rFonts w:ascii="宋体" w:hAnsi="宋体" w:cs="宋体"/>
          <w:color w:val="auto"/>
          <w:sz w:val="21"/>
          <w:szCs w:val="21"/>
          <w:highlight w:val="none"/>
        </w:rPr>
      </w:pPr>
      <w:r>
        <w:rPr>
          <w:rFonts w:hint="eastAsia" w:ascii="宋体" w:hAnsi="宋体" w:cs="宋体"/>
          <w:color w:val="auto"/>
          <w:sz w:val="21"/>
          <w:szCs w:val="21"/>
          <w:highlight w:val="none"/>
        </w:rPr>
        <w:t>（1)符合专业条件的投标人或者对招标文件作实质响应的投标人不足三家的；</w:t>
      </w:r>
    </w:p>
    <w:p w14:paraId="14D07156">
      <w:pPr>
        <w:ind w:firstLine="420" w:firstLineChars="200"/>
        <w:rPr>
          <w:rFonts w:ascii="宋体" w:hAnsi="宋体" w:cs="宋体"/>
          <w:color w:val="auto"/>
          <w:sz w:val="21"/>
          <w:szCs w:val="21"/>
          <w:highlight w:val="none"/>
        </w:rPr>
      </w:pPr>
      <w:r>
        <w:rPr>
          <w:rFonts w:hint="eastAsia" w:ascii="宋体" w:hAnsi="宋体" w:cs="宋体"/>
          <w:color w:val="auto"/>
          <w:sz w:val="21"/>
          <w:szCs w:val="21"/>
          <w:highlight w:val="none"/>
        </w:rPr>
        <w:t>（2)出现影响采购公正的违法、违规行为的；</w:t>
      </w:r>
    </w:p>
    <w:p w14:paraId="3FB5A2CD">
      <w:pPr>
        <w:ind w:firstLine="420" w:firstLineChars="200"/>
        <w:rPr>
          <w:rFonts w:ascii="宋体" w:hAnsi="宋体" w:cs="宋体"/>
          <w:color w:val="auto"/>
          <w:sz w:val="21"/>
          <w:szCs w:val="21"/>
          <w:highlight w:val="none"/>
        </w:rPr>
      </w:pPr>
      <w:r>
        <w:rPr>
          <w:rFonts w:hint="eastAsia" w:ascii="宋体" w:hAnsi="宋体" w:cs="宋体"/>
          <w:color w:val="auto"/>
          <w:sz w:val="21"/>
          <w:szCs w:val="21"/>
          <w:highlight w:val="none"/>
        </w:rPr>
        <w:t>（3)投标人的报价均超过了有效报价区间，招标人不能接受的；</w:t>
      </w:r>
    </w:p>
    <w:p w14:paraId="3192B18A">
      <w:pPr>
        <w:ind w:firstLine="420" w:firstLineChars="200"/>
        <w:rPr>
          <w:rFonts w:ascii="宋体" w:hAnsi="宋体" w:cs="宋体"/>
          <w:color w:val="auto"/>
          <w:sz w:val="21"/>
          <w:szCs w:val="21"/>
          <w:highlight w:val="none"/>
        </w:rPr>
      </w:pPr>
      <w:r>
        <w:rPr>
          <w:rFonts w:hint="eastAsia" w:ascii="宋体" w:hAnsi="宋体" w:cs="宋体"/>
          <w:color w:val="auto"/>
          <w:sz w:val="21"/>
          <w:szCs w:val="21"/>
          <w:highlight w:val="none"/>
        </w:rPr>
        <w:t>（4)因重大变故，招标任务取消的。</w:t>
      </w:r>
    </w:p>
    <w:p w14:paraId="487FD984">
      <w:pPr>
        <w:rPr>
          <w:rFonts w:ascii="宋体" w:hAnsi="宋体" w:cs="宋体"/>
          <w:b/>
          <w:bCs/>
          <w:color w:val="auto"/>
          <w:sz w:val="21"/>
          <w:szCs w:val="21"/>
          <w:highlight w:val="none"/>
        </w:rPr>
      </w:pPr>
      <w:bookmarkStart w:id="30" w:name="_Toc498952907"/>
      <w:bookmarkStart w:id="31" w:name="_Toc502674958"/>
      <w:r>
        <w:rPr>
          <w:rFonts w:hint="eastAsia" w:ascii="宋体" w:hAnsi="宋体" w:cs="宋体"/>
          <w:b/>
          <w:bCs/>
          <w:color w:val="auto"/>
          <w:sz w:val="21"/>
          <w:szCs w:val="21"/>
          <w:highlight w:val="none"/>
        </w:rPr>
        <w:t>28.投标文件的澄清</w:t>
      </w:r>
      <w:bookmarkEnd w:id="30"/>
      <w:bookmarkEnd w:id="31"/>
    </w:p>
    <w:p w14:paraId="1A53FC8E">
      <w:pPr>
        <w:ind w:left="525" w:hanging="525" w:hangingChars="250"/>
        <w:rPr>
          <w:rFonts w:ascii="宋体" w:hAnsi="宋体" w:cs="宋体"/>
          <w:color w:val="auto"/>
          <w:sz w:val="21"/>
          <w:szCs w:val="21"/>
          <w:highlight w:val="none"/>
        </w:rPr>
      </w:pPr>
      <w:r>
        <w:rPr>
          <w:rFonts w:hint="eastAsia" w:ascii="宋体" w:hAnsi="宋体" w:cs="宋体"/>
          <w:color w:val="auto"/>
          <w:sz w:val="21"/>
          <w:szCs w:val="21"/>
          <w:highlight w:val="none"/>
        </w:rPr>
        <w:t>28.1 在评标期间，评标委员会应当以书面方式要求投标人对其投标文件中含义不明确、同类问题表述不一致或者有明显文字和计算错误的内容作必要的澄清、说明或补正。投标人的澄清、说明或补正应当采用书面形式，并加盖公章，或者由法定代表人或其授权的代表签字。投标人的澄清、说明或补正不得超出投标文件的范围或者改变投标文件的实质性内容。</w:t>
      </w:r>
    </w:p>
    <w:p w14:paraId="2233234F">
      <w:pPr>
        <w:ind w:left="525" w:hanging="525" w:hangingChars="250"/>
        <w:rPr>
          <w:rFonts w:ascii="宋体" w:hAnsi="宋体" w:cs="宋体"/>
          <w:color w:val="auto"/>
          <w:sz w:val="21"/>
          <w:szCs w:val="21"/>
          <w:highlight w:val="none"/>
        </w:rPr>
      </w:pPr>
      <w:r>
        <w:rPr>
          <w:rFonts w:hint="eastAsia" w:ascii="宋体" w:hAnsi="宋体" w:cs="宋体"/>
          <w:color w:val="auto"/>
          <w:sz w:val="21"/>
          <w:szCs w:val="21"/>
          <w:highlight w:val="none"/>
        </w:rPr>
        <w:t>28.2 投标人的投标澄清文件作为投标文件的一部分。</w:t>
      </w:r>
    </w:p>
    <w:p w14:paraId="422B44CA">
      <w:pPr>
        <w:ind w:left="600" w:hanging="600" w:hangingChars="250"/>
        <w:jc w:val="both"/>
        <w:rPr>
          <w:rFonts w:ascii="宋体" w:hAnsi="宋体" w:cs="宋体"/>
          <w:color w:val="auto"/>
          <w:szCs w:val="24"/>
          <w:highlight w:val="none"/>
          <w:lang w:val="en-GB"/>
        </w:rPr>
      </w:pPr>
    </w:p>
    <w:p w14:paraId="088F4AA3">
      <w:pPr>
        <w:jc w:val="center"/>
        <w:rPr>
          <w:rFonts w:cs="宋体"/>
          <w:b/>
          <w:bCs/>
          <w:color w:val="auto"/>
          <w:sz w:val="30"/>
          <w:szCs w:val="30"/>
          <w:highlight w:val="none"/>
        </w:rPr>
      </w:pPr>
      <w:r>
        <w:rPr>
          <w:rFonts w:hint="eastAsia" w:cs="宋体"/>
          <w:b/>
          <w:bCs/>
          <w:color w:val="auto"/>
          <w:sz w:val="30"/>
          <w:szCs w:val="30"/>
          <w:highlight w:val="none"/>
        </w:rPr>
        <w:t>七、确定中标候选投标人</w:t>
      </w:r>
    </w:p>
    <w:p w14:paraId="2FB0C1AD">
      <w:pPr>
        <w:rPr>
          <w:rFonts w:ascii="宋体" w:hAnsi="宋体" w:cs="宋体"/>
          <w:b/>
          <w:bCs/>
          <w:color w:val="auto"/>
          <w:sz w:val="21"/>
          <w:szCs w:val="21"/>
          <w:highlight w:val="none"/>
        </w:rPr>
      </w:pPr>
      <w:r>
        <w:rPr>
          <w:rFonts w:hint="eastAsia" w:ascii="宋体" w:hAnsi="宋体" w:cs="宋体"/>
          <w:b/>
          <w:bCs/>
          <w:color w:val="auto"/>
          <w:sz w:val="21"/>
          <w:szCs w:val="21"/>
          <w:highlight w:val="none"/>
        </w:rPr>
        <w:t>29.中标候选投标人推荐原则</w:t>
      </w:r>
    </w:p>
    <w:p w14:paraId="515630A5">
      <w:pPr>
        <w:ind w:left="525" w:hanging="525" w:hangingChars="250"/>
        <w:rPr>
          <w:rFonts w:ascii="宋体" w:hAnsi="宋体" w:cs="宋体"/>
          <w:bCs/>
          <w:color w:val="auto"/>
          <w:sz w:val="21"/>
          <w:szCs w:val="21"/>
          <w:highlight w:val="none"/>
        </w:rPr>
      </w:pPr>
      <w:r>
        <w:rPr>
          <w:rFonts w:hint="eastAsia" w:ascii="宋体" w:hAnsi="宋体" w:cs="宋体"/>
          <w:bCs/>
          <w:color w:val="auto"/>
          <w:sz w:val="21"/>
          <w:szCs w:val="21"/>
          <w:highlight w:val="none"/>
        </w:rPr>
        <w:t>29.1评标委员会应当根据综合评分情况，按照评审得分由高到低顺序推荐3名中标候选人。评审得分相同的，</w:t>
      </w:r>
      <w:r>
        <w:rPr>
          <w:rFonts w:hint="eastAsia" w:ascii="宋体" w:hAnsi="宋体" w:cs="宋体"/>
          <w:color w:val="auto"/>
          <w:sz w:val="21"/>
          <w:szCs w:val="21"/>
          <w:highlight w:val="none"/>
        </w:rPr>
        <w:t>按投标报价得分由高到低顺序排列，</w:t>
      </w:r>
      <w:r>
        <w:rPr>
          <w:rFonts w:hint="eastAsia" w:ascii="宋体" w:hAnsi="宋体" w:cs="宋体"/>
          <w:bCs/>
          <w:color w:val="auto"/>
          <w:sz w:val="21"/>
          <w:szCs w:val="21"/>
          <w:highlight w:val="none"/>
        </w:rPr>
        <w:t>评审得分相同且</w:t>
      </w:r>
      <w:r>
        <w:rPr>
          <w:rFonts w:hint="eastAsia" w:ascii="宋体" w:hAnsi="宋体" w:cs="宋体"/>
          <w:color w:val="auto"/>
          <w:sz w:val="21"/>
          <w:szCs w:val="21"/>
          <w:highlight w:val="none"/>
        </w:rPr>
        <w:t>投标报价</w:t>
      </w:r>
      <w:r>
        <w:rPr>
          <w:rFonts w:hint="eastAsia" w:ascii="宋体" w:hAnsi="宋体" w:cs="宋体"/>
          <w:bCs/>
          <w:color w:val="auto"/>
          <w:sz w:val="21"/>
          <w:szCs w:val="21"/>
          <w:highlight w:val="none"/>
        </w:rPr>
        <w:t>相同的，按照技术指标优劣顺序排列。</w:t>
      </w:r>
    </w:p>
    <w:p w14:paraId="7E721B64">
      <w:pPr>
        <w:ind w:left="525" w:hanging="525" w:hangingChars="250"/>
        <w:rPr>
          <w:rFonts w:ascii="宋体" w:hAnsi="宋体" w:cs="宋体"/>
          <w:bCs/>
          <w:color w:val="auto"/>
          <w:sz w:val="21"/>
          <w:szCs w:val="21"/>
          <w:highlight w:val="none"/>
        </w:rPr>
      </w:pPr>
      <w:r>
        <w:rPr>
          <w:rFonts w:hint="eastAsia" w:ascii="宋体" w:hAnsi="宋体" w:cs="宋体"/>
          <w:bCs/>
          <w:color w:val="auto"/>
          <w:sz w:val="21"/>
          <w:szCs w:val="21"/>
          <w:highlight w:val="none"/>
        </w:rPr>
        <w:t>29.2评标委员会应在项目评审结束后打印评标报告，并由全体评标专家签字后完整地移交给招标代理机构。</w:t>
      </w:r>
    </w:p>
    <w:p w14:paraId="54D48953">
      <w:pPr>
        <w:rPr>
          <w:rFonts w:ascii="宋体" w:hAnsi="宋体" w:cs="宋体"/>
          <w:b/>
          <w:bCs/>
          <w:color w:val="auto"/>
          <w:sz w:val="21"/>
          <w:szCs w:val="21"/>
          <w:highlight w:val="none"/>
        </w:rPr>
      </w:pPr>
      <w:r>
        <w:rPr>
          <w:rFonts w:hint="eastAsia" w:ascii="宋体" w:hAnsi="宋体" w:cs="宋体"/>
          <w:b/>
          <w:bCs/>
          <w:color w:val="auto"/>
          <w:sz w:val="21"/>
          <w:szCs w:val="21"/>
          <w:highlight w:val="none"/>
        </w:rPr>
        <w:t>30.确定中标人</w:t>
      </w:r>
    </w:p>
    <w:p w14:paraId="1E2CDD3A">
      <w:pPr>
        <w:pStyle w:val="54"/>
        <w:spacing w:line="500" w:lineRule="exact"/>
        <w:ind w:left="525" w:hanging="525" w:hangingChars="250"/>
        <w:rPr>
          <w:rFonts w:hAnsi="宋体"/>
          <w:bCs/>
          <w:color w:val="auto"/>
          <w:kern w:val="2"/>
          <w:sz w:val="21"/>
          <w:szCs w:val="21"/>
          <w:highlight w:val="none"/>
        </w:rPr>
      </w:pPr>
      <w:r>
        <w:rPr>
          <w:rFonts w:hint="eastAsia" w:hAnsi="宋体"/>
          <w:bCs/>
          <w:color w:val="auto"/>
          <w:kern w:val="2"/>
          <w:sz w:val="21"/>
          <w:szCs w:val="21"/>
          <w:highlight w:val="none"/>
        </w:rPr>
        <w:t>30.1 招标代理机构在评审结束后2个工作日内将评审报告送招标人确认。招标人应当在收到评审报告后5个工作日内，从评审报告提出的中标候选投标人中，按照排序由高到低的原则确定中标人，也可以书面授权评标委员会直接确定中标人。招标人逾期未确定中标人且不提出异议的，视为确定评审报告提出的排序第一的投标人为中标人。</w:t>
      </w:r>
    </w:p>
    <w:p w14:paraId="257C41A3">
      <w:pPr>
        <w:rPr>
          <w:rFonts w:ascii="宋体" w:hAnsi="宋体" w:cs="宋体"/>
          <w:b/>
          <w:bCs/>
          <w:color w:val="auto"/>
          <w:sz w:val="21"/>
          <w:szCs w:val="21"/>
          <w:highlight w:val="none"/>
        </w:rPr>
      </w:pPr>
      <w:r>
        <w:rPr>
          <w:rFonts w:hint="eastAsia" w:ascii="宋体" w:hAnsi="宋体" w:cs="宋体"/>
          <w:b/>
          <w:bCs/>
          <w:color w:val="auto"/>
          <w:sz w:val="21"/>
          <w:szCs w:val="21"/>
          <w:highlight w:val="none"/>
        </w:rPr>
        <w:t>31.中标结果公示</w:t>
      </w:r>
    </w:p>
    <w:p w14:paraId="78826AF1">
      <w:pPr>
        <w:ind w:left="525" w:hanging="525" w:hangingChars="250"/>
        <w:rPr>
          <w:rFonts w:ascii="宋体" w:hAnsi="宋体" w:cs="宋体"/>
          <w:bCs/>
          <w:color w:val="auto"/>
          <w:sz w:val="21"/>
          <w:szCs w:val="21"/>
          <w:highlight w:val="none"/>
        </w:rPr>
      </w:pPr>
      <w:r>
        <w:rPr>
          <w:rFonts w:hint="eastAsia" w:ascii="宋体" w:hAnsi="宋体" w:cs="宋体"/>
          <w:bCs/>
          <w:color w:val="auto"/>
          <w:sz w:val="21"/>
          <w:szCs w:val="21"/>
          <w:highlight w:val="none"/>
        </w:rPr>
        <w:t>31.1中标人确定后，将在《中国政府采购网》（</w:t>
      </w:r>
      <w:r>
        <w:rPr>
          <w:color w:val="auto"/>
          <w:highlight w:val="none"/>
        </w:rPr>
        <w:fldChar w:fldCharType="begin"/>
      </w:r>
      <w:r>
        <w:rPr>
          <w:color w:val="auto"/>
          <w:highlight w:val="none"/>
        </w:rPr>
        <w:instrText xml:space="preserve"> HYPERLINK "http://www.ccgp.gov.cn/" </w:instrText>
      </w:r>
      <w:r>
        <w:rPr>
          <w:color w:val="auto"/>
          <w:highlight w:val="none"/>
        </w:rPr>
        <w:fldChar w:fldCharType="separate"/>
      </w:r>
      <w:r>
        <w:rPr>
          <w:rFonts w:hint="eastAsia" w:ascii="宋体" w:hAnsi="宋体" w:cs="宋体"/>
          <w:bCs/>
          <w:color w:val="auto"/>
          <w:sz w:val="21"/>
          <w:szCs w:val="21"/>
          <w:highlight w:val="none"/>
        </w:rPr>
        <w:t>http://www.ccgp.gov.cn/</w:t>
      </w:r>
      <w:r>
        <w:rPr>
          <w:rFonts w:hint="eastAsia" w:ascii="宋体" w:hAnsi="宋体" w:cs="宋体"/>
          <w:bCs/>
          <w:color w:val="auto"/>
          <w:sz w:val="21"/>
          <w:szCs w:val="21"/>
          <w:highlight w:val="none"/>
        </w:rPr>
        <w:fldChar w:fldCharType="end"/>
      </w:r>
      <w:r>
        <w:rPr>
          <w:rFonts w:hint="eastAsia" w:ascii="宋体" w:hAnsi="宋体" w:cs="宋体"/>
          <w:bCs/>
          <w:color w:val="auto"/>
          <w:sz w:val="21"/>
          <w:szCs w:val="21"/>
          <w:highlight w:val="none"/>
        </w:rPr>
        <w:t>）进行中标结果公示。公示期为1个工作日。</w:t>
      </w:r>
    </w:p>
    <w:p w14:paraId="3FBBB078">
      <w:pPr>
        <w:jc w:val="both"/>
        <w:rPr>
          <w:rFonts w:ascii="宋体" w:hAnsi="宋体" w:cs="宋体"/>
          <w:b/>
          <w:color w:val="auto"/>
          <w:szCs w:val="24"/>
          <w:highlight w:val="none"/>
        </w:rPr>
      </w:pPr>
    </w:p>
    <w:p w14:paraId="53AE3E49">
      <w:pPr>
        <w:jc w:val="center"/>
        <w:rPr>
          <w:rFonts w:cs="宋体"/>
          <w:b/>
          <w:bCs/>
          <w:color w:val="auto"/>
          <w:sz w:val="30"/>
          <w:szCs w:val="30"/>
          <w:highlight w:val="none"/>
        </w:rPr>
      </w:pPr>
      <w:r>
        <w:rPr>
          <w:rFonts w:hint="eastAsia" w:cs="宋体"/>
          <w:b/>
          <w:bCs/>
          <w:color w:val="auto"/>
          <w:sz w:val="30"/>
          <w:szCs w:val="30"/>
          <w:highlight w:val="none"/>
        </w:rPr>
        <w:t>八、授予合同</w:t>
      </w:r>
    </w:p>
    <w:p w14:paraId="1E865ABB">
      <w:pPr>
        <w:rPr>
          <w:rFonts w:ascii="宋体" w:hAnsi="宋体" w:cs="宋体"/>
          <w:b/>
          <w:bCs/>
          <w:color w:val="auto"/>
          <w:sz w:val="21"/>
          <w:szCs w:val="21"/>
          <w:highlight w:val="none"/>
        </w:rPr>
      </w:pPr>
      <w:r>
        <w:rPr>
          <w:rFonts w:hint="eastAsia" w:ascii="宋体" w:hAnsi="宋体" w:cs="宋体"/>
          <w:b/>
          <w:bCs/>
          <w:color w:val="auto"/>
          <w:sz w:val="21"/>
          <w:szCs w:val="21"/>
          <w:highlight w:val="none"/>
        </w:rPr>
        <w:t>32.中标通知书</w:t>
      </w:r>
    </w:p>
    <w:p w14:paraId="043384F8">
      <w:pPr>
        <w:ind w:left="567" w:hanging="567"/>
        <w:rPr>
          <w:rFonts w:ascii="宋体" w:hAnsi="宋体" w:cs="宋体"/>
          <w:color w:val="auto"/>
          <w:sz w:val="21"/>
          <w:szCs w:val="21"/>
          <w:highlight w:val="none"/>
        </w:rPr>
      </w:pPr>
      <w:r>
        <w:rPr>
          <w:rFonts w:hint="eastAsia" w:ascii="宋体" w:hAnsi="宋体" w:cs="宋体"/>
          <w:color w:val="auto"/>
          <w:sz w:val="21"/>
          <w:szCs w:val="21"/>
          <w:highlight w:val="none"/>
        </w:rPr>
        <w:t>32.1在发布中标结果的同时，招标代理机构应当向中标人发出中标通知书。</w:t>
      </w:r>
    </w:p>
    <w:p w14:paraId="2EC3DAB3">
      <w:pPr>
        <w:ind w:left="567" w:hanging="567"/>
        <w:rPr>
          <w:rFonts w:ascii="宋体" w:hAnsi="宋体" w:cs="宋体"/>
          <w:color w:val="auto"/>
          <w:sz w:val="21"/>
          <w:szCs w:val="21"/>
          <w:highlight w:val="none"/>
        </w:rPr>
      </w:pPr>
      <w:r>
        <w:rPr>
          <w:rFonts w:hint="eastAsia" w:ascii="宋体" w:hAnsi="宋体" w:cs="宋体"/>
          <w:color w:val="auto"/>
          <w:sz w:val="21"/>
          <w:szCs w:val="21"/>
          <w:highlight w:val="none"/>
        </w:rPr>
        <w:t>32.2中标通知书是合同的一个组成部分。</w:t>
      </w:r>
    </w:p>
    <w:p w14:paraId="4B9177D0">
      <w:pPr>
        <w:rPr>
          <w:rFonts w:ascii="宋体" w:hAnsi="宋体" w:cs="宋体"/>
          <w:b/>
          <w:bCs/>
          <w:color w:val="auto"/>
          <w:sz w:val="21"/>
          <w:szCs w:val="21"/>
          <w:highlight w:val="none"/>
        </w:rPr>
      </w:pPr>
      <w:r>
        <w:rPr>
          <w:rFonts w:hint="eastAsia" w:ascii="宋体" w:hAnsi="宋体" w:cs="宋体"/>
          <w:b/>
          <w:bCs/>
          <w:color w:val="auto"/>
          <w:sz w:val="21"/>
          <w:szCs w:val="21"/>
          <w:highlight w:val="none"/>
        </w:rPr>
        <w:t>33.履约保证金</w:t>
      </w:r>
    </w:p>
    <w:p w14:paraId="284D5A04">
      <w:pPr>
        <w:ind w:left="567" w:hanging="567"/>
        <w:rPr>
          <w:rFonts w:ascii="宋体" w:hAnsi="宋体" w:cs="宋体"/>
          <w:color w:val="auto"/>
          <w:sz w:val="21"/>
          <w:szCs w:val="21"/>
          <w:highlight w:val="none"/>
        </w:rPr>
      </w:pPr>
      <w:r>
        <w:rPr>
          <w:rFonts w:hint="eastAsia" w:ascii="宋体" w:hAnsi="宋体" w:cs="宋体"/>
          <w:color w:val="auto"/>
          <w:sz w:val="21"/>
          <w:szCs w:val="21"/>
          <w:highlight w:val="none"/>
        </w:rPr>
        <w:t>33.1 中标人应按照《投标人须知前附表》规定的金额、形式和时间向招标人缴纳履约保证金。</w:t>
      </w:r>
    </w:p>
    <w:p w14:paraId="5D166FDF">
      <w:pPr>
        <w:ind w:left="567" w:hanging="567"/>
        <w:rPr>
          <w:rFonts w:ascii="宋体" w:hAnsi="宋体" w:cs="宋体"/>
          <w:color w:val="auto"/>
          <w:sz w:val="21"/>
          <w:szCs w:val="21"/>
          <w:highlight w:val="none"/>
        </w:rPr>
      </w:pPr>
      <w:r>
        <w:rPr>
          <w:rFonts w:hint="eastAsia" w:ascii="宋体" w:hAnsi="宋体" w:cs="宋体"/>
          <w:color w:val="auto"/>
          <w:sz w:val="21"/>
          <w:szCs w:val="21"/>
          <w:highlight w:val="none"/>
        </w:rPr>
        <w:t>33.2因中标人不能完成其合同义务而使招标人蒙受的损失，履约保证金用于补偿招标人。</w:t>
      </w:r>
    </w:p>
    <w:p w14:paraId="6F476D69">
      <w:pPr>
        <w:rPr>
          <w:rFonts w:ascii="宋体" w:hAnsi="宋体" w:cs="宋体"/>
          <w:b/>
          <w:bCs/>
          <w:color w:val="auto"/>
          <w:sz w:val="21"/>
          <w:szCs w:val="21"/>
          <w:highlight w:val="none"/>
        </w:rPr>
      </w:pPr>
      <w:r>
        <w:rPr>
          <w:rFonts w:hint="eastAsia" w:ascii="宋体" w:hAnsi="宋体" w:cs="宋体"/>
          <w:b/>
          <w:bCs/>
          <w:color w:val="auto"/>
          <w:sz w:val="21"/>
          <w:szCs w:val="21"/>
          <w:highlight w:val="none"/>
        </w:rPr>
        <w:t>34.签订合同</w:t>
      </w:r>
    </w:p>
    <w:p w14:paraId="635B6321">
      <w:pPr>
        <w:ind w:left="567" w:hanging="567"/>
        <w:rPr>
          <w:rFonts w:ascii="宋体" w:hAnsi="宋体" w:cs="宋体"/>
          <w:color w:val="auto"/>
          <w:sz w:val="21"/>
          <w:szCs w:val="21"/>
          <w:highlight w:val="none"/>
        </w:rPr>
      </w:pPr>
      <w:r>
        <w:rPr>
          <w:rFonts w:hint="eastAsia" w:ascii="宋体" w:hAnsi="宋体" w:cs="宋体"/>
          <w:color w:val="auto"/>
          <w:sz w:val="21"/>
          <w:szCs w:val="21"/>
          <w:highlight w:val="none"/>
        </w:rPr>
        <w:t>34.1招标人和中标人应当在《中标通知书》发出之日起30日内，按照招标文件确定的合同文本以及采购标的、规格型号、采购金额、采购数量、技术和服务要求等事项签订采购合同。招标人不得向中标人提出超出招标文件以外的任何要求作为签订合同的条件，不得与中标人订立背离招标文件确定的合同文本以及采购标的、规格型号、采购金额、采购数量、技术和服务要求等实质性内容的协议。</w:t>
      </w:r>
    </w:p>
    <w:p w14:paraId="56E5FD4E">
      <w:pPr>
        <w:ind w:left="567" w:hanging="567"/>
        <w:rPr>
          <w:rFonts w:ascii="宋体" w:hAnsi="宋体" w:cs="宋体"/>
          <w:color w:val="auto"/>
          <w:sz w:val="21"/>
          <w:szCs w:val="21"/>
          <w:highlight w:val="none"/>
        </w:rPr>
      </w:pPr>
      <w:r>
        <w:rPr>
          <w:rFonts w:hint="eastAsia" w:ascii="宋体" w:hAnsi="宋体" w:cs="宋体"/>
          <w:color w:val="auto"/>
          <w:sz w:val="21"/>
          <w:szCs w:val="21"/>
          <w:highlight w:val="none"/>
        </w:rPr>
        <w:t>34.2合同履行中，招标人需追加与合同标的相同的货物的，在不改变合同其他条款的前提下，可以与投标人协商签订补充合同，但所有补充合同的采购金额不得超过原合同采购金额的百分之十。</w:t>
      </w:r>
    </w:p>
    <w:p w14:paraId="021BA425">
      <w:pPr>
        <w:ind w:left="567" w:hanging="567"/>
        <w:rPr>
          <w:rFonts w:ascii="宋体" w:hAnsi="宋体" w:cs="宋体"/>
          <w:color w:val="auto"/>
          <w:sz w:val="21"/>
          <w:szCs w:val="21"/>
          <w:highlight w:val="none"/>
        </w:rPr>
      </w:pPr>
      <w:r>
        <w:rPr>
          <w:rFonts w:hint="eastAsia" w:ascii="宋体" w:hAnsi="宋体" w:cs="宋体"/>
          <w:color w:val="auto"/>
          <w:sz w:val="21"/>
          <w:szCs w:val="21"/>
          <w:highlight w:val="none"/>
        </w:rPr>
        <w:t>34.3 中标人拒绝签订采购合同的，招标人可以按本须知“第29.1条”规定的原则确定其他投标人作为中标人并签订采购合同，也可以重新开展招标活动。拒绝签订采购合同的中标人不得参加对该项目重新开展的招标活动，并不予退还其交纳的投标保证金。</w:t>
      </w:r>
    </w:p>
    <w:p w14:paraId="2FE9B8A9">
      <w:pPr>
        <w:rPr>
          <w:rFonts w:ascii="宋体" w:hAnsi="宋体" w:cs="宋体"/>
          <w:b/>
          <w:bCs/>
          <w:color w:val="auto"/>
          <w:sz w:val="21"/>
          <w:szCs w:val="21"/>
          <w:highlight w:val="none"/>
        </w:rPr>
      </w:pPr>
      <w:r>
        <w:rPr>
          <w:rFonts w:hint="eastAsia" w:ascii="宋体" w:hAnsi="宋体" w:cs="宋体"/>
          <w:b/>
          <w:bCs/>
          <w:color w:val="auto"/>
          <w:sz w:val="21"/>
          <w:szCs w:val="21"/>
          <w:highlight w:val="none"/>
        </w:rPr>
        <w:t>35.招标终止情形</w:t>
      </w:r>
    </w:p>
    <w:p w14:paraId="2B59FF17">
      <w:pPr>
        <w:ind w:left="567" w:hanging="567"/>
        <w:rPr>
          <w:rFonts w:ascii="宋体" w:hAnsi="宋体" w:cs="宋体"/>
          <w:color w:val="auto"/>
          <w:sz w:val="21"/>
          <w:szCs w:val="21"/>
          <w:highlight w:val="none"/>
        </w:rPr>
      </w:pPr>
      <w:r>
        <w:rPr>
          <w:rFonts w:hint="eastAsia" w:ascii="宋体" w:hAnsi="宋体" w:cs="宋体"/>
          <w:color w:val="auto"/>
          <w:sz w:val="21"/>
          <w:szCs w:val="21"/>
          <w:highlight w:val="none"/>
        </w:rPr>
        <w:t>35.1 出现下列情形之一的，招标人或者招标代理机构应当终止国内公开招标活动，发布项目终止公告并说明原因，择日重新开展招标活动：</w:t>
      </w:r>
    </w:p>
    <w:p w14:paraId="0A7A97C9">
      <w:pPr>
        <w:ind w:left="120" w:leftChars="50" w:firstLine="210" w:firstLineChars="100"/>
        <w:rPr>
          <w:rFonts w:ascii="宋体" w:hAnsi="宋体" w:cs="宋体"/>
          <w:color w:val="auto"/>
          <w:sz w:val="21"/>
          <w:szCs w:val="21"/>
          <w:highlight w:val="none"/>
        </w:rPr>
      </w:pPr>
      <w:r>
        <w:rPr>
          <w:rFonts w:hint="eastAsia" w:ascii="宋体" w:hAnsi="宋体" w:cs="宋体"/>
          <w:color w:val="auto"/>
          <w:sz w:val="21"/>
          <w:szCs w:val="21"/>
          <w:highlight w:val="none"/>
        </w:rPr>
        <w:t>（1）因情况变化，不再符合规定的国内公开招标方式适用情形的；</w:t>
      </w:r>
    </w:p>
    <w:p w14:paraId="35A5649E">
      <w:pPr>
        <w:ind w:left="120" w:leftChars="50" w:firstLine="210" w:firstLineChars="100"/>
        <w:rPr>
          <w:rFonts w:ascii="宋体" w:hAnsi="宋体" w:cs="宋体"/>
          <w:color w:val="auto"/>
          <w:sz w:val="21"/>
          <w:szCs w:val="21"/>
          <w:highlight w:val="none"/>
        </w:rPr>
      </w:pPr>
      <w:r>
        <w:rPr>
          <w:rFonts w:hint="eastAsia" w:ascii="宋体" w:hAnsi="宋体" w:cs="宋体"/>
          <w:color w:val="auto"/>
          <w:sz w:val="21"/>
          <w:szCs w:val="21"/>
          <w:highlight w:val="none"/>
        </w:rPr>
        <w:t>（2）出现影响采购公正的违法、违规行为的；</w:t>
      </w:r>
    </w:p>
    <w:p w14:paraId="54914538">
      <w:pPr>
        <w:ind w:left="885" w:leftChars="150" w:hanging="525" w:hangingChars="250"/>
        <w:rPr>
          <w:rFonts w:ascii="宋体" w:hAnsi="宋体" w:cs="宋体"/>
          <w:color w:val="auto"/>
          <w:szCs w:val="24"/>
          <w:highlight w:val="none"/>
        </w:rPr>
      </w:pPr>
      <w:r>
        <w:rPr>
          <w:rFonts w:hint="eastAsia" w:ascii="宋体" w:hAnsi="宋体" w:cs="宋体"/>
          <w:color w:val="auto"/>
          <w:sz w:val="21"/>
          <w:szCs w:val="21"/>
          <w:highlight w:val="none"/>
        </w:rPr>
        <w:t>（3）在采购过程中符合要求的投标人或者报价未超过招标有效报价区间的投标人不足3 家的。</w:t>
      </w:r>
    </w:p>
    <w:p w14:paraId="7332B21D">
      <w:pPr>
        <w:jc w:val="center"/>
        <w:rPr>
          <w:rFonts w:cs="宋体"/>
          <w:b/>
          <w:bCs/>
          <w:color w:val="auto"/>
          <w:sz w:val="30"/>
          <w:szCs w:val="30"/>
          <w:highlight w:val="none"/>
        </w:rPr>
      </w:pPr>
      <w:r>
        <w:rPr>
          <w:rFonts w:hint="eastAsia" w:cs="宋体"/>
          <w:b/>
          <w:bCs/>
          <w:color w:val="auto"/>
          <w:sz w:val="30"/>
          <w:szCs w:val="30"/>
          <w:highlight w:val="none"/>
        </w:rPr>
        <w:t>九、质疑与接收</w:t>
      </w:r>
    </w:p>
    <w:p w14:paraId="50FE72BA">
      <w:pPr>
        <w:rPr>
          <w:rFonts w:ascii="宋体" w:hAnsi="宋体" w:cs="宋体"/>
          <w:b/>
          <w:bCs/>
          <w:color w:val="auto"/>
          <w:sz w:val="21"/>
          <w:szCs w:val="21"/>
          <w:highlight w:val="none"/>
        </w:rPr>
      </w:pPr>
      <w:r>
        <w:rPr>
          <w:rFonts w:hint="eastAsia" w:ascii="宋体" w:hAnsi="宋体" w:cs="宋体"/>
          <w:b/>
          <w:bCs/>
          <w:color w:val="auto"/>
          <w:sz w:val="21"/>
          <w:szCs w:val="21"/>
          <w:highlight w:val="none"/>
        </w:rPr>
        <w:t>36.询问</w:t>
      </w:r>
    </w:p>
    <w:p w14:paraId="1EB716B1">
      <w:pPr>
        <w:ind w:left="525" w:hanging="525" w:hangingChars="250"/>
        <w:rPr>
          <w:rFonts w:ascii="宋体" w:hAnsi="宋体" w:cs="宋体"/>
          <w:color w:val="auto"/>
          <w:sz w:val="21"/>
          <w:szCs w:val="21"/>
          <w:highlight w:val="none"/>
        </w:rPr>
      </w:pPr>
      <w:r>
        <w:rPr>
          <w:rFonts w:hint="eastAsia" w:ascii="宋体" w:hAnsi="宋体" w:cs="宋体"/>
          <w:color w:val="auto"/>
          <w:sz w:val="21"/>
          <w:szCs w:val="21"/>
          <w:highlight w:val="none"/>
        </w:rPr>
        <w:t>36.1投标人认为采购文件、采购过程和成交结果使自己的权益受到损害的，根据《政府采购法》、《政府采购法实施条例》和《政府采购质疑和投诉办法》的有关规定，可以依法向采购人或采购代理机构提出质疑。</w:t>
      </w:r>
    </w:p>
    <w:p w14:paraId="640E175B">
      <w:pPr>
        <w:ind w:left="525" w:hanging="525" w:hangingChars="250"/>
        <w:rPr>
          <w:rFonts w:ascii="宋体" w:hAnsi="宋体" w:cs="宋体"/>
          <w:color w:val="auto"/>
          <w:sz w:val="21"/>
          <w:szCs w:val="21"/>
          <w:highlight w:val="none"/>
        </w:rPr>
      </w:pPr>
      <w:r>
        <w:rPr>
          <w:rFonts w:hint="eastAsia" w:ascii="宋体" w:hAnsi="宋体" w:cs="宋体"/>
          <w:color w:val="auto"/>
          <w:sz w:val="21"/>
          <w:szCs w:val="21"/>
          <w:highlight w:val="none"/>
        </w:rPr>
        <w:t>3</w:t>
      </w:r>
      <w:r>
        <w:rPr>
          <w:rFonts w:ascii="宋体" w:hAnsi="宋体" w:cs="宋体"/>
          <w:color w:val="auto"/>
          <w:sz w:val="21"/>
          <w:szCs w:val="21"/>
          <w:highlight w:val="none"/>
        </w:rPr>
        <w:t>6</w:t>
      </w:r>
      <w:r>
        <w:rPr>
          <w:rFonts w:hint="eastAsia" w:ascii="宋体" w:hAnsi="宋体" w:cs="宋体"/>
          <w:color w:val="auto"/>
          <w:sz w:val="21"/>
          <w:szCs w:val="21"/>
          <w:highlight w:val="none"/>
        </w:rPr>
        <w:t>.2投标人应按照财政部制定的《政府采购质疑函范本》格式（可从财政部官方网站下载）和《政府采购质疑和投诉办法》的要求，在法定质疑期内以纸质形式提出质疑，针对同一采购程序环节的质疑应一次性提出。超出法定质疑期的、重复提出的、分次提出的或内容、形式不符合《政府采购质疑和投诉办法》的，投标人将依法承担不利后果。</w:t>
      </w:r>
    </w:p>
    <w:p w14:paraId="0FD015FE">
      <w:pPr>
        <w:ind w:left="525" w:hanging="525" w:hangingChars="250"/>
        <w:rPr>
          <w:rFonts w:ascii="宋体" w:hAnsi="宋体" w:cs="宋体"/>
          <w:color w:val="auto"/>
          <w:sz w:val="21"/>
          <w:szCs w:val="21"/>
          <w:highlight w:val="none"/>
        </w:rPr>
      </w:pPr>
      <w:r>
        <w:rPr>
          <w:rFonts w:hint="eastAsia" w:ascii="宋体" w:hAnsi="宋体" w:cs="宋体"/>
          <w:color w:val="auto"/>
          <w:sz w:val="21"/>
          <w:szCs w:val="21"/>
          <w:highlight w:val="none"/>
        </w:rPr>
        <w:t>3</w:t>
      </w:r>
      <w:r>
        <w:rPr>
          <w:rFonts w:ascii="宋体" w:hAnsi="宋体" w:cs="宋体"/>
          <w:color w:val="auto"/>
          <w:sz w:val="21"/>
          <w:szCs w:val="21"/>
          <w:highlight w:val="none"/>
        </w:rPr>
        <w:t>6</w:t>
      </w:r>
      <w:r>
        <w:rPr>
          <w:rFonts w:hint="eastAsia" w:ascii="宋体" w:hAnsi="宋体" w:cs="宋体"/>
          <w:color w:val="auto"/>
          <w:sz w:val="21"/>
          <w:szCs w:val="21"/>
          <w:highlight w:val="none"/>
        </w:rPr>
        <w:t>.3质疑函接收、联系电话和通讯地址见《投标人须知前附表》采购代理机构信息。</w:t>
      </w:r>
    </w:p>
    <w:p w14:paraId="644B34C4">
      <w:pPr>
        <w:jc w:val="center"/>
        <w:rPr>
          <w:rFonts w:cs="宋体"/>
          <w:b/>
          <w:bCs/>
          <w:color w:val="auto"/>
          <w:sz w:val="30"/>
          <w:szCs w:val="30"/>
          <w:highlight w:val="none"/>
        </w:rPr>
      </w:pPr>
      <w:r>
        <w:rPr>
          <w:rFonts w:hint="eastAsia" w:cs="宋体"/>
          <w:b/>
          <w:bCs/>
          <w:color w:val="auto"/>
          <w:sz w:val="30"/>
          <w:szCs w:val="30"/>
          <w:highlight w:val="none"/>
        </w:rPr>
        <w:t>十、其他事项</w:t>
      </w:r>
    </w:p>
    <w:p w14:paraId="1A06AC08">
      <w:pPr>
        <w:rPr>
          <w:rFonts w:ascii="宋体" w:hAnsi="宋体" w:cs="宋体"/>
          <w:b/>
          <w:bCs/>
          <w:color w:val="auto"/>
          <w:sz w:val="21"/>
          <w:szCs w:val="21"/>
          <w:highlight w:val="none"/>
        </w:rPr>
      </w:pPr>
      <w:r>
        <w:rPr>
          <w:rFonts w:hint="eastAsia" w:ascii="宋体" w:hAnsi="宋体" w:cs="宋体"/>
          <w:b/>
          <w:bCs/>
          <w:color w:val="auto"/>
          <w:sz w:val="21"/>
          <w:szCs w:val="21"/>
          <w:highlight w:val="none"/>
        </w:rPr>
        <w:t>37.保密原则</w:t>
      </w:r>
    </w:p>
    <w:p w14:paraId="36AC8DB7">
      <w:pPr>
        <w:rPr>
          <w:rFonts w:ascii="宋体" w:hAnsi="宋体" w:cs="宋体"/>
          <w:color w:val="auto"/>
          <w:sz w:val="21"/>
          <w:szCs w:val="21"/>
          <w:highlight w:val="none"/>
        </w:rPr>
      </w:pPr>
      <w:r>
        <w:rPr>
          <w:rFonts w:hint="eastAsia" w:ascii="宋体" w:hAnsi="宋体" w:cs="宋体"/>
          <w:color w:val="auto"/>
          <w:sz w:val="21"/>
          <w:szCs w:val="21"/>
          <w:highlight w:val="none"/>
        </w:rPr>
        <w:t>37.1 评审将在严格保密的情况下进行。</w:t>
      </w:r>
    </w:p>
    <w:p w14:paraId="4612F595">
      <w:pPr>
        <w:ind w:left="525" w:hanging="525" w:hangingChars="250"/>
        <w:rPr>
          <w:rFonts w:ascii="宋体" w:hAnsi="宋体" w:cs="宋体"/>
          <w:color w:val="auto"/>
          <w:sz w:val="21"/>
          <w:szCs w:val="21"/>
          <w:highlight w:val="none"/>
        </w:rPr>
      </w:pPr>
      <w:r>
        <w:rPr>
          <w:rFonts w:hint="eastAsia" w:ascii="宋体" w:hAnsi="宋体" w:cs="宋体"/>
          <w:color w:val="auto"/>
          <w:sz w:val="21"/>
          <w:szCs w:val="21"/>
          <w:highlight w:val="none"/>
        </w:rPr>
        <w:t>37.2评标委员会应当遵守评标工作纪律，不得泄露招标文件、评审情况和评审中获悉的商业秘密。</w:t>
      </w:r>
    </w:p>
    <w:p w14:paraId="04C0BA5B">
      <w:pPr>
        <w:ind w:left="525" w:hanging="525" w:hangingChars="250"/>
        <w:rPr>
          <w:rFonts w:ascii="宋体" w:hAnsi="宋体" w:cs="宋体"/>
          <w:color w:val="auto"/>
          <w:sz w:val="21"/>
          <w:szCs w:val="21"/>
          <w:highlight w:val="none"/>
        </w:rPr>
      </w:pPr>
      <w:r>
        <w:rPr>
          <w:rFonts w:hint="eastAsia" w:ascii="宋体" w:hAnsi="宋体" w:cs="宋体"/>
          <w:color w:val="auto"/>
          <w:sz w:val="21"/>
          <w:szCs w:val="21"/>
          <w:highlight w:val="none"/>
        </w:rPr>
        <w:t>37.3投标人试图影响招标人和评标委员会的任何活动，将导致其投标被拒绝，承担相应的法律责任。</w:t>
      </w:r>
    </w:p>
    <w:p w14:paraId="6AFBE275">
      <w:pPr>
        <w:rPr>
          <w:rFonts w:ascii="宋体" w:hAnsi="宋体" w:cs="宋体"/>
          <w:b/>
          <w:bCs/>
          <w:color w:val="auto"/>
          <w:sz w:val="21"/>
          <w:szCs w:val="21"/>
          <w:highlight w:val="none"/>
        </w:rPr>
      </w:pPr>
      <w:r>
        <w:rPr>
          <w:rFonts w:hint="eastAsia" w:ascii="宋体" w:hAnsi="宋体" w:cs="宋体"/>
          <w:b/>
          <w:bCs/>
          <w:color w:val="auto"/>
          <w:sz w:val="21"/>
          <w:szCs w:val="21"/>
          <w:highlight w:val="none"/>
        </w:rPr>
        <w:t>38.解释权</w:t>
      </w:r>
    </w:p>
    <w:p w14:paraId="71200E1A">
      <w:pPr>
        <w:rPr>
          <w:rFonts w:ascii="宋体" w:hAnsi="宋体" w:cs="宋体"/>
          <w:b/>
          <w:bCs/>
          <w:color w:val="auto"/>
          <w:sz w:val="21"/>
          <w:szCs w:val="21"/>
          <w:highlight w:val="none"/>
        </w:rPr>
      </w:pPr>
      <w:r>
        <w:rPr>
          <w:rFonts w:hint="eastAsia" w:ascii="宋体" w:hAnsi="宋体" w:cs="宋体"/>
          <w:color w:val="auto"/>
          <w:sz w:val="21"/>
          <w:szCs w:val="21"/>
          <w:highlight w:val="none"/>
        </w:rPr>
        <w:t>38.1本采购文件是根据国家有关法律、法规以及招标活动管理有关规定编制，解释权属中招国际招标有限公司江西分公司。</w:t>
      </w:r>
    </w:p>
    <w:p w14:paraId="1BBF8DF9">
      <w:pPr>
        <w:rPr>
          <w:rFonts w:ascii="宋体" w:hAnsi="宋体" w:cs="宋体"/>
          <w:b/>
          <w:bCs/>
          <w:color w:val="auto"/>
          <w:sz w:val="21"/>
          <w:szCs w:val="21"/>
          <w:highlight w:val="none"/>
        </w:rPr>
      </w:pPr>
    </w:p>
    <w:p w14:paraId="0F2611CA">
      <w:pPr>
        <w:rPr>
          <w:rFonts w:ascii="宋体" w:hAnsi="宋体" w:cs="宋体"/>
          <w:b/>
          <w:bCs/>
          <w:color w:val="auto"/>
          <w:sz w:val="21"/>
          <w:szCs w:val="21"/>
          <w:highlight w:val="none"/>
        </w:rPr>
      </w:pPr>
    </w:p>
    <w:p w14:paraId="678359EE">
      <w:pPr>
        <w:widowControl/>
        <w:spacing w:line="240" w:lineRule="auto"/>
        <w:rPr>
          <w:rFonts w:ascii="宋体" w:hAnsi="宋体" w:cs="宋体"/>
          <w:b/>
          <w:bCs/>
          <w:color w:val="auto"/>
          <w:sz w:val="21"/>
          <w:szCs w:val="21"/>
          <w:highlight w:val="none"/>
        </w:rPr>
      </w:pPr>
      <w:r>
        <w:rPr>
          <w:rFonts w:ascii="宋体" w:hAnsi="宋体" w:cs="宋体"/>
          <w:b/>
          <w:bCs/>
          <w:color w:val="auto"/>
          <w:sz w:val="21"/>
          <w:szCs w:val="21"/>
          <w:highlight w:val="none"/>
        </w:rPr>
        <w:br w:type="page"/>
      </w:r>
    </w:p>
    <w:p w14:paraId="1DFABFBF">
      <w:pPr>
        <w:pStyle w:val="3"/>
        <w:spacing w:before="156" w:after="156"/>
        <w:rPr>
          <w:rFonts w:cs="宋体"/>
          <w:b w:val="0"/>
          <w:bCs w:val="0"/>
          <w:color w:val="auto"/>
          <w:highlight w:val="none"/>
        </w:rPr>
      </w:pPr>
      <w:bookmarkStart w:id="32" w:name="_Toc450634011"/>
      <w:bookmarkStart w:id="33" w:name="_Toc135054604"/>
      <w:r>
        <w:rPr>
          <w:rFonts w:hint="eastAsia" w:cs="宋体"/>
          <w:color w:val="auto"/>
          <w:highlight w:val="none"/>
        </w:rPr>
        <w:t>第三章　评标办法</w:t>
      </w:r>
      <w:bookmarkEnd w:id="32"/>
      <w:bookmarkEnd w:id="33"/>
    </w:p>
    <w:p w14:paraId="67384741">
      <w:pPr>
        <w:rPr>
          <w:rFonts w:cs="宋体"/>
          <w:b/>
          <w:bCs/>
          <w:color w:val="auto"/>
          <w:sz w:val="30"/>
          <w:szCs w:val="30"/>
          <w:highlight w:val="none"/>
        </w:rPr>
      </w:pPr>
      <w:r>
        <w:rPr>
          <w:rFonts w:hint="eastAsia" w:cs="宋体"/>
          <w:b/>
          <w:bCs/>
          <w:color w:val="auto"/>
          <w:sz w:val="30"/>
          <w:szCs w:val="30"/>
          <w:highlight w:val="none"/>
        </w:rPr>
        <w:t>一、总则</w:t>
      </w:r>
    </w:p>
    <w:p w14:paraId="54998781">
      <w:pPr>
        <w:pStyle w:val="62"/>
        <w:spacing w:line="440" w:lineRule="atLeast"/>
        <w:rPr>
          <w:rFonts w:ascii="宋体" w:hAnsi="宋体" w:cs="宋体"/>
          <w:color w:val="auto"/>
          <w:sz w:val="21"/>
          <w:szCs w:val="21"/>
          <w:highlight w:val="none"/>
        </w:rPr>
      </w:pPr>
      <w:r>
        <w:rPr>
          <w:rFonts w:hint="eastAsia" w:ascii="宋体" w:hAnsi="宋体" w:cs="宋体"/>
          <w:color w:val="auto"/>
          <w:sz w:val="21"/>
          <w:szCs w:val="21"/>
          <w:highlight w:val="none"/>
        </w:rPr>
        <w:t>评标委员会将仅对在实质上响应招标文件要求的投标文件进行评价和比较。投标文件的评价采用综合评分法，评分按商务、技术和价格三部分分别打分的方式进行。</w:t>
      </w:r>
    </w:p>
    <w:p w14:paraId="410D8F3C">
      <w:pPr>
        <w:pStyle w:val="62"/>
        <w:spacing w:line="440" w:lineRule="atLeast"/>
        <w:rPr>
          <w:rFonts w:ascii="宋体" w:hAnsi="宋体" w:cs="宋体"/>
          <w:color w:val="auto"/>
          <w:sz w:val="21"/>
          <w:szCs w:val="21"/>
          <w:highlight w:val="none"/>
        </w:rPr>
      </w:pPr>
      <w:r>
        <w:rPr>
          <w:rFonts w:ascii="宋体" w:hAnsi="宋体" w:cs="宋体"/>
          <w:color w:val="auto"/>
          <w:sz w:val="21"/>
          <w:szCs w:val="21"/>
          <w:highlight w:val="none"/>
        </w:rPr>
        <w:t>1</w:t>
      </w:r>
      <w:r>
        <w:rPr>
          <w:rFonts w:hint="eastAsia" w:ascii="宋体" w:hAnsi="宋体" w:cs="宋体"/>
          <w:color w:val="auto"/>
          <w:sz w:val="21"/>
          <w:szCs w:val="21"/>
          <w:highlight w:val="none"/>
        </w:rPr>
        <w:t>.投标人得分结果保留2位小数，第三位四舍五入。</w:t>
      </w:r>
    </w:p>
    <w:p w14:paraId="56D400BA">
      <w:pPr>
        <w:pStyle w:val="62"/>
        <w:spacing w:line="440" w:lineRule="atLeast"/>
        <w:rPr>
          <w:rFonts w:ascii="宋体" w:hAnsi="宋体" w:cs="宋体"/>
          <w:color w:val="auto"/>
          <w:sz w:val="21"/>
          <w:szCs w:val="21"/>
          <w:highlight w:val="none"/>
        </w:rPr>
      </w:pPr>
      <w:r>
        <w:rPr>
          <w:rFonts w:ascii="宋体" w:hAnsi="宋体" w:cs="宋体"/>
          <w:color w:val="auto"/>
          <w:sz w:val="21"/>
          <w:szCs w:val="21"/>
          <w:highlight w:val="none"/>
        </w:rPr>
        <w:t>2</w:t>
      </w:r>
      <w:r>
        <w:rPr>
          <w:rFonts w:hint="eastAsia" w:ascii="宋体" w:hAnsi="宋体" w:cs="宋体"/>
          <w:color w:val="auto"/>
          <w:sz w:val="21"/>
          <w:szCs w:val="21"/>
          <w:highlight w:val="none"/>
        </w:rPr>
        <w:t>.对于全部满足招标文件中规定的商务及技术、服务等方面的实质性要求的投标文件，评标委员会将按综合评审得分由高到低的顺序对投标人进行评标排序，</w:t>
      </w:r>
      <w:r>
        <w:rPr>
          <w:rFonts w:hint="eastAsia" w:ascii="宋体" w:hAnsi="宋体" w:cs="宋体"/>
          <w:b/>
          <w:bCs/>
          <w:color w:val="auto"/>
          <w:sz w:val="21"/>
          <w:szCs w:val="21"/>
          <w:highlight w:val="none"/>
        </w:rPr>
        <w:t>推荐前3名投标人为中标候选人</w:t>
      </w:r>
      <w:r>
        <w:rPr>
          <w:rFonts w:hint="eastAsia" w:ascii="宋体" w:hAnsi="宋体" w:cs="宋体"/>
          <w:color w:val="auto"/>
          <w:sz w:val="21"/>
          <w:szCs w:val="21"/>
          <w:highlight w:val="none"/>
        </w:rPr>
        <w:t>。得分相同的，按投标报价由低到高顺序排列。得分且投标报价相同的并列。</w:t>
      </w:r>
    </w:p>
    <w:p w14:paraId="49A0A6A1">
      <w:pPr>
        <w:pStyle w:val="62"/>
        <w:spacing w:line="440" w:lineRule="atLeast"/>
        <w:rPr>
          <w:rFonts w:ascii="宋体" w:hAnsi="宋体" w:cs="宋体"/>
          <w:color w:val="auto"/>
          <w:sz w:val="21"/>
          <w:szCs w:val="21"/>
          <w:highlight w:val="none"/>
        </w:rPr>
      </w:pPr>
      <w:r>
        <w:rPr>
          <w:rFonts w:hint="eastAsia" w:ascii="宋体" w:hAnsi="宋体" w:cs="宋体"/>
          <w:color w:val="auto"/>
          <w:sz w:val="21"/>
          <w:szCs w:val="21"/>
          <w:highlight w:val="none"/>
        </w:rPr>
        <w:t>3.采购人将按顺序确定中标人，并将合同授予中标人。第一名中标候选人并列的，技术部分得分较高的中标候选人被确定为中标人，并列的中标候选人技术部分得分仍相同，采购人按照随机抽取方式确定中标人。</w:t>
      </w:r>
    </w:p>
    <w:p w14:paraId="26C8ECC1">
      <w:pPr>
        <w:rPr>
          <w:rFonts w:cs="宋体"/>
          <w:b/>
          <w:bCs/>
          <w:color w:val="auto"/>
          <w:sz w:val="30"/>
          <w:szCs w:val="30"/>
          <w:highlight w:val="none"/>
        </w:rPr>
      </w:pPr>
      <w:r>
        <w:rPr>
          <w:rFonts w:hint="eastAsia" w:cs="宋体"/>
          <w:b/>
          <w:bCs/>
          <w:color w:val="auto"/>
          <w:sz w:val="30"/>
          <w:szCs w:val="30"/>
          <w:highlight w:val="none"/>
        </w:rPr>
        <w:t>二、资格性检查及符合性检查</w:t>
      </w:r>
    </w:p>
    <w:p w14:paraId="2FB96906">
      <w:pPr>
        <w:ind w:left="19" w:firstLine="420" w:firstLineChars="200"/>
        <w:rPr>
          <w:rFonts w:ascii="宋体" w:hAnsi="宋体" w:cs="宋体"/>
          <w:bCs/>
          <w:color w:val="auto"/>
          <w:sz w:val="21"/>
          <w:szCs w:val="21"/>
          <w:highlight w:val="none"/>
        </w:rPr>
      </w:pPr>
      <w:r>
        <w:rPr>
          <w:rFonts w:hint="eastAsia" w:ascii="宋体" w:hAnsi="宋体" w:cs="宋体"/>
          <w:bCs/>
          <w:color w:val="auto"/>
          <w:sz w:val="21"/>
          <w:szCs w:val="21"/>
          <w:highlight w:val="none"/>
        </w:rPr>
        <w:t>满足“资格性检查及符合性检查”的投标，方可进入商务、技术评议，否则将导致投标无效。</w:t>
      </w:r>
    </w:p>
    <w:p w14:paraId="2C1D8856">
      <w:pPr>
        <w:ind w:left="19" w:firstLine="480" w:firstLineChars="200"/>
        <w:rPr>
          <w:color w:val="auto"/>
          <w:highlight w:val="none"/>
        </w:rPr>
      </w:pPr>
    </w:p>
    <w:p w14:paraId="1BC2FD21">
      <w:pPr>
        <w:rPr>
          <w:rFonts w:cs="宋体"/>
          <w:b/>
          <w:bCs/>
          <w:color w:val="auto"/>
          <w:sz w:val="30"/>
          <w:szCs w:val="30"/>
          <w:highlight w:val="none"/>
        </w:rPr>
      </w:pPr>
      <w:r>
        <w:rPr>
          <w:rFonts w:hint="eastAsia" w:cs="宋体"/>
          <w:b/>
          <w:bCs/>
          <w:color w:val="auto"/>
          <w:sz w:val="30"/>
          <w:szCs w:val="30"/>
          <w:highlight w:val="none"/>
        </w:rPr>
        <w:t>三、评分标准</w:t>
      </w:r>
    </w:p>
    <w:tbl>
      <w:tblPr>
        <w:tblStyle w:val="27"/>
        <w:tblW w:w="924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884"/>
        <w:gridCol w:w="6445"/>
        <w:gridCol w:w="913"/>
      </w:tblGrid>
      <w:tr w14:paraId="368F46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1884" w:type="dxa"/>
            <w:noWrap/>
            <w:vAlign w:val="center"/>
          </w:tcPr>
          <w:p w14:paraId="5DE99C05">
            <w:pPr>
              <w:jc w:val="center"/>
              <w:textAlignment w:val="center"/>
              <w:rPr>
                <w:rFonts w:ascii="宋体" w:hAnsi="宋体" w:cs="宋体"/>
                <w:b/>
                <w:color w:val="auto"/>
                <w:sz w:val="21"/>
                <w:szCs w:val="21"/>
                <w:highlight w:val="none"/>
              </w:rPr>
            </w:pPr>
            <w:r>
              <w:rPr>
                <w:rFonts w:hint="eastAsia" w:ascii="宋体" w:hAnsi="宋体" w:cs="宋体"/>
                <w:b/>
                <w:color w:val="auto"/>
                <w:sz w:val="21"/>
                <w:szCs w:val="21"/>
                <w:highlight w:val="none"/>
              </w:rPr>
              <w:t>评标指标</w:t>
            </w:r>
          </w:p>
        </w:tc>
        <w:tc>
          <w:tcPr>
            <w:tcW w:w="7358" w:type="dxa"/>
            <w:gridSpan w:val="2"/>
            <w:noWrap/>
            <w:vAlign w:val="center"/>
          </w:tcPr>
          <w:p w14:paraId="3792FFA5">
            <w:pPr>
              <w:jc w:val="center"/>
              <w:textAlignment w:val="center"/>
              <w:rPr>
                <w:rFonts w:ascii="宋体" w:hAnsi="宋体" w:cs="宋体"/>
                <w:b/>
                <w:color w:val="auto"/>
                <w:sz w:val="21"/>
                <w:szCs w:val="21"/>
                <w:highlight w:val="none"/>
              </w:rPr>
            </w:pPr>
            <w:r>
              <w:rPr>
                <w:rFonts w:hint="eastAsia" w:ascii="宋体" w:hAnsi="宋体" w:cs="宋体"/>
                <w:b/>
                <w:color w:val="auto"/>
                <w:sz w:val="21"/>
                <w:szCs w:val="21"/>
                <w:highlight w:val="none"/>
              </w:rPr>
              <w:t>评议内容</w:t>
            </w:r>
          </w:p>
        </w:tc>
      </w:tr>
      <w:tr w14:paraId="78646A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9242" w:type="dxa"/>
            <w:gridSpan w:val="3"/>
            <w:noWrap/>
            <w:vAlign w:val="center"/>
          </w:tcPr>
          <w:p w14:paraId="004D0B93">
            <w:pPr>
              <w:autoSpaceDE w:val="0"/>
              <w:autoSpaceDN w:val="0"/>
              <w:jc w:val="center"/>
              <w:textAlignment w:val="center"/>
              <w:rPr>
                <w:rFonts w:ascii="宋体" w:hAnsi="宋体" w:cs="宋体"/>
                <w:b/>
                <w:bCs/>
                <w:color w:val="auto"/>
                <w:sz w:val="21"/>
                <w:szCs w:val="21"/>
                <w:highlight w:val="none"/>
              </w:rPr>
            </w:pPr>
            <w:r>
              <w:rPr>
                <w:rFonts w:hint="eastAsia" w:ascii="宋体" w:hAnsi="宋体" w:cs="宋体"/>
                <w:b/>
                <w:color w:val="auto"/>
                <w:sz w:val="21"/>
                <w:szCs w:val="21"/>
                <w:highlight w:val="none"/>
              </w:rPr>
              <w:t>价格部分（10分）</w:t>
            </w:r>
          </w:p>
        </w:tc>
      </w:tr>
      <w:tr w14:paraId="6385A0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1884" w:type="dxa"/>
            <w:noWrap/>
            <w:vAlign w:val="center"/>
          </w:tcPr>
          <w:p w14:paraId="3ABB1A22">
            <w:pPr>
              <w:jc w:val="center"/>
              <w:textAlignment w:val="center"/>
              <w:rPr>
                <w:rFonts w:ascii="宋体" w:hAnsi="宋体" w:cs="宋体" w:eastAsiaTheme="minorEastAsia"/>
                <w:color w:val="auto"/>
                <w:kern w:val="0"/>
                <w:sz w:val="21"/>
                <w:szCs w:val="21"/>
                <w:highlight w:val="none"/>
              </w:rPr>
            </w:pPr>
            <w:r>
              <w:rPr>
                <w:rFonts w:hint="eastAsia" w:ascii="宋体" w:hAnsi="宋体" w:cs="宋体" w:eastAsiaTheme="minorEastAsia"/>
                <w:color w:val="auto"/>
                <w:kern w:val="0"/>
                <w:sz w:val="21"/>
                <w:szCs w:val="21"/>
                <w:highlight w:val="none"/>
              </w:rPr>
              <w:t>报价</w:t>
            </w:r>
          </w:p>
        </w:tc>
        <w:tc>
          <w:tcPr>
            <w:tcW w:w="7358" w:type="dxa"/>
            <w:gridSpan w:val="2"/>
            <w:noWrap/>
            <w:vAlign w:val="center"/>
          </w:tcPr>
          <w:p w14:paraId="68EE0E97">
            <w:pPr>
              <w:spacing w:line="360" w:lineRule="auto"/>
              <w:rPr>
                <w:rFonts w:ascii="宋体" w:hAnsi="宋体" w:cs="宋体" w:eastAsiaTheme="minorEastAsia"/>
                <w:color w:val="auto"/>
                <w:kern w:val="0"/>
                <w:sz w:val="21"/>
                <w:szCs w:val="21"/>
                <w:highlight w:val="none"/>
              </w:rPr>
            </w:pPr>
            <w:r>
              <w:rPr>
                <w:rFonts w:hint="eastAsia" w:ascii="宋体" w:hAnsi="宋体" w:cs="宋体" w:eastAsiaTheme="minorEastAsia"/>
                <w:color w:val="auto"/>
                <w:kern w:val="0"/>
                <w:sz w:val="21"/>
                <w:szCs w:val="21"/>
                <w:highlight w:val="none"/>
              </w:rPr>
              <w:t>价格分采用低价优先法计算，即满足招标文件要求且投标价格最低的投标报价为评标基准价，其价格分为满分；其他投标人的价格分统一按下列公式计算：投标报价得分=（评标基准价/投标报价）×</w:t>
            </w:r>
            <w:r>
              <w:rPr>
                <w:rFonts w:hint="eastAsia" w:ascii="宋体" w:hAnsi="宋体" w:cs="宋体"/>
                <w:color w:val="auto"/>
                <w:kern w:val="0"/>
                <w:sz w:val="21"/>
                <w:szCs w:val="21"/>
                <w:highlight w:val="none"/>
              </w:rPr>
              <w:t>10</w:t>
            </w:r>
            <w:r>
              <w:rPr>
                <w:rFonts w:hint="eastAsia" w:ascii="宋体" w:hAnsi="宋体" w:cs="宋体" w:eastAsiaTheme="minorEastAsia"/>
                <w:color w:val="auto"/>
                <w:kern w:val="0"/>
                <w:sz w:val="21"/>
                <w:szCs w:val="21"/>
                <w:highlight w:val="none"/>
              </w:rPr>
              <w:t xml:space="preserve"> 分；计算结果保留至小数点后两位。</w:t>
            </w:r>
          </w:p>
          <w:p w14:paraId="5BC3E945">
            <w:pPr>
              <w:spacing w:line="360" w:lineRule="auto"/>
              <w:rPr>
                <w:rFonts w:ascii="宋体" w:hAnsi="宋体" w:cs="宋体" w:eastAsiaTheme="minorEastAsia"/>
                <w:color w:val="auto"/>
                <w:kern w:val="0"/>
                <w:sz w:val="21"/>
                <w:szCs w:val="21"/>
                <w:highlight w:val="none"/>
              </w:rPr>
            </w:pPr>
            <w:r>
              <w:rPr>
                <w:rFonts w:hint="eastAsia" w:ascii="宋体" w:hAnsi="宋体" w:cs="宋体" w:eastAsiaTheme="minorEastAsia"/>
                <w:color w:val="auto"/>
                <w:kern w:val="0"/>
                <w:sz w:val="21"/>
                <w:szCs w:val="21"/>
                <w:highlight w:val="none"/>
              </w:rPr>
              <w:t>注：（1）对小型和微型企业的</w:t>
            </w:r>
            <w:r>
              <w:rPr>
                <w:rFonts w:hint="eastAsia" w:ascii="宋体" w:hAnsi="宋体" w:cs="宋体" w:eastAsiaTheme="minorEastAsia"/>
                <w:color w:val="auto"/>
                <w:kern w:val="0"/>
                <w:sz w:val="21"/>
                <w:szCs w:val="21"/>
                <w:highlight w:val="none"/>
                <w:lang w:val="en-US" w:eastAsia="zh-CN"/>
              </w:rPr>
              <w:t>价格</w:t>
            </w:r>
            <w:r>
              <w:rPr>
                <w:rFonts w:hint="eastAsia" w:ascii="宋体" w:hAnsi="宋体" w:cs="宋体" w:eastAsiaTheme="minorEastAsia"/>
                <w:color w:val="auto"/>
                <w:kern w:val="0"/>
                <w:sz w:val="21"/>
                <w:szCs w:val="21"/>
                <w:highlight w:val="none"/>
              </w:rPr>
              <w:t>给予 10%的扣除，用扣除后的价格参与评审。</w:t>
            </w:r>
          </w:p>
          <w:p w14:paraId="2AEC9D89">
            <w:pPr>
              <w:spacing w:line="360" w:lineRule="auto"/>
              <w:rPr>
                <w:rFonts w:ascii="宋体" w:hAnsi="宋体" w:cs="宋体" w:eastAsiaTheme="minorEastAsia"/>
                <w:color w:val="auto"/>
                <w:kern w:val="0"/>
                <w:sz w:val="21"/>
                <w:szCs w:val="21"/>
                <w:highlight w:val="none"/>
              </w:rPr>
            </w:pPr>
            <w:r>
              <w:rPr>
                <w:rFonts w:hint="eastAsia" w:ascii="宋体" w:hAnsi="宋体" w:cs="宋体" w:eastAsiaTheme="minorEastAsia"/>
                <w:color w:val="auto"/>
                <w:kern w:val="0"/>
                <w:sz w:val="21"/>
                <w:szCs w:val="21"/>
                <w:highlight w:val="none"/>
              </w:rPr>
              <w:t>（2）监狱企业视同小型、微型企业，享受评审中价格扣除等政府促进中小企业发展的政府采购政策。</w:t>
            </w:r>
          </w:p>
          <w:p w14:paraId="49768428">
            <w:pPr>
              <w:textAlignment w:val="center"/>
              <w:rPr>
                <w:rFonts w:ascii="宋体" w:hAnsi="宋体" w:cs="宋体" w:eastAsiaTheme="minorEastAsia"/>
                <w:color w:val="auto"/>
                <w:kern w:val="0"/>
                <w:sz w:val="21"/>
                <w:szCs w:val="21"/>
                <w:highlight w:val="none"/>
              </w:rPr>
            </w:pPr>
            <w:r>
              <w:rPr>
                <w:rFonts w:hint="eastAsia" w:ascii="宋体" w:hAnsi="宋体" w:cs="宋体" w:eastAsiaTheme="minorEastAsia"/>
                <w:color w:val="auto"/>
                <w:kern w:val="0"/>
                <w:sz w:val="21"/>
                <w:szCs w:val="21"/>
                <w:highlight w:val="none"/>
              </w:rPr>
              <w:t>（3）残疾人福利性单位视同小型、微型企业，享受评审中价格扣除等政府促进中小企业发展的政府采购政策；福利性单位属于小型、微型企业的，不重复享受政策。</w:t>
            </w:r>
          </w:p>
        </w:tc>
      </w:tr>
      <w:tr w14:paraId="2C0E6F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9242" w:type="dxa"/>
            <w:gridSpan w:val="3"/>
            <w:noWrap/>
          </w:tcPr>
          <w:p w14:paraId="7E6EDD39">
            <w:pPr>
              <w:autoSpaceDE w:val="0"/>
              <w:autoSpaceDN w:val="0"/>
              <w:adjustRightInd w:val="0"/>
              <w:jc w:val="center"/>
              <w:textAlignment w:val="center"/>
              <w:rPr>
                <w:rFonts w:ascii="宋体" w:hAnsi="宋体" w:cs="宋体"/>
                <w:color w:val="auto"/>
                <w:kern w:val="0"/>
                <w:sz w:val="21"/>
                <w:szCs w:val="21"/>
                <w:highlight w:val="none"/>
              </w:rPr>
            </w:pPr>
            <w:r>
              <w:rPr>
                <w:rFonts w:hint="eastAsia" w:ascii="宋体" w:hAnsi="宋体" w:cs="宋体"/>
                <w:b/>
                <w:color w:val="auto"/>
                <w:sz w:val="21"/>
                <w:szCs w:val="21"/>
                <w:highlight w:val="none"/>
              </w:rPr>
              <w:t>技术部分（65分）</w:t>
            </w:r>
          </w:p>
        </w:tc>
      </w:tr>
      <w:tr w14:paraId="6093C2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1884" w:type="dxa"/>
            <w:noWrap/>
            <w:vAlign w:val="center"/>
          </w:tcPr>
          <w:p w14:paraId="60EF062F">
            <w:pPr>
              <w:jc w:val="center"/>
              <w:textAlignment w:val="center"/>
              <w:rPr>
                <w:rFonts w:ascii="宋体" w:hAnsi="宋体" w:cs="宋体"/>
                <w:color w:val="auto"/>
                <w:sz w:val="21"/>
                <w:szCs w:val="21"/>
                <w:highlight w:val="none"/>
              </w:rPr>
            </w:pPr>
            <w:r>
              <w:rPr>
                <w:rFonts w:hint="eastAsia" w:ascii="宋体" w:hAnsi="宋体" w:cs="宋体"/>
                <w:color w:val="auto"/>
                <w:sz w:val="21"/>
                <w:szCs w:val="21"/>
                <w:highlight w:val="none"/>
              </w:rPr>
              <w:t>评分项</w:t>
            </w:r>
          </w:p>
        </w:tc>
        <w:tc>
          <w:tcPr>
            <w:tcW w:w="6445" w:type="dxa"/>
            <w:noWrap/>
            <w:vAlign w:val="center"/>
          </w:tcPr>
          <w:p w14:paraId="563FD4A2">
            <w:pPr>
              <w:jc w:val="center"/>
              <w:textAlignment w:val="center"/>
              <w:rPr>
                <w:rFonts w:ascii="宋体" w:hAnsi="宋体" w:cs="宋体"/>
                <w:color w:val="auto"/>
                <w:sz w:val="21"/>
                <w:szCs w:val="21"/>
                <w:highlight w:val="none"/>
              </w:rPr>
            </w:pPr>
            <w:r>
              <w:rPr>
                <w:rFonts w:hint="eastAsia" w:ascii="宋体" w:hAnsi="宋体" w:cs="宋体"/>
                <w:color w:val="auto"/>
                <w:sz w:val="21"/>
                <w:szCs w:val="21"/>
                <w:highlight w:val="none"/>
              </w:rPr>
              <w:t>技术参数要求</w:t>
            </w:r>
          </w:p>
        </w:tc>
        <w:tc>
          <w:tcPr>
            <w:tcW w:w="913" w:type="dxa"/>
            <w:noWrap/>
            <w:vAlign w:val="center"/>
          </w:tcPr>
          <w:p w14:paraId="1BB67E48">
            <w:pPr>
              <w:jc w:val="center"/>
              <w:textAlignment w:val="center"/>
              <w:rPr>
                <w:rFonts w:ascii="宋体" w:hAnsi="宋体" w:cs="宋体"/>
                <w:color w:val="auto"/>
                <w:sz w:val="21"/>
                <w:szCs w:val="21"/>
                <w:highlight w:val="none"/>
              </w:rPr>
            </w:pPr>
            <w:r>
              <w:rPr>
                <w:rFonts w:hint="eastAsia" w:ascii="宋体" w:hAnsi="宋体" w:cs="宋体"/>
                <w:color w:val="auto"/>
                <w:sz w:val="21"/>
                <w:szCs w:val="21"/>
                <w:highlight w:val="none"/>
              </w:rPr>
              <w:t>分值</w:t>
            </w:r>
          </w:p>
        </w:tc>
      </w:tr>
      <w:tr w14:paraId="18B047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1884" w:type="dxa"/>
            <w:noWrap/>
            <w:vAlign w:val="center"/>
          </w:tcPr>
          <w:p w14:paraId="3808BABE">
            <w:pPr>
              <w:jc w:val="center"/>
              <w:rPr>
                <w:rFonts w:ascii="宋体" w:hAnsi="宋体" w:cs="宋体"/>
                <w:color w:val="auto"/>
                <w:sz w:val="21"/>
                <w:szCs w:val="21"/>
                <w:highlight w:val="none"/>
              </w:rPr>
            </w:pPr>
            <w:r>
              <w:rPr>
                <w:rFonts w:hint="eastAsia" w:ascii="宋体" w:hAnsi="宋体" w:cs="宋体"/>
                <w:color w:val="auto"/>
                <w:sz w:val="21"/>
                <w:szCs w:val="21"/>
                <w:highlight w:val="none"/>
              </w:rPr>
              <w:t>1.基本技</w:t>
            </w:r>
          </w:p>
          <w:p w14:paraId="1EF85278">
            <w:pPr>
              <w:jc w:val="center"/>
              <w:rPr>
                <w:rFonts w:ascii="宋体" w:hAnsi="宋体" w:cs="宋体"/>
                <w:color w:val="auto"/>
                <w:sz w:val="21"/>
                <w:szCs w:val="21"/>
                <w:highlight w:val="none"/>
              </w:rPr>
            </w:pPr>
            <w:r>
              <w:rPr>
                <w:rFonts w:hint="eastAsia" w:ascii="宋体" w:hAnsi="宋体" w:cs="宋体"/>
                <w:color w:val="auto"/>
                <w:sz w:val="21"/>
                <w:szCs w:val="21"/>
                <w:highlight w:val="none"/>
              </w:rPr>
              <w:t>术要求</w:t>
            </w:r>
          </w:p>
        </w:tc>
        <w:tc>
          <w:tcPr>
            <w:tcW w:w="6445" w:type="dxa"/>
            <w:noWrap/>
            <w:vAlign w:val="center"/>
          </w:tcPr>
          <w:p w14:paraId="1747AA58">
            <w:pPr>
              <w:tabs>
                <w:tab w:val="left" w:pos="176"/>
              </w:tabs>
              <w:spacing w:line="360" w:lineRule="auto"/>
              <w:jc w:val="both"/>
              <w:textAlignment w:val="center"/>
              <w:rPr>
                <w:rFonts w:ascii="宋体" w:hAnsi="宋体" w:cs="宋体"/>
                <w:color w:val="auto"/>
                <w:sz w:val="21"/>
                <w:szCs w:val="21"/>
                <w:highlight w:val="none"/>
              </w:rPr>
            </w:pPr>
            <w:r>
              <w:rPr>
                <w:rFonts w:hint="eastAsia" w:ascii="宋体" w:hAnsi="宋体" w:cs="宋体"/>
                <w:color w:val="auto"/>
                <w:sz w:val="21"/>
                <w:szCs w:val="21"/>
                <w:highlight w:val="none"/>
              </w:rPr>
              <w:t>1.1满足招标文件“第四章采购需求”中“服务要求”，有一条不满足（负偏离）的视为无效投标。</w:t>
            </w:r>
          </w:p>
          <w:p w14:paraId="288567EE">
            <w:pPr>
              <w:spacing w:line="360" w:lineRule="auto"/>
              <w:jc w:val="both"/>
              <w:rPr>
                <w:rFonts w:ascii="宋体" w:hAnsi="宋体" w:cs="宋体"/>
                <w:color w:val="auto"/>
                <w:sz w:val="21"/>
                <w:szCs w:val="21"/>
                <w:highlight w:val="none"/>
              </w:rPr>
            </w:pPr>
            <w:r>
              <w:rPr>
                <w:rFonts w:hint="eastAsia" w:ascii="宋体" w:hAnsi="宋体" w:cs="宋体"/>
                <w:b/>
                <w:bCs/>
                <w:color w:val="auto"/>
                <w:sz w:val="21"/>
                <w:szCs w:val="21"/>
                <w:highlight w:val="none"/>
              </w:rPr>
              <w:t>评审依据：服务需求响应/偏离表</w:t>
            </w:r>
          </w:p>
        </w:tc>
        <w:tc>
          <w:tcPr>
            <w:tcW w:w="913" w:type="dxa"/>
            <w:noWrap/>
            <w:vAlign w:val="center"/>
          </w:tcPr>
          <w:p w14:paraId="70019D07">
            <w:pPr>
              <w:jc w:val="center"/>
              <w:rPr>
                <w:rFonts w:ascii="宋体" w:hAnsi="宋体" w:cs="宋体"/>
                <w:color w:val="auto"/>
                <w:sz w:val="21"/>
                <w:szCs w:val="21"/>
                <w:highlight w:val="none"/>
              </w:rPr>
            </w:pPr>
            <w:r>
              <w:rPr>
                <w:rFonts w:hint="eastAsia" w:ascii="宋体" w:hAnsi="宋体" w:cs="宋体"/>
                <w:color w:val="auto"/>
                <w:kern w:val="0"/>
                <w:sz w:val="21"/>
                <w:szCs w:val="21"/>
                <w:highlight w:val="none"/>
              </w:rPr>
              <w:t>/</w:t>
            </w:r>
          </w:p>
        </w:tc>
      </w:tr>
      <w:tr w14:paraId="2B5757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1884" w:type="dxa"/>
            <w:noWrap/>
            <w:vAlign w:val="center"/>
          </w:tcPr>
          <w:p w14:paraId="1F302AF0">
            <w:pPr>
              <w:jc w:val="center"/>
              <w:rPr>
                <w:rFonts w:ascii="宋体" w:hAnsi="宋体" w:cs="宋体"/>
                <w:color w:val="auto"/>
                <w:sz w:val="21"/>
                <w:szCs w:val="21"/>
                <w:highlight w:val="none"/>
              </w:rPr>
            </w:pPr>
            <w:r>
              <w:rPr>
                <w:rFonts w:hint="eastAsia" w:ascii="宋体" w:hAnsi="宋体" w:cs="宋体"/>
                <w:color w:val="auto"/>
                <w:sz w:val="21"/>
                <w:szCs w:val="21"/>
                <w:highlight w:val="none"/>
              </w:rPr>
              <w:t>2.拟派的物业项目经理</w:t>
            </w:r>
          </w:p>
        </w:tc>
        <w:tc>
          <w:tcPr>
            <w:tcW w:w="6445" w:type="dxa"/>
            <w:noWrap/>
            <w:vAlign w:val="center"/>
          </w:tcPr>
          <w:p w14:paraId="786D4B10">
            <w:pPr>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2.1持有全国物业管理企业经理证书证书的得2分；</w:t>
            </w:r>
          </w:p>
          <w:p w14:paraId="4FD93B20">
            <w:pPr>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2.2持有政府部门颁发的中级及以上工程师证书的得1分；</w:t>
            </w:r>
          </w:p>
          <w:p w14:paraId="52E6A482">
            <w:pPr>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2.3具有类似非住宅类项目负责人管理经验，并取得项目业主单位满意的用户评定。符合得2分，不符合不得分。提供相关证明材料。</w:t>
            </w:r>
          </w:p>
          <w:p w14:paraId="48610FF3">
            <w:pPr>
              <w:pStyle w:val="10"/>
              <w:jc w:val="both"/>
              <w:rPr>
                <w:rFonts w:ascii="宋体" w:hAnsi="宋体" w:cs="宋体"/>
                <w:color w:val="auto"/>
                <w:sz w:val="21"/>
                <w:szCs w:val="21"/>
                <w:highlight w:val="none"/>
              </w:rPr>
            </w:pPr>
            <w:r>
              <w:rPr>
                <w:rFonts w:hint="eastAsia" w:ascii="宋体" w:hAnsi="宋体" w:cs="宋体"/>
                <w:color w:val="auto"/>
                <w:sz w:val="21"/>
                <w:szCs w:val="21"/>
                <w:highlight w:val="none"/>
              </w:rPr>
              <w:t>本项满分</w:t>
            </w:r>
            <w:r>
              <w:rPr>
                <w:rFonts w:hint="eastAsia" w:ascii="宋体" w:hAnsi="宋体" w:cs="宋体"/>
                <w:color w:val="auto"/>
                <w:sz w:val="21"/>
                <w:szCs w:val="21"/>
                <w:highlight w:val="none"/>
                <w:lang w:val="en-US" w:eastAsia="zh-CN"/>
              </w:rPr>
              <w:t>5</w:t>
            </w:r>
            <w:r>
              <w:rPr>
                <w:rFonts w:hint="eastAsia" w:ascii="宋体" w:hAnsi="宋体" w:cs="宋体"/>
                <w:color w:val="auto"/>
                <w:sz w:val="21"/>
                <w:szCs w:val="21"/>
                <w:highlight w:val="none"/>
              </w:rPr>
              <w:t>分。</w:t>
            </w:r>
          </w:p>
          <w:p w14:paraId="575D0DFD">
            <w:pPr>
              <w:pStyle w:val="9"/>
              <w:rPr>
                <w:rFonts w:cs="宋体"/>
                <w:b/>
                <w:bCs/>
                <w:color w:val="auto"/>
                <w:sz w:val="21"/>
                <w:szCs w:val="21"/>
                <w:highlight w:val="none"/>
              </w:rPr>
            </w:pPr>
            <w:r>
              <w:rPr>
                <w:rFonts w:hint="eastAsia" w:ascii="宋体" w:hAnsi="宋体" w:cs="宋体"/>
                <w:b/>
                <w:bCs/>
                <w:color w:val="auto"/>
                <w:sz w:val="21"/>
                <w:szCs w:val="21"/>
                <w:highlight w:val="none"/>
              </w:rPr>
              <w:t>评审依据：</w:t>
            </w:r>
            <w:r>
              <w:rPr>
                <w:rFonts w:hint="eastAsia"/>
                <w:b/>
                <w:bCs/>
                <w:color w:val="auto"/>
                <w:sz w:val="21"/>
                <w:szCs w:val="21"/>
                <w:highlight w:val="none"/>
              </w:rPr>
              <w:t>投标人须提供相关证书以及投标单位在开标前3个月内任意一个月社保缴证明扫描件加盖投标人公章，提供项目经理非住宅类物业服务合同（如合同中不能体现项目经理，须提供业主单位盖章的证明材料）及业主单位对该项目满意度评定表（须加盖业主单位公章）。所有材料原件现场核查，否则不得分。</w:t>
            </w:r>
          </w:p>
        </w:tc>
        <w:tc>
          <w:tcPr>
            <w:tcW w:w="913" w:type="dxa"/>
            <w:noWrap/>
            <w:vAlign w:val="center"/>
          </w:tcPr>
          <w:p w14:paraId="61184759">
            <w:pPr>
              <w:jc w:val="center"/>
              <w:rPr>
                <w:rFonts w:ascii="宋体" w:hAnsi="宋体" w:cs="宋体"/>
                <w:color w:val="auto"/>
                <w:kern w:val="0"/>
                <w:sz w:val="21"/>
                <w:szCs w:val="21"/>
                <w:highlight w:val="none"/>
              </w:rPr>
            </w:pPr>
            <w:r>
              <w:rPr>
                <w:rFonts w:hint="eastAsia" w:ascii="宋体" w:hAnsi="宋体" w:cs="宋体"/>
                <w:color w:val="auto"/>
                <w:kern w:val="0"/>
                <w:sz w:val="21"/>
                <w:szCs w:val="21"/>
                <w:highlight w:val="none"/>
                <w:lang w:val="en-US" w:eastAsia="zh-CN"/>
              </w:rPr>
              <w:t>5</w:t>
            </w:r>
            <w:r>
              <w:rPr>
                <w:rFonts w:hint="eastAsia" w:ascii="宋体" w:hAnsi="宋体" w:cs="宋体"/>
                <w:color w:val="auto"/>
                <w:kern w:val="0"/>
                <w:sz w:val="21"/>
                <w:szCs w:val="21"/>
                <w:highlight w:val="none"/>
              </w:rPr>
              <w:t>分</w:t>
            </w:r>
          </w:p>
        </w:tc>
      </w:tr>
      <w:tr w14:paraId="3A661C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5" w:hRule="atLeast"/>
        </w:trPr>
        <w:tc>
          <w:tcPr>
            <w:tcW w:w="1884" w:type="dxa"/>
            <w:noWrap/>
            <w:vAlign w:val="center"/>
          </w:tcPr>
          <w:p w14:paraId="5D74AD4A">
            <w:pPr>
              <w:jc w:val="center"/>
              <w:rPr>
                <w:rFonts w:ascii="宋体" w:hAnsi="宋体" w:cs="宋体" w:eastAsiaTheme="minorEastAsia"/>
                <w:color w:val="auto"/>
                <w:sz w:val="21"/>
                <w:szCs w:val="21"/>
                <w:highlight w:val="none"/>
              </w:rPr>
            </w:pPr>
            <w:r>
              <w:rPr>
                <w:rFonts w:hint="eastAsia" w:ascii="宋体" w:hAnsi="宋体" w:cs="宋体"/>
                <w:color w:val="auto"/>
                <w:sz w:val="21"/>
                <w:szCs w:val="21"/>
                <w:highlight w:val="none"/>
              </w:rPr>
              <w:t>3.会议、客服人员</w:t>
            </w:r>
          </w:p>
        </w:tc>
        <w:tc>
          <w:tcPr>
            <w:tcW w:w="6445" w:type="dxa"/>
            <w:noWrap/>
            <w:vAlign w:val="center"/>
          </w:tcPr>
          <w:p w14:paraId="42B4DEC7">
            <w:pPr>
              <w:pStyle w:val="10"/>
              <w:ind w:left="0" w:leftChars="0"/>
              <w:jc w:val="left"/>
              <w:rPr>
                <w:rFonts w:cs="宋体"/>
                <w:color w:val="auto"/>
                <w:sz w:val="21"/>
                <w:szCs w:val="21"/>
                <w:highlight w:val="none"/>
              </w:rPr>
            </w:pPr>
            <w:r>
              <w:rPr>
                <w:rFonts w:hint="eastAsia" w:ascii="宋体" w:hAnsi="宋体" w:cs="宋体"/>
                <w:color w:val="auto"/>
                <w:sz w:val="21"/>
                <w:szCs w:val="21"/>
                <w:highlight w:val="none"/>
              </w:rPr>
              <w:t>3.1拟派驻的会务员持有礼仪培训师、省红十字会颁发的红十字救护员证的，每提供一个</w:t>
            </w:r>
            <w:r>
              <w:rPr>
                <w:rFonts w:hint="eastAsia" w:ascii="宋体" w:hAnsi="宋体" w:cs="宋体"/>
                <w:color w:val="auto"/>
                <w:sz w:val="21"/>
                <w:szCs w:val="21"/>
                <w:highlight w:val="none"/>
                <w:lang w:val="en-US" w:eastAsia="zh-CN"/>
              </w:rPr>
              <w:t>证书</w:t>
            </w:r>
            <w:r>
              <w:rPr>
                <w:rFonts w:hint="eastAsia" w:ascii="宋体" w:hAnsi="宋体" w:cs="宋体"/>
                <w:color w:val="auto"/>
                <w:sz w:val="21"/>
                <w:szCs w:val="21"/>
                <w:highlight w:val="none"/>
              </w:rPr>
              <w:t>得1分，最高得</w:t>
            </w:r>
            <w:r>
              <w:rPr>
                <w:rFonts w:hint="eastAsia" w:cs="宋体"/>
                <w:color w:val="auto"/>
                <w:sz w:val="21"/>
                <w:szCs w:val="21"/>
                <w:highlight w:val="none"/>
              </w:rPr>
              <w:t>2</w:t>
            </w:r>
            <w:r>
              <w:rPr>
                <w:rFonts w:hint="eastAsia" w:ascii="宋体" w:hAnsi="宋体" w:cs="宋体"/>
                <w:color w:val="auto"/>
                <w:sz w:val="21"/>
                <w:szCs w:val="21"/>
                <w:highlight w:val="none"/>
              </w:rPr>
              <w:t>分；</w:t>
            </w:r>
          </w:p>
          <w:p w14:paraId="2B0DFF2F">
            <w:pPr>
              <w:pStyle w:val="10"/>
              <w:ind w:left="0" w:leftChars="0"/>
              <w:jc w:val="left"/>
              <w:rPr>
                <w:rFonts w:hint="eastAsia" w:cs="宋体"/>
                <w:color w:val="auto"/>
                <w:sz w:val="21"/>
                <w:szCs w:val="21"/>
                <w:highlight w:val="none"/>
              </w:rPr>
            </w:pPr>
            <w:r>
              <w:rPr>
                <w:rFonts w:ascii="宋体" w:hAnsi="宋体" w:cs="宋体"/>
                <w:color w:val="auto"/>
                <w:sz w:val="21"/>
                <w:szCs w:val="21"/>
                <w:highlight w:val="none"/>
              </w:rPr>
              <w:t>3.2拟派驻的</w:t>
            </w:r>
            <w:r>
              <w:rPr>
                <w:rFonts w:hint="eastAsia" w:ascii="宋体" w:hAnsi="宋体" w:cs="宋体"/>
                <w:color w:val="auto"/>
                <w:sz w:val="21"/>
                <w:szCs w:val="21"/>
                <w:highlight w:val="none"/>
                <w:lang w:eastAsia="zh-CN"/>
              </w:rPr>
              <w:t>两</w:t>
            </w:r>
            <w:r>
              <w:rPr>
                <w:rFonts w:ascii="宋体" w:hAnsi="宋体" w:cs="宋体"/>
                <w:color w:val="auto"/>
                <w:sz w:val="21"/>
                <w:szCs w:val="21"/>
                <w:highlight w:val="none"/>
              </w:rPr>
              <w:t>名客服员</w:t>
            </w:r>
            <w:r>
              <w:rPr>
                <w:rFonts w:hint="eastAsia" w:ascii="宋体" w:hAnsi="宋体" w:cs="宋体"/>
                <w:color w:val="auto"/>
                <w:sz w:val="21"/>
                <w:szCs w:val="21"/>
                <w:highlight w:val="none"/>
                <w:lang w:val="en-US" w:eastAsia="zh-CN"/>
              </w:rPr>
              <w:t>中</w:t>
            </w:r>
            <w:r>
              <w:rPr>
                <w:rFonts w:ascii="宋体" w:hAnsi="宋体" w:cs="宋体"/>
                <w:color w:val="auto"/>
                <w:sz w:val="21"/>
                <w:szCs w:val="21"/>
                <w:highlight w:val="none"/>
              </w:rPr>
              <w:t>持有政府部门颁发的普通话水平</w:t>
            </w:r>
            <w:r>
              <w:rPr>
                <w:rFonts w:hint="eastAsia" w:ascii="宋体" w:hAnsi="宋体" w:cs="宋体"/>
                <w:color w:val="auto"/>
                <w:sz w:val="21"/>
                <w:szCs w:val="21"/>
                <w:highlight w:val="none"/>
              </w:rPr>
              <w:t>三</w:t>
            </w:r>
            <w:r>
              <w:rPr>
                <w:rFonts w:hint="eastAsia" w:cs="宋体"/>
                <w:color w:val="auto"/>
                <w:sz w:val="21"/>
                <w:szCs w:val="21"/>
                <w:highlight w:val="none"/>
              </w:rPr>
              <w:t>甲等级证书、省</w:t>
            </w:r>
            <w:r>
              <w:rPr>
                <w:rFonts w:hint="eastAsia" w:ascii="宋体" w:hAnsi="宋体" w:cs="宋体"/>
                <w:color w:val="auto"/>
                <w:sz w:val="21"/>
                <w:szCs w:val="21"/>
                <w:highlight w:val="none"/>
              </w:rPr>
              <w:t>红十字会颁发的红十字救护员证</w:t>
            </w:r>
            <w:r>
              <w:rPr>
                <w:rFonts w:hint="eastAsia" w:cs="宋体"/>
                <w:color w:val="auto"/>
                <w:sz w:val="21"/>
                <w:szCs w:val="21"/>
                <w:highlight w:val="none"/>
              </w:rPr>
              <w:t>的，每提供1个</w:t>
            </w:r>
            <w:r>
              <w:rPr>
                <w:rFonts w:hint="eastAsia" w:cs="宋体"/>
                <w:color w:val="auto"/>
                <w:sz w:val="21"/>
                <w:szCs w:val="21"/>
                <w:highlight w:val="none"/>
                <w:lang w:val="en-US" w:eastAsia="zh-CN"/>
              </w:rPr>
              <w:t>证书</w:t>
            </w:r>
            <w:r>
              <w:rPr>
                <w:rFonts w:hint="eastAsia" w:cs="宋体"/>
                <w:color w:val="auto"/>
                <w:sz w:val="21"/>
                <w:szCs w:val="21"/>
                <w:highlight w:val="none"/>
              </w:rPr>
              <w:t>得1分，最高得4分。</w:t>
            </w:r>
          </w:p>
          <w:p w14:paraId="176B371F">
            <w:pPr>
              <w:pStyle w:val="10"/>
              <w:jc w:val="left"/>
              <w:rPr>
                <w:rFonts w:cs="宋体"/>
                <w:color w:val="auto"/>
                <w:sz w:val="21"/>
                <w:szCs w:val="21"/>
                <w:highlight w:val="none"/>
              </w:rPr>
            </w:pPr>
            <w:r>
              <w:rPr>
                <w:rFonts w:hint="eastAsia" w:cs="宋体"/>
                <w:color w:val="auto"/>
                <w:sz w:val="21"/>
                <w:szCs w:val="21"/>
                <w:highlight w:val="none"/>
              </w:rPr>
              <w:t>本项满分6分。</w:t>
            </w:r>
          </w:p>
          <w:p w14:paraId="623A59B1">
            <w:pPr>
              <w:pStyle w:val="10"/>
              <w:jc w:val="left"/>
              <w:rPr>
                <w:rFonts w:cs="宋体"/>
                <w:color w:val="auto"/>
                <w:sz w:val="21"/>
                <w:szCs w:val="21"/>
                <w:highlight w:val="none"/>
              </w:rPr>
            </w:pPr>
            <w:r>
              <w:rPr>
                <w:rFonts w:hint="eastAsia" w:ascii="宋体" w:hAnsi="宋体" w:cs="宋体"/>
                <w:b/>
                <w:bCs/>
                <w:color w:val="auto"/>
                <w:sz w:val="21"/>
                <w:szCs w:val="21"/>
                <w:highlight w:val="none"/>
              </w:rPr>
              <w:t>评审依据：投标人须提供相关证书以及投标单位在开标前</w:t>
            </w:r>
            <w:r>
              <w:rPr>
                <w:rFonts w:ascii="宋体" w:hAnsi="宋体" w:cs="宋体"/>
                <w:b/>
                <w:bCs/>
                <w:color w:val="auto"/>
                <w:sz w:val="21"/>
                <w:szCs w:val="21"/>
                <w:highlight w:val="none"/>
              </w:rPr>
              <w:t>3个月内任意一个月社保缴证明扫描件加盖投标人公章。所有材料原件现场核查，否则不得分。</w:t>
            </w:r>
          </w:p>
        </w:tc>
        <w:tc>
          <w:tcPr>
            <w:tcW w:w="913" w:type="dxa"/>
            <w:noWrap/>
            <w:vAlign w:val="center"/>
          </w:tcPr>
          <w:p w14:paraId="380B610C">
            <w:pPr>
              <w:jc w:val="center"/>
              <w:rPr>
                <w:rFonts w:ascii="宋体" w:hAnsi="宋体" w:cs="宋体"/>
                <w:color w:val="auto"/>
                <w:kern w:val="0"/>
                <w:sz w:val="21"/>
                <w:szCs w:val="21"/>
                <w:highlight w:val="none"/>
              </w:rPr>
            </w:pPr>
            <w:r>
              <w:rPr>
                <w:rFonts w:hint="eastAsia" w:ascii="宋体" w:hAnsi="宋体" w:cs="宋体"/>
                <w:color w:val="auto"/>
                <w:kern w:val="0"/>
                <w:sz w:val="21"/>
                <w:szCs w:val="21"/>
                <w:highlight w:val="none"/>
              </w:rPr>
              <w:t>6分</w:t>
            </w:r>
          </w:p>
        </w:tc>
      </w:tr>
      <w:tr w14:paraId="71A1CA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1884" w:type="dxa"/>
            <w:noWrap/>
            <w:vAlign w:val="center"/>
          </w:tcPr>
          <w:p w14:paraId="37599D37">
            <w:pPr>
              <w:jc w:val="center"/>
              <w:rPr>
                <w:rFonts w:ascii="宋体" w:hAnsi="宋体" w:cs="宋体"/>
                <w:color w:val="auto"/>
                <w:sz w:val="21"/>
                <w:szCs w:val="21"/>
                <w:highlight w:val="none"/>
              </w:rPr>
            </w:pPr>
            <w:r>
              <w:rPr>
                <w:rFonts w:hint="eastAsia" w:ascii="宋体" w:hAnsi="宋体" w:cs="宋体"/>
                <w:color w:val="auto"/>
                <w:sz w:val="21"/>
                <w:szCs w:val="21"/>
                <w:highlight w:val="none"/>
              </w:rPr>
              <w:t>4.安保管理团队</w:t>
            </w:r>
          </w:p>
        </w:tc>
        <w:tc>
          <w:tcPr>
            <w:tcW w:w="6445" w:type="dxa"/>
            <w:noWrap/>
            <w:vAlign w:val="center"/>
          </w:tcPr>
          <w:p w14:paraId="748ADEE1">
            <w:pPr>
              <w:pStyle w:val="10"/>
              <w:jc w:val="left"/>
              <w:rPr>
                <w:rFonts w:cs="宋体"/>
                <w:color w:val="auto"/>
                <w:sz w:val="21"/>
                <w:szCs w:val="21"/>
                <w:highlight w:val="none"/>
              </w:rPr>
            </w:pPr>
            <w:r>
              <w:rPr>
                <w:rFonts w:hint="eastAsia" w:cs="宋体"/>
                <w:color w:val="auto"/>
                <w:sz w:val="21"/>
                <w:szCs w:val="21"/>
                <w:highlight w:val="none"/>
              </w:rPr>
              <w:t>4.1拟派驻的安保领班持有公安或应急管理部门颁发的建（构）筑消防员或消防设施操作员资格证书的得1分；</w:t>
            </w:r>
          </w:p>
          <w:p w14:paraId="48CCDA10">
            <w:pPr>
              <w:pStyle w:val="10"/>
              <w:jc w:val="left"/>
              <w:rPr>
                <w:rFonts w:cs="宋体"/>
                <w:color w:val="auto"/>
                <w:sz w:val="21"/>
                <w:szCs w:val="21"/>
                <w:highlight w:val="none"/>
              </w:rPr>
            </w:pPr>
            <w:r>
              <w:rPr>
                <w:rFonts w:hint="eastAsia" w:cs="宋体"/>
                <w:color w:val="auto"/>
                <w:sz w:val="21"/>
                <w:szCs w:val="21"/>
                <w:highlight w:val="none"/>
              </w:rPr>
              <w:t>4.2拟派驻的三名消防监控人员均持有公安或应急管理部门颁发的建（构）筑消防员或消防设施操作员资格证书的得2分；</w:t>
            </w:r>
          </w:p>
          <w:p w14:paraId="70B1FB51">
            <w:pPr>
              <w:pStyle w:val="10"/>
              <w:jc w:val="left"/>
              <w:rPr>
                <w:rFonts w:cs="宋体"/>
                <w:color w:val="auto"/>
                <w:sz w:val="21"/>
                <w:szCs w:val="21"/>
                <w:highlight w:val="none"/>
              </w:rPr>
            </w:pPr>
            <w:r>
              <w:rPr>
                <w:rFonts w:hint="eastAsia" w:cs="宋体"/>
                <w:color w:val="auto"/>
                <w:sz w:val="21"/>
                <w:szCs w:val="21"/>
                <w:highlight w:val="none"/>
              </w:rPr>
              <w:t>4.3拟派驻的八名安保团队人员均持政府部门颁发的保安员证</w:t>
            </w:r>
            <w:r>
              <w:rPr>
                <w:rFonts w:hint="eastAsia" w:cs="宋体"/>
                <w:color w:val="auto"/>
                <w:sz w:val="21"/>
                <w:szCs w:val="21"/>
                <w:highlight w:val="none"/>
                <w:lang w:eastAsia="zh-CN"/>
              </w:rPr>
              <w:t>得</w:t>
            </w:r>
            <w:r>
              <w:rPr>
                <w:rFonts w:hint="eastAsia" w:cs="宋体"/>
                <w:color w:val="auto"/>
                <w:sz w:val="21"/>
                <w:szCs w:val="21"/>
                <w:highlight w:val="none"/>
              </w:rPr>
              <w:t>3分。</w:t>
            </w:r>
          </w:p>
          <w:p w14:paraId="532CEF86">
            <w:pPr>
              <w:pStyle w:val="10"/>
              <w:jc w:val="left"/>
              <w:rPr>
                <w:rFonts w:cs="宋体"/>
                <w:color w:val="auto"/>
                <w:sz w:val="21"/>
                <w:szCs w:val="21"/>
                <w:highlight w:val="none"/>
              </w:rPr>
            </w:pPr>
            <w:r>
              <w:rPr>
                <w:rFonts w:hint="eastAsia" w:cs="宋体"/>
                <w:color w:val="auto"/>
                <w:sz w:val="21"/>
                <w:szCs w:val="21"/>
                <w:highlight w:val="none"/>
              </w:rPr>
              <w:t>本项满分6分。</w:t>
            </w:r>
          </w:p>
          <w:p w14:paraId="223C2A4D">
            <w:pPr>
              <w:pStyle w:val="10"/>
              <w:jc w:val="left"/>
              <w:rPr>
                <w:rFonts w:cs="宋体"/>
                <w:color w:val="auto"/>
                <w:sz w:val="21"/>
                <w:szCs w:val="21"/>
                <w:highlight w:val="none"/>
              </w:rPr>
            </w:pPr>
            <w:r>
              <w:rPr>
                <w:rFonts w:hint="eastAsia" w:ascii="宋体" w:hAnsi="宋体" w:cs="宋体"/>
                <w:b/>
                <w:bCs/>
                <w:color w:val="auto"/>
                <w:sz w:val="21"/>
                <w:szCs w:val="21"/>
                <w:highlight w:val="none"/>
              </w:rPr>
              <w:t>评审依据：投标人须提供相关证书以及投标单位在开标前3个月内任意一个月社保缴证明扫描件加盖投标人公章。所有材料原件现场核查，否则不得分。</w:t>
            </w:r>
          </w:p>
        </w:tc>
        <w:tc>
          <w:tcPr>
            <w:tcW w:w="913" w:type="dxa"/>
            <w:noWrap/>
            <w:vAlign w:val="center"/>
          </w:tcPr>
          <w:p w14:paraId="4D0B741F">
            <w:pPr>
              <w:jc w:val="center"/>
              <w:rPr>
                <w:rFonts w:ascii="宋体" w:hAnsi="宋体" w:cs="宋体"/>
                <w:color w:val="auto"/>
                <w:kern w:val="0"/>
                <w:sz w:val="21"/>
                <w:szCs w:val="21"/>
                <w:highlight w:val="none"/>
              </w:rPr>
            </w:pPr>
            <w:r>
              <w:rPr>
                <w:rFonts w:hint="eastAsia" w:ascii="宋体" w:hAnsi="宋体" w:cs="宋体"/>
                <w:color w:val="auto"/>
                <w:kern w:val="0"/>
                <w:sz w:val="21"/>
                <w:szCs w:val="21"/>
                <w:highlight w:val="none"/>
              </w:rPr>
              <w:t>6分</w:t>
            </w:r>
          </w:p>
        </w:tc>
      </w:tr>
      <w:tr w14:paraId="4F6DA7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1884" w:type="dxa"/>
            <w:noWrap/>
            <w:vAlign w:val="center"/>
          </w:tcPr>
          <w:p w14:paraId="56F33DA4">
            <w:pPr>
              <w:jc w:val="center"/>
              <w:rPr>
                <w:rFonts w:ascii="宋体" w:hAnsi="宋体" w:cs="宋体" w:eastAsiaTheme="minorEastAsia"/>
                <w:color w:val="auto"/>
                <w:sz w:val="21"/>
                <w:szCs w:val="21"/>
                <w:highlight w:val="none"/>
              </w:rPr>
            </w:pPr>
            <w:r>
              <w:rPr>
                <w:rFonts w:hint="eastAsia" w:ascii="宋体" w:hAnsi="宋体" w:cs="宋体"/>
                <w:color w:val="auto"/>
                <w:sz w:val="21"/>
                <w:szCs w:val="21"/>
                <w:highlight w:val="none"/>
              </w:rPr>
              <w:t>5.环境管理团队</w:t>
            </w:r>
          </w:p>
        </w:tc>
        <w:tc>
          <w:tcPr>
            <w:tcW w:w="6445" w:type="dxa"/>
            <w:noWrap/>
            <w:vAlign w:val="center"/>
          </w:tcPr>
          <w:p w14:paraId="42A2626C">
            <w:pPr>
              <w:snapToGrid w:val="0"/>
              <w:spacing w:line="360" w:lineRule="auto"/>
              <w:rPr>
                <w:rFonts w:cs="宋体"/>
                <w:color w:val="auto"/>
                <w:sz w:val="21"/>
                <w:szCs w:val="21"/>
                <w:highlight w:val="none"/>
              </w:rPr>
            </w:pPr>
            <w:r>
              <w:rPr>
                <w:rFonts w:hint="eastAsia" w:cs="宋体"/>
                <w:color w:val="auto"/>
                <w:sz w:val="21"/>
                <w:szCs w:val="21"/>
                <w:highlight w:val="none"/>
              </w:rPr>
              <w:t>5.1拟派驻的</w:t>
            </w:r>
            <w:r>
              <w:rPr>
                <w:rFonts w:hint="eastAsia" w:cs="宋体"/>
                <w:color w:val="auto"/>
                <w:sz w:val="21"/>
                <w:szCs w:val="21"/>
                <w:highlight w:val="none"/>
                <w:lang w:eastAsia="zh-CN"/>
              </w:rPr>
              <w:t>两</w:t>
            </w:r>
            <w:r>
              <w:rPr>
                <w:rFonts w:hint="eastAsia" w:cs="宋体"/>
                <w:color w:val="auto"/>
                <w:sz w:val="21"/>
                <w:szCs w:val="21"/>
                <w:highlight w:val="none"/>
                <w:lang w:val="en-US" w:eastAsia="zh-CN"/>
              </w:rPr>
              <w:t>名</w:t>
            </w:r>
            <w:r>
              <w:rPr>
                <w:rFonts w:hint="eastAsia" w:cs="宋体"/>
                <w:color w:val="auto"/>
                <w:sz w:val="21"/>
                <w:szCs w:val="21"/>
                <w:highlight w:val="none"/>
              </w:rPr>
              <w:t>绿化人员</w:t>
            </w:r>
            <w:r>
              <w:rPr>
                <w:rFonts w:hint="eastAsia" w:cs="宋体"/>
                <w:color w:val="auto"/>
                <w:sz w:val="21"/>
                <w:szCs w:val="21"/>
                <w:highlight w:val="none"/>
                <w:lang w:val="en-US" w:eastAsia="zh-CN"/>
              </w:rPr>
              <w:t>中</w:t>
            </w:r>
            <w:r>
              <w:rPr>
                <w:rFonts w:hint="eastAsia" w:cs="宋体"/>
                <w:color w:val="auto"/>
                <w:sz w:val="21"/>
                <w:szCs w:val="21"/>
                <w:highlight w:val="none"/>
                <w:lang w:eastAsia="zh-CN"/>
              </w:rPr>
              <w:t>持</w:t>
            </w:r>
            <w:r>
              <w:rPr>
                <w:rFonts w:hint="eastAsia" w:cs="宋体"/>
                <w:color w:val="auto"/>
                <w:sz w:val="21"/>
                <w:szCs w:val="21"/>
                <w:highlight w:val="none"/>
              </w:rPr>
              <w:t>有政府部门颁发的绿化工证书</w:t>
            </w:r>
            <w:r>
              <w:rPr>
                <w:rFonts w:hint="eastAsia" w:cs="宋体"/>
                <w:color w:val="auto"/>
                <w:sz w:val="21"/>
                <w:szCs w:val="21"/>
                <w:highlight w:val="none"/>
                <w:lang w:eastAsia="zh-CN"/>
              </w:rPr>
              <w:t>、</w:t>
            </w:r>
            <w:r>
              <w:rPr>
                <w:rFonts w:hint="eastAsia" w:ascii="宋体" w:hAnsi="宋体"/>
                <w:color w:val="auto"/>
                <w:sz w:val="21"/>
                <w:szCs w:val="21"/>
                <w:highlight w:val="none"/>
              </w:rPr>
              <w:t>花卉园艺师资格证书</w:t>
            </w:r>
            <w:r>
              <w:rPr>
                <w:rFonts w:hint="eastAsia" w:cs="宋体"/>
                <w:color w:val="auto"/>
                <w:sz w:val="21"/>
                <w:szCs w:val="21"/>
                <w:highlight w:val="none"/>
                <w:lang w:eastAsia="zh-CN"/>
              </w:rPr>
              <w:t>的，</w:t>
            </w:r>
            <w:r>
              <w:rPr>
                <w:rFonts w:hint="eastAsia" w:cs="宋体"/>
                <w:color w:val="auto"/>
                <w:sz w:val="21"/>
                <w:szCs w:val="21"/>
                <w:highlight w:val="none"/>
              </w:rPr>
              <w:t>每提供1个</w:t>
            </w:r>
            <w:r>
              <w:rPr>
                <w:rFonts w:hint="eastAsia" w:cs="宋体"/>
                <w:color w:val="auto"/>
                <w:sz w:val="21"/>
                <w:szCs w:val="21"/>
                <w:highlight w:val="none"/>
                <w:lang w:val="en-US" w:eastAsia="zh-CN"/>
              </w:rPr>
              <w:t>证书</w:t>
            </w:r>
            <w:r>
              <w:rPr>
                <w:rFonts w:hint="eastAsia" w:cs="宋体"/>
                <w:color w:val="auto"/>
                <w:sz w:val="21"/>
                <w:szCs w:val="21"/>
                <w:highlight w:val="none"/>
              </w:rPr>
              <w:t>得1分，最高得</w:t>
            </w:r>
            <w:r>
              <w:rPr>
                <w:rFonts w:hint="eastAsia" w:cs="宋体"/>
                <w:color w:val="auto"/>
                <w:sz w:val="21"/>
                <w:szCs w:val="21"/>
                <w:highlight w:val="none"/>
                <w:lang w:val="en-US" w:eastAsia="zh-CN"/>
              </w:rPr>
              <w:t>4</w:t>
            </w:r>
            <w:r>
              <w:rPr>
                <w:rFonts w:hint="eastAsia" w:cs="宋体"/>
                <w:color w:val="auto"/>
                <w:sz w:val="21"/>
                <w:szCs w:val="21"/>
                <w:highlight w:val="none"/>
              </w:rPr>
              <w:t>分；</w:t>
            </w:r>
          </w:p>
          <w:p w14:paraId="3ED22078">
            <w:pPr>
              <w:pStyle w:val="10"/>
              <w:jc w:val="left"/>
              <w:rPr>
                <w:rFonts w:cs="宋体"/>
                <w:color w:val="auto"/>
                <w:sz w:val="21"/>
                <w:szCs w:val="21"/>
                <w:highlight w:val="none"/>
              </w:rPr>
            </w:pPr>
            <w:r>
              <w:rPr>
                <w:rFonts w:hint="eastAsia" w:cs="宋体"/>
                <w:color w:val="auto"/>
                <w:sz w:val="21"/>
                <w:szCs w:val="21"/>
                <w:highlight w:val="none"/>
              </w:rPr>
              <w:t>本项满分4分。</w:t>
            </w:r>
          </w:p>
          <w:p w14:paraId="361FC4B3">
            <w:pPr>
              <w:pStyle w:val="10"/>
              <w:jc w:val="left"/>
              <w:rPr>
                <w:rFonts w:cs="宋体"/>
                <w:b/>
                <w:bCs/>
                <w:color w:val="auto"/>
                <w:sz w:val="21"/>
                <w:szCs w:val="21"/>
                <w:highlight w:val="none"/>
              </w:rPr>
            </w:pPr>
            <w:r>
              <w:rPr>
                <w:rFonts w:hint="eastAsia" w:ascii="宋体" w:hAnsi="宋体" w:cs="宋体"/>
                <w:b/>
                <w:bCs/>
                <w:color w:val="auto"/>
                <w:sz w:val="21"/>
                <w:szCs w:val="21"/>
                <w:highlight w:val="none"/>
              </w:rPr>
              <w:t>评审依据：投标人须提供相关证书以及投标单位在开标前3个月内任意一个月社保缴证明扫描件加盖投标人公章。所有材料原件现场核查，否则不得分。</w:t>
            </w:r>
          </w:p>
        </w:tc>
        <w:tc>
          <w:tcPr>
            <w:tcW w:w="913" w:type="dxa"/>
            <w:noWrap/>
            <w:vAlign w:val="center"/>
          </w:tcPr>
          <w:p w14:paraId="798C23A4">
            <w:pPr>
              <w:jc w:val="center"/>
              <w:rPr>
                <w:rFonts w:ascii="宋体" w:hAnsi="宋体" w:cs="宋体"/>
                <w:color w:val="auto"/>
                <w:kern w:val="0"/>
                <w:sz w:val="21"/>
                <w:szCs w:val="21"/>
                <w:highlight w:val="none"/>
              </w:rPr>
            </w:pPr>
            <w:r>
              <w:rPr>
                <w:rFonts w:hint="eastAsia" w:ascii="宋体" w:hAnsi="宋体" w:cs="宋体"/>
                <w:color w:val="auto"/>
                <w:kern w:val="0"/>
                <w:sz w:val="21"/>
                <w:szCs w:val="21"/>
                <w:highlight w:val="none"/>
              </w:rPr>
              <w:t>4分</w:t>
            </w:r>
          </w:p>
        </w:tc>
      </w:tr>
      <w:tr w14:paraId="351EA6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1884" w:type="dxa"/>
            <w:noWrap/>
            <w:vAlign w:val="center"/>
          </w:tcPr>
          <w:p w14:paraId="33C74BB6">
            <w:pPr>
              <w:jc w:val="center"/>
              <w:rPr>
                <w:rFonts w:ascii="宋体" w:hAnsi="宋体" w:cs="宋体"/>
                <w:color w:val="auto"/>
                <w:sz w:val="21"/>
                <w:szCs w:val="21"/>
                <w:highlight w:val="none"/>
              </w:rPr>
            </w:pPr>
            <w:r>
              <w:rPr>
                <w:rFonts w:hint="eastAsia" w:ascii="宋体" w:hAnsi="宋体" w:cs="宋体"/>
                <w:color w:val="auto"/>
                <w:sz w:val="21"/>
                <w:szCs w:val="21"/>
                <w:highlight w:val="none"/>
              </w:rPr>
              <w:t>6.水电维修及弱电、信息化设备维修负责人</w:t>
            </w:r>
          </w:p>
        </w:tc>
        <w:tc>
          <w:tcPr>
            <w:tcW w:w="6445" w:type="dxa"/>
            <w:noWrap/>
            <w:vAlign w:val="center"/>
          </w:tcPr>
          <w:p w14:paraId="47659902">
            <w:pPr>
              <w:pStyle w:val="10"/>
              <w:jc w:val="left"/>
              <w:rPr>
                <w:rFonts w:cs="宋体"/>
                <w:color w:val="auto"/>
                <w:sz w:val="21"/>
                <w:szCs w:val="21"/>
                <w:highlight w:val="none"/>
              </w:rPr>
            </w:pPr>
            <w:r>
              <w:rPr>
                <w:rFonts w:hint="eastAsia" w:cs="宋体"/>
                <w:color w:val="auto"/>
                <w:sz w:val="21"/>
                <w:szCs w:val="21"/>
                <w:highlight w:val="none"/>
              </w:rPr>
              <w:t>6.1拟派水电维修负责人持有应急管理部门颁发的低压电工证书的得</w:t>
            </w:r>
            <w:r>
              <w:rPr>
                <w:rFonts w:hint="eastAsia" w:cs="宋体"/>
                <w:color w:val="auto"/>
                <w:sz w:val="21"/>
                <w:szCs w:val="21"/>
                <w:highlight w:val="none"/>
                <w:lang w:val="en-US" w:eastAsia="zh-CN"/>
              </w:rPr>
              <w:t>2</w:t>
            </w:r>
            <w:r>
              <w:rPr>
                <w:rFonts w:hint="eastAsia" w:cs="宋体"/>
                <w:color w:val="auto"/>
                <w:sz w:val="21"/>
                <w:szCs w:val="21"/>
                <w:highlight w:val="none"/>
              </w:rPr>
              <w:t>分；</w:t>
            </w:r>
          </w:p>
          <w:p w14:paraId="7C339F7B">
            <w:pPr>
              <w:pStyle w:val="10"/>
              <w:jc w:val="left"/>
              <w:rPr>
                <w:rFonts w:cs="宋体"/>
                <w:color w:val="auto"/>
                <w:sz w:val="21"/>
                <w:szCs w:val="21"/>
                <w:highlight w:val="none"/>
              </w:rPr>
            </w:pPr>
            <w:r>
              <w:rPr>
                <w:rFonts w:hint="eastAsia" w:cs="宋体"/>
                <w:color w:val="auto"/>
                <w:sz w:val="21"/>
                <w:szCs w:val="21"/>
                <w:highlight w:val="none"/>
              </w:rPr>
              <w:t>6.2拟派弱电、信息化设备维修负责人持有政府部门颁发的机电工程类中级或以上工程师证书、持有应急管理部门颁发的低压电工证书的，每提供1个证书得</w:t>
            </w:r>
            <w:r>
              <w:rPr>
                <w:rFonts w:hint="eastAsia" w:cs="宋体"/>
                <w:color w:val="auto"/>
                <w:sz w:val="21"/>
                <w:szCs w:val="21"/>
                <w:highlight w:val="none"/>
                <w:lang w:val="en-US" w:eastAsia="zh-CN"/>
              </w:rPr>
              <w:t>2</w:t>
            </w:r>
            <w:r>
              <w:rPr>
                <w:rFonts w:hint="eastAsia" w:cs="宋体"/>
                <w:color w:val="auto"/>
                <w:sz w:val="21"/>
                <w:szCs w:val="21"/>
                <w:highlight w:val="none"/>
              </w:rPr>
              <w:t>分，最高得</w:t>
            </w:r>
            <w:r>
              <w:rPr>
                <w:rFonts w:hint="eastAsia" w:cs="宋体"/>
                <w:color w:val="auto"/>
                <w:sz w:val="21"/>
                <w:szCs w:val="21"/>
                <w:highlight w:val="none"/>
                <w:lang w:val="en-US" w:eastAsia="zh-CN"/>
              </w:rPr>
              <w:t>4</w:t>
            </w:r>
            <w:r>
              <w:rPr>
                <w:rFonts w:hint="eastAsia" w:cs="宋体"/>
                <w:color w:val="auto"/>
                <w:sz w:val="21"/>
                <w:szCs w:val="21"/>
                <w:highlight w:val="none"/>
              </w:rPr>
              <w:t>分；</w:t>
            </w:r>
          </w:p>
          <w:p w14:paraId="6F7F168A">
            <w:pPr>
              <w:pStyle w:val="10"/>
              <w:jc w:val="left"/>
              <w:rPr>
                <w:rFonts w:cs="宋体"/>
                <w:color w:val="auto"/>
                <w:sz w:val="21"/>
                <w:szCs w:val="21"/>
                <w:highlight w:val="none"/>
              </w:rPr>
            </w:pPr>
            <w:r>
              <w:rPr>
                <w:rFonts w:hint="eastAsia" w:cs="宋体"/>
                <w:color w:val="auto"/>
                <w:sz w:val="21"/>
                <w:szCs w:val="21"/>
                <w:highlight w:val="none"/>
              </w:rPr>
              <w:t>本项满分6分。</w:t>
            </w:r>
          </w:p>
          <w:p w14:paraId="5144A870">
            <w:pPr>
              <w:pStyle w:val="10"/>
              <w:jc w:val="left"/>
              <w:rPr>
                <w:rFonts w:cs="宋体"/>
                <w:b/>
                <w:bCs/>
                <w:color w:val="auto"/>
                <w:sz w:val="21"/>
                <w:szCs w:val="21"/>
                <w:highlight w:val="none"/>
              </w:rPr>
            </w:pPr>
            <w:r>
              <w:rPr>
                <w:rFonts w:hint="eastAsia" w:ascii="宋体" w:hAnsi="宋体" w:cs="宋体"/>
                <w:b/>
                <w:bCs/>
                <w:color w:val="auto"/>
                <w:sz w:val="21"/>
                <w:szCs w:val="21"/>
                <w:highlight w:val="none"/>
              </w:rPr>
              <w:t>评审依据：投标人须提供相关证书以及投标单位在开标前3个月内任意一个月社保缴证明扫描件加盖投标人公章。所有材料原件现场核查，否则不得分。</w:t>
            </w:r>
          </w:p>
        </w:tc>
        <w:tc>
          <w:tcPr>
            <w:tcW w:w="913" w:type="dxa"/>
            <w:noWrap/>
            <w:vAlign w:val="center"/>
          </w:tcPr>
          <w:p w14:paraId="653730DC">
            <w:pPr>
              <w:jc w:val="center"/>
              <w:rPr>
                <w:rFonts w:ascii="宋体" w:hAnsi="宋体" w:cs="宋体"/>
                <w:color w:val="auto"/>
                <w:kern w:val="0"/>
                <w:sz w:val="21"/>
                <w:szCs w:val="21"/>
                <w:highlight w:val="none"/>
              </w:rPr>
            </w:pPr>
            <w:r>
              <w:rPr>
                <w:rFonts w:hint="eastAsia" w:ascii="宋体" w:hAnsi="宋体" w:cs="宋体"/>
                <w:color w:val="auto"/>
                <w:kern w:val="0"/>
                <w:sz w:val="21"/>
                <w:szCs w:val="21"/>
                <w:highlight w:val="none"/>
              </w:rPr>
              <w:t>6分</w:t>
            </w:r>
          </w:p>
        </w:tc>
      </w:tr>
      <w:tr w14:paraId="050B0E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1884" w:type="dxa"/>
            <w:noWrap/>
            <w:vAlign w:val="center"/>
          </w:tcPr>
          <w:p w14:paraId="34594703">
            <w:pPr>
              <w:jc w:val="center"/>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rPr>
              <w:t>7.物业服务组织方案实施</w:t>
            </w:r>
          </w:p>
        </w:tc>
        <w:tc>
          <w:tcPr>
            <w:tcW w:w="6445" w:type="dxa"/>
            <w:noWrap/>
            <w:vAlign w:val="center"/>
          </w:tcPr>
          <w:p w14:paraId="4B56B36F">
            <w:pPr>
              <w:pStyle w:val="10"/>
              <w:jc w:val="left"/>
              <w:rPr>
                <w:rFonts w:hint="eastAsia" w:cs="宋体"/>
                <w:color w:val="auto"/>
                <w:sz w:val="21"/>
                <w:szCs w:val="21"/>
                <w:highlight w:val="none"/>
              </w:rPr>
            </w:pPr>
            <w:r>
              <w:rPr>
                <w:rFonts w:hint="eastAsia" w:cs="宋体"/>
                <w:color w:val="auto"/>
                <w:sz w:val="21"/>
                <w:szCs w:val="21"/>
                <w:highlight w:val="none"/>
              </w:rPr>
              <w:t>7.1提供针对本项目的整体策划及设想方案。方案包含服务定位、服务目标、服务理念、运作流程等内容，</w:t>
            </w:r>
          </w:p>
          <w:p w14:paraId="1C00D95B">
            <w:pPr>
              <w:pStyle w:val="10"/>
              <w:ind w:left="0" w:leftChars="0"/>
              <w:jc w:val="left"/>
              <w:rPr>
                <w:rFonts w:hint="eastAsia" w:cs="宋体"/>
                <w:color w:val="auto"/>
                <w:sz w:val="21"/>
                <w:szCs w:val="21"/>
                <w:highlight w:val="none"/>
                <w:lang w:val="en-US" w:eastAsia="zh-CN"/>
              </w:rPr>
            </w:pPr>
            <w:r>
              <w:rPr>
                <w:rFonts w:hint="eastAsia" w:cs="宋体"/>
                <w:color w:val="auto"/>
                <w:sz w:val="21"/>
                <w:szCs w:val="21"/>
                <w:highlight w:val="none"/>
                <w:lang w:eastAsia="zh-CN"/>
              </w:rPr>
              <w:t>完整性要求：每提供</w:t>
            </w:r>
            <w:r>
              <w:rPr>
                <w:rFonts w:hint="eastAsia" w:cs="宋体"/>
                <w:color w:val="auto"/>
                <w:sz w:val="21"/>
                <w:szCs w:val="21"/>
                <w:highlight w:val="none"/>
                <w:lang w:val="en-US" w:eastAsia="zh-CN"/>
              </w:rPr>
              <w:t>1项得0.25分，最高得1分。</w:t>
            </w:r>
          </w:p>
          <w:p w14:paraId="2DBDAEBB">
            <w:pPr>
              <w:pStyle w:val="10"/>
              <w:ind w:left="0" w:leftChars="0"/>
              <w:jc w:val="left"/>
              <w:rPr>
                <w:rFonts w:cs="宋体"/>
                <w:color w:val="auto"/>
                <w:sz w:val="21"/>
                <w:szCs w:val="21"/>
                <w:highlight w:val="none"/>
              </w:rPr>
            </w:pPr>
            <w:r>
              <w:rPr>
                <w:rFonts w:hint="eastAsia" w:cs="宋体"/>
                <w:color w:val="auto"/>
                <w:sz w:val="21"/>
                <w:szCs w:val="21"/>
                <w:highlight w:val="none"/>
                <w:lang w:eastAsia="zh-CN"/>
              </w:rPr>
              <w:t>合理性要求：</w:t>
            </w:r>
            <w:r>
              <w:rPr>
                <w:rFonts w:hint="eastAsia" w:cs="宋体"/>
                <w:color w:val="auto"/>
                <w:sz w:val="21"/>
                <w:szCs w:val="21"/>
                <w:highlight w:val="none"/>
              </w:rPr>
              <w:t>方案</w:t>
            </w:r>
            <w:r>
              <w:rPr>
                <w:rFonts w:hint="eastAsia" w:cs="宋体"/>
                <w:color w:val="auto"/>
                <w:sz w:val="21"/>
                <w:szCs w:val="21"/>
                <w:highlight w:val="none"/>
                <w:lang w:eastAsia="zh-CN"/>
              </w:rPr>
              <w:t>非常符合本项目服务需求，</w:t>
            </w:r>
            <w:r>
              <w:rPr>
                <w:rFonts w:hint="eastAsia" w:cs="宋体"/>
                <w:color w:val="auto"/>
                <w:sz w:val="21"/>
                <w:szCs w:val="21"/>
                <w:highlight w:val="none"/>
              </w:rPr>
              <w:t>科学合理，思路清晰明确，</w:t>
            </w:r>
            <w:r>
              <w:rPr>
                <w:rFonts w:hint="eastAsia" w:cs="宋体"/>
                <w:color w:val="auto"/>
                <w:sz w:val="21"/>
                <w:szCs w:val="21"/>
                <w:highlight w:val="none"/>
                <w:lang w:eastAsia="zh-CN"/>
              </w:rPr>
              <w:t>可操作性强，得</w:t>
            </w:r>
            <w:r>
              <w:rPr>
                <w:rFonts w:hint="eastAsia" w:cs="宋体"/>
                <w:color w:val="auto"/>
                <w:sz w:val="21"/>
                <w:szCs w:val="21"/>
                <w:highlight w:val="none"/>
                <w:lang w:val="en-US" w:eastAsia="zh-CN"/>
              </w:rPr>
              <w:t>2分；方案符合本项目服务需求，有较好的可行性，得1分；方案偏离本项目服务需求，缺乏可操作性，得0分。</w:t>
            </w:r>
          </w:p>
          <w:p w14:paraId="5A86A30C">
            <w:pPr>
              <w:pStyle w:val="10"/>
              <w:jc w:val="left"/>
              <w:rPr>
                <w:rFonts w:hint="eastAsia" w:cs="宋体"/>
                <w:color w:val="auto"/>
                <w:sz w:val="21"/>
                <w:szCs w:val="21"/>
                <w:highlight w:val="none"/>
              </w:rPr>
            </w:pPr>
            <w:r>
              <w:rPr>
                <w:rFonts w:hint="eastAsia" w:cs="宋体"/>
                <w:color w:val="auto"/>
                <w:sz w:val="21"/>
                <w:szCs w:val="21"/>
                <w:highlight w:val="none"/>
              </w:rPr>
              <w:t>7.2提供针对本项目的人员配置及培训方案。</w:t>
            </w:r>
            <w:r>
              <w:rPr>
                <w:rFonts w:hint="eastAsia" w:cs="宋体"/>
                <w:color w:val="auto"/>
                <w:sz w:val="21"/>
                <w:szCs w:val="21"/>
                <w:highlight w:val="none"/>
                <w:lang w:eastAsia="zh-CN"/>
              </w:rPr>
              <w:t>方案包含人员配置与素质要求</w:t>
            </w:r>
            <w:r>
              <w:rPr>
                <w:rFonts w:hint="eastAsia" w:cs="宋体"/>
                <w:color w:val="auto"/>
                <w:sz w:val="21"/>
                <w:szCs w:val="21"/>
                <w:highlight w:val="none"/>
              </w:rPr>
              <w:t>、工作内容、培训</w:t>
            </w:r>
            <w:r>
              <w:rPr>
                <w:rFonts w:hint="eastAsia" w:cs="宋体"/>
                <w:color w:val="auto"/>
                <w:sz w:val="21"/>
                <w:szCs w:val="21"/>
                <w:highlight w:val="none"/>
                <w:lang w:eastAsia="zh-CN"/>
              </w:rPr>
              <w:t>计划与</w:t>
            </w:r>
            <w:r>
              <w:rPr>
                <w:rFonts w:hint="eastAsia" w:cs="宋体"/>
                <w:color w:val="auto"/>
                <w:sz w:val="21"/>
                <w:szCs w:val="21"/>
                <w:highlight w:val="none"/>
              </w:rPr>
              <w:t>实施运作、培训内容及目</w:t>
            </w:r>
            <w:r>
              <w:rPr>
                <w:rFonts w:hint="eastAsia" w:cs="宋体"/>
                <w:color w:val="auto"/>
                <w:sz w:val="21"/>
                <w:szCs w:val="21"/>
                <w:highlight w:val="none"/>
                <w:lang w:eastAsia="zh-CN"/>
              </w:rPr>
              <w:t>标</w:t>
            </w:r>
            <w:r>
              <w:rPr>
                <w:rFonts w:hint="eastAsia" w:cs="宋体"/>
                <w:color w:val="auto"/>
                <w:sz w:val="21"/>
                <w:szCs w:val="21"/>
                <w:highlight w:val="none"/>
              </w:rPr>
              <w:t>等</w:t>
            </w:r>
            <w:r>
              <w:rPr>
                <w:rFonts w:hint="eastAsia" w:cs="宋体"/>
                <w:color w:val="auto"/>
                <w:sz w:val="21"/>
                <w:szCs w:val="21"/>
                <w:highlight w:val="none"/>
                <w:lang w:eastAsia="zh-CN"/>
              </w:rPr>
              <w:t>内容</w:t>
            </w:r>
            <w:r>
              <w:rPr>
                <w:rFonts w:hint="eastAsia" w:cs="宋体"/>
                <w:color w:val="auto"/>
                <w:sz w:val="21"/>
                <w:szCs w:val="21"/>
                <w:highlight w:val="none"/>
              </w:rPr>
              <w:t>。</w:t>
            </w:r>
          </w:p>
          <w:p w14:paraId="160853CE">
            <w:pPr>
              <w:pStyle w:val="10"/>
              <w:ind w:left="0" w:leftChars="0"/>
              <w:jc w:val="left"/>
              <w:rPr>
                <w:rFonts w:hint="eastAsia" w:cs="宋体"/>
                <w:color w:val="auto"/>
                <w:sz w:val="21"/>
                <w:szCs w:val="21"/>
                <w:highlight w:val="none"/>
                <w:lang w:val="en-US" w:eastAsia="zh-CN"/>
              </w:rPr>
            </w:pPr>
            <w:r>
              <w:rPr>
                <w:rFonts w:hint="eastAsia" w:cs="宋体"/>
                <w:color w:val="auto"/>
                <w:sz w:val="21"/>
                <w:szCs w:val="21"/>
                <w:highlight w:val="none"/>
                <w:lang w:eastAsia="zh-CN"/>
              </w:rPr>
              <w:t>完整性要求：每提供</w:t>
            </w:r>
            <w:r>
              <w:rPr>
                <w:rFonts w:hint="eastAsia" w:cs="宋体"/>
                <w:color w:val="auto"/>
                <w:sz w:val="21"/>
                <w:szCs w:val="21"/>
                <w:highlight w:val="none"/>
                <w:lang w:val="en-US" w:eastAsia="zh-CN"/>
              </w:rPr>
              <w:t>1项得0.25分，最高得1分。</w:t>
            </w:r>
          </w:p>
          <w:p w14:paraId="374017B7">
            <w:pPr>
              <w:pStyle w:val="10"/>
              <w:ind w:left="0" w:leftChars="0"/>
              <w:jc w:val="left"/>
              <w:rPr>
                <w:rFonts w:hint="eastAsia" w:cs="宋体"/>
                <w:color w:val="auto"/>
                <w:sz w:val="21"/>
                <w:szCs w:val="21"/>
                <w:highlight w:val="none"/>
              </w:rPr>
            </w:pPr>
            <w:r>
              <w:rPr>
                <w:rFonts w:hint="eastAsia" w:cs="宋体"/>
                <w:color w:val="auto"/>
                <w:sz w:val="21"/>
                <w:szCs w:val="21"/>
                <w:highlight w:val="none"/>
                <w:lang w:eastAsia="zh-CN"/>
              </w:rPr>
              <w:t>合理性要求：</w:t>
            </w:r>
            <w:r>
              <w:rPr>
                <w:rFonts w:hint="eastAsia" w:cs="宋体"/>
                <w:color w:val="auto"/>
                <w:sz w:val="21"/>
                <w:szCs w:val="21"/>
                <w:highlight w:val="none"/>
              </w:rPr>
              <w:t>方案</w:t>
            </w:r>
            <w:r>
              <w:rPr>
                <w:rFonts w:hint="eastAsia" w:cs="宋体"/>
                <w:color w:val="auto"/>
                <w:sz w:val="21"/>
                <w:szCs w:val="21"/>
                <w:highlight w:val="none"/>
                <w:lang w:eastAsia="zh-CN"/>
              </w:rPr>
              <w:t>非常符合本项目服务需求，</w:t>
            </w:r>
            <w:r>
              <w:rPr>
                <w:rFonts w:hint="eastAsia" w:cs="宋体"/>
                <w:color w:val="auto"/>
                <w:sz w:val="21"/>
                <w:szCs w:val="21"/>
                <w:highlight w:val="none"/>
              </w:rPr>
              <w:t>科学合理，思路清晰明确，</w:t>
            </w:r>
            <w:r>
              <w:rPr>
                <w:rFonts w:hint="eastAsia" w:cs="宋体"/>
                <w:color w:val="auto"/>
                <w:sz w:val="21"/>
                <w:szCs w:val="21"/>
                <w:highlight w:val="none"/>
                <w:lang w:eastAsia="zh-CN"/>
              </w:rPr>
              <w:t>可操作性强，得</w:t>
            </w:r>
            <w:r>
              <w:rPr>
                <w:rFonts w:hint="eastAsia" w:cs="宋体"/>
                <w:color w:val="auto"/>
                <w:sz w:val="21"/>
                <w:szCs w:val="21"/>
                <w:highlight w:val="none"/>
                <w:lang w:val="en-US" w:eastAsia="zh-CN"/>
              </w:rPr>
              <w:t>2分；方案符合本项目服务需求，有较好的可行性，得1分；方案偏离本项目服务需求，缺乏可操作性，得0分。</w:t>
            </w:r>
          </w:p>
          <w:p w14:paraId="0B519A39">
            <w:pPr>
              <w:pStyle w:val="10"/>
              <w:jc w:val="left"/>
              <w:rPr>
                <w:rFonts w:hint="eastAsia" w:cs="宋体"/>
                <w:color w:val="auto"/>
                <w:sz w:val="21"/>
                <w:szCs w:val="21"/>
                <w:highlight w:val="none"/>
              </w:rPr>
            </w:pPr>
            <w:r>
              <w:rPr>
                <w:rFonts w:hint="eastAsia" w:cs="宋体"/>
                <w:color w:val="auto"/>
                <w:sz w:val="21"/>
                <w:szCs w:val="21"/>
                <w:highlight w:val="none"/>
              </w:rPr>
              <w:t>7.3提供针对本项目的安保管理方案。方案满足安全保卫工作，</w:t>
            </w:r>
            <w:r>
              <w:rPr>
                <w:rFonts w:hint="eastAsia" w:cs="宋体"/>
                <w:color w:val="auto"/>
                <w:sz w:val="21"/>
                <w:szCs w:val="21"/>
                <w:highlight w:val="none"/>
                <w:lang w:eastAsia="zh-CN"/>
              </w:rPr>
              <w:t>包含门岗值守及出入管理、</w:t>
            </w:r>
            <w:r>
              <w:rPr>
                <w:rFonts w:hint="eastAsia" w:cs="宋体"/>
                <w:color w:val="auto"/>
                <w:sz w:val="21"/>
                <w:szCs w:val="21"/>
                <w:highlight w:val="none"/>
              </w:rPr>
              <w:t>巡逻检查</w:t>
            </w:r>
            <w:r>
              <w:rPr>
                <w:rFonts w:hint="eastAsia" w:cs="宋体"/>
                <w:color w:val="auto"/>
                <w:sz w:val="21"/>
                <w:szCs w:val="21"/>
                <w:highlight w:val="none"/>
                <w:lang w:eastAsia="zh-CN"/>
              </w:rPr>
              <w:t>及消防安全管理</w:t>
            </w:r>
            <w:r>
              <w:rPr>
                <w:rFonts w:hint="eastAsia" w:cs="宋体"/>
                <w:color w:val="auto"/>
                <w:sz w:val="21"/>
                <w:szCs w:val="21"/>
                <w:highlight w:val="none"/>
              </w:rPr>
              <w:t>、车辆</w:t>
            </w:r>
            <w:r>
              <w:rPr>
                <w:rFonts w:hint="eastAsia" w:cs="宋体"/>
                <w:color w:val="auto"/>
                <w:sz w:val="21"/>
                <w:szCs w:val="21"/>
                <w:highlight w:val="none"/>
                <w:lang w:eastAsia="zh-CN"/>
              </w:rPr>
              <w:t>停放及秩序</w:t>
            </w:r>
            <w:r>
              <w:rPr>
                <w:rFonts w:hint="eastAsia" w:cs="宋体"/>
                <w:color w:val="auto"/>
                <w:sz w:val="21"/>
                <w:szCs w:val="21"/>
                <w:highlight w:val="none"/>
              </w:rPr>
              <w:t>管理</w:t>
            </w:r>
            <w:r>
              <w:rPr>
                <w:rFonts w:hint="eastAsia" w:cs="宋体"/>
                <w:color w:val="auto"/>
                <w:sz w:val="21"/>
                <w:szCs w:val="21"/>
                <w:highlight w:val="none"/>
                <w:lang w:eastAsia="zh-CN"/>
              </w:rPr>
              <w:t>、监控值守管理</w:t>
            </w:r>
            <w:r>
              <w:rPr>
                <w:rFonts w:hint="eastAsia" w:cs="宋体"/>
                <w:color w:val="auto"/>
                <w:sz w:val="21"/>
                <w:szCs w:val="21"/>
                <w:highlight w:val="none"/>
              </w:rPr>
              <w:t>等</w:t>
            </w:r>
            <w:r>
              <w:rPr>
                <w:rFonts w:hint="eastAsia" w:cs="宋体"/>
                <w:color w:val="auto"/>
                <w:sz w:val="21"/>
                <w:szCs w:val="21"/>
                <w:highlight w:val="none"/>
                <w:lang w:eastAsia="zh-CN"/>
              </w:rPr>
              <w:t>内容</w:t>
            </w:r>
            <w:r>
              <w:rPr>
                <w:rFonts w:hint="eastAsia" w:cs="宋体"/>
                <w:color w:val="auto"/>
                <w:sz w:val="21"/>
                <w:szCs w:val="21"/>
                <w:highlight w:val="none"/>
              </w:rPr>
              <w:t>。</w:t>
            </w:r>
          </w:p>
          <w:p w14:paraId="1919F2EB">
            <w:pPr>
              <w:pStyle w:val="10"/>
              <w:jc w:val="left"/>
              <w:rPr>
                <w:rFonts w:hint="eastAsia" w:cs="宋体"/>
                <w:color w:val="auto"/>
                <w:sz w:val="21"/>
                <w:szCs w:val="21"/>
                <w:highlight w:val="none"/>
                <w:lang w:val="en-US" w:eastAsia="zh-CN"/>
              </w:rPr>
            </w:pPr>
            <w:r>
              <w:rPr>
                <w:rFonts w:hint="eastAsia" w:cs="宋体"/>
                <w:color w:val="auto"/>
                <w:sz w:val="21"/>
                <w:szCs w:val="21"/>
                <w:highlight w:val="none"/>
                <w:lang w:eastAsia="zh-CN"/>
              </w:rPr>
              <w:t>完整性要求：每提供</w:t>
            </w:r>
            <w:r>
              <w:rPr>
                <w:rFonts w:hint="eastAsia" w:cs="宋体"/>
                <w:color w:val="auto"/>
                <w:sz w:val="21"/>
                <w:szCs w:val="21"/>
                <w:highlight w:val="none"/>
                <w:lang w:val="en-US" w:eastAsia="zh-CN"/>
              </w:rPr>
              <w:t>1项得0.25分，最高得1分。</w:t>
            </w:r>
          </w:p>
          <w:p w14:paraId="532C629C">
            <w:pPr>
              <w:pStyle w:val="10"/>
              <w:ind w:left="0" w:leftChars="0"/>
              <w:jc w:val="left"/>
              <w:rPr>
                <w:rFonts w:hint="eastAsia" w:cs="宋体"/>
                <w:color w:val="auto"/>
                <w:sz w:val="21"/>
                <w:szCs w:val="21"/>
                <w:highlight w:val="none"/>
              </w:rPr>
            </w:pPr>
            <w:r>
              <w:rPr>
                <w:rFonts w:hint="eastAsia" w:cs="宋体"/>
                <w:color w:val="auto"/>
                <w:sz w:val="21"/>
                <w:szCs w:val="21"/>
                <w:highlight w:val="none"/>
                <w:lang w:eastAsia="zh-CN"/>
              </w:rPr>
              <w:t>合理性要求：</w:t>
            </w:r>
            <w:r>
              <w:rPr>
                <w:rFonts w:hint="eastAsia" w:cs="宋体"/>
                <w:color w:val="auto"/>
                <w:sz w:val="21"/>
                <w:szCs w:val="21"/>
                <w:highlight w:val="none"/>
              </w:rPr>
              <w:t>方案</w:t>
            </w:r>
            <w:r>
              <w:rPr>
                <w:rFonts w:hint="eastAsia" w:cs="宋体"/>
                <w:color w:val="auto"/>
                <w:sz w:val="21"/>
                <w:szCs w:val="21"/>
                <w:highlight w:val="none"/>
                <w:lang w:eastAsia="zh-CN"/>
              </w:rPr>
              <w:t>非常符合本项目服务需求，</w:t>
            </w:r>
            <w:r>
              <w:rPr>
                <w:rFonts w:hint="eastAsia" w:cs="宋体"/>
                <w:color w:val="auto"/>
                <w:sz w:val="21"/>
                <w:szCs w:val="21"/>
                <w:highlight w:val="none"/>
              </w:rPr>
              <w:t>科学合理，思路清晰明确，</w:t>
            </w:r>
            <w:r>
              <w:rPr>
                <w:rFonts w:hint="eastAsia" w:cs="宋体"/>
                <w:color w:val="auto"/>
                <w:sz w:val="21"/>
                <w:szCs w:val="21"/>
                <w:highlight w:val="none"/>
                <w:lang w:eastAsia="zh-CN"/>
              </w:rPr>
              <w:t>可操作性强，得</w:t>
            </w:r>
            <w:r>
              <w:rPr>
                <w:rFonts w:hint="eastAsia" w:cs="宋体"/>
                <w:color w:val="auto"/>
                <w:sz w:val="21"/>
                <w:szCs w:val="21"/>
                <w:highlight w:val="none"/>
                <w:lang w:val="en-US" w:eastAsia="zh-CN"/>
              </w:rPr>
              <w:t>2分；方案符合本项目服务需求，有较好的可行性，得1分；方案偏离本项目服务需求，缺乏可操作性，得0分。</w:t>
            </w:r>
          </w:p>
          <w:p w14:paraId="16E3A323">
            <w:pPr>
              <w:pStyle w:val="10"/>
              <w:jc w:val="left"/>
              <w:rPr>
                <w:rFonts w:hint="eastAsia" w:cs="宋体"/>
                <w:color w:val="auto"/>
                <w:sz w:val="21"/>
                <w:szCs w:val="21"/>
                <w:highlight w:val="none"/>
              </w:rPr>
            </w:pPr>
            <w:r>
              <w:rPr>
                <w:rFonts w:hint="eastAsia" w:cs="宋体"/>
                <w:color w:val="auto"/>
                <w:sz w:val="21"/>
                <w:szCs w:val="21"/>
                <w:highlight w:val="none"/>
              </w:rPr>
              <w:t>7.4提供针对本项目的清洁卫生管理方案。包括管理制度、日常</w:t>
            </w:r>
            <w:r>
              <w:rPr>
                <w:rFonts w:hint="eastAsia" w:cs="宋体"/>
                <w:color w:val="auto"/>
                <w:sz w:val="21"/>
                <w:szCs w:val="21"/>
                <w:highlight w:val="none"/>
                <w:lang w:eastAsia="zh-CN"/>
              </w:rPr>
              <w:t>室内外</w:t>
            </w:r>
            <w:r>
              <w:rPr>
                <w:rFonts w:hint="eastAsia" w:cs="宋体"/>
                <w:color w:val="auto"/>
                <w:sz w:val="21"/>
                <w:szCs w:val="21"/>
                <w:highlight w:val="none"/>
              </w:rPr>
              <w:t>保洁（含卫生消杀）、专项保洁、垃圾分类收集与处理等内容。</w:t>
            </w:r>
          </w:p>
          <w:p w14:paraId="0ABA6FE8">
            <w:pPr>
              <w:pStyle w:val="10"/>
              <w:jc w:val="left"/>
              <w:rPr>
                <w:rFonts w:hint="eastAsia" w:cs="宋体"/>
                <w:color w:val="auto"/>
                <w:sz w:val="21"/>
                <w:szCs w:val="21"/>
                <w:highlight w:val="none"/>
                <w:lang w:val="en-US" w:eastAsia="zh-CN"/>
              </w:rPr>
            </w:pPr>
            <w:r>
              <w:rPr>
                <w:rFonts w:hint="eastAsia" w:cs="宋体"/>
                <w:color w:val="auto"/>
                <w:sz w:val="21"/>
                <w:szCs w:val="21"/>
                <w:highlight w:val="none"/>
                <w:lang w:eastAsia="zh-CN"/>
              </w:rPr>
              <w:t>完整性要求：每提供</w:t>
            </w:r>
            <w:r>
              <w:rPr>
                <w:rFonts w:hint="eastAsia" w:cs="宋体"/>
                <w:color w:val="auto"/>
                <w:sz w:val="21"/>
                <w:szCs w:val="21"/>
                <w:highlight w:val="none"/>
                <w:lang w:val="en-US" w:eastAsia="zh-CN"/>
              </w:rPr>
              <w:t>1项得0.25分，最高得1分。</w:t>
            </w:r>
          </w:p>
          <w:p w14:paraId="1EE17BE6">
            <w:pPr>
              <w:pStyle w:val="10"/>
              <w:ind w:left="0" w:leftChars="0"/>
              <w:jc w:val="left"/>
              <w:rPr>
                <w:rFonts w:hint="eastAsia" w:cs="宋体"/>
                <w:color w:val="auto"/>
                <w:sz w:val="21"/>
                <w:szCs w:val="21"/>
                <w:highlight w:val="none"/>
              </w:rPr>
            </w:pPr>
            <w:r>
              <w:rPr>
                <w:rFonts w:hint="eastAsia" w:cs="宋体"/>
                <w:color w:val="auto"/>
                <w:sz w:val="21"/>
                <w:szCs w:val="21"/>
                <w:highlight w:val="none"/>
                <w:lang w:eastAsia="zh-CN"/>
              </w:rPr>
              <w:t>合理性要求：</w:t>
            </w:r>
            <w:r>
              <w:rPr>
                <w:rFonts w:hint="eastAsia" w:cs="宋体"/>
                <w:color w:val="auto"/>
                <w:sz w:val="21"/>
                <w:szCs w:val="21"/>
                <w:highlight w:val="none"/>
              </w:rPr>
              <w:t>方案</w:t>
            </w:r>
            <w:r>
              <w:rPr>
                <w:rFonts w:hint="eastAsia" w:cs="宋体"/>
                <w:color w:val="auto"/>
                <w:sz w:val="21"/>
                <w:szCs w:val="21"/>
                <w:highlight w:val="none"/>
                <w:lang w:eastAsia="zh-CN"/>
              </w:rPr>
              <w:t>非常符合本项目服务需求，</w:t>
            </w:r>
            <w:r>
              <w:rPr>
                <w:rFonts w:hint="eastAsia" w:cs="宋体"/>
                <w:color w:val="auto"/>
                <w:sz w:val="21"/>
                <w:szCs w:val="21"/>
                <w:highlight w:val="none"/>
              </w:rPr>
              <w:t>科学合理，思路清晰明确，</w:t>
            </w:r>
            <w:r>
              <w:rPr>
                <w:rFonts w:hint="eastAsia" w:cs="宋体"/>
                <w:color w:val="auto"/>
                <w:sz w:val="21"/>
                <w:szCs w:val="21"/>
                <w:highlight w:val="none"/>
                <w:lang w:eastAsia="zh-CN"/>
              </w:rPr>
              <w:t>可操作性强，得</w:t>
            </w:r>
            <w:r>
              <w:rPr>
                <w:rFonts w:hint="eastAsia" w:cs="宋体"/>
                <w:color w:val="auto"/>
                <w:sz w:val="21"/>
                <w:szCs w:val="21"/>
                <w:highlight w:val="none"/>
                <w:lang w:val="en-US" w:eastAsia="zh-CN"/>
              </w:rPr>
              <w:t>2分；方案符合本项目服务需求，有较好的可行性，得1分；方案偏离本项目服务需求，缺乏可操作性，得0分。</w:t>
            </w:r>
          </w:p>
          <w:p w14:paraId="2B452002">
            <w:pPr>
              <w:pStyle w:val="10"/>
              <w:jc w:val="left"/>
              <w:rPr>
                <w:rFonts w:hint="eastAsia" w:cs="宋体"/>
                <w:color w:val="auto"/>
                <w:sz w:val="21"/>
                <w:szCs w:val="21"/>
                <w:highlight w:val="none"/>
              </w:rPr>
            </w:pPr>
            <w:r>
              <w:rPr>
                <w:rFonts w:hint="eastAsia" w:cs="宋体"/>
                <w:color w:val="auto"/>
                <w:sz w:val="21"/>
                <w:szCs w:val="21"/>
                <w:highlight w:val="none"/>
              </w:rPr>
              <w:t>7.5提供针对本项目的设施设备维护方案。方案包含为</w:t>
            </w:r>
            <w:r>
              <w:rPr>
                <w:rFonts w:hint="eastAsia" w:cs="宋体"/>
                <w:color w:val="auto"/>
                <w:sz w:val="21"/>
                <w:szCs w:val="21"/>
                <w:highlight w:val="none"/>
                <w:lang w:eastAsia="zh-CN"/>
              </w:rPr>
              <w:t>房屋及附属设施、</w:t>
            </w:r>
            <w:r>
              <w:rPr>
                <w:rFonts w:hint="eastAsia" w:cs="宋体"/>
                <w:color w:val="auto"/>
                <w:sz w:val="21"/>
                <w:szCs w:val="21"/>
                <w:highlight w:val="none"/>
              </w:rPr>
              <w:t>照明</w:t>
            </w:r>
            <w:r>
              <w:rPr>
                <w:rFonts w:hint="eastAsia" w:cs="宋体"/>
                <w:color w:val="auto"/>
                <w:sz w:val="21"/>
                <w:szCs w:val="21"/>
                <w:highlight w:val="none"/>
                <w:lang w:eastAsia="zh-CN"/>
              </w:rPr>
              <w:t>系统</w:t>
            </w:r>
            <w:r>
              <w:rPr>
                <w:rFonts w:hint="eastAsia" w:cs="宋体"/>
                <w:color w:val="auto"/>
                <w:sz w:val="21"/>
                <w:szCs w:val="21"/>
                <w:highlight w:val="none"/>
              </w:rPr>
              <w:t>、给排水</w:t>
            </w:r>
            <w:r>
              <w:rPr>
                <w:rFonts w:hint="eastAsia" w:cs="宋体"/>
                <w:color w:val="auto"/>
                <w:sz w:val="21"/>
                <w:szCs w:val="21"/>
                <w:highlight w:val="none"/>
                <w:lang w:eastAsia="zh-CN"/>
              </w:rPr>
              <w:t>系统</w:t>
            </w:r>
            <w:r>
              <w:rPr>
                <w:rFonts w:hint="eastAsia" w:cs="宋体"/>
                <w:color w:val="auto"/>
                <w:sz w:val="21"/>
                <w:szCs w:val="21"/>
                <w:highlight w:val="none"/>
              </w:rPr>
              <w:t>、电梯</w:t>
            </w:r>
            <w:r>
              <w:rPr>
                <w:rFonts w:hint="eastAsia" w:cs="宋体"/>
                <w:color w:val="auto"/>
                <w:sz w:val="21"/>
                <w:szCs w:val="21"/>
                <w:highlight w:val="none"/>
                <w:lang w:eastAsia="zh-CN"/>
              </w:rPr>
              <w:t>系统</w:t>
            </w:r>
            <w:r>
              <w:rPr>
                <w:rFonts w:hint="eastAsia" w:cs="宋体"/>
                <w:color w:val="auto"/>
                <w:sz w:val="21"/>
                <w:szCs w:val="21"/>
                <w:highlight w:val="none"/>
              </w:rPr>
              <w:t>、空调系统</w:t>
            </w:r>
            <w:r>
              <w:rPr>
                <w:rFonts w:hint="eastAsia" w:cs="宋体"/>
                <w:color w:val="auto"/>
                <w:sz w:val="21"/>
                <w:szCs w:val="21"/>
                <w:highlight w:val="none"/>
                <w:lang w:eastAsia="zh-CN"/>
              </w:rPr>
              <w:t>、消防系统、监控系统、安防系统</w:t>
            </w:r>
            <w:r>
              <w:rPr>
                <w:rFonts w:hint="eastAsia" w:cs="宋体"/>
                <w:color w:val="auto"/>
                <w:sz w:val="21"/>
                <w:szCs w:val="21"/>
                <w:highlight w:val="none"/>
              </w:rPr>
              <w:t>等设施设备提供科学合理的维护实施方案，保证各种设施设备完好，安全畅通，系统运行良好。</w:t>
            </w:r>
          </w:p>
          <w:p w14:paraId="647E67B8">
            <w:pPr>
              <w:pStyle w:val="10"/>
              <w:ind w:left="0" w:leftChars="0"/>
              <w:jc w:val="left"/>
              <w:rPr>
                <w:rFonts w:hint="eastAsia" w:cs="宋体"/>
                <w:color w:val="auto"/>
                <w:sz w:val="21"/>
                <w:szCs w:val="21"/>
                <w:highlight w:val="none"/>
                <w:lang w:val="en-US" w:eastAsia="zh-CN"/>
              </w:rPr>
            </w:pPr>
            <w:r>
              <w:rPr>
                <w:rFonts w:hint="eastAsia" w:cs="宋体"/>
                <w:color w:val="auto"/>
                <w:sz w:val="21"/>
                <w:szCs w:val="21"/>
                <w:highlight w:val="none"/>
                <w:lang w:eastAsia="zh-CN"/>
              </w:rPr>
              <w:t>完整性要求：每提供</w:t>
            </w:r>
            <w:r>
              <w:rPr>
                <w:rFonts w:hint="eastAsia" w:cs="宋体"/>
                <w:color w:val="auto"/>
                <w:sz w:val="21"/>
                <w:szCs w:val="21"/>
                <w:highlight w:val="none"/>
                <w:lang w:val="en-US" w:eastAsia="zh-CN"/>
              </w:rPr>
              <w:t>1项得0.25分，最高得2分。</w:t>
            </w:r>
          </w:p>
          <w:p w14:paraId="6264ED02">
            <w:pPr>
              <w:pStyle w:val="10"/>
              <w:ind w:left="0" w:leftChars="0"/>
              <w:jc w:val="left"/>
              <w:rPr>
                <w:rFonts w:hint="eastAsia" w:cs="宋体"/>
                <w:color w:val="auto"/>
                <w:sz w:val="21"/>
                <w:szCs w:val="21"/>
                <w:highlight w:val="none"/>
              </w:rPr>
            </w:pPr>
            <w:r>
              <w:rPr>
                <w:rFonts w:hint="eastAsia" w:cs="宋体"/>
                <w:color w:val="auto"/>
                <w:sz w:val="21"/>
                <w:szCs w:val="21"/>
                <w:highlight w:val="none"/>
                <w:lang w:eastAsia="zh-CN"/>
              </w:rPr>
              <w:t>合理性要求：</w:t>
            </w:r>
            <w:r>
              <w:rPr>
                <w:rFonts w:hint="eastAsia" w:cs="宋体"/>
                <w:color w:val="auto"/>
                <w:sz w:val="21"/>
                <w:szCs w:val="21"/>
                <w:highlight w:val="none"/>
              </w:rPr>
              <w:t>方案</w:t>
            </w:r>
            <w:r>
              <w:rPr>
                <w:rFonts w:hint="eastAsia" w:cs="宋体"/>
                <w:color w:val="auto"/>
                <w:sz w:val="21"/>
                <w:szCs w:val="21"/>
                <w:highlight w:val="none"/>
                <w:lang w:eastAsia="zh-CN"/>
              </w:rPr>
              <w:t>非常符合本项目服务需求，</w:t>
            </w:r>
            <w:r>
              <w:rPr>
                <w:rFonts w:hint="eastAsia" w:cs="宋体"/>
                <w:color w:val="auto"/>
                <w:sz w:val="21"/>
                <w:szCs w:val="21"/>
                <w:highlight w:val="none"/>
              </w:rPr>
              <w:t>科学合理，思路清晰明确，</w:t>
            </w:r>
            <w:r>
              <w:rPr>
                <w:rFonts w:hint="eastAsia" w:cs="宋体"/>
                <w:color w:val="auto"/>
                <w:sz w:val="21"/>
                <w:szCs w:val="21"/>
                <w:highlight w:val="none"/>
                <w:lang w:eastAsia="zh-CN"/>
              </w:rPr>
              <w:t>可操作性强，得</w:t>
            </w:r>
            <w:r>
              <w:rPr>
                <w:rFonts w:hint="eastAsia" w:cs="宋体"/>
                <w:color w:val="auto"/>
                <w:sz w:val="21"/>
                <w:szCs w:val="21"/>
                <w:highlight w:val="none"/>
                <w:lang w:val="en-US" w:eastAsia="zh-CN"/>
              </w:rPr>
              <w:t>2分；方案符合本项目服务需求，有较好的可行性，得1分；方案偏离本项目服务需求，缺乏可操作性，得0分。</w:t>
            </w:r>
          </w:p>
          <w:p w14:paraId="1B1A913D">
            <w:pPr>
              <w:pStyle w:val="10"/>
              <w:jc w:val="left"/>
              <w:rPr>
                <w:rFonts w:hint="eastAsia" w:cs="宋体"/>
                <w:color w:val="auto"/>
                <w:sz w:val="21"/>
                <w:szCs w:val="21"/>
                <w:highlight w:val="none"/>
              </w:rPr>
            </w:pPr>
            <w:r>
              <w:rPr>
                <w:rFonts w:hint="eastAsia" w:cs="宋体"/>
                <w:color w:val="auto"/>
                <w:sz w:val="21"/>
                <w:szCs w:val="21"/>
                <w:highlight w:val="none"/>
              </w:rPr>
              <w:t>7.6提供针对本项目的应急</w:t>
            </w:r>
            <w:r>
              <w:rPr>
                <w:rFonts w:hint="eastAsia" w:cs="宋体"/>
                <w:color w:val="auto"/>
                <w:sz w:val="21"/>
                <w:szCs w:val="21"/>
                <w:highlight w:val="none"/>
                <w:lang w:eastAsia="zh-CN"/>
              </w:rPr>
              <w:t>保障</w:t>
            </w:r>
            <w:r>
              <w:rPr>
                <w:rFonts w:hint="eastAsia" w:cs="宋体"/>
                <w:color w:val="auto"/>
                <w:sz w:val="21"/>
                <w:szCs w:val="21"/>
                <w:highlight w:val="none"/>
              </w:rPr>
              <w:t>管理</w:t>
            </w:r>
            <w:r>
              <w:rPr>
                <w:rFonts w:hint="eastAsia" w:cs="宋体"/>
                <w:color w:val="auto"/>
                <w:sz w:val="21"/>
                <w:szCs w:val="21"/>
                <w:highlight w:val="none"/>
                <w:lang w:eastAsia="zh-CN"/>
              </w:rPr>
              <w:t>方案</w:t>
            </w:r>
            <w:r>
              <w:rPr>
                <w:rFonts w:hint="eastAsia" w:cs="宋体"/>
                <w:color w:val="auto"/>
                <w:sz w:val="21"/>
                <w:szCs w:val="21"/>
                <w:highlight w:val="none"/>
              </w:rPr>
              <w:t>。</w:t>
            </w:r>
            <w:r>
              <w:rPr>
                <w:rFonts w:hint="eastAsia" w:cs="宋体"/>
                <w:color w:val="auto"/>
                <w:sz w:val="21"/>
                <w:szCs w:val="21"/>
                <w:highlight w:val="none"/>
                <w:lang w:eastAsia="zh-CN"/>
              </w:rPr>
              <w:t>方案包含：</w:t>
            </w:r>
            <w:r>
              <w:rPr>
                <w:rFonts w:hint="eastAsia" w:cs="宋体"/>
                <w:color w:val="auto"/>
                <w:sz w:val="21"/>
                <w:szCs w:val="21"/>
                <w:highlight w:val="none"/>
              </w:rPr>
              <w:t>重点区域及安全隐患排查</w:t>
            </w:r>
            <w:r>
              <w:rPr>
                <w:rFonts w:hint="eastAsia" w:cs="宋体"/>
                <w:color w:val="auto"/>
                <w:sz w:val="21"/>
                <w:szCs w:val="21"/>
                <w:highlight w:val="none"/>
                <w:lang w:eastAsia="zh-CN"/>
              </w:rPr>
              <w:t>、各类突发事件</w:t>
            </w:r>
            <w:r>
              <w:rPr>
                <w:rFonts w:hint="eastAsia" w:cs="宋体"/>
                <w:color w:val="auto"/>
                <w:sz w:val="21"/>
                <w:szCs w:val="21"/>
                <w:highlight w:val="none"/>
              </w:rPr>
              <w:t>应急预案</w:t>
            </w:r>
            <w:r>
              <w:rPr>
                <w:rFonts w:hint="eastAsia" w:cs="宋体"/>
                <w:color w:val="auto"/>
                <w:sz w:val="21"/>
                <w:szCs w:val="21"/>
                <w:highlight w:val="none"/>
                <w:lang w:eastAsia="zh-CN"/>
              </w:rPr>
              <w:t>、</w:t>
            </w:r>
            <w:r>
              <w:rPr>
                <w:rFonts w:hint="eastAsia" w:cs="宋体"/>
                <w:color w:val="auto"/>
                <w:sz w:val="21"/>
                <w:szCs w:val="21"/>
                <w:highlight w:val="none"/>
              </w:rPr>
              <w:t>应急预案的培训和演练</w:t>
            </w:r>
            <w:r>
              <w:rPr>
                <w:rFonts w:hint="eastAsia" w:cs="宋体"/>
                <w:color w:val="auto"/>
                <w:sz w:val="21"/>
                <w:szCs w:val="21"/>
                <w:highlight w:val="none"/>
                <w:lang w:eastAsia="zh-CN"/>
              </w:rPr>
              <w:t>、</w:t>
            </w:r>
            <w:r>
              <w:rPr>
                <w:rFonts w:hint="eastAsia" w:cs="宋体"/>
                <w:color w:val="auto"/>
                <w:sz w:val="21"/>
                <w:szCs w:val="21"/>
                <w:highlight w:val="none"/>
              </w:rPr>
              <w:t>应急物资的管理</w:t>
            </w:r>
            <w:r>
              <w:rPr>
                <w:rFonts w:hint="eastAsia" w:cs="宋体"/>
                <w:color w:val="auto"/>
                <w:sz w:val="21"/>
                <w:szCs w:val="21"/>
                <w:highlight w:val="none"/>
                <w:lang w:eastAsia="zh-CN"/>
              </w:rPr>
              <w:t>等内容</w:t>
            </w:r>
            <w:r>
              <w:rPr>
                <w:rFonts w:hint="eastAsia" w:cs="宋体"/>
                <w:color w:val="auto"/>
                <w:sz w:val="21"/>
                <w:szCs w:val="21"/>
                <w:highlight w:val="none"/>
              </w:rPr>
              <w:t>。</w:t>
            </w:r>
          </w:p>
          <w:p w14:paraId="6DA57814">
            <w:pPr>
              <w:pStyle w:val="10"/>
              <w:ind w:left="0" w:leftChars="0"/>
              <w:jc w:val="left"/>
              <w:rPr>
                <w:rFonts w:hint="eastAsia" w:cs="宋体"/>
                <w:color w:val="auto"/>
                <w:sz w:val="21"/>
                <w:szCs w:val="21"/>
                <w:highlight w:val="none"/>
                <w:lang w:val="en-US" w:eastAsia="zh-CN"/>
              </w:rPr>
            </w:pPr>
            <w:r>
              <w:rPr>
                <w:rFonts w:hint="eastAsia" w:cs="宋体"/>
                <w:color w:val="auto"/>
                <w:sz w:val="21"/>
                <w:szCs w:val="21"/>
                <w:highlight w:val="none"/>
                <w:lang w:eastAsia="zh-CN"/>
              </w:rPr>
              <w:t>完整性要求：每提供</w:t>
            </w:r>
            <w:r>
              <w:rPr>
                <w:rFonts w:hint="eastAsia" w:cs="宋体"/>
                <w:color w:val="auto"/>
                <w:sz w:val="21"/>
                <w:szCs w:val="21"/>
                <w:highlight w:val="none"/>
                <w:lang w:val="en-US" w:eastAsia="zh-CN"/>
              </w:rPr>
              <w:t>1项得0.25分，最高得1分。</w:t>
            </w:r>
          </w:p>
          <w:p w14:paraId="0EB73889">
            <w:pPr>
              <w:pStyle w:val="10"/>
              <w:ind w:left="0" w:leftChars="0"/>
              <w:jc w:val="left"/>
              <w:rPr>
                <w:rFonts w:hint="eastAsia" w:cs="宋体"/>
                <w:color w:val="auto"/>
                <w:sz w:val="21"/>
                <w:szCs w:val="21"/>
                <w:highlight w:val="none"/>
              </w:rPr>
            </w:pPr>
            <w:r>
              <w:rPr>
                <w:rFonts w:hint="eastAsia" w:cs="宋体"/>
                <w:color w:val="auto"/>
                <w:sz w:val="21"/>
                <w:szCs w:val="21"/>
                <w:highlight w:val="none"/>
                <w:lang w:eastAsia="zh-CN"/>
              </w:rPr>
              <w:t>合理性要求：</w:t>
            </w:r>
            <w:r>
              <w:rPr>
                <w:rFonts w:hint="eastAsia" w:cs="宋体"/>
                <w:color w:val="auto"/>
                <w:sz w:val="21"/>
                <w:szCs w:val="21"/>
                <w:highlight w:val="none"/>
              </w:rPr>
              <w:t>方案</w:t>
            </w:r>
            <w:r>
              <w:rPr>
                <w:rFonts w:hint="eastAsia" w:cs="宋体"/>
                <w:color w:val="auto"/>
                <w:sz w:val="21"/>
                <w:szCs w:val="21"/>
                <w:highlight w:val="none"/>
                <w:lang w:eastAsia="zh-CN"/>
              </w:rPr>
              <w:t>非常符合本项目服务需求，</w:t>
            </w:r>
            <w:r>
              <w:rPr>
                <w:rFonts w:hint="eastAsia" w:cs="宋体"/>
                <w:color w:val="auto"/>
                <w:sz w:val="21"/>
                <w:szCs w:val="21"/>
                <w:highlight w:val="none"/>
              </w:rPr>
              <w:t>科学合理，思路清晰明确，</w:t>
            </w:r>
            <w:r>
              <w:rPr>
                <w:rFonts w:hint="eastAsia" w:cs="宋体"/>
                <w:color w:val="auto"/>
                <w:sz w:val="21"/>
                <w:szCs w:val="21"/>
                <w:highlight w:val="none"/>
                <w:lang w:eastAsia="zh-CN"/>
              </w:rPr>
              <w:t>可操作性强，得</w:t>
            </w:r>
            <w:r>
              <w:rPr>
                <w:rFonts w:hint="eastAsia" w:cs="宋体"/>
                <w:color w:val="auto"/>
                <w:sz w:val="21"/>
                <w:szCs w:val="21"/>
                <w:highlight w:val="none"/>
                <w:lang w:val="en-US" w:eastAsia="zh-CN"/>
              </w:rPr>
              <w:t>2分；方案符合本项目服务需求，有较好的可行性，得1分；方案偏离本项目服务需求，缺乏可操作性，得0分。</w:t>
            </w:r>
          </w:p>
          <w:p w14:paraId="605819E9">
            <w:pPr>
              <w:pStyle w:val="10"/>
              <w:jc w:val="left"/>
              <w:rPr>
                <w:rFonts w:hint="eastAsia" w:cs="宋体"/>
                <w:color w:val="auto"/>
                <w:sz w:val="21"/>
                <w:szCs w:val="21"/>
                <w:highlight w:val="none"/>
              </w:rPr>
            </w:pPr>
            <w:r>
              <w:rPr>
                <w:rFonts w:hint="eastAsia" w:cs="宋体"/>
                <w:color w:val="auto"/>
                <w:sz w:val="21"/>
                <w:szCs w:val="21"/>
                <w:highlight w:val="none"/>
              </w:rPr>
              <w:t>7.7提供针对本项目的绿化养护方案。方案包含绿化养护管理及计划、植物造景方案、绿植租摆及品质把控方案、绿植补种方案等内容。</w:t>
            </w:r>
          </w:p>
          <w:p w14:paraId="4AAA3F60">
            <w:pPr>
              <w:pStyle w:val="10"/>
              <w:ind w:left="0" w:leftChars="0"/>
              <w:jc w:val="left"/>
              <w:rPr>
                <w:rFonts w:hint="eastAsia" w:cs="宋体"/>
                <w:color w:val="auto"/>
                <w:sz w:val="21"/>
                <w:szCs w:val="21"/>
                <w:highlight w:val="none"/>
                <w:lang w:val="en-US" w:eastAsia="zh-CN"/>
              </w:rPr>
            </w:pPr>
            <w:r>
              <w:rPr>
                <w:rFonts w:hint="eastAsia" w:cs="宋体"/>
                <w:color w:val="auto"/>
                <w:sz w:val="21"/>
                <w:szCs w:val="21"/>
                <w:highlight w:val="none"/>
                <w:lang w:eastAsia="zh-CN"/>
              </w:rPr>
              <w:t>完整性要求：每提供</w:t>
            </w:r>
            <w:r>
              <w:rPr>
                <w:rFonts w:hint="eastAsia" w:cs="宋体"/>
                <w:color w:val="auto"/>
                <w:sz w:val="21"/>
                <w:szCs w:val="21"/>
                <w:highlight w:val="none"/>
                <w:lang w:val="en-US" w:eastAsia="zh-CN"/>
              </w:rPr>
              <w:t>1项得0.25分，最高得1分。</w:t>
            </w:r>
          </w:p>
          <w:p w14:paraId="3E38B1B4">
            <w:pPr>
              <w:pStyle w:val="10"/>
              <w:ind w:left="0" w:leftChars="0"/>
              <w:jc w:val="left"/>
              <w:rPr>
                <w:rFonts w:hint="eastAsia" w:cs="宋体"/>
                <w:color w:val="auto"/>
                <w:sz w:val="21"/>
                <w:szCs w:val="21"/>
                <w:highlight w:val="none"/>
              </w:rPr>
            </w:pPr>
            <w:r>
              <w:rPr>
                <w:rFonts w:hint="eastAsia" w:cs="宋体"/>
                <w:color w:val="auto"/>
                <w:sz w:val="21"/>
                <w:szCs w:val="21"/>
                <w:highlight w:val="none"/>
                <w:lang w:eastAsia="zh-CN"/>
              </w:rPr>
              <w:t>合理性要求：</w:t>
            </w:r>
            <w:r>
              <w:rPr>
                <w:rFonts w:hint="eastAsia" w:cs="宋体"/>
                <w:color w:val="auto"/>
                <w:sz w:val="21"/>
                <w:szCs w:val="21"/>
                <w:highlight w:val="none"/>
              </w:rPr>
              <w:t>方案</w:t>
            </w:r>
            <w:r>
              <w:rPr>
                <w:rFonts w:hint="eastAsia" w:cs="宋体"/>
                <w:color w:val="auto"/>
                <w:sz w:val="21"/>
                <w:szCs w:val="21"/>
                <w:highlight w:val="none"/>
                <w:lang w:eastAsia="zh-CN"/>
              </w:rPr>
              <w:t>非常符合本项目服务需求，</w:t>
            </w:r>
            <w:r>
              <w:rPr>
                <w:rFonts w:hint="eastAsia" w:cs="宋体"/>
                <w:color w:val="auto"/>
                <w:sz w:val="21"/>
                <w:szCs w:val="21"/>
                <w:highlight w:val="none"/>
              </w:rPr>
              <w:t>科学合理，思路清晰明确，</w:t>
            </w:r>
            <w:r>
              <w:rPr>
                <w:rFonts w:hint="eastAsia" w:cs="宋体"/>
                <w:color w:val="auto"/>
                <w:sz w:val="21"/>
                <w:szCs w:val="21"/>
                <w:highlight w:val="none"/>
                <w:lang w:eastAsia="zh-CN"/>
              </w:rPr>
              <w:t>可操作性强，得</w:t>
            </w:r>
            <w:r>
              <w:rPr>
                <w:rFonts w:hint="eastAsia" w:cs="宋体"/>
                <w:color w:val="auto"/>
                <w:sz w:val="21"/>
                <w:szCs w:val="21"/>
                <w:highlight w:val="none"/>
                <w:lang w:val="en-US" w:eastAsia="zh-CN"/>
              </w:rPr>
              <w:t>2分；方案符合本项目服务需求，有较好的可行性，得1分；方案偏离本项目服务需求，缺乏可操作性，得0分。</w:t>
            </w:r>
          </w:p>
          <w:p w14:paraId="0FDFE8D4">
            <w:pPr>
              <w:pStyle w:val="10"/>
              <w:jc w:val="left"/>
              <w:rPr>
                <w:rFonts w:hint="eastAsia" w:cs="宋体"/>
                <w:color w:val="auto"/>
                <w:sz w:val="21"/>
                <w:szCs w:val="21"/>
                <w:highlight w:val="none"/>
              </w:rPr>
            </w:pPr>
            <w:r>
              <w:rPr>
                <w:rFonts w:hint="eastAsia" w:cs="宋体"/>
                <w:color w:val="auto"/>
                <w:sz w:val="21"/>
                <w:szCs w:val="21"/>
                <w:highlight w:val="none"/>
              </w:rPr>
              <w:t>7.8提供针对本项目的会务与客服服务方案。方案包含</w:t>
            </w:r>
            <w:r>
              <w:rPr>
                <w:rFonts w:hint="eastAsia" w:ascii="宋体" w:hAnsi="宋体" w:cs="宋体"/>
                <w:color w:val="auto"/>
                <w:sz w:val="21"/>
                <w:szCs w:val="21"/>
                <w:highlight w:val="none"/>
              </w:rPr>
              <w:t>会前</w:t>
            </w:r>
            <w:r>
              <w:rPr>
                <w:rFonts w:hint="eastAsia" w:ascii="宋体" w:hAnsi="宋体" w:cs="宋体"/>
                <w:color w:val="auto"/>
                <w:sz w:val="21"/>
                <w:szCs w:val="21"/>
                <w:highlight w:val="none"/>
                <w:lang w:eastAsia="zh-CN"/>
              </w:rPr>
              <w:t>会中会后等服务管理</w:t>
            </w:r>
            <w:r>
              <w:rPr>
                <w:rFonts w:hint="eastAsia" w:ascii="宋体" w:hAnsi="宋体" w:cs="宋体"/>
                <w:color w:val="auto"/>
                <w:sz w:val="21"/>
                <w:szCs w:val="21"/>
                <w:highlight w:val="none"/>
              </w:rPr>
              <w:t>、重大会议活动应对、</w:t>
            </w:r>
            <w:r>
              <w:rPr>
                <w:rFonts w:hint="eastAsia" w:cs="宋体"/>
                <w:color w:val="auto"/>
                <w:sz w:val="21"/>
                <w:szCs w:val="21"/>
                <w:highlight w:val="none"/>
                <w:lang w:eastAsia="zh-CN"/>
              </w:rPr>
              <w:t>客户</w:t>
            </w:r>
            <w:r>
              <w:rPr>
                <w:rFonts w:hint="eastAsia" w:cs="宋体"/>
                <w:color w:val="auto"/>
                <w:sz w:val="21"/>
                <w:szCs w:val="21"/>
                <w:highlight w:val="none"/>
              </w:rPr>
              <w:t>来访接待</w:t>
            </w:r>
            <w:r>
              <w:rPr>
                <w:rFonts w:hint="eastAsia" w:cs="宋体"/>
                <w:color w:val="auto"/>
                <w:sz w:val="21"/>
                <w:szCs w:val="21"/>
                <w:highlight w:val="none"/>
                <w:lang w:eastAsia="zh-CN"/>
              </w:rPr>
              <w:t>、客户投诉处理</w:t>
            </w:r>
            <w:r>
              <w:rPr>
                <w:rFonts w:hint="eastAsia" w:cs="宋体"/>
                <w:color w:val="auto"/>
                <w:sz w:val="21"/>
                <w:szCs w:val="21"/>
                <w:highlight w:val="none"/>
              </w:rPr>
              <w:t>等内容。</w:t>
            </w:r>
          </w:p>
          <w:p w14:paraId="22E8A2C3">
            <w:pPr>
              <w:pStyle w:val="10"/>
              <w:ind w:left="0" w:leftChars="0"/>
              <w:jc w:val="left"/>
              <w:rPr>
                <w:rFonts w:hint="eastAsia" w:cs="宋体"/>
                <w:color w:val="auto"/>
                <w:sz w:val="21"/>
                <w:szCs w:val="21"/>
                <w:highlight w:val="none"/>
                <w:lang w:val="en-US" w:eastAsia="zh-CN"/>
              </w:rPr>
            </w:pPr>
            <w:r>
              <w:rPr>
                <w:rFonts w:hint="eastAsia" w:cs="宋体"/>
                <w:color w:val="auto"/>
                <w:sz w:val="21"/>
                <w:szCs w:val="21"/>
                <w:highlight w:val="none"/>
                <w:lang w:eastAsia="zh-CN"/>
              </w:rPr>
              <w:t>完整性要求：每提供</w:t>
            </w:r>
            <w:r>
              <w:rPr>
                <w:rFonts w:hint="eastAsia" w:cs="宋体"/>
                <w:color w:val="auto"/>
                <w:sz w:val="21"/>
                <w:szCs w:val="21"/>
                <w:highlight w:val="none"/>
                <w:lang w:val="en-US" w:eastAsia="zh-CN"/>
              </w:rPr>
              <w:t>1项得0.25分，最高得1分。</w:t>
            </w:r>
          </w:p>
          <w:p w14:paraId="730210C3">
            <w:pPr>
              <w:pStyle w:val="10"/>
              <w:ind w:left="0" w:leftChars="0"/>
              <w:jc w:val="left"/>
              <w:rPr>
                <w:rFonts w:hint="eastAsia" w:cs="宋体"/>
                <w:color w:val="auto"/>
                <w:sz w:val="21"/>
                <w:szCs w:val="21"/>
                <w:highlight w:val="none"/>
              </w:rPr>
            </w:pPr>
            <w:r>
              <w:rPr>
                <w:rFonts w:hint="eastAsia" w:cs="宋体"/>
                <w:color w:val="auto"/>
                <w:sz w:val="21"/>
                <w:szCs w:val="21"/>
                <w:highlight w:val="none"/>
                <w:lang w:eastAsia="zh-CN"/>
              </w:rPr>
              <w:t>合理性要求：</w:t>
            </w:r>
            <w:r>
              <w:rPr>
                <w:rFonts w:hint="eastAsia" w:cs="宋体"/>
                <w:color w:val="auto"/>
                <w:sz w:val="21"/>
                <w:szCs w:val="21"/>
                <w:highlight w:val="none"/>
              </w:rPr>
              <w:t>方案</w:t>
            </w:r>
            <w:r>
              <w:rPr>
                <w:rFonts w:hint="eastAsia" w:cs="宋体"/>
                <w:color w:val="auto"/>
                <w:sz w:val="21"/>
                <w:szCs w:val="21"/>
                <w:highlight w:val="none"/>
                <w:lang w:eastAsia="zh-CN"/>
              </w:rPr>
              <w:t>非常符合本项目服务需求，</w:t>
            </w:r>
            <w:r>
              <w:rPr>
                <w:rFonts w:hint="eastAsia" w:cs="宋体"/>
                <w:color w:val="auto"/>
                <w:sz w:val="21"/>
                <w:szCs w:val="21"/>
                <w:highlight w:val="none"/>
              </w:rPr>
              <w:t>科学合理，思路清晰明确，</w:t>
            </w:r>
            <w:r>
              <w:rPr>
                <w:rFonts w:hint="eastAsia" w:cs="宋体"/>
                <w:color w:val="auto"/>
                <w:sz w:val="21"/>
                <w:szCs w:val="21"/>
                <w:highlight w:val="none"/>
                <w:lang w:eastAsia="zh-CN"/>
              </w:rPr>
              <w:t>可操作性强，得</w:t>
            </w:r>
            <w:r>
              <w:rPr>
                <w:rFonts w:hint="eastAsia" w:cs="宋体"/>
                <w:color w:val="auto"/>
                <w:sz w:val="21"/>
                <w:szCs w:val="21"/>
                <w:highlight w:val="none"/>
                <w:lang w:val="en-US" w:eastAsia="zh-CN"/>
              </w:rPr>
              <w:t>2分；方案符合本项目服务需求，有较好的可行性，得1分；方案偏离本项目服务需求，缺乏可操作性，得0分。</w:t>
            </w:r>
          </w:p>
          <w:p w14:paraId="3786DF79">
            <w:pPr>
              <w:pStyle w:val="10"/>
              <w:jc w:val="left"/>
              <w:rPr>
                <w:rFonts w:hint="eastAsia" w:cs="宋体"/>
                <w:color w:val="auto"/>
                <w:sz w:val="21"/>
                <w:szCs w:val="21"/>
                <w:highlight w:val="none"/>
              </w:rPr>
            </w:pPr>
            <w:r>
              <w:rPr>
                <w:rFonts w:hint="eastAsia" w:cs="宋体"/>
                <w:color w:val="auto"/>
                <w:sz w:val="21"/>
                <w:szCs w:val="21"/>
                <w:highlight w:val="none"/>
              </w:rPr>
              <w:t>7.9提供针对本项目的人员管理方案。方案包括</w:t>
            </w:r>
            <w:r>
              <w:rPr>
                <w:rFonts w:hint="eastAsia" w:cs="宋体"/>
                <w:color w:val="auto"/>
                <w:sz w:val="21"/>
                <w:szCs w:val="21"/>
                <w:highlight w:val="none"/>
                <w:lang w:eastAsia="zh-CN"/>
              </w:rPr>
              <w:t>管理制度、</w:t>
            </w:r>
            <w:r>
              <w:rPr>
                <w:rFonts w:hint="eastAsia" w:cs="宋体"/>
                <w:color w:val="auto"/>
                <w:sz w:val="21"/>
                <w:szCs w:val="21"/>
                <w:highlight w:val="none"/>
              </w:rPr>
              <w:t>人员录用审查、日常保密管理、</w:t>
            </w:r>
            <w:r>
              <w:rPr>
                <w:rFonts w:hint="eastAsia" w:cs="宋体"/>
                <w:color w:val="auto"/>
                <w:sz w:val="21"/>
                <w:szCs w:val="21"/>
                <w:highlight w:val="none"/>
                <w:lang w:eastAsia="zh-CN"/>
              </w:rPr>
              <w:t>激励考核机制</w:t>
            </w:r>
            <w:r>
              <w:rPr>
                <w:rFonts w:hint="eastAsia" w:cs="宋体"/>
                <w:color w:val="auto"/>
                <w:sz w:val="21"/>
                <w:szCs w:val="21"/>
                <w:highlight w:val="none"/>
              </w:rPr>
              <w:t>等。</w:t>
            </w:r>
          </w:p>
          <w:p w14:paraId="6FC2CD7D">
            <w:pPr>
              <w:pStyle w:val="10"/>
              <w:ind w:left="0" w:leftChars="0"/>
              <w:jc w:val="left"/>
              <w:rPr>
                <w:rFonts w:hint="eastAsia" w:cs="宋体"/>
                <w:color w:val="auto"/>
                <w:sz w:val="21"/>
                <w:szCs w:val="21"/>
                <w:highlight w:val="none"/>
                <w:lang w:val="en-US" w:eastAsia="zh-CN"/>
              </w:rPr>
            </w:pPr>
            <w:r>
              <w:rPr>
                <w:rFonts w:hint="eastAsia" w:cs="宋体"/>
                <w:color w:val="auto"/>
                <w:sz w:val="21"/>
                <w:szCs w:val="21"/>
                <w:highlight w:val="none"/>
                <w:lang w:eastAsia="zh-CN"/>
              </w:rPr>
              <w:t>完整性要求：每提供</w:t>
            </w:r>
            <w:r>
              <w:rPr>
                <w:rFonts w:hint="eastAsia" w:cs="宋体"/>
                <w:color w:val="auto"/>
                <w:sz w:val="21"/>
                <w:szCs w:val="21"/>
                <w:highlight w:val="none"/>
                <w:lang w:val="en-US" w:eastAsia="zh-CN"/>
              </w:rPr>
              <w:t>1项得0.25分，最高得1分。</w:t>
            </w:r>
          </w:p>
          <w:p w14:paraId="6C389025">
            <w:pPr>
              <w:pStyle w:val="10"/>
              <w:ind w:left="0" w:leftChars="0"/>
              <w:jc w:val="left"/>
              <w:rPr>
                <w:rFonts w:hint="eastAsia" w:cs="宋体"/>
                <w:color w:val="auto"/>
                <w:sz w:val="21"/>
                <w:szCs w:val="21"/>
                <w:highlight w:val="none"/>
              </w:rPr>
            </w:pPr>
            <w:r>
              <w:rPr>
                <w:rFonts w:hint="eastAsia" w:cs="宋体"/>
                <w:color w:val="auto"/>
                <w:sz w:val="21"/>
                <w:szCs w:val="21"/>
                <w:highlight w:val="none"/>
                <w:lang w:eastAsia="zh-CN"/>
              </w:rPr>
              <w:t>合理性要求：</w:t>
            </w:r>
            <w:r>
              <w:rPr>
                <w:rFonts w:hint="eastAsia" w:cs="宋体"/>
                <w:color w:val="auto"/>
                <w:sz w:val="21"/>
                <w:szCs w:val="21"/>
                <w:highlight w:val="none"/>
              </w:rPr>
              <w:t>方案</w:t>
            </w:r>
            <w:r>
              <w:rPr>
                <w:rFonts w:hint="eastAsia" w:cs="宋体"/>
                <w:color w:val="auto"/>
                <w:sz w:val="21"/>
                <w:szCs w:val="21"/>
                <w:highlight w:val="none"/>
                <w:lang w:eastAsia="zh-CN"/>
              </w:rPr>
              <w:t>非常符合本项目服务需求，</w:t>
            </w:r>
            <w:r>
              <w:rPr>
                <w:rFonts w:hint="eastAsia" w:cs="宋体"/>
                <w:color w:val="auto"/>
                <w:sz w:val="21"/>
                <w:szCs w:val="21"/>
                <w:highlight w:val="none"/>
              </w:rPr>
              <w:t>科学合理，思路清晰明确，</w:t>
            </w:r>
            <w:r>
              <w:rPr>
                <w:rFonts w:hint="eastAsia" w:cs="宋体"/>
                <w:color w:val="auto"/>
                <w:sz w:val="21"/>
                <w:szCs w:val="21"/>
                <w:highlight w:val="none"/>
                <w:lang w:eastAsia="zh-CN"/>
              </w:rPr>
              <w:t>可操作性强，得</w:t>
            </w:r>
            <w:r>
              <w:rPr>
                <w:rFonts w:hint="eastAsia" w:cs="宋体"/>
                <w:color w:val="auto"/>
                <w:sz w:val="21"/>
                <w:szCs w:val="21"/>
                <w:highlight w:val="none"/>
                <w:lang w:val="en-US" w:eastAsia="zh-CN"/>
              </w:rPr>
              <w:t>2分；方案符合本项目服务需求，有较好的可行性，得1分；方案偏离本项目服务需求，缺乏可操作性，得0分。</w:t>
            </w:r>
          </w:p>
          <w:p w14:paraId="3D033606">
            <w:pPr>
              <w:pStyle w:val="10"/>
              <w:jc w:val="left"/>
              <w:rPr>
                <w:rFonts w:cs="宋体"/>
                <w:b/>
                <w:bCs/>
                <w:color w:val="auto"/>
                <w:sz w:val="21"/>
                <w:szCs w:val="21"/>
                <w:highlight w:val="none"/>
              </w:rPr>
            </w:pPr>
            <w:r>
              <w:rPr>
                <w:rFonts w:hint="eastAsia" w:cs="宋体"/>
                <w:b/>
                <w:bCs/>
                <w:color w:val="auto"/>
                <w:sz w:val="21"/>
                <w:szCs w:val="21"/>
                <w:highlight w:val="none"/>
              </w:rPr>
              <w:t>评审依据：投标文件中须提供服务方案。</w:t>
            </w:r>
          </w:p>
        </w:tc>
        <w:tc>
          <w:tcPr>
            <w:tcW w:w="913" w:type="dxa"/>
            <w:noWrap/>
            <w:vAlign w:val="center"/>
          </w:tcPr>
          <w:p w14:paraId="42D20DEF">
            <w:pPr>
              <w:jc w:val="center"/>
              <w:rPr>
                <w:rFonts w:ascii="宋体" w:hAnsi="宋体" w:cs="宋体"/>
                <w:color w:val="auto"/>
                <w:kern w:val="0"/>
                <w:sz w:val="21"/>
                <w:szCs w:val="21"/>
                <w:highlight w:val="none"/>
              </w:rPr>
            </w:pPr>
            <w:r>
              <w:rPr>
                <w:rFonts w:hint="eastAsia" w:ascii="宋体" w:hAnsi="宋体" w:cs="宋体"/>
                <w:color w:val="auto"/>
                <w:kern w:val="0"/>
                <w:sz w:val="21"/>
                <w:szCs w:val="21"/>
                <w:highlight w:val="none"/>
              </w:rPr>
              <w:t>2</w:t>
            </w:r>
            <w:r>
              <w:rPr>
                <w:rFonts w:hint="eastAsia" w:ascii="宋体" w:hAnsi="宋体" w:cs="宋体"/>
                <w:color w:val="auto"/>
                <w:kern w:val="0"/>
                <w:sz w:val="21"/>
                <w:szCs w:val="21"/>
                <w:highlight w:val="none"/>
                <w:lang w:val="en-US" w:eastAsia="zh-CN"/>
              </w:rPr>
              <w:t>8</w:t>
            </w:r>
            <w:r>
              <w:rPr>
                <w:rFonts w:hint="eastAsia" w:ascii="宋体" w:hAnsi="宋体" w:cs="宋体"/>
                <w:color w:val="auto"/>
                <w:kern w:val="0"/>
                <w:sz w:val="21"/>
                <w:szCs w:val="21"/>
                <w:highlight w:val="none"/>
              </w:rPr>
              <w:t>分</w:t>
            </w:r>
          </w:p>
        </w:tc>
      </w:tr>
      <w:tr w14:paraId="47FFB1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1884" w:type="dxa"/>
            <w:noWrap/>
            <w:vAlign w:val="center"/>
          </w:tcPr>
          <w:p w14:paraId="078B6C03">
            <w:pPr>
              <w:jc w:val="center"/>
              <w:rPr>
                <w:rFonts w:ascii="宋体" w:hAnsi="宋体" w:cs="宋体"/>
                <w:color w:val="auto"/>
                <w:sz w:val="21"/>
                <w:szCs w:val="21"/>
                <w:highlight w:val="none"/>
              </w:rPr>
            </w:pPr>
            <w:r>
              <w:rPr>
                <w:rFonts w:hint="eastAsia" w:ascii="宋体" w:hAnsi="宋体" w:cs="宋体"/>
                <w:color w:val="auto"/>
                <w:sz w:val="21"/>
                <w:szCs w:val="21"/>
                <w:highlight w:val="none"/>
              </w:rPr>
              <w:t>8.餐饮服务管理实施方案</w:t>
            </w:r>
          </w:p>
        </w:tc>
        <w:tc>
          <w:tcPr>
            <w:tcW w:w="6445" w:type="dxa"/>
            <w:noWrap/>
            <w:vAlign w:val="center"/>
          </w:tcPr>
          <w:p w14:paraId="7AFB4221">
            <w:pPr>
              <w:pStyle w:val="10"/>
              <w:ind w:left="0" w:leftChars="0"/>
              <w:jc w:val="left"/>
              <w:rPr>
                <w:rFonts w:hint="eastAsia" w:cs="宋体"/>
                <w:color w:val="auto"/>
                <w:sz w:val="21"/>
                <w:szCs w:val="21"/>
                <w:highlight w:val="none"/>
                <w:lang w:eastAsia="zh-CN"/>
              </w:rPr>
            </w:pPr>
            <w:r>
              <w:rPr>
                <w:rFonts w:hint="eastAsia" w:cs="宋体"/>
                <w:color w:val="auto"/>
                <w:sz w:val="21"/>
                <w:szCs w:val="21"/>
                <w:highlight w:val="none"/>
                <w:lang w:val="en-US" w:eastAsia="zh-CN"/>
              </w:rPr>
              <w:t>8.1</w:t>
            </w:r>
            <w:r>
              <w:rPr>
                <w:rFonts w:hint="eastAsia" w:cs="宋体"/>
                <w:color w:val="auto"/>
                <w:sz w:val="21"/>
                <w:szCs w:val="21"/>
                <w:highlight w:val="none"/>
              </w:rPr>
              <w:t>投标人针对本项目提供完整的项目整体方案策划</w:t>
            </w:r>
            <w:r>
              <w:rPr>
                <w:rFonts w:hint="eastAsia" w:cs="宋体"/>
                <w:color w:val="auto"/>
                <w:sz w:val="21"/>
                <w:szCs w:val="21"/>
                <w:highlight w:val="none"/>
                <w:lang w:eastAsia="zh-CN"/>
              </w:rPr>
              <w:t>。方案包含：</w:t>
            </w:r>
            <w:r>
              <w:rPr>
                <w:rFonts w:hint="eastAsia" w:cs="宋体"/>
                <w:color w:val="auto"/>
                <w:sz w:val="21"/>
                <w:szCs w:val="21"/>
                <w:highlight w:val="none"/>
              </w:rPr>
              <w:t>服务定</w:t>
            </w:r>
            <w:r>
              <w:rPr>
                <w:rFonts w:hint="eastAsia" w:cs="宋体"/>
                <w:color w:val="auto"/>
                <w:sz w:val="21"/>
                <w:szCs w:val="21"/>
                <w:highlight w:val="none"/>
                <w:lang w:eastAsia="zh-CN"/>
              </w:rPr>
              <w:t>位与</w:t>
            </w:r>
            <w:r>
              <w:rPr>
                <w:rFonts w:hint="eastAsia" w:cs="宋体"/>
                <w:color w:val="auto"/>
                <w:sz w:val="21"/>
                <w:szCs w:val="21"/>
                <w:highlight w:val="none"/>
              </w:rPr>
              <w:t>目标、人员配置</w:t>
            </w:r>
            <w:r>
              <w:rPr>
                <w:rFonts w:hint="eastAsia" w:cs="宋体"/>
                <w:color w:val="auto"/>
                <w:sz w:val="21"/>
                <w:szCs w:val="21"/>
                <w:highlight w:val="none"/>
                <w:lang w:eastAsia="zh-CN"/>
              </w:rPr>
              <w:t>及</w:t>
            </w:r>
            <w:r>
              <w:rPr>
                <w:rFonts w:hint="eastAsia" w:cs="宋体"/>
                <w:color w:val="auto"/>
                <w:sz w:val="21"/>
                <w:szCs w:val="21"/>
                <w:highlight w:val="none"/>
              </w:rPr>
              <w:t>培训</w:t>
            </w:r>
            <w:r>
              <w:rPr>
                <w:rFonts w:hint="eastAsia" w:cs="宋体"/>
                <w:color w:val="auto"/>
                <w:sz w:val="21"/>
                <w:szCs w:val="21"/>
                <w:highlight w:val="none"/>
                <w:lang w:eastAsia="zh-CN"/>
              </w:rPr>
              <w:t>、</w:t>
            </w:r>
            <w:r>
              <w:rPr>
                <w:rFonts w:hint="eastAsia" w:cs="宋体"/>
                <w:color w:val="auto"/>
                <w:sz w:val="21"/>
                <w:szCs w:val="21"/>
                <w:highlight w:val="none"/>
              </w:rPr>
              <w:t>食堂保洁</w:t>
            </w:r>
            <w:r>
              <w:rPr>
                <w:rFonts w:hint="eastAsia" w:cs="宋体"/>
                <w:color w:val="auto"/>
                <w:sz w:val="21"/>
                <w:szCs w:val="21"/>
                <w:highlight w:val="none"/>
                <w:lang w:eastAsia="zh-CN"/>
              </w:rPr>
              <w:t>、</w:t>
            </w:r>
            <w:r>
              <w:rPr>
                <w:rFonts w:hint="eastAsia" w:cs="宋体"/>
                <w:color w:val="auto"/>
                <w:sz w:val="21"/>
                <w:szCs w:val="21"/>
                <w:highlight w:val="none"/>
              </w:rPr>
              <w:t>会务餐饮接待</w:t>
            </w:r>
            <w:r>
              <w:rPr>
                <w:rFonts w:hint="eastAsia" w:cs="宋体"/>
                <w:color w:val="auto"/>
                <w:sz w:val="21"/>
                <w:szCs w:val="21"/>
                <w:highlight w:val="none"/>
                <w:lang w:eastAsia="zh-CN"/>
              </w:rPr>
              <w:t>等内容。</w:t>
            </w:r>
          </w:p>
          <w:p w14:paraId="11881771">
            <w:pPr>
              <w:pStyle w:val="10"/>
              <w:ind w:left="0" w:leftChars="0"/>
              <w:jc w:val="left"/>
              <w:rPr>
                <w:rFonts w:hint="eastAsia" w:cs="宋体"/>
                <w:color w:val="auto"/>
                <w:sz w:val="21"/>
                <w:szCs w:val="21"/>
                <w:highlight w:val="none"/>
                <w:lang w:val="en-US" w:eastAsia="zh-CN"/>
              </w:rPr>
            </w:pPr>
            <w:r>
              <w:rPr>
                <w:rFonts w:hint="eastAsia" w:cs="宋体"/>
                <w:color w:val="auto"/>
                <w:sz w:val="21"/>
                <w:szCs w:val="21"/>
                <w:highlight w:val="none"/>
                <w:lang w:eastAsia="zh-CN"/>
              </w:rPr>
              <w:t>完整性要求：每提供</w:t>
            </w:r>
            <w:r>
              <w:rPr>
                <w:rFonts w:hint="eastAsia" w:cs="宋体"/>
                <w:color w:val="auto"/>
                <w:sz w:val="21"/>
                <w:szCs w:val="21"/>
                <w:highlight w:val="none"/>
                <w:lang w:val="en-US" w:eastAsia="zh-CN"/>
              </w:rPr>
              <w:t>1项得0.25分，最高得1分。</w:t>
            </w:r>
          </w:p>
          <w:p w14:paraId="698104D7">
            <w:pPr>
              <w:pStyle w:val="10"/>
              <w:ind w:left="0" w:leftChars="0"/>
              <w:jc w:val="left"/>
              <w:rPr>
                <w:rFonts w:hint="eastAsia" w:cs="宋体"/>
                <w:color w:val="auto"/>
                <w:sz w:val="21"/>
                <w:szCs w:val="21"/>
                <w:highlight w:val="none"/>
              </w:rPr>
            </w:pPr>
            <w:r>
              <w:rPr>
                <w:rFonts w:hint="eastAsia" w:cs="宋体"/>
                <w:color w:val="auto"/>
                <w:sz w:val="21"/>
                <w:szCs w:val="21"/>
                <w:highlight w:val="none"/>
                <w:lang w:eastAsia="zh-CN"/>
              </w:rPr>
              <w:t>合理性要求：</w:t>
            </w:r>
            <w:r>
              <w:rPr>
                <w:rFonts w:hint="eastAsia" w:cs="宋体"/>
                <w:color w:val="auto"/>
                <w:sz w:val="21"/>
                <w:szCs w:val="21"/>
                <w:highlight w:val="none"/>
              </w:rPr>
              <w:t>方案</w:t>
            </w:r>
            <w:r>
              <w:rPr>
                <w:rFonts w:hint="eastAsia" w:cs="宋体"/>
                <w:color w:val="auto"/>
                <w:sz w:val="21"/>
                <w:szCs w:val="21"/>
                <w:highlight w:val="none"/>
                <w:lang w:eastAsia="zh-CN"/>
              </w:rPr>
              <w:t>非常符合本项目服务需求，</w:t>
            </w:r>
            <w:r>
              <w:rPr>
                <w:rFonts w:hint="eastAsia" w:cs="宋体"/>
                <w:color w:val="auto"/>
                <w:sz w:val="21"/>
                <w:szCs w:val="21"/>
                <w:highlight w:val="none"/>
              </w:rPr>
              <w:t>科学合理，思路清晰明确，</w:t>
            </w:r>
            <w:r>
              <w:rPr>
                <w:rFonts w:hint="eastAsia" w:cs="宋体"/>
                <w:color w:val="auto"/>
                <w:sz w:val="21"/>
                <w:szCs w:val="21"/>
                <w:highlight w:val="none"/>
                <w:lang w:eastAsia="zh-CN"/>
              </w:rPr>
              <w:t>可操作性强，得</w:t>
            </w:r>
            <w:r>
              <w:rPr>
                <w:rFonts w:hint="eastAsia" w:cs="宋体"/>
                <w:color w:val="auto"/>
                <w:sz w:val="21"/>
                <w:szCs w:val="21"/>
                <w:highlight w:val="none"/>
                <w:lang w:val="en-US" w:eastAsia="zh-CN"/>
              </w:rPr>
              <w:t>2分；方案符合本项目服务需求，有较好的可行性，得1分；方案偏离本项目服务需求，缺乏可操作性，得0分。</w:t>
            </w:r>
          </w:p>
          <w:p w14:paraId="424DEF33">
            <w:pPr>
              <w:pStyle w:val="10"/>
              <w:ind w:left="0" w:leftChars="0"/>
              <w:jc w:val="left"/>
              <w:rPr>
                <w:rFonts w:hint="eastAsia" w:cs="宋体"/>
                <w:color w:val="auto"/>
                <w:sz w:val="21"/>
                <w:szCs w:val="21"/>
                <w:highlight w:val="none"/>
                <w:lang w:eastAsia="zh-CN"/>
              </w:rPr>
            </w:pPr>
            <w:r>
              <w:rPr>
                <w:rFonts w:hint="eastAsia" w:cs="宋体"/>
                <w:color w:val="auto"/>
                <w:sz w:val="21"/>
                <w:szCs w:val="21"/>
                <w:highlight w:val="none"/>
                <w:lang w:val="en-US" w:eastAsia="zh-CN"/>
              </w:rPr>
              <w:t>8.2</w:t>
            </w:r>
            <w:r>
              <w:rPr>
                <w:rFonts w:hint="eastAsia" w:cs="宋体"/>
                <w:color w:val="auto"/>
                <w:sz w:val="21"/>
                <w:szCs w:val="21"/>
                <w:highlight w:val="none"/>
              </w:rPr>
              <w:t>投标人针对本项目提供餐饮支撑服务方案</w:t>
            </w:r>
            <w:r>
              <w:rPr>
                <w:rFonts w:hint="eastAsia" w:cs="宋体"/>
                <w:color w:val="auto"/>
                <w:sz w:val="21"/>
                <w:szCs w:val="21"/>
                <w:highlight w:val="none"/>
                <w:lang w:eastAsia="zh-CN"/>
              </w:rPr>
              <w:t>。方案</w:t>
            </w:r>
            <w:r>
              <w:rPr>
                <w:rFonts w:hint="eastAsia" w:cs="宋体"/>
                <w:color w:val="auto"/>
                <w:sz w:val="21"/>
                <w:szCs w:val="21"/>
                <w:highlight w:val="none"/>
              </w:rPr>
              <w:t>包含餐饮的卫生、菜品质量、创新菜品</w:t>
            </w:r>
            <w:r>
              <w:rPr>
                <w:rFonts w:hint="eastAsia" w:cs="宋体"/>
                <w:color w:val="auto"/>
                <w:sz w:val="21"/>
                <w:szCs w:val="21"/>
                <w:highlight w:val="none"/>
                <w:lang w:eastAsia="zh-CN"/>
              </w:rPr>
              <w:t>与</w:t>
            </w:r>
            <w:r>
              <w:rPr>
                <w:rFonts w:hint="eastAsia" w:cs="宋体"/>
                <w:color w:val="auto"/>
                <w:sz w:val="21"/>
                <w:szCs w:val="21"/>
                <w:highlight w:val="none"/>
              </w:rPr>
              <w:t>菜品搭配</w:t>
            </w:r>
            <w:r>
              <w:rPr>
                <w:rFonts w:hint="eastAsia" w:cs="宋体"/>
                <w:color w:val="auto"/>
                <w:sz w:val="21"/>
                <w:szCs w:val="21"/>
                <w:highlight w:val="none"/>
                <w:lang w:eastAsia="zh-CN"/>
              </w:rPr>
              <w:t>、</w:t>
            </w:r>
            <w:r>
              <w:rPr>
                <w:rFonts w:hint="eastAsia" w:cs="宋体"/>
                <w:color w:val="auto"/>
                <w:sz w:val="21"/>
                <w:szCs w:val="21"/>
                <w:highlight w:val="none"/>
              </w:rPr>
              <w:t>应急预案等</w:t>
            </w:r>
            <w:r>
              <w:rPr>
                <w:rFonts w:hint="eastAsia" w:cs="宋体"/>
                <w:color w:val="auto"/>
                <w:sz w:val="21"/>
                <w:szCs w:val="21"/>
                <w:highlight w:val="none"/>
                <w:lang w:eastAsia="zh-CN"/>
              </w:rPr>
              <w:t>内容。</w:t>
            </w:r>
          </w:p>
          <w:p w14:paraId="709589F8">
            <w:pPr>
              <w:pStyle w:val="10"/>
              <w:ind w:left="0" w:leftChars="0"/>
              <w:jc w:val="left"/>
              <w:rPr>
                <w:rFonts w:hint="eastAsia" w:cs="宋体"/>
                <w:color w:val="auto"/>
                <w:sz w:val="21"/>
                <w:szCs w:val="21"/>
                <w:highlight w:val="none"/>
                <w:lang w:val="en-US" w:eastAsia="zh-CN"/>
              </w:rPr>
            </w:pPr>
            <w:r>
              <w:rPr>
                <w:rFonts w:hint="eastAsia" w:cs="宋体"/>
                <w:color w:val="auto"/>
                <w:sz w:val="21"/>
                <w:szCs w:val="21"/>
                <w:highlight w:val="none"/>
                <w:lang w:eastAsia="zh-CN"/>
              </w:rPr>
              <w:t>完整性要求：每提供</w:t>
            </w:r>
            <w:r>
              <w:rPr>
                <w:rFonts w:hint="eastAsia" w:cs="宋体"/>
                <w:color w:val="auto"/>
                <w:sz w:val="21"/>
                <w:szCs w:val="21"/>
                <w:highlight w:val="none"/>
                <w:lang w:val="en-US" w:eastAsia="zh-CN"/>
              </w:rPr>
              <w:t>1项得0.25分，最高得1分。</w:t>
            </w:r>
          </w:p>
          <w:p w14:paraId="7137FDA9">
            <w:pPr>
              <w:pStyle w:val="10"/>
              <w:ind w:left="0" w:leftChars="0"/>
              <w:jc w:val="left"/>
              <w:rPr>
                <w:rFonts w:cs="宋体"/>
                <w:color w:val="auto"/>
                <w:sz w:val="21"/>
                <w:szCs w:val="21"/>
                <w:highlight w:val="none"/>
              </w:rPr>
            </w:pPr>
            <w:r>
              <w:rPr>
                <w:rFonts w:hint="eastAsia" w:cs="宋体"/>
                <w:color w:val="auto"/>
                <w:sz w:val="21"/>
                <w:szCs w:val="21"/>
                <w:highlight w:val="none"/>
                <w:lang w:eastAsia="zh-CN"/>
              </w:rPr>
              <w:t>合理性要求：</w:t>
            </w:r>
            <w:r>
              <w:rPr>
                <w:rFonts w:hint="eastAsia" w:cs="宋体"/>
                <w:color w:val="auto"/>
                <w:sz w:val="21"/>
                <w:szCs w:val="21"/>
                <w:highlight w:val="none"/>
              </w:rPr>
              <w:t>方案</w:t>
            </w:r>
            <w:r>
              <w:rPr>
                <w:rFonts w:hint="eastAsia" w:cs="宋体"/>
                <w:color w:val="auto"/>
                <w:sz w:val="21"/>
                <w:szCs w:val="21"/>
                <w:highlight w:val="none"/>
                <w:lang w:eastAsia="zh-CN"/>
              </w:rPr>
              <w:t>非常符合本项目服务需求，</w:t>
            </w:r>
            <w:r>
              <w:rPr>
                <w:rFonts w:hint="eastAsia" w:cs="宋体"/>
                <w:color w:val="auto"/>
                <w:sz w:val="21"/>
                <w:szCs w:val="21"/>
                <w:highlight w:val="none"/>
              </w:rPr>
              <w:t>科学合理，思路清晰明确，</w:t>
            </w:r>
            <w:r>
              <w:rPr>
                <w:rFonts w:hint="eastAsia" w:cs="宋体"/>
                <w:color w:val="auto"/>
                <w:sz w:val="21"/>
                <w:szCs w:val="21"/>
                <w:highlight w:val="none"/>
                <w:lang w:eastAsia="zh-CN"/>
              </w:rPr>
              <w:t>可操作性强，得</w:t>
            </w:r>
            <w:r>
              <w:rPr>
                <w:rFonts w:hint="eastAsia" w:cs="宋体"/>
                <w:color w:val="auto"/>
                <w:sz w:val="21"/>
                <w:szCs w:val="21"/>
                <w:highlight w:val="none"/>
                <w:lang w:val="en-US" w:eastAsia="zh-CN"/>
              </w:rPr>
              <w:t>2分；方案符合本项目服务需求，有较好的可行性，得1分；方案偏离本项目服务需求，缺乏可操作性，得0分。</w:t>
            </w:r>
          </w:p>
          <w:p w14:paraId="5C5906A1">
            <w:pPr>
              <w:pStyle w:val="10"/>
              <w:jc w:val="left"/>
              <w:rPr>
                <w:rFonts w:cs="宋体"/>
                <w:b/>
                <w:bCs/>
                <w:color w:val="auto"/>
                <w:sz w:val="21"/>
                <w:szCs w:val="21"/>
                <w:highlight w:val="none"/>
              </w:rPr>
            </w:pPr>
            <w:r>
              <w:rPr>
                <w:rFonts w:hint="eastAsia" w:cs="宋体"/>
                <w:b/>
                <w:bCs/>
                <w:color w:val="auto"/>
                <w:sz w:val="21"/>
                <w:szCs w:val="21"/>
                <w:highlight w:val="none"/>
              </w:rPr>
              <w:t>评审依据：投标文件中提供相关方案佐证。</w:t>
            </w:r>
          </w:p>
        </w:tc>
        <w:tc>
          <w:tcPr>
            <w:tcW w:w="913" w:type="dxa"/>
            <w:noWrap/>
            <w:vAlign w:val="center"/>
          </w:tcPr>
          <w:p w14:paraId="7904F697">
            <w:pPr>
              <w:jc w:val="center"/>
              <w:rPr>
                <w:rFonts w:ascii="宋体" w:hAnsi="宋体" w:cs="宋体"/>
                <w:color w:val="auto"/>
                <w:kern w:val="0"/>
                <w:sz w:val="21"/>
                <w:szCs w:val="21"/>
                <w:highlight w:val="none"/>
              </w:rPr>
            </w:pPr>
            <w:r>
              <w:rPr>
                <w:rFonts w:hint="eastAsia" w:ascii="宋体" w:hAnsi="宋体" w:cs="宋体"/>
                <w:color w:val="auto"/>
                <w:kern w:val="0"/>
                <w:sz w:val="21"/>
                <w:szCs w:val="21"/>
                <w:highlight w:val="none"/>
              </w:rPr>
              <w:t>6分</w:t>
            </w:r>
          </w:p>
        </w:tc>
      </w:tr>
      <w:tr w14:paraId="51B5CA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1884" w:type="dxa"/>
            <w:noWrap/>
            <w:vAlign w:val="center"/>
          </w:tcPr>
          <w:p w14:paraId="21527F44">
            <w:pPr>
              <w:jc w:val="center"/>
              <w:rPr>
                <w:rFonts w:ascii="宋体" w:hAnsi="宋体" w:cs="宋体"/>
                <w:color w:val="auto"/>
                <w:sz w:val="21"/>
                <w:szCs w:val="21"/>
                <w:highlight w:val="none"/>
              </w:rPr>
            </w:pPr>
            <w:r>
              <w:rPr>
                <w:rFonts w:hint="eastAsia" w:ascii="宋体" w:hAnsi="宋体" w:cs="宋体"/>
                <w:color w:val="auto"/>
                <w:sz w:val="21"/>
                <w:szCs w:val="21"/>
                <w:highlight w:val="none"/>
              </w:rPr>
              <w:t>9.餐饮服务团队</w:t>
            </w:r>
          </w:p>
        </w:tc>
        <w:tc>
          <w:tcPr>
            <w:tcW w:w="6445" w:type="dxa"/>
            <w:noWrap/>
            <w:vAlign w:val="center"/>
          </w:tcPr>
          <w:p w14:paraId="24E2AC77">
            <w:pPr>
              <w:pStyle w:val="10"/>
              <w:jc w:val="left"/>
              <w:rPr>
                <w:rFonts w:cs="宋体"/>
                <w:color w:val="auto"/>
                <w:sz w:val="21"/>
                <w:szCs w:val="21"/>
                <w:highlight w:val="none"/>
              </w:rPr>
            </w:pPr>
            <w:r>
              <w:rPr>
                <w:rFonts w:hint="eastAsia" w:cs="宋体"/>
                <w:color w:val="auto"/>
                <w:sz w:val="21"/>
                <w:szCs w:val="21"/>
                <w:highlight w:val="none"/>
              </w:rPr>
              <w:t>9.1拟派厨</w:t>
            </w:r>
            <w:r>
              <w:rPr>
                <w:rFonts w:hint="eastAsia" w:cs="宋体"/>
                <w:color w:val="auto"/>
                <w:sz w:val="21"/>
                <w:szCs w:val="21"/>
                <w:highlight w:val="none"/>
                <w:lang w:eastAsia="zh-CN"/>
              </w:rPr>
              <w:t>师</w:t>
            </w:r>
            <w:r>
              <w:rPr>
                <w:rFonts w:hint="eastAsia" w:cs="宋体"/>
                <w:color w:val="auto"/>
                <w:sz w:val="21"/>
                <w:szCs w:val="21"/>
                <w:highlight w:val="none"/>
              </w:rPr>
              <w:t>（4分）：</w:t>
            </w:r>
          </w:p>
          <w:p w14:paraId="051B2961">
            <w:pPr>
              <w:pStyle w:val="10"/>
              <w:numPr>
                <w:ilvl w:val="0"/>
                <w:numId w:val="6"/>
              </w:numPr>
              <w:jc w:val="left"/>
              <w:rPr>
                <w:rFonts w:cs="宋体"/>
                <w:color w:val="auto"/>
                <w:sz w:val="21"/>
                <w:szCs w:val="21"/>
                <w:highlight w:val="none"/>
              </w:rPr>
            </w:pPr>
            <w:r>
              <w:rPr>
                <w:rFonts w:hint="eastAsia" w:cs="宋体"/>
                <w:color w:val="auto"/>
                <w:sz w:val="21"/>
                <w:szCs w:val="21"/>
                <w:highlight w:val="none"/>
              </w:rPr>
              <w:t>持有高级营养师技能证书；</w:t>
            </w:r>
          </w:p>
          <w:p w14:paraId="0E08FF7A">
            <w:pPr>
              <w:pStyle w:val="10"/>
              <w:numPr>
                <w:ilvl w:val="0"/>
                <w:numId w:val="6"/>
              </w:numPr>
              <w:jc w:val="left"/>
              <w:rPr>
                <w:rFonts w:cs="宋体"/>
                <w:color w:val="auto"/>
                <w:sz w:val="21"/>
                <w:szCs w:val="21"/>
                <w:highlight w:val="none"/>
              </w:rPr>
            </w:pPr>
            <w:r>
              <w:rPr>
                <w:rFonts w:hint="eastAsia" w:cs="宋体"/>
                <w:color w:val="auto"/>
                <w:sz w:val="21"/>
                <w:szCs w:val="21"/>
                <w:highlight w:val="none"/>
              </w:rPr>
              <w:t>持有中式面点师技能证书。</w:t>
            </w:r>
          </w:p>
          <w:p w14:paraId="57A5056A">
            <w:pPr>
              <w:pStyle w:val="10"/>
              <w:jc w:val="left"/>
              <w:rPr>
                <w:rFonts w:cs="宋体"/>
                <w:color w:val="auto"/>
                <w:sz w:val="21"/>
                <w:szCs w:val="21"/>
                <w:highlight w:val="none"/>
              </w:rPr>
            </w:pPr>
            <w:r>
              <w:rPr>
                <w:rFonts w:cs="宋体"/>
                <w:color w:val="auto"/>
                <w:sz w:val="21"/>
                <w:szCs w:val="21"/>
                <w:highlight w:val="none"/>
              </w:rPr>
              <w:t xml:space="preserve">  </w:t>
            </w:r>
            <w:r>
              <w:rPr>
                <w:rFonts w:hint="eastAsia" w:cs="宋体"/>
                <w:color w:val="auto"/>
                <w:sz w:val="21"/>
                <w:szCs w:val="21"/>
                <w:highlight w:val="none"/>
              </w:rPr>
              <w:t>每提供一个得</w:t>
            </w:r>
            <w:r>
              <w:rPr>
                <w:rFonts w:cs="宋体"/>
                <w:color w:val="auto"/>
                <w:sz w:val="21"/>
                <w:szCs w:val="21"/>
                <w:highlight w:val="none"/>
              </w:rPr>
              <w:t>2</w:t>
            </w:r>
            <w:r>
              <w:rPr>
                <w:rFonts w:hint="eastAsia" w:cs="宋体"/>
                <w:color w:val="auto"/>
                <w:sz w:val="21"/>
                <w:szCs w:val="21"/>
                <w:highlight w:val="none"/>
              </w:rPr>
              <w:t>分，最多得</w:t>
            </w:r>
            <w:r>
              <w:rPr>
                <w:rFonts w:cs="宋体"/>
                <w:color w:val="auto"/>
                <w:sz w:val="21"/>
                <w:szCs w:val="21"/>
                <w:highlight w:val="none"/>
              </w:rPr>
              <w:t>4</w:t>
            </w:r>
            <w:r>
              <w:rPr>
                <w:rFonts w:hint="eastAsia" w:cs="宋体"/>
                <w:color w:val="auto"/>
                <w:sz w:val="21"/>
                <w:szCs w:val="21"/>
                <w:highlight w:val="none"/>
              </w:rPr>
              <w:t>分。</w:t>
            </w:r>
          </w:p>
          <w:p w14:paraId="7C5F1DD9">
            <w:pPr>
              <w:pStyle w:val="10"/>
              <w:jc w:val="left"/>
              <w:rPr>
                <w:rFonts w:cs="宋体"/>
                <w:b/>
                <w:bCs/>
                <w:color w:val="auto"/>
                <w:sz w:val="21"/>
                <w:szCs w:val="21"/>
                <w:highlight w:val="none"/>
              </w:rPr>
            </w:pPr>
            <w:r>
              <w:rPr>
                <w:rFonts w:hint="eastAsia" w:ascii="宋体" w:hAnsi="宋体" w:cs="宋体"/>
                <w:b/>
                <w:bCs/>
                <w:color w:val="auto"/>
                <w:sz w:val="21"/>
                <w:szCs w:val="21"/>
                <w:highlight w:val="none"/>
              </w:rPr>
              <w:t>评审依据：投标人须提供相关证书以及投标单位在开标前3个月内任意一个月社保缴证明扫描件加盖投标人公章。所有材料原件现场核查，否则不得分。</w:t>
            </w:r>
          </w:p>
        </w:tc>
        <w:tc>
          <w:tcPr>
            <w:tcW w:w="913" w:type="dxa"/>
            <w:noWrap/>
            <w:vAlign w:val="center"/>
          </w:tcPr>
          <w:p w14:paraId="08DC99FC">
            <w:pPr>
              <w:jc w:val="center"/>
              <w:rPr>
                <w:rFonts w:ascii="宋体" w:hAnsi="宋体" w:cs="宋体"/>
                <w:color w:val="auto"/>
                <w:kern w:val="0"/>
                <w:sz w:val="21"/>
                <w:szCs w:val="21"/>
                <w:highlight w:val="none"/>
              </w:rPr>
            </w:pPr>
            <w:r>
              <w:rPr>
                <w:rFonts w:hint="eastAsia" w:ascii="宋体" w:hAnsi="宋体" w:cs="宋体"/>
                <w:color w:val="auto"/>
                <w:kern w:val="0"/>
                <w:sz w:val="21"/>
                <w:szCs w:val="21"/>
                <w:highlight w:val="none"/>
              </w:rPr>
              <w:t>4分</w:t>
            </w:r>
          </w:p>
        </w:tc>
      </w:tr>
      <w:tr w14:paraId="2AD2B9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9242" w:type="dxa"/>
            <w:gridSpan w:val="3"/>
            <w:noWrap/>
          </w:tcPr>
          <w:p w14:paraId="0F11B2D8">
            <w:pPr>
              <w:autoSpaceDE w:val="0"/>
              <w:autoSpaceDN w:val="0"/>
              <w:adjustRightInd w:val="0"/>
              <w:jc w:val="center"/>
              <w:textAlignment w:val="center"/>
              <w:rPr>
                <w:rFonts w:ascii="宋体" w:hAnsi="宋体" w:cs="宋体"/>
                <w:color w:val="auto"/>
                <w:sz w:val="21"/>
                <w:szCs w:val="21"/>
                <w:highlight w:val="none"/>
              </w:rPr>
            </w:pPr>
            <w:r>
              <w:rPr>
                <w:rFonts w:hint="eastAsia" w:ascii="宋体" w:hAnsi="宋体" w:cs="宋体"/>
                <w:b/>
                <w:color w:val="auto"/>
                <w:sz w:val="21"/>
                <w:szCs w:val="21"/>
                <w:highlight w:val="none"/>
              </w:rPr>
              <w:t>商务部分（25分）</w:t>
            </w:r>
          </w:p>
        </w:tc>
      </w:tr>
      <w:tr w14:paraId="1A971A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1884" w:type="dxa"/>
            <w:noWrap/>
            <w:vAlign w:val="center"/>
          </w:tcPr>
          <w:p w14:paraId="36EE483B">
            <w:pPr>
              <w:autoSpaceDE w:val="0"/>
              <w:autoSpaceDN w:val="0"/>
              <w:adjustRightInd w:val="0"/>
              <w:jc w:val="center"/>
              <w:textAlignment w:val="center"/>
              <w:rPr>
                <w:rFonts w:ascii="宋体" w:hAnsi="宋体" w:cs="宋体"/>
                <w:color w:val="auto"/>
                <w:kern w:val="0"/>
                <w:sz w:val="21"/>
                <w:szCs w:val="21"/>
                <w:highlight w:val="none"/>
              </w:rPr>
            </w:pPr>
            <w:r>
              <w:rPr>
                <w:rFonts w:hint="eastAsia" w:ascii="宋体" w:hAnsi="宋体" w:cs="宋体"/>
                <w:color w:val="auto"/>
                <w:kern w:val="0"/>
                <w:sz w:val="21"/>
                <w:szCs w:val="21"/>
                <w:highlight w:val="none"/>
              </w:rPr>
              <w:t>1.商务条款</w:t>
            </w:r>
          </w:p>
        </w:tc>
        <w:tc>
          <w:tcPr>
            <w:tcW w:w="6445" w:type="dxa"/>
            <w:noWrap/>
            <w:vAlign w:val="center"/>
          </w:tcPr>
          <w:p w14:paraId="773DD216">
            <w:pPr>
              <w:tabs>
                <w:tab w:val="left" w:pos="176"/>
              </w:tabs>
              <w:jc w:val="both"/>
              <w:textAlignment w:val="center"/>
              <w:rPr>
                <w:rFonts w:ascii="宋体" w:hAnsi="宋体" w:cs="宋体"/>
                <w:color w:val="auto"/>
                <w:sz w:val="21"/>
                <w:szCs w:val="21"/>
                <w:highlight w:val="none"/>
              </w:rPr>
            </w:pPr>
            <w:r>
              <w:rPr>
                <w:rFonts w:hint="eastAsia" w:ascii="宋体" w:hAnsi="宋体" w:cs="宋体"/>
                <w:color w:val="auto"/>
                <w:sz w:val="21"/>
                <w:szCs w:val="21"/>
                <w:highlight w:val="none"/>
              </w:rPr>
              <w:t>1.1满足招标文件“第四章采购需求”中“</w:t>
            </w:r>
            <w:r>
              <w:rPr>
                <w:rFonts w:hint="eastAsia" w:ascii="宋体" w:hAnsi="宋体" w:cs="宋体"/>
                <w:b/>
                <w:color w:val="auto"/>
                <w:sz w:val="21"/>
                <w:szCs w:val="21"/>
                <w:highlight w:val="none"/>
              </w:rPr>
              <w:t>商务要求</w:t>
            </w:r>
            <w:r>
              <w:rPr>
                <w:rFonts w:hint="eastAsia" w:ascii="宋体" w:hAnsi="宋体" w:cs="宋体"/>
                <w:color w:val="auto"/>
                <w:sz w:val="21"/>
                <w:szCs w:val="21"/>
                <w:highlight w:val="none"/>
              </w:rPr>
              <w:t>”，</w:t>
            </w:r>
            <w:r>
              <w:rPr>
                <w:rFonts w:hint="eastAsia" w:ascii="宋体" w:hAnsi="宋体" w:cs="宋体"/>
                <w:b/>
                <w:bCs/>
                <w:color w:val="auto"/>
                <w:sz w:val="21"/>
                <w:szCs w:val="21"/>
                <w:highlight w:val="none"/>
              </w:rPr>
              <w:t>有一条不满足（负偏离）的视为无效投标。</w:t>
            </w:r>
          </w:p>
          <w:p w14:paraId="076ADE0B">
            <w:pPr>
              <w:autoSpaceDE w:val="0"/>
              <w:autoSpaceDN w:val="0"/>
              <w:adjustRightInd w:val="0"/>
              <w:textAlignment w:val="center"/>
              <w:rPr>
                <w:rFonts w:ascii="宋体" w:hAnsi="宋体" w:cs="宋体"/>
                <w:b/>
                <w:color w:val="auto"/>
                <w:kern w:val="0"/>
                <w:sz w:val="21"/>
                <w:szCs w:val="21"/>
                <w:highlight w:val="none"/>
              </w:rPr>
            </w:pPr>
            <w:r>
              <w:rPr>
                <w:rFonts w:hint="eastAsia" w:ascii="宋体" w:hAnsi="宋体" w:cs="宋体"/>
                <w:b/>
                <w:color w:val="auto"/>
                <w:sz w:val="21"/>
                <w:szCs w:val="21"/>
                <w:highlight w:val="none"/>
              </w:rPr>
              <w:t>评审依据：商务条款响应/偏离表。</w:t>
            </w:r>
          </w:p>
        </w:tc>
        <w:tc>
          <w:tcPr>
            <w:tcW w:w="913" w:type="dxa"/>
            <w:noWrap/>
            <w:vAlign w:val="center"/>
          </w:tcPr>
          <w:p w14:paraId="3377D89B">
            <w:pPr>
              <w:autoSpaceDE w:val="0"/>
              <w:autoSpaceDN w:val="0"/>
              <w:adjustRightInd w:val="0"/>
              <w:jc w:val="center"/>
              <w:textAlignment w:val="center"/>
              <w:rPr>
                <w:rFonts w:ascii="宋体" w:hAnsi="宋体" w:cs="宋体"/>
                <w:color w:val="auto"/>
                <w:kern w:val="0"/>
                <w:sz w:val="21"/>
                <w:szCs w:val="21"/>
                <w:highlight w:val="none"/>
              </w:rPr>
            </w:pPr>
            <w:r>
              <w:rPr>
                <w:rFonts w:hint="eastAsia" w:ascii="宋体" w:hAnsi="宋体" w:cs="宋体"/>
                <w:color w:val="auto"/>
                <w:kern w:val="0"/>
                <w:sz w:val="21"/>
                <w:szCs w:val="21"/>
                <w:highlight w:val="none"/>
              </w:rPr>
              <w:t>/</w:t>
            </w:r>
          </w:p>
        </w:tc>
      </w:tr>
      <w:tr w14:paraId="2A2C51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1" w:hRule="atLeast"/>
        </w:trPr>
        <w:tc>
          <w:tcPr>
            <w:tcW w:w="1884" w:type="dxa"/>
            <w:noWrap/>
            <w:vAlign w:val="center"/>
          </w:tcPr>
          <w:p w14:paraId="59E97CFB">
            <w:pPr>
              <w:autoSpaceDE w:val="0"/>
              <w:autoSpaceDN w:val="0"/>
              <w:adjustRightInd w:val="0"/>
              <w:jc w:val="center"/>
              <w:textAlignment w:val="center"/>
              <w:rPr>
                <w:rFonts w:ascii="宋体" w:hAnsi="宋体" w:cs="宋体"/>
                <w:color w:val="auto"/>
                <w:kern w:val="0"/>
                <w:sz w:val="21"/>
                <w:szCs w:val="21"/>
                <w:highlight w:val="none"/>
              </w:rPr>
            </w:pPr>
            <w:r>
              <w:rPr>
                <w:rFonts w:hint="eastAsia" w:ascii="宋体" w:hAnsi="宋体" w:cs="宋体"/>
                <w:color w:val="auto"/>
                <w:kern w:val="0"/>
                <w:sz w:val="21"/>
                <w:szCs w:val="21"/>
                <w:highlight w:val="none"/>
              </w:rPr>
              <w:t>2.类似业绩</w:t>
            </w:r>
          </w:p>
        </w:tc>
        <w:tc>
          <w:tcPr>
            <w:tcW w:w="6445" w:type="dxa"/>
            <w:noWrap/>
            <w:vAlign w:val="center"/>
          </w:tcPr>
          <w:p w14:paraId="3064DE39">
            <w:pPr>
              <w:pStyle w:val="35"/>
              <w:rPr>
                <w:rFonts w:ascii="宋体" w:hAnsi="宋体" w:cs="宋体"/>
                <w:color w:val="auto"/>
                <w:sz w:val="21"/>
                <w:szCs w:val="21"/>
                <w:highlight w:val="none"/>
              </w:rPr>
            </w:pPr>
            <w:r>
              <w:rPr>
                <w:rFonts w:hint="eastAsia" w:ascii="宋体" w:hAnsi="宋体" w:cs="宋体"/>
                <w:color w:val="auto"/>
                <w:sz w:val="21"/>
                <w:szCs w:val="21"/>
                <w:highlight w:val="none"/>
              </w:rPr>
              <w:t>2.1投标人提供自2022年1月1日以来（以合同签订日期为准）承担过非住宅物业服务业绩的成功案例，每提供1个得2分，最多得12分。</w:t>
            </w:r>
          </w:p>
          <w:p w14:paraId="6C50656F">
            <w:pPr>
              <w:pStyle w:val="35"/>
              <w:rPr>
                <w:rFonts w:ascii="宋体" w:hAnsi="宋体" w:cs="宋体"/>
                <w:color w:val="auto"/>
                <w:sz w:val="21"/>
                <w:szCs w:val="21"/>
                <w:highlight w:val="none"/>
              </w:rPr>
            </w:pPr>
            <w:r>
              <w:rPr>
                <w:rFonts w:hint="eastAsia" w:ascii="宋体" w:hAnsi="宋体" w:cs="宋体"/>
                <w:color w:val="auto"/>
                <w:sz w:val="21"/>
                <w:szCs w:val="21"/>
                <w:highlight w:val="none"/>
              </w:rPr>
              <w:t>2.2投标人自2022年1月1日以来（以合同签订日期为准）具有餐饮服务</w:t>
            </w:r>
            <w:r>
              <w:rPr>
                <w:rFonts w:hint="eastAsia" w:ascii="宋体" w:hAnsi="宋体" w:cs="宋体"/>
                <w:color w:val="auto"/>
                <w:sz w:val="21"/>
                <w:szCs w:val="21"/>
                <w:highlight w:val="none"/>
                <w:lang w:val="en-US" w:eastAsia="zh-CN"/>
              </w:rPr>
              <w:t>或</w:t>
            </w:r>
            <w:r>
              <w:rPr>
                <w:rFonts w:hint="eastAsia" w:ascii="宋体" w:hAnsi="宋体" w:cs="宋体"/>
                <w:color w:val="auto"/>
                <w:sz w:val="21"/>
                <w:szCs w:val="21"/>
                <w:highlight w:val="none"/>
              </w:rPr>
              <w:t>食堂经营等同类业绩，每提供1个业绩得1分，最多得3分</w:t>
            </w:r>
            <w:r>
              <w:rPr>
                <w:rFonts w:hint="eastAsia" w:ascii="宋体" w:hAnsi="宋体" w:cs="宋体"/>
                <w:color w:val="auto"/>
                <w:sz w:val="21"/>
                <w:szCs w:val="21"/>
                <w:highlight w:val="none"/>
                <w:lang w:eastAsia="zh-CN"/>
              </w:rPr>
              <w:t>。</w:t>
            </w:r>
            <w:r>
              <w:rPr>
                <w:rFonts w:hint="eastAsia" w:ascii="宋体" w:hAnsi="宋体" w:cs="宋体"/>
                <w:color w:val="auto"/>
                <w:sz w:val="21"/>
                <w:szCs w:val="21"/>
                <w:highlight w:val="none"/>
                <w:lang w:val="en-US" w:eastAsia="zh-CN"/>
              </w:rPr>
              <w:t>注：投标人所提供业绩</w:t>
            </w:r>
            <w:r>
              <w:rPr>
                <w:rFonts w:hint="eastAsia" w:ascii="宋体" w:hAnsi="宋体" w:cs="宋体"/>
                <w:color w:val="auto"/>
                <w:sz w:val="21"/>
                <w:szCs w:val="21"/>
                <w:highlight w:val="none"/>
              </w:rPr>
              <w:t>合同中包含食堂</w:t>
            </w:r>
            <w:r>
              <w:rPr>
                <w:rFonts w:hint="eastAsia" w:ascii="宋体" w:hAnsi="宋体" w:cs="宋体"/>
                <w:color w:val="auto"/>
                <w:sz w:val="21"/>
                <w:szCs w:val="21"/>
                <w:highlight w:val="none"/>
                <w:lang w:val="en-US" w:eastAsia="zh-CN"/>
              </w:rPr>
              <w:t>或</w:t>
            </w:r>
            <w:r>
              <w:rPr>
                <w:rFonts w:hint="eastAsia" w:ascii="宋体" w:hAnsi="宋体" w:cs="宋体"/>
                <w:color w:val="auto"/>
                <w:sz w:val="21"/>
                <w:szCs w:val="21"/>
                <w:highlight w:val="none"/>
              </w:rPr>
              <w:t>餐饮服务范围</w:t>
            </w:r>
            <w:r>
              <w:rPr>
                <w:rFonts w:hint="eastAsia" w:ascii="宋体" w:hAnsi="宋体" w:cs="宋体"/>
                <w:color w:val="auto"/>
                <w:sz w:val="21"/>
                <w:szCs w:val="21"/>
                <w:highlight w:val="none"/>
                <w:lang w:val="en-US" w:eastAsia="zh-CN"/>
              </w:rPr>
              <w:t>即可</w:t>
            </w:r>
            <w:r>
              <w:rPr>
                <w:rFonts w:hint="eastAsia" w:ascii="宋体" w:hAnsi="宋体" w:cs="宋体"/>
                <w:color w:val="auto"/>
                <w:sz w:val="21"/>
                <w:szCs w:val="21"/>
                <w:highlight w:val="none"/>
              </w:rPr>
              <w:t>。</w:t>
            </w:r>
          </w:p>
          <w:p w14:paraId="3C2BD193">
            <w:pPr>
              <w:widowControl/>
              <w:rPr>
                <w:rFonts w:ascii="宋体" w:hAnsi="宋体" w:cs="宋体"/>
                <w:color w:val="auto"/>
                <w:sz w:val="21"/>
                <w:szCs w:val="21"/>
                <w:highlight w:val="none"/>
              </w:rPr>
            </w:pPr>
            <w:r>
              <w:rPr>
                <w:rFonts w:hint="eastAsia" w:ascii="宋体" w:hAnsi="宋体" w:cs="宋体"/>
                <w:b/>
                <w:bCs/>
                <w:color w:val="auto"/>
                <w:sz w:val="21"/>
                <w:szCs w:val="21"/>
                <w:highlight w:val="none"/>
              </w:rPr>
              <w:t>评审依据：提供类似业绩合同、中标通知书复印件并加盖公章，所有材料原件现场核查，否则不得分。</w:t>
            </w:r>
          </w:p>
        </w:tc>
        <w:tc>
          <w:tcPr>
            <w:tcW w:w="913" w:type="dxa"/>
            <w:noWrap/>
            <w:vAlign w:val="center"/>
          </w:tcPr>
          <w:p w14:paraId="3ECEC4D0">
            <w:pPr>
              <w:autoSpaceDE w:val="0"/>
              <w:autoSpaceDN w:val="0"/>
              <w:adjustRightInd w:val="0"/>
              <w:jc w:val="center"/>
              <w:textAlignment w:val="center"/>
              <w:rPr>
                <w:rFonts w:ascii="宋体" w:hAnsi="宋体" w:cs="宋体"/>
                <w:color w:val="auto"/>
                <w:kern w:val="0"/>
                <w:sz w:val="21"/>
                <w:szCs w:val="21"/>
                <w:highlight w:val="none"/>
              </w:rPr>
            </w:pPr>
            <w:r>
              <w:rPr>
                <w:rFonts w:hint="eastAsia" w:ascii="宋体" w:hAnsi="宋体" w:cs="宋体"/>
                <w:color w:val="auto"/>
                <w:kern w:val="0"/>
                <w:sz w:val="21"/>
                <w:szCs w:val="21"/>
                <w:highlight w:val="none"/>
              </w:rPr>
              <w:t>15分</w:t>
            </w:r>
          </w:p>
        </w:tc>
      </w:tr>
      <w:tr w14:paraId="157CA0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1" w:hRule="atLeast"/>
        </w:trPr>
        <w:tc>
          <w:tcPr>
            <w:tcW w:w="1884" w:type="dxa"/>
            <w:noWrap/>
            <w:vAlign w:val="center"/>
          </w:tcPr>
          <w:p w14:paraId="33B486FB">
            <w:pPr>
              <w:autoSpaceDE w:val="0"/>
              <w:autoSpaceDN w:val="0"/>
              <w:adjustRightInd w:val="0"/>
              <w:jc w:val="center"/>
              <w:textAlignment w:val="center"/>
              <w:rPr>
                <w:rFonts w:ascii="宋体" w:hAnsi="宋体" w:cs="宋体"/>
                <w:color w:val="auto"/>
                <w:kern w:val="0"/>
                <w:sz w:val="21"/>
                <w:szCs w:val="21"/>
                <w:highlight w:val="none"/>
              </w:rPr>
            </w:pPr>
            <w:r>
              <w:rPr>
                <w:rFonts w:hint="eastAsia" w:ascii="宋体" w:hAnsi="宋体" w:cs="宋体"/>
                <w:color w:val="auto"/>
                <w:kern w:val="0"/>
                <w:sz w:val="21"/>
                <w:szCs w:val="21"/>
                <w:highlight w:val="none"/>
              </w:rPr>
              <w:t>3.企业实力</w:t>
            </w:r>
          </w:p>
        </w:tc>
        <w:tc>
          <w:tcPr>
            <w:tcW w:w="6445" w:type="dxa"/>
            <w:noWrap/>
            <w:vAlign w:val="center"/>
          </w:tcPr>
          <w:p w14:paraId="1495C3A5">
            <w:pPr>
              <w:widowControl/>
              <w:rPr>
                <w:rFonts w:ascii="宋体" w:hAnsi="宋体" w:cs="宋体"/>
                <w:b/>
                <w:color w:val="auto"/>
                <w:sz w:val="21"/>
                <w:szCs w:val="21"/>
                <w:highlight w:val="none"/>
              </w:rPr>
            </w:pPr>
            <w:r>
              <w:rPr>
                <w:rFonts w:hint="eastAsia" w:ascii="宋体" w:hAnsi="宋体" w:cs="宋体"/>
                <w:bCs/>
                <w:color w:val="auto"/>
                <w:sz w:val="21"/>
                <w:szCs w:val="21"/>
                <w:highlight w:val="none"/>
              </w:rPr>
              <w:t>3.1投标人具有质量管理体系认证证书、环境管理体系认证证书、职业健康安全管理体系认证证书，每提供一份得1分，满分得3分。</w:t>
            </w:r>
          </w:p>
          <w:p w14:paraId="77FE3F8C">
            <w:pPr>
              <w:widowControl/>
              <w:rPr>
                <w:rFonts w:ascii="宋体" w:hAnsi="宋体" w:cs="宋体"/>
                <w:b/>
                <w:color w:val="auto"/>
                <w:sz w:val="21"/>
                <w:szCs w:val="21"/>
                <w:highlight w:val="none"/>
              </w:rPr>
            </w:pPr>
            <w:r>
              <w:rPr>
                <w:rFonts w:hint="eastAsia" w:ascii="宋体" w:hAnsi="宋体" w:cs="宋体"/>
                <w:b/>
                <w:color w:val="auto"/>
                <w:sz w:val="21"/>
                <w:szCs w:val="21"/>
                <w:highlight w:val="none"/>
              </w:rPr>
              <w:t>评审依据：投标文件中提供以上证书复印件佐证，原件评审现场核查，未提供或不符合要求的不得分。</w:t>
            </w:r>
          </w:p>
        </w:tc>
        <w:tc>
          <w:tcPr>
            <w:tcW w:w="913" w:type="dxa"/>
            <w:noWrap/>
            <w:vAlign w:val="center"/>
          </w:tcPr>
          <w:p w14:paraId="57F5C509">
            <w:pPr>
              <w:autoSpaceDE w:val="0"/>
              <w:autoSpaceDN w:val="0"/>
              <w:adjustRightInd w:val="0"/>
              <w:jc w:val="center"/>
              <w:textAlignment w:val="center"/>
              <w:rPr>
                <w:rFonts w:ascii="宋体" w:hAnsi="宋体" w:cs="宋体"/>
                <w:color w:val="auto"/>
                <w:kern w:val="0"/>
                <w:sz w:val="21"/>
                <w:szCs w:val="21"/>
                <w:highlight w:val="none"/>
              </w:rPr>
            </w:pPr>
            <w:r>
              <w:rPr>
                <w:rFonts w:hint="eastAsia" w:ascii="宋体" w:hAnsi="宋体" w:cs="宋体"/>
                <w:color w:val="auto"/>
                <w:kern w:val="0"/>
                <w:sz w:val="21"/>
                <w:szCs w:val="21"/>
                <w:highlight w:val="none"/>
              </w:rPr>
              <w:t>3分</w:t>
            </w:r>
          </w:p>
        </w:tc>
      </w:tr>
      <w:tr w14:paraId="1CEF32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1" w:hRule="atLeast"/>
        </w:trPr>
        <w:tc>
          <w:tcPr>
            <w:tcW w:w="1884" w:type="dxa"/>
            <w:vMerge w:val="restart"/>
            <w:noWrap/>
            <w:vAlign w:val="center"/>
          </w:tcPr>
          <w:p w14:paraId="759E3534">
            <w:pPr>
              <w:autoSpaceDE w:val="0"/>
              <w:autoSpaceDN w:val="0"/>
              <w:adjustRightInd w:val="0"/>
              <w:jc w:val="center"/>
              <w:textAlignment w:val="center"/>
              <w:rPr>
                <w:rFonts w:ascii="宋体" w:hAnsi="宋体" w:cs="宋体"/>
                <w:color w:val="auto"/>
                <w:kern w:val="0"/>
                <w:sz w:val="21"/>
                <w:szCs w:val="21"/>
                <w:highlight w:val="none"/>
              </w:rPr>
            </w:pPr>
            <w:r>
              <w:rPr>
                <w:rFonts w:hint="eastAsia" w:ascii="宋体" w:hAnsi="宋体" w:cs="宋体"/>
                <w:color w:val="auto"/>
                <w:kern w:val="0"/>
                <w:sz w:val="21"/>
                <w:szCs w:val="21"/>
                <w:highlight w:val="none"/>
              </w:rPr>
              <w:t>4.拟投入的设施设备情况</w:t>
            </w:r>
          </w:p>
        </w:tc>
        <w:tc>
          <w:tcPr>
            <w:tcW w:w="6445" w:type="dxa"/>
            <w:noWrap/>
            <w:vAlign w:val="center"/>
          </w:tcPr>
          <w:p w14:paraId="2E0D719B">
            <w:pPr>
              <w:widowControl/>
              <w:rPr>
                <w:rFonts w:ascii="宋体" w:hAnsi="宋体" w:cs="宋体"/>
                <w:bCs/>
                <w:color w:val="auto"/>
                <w:sz w:val="21"/>
                <w:szCs w:val="21"/>
                <w:highlight w:val="none"/>
              </w:rPr>
            </w:pPr>
            <w:r>
              <w:rPr>
                <w:rFonts w:hint="eastAsia" w:ascii="宋体" w:hAnsi="宋体" w:cs="宋体"/>
                <w:bCs/>
                <w:color w:val="auto"/>
                <w:sz w:val="21"/>
                <w:szCs w:val="21"/>
                <w:highlight w:val="none"/>
              </w:rPr>
              <w:t>4.1投标人能够利用智能化物业管理信息化平台提升服务品质和效率等方面管理，信息化平台管理至少包含</w:t>
            </w:r>
            <w:r>
              <w:rPr>
                <w:rFonts w:hint="eastAsia" w:ascii="宋体" w:hAnsi="宋体" w:cs="宋体"/>
                <w:bCs/>
                <w:color w:val="auto"/>
                <w:sz w:val="21"/>
                <w:szCs w:val="21"/>
                <w:highlight w:val="none"/>
                <w:lang w:val="en-US" w:eastAsia="zh-CN"/>
              </w:rPr>
              <w:t>以下功能</w:t>
            </w:r>
            <w:r>
              <w:rPr>
                <w:rFonts w:hint="eastAsia" w:ascii="宋体" w:hAnsi="宋体" w:cs="宋体"/>
                <w:bCs/>
                <w:color w:val="auto"/>
                <w:sz w:val="21"/>
                <w:szCs w:val="21"/>
                <w:highlight w:val="none"/>
              </w:rPr>
              <w:t>：安保巡检电子化管理类、危险物品智能检测类、智能物业综合管理类、物业节能类，每满足对应项得</w:t>
            </w:r>
            <w:r>
              <w:rPr>
                <w:rFonts w:ascii="宋体" w:hAnsi="宋体" w:cs="宋体"/>
                <w:bCs/>
                <w:color w:val="auto"/>
                <w:sz w:val="21"/>
                <w:szCs w:val="21"/>
                <w:highlight w:val="none"/>
              </w:rPr>
              <w:t>1分，最高得4分。</w:t>
            </w:r>
          </w:p>
          <w:p w14:paraId="25F0C3B5">
            <w:pPr>
              <w:widowControl/>
              <w:rPr>
                <w:rFonts w:ascii="宋体" w:hAnsi="宋体" w:cs="宋体"/>
                <w:b/>
                <w:color w:val="auto"/>
                <w:sz w:val="21"/>
                <w:szCs w:val="21"/>
                <w:highlight w:val="none"/>
              </w:rPr>
            </w:pPr>
            <w:r>
              <w:rPr>
                <w:rFonts w:hint="eastAsia" w:ascii="宋体" w:hAnsi="宋体" w:cs="宋体"/>
                <w:b/>
                <w:bCs/>
                <w:color w:val="auto"/>
                <w:sz w:val="21"/>
                <w:szCs w:val="21"/>
                <w:highlight w:val="none"/>
              </w:rPr>
              <w:t>评审依据：提供平台界面功能截图。</w:t>
            </w:r>
          </w:p>
        </w:tc>
        <w:tc>
          <w:tcPr>
            <w:tcW w:w="913" w:type="dxa"/>
            <w:noWrap/>
            <w:vAlign w:val="center"/>
          </w:tcPr>
          <w:p w14:paraId="19708AB6">
            <w:pPr>
              <w:autoSpaceDE w:val="0"/>
              <w:autoSpaceDN w:val="0"/>
              <w:adjustRightInd w:val="0"/>
              <w:jc w:val="center"/>
              <w:textAlignment w:val="center"/>
              <w:rPr>
                <w:rFonts w:ascii="宋体" w:hAnsi="宋体" w:cs="宋体"/>
                <w:color w:val="auto"/>
                <w:kern w:val="0"/>
                <w:sz w:val="21"/>
                <w:szCs w:val="21"/>
                <w:highlight w:val="none"/>
              </w:rPr>
            </w:pPr>
            <w:r>
              <w:rPr>
                <w:rFonts w:hint="eastAsia" w:ascii="宋体" w:hAnsi="宋体" w:cs="宋体"/>
                <w:color w:val="auto"/>
                <w:kern w:val="0"/>
                <w:sz w:val="21"/>
                <w:szCs w:val="21"/>
                <w:highlight w:val="none"/>
              </w:rPr>
              <w:t>4分</w:t>
            </w:r>
          </w:p>
        </w:tc>
      </w:tr>
      <w:tr w14:paraId="212532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1" w:hRule="atLeast"/>
        </w:trPr>
        <w:tc>
          <w:tcPr>
            <w:tcW w:w="1884" w:type="dxa"/>
            <w:vMerge w:val="continue"/>
            <w:noWrap/>
            <w:vAlign w:val="center"/>
          </w:tcPr>
          <w:p w14:paraId="1EC623A3">
            <w:pPr>
              <w:autoSpaceDE w:val="0"/>
              <w:autoSpaceDN w:val="0"/>
              <w:adjustRightInd w:val="0"/>
              <w:jc w:val="center"/>
              <w:textAlignment w:val="center"/>
              <w:rPr>
                <w:rFonts w:ascii="宋体" w:hAnsi="宋体" w:cs="宋体"/>
                <w:color w:val="auto"/>
                <w:kern w:val="0"/>
                <w:sz w:val="21"/>
                <w:szCs w:val="21"/>
                <w:highlight w:val="none"/>
              </w:rPr>
            </w:pPr>
          </w:p>
        </w:tc>
        <w:tc>
          <w:tcPr>
            <w:tcW w:w="6445" w:type="dxa"/>
            <w:noWrap/>
            <w:vAlign w:val="center"/>
          </w:tcPr>
          <w:p w14:paraId="2DB8682B">
            <w:pPr>
              <w:pStyle w:val="4"/>
              <w:jc w:val="left"/>
              <w:rPr>
                <w:rFonts w:cs="宋体"/>
                <w:b w:val="0"/>
                <w:color w:val="auto"/>
                <w:sz w:val="21"/>
                <w:szCs w:val="21"/>
                <w:highlight w:val="none"/>
              </w:rPr>
            </w:pPr>
            <w:r>
              <w:rPr>
                <w:rFonts w:hint="eastAsia" w:cs="宋体"/>
                <w:b w:val="0"/>
                <w:color w:val="auto"/>
                <w:sz w:val="21"/>
                <w:szCs w:val="21"/>
                <w:highlight w:val="none"/>
              </w:rPr>
              <w:t xml:space="preserve">4.2 </w:t>
            </w:r>
            <w:r>
              <w:rPr>
                <w:rFonts w:hint="eastAsia" w:cs="宋体"/>
                <w:b w:val="0"/>
                <w:bCs w:val="0"/>
                <w:color w:val="auto"/>
                <w:sz w:val="21"/>
                <w:szCs w:val="21"/>
                <w:highlight w:val="none"/>
              </w:rPr>
              <w:t>物业管理信息化平台具备软件著作权的得1分。</w:t>
            </w:r>
          </w:p>
          <w:p w14:paraId="333C116B">
            <w:pPr>
              <w:widowControl/>
              <w:rPr>
                <w:rFonts w:ascii="宋体" w:hAnsi="宋体" w:cs="宋体"/>
                <w:b/>
                <w:color w:val="auto"/>
                <w:sz w:val="21"/>
                <w:szCs w:val="21"/>
                <w:highlight w:val="none"/>
              </w:rPr>
            </w:pPr>
            <w:r>
              <w:rPr>
                <w:rFonts w:hint="eastAsia" w:ascii="宋体" w:hAnsi="宋体" w:cs="宋体"/>
                <w:b/>
                <w:bCs/>
                <w:color w:val="auto"/>
                <w:sz w:val="21"/>
                <w:szCs w:val="21"/>
                <w:highlight w:val="none"/>
              </w:rPr>
              <w:t>评审依据：提供自主研发的软件著作权证书原件扫描件或相关购买证明，未提供、提供不全、提供不满足要求的，相应项不得分。</w:t>
            </w:r>
          </w:p>
        </w:tc>
        <w:tc>
          <w:tcPr>
            <w:tcW w:w="913" w:type="dxa"/>
            <w:noWrap/>
            <w:vAlign w:val="center"/>
          </w:tcPr>
          <w:p w14:paraId="1FD4DAA3">
            <w:pPr>
              <w:autoSpaceDE w:val="0"/>
              <w:autoSpaceDN w:val="0"/>
              <w:adjustRightInd w:val="0"/>
              <w:jc w:val="center"/>
              <w:textAlignment w:val="center"/>
              <w:rPr>
                <w:rFonts w:ascii="宋体" w:hAnsi="宋体" w:cs="宋体"/>
                <w:color w:val="auto"/>
                <w:kern w:val="0"/>
                <w:sz w:val="21"/>
                <w:szCs w:val="21"/>
                <w:highlight w:val="none"/>
              </w:rPr>
            </w:pPr>
            <w:r>
              <w:rPr>
                <w:rFonts w:hint="eastAsia" w:ascii="宋体" w:hAnsi="宋体" w:cs="宋体"/>
                <w:color w:val="auto"/>
                <w:kern w:val="0"/>
                <w:sz w:val="21"/>
                <w:szCs w:val="21"/>
                <w:highlight w:val="none"/>
              </w:rPr>
              <w:t>1分</w:t>
            </w:r>
          </w:p>
        </w:tc>
      </w:tr>
      <w:tr w14:paraId="32FA42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1" w:hRule="atLeast"/>
        </w:trPr>
        <w:tc>
          <w:tcPr>
            <w:tcW w:w="1884" w:type="dxa"/>
            <w:vMerge w:val="continue"/>
            <w:noWrap/>
            <w:vAlign w:val="center"/>
          </w:tcPr>
          <w:p w14:paraId="79912F18">
            <w:pPr>
              <w:autoSpaceDE w:val="0"/>
              <w:autoSpaceDN w:val="0"/>
              <w:adjustRightInd w:val="0"/>
              <w:jc w:val="center"/>
              <w:textAlignment w:val="center"/>
              <w:rPr>
                <w:rFonts w:ascii="宋体" w:hAnsi="宋体" w:cs="宋体"/>
                <w:color w:val="auto"/>
                <w:kern w:val="0"/>
                <w:sz w:val="21"/>
                <w:szCs w:val="21"/>
                <w:highlight w:val="none"/>
              </w:rPr>
            </w:pPr>
          </w:p>
        </w:tc>
        <w:tc>
          <w:tcPr>
            <w:tcW w:w="6445" w:type="dxa"/>
            <w:noWrap/>
            <w:vAlign w:val="center"/>
          </w:tcPr>
          <w:p w14:paraId="15A6455F">
            <w:pPr>
              <w:widowControl/>
              <w:rPr>
                <w:rFonts w:ascii="宋体" w:hAnsi="宋体" w:cs="宋体"/>
                <w:b w:val="0"/>
                <w:bCs/>
                <w:color w:val="auto"/>
                <w:sz w:val="21"/>
                <w:szCs w:val="21"/>
                <w:highlight w:val="none"/>
              </w:rPr>
            </w:pPr>
            <w:r>
              <w:rPr>
                <w:rFonts w:ascii="宋体" w:hAnsi="宋体" w:cs="宋体"/>
                <w:b w:val="0"/>
                <w:bCs/>
                <w:color w:val="auto"/>
                <w:sz w:val="21"/>
                <w:szCs w:val="21"/>
                <w:highlight w:val="none"/>
              </w:rPr>
              <w:t>4.3</w:t>
            </w:r>
            <w:r>
              <w:rPr>
                <w:rFonts w:hint="eastAsia" w:ascii="宋体" w:hAnsi="宋体" w:cs="宋体"/>
                <w:b w:val="0"/>
                <w:bCs/>
                <w:color w:val="auto"/>
                <w:sz w:val="21"/>
                <w:szCs w:val="21"/>
                <w:highlight w:val="none"/>
              </w:rPr>
              <w:t>投标人</w:t>
            </w:r>
            <w:r>
              <w:rPr>
                <w:rFonts w:hint="eastAsia" w:ascii="宋体" w:hAnsi="宋体" w:cs="宋体"/>
                <w:bCs/>
                <w:color w:val="auto"/>
                <w:sz w:val="21"/>
                <w:szCs w:val="21"/>
                <w:highlight w:val="none"/>
              </w:rPr>
              <w:t>具有</w:t>
            </w:r>
            <w:r>
              <w:rPr>
                <w:rFonts w:hint="eastAsia" w:ascii="宋体" w:hAnsi="宋体" w:cs="宋体"/>
                <w:b w:val="0"/>
                <w:bCs/>
                <w:color w:val="auto"/>
                <w:sz w:val="21"/>
                <w:szCs w:val="21"/>
                <w:highlight w:val="none"/>
              </w:rPr>
              <w:t>洗地机、大理石镜面养护设备，每提供</w:t>
            </w:r>
            <w:r>
              <w:rPr>
                <w:rFonts w:ascii="宋体" w:hAnsi="宋体" w:cs="宋体"/>
                <w:b w:val="0"/>
                <w:bCs/>
                <w:color w:val="auto"/>
                <w:sz w:val="21"/>
                <w:szCs w:val="21"/>
                <w:highlight w:val="none"/>
              </w:rPr>
              <w:t>1</w:t>
            </w:r>
            <w:r>
              <w:rPr>
                <w:rFonts w:hint="eastAsia" w:ascii="宋体" w:hAnsi="宋体" w:cs="宋体"/>
                <w:b w:val="0"/>
                <w:bCs/>
                <w:color w:val="auto"/>
                <w:sz w:val="21"/>
                <w:szCs w:val="21"/>
                <w:highlight w:val="none"/>
                <w:lang w:val="en-US" w:eastAsia="zh-CN"/>
              </w:rPr>
              <w:t>类</w:t>
            </w:r>
            <w:r>
              <w:rPr>
                <w:rFonts w:hint="eastAsia" w:ascii="宋体" w:hAnsi="宋体" w:cs="宋体"/>
                <w:b w:val="0"/>
                <w:bCs/>
                <w:color w:val="auto"/>
                <w:sz w:val="21"/>
                <w:szCs w:val="21"/>
                <w:highlight w:val="none"/>
              </w:rPr>
              <w:t>得</w:t>
            </w:r>
            <w:r>
              <w:rPr>
                <w:rFonts w:hint="eastAsia" w:ascii="宋体" w:hAnsi="宋体" w:cs="宋体"/>
                <w:bCs/>
                <w:color w:val="auto"/>
                <w:sz w:val="21"/>
                <w:szCs w:val="21"/>
                <w:highlight w:val="none"/>
              </w:rPr>
              <w:t>1</w:t>
            </w:r>
            <w:r>
              <w:rPr>
                <w:rFonts w:hint="eastAsia" w:ascii="宋体" w:hAnsi="宋体" w:cs="宋体"/>
                <w:b w:val="0"/>
                <w:bCs/>
                <w:color w:val="auto"/>
                <w:sz w:val="21"/>
                <w:szCs w:val="21"/>
                <w:highlight w:val="none"/>
              </w:rPr>
              <w:t>分，满分</w:t>
            </w:r>
            <w:r>
              <w:rPr>
                <w:rFonts w:ascii="宋体" w:hAnsi="宋体" w:cs="宋体"/>
                <w:b w:val="0"/>
                <w:bCs/>
                <w:color w:val="auto"/>
                <w:sz w:val="21"/>
                <w:szCs w:val="21"/>
                <w:highlight w:val="none"/>
              </w:rPr>
              <w:t>2</w:t>
            </w:r>
            <w:r>
              <w:rPr>
                <w:rFonts w:hint="eastAsia" w:ascii="宋体" w:hAnsi="宋体" w:cs="宋体"/>
                <w:b w:val="0"/>
                <w:bCs/>
                <w:color w:val="auto"/>
                <w:sz w:val="21"/>
                <w:szCs w:val="21"/>
                <w:highlight w:val="none"/>
              </w:rPr>
              <w:t>分。</w:t>
            </w:r>
          </w:p>
          <w:p w14:paraId="6F1814FD">
            <w:pPr>
              <w:pStyle w:val="35"/>
              <w:rPr>
                <w:color w:val="auto"/>
                <w:highlight w:val="none"/>
              </w:rPr>
            </w:pPr>
            <w:r>
              <w:rPr>
                <w:rFonts w:hint="eastAsia" w:ascii="宋体" w:hAnsi="宋体" w:cs="宋体"/>
                <w:b/>
                <w:bCs/>
                <w:color w:val="auto"/>
                <w:sz w:val="21"/>
                <w:szCs w:val="21"/>
                <w:highlight w:val="none"/>
              </w:rPr>
              <w:t>评审依据：提供设备购置发票原件扫描件，未提供、提供不全、提供不满足要求的，相应项不得分。</w:t>
            </w:r>
          </w:p>
        </w:tc>
        <w:tc>
          <w:tcPr>
            <w:tcW w:w="913" w:type="dxa"/>
            <w:noWrap/>
            <w:vAlign w:val="center"/>
          </w:tcPr>
          <w:p w14:paraId="3101A213">
            <w:pPr>
              <w:autoSpaceDE w:val="0"/>
              <w:autoSpaceDN w:val="0"/>
              <w:adjustRightInd w:val="0"/>
              <w:jc w:val="center"/>
              <w:textAlignment w:val="center"/>
              <w:rPr>
                <w:rFonts w:ascii="宋体" w:hAnsi="宋体" w:cs="宋体"/>
                <w:color w:val="auto"/>
                <w:kern w:val="0"/>
                <w:sz w:val="21"/>
                <w:szCs w:val="21"/>
                <w:highlight w:val="none"/>
              </w:rPr>
            </w:pPr>
            <w:r>
              <w:rPr>
                <w:rFonts w:hint="eastAsia" w:ascii="宋体" w:hAnsi="宋体" w:cs="宋体"/>
                <w:color w:val="auto"/>
                <w:kern w:val="0"/>
                <w:sz w:val="21"/>
                <w:szCs w:val="21"/>
                <w:highlight w:val="none"/>
              </w:rPr>
              <w:t>2分</w:t>
            </w:r>
          </w:p>
        </w:tc>
      </w:tr>
      <w:tr w14:paraId="3CA922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1" w:hRule="atLeast"/>
        </w:trPr>
        <w:tc>
          <w:tcPr>
            <w:tcW w:w="8329" w:type="dxa"/>
            <w:gridSpan w:val="2"/>
            <w:noWrap/>
            <w:vAlign w:val="center"/>
          </w:tcPr>
          <w:p w14:paraId="33ACCC42">
            <w:pPr>
              <w:widowControl/>
              <w:rPr>
                <w:rFonts w:ascii="宋体" w:hAnsi="宋体" w:cs="宋体"/>
                <w:b/>
                <w:bCs/>
                <w:color w:val="auto"/>
                <w:sz w:val="21"/>
                <w:szCs w:val="21"/>
                <w:highlight w:val="none"/>
              </w:rPr>
            </w:pPr>
            <w:r>
              <w:rPr>
                <w:rFonts w:hint="eastAsia" w:ascii="宋体" w:hAnsi="宋体" w:cs="宋体"/>
                <w:b/>
                <w:bCs/>
                <w:color w:val="auto"/>
                <w:sz w:val="21"/>
                <w:szCs w:val="21"/>
                <w:highlight w:val="none"/>
              </w:rPr>
              <w:t>注：请各位投标人列出人员名单及岗位名称汇总表，如未提供，所造成的损失由投标人自行承担。</w:t>
            </w:r>
          </w:p>
        </w:tc>
        <w:tc>
          <w:tcPr>
            <w:tcW w:w="913" w:type="dxa"/>
            <w:noWrap/>
            <w:vAlign w:val="center"/>
          </w:tcPr>
          <w:p w14:paraId="6EB5251E">
            <w:pPr>
              <w:autoSpaceDE w:val="0"/>
              <w:autoSpaceDN w:val="0"/>
              <w:adjustRightInd w:val="0"/>
              <w:jc w:val="center"/>
              <w:textAlignment w:val="center"/>
              <w:rPr>
                <w:rFonts w:ascii="宋体" w:hAnsi="宋体" w:cs="宋体"/>
                <w:color w:val="auto"/>
                <w:kern w:val="0"/>
                <w:sz w:val="21"/>
                <w:szCs w:val="21"/>
                <w:highlight w:val="none"/>
              </w:rPr>
            </w:pPr>
          </w:p>
        </w:tc>
      </w:tr>
    </w:tbl>
    <w:p w14:paraId="1E416EA9">
      <w:pPr>
        <w:snapToGrid w:val="0"/>
        <w:spacing w:line="360" w:lineRule="auto"/>
        <w:ind w:firstLine="465"/>
        <w:jc w:val="left"/>
        <w:rPr>
          <w:rFonts w:ascii="宋体" w:hAnsi="宋体"/>
          <w:b/>
          <w:color w:val="auto"/>
          <w:sz w:val="21"/>
          <w:szCs w:val="21"/>
          <w:highlight w:val="none"/>
        </w:rPr>
      </w:pPr>
      <w:r>
        <w:rPr>
          <w:bCs/>
          <w:color w:val="auto"/>
          <w:szCs w:val="24"/>
          <w:highlight w:val="none"/>
        </w:rPr>
        <w:t>说明：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p w14:paraId="05FBC4CE">
      <w:pPr>
        <w:spacing w:line="240" w:lineRule="auto"/>
        <w:jc w:val="both"/>
        <w:rPr>
          <w:rFonts w:ascii="宋体" w:hAnsi="宋体"/>
          <w:b/>
          <w:color w:val="auto"/>
          <w:sz w:val="21"/>
          <w:szCs w:val="21"/>
          <w:highlight w:val="none"/>
        </w:rPr>
      </w:pPr>
      <w:r>
        <w:rPr>
          <w:rFonts w:hint="eastAsia" w:ascii="宋体" w:hAnsi="宋体"/>
          <w:b/>
          <w:color w:val="auto"/>
          <w:sz w:val="21"/>
          <w:szCs w:val="21"/>
          <w:highlight w:val="none"/>
        </w:rPr>
        <w:t>注（1）：</w:t>
      </w:r>
    </w:p>
    <w:p w14:paraId="11A4BBA6">
      <w:pPr>
        <w:spacing w:line="240" w:lineRule="auto"/>
        <w:jc w:val="both"/>
        <w:rPr>
          <w:rFonts w:ascii="宋体" w:hAnsi="宋体"/>
          <w:b/>
          <w:color w:val="auto"/>
          <w:sz w:val="21"/>
          <w:szCs w:val="21"/>
          <w:highlight w:val="none"/>
        </w:rPr>
      </w:pPr>
      <w:r>
        <w:rPr>
          <w:rFonts w:hint="eastAsia" w:ascii="宋体" w:hAnsi="宋体"/>
          <w:b/>
          <w:color w:val="auto"/>
          <w:sz w:val="21"/>
          <w:szCs w:val="21"/>
          <w:highlight w:val="none"/>
        </w:rPr>
        <w:t>（1）根据《政府采购促进中小企业发展管理办法》（财库﹝2020﹞46 号）的规定，对满足价格扣除条件且在投标文件中提交了《中小企业声明函》的供应商，其投标报价中由小型和微型企业制造的产品、提供的服务的报价扣除10%后参与评审。</w:t>
      </w:r>
    </w:p>
    <w:p w14:paraId="385D4354">
      <w:pPr>
        <w:spacing w:line="240" w:lineRule="auto"/>
        <w:jc w:val="both"/>
        <w:rPr>
          <w:rFonts w:ascii="宋体" w:hAnsi="宋体"/>
          <w:b/>
          <w:color w:val="auto"/>
          <w:sz w:val="21"/>
          <w:szCs w:val="21"/>
          <w:highlight w:val="none"/>
        </w:rPr>
      </w:pPr>
      <w:r>
        <w:rPr>
          <w:rFonts w:hint="eastAsia" w:ascii="宋体" w:hAnsi="宋体"/>
          <w:b/>
          <w:color w:val="auto"/>
          <w:sz w:val="21"/>
          <w:szCs w:val="21"/>
          <w:highlight w:val="none"/>
        </w:rPr>
        <w:t>监狱企业提供了由省级以上监狱管理局、戒毒管理局(含新疆生产建设兵团)出具的属于监狱企业的证明文件的，视同小型和微型企业。</w:t>
      </w:r>
    </w:p>
    <w:p w14:paraId="5B7F9DE4">
      <w:pPr>
        <w:spacing w:line="240" w:lineRule="auto"/>
        <w:jc w:val="both"/>
        <w:rPr>
          <w:rFonts w:ascii="宋体" w:hAnsi="宋体"/>
          <w:b/>
          <w:color w:val="auto"/>
          <w:sz w:val="21"/>
          <w:szCs w:val="21"/>
          <w:highlight w:val="none"/>
        </w:rPr>
      </w:pPr>
      <w:r>
        <w:rPr>
          <w:rFonts w:ascii="宋体" w:hAnsi="宋体"/>
          <w:b/>
          <w:color w:val="auto"/>
          <w:sz w:val="21"/>
          <w:szCs w:val="21"/>
          <w:highlight w:val="none"/>
        </w:rPr>
        <w:t>残疾人福利性单位</w:t>
      </w:r>
      <w:r>
        <w:rPr>
          <w:rFonts w:hint="eastAsia" w:ascii="宋体" w:hAnsi="宋体"/>
          <w:b/>
          <w:color w:val="auto"/>
          <w:sz w:val="21"/>
          <w:szCs w:val="21"/>
          <w:highlight w:val="none"/>
        </w:rPr>
        <w:t>提供了</w:t>
      </w:r>
      <w:r>
        <w:rPr>
          <w:rFonts w:ascii="宋体" w:hAnsi="宋体"/>
          <w:b/>
          <w:color w:val="auto"/>
          <w:sz w:val="21"/>
          <w:szCs w:val="21"/>
          <w:highlight w:val="none"/>
        </w:rPr>
        <w:t>《残疾人福利性单位声明函》</w:t>
      </w:r>
      <w:r>
        <w:rPr>
          <w:rFonts w:hint="eastAsia" w:ascii="宋体" w:hAnsi="宋体"/>
          <w:b/>
          <w:color w:val="auto"/>
          <w:sz w:val="21"/>
          <w:szCs w:val="21"/>
          <w:highlight w:val="none"/>
        </w:rPr>
        <w:t>，</w:t>
      </w:r>
      <w:r>
        <w:rPr>
          <w:rFonts w:ascii="宋体" w:hAnsi="宋体"/>
          <w:b/>
          <w:color w:val="auto"/>
          <w:sz w:val="21"/>
          <w:szCs w:val="21"/>
          <w:highlight w:val="none"/>
        </w:rPr>
        <w:t>视同小型、微型企业</w:t>
      </w:r>
      <w:r>
        <w:rPr>
          <w:rFonts w:hint="eastAsia" w:ascii="宋体" w:hAnsi="宋体"/>
          <w:b/>
          <w:color w:val="auto"/>
          <w:sz w:val="21"/>
          <w:szCs w:val="21"/>
          <w:highlight w:val="none"/>
        </w:rPr>
        <w:t>。</w:t>
      </w:r>
      <w:r>
        <w:rPr>
          <w:rFonts w:ascii="宋体" w:hAnsi="宋体"/>
          <w:b/>
          <w:color w:val="auto"/>
          <w:sz w:val="21"/>
          <w:szCs w:val="21"/>
          <w:highlight w:val="none"/>
        </w:rPr>
        <w:t>残疾人福利性单位属于小型、微型企业的，不重复享受政策</w:t>
      </w:r>
      <w:r>
        <w:rPr>
          <w:rFonts w:hint="eastAsia" w:ascii="宋体" w:hAnsi="宋体"/>
          <w:b/>
          <w:color w:val="auto"/>
          <w:sz w:val="21"/>
          <w:szCs w:val="21"/>
          <w:highlight w:val="none"/>
        </w:rPr>
        <w:t>。</w:t>
      </w:r>
    </w:p>
    <w:p w14:paraId="37078782">
      <w:pPr>
        <w:spacing w:line="240" w:lineRule="auto"/>
        <w:jc w:val="both"/>
        <w:rPr>
          <w:rFonts w:ascii="宋体" w:hAnsi="宋体"/>
          <w:b/>
          <w:color w:val="auto"/>
          <w:sz w:val="21"/>
          <w:szCs w:val="21"/>
          <w:highlight w:val="none"/>
        </w:rPr>
      </w:pPr>
      <w:r>
        <w:rPr>
          <w:rFonts w:hint="eastAsia" w:ascii="宋体" w:hAnsi="宋体"/>
          <w:b/>
          <w:color w:val="auto"/>
          <w:sz w:val="21"/>
          <w:szCs w:val="21"/>
          <w:highlight w:val="none"/>
        </w:rPr>
        <w:t>（2）供应商应承诺所提供的资质、证明文件等材料真实有效，若有虚假情况，取消中标资格，并</w:t>
      </w:r>
      <w:bookmarkStart w:id="34" w:name="_Hlk147746667"/>
      <w:r>
        <w:rPr>
          <w:rFonts w:hint="eastAsia" w:ascii="宋体" w:hAnsi="宋体"/>
          <w:b/>
          <w:color w:val="auto"/>
          <w:sz w:val="21"/>
          <w:szCs w:val="21"/>
          <w:highlight w:val="none"/>
        </w:rPr>
        <w:t>按《政府采购法》第七十七条处理</w:t>
      </w:r>
      <w:bookmarkEnd w:id="34"/>
      <w:r>
        <w:rPr>
          <w:rFonts w:hint="eastAsia" w:ascii="宋体" w:hAnsi="宋体"/>
          <w:b/>
          <w:color w:val="auto"/>
          <w:sz w:val="21"/>
          <w:szCs w:val="21"/>
          <w:highlight w:val="none"/>
        </w:rPr>
        <w:t>。</w:t>
      </w:r>
    </w:p>
    <w:p w14:paraId="48FF0049">
      <w:pPr>
        <w:spacing w:line="240" w:lineRule="auto"/>
        <w:jc w:val="both"/>
        <w:rPr>
          <w:rFonts w:ascii="宋体" w:hAnsi="宋体"/>
          <w:b/>
          <w:color w:val="auto"/>
          <w:szCs w:val="24"/>
          <w:highlight w:val="none"/>
        </w:rPr>
      </w:pPr>
    </w:p>
    <w:p w14:paraId="4D32D8BF">
      <w:pPr>
        <w:spacing w:line="240" w:lineRule="auto"/>
        <w:jc w:val="both"/>
        <w:rPr>
          <w:rFonts w:ascii="宋体" w:hAnsi="宋体"/>
          <w:b/>
          <w:color w:val="auto"/>
          <w:szCs w:val="24"/>
          <w:highlight w:val="none"/>
        </w:rPr>
      </w:pPr>
      <w:r>
        <w:rPr>
          <w:rFonts w:hint="eastAsia" w:ascii="宋体" w:hAnsi="宋体"/>
          <w:b/>
          <w:color w:val="auto"/>
          <w:szCs w:val="24"/>
          <w:highlight w:val="none"/>
        </w:rPr>
        <w:t>特别提示：供应商投标文件涉及的业绩佐证材料及证书要求必须真实有效，若有虚假情况，按《政府采购法》第七十七条处理。后果涉及：保证金不予退还、罚款、列入不良行为记录名单、禁止参加政府采购活动、由工商行政管理机关吊销营业执照、依法追究刑事责任等。</w:t>
      </w:r>
    </w:p>
    <w:p w14:paraId="194B3BEA">
      <w:pPr>
        <w:spacing w:line="240" w:lineRule="auto"/>
        <w:jc w:val="both"/>
        <w:rPr>
          <w:color w:val="auto"/>
          <w:highlight w:val="none"/>
        </w:rPr>
        <w:sectPr>
          <w:headerReference r:id="rId13" w:type="default"/>
          <w:footerReference r:id="rId14" w:type="default"/>
          <w:pgSz w:w="11906" w:h="16838"/>
          <w:pgMar w:top="1440" w:right="1440" w:bottom="1440" w:left="1440" w:header="851" w:footer="992" w:gutter="0"/>
          <w:pgNumType w:fmt="decimal"/>
          <w:cols w:space="425" w:num="1"/>
          <w:docGrid w:type="lines" w:linePitch="312" w:charSpace="0"/>
        </w:sectPr>
      </w:pPr>
    </w:p>
    <w:p w14:paraId="3CE4C004">
      <w:pPr>
        <w:pStyle w:val="3"/>
        <w:spacing w:before="156" w:after="156"/>
        <w:rPr>
          <w:rFonts w:cs="宋体"/>
          <w:color w:val="auto"/>
          <w:highlight w:val="none"/>
        </w:rPr>
      </w:pPr>
      <w:bookmarkStart w:id="35" w:name="_Toc510953446"/>
      <w:bookmarkStart w:id="36" w:name="_Toc135054605"/>
      <w:r>
        <w:rPr>
          <w:rFonts w:hint="eastAsia" w:cs="宋体"/>
          <w:color w:val="auto"/>
          <w:highlight w:val="none"/>
        </w:rPr>
        <w:t>第四章　</w:t>
      </w:r>
      <w:bookmarkEnd w:id="35"/>
      <w:r>
        <w:rPr>
          <w:rFonts w:hint="eastAsia" w:cs="宋体"/>
          <w:color w:val="auto"/>
          <w:highlight w:val="none"/>
        </w:rPr>
        <w:t>采购需求</w:t>
      </w:r>
      <w:bookmarkEnd w:id="36"/>
    </w:p>
    <w:p w14:paraId="5EE77D99">
      <w:pPr>
        <w:rPr>
          <w:color w:val="auto"/>
          <w:highlight w:val="none"/>
        </w:rPr>
      </w:pPr>
    </w:p>
    <w:p w14:paraId="64701110">
      <w:pPr>
        <w:spacing w:line="360" w:lineRule="auto"/>
        <w:ind w:firstLine="480" w:firstLineChars="200"/>
        <w:rPr>
          <w:rFonts w:cs="宋体"/>
          <w:b/>
          <w:bCs/>
          <w:color w:val="auto"/>
          <w:sz w:val="30"/>
          <w:szCs w:val="30"/>
          <w:highlight w:val="none"/>
        </w:rPr>
      </w:pPr>
      <w:r>
        <w:rPr>
          <w:rFonts w:hint="eastAsia"/>
          <w:color w:val="auto"/>
          <w:szCs w:val="24"/>
          <w:highlight w:val="none"/>
        </w:rPr>
        <w:t>根据财政部办公厅关于印发《物业管理服务政府采购需求标准（办公场所类）（试行）（财办库﹝2024﹞113号）规定，结合采购人实际情况制定服务内容，具体情况如下：</w:t>
      </w:r>
    </w:p>
    <w:p w14:paraId="22411465">
      <w:pPr>
        <w:spacing w:line="360" w:lineRule="auto"/>
        <w:rPr>
          <w:rFonts w:cs="宋体"/>
          <w:b/>
          <w:bCs/>
          <w:color w:val="auto"/>
          <w:sz w:val="30"/>
          <w:szCs w:val="30"/>
          <w:highlight w:val="none"/>
        </w:rPr>
      </w:pPr>
      <w:r>
        <w:rPr>
          <w:rFonts w:hint="eastAsia" w:cs="宋体"/>
          <w:b/>
          <w:bCs/>
          <w:color w:val="auto"/>
          <w:sz w:val="30"/>
          <w:szCs w:val="30"/>
          <w:highlight w:val="none"/>
        </w:rPr>
        <w:t>一、基本情况</w:t>
      </w:r>
    </w:p>
    <w:p w14:paraId="73840196">
      <w:pPr>
        <w:spacing w:line="360" w:lineRule="auto"/>
        <w:ind w:right="139" w:rightChars="58" w:firstLine="482" w:firstLineChars="200"/>
        <w:rPr>
          <w:rFonts w:ascii="宋体" w:hAnsi="宋体" w:cs="宋体"/>
          <w:color w:val="auto"/>
          <w:szCs w:val="24"/>
          <w:highlight w:val="none"/>
        </w:rPr>
      </w:pPr>
      <w:r>
        <w:rPr>
          <w:rFonts w:hint="eastAsia" w:ascii="宋体" w:hAnsi="宋体" w:cs="宋体"/>
          <w:b/>
          <w:bCs/>
          <w:color w:val="auto"/>
          <w:szCs w:val="24"/>
          <w:highlight w:val="none"/>
        </w:rPr>
        <w:t>物业名称：</w:t>
      </w:r>
      <w:r>
        <w:rPr>
          <w:rFonts w:hint="eastAsia" w:ascii="宋体" w:hAnsi="宋体" w:cs="宋体"/>
          <w:color w:val="auto"/>
          <w:szCs w:val="24"/>
          <w:highlight w:val="none"/>
        </w:rPr>
        <w:t>国家计算机网络与信息安全管理中心江西分中心综合机房楼物业管理综合服务项目</w:t>
      </w:r>
    </w:p>
    <w:p w14:paraId="53F43D26">
      <w:pPr>
        <w:spacing w:line="360" w:lineRule="auto"/>
        <w:ind w:right="139" w:rightChars="58" w:firstLine="482" w:firstLineChars="200"/>
        <w:rPr>
          <w:rFonts w:ascii="宋体" w:hAnsi="宋体" w:cs="宋体"/>
          <w:color w:val="auto"/>
          <w:szCs w:val="24"/>
          <w:highlight w:val="none"/>
        </w:rPr>
      </w:pPr>
      <w:r>
        <w:rPr>
          <w:rFonts w:hint="eastAsia" w:ascii="宋体" w:hAnsi="宋体" w:cs="宋体"/>
          <w:b/>
          <w:bCs/>
          <w:color w:val="auto"/>
          <w:szCs w:val="24"/>
          <w:highlight w:val="none"/>
        </w:rPr>
        <w:t>坐落位置：</w:t>
      </w:r>
      <w:r>
        <w:rPr>
          <w:rFonts w:hint="eastAsia" w:ascii="宋体" w:hAnsi="宋体" w:cs="宋体"/>
          <w:color w:val="auto"/>
          <w:szCs w:val="24"/>
          <w:highlight w:val="none"/>
        </w:rPr>
        <w:t>江西省南昌市红谷滩区广昌路198号</w:t>
      </w:r>
    </w:p>
    <w:p w14:paraId="1C5800BF">
      <w:pPr>
        <w:spacing w:line="360" w:lineRule="auto"/>
        <w:ind w:right="139" w:rightChars="58" w:firstLine="482" w:firstLineChars="200"/>
        <w:rPr>
          <w:rFonts w:ascii="宋体" w:hAnsi="宋体" w:cs="宋体"/>
          <w:color w:val="auto"/>
          <w:szCs w:val="24"/>
          <w:highlight w:val="none"/>
        </w:rPr>
      </w:pPr>
      <w:r>
        <w:rPr>
          <w:rFonts w:hint="eastAsia" w:ascii="宋体" w:hAnsi="宋体" w:cs="宋体"/>
          <w:b/>
          <w:bCs/>
          <w:color w:val="auto"/>
          <w:szCs w:val="24"/>
          <w:highlight w:val="none"/>
        </w:rPr>
        <w:t>项目信息：</w:t>
      </w:r>
      <w:r>
        <w:rPr>
          <w:rFonts w:hint="eastAsia" w:ascii="宋体" w:hAnsi="宋体" w:cs="宋体"/>
          <w:color w:val="auto"/>
          <w:szCs w:val="24"/>
          <w:highlight w:val="none"/>
        </w:rPr>
        <w:t>综合机房楼物业管理范围共6层（地面4层、楼顶1层、地下1层），服务面积共计19608平方米，其中：室外园区面积7523平方米(绿化面积4515平方米)，建筑面积12085平方米。设有停车场、办公室、设备机房、大小会议室、多媒体报告厅、监控机房等专用场所，配有电梯（2部）、中央空调、高低压配电及发电机组、生活及消防泵房、消防、安防监控等一系列大型设备。</w:t>
      </w:r>
    </w:p>
    <w:p w14:paraId="76F3F7F4">
      <w:pPr>
        <w:spacing w:line="240" w:lineRule="auto"/>
        <w:ind w:firstLine="482" w:firstLineChars="200"/>
        <w:rPr>
          <w:rFonts w:ascii="宋体" w:hAnsi="宋体" w:cs="宋体"/>
          <w:b/>
          <w:bCs/>
          <w:color w:val="auto"/>
          <w:szCs w:val="24"/>
          <w:highlight w:val="none"/>
        </w:rPr>
      </w:pPr>
      <w:r>
        <w:rPr>
          <w:rFonts w:hint="eastAsia" w:ascii="宋体" w:hAnsi="宋体" w:cs="宋体"/>
          <w:b/>
          <w:bCs/>
          <w:color w:val="auto"/>
          <w:szCs w:val="24"/>
          <w:highlight w:val="none"/>
        </w:rPr>
        <w:t>项目概况</w:t>
      </w:r>
    </w:p>
    <w:tbl>
      <w:tblPr>
        <w:tblStyle w:val="27"/>
        <w:tblW w:w="48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63"/>
        <w:gridCol w:w="3747"/>
        <w:gridCol w:w="1024"/>
        <w:gridCol w:w="3908"/>
      </w:tblGrid>
      <w:tr w14:paraId="042FD6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6" w:hRule="atLeast"/>
        </w:trPr>
        <w:tc>
          <w:tcPr>
            <w:tcW w:w="556" w:type="pct"/>
            <w:noWrap/>
            <w:vAlign w:val="center"/>
          </w:tcPr>
          <w:p w14:paraId="30530BB1">
            <w:pPr>
              <w:widowControl/>
              <w:spacing w:line="240" w:lineRule="auto"/>
              <w:jc w:val="center"/>
              <w:textAlignment w:val="center"/>
              <w:rPr>
                <w:rFonts w:ascii="宋体" w:hAnsi="宋体" w:cs="宋体"/>
                <w:color w:val="auto"/>
                <w:szCs w:val="24"/>
                <w:highlight w:val="none"/>
              </w:rPr>
            </w:pPr>
            <w:r>
              <w:rPr>
                <w:rFonts w:hint="eastAsia" w:ascii="宋体" w:hAnsi="宋体" w:cs="宋体"/>
                <w:b/>
                <w:bCs/>
                <w:color w:val="auto"/>
                <w:kern w:val="0"/>
                <w:szCs w:val="24"/>
                <w:highlight w:val="none"/>
              </w:rPr>
              <w:t>品目号</w:t>
            </w:r>
          </w:p>
        </w:tc>
        <w:tc>
          <w:tcPr>
            <w:tcW w:w="1959" w:type="pct"/>
            <w:noWrap/>
            <w:vAlign w:val="center"/>
          </w:tcPr>
          <w:p w14:paraId="0454BC6B">
            <w:pPr>
              <w:widowControl/>
              <w:spacing w:line="240" w:lineRule="auto"/>
              <w:jc w:val="center"/>
              <w:textAlignment w:val="center"/>
              <w:rPr>
                <w:rFonts w:ascii="宋体" w:hAnsi="宋体" w:cs="宋体"/>
                <w:color w:val="auto"/>
                <w:szCs w:val="24"/>
                <w:highlight w:val="none"/>
              </w:rPr>
            </w:pPr>
            <w:r>
              <w:rPr>
                <w:rFonts w:hint="eastAsia" w:ascii="宋体" w:hAnsi="宋体" w:cs="宋体"/>
                <w:b/>
                <w:bCs/>
                <w:color w:val="auto"/>
                <w:kern w:val="0"/>
                <w:szCs w:val="24"/>
                <w:highlight w:val="none"/>
              </w:rPr>
              <w:t>名称</w:t>
            </w:r>
          </w:p>
        </w:tc>
        <w:tc>
          <w:tcPr>
            <w:tcW w:w="880" w:type="pct"/>
            <w:noWrap/>
            <w:vAlign w:val="center"/>
          </w:tcPr>
          <w:p w14:paraId="721A1982">
            <w:pPr>
              <w:widowControl/>
              <w:spacing w:line="240" w:lineRule="auto"/>
              <w:jc w:val="center"/>
              <w:textAlignment w:val="center"/>
              <w:rPr>
                <w:rFonts w:ascii="宋体" w:hAnsi="宋体" w:cs="宋体"/>
                <w:color w:val="auto"/>
                <w:szCs w:val="24"/>
                <w:highlight w:val="none"/>
              </w:rPr>
            </w:pPr>
            <w:r>
              <w:rPr>
                <w:rFonts w:hint="eastAsia" w:ascii="宋体" w:hAnsi="宋体" w:cs="宋体"/>
                <w:b/>
                <w:bCs/>
                <w:color w:val="auto"/>
                <w:kern w:val="0"/>
                <w:szCs w:val="24"/>
                <w:highlight w:val="none"/>
              </w:rPr>
              <w:t>服务地点</w:t>
            </w:r>
          </w:p>
        </w:tc>
        <w:tc>
          <w:tcPr>
            <w:tcW w:w="1603" w:type="pct"/>
            <w:noWrap/>
            <w:vAlign w:val="center"/>
          </w:tcPr>
          <w:p w14:paraId="479C2A20">
            <w:pPr>
              <w:widowControl/>
              <w:spacing w:line="240" w:lineRule="auto"/>
              <w:jc w:val="center"/>
              <w:textAlignment w:val="center"/>
              <w:rPr>
                <w:rFonts w:ascii="宋体" w:hAnsi="宋体" w:cs="宋体"/>
                <w:color w:val="auto"/>
                <w:szCs w:val="24"/>
                <w:highlight w:val="none"/>
              </w:rPr>
            </w:pPr>
            <w:r>
              <w:rPr>
                <w:rFonts w:hint="eastAsia" w:ascii="宋体" w:hAnsi="宋体" w:cs="宋体"/>
                <w:b/>
                <w:bCs/>
                <w:color w:val="auto"/>
                <w:kern w:val="0"/>
                <w:szCs w:val="24"/>
                <w:highlight w:val="none"/>
              </w:rPr>
              <w:t>服务标准</w:t>
            </w:r>
          </w:p>
        </w:tc>
      </w:tr>
      <w:tr w14:paraId="634F08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3" w:hRule="atLeast"/>
        </w:trPr>
        <w:tc>
          <w:tcPr>
            <w:tcW w:w="556" w:type="pct"/>
            <w:noWrap/>
            <w:vAlign w:val="center"/>
          </w:tcPr>
          <w:p w14:paraId="4AFC90E5">
            <w:pPr>
              <w:widowControl/>
              <w:spacing w:line="240" w:lineRule="auto"/>
              <w:jc w:val="center"/>
              <w:textAlignment w:val="center"/>
              <w:rPr>
                <w:rFonts w:ascii="宋体" w:hAnsi="宋体" w:cs="宋体"/>
                <w:b/>
                <w:bCs/>
                <w:color w:val="auto"/>
                <w:kern w:val="0"/>
                <w:szCs w:val="24"/>
                <w:highlight w:val="none"/>
              </w:rPr>
            </w:pPr>
            <w:r>
              <w:rPr>
                <w:rFonts w:hint="eastAsia" w:ascii="宋体" w:hAnsi="宋体" w:cs="宋体"/>
                <w:color w:val="auto"/>
                <w:kern w:val="0"/>
                <w:szCs w:val="24"/>
                <w:highlight w:val="none"/>
              </w:rPr>
              <w:t>品目一</w:t>
            </w:r>
          </w:p>
        </w:tc>
        <w:tc>
          <w:tcPr>
            <w:tcW w:w="1959" w:type="pct"/>
            <w:noWrap/>
            <w:vAlign w:val="center"/>
          </w:tcPr>
          <w:p w14:paraId="4CA78C08">
            <w:pPr>
              <w:pStyle w:val="10"/>
              <w:spacing w:line="240" w:lineRule="auto"/>
              <w:rPr>
                <w:rFonts w:ascii="宋体" w:hAnsi="宋体" w:cs="宋体"/>
                <w:color w:val="auto"/>
                <w:szCs w:val="24"/>
                <w:highlight w:val="none"/>
              </w:rPr>
            </w:pPr>
            <w:r>
              <w:rPr>
                <w:rFonts w:hint="eastAsia" w:ascii="宋体" w:hAnsi="宋体" w:cs="宋体"/>
                <w:color w:val="auto"/>
                <w:szCs w:val="24"/>
                <w:highlight w:val="none"/>
              </w:rPr>
              <w:t>国家计算机网络与信息安全管理中心江西分中心综合机房楼物业服务</w:t>
            </w:r>
          </w:p>
        </w:tc>
        <w:tc>
          <w:tcPr>
            <w:tcW w:w="880" w:type="pct"/>
            <w:vMerge w:val="restart"/>
            <w:noWrap/>
            <w:vAlign w:val="center"/>
          </w:tcPr>
          <w:p w14:paraId="4BD0EE3F">
            <w:pPr>
              <w:widowControl/>
              <w:spacing w:line="240" w:lineRule="auto"/>
              <w:jc w:val="center"/>
              <w:textAlignment w:val="center"/>
              <w:rPr>
                <w:rFonts w:ascii="宋体" w:hAnsi="宋体" w:cs="宋体"/>
                <w:color w:val="auto"/>
                <w:kern w:val="0"/>
                <w:szCs w:val="24"/>
                <w:highlight w:val="none"/>
              </w:rPr>
            </w:pPr>
            <w:r>
              <w:rPr>
                <w:rFonts w:hint="eastAsia" w:ascii="宋体" w:hAnsi="宋体" w:cs="宋体"/>
                <w:color w:val="auto"/>
                <w:kern w:val="0"/>
                <w:szCs w:val="24"/>
                <w:highlight w:val="none"/>
              </w:rPr>
              <w:t>采购人指定地点</w:t>
            </w:r>
          </w:p>
        </w:tc>
        <w:tc>
          <w:tcPr>
            <w:tcW w:w="1603" w:type="pct"/>
            <w:vMerge w:val="restart"/>
            <w:noWrap/>
            <w:vAlign w:val="center"/>
          </w:tcPr>
          <w:p w14:paraId="069D1CDF">
            <w:pPr>
              <w:spacing w:line="240" w:lineRule="auto"/>
              <w:jc w:val="center"/>
              <w:textAlignment w:val="center"/>
              <w:rPr>
                <w:rFonts w:ascii="宋体" w:hAnsi="宋体" w:cs="宋体"/>
                <w:color w:val="auto"/>
                <w:kern w:val="0"/>
                <w:szCs w:val="24"/>
                <w:highlight w:val="none"/>
              </w:rPr>
            </w:pPr>
            <w:r>
              <w:rPr>
                <w:rFonts w:hint="eastAsia" w:ascii="宋体" w:hAnsi="宋体" w:cs="宋体"/>
                <w:color w:val="auto"/>
                <w:kern w:val="0"/>
                <w:szCs w:val="24"/>
                <w:highlight w:val="none"/>
              </w:rPr>
              <w:t>需满足的国家相关强制性标准、行业标准、地方标准或者其他标准、规范</w:t>
            </w:r>
          </w:p>
        </w:tc>
      </w:tr>
      <w:tr w14:paraId="404357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01" w:hRule="atLeast"/>
        </w:trPr>
        <w:tc>
          <w:tcPr>
            <w:tcW w:w="556" w:type="pct"/>
            <w:noWrap/>
            <w:vAlign w:val="center"/>
          </w:tcPr>
          <w:p w14:paraId="6DB48CF3">
            <w:pPr>
              <w:widowControl/>
              <w:spacing w:line="240" w:lineRule="auto"/>
              <w:jc w:val="center"/>
              <w:textAlignment w:val="center"/>
              <w:rPr>
                <w:rFonts w:ascii="宋体" w:hAnsi="宋体" w:cs="宋体"/>
                <w:b/>
                <w:bCs/>
                <w:color w:val="auto"/>
                <w:kern w:val="0"/>
                <w:szCs w:val="24"/>
                <w:highlight w:val="none"/>
              </w:rPr>
            </w:pPr>
            <w:r>
              <w:rPr>
                <w:rFonts w:hint="eastAsia" w:ascii="宋体" w:hAnsi="宋体" w:cs="宋体"/>
                <w:color w:val="auto"/>
                <w:kern w:val="0"/>
                <w:szCs w:val="24"/>
                <w:highlight w:val="none"/>
              </w:rPr>
              <w:t>品目二</w:t>
            </w:r>
          </w:p>
        </w:tc>
        <w:tc>
          <w:tcPr>
            <w:tcW w:w="1959" w:type="pct"/>
            <w:noWrap/>
            <w:vAlign w:val="center"/>
          </w:tcPr>
          <w:p w14:paraId="4345ECBF">
            <w:pPr>
              <w:pStyle w:val="10"/>
              <w:spacing w:line="240" w:lineRule="auto"/>
              <w:rPr>
                <w:rFonts w:ascii="宋体" w:hAnsi="宋体" w:cs="宋体"/>
                <w:color w:val="auto"/>
                <w:szCs w:val="24"/>
                <w:highlight w:val="none"/>
              </w:rPr>
            </w:pPr>
            <w:r>
              <w:rPr>
                <w:rFonts w:hint="eastAsia" w:ascii="宋体" w:hAnsi="宋体" w:cs="宋体"/>
                <w:color w:val="auto"/>
                <w:szCs w:val="24"/>
                <w:highlight w:val="none"/>
              </w:rPr>
              <w:t>国家计算机网络与信息安全管理中心江西分中心餐饮服务</w:t>
            </w:r>
          </w:p>
        </w:tc>
        <w:tc>
          <w:tcPr>
            <w:tcW w:w="880" w:type="pct"/>
            <w:vMerge w:val="continue"/>
            <w:noWrap/>
            <w:vAlign w:val="center"/>
          </w:tcPr>
          <w:p w14:paraId="635B8E18">
            <w:pPr>
              <w:widowControl/>
              <w:spacing w:line="240" w:lineRule="auto"/>
              <w:jc w:val="center"/>
              <w:textAlignment w:val="center"/>
              <w:rPr>
                <w:rFonts w:ascii="宋体" w:hAnsi="宋体" w:cs="宋体"/>
                <w:b/>
                <w:bCs/>
                <w:color w:val="auto"/>
                <w:kern w:val="0"/>
                <w:szCs w:val="24"/>
                <w:highlight w:val="none"/>
              </w:rPr>
            </w:pPr>
          </w:p>
        </w:tc>
        <w:tc>
          <w:tcPr>
            <w:tcW w:w="1603" w:type="pct"/>
            <w:vMerge w:val="continue"/>
            <w:noWrap/>
            <w:vAlign w:val="center"/>
          </w:tcPr>
          <w:p w14:paraId="7BDE6844">
            <w:pPr>
              <w:widowControl/>
              <w:spacing w:line="240" w:lineRule="auto"/>
              <w:jc w:val="center"/>
              <w:textAlignment w:val="center"/>
              <w:rPr>
                <w:rFonts w:ascii="宋体" w:hAnsi="宋体" w:cs="宋体"/>
                <w:b/>
                <w:bCs/>
                <w:color w:val="auto"/>
                <w:kern w:val="0"/>
                <w:szCs w:val="24"/>
                <w:highlight w:val="none"/>
              </w:rPr>
            </w:pPr>
          </w:p>
        </w:tc>
      </w:tr>
    </w:tbl>
    <w:p w14:paraId="1F19508E">
      <w:pPr>
        <w:spacing w:line="240" w:lineRule="auto"/>
        <w:rPr>
          <w:rFonts w:cs="宋体"/>
          <w:b/>
          <w:bCs/>
          <w:color w:val="auto"/>
          <w:sz w:val="30"/>
          <w:szCs w:val="30"/>
          <w:highlight w:val="none"/>
        </w:rPr>
      </w:pPr>
      <w:r>
        <w:rPr>
          <w:rFonts w:hint="eastAsia" w:cs="宋体"/>
          <w:b/>
          <w:bCs/>
          <w:color w:val="auto"/>
          <w:sz w:val="30"/>
          <w:szCs w:val="30"/>
          <w:highlight w:val="none"/>
        </w:rPr>
        <w:t>二、服务要求</w:t>
      </w:r>
    </w:p>
    <w:p w14:paraId="55F2C4BE">
      <w:pPr>
        <w:pStyle w:val="15"/>
        <w:spacing w:line="360" w:lineRule="auto"/>
        <w:ind w:firstLine="482" w:firstLineChars="200"/>
        <w:rPr>
          <w:rFonts w:ascii="宋体" w:hAnsi="宋体" w:cs="宋体"/>
          <w:color w:val="auto"/>
          <w:szCs w:val="24"/>
          <w:highlight w:val="none"/>
        </w:rPr>
      </w:pPr>
      <w:r>
        <w:rPr>
          <w:rFonts w:hint="eastAsia" w:ascii="宋体" w:hAnsi="宋体" w:cs="宋体"/>
          <w:b/>
          <w:bCs/>
          <w:color w:val="auto"/>
          <w:szCs w:val="24"/>
          <w:highlight w:val="none"/>
        </w:rPr>
        <w:t>品目一：</w:t>
      </w:r>
      <w:r>
        <w:rPr>
          <w:rFonts w:hint="eastAsia" w:ascii="宋体" w:hAnsi="宋体" w:cs="宋体"/>
          <w:color w:val="auto"/>
          <w:szCs w:val="24"/>
          <w:highlight w:val="none"/>
        </w:rPr>
        <w:t>国家计算机网络与信息安全管理中心江西分中心综合机房楼物业服务</w:t>
      </w:r>
    </w:p>
    <w:p w14:paraId="2F8A5971">
      <w:pPr>
        <w:pStyle w:val="15"/>
        <w:spacing w:line="360" w:lineRule="auto"/>
        <w:ind w:firstLine="482" w:firstLineChars="200"/>
        <w:rPr>
          <w:rFonts w:ascii="宋体" w:hAnsi="宋体" w:cs="宋体"/>
          <w:b/>
          <w:bCs/>
          <w:color w:val="auto"/>
          <w:szCs w:val="24"/>
          <w:highlight w:val="none"/>
        </w:rPr>
      </w:pPr>
      <w:r>
        <w:rPr>
          <w:rFonts w:hint="eastAsia" w:ascii="宋体" w:hAnsi="宋体" w:cs="宋体"/>
          <w:b/>
          <w:bCs/>
          <w:color w:val="auto"/>
          <w:szCs w:val="24"/>
          <w:highlight w:val="none"/>
        </w:rPr>
        <w:t>1.项目概况</w:t>
      </w:r>
    </w:p>
    <w:p w14:paraId="646C418E">
      <w:pPr>
        <w:spacing w:line="360" w:lineRule="auto"/>
        <w:ind w:right="139" w:rightChars="58" w:firstLine="480" w:firstLineChars="200"/>
        <w:rPr>
          <w:rFonts w:ascii="宋体" w:hAnsi="宋体" w:cs="宋体"/>
          <w:color w:val="auto"/>
          <w:szCs w:val="24"/>
          <w:highlight w:val="none"/>
        </w:rPr>
      </w:pPr>
      <w:r>
        <w:rPr>
          <w:rFonts w:hint="eastAsia" w:ascii="宋体" w:hAnsi="宋体" w:cs="宋体"/>
          <w:color w:val="auto"/>
          <w:szCs w:val="24"/>
          <w:highlight w:val="none"/>
        </w:rPr>
        <w:t>综合机房楼物业。主要服务内容包括大楼及院区的建筑物及其附属设施设备管理维护、安保秩序维护、卫生保洁、垃圾清运、给水及消防系统管理维护、雨水及污水管线管理维护、电梯管理维护、空调设备管理维护、设施设备零星维修、绿化养护、会议保障、综合管理等；制定完善的物业管理方案并组织实施；建立档案管理制度（包括物业竣工验收资料、设备管理档案、日常管理档案、设备设施维修登记等），各种基础资料、台账报表、图册健全，保存完好等。</w:t>
      </w:r>
    </w:p>
    <w:p w14:paraId="5D83BBB7">
      <w:pPr>
        <w:pStyle w:val="15"/>
        <w:spacing w:line="360" w:lineRule="auto"/>
        <w:ind w:firstLine="482" w:firstLineChars="200"/>
        <w:rPr>
          <w:rFonts w:ascii="宋体" w:hAnsi="宋体" w:cs="宋体"/>
          <w:b/>
          <w:bCs/>
          <w:color w:val="auto"/>
          <w:szCs w:val="24"/>
          <w:highlight w:val="none"/>
        </w:rPr>
      </w:pPr>
      <w:r>
        <w:rPr>
          <w:rFonts w:hint="eastAsia" w:ascii="宋体" w:hAnsi="宋体" w:cs="宋体"/>
          <w:b/>
          <w:bCs/>
          <w:color w:val="auto"/>
          <w:szCs w:val="24"/>
          <w:highlight w:val="none"/>
        </w:rPr>
        <w:t>2.人员配备</w:t>
      </w:r>
    </w:p>
    <w:p w14:paraId="34C804C5">
      <w:pPr>
        <w:pStyle w:val="15"/>
        <w:spacing w:line="360" w:lineRule="auto"/>
        <w:ind w:firstLine="480" w:firstLineChars="200"/>
        <w:rPr>
          <w:rFonts w:ascii="仿宋_GB2312" w:hAnsi="仿宋_GB2312" w:eastAsia="仿宋_GB2312" w:cs="仿宋_GB2312"/>
          <w:b/>
          <w:bCs/>
          <w:color w:val="auto"/>
          <w:sz w:val="32"/>
          <w:szCs w:val="32"/>
          <w:highlight w:val="none"/>
        </w:rPr>
      </w:pPr>
      <w:r>
        <w:rPr>
          <w:rFonts w:hint="eastAsia" w:ascii="宋体" w:hAnsi="宋体" w:cs="宋体"/>
          <w:color w:val="auto"/>
          <w:szCs w:val="24"/>
          <w:highlight w:val="none"/>
        </w:rPr>
        <w:t>投标人应保证所录用人员身体健康、无传染性疾病、无刑事违法或处分犯罪记录、要求持证上岗的须具有上岗资格证。主要配备人员参考人数为24人，每日保证人员按编配要求在岗，其中包含（项目经理、行政、客服、会务人员、保洁、安保领班应是乙方正式员工，且在该公司有缴纳社保</w:t>
      </w:r>
      <w:r>
        <w:rPr>
          <w:rFonts w:hint="eastAsia" w:ascii="宋体" w:hAnsi="宋体" w:cs="宋体"/>
          <w:color w:val="auto"/>
          <w:szCs w:val="24"/>
          <w:highlight w:val="none"/>
          <w:lang w:eastAsia="zh-CN"/>
        </w:rPr>
        <w:t>。</w:t>
      </w:r>
      <w:r>
        <w:rPr>
          <w:rFonts w:hint="eastAsia" w:ascii="宋体" w:hAnsi="宋体" w:cs="宋体"/>
          <w:color w:val="auto"/>
          <w:szCs w:val="24"/>
          <w:highlight w:val="none"/>
        </w:rPr>
        <w:t>）。各类管理、服务人员按岗位统一着装，言行规范，文明礼貌。</w:t>
      </w:r>
    </w:p>
    <w:tbl>
      <w:tblPr>
        <w:tblStyle w:val="27"/>
        <w:tblW w:w="921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81"/>
        <w:gridCol w:w="2195"/>
        <w:gridCol w:w="732"/>
        <w:gridCol w:w="3970"/>
        <w:gridCol w:w="1335"/>
      </w:tblGrid>
      <w:tr w14:paraId="394090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 w:hRule="atLeast"/>
        </w:trPr>
        <w:tc>
          <w:tcPr>
            <w:tcW w:w="981" w:type="dxa"/>
            <w:tcBorders>
              <w:top w:val="single" w:color="auto" w:sz="4" w:space="0"/>
              <w:left w:val="single" w:color="auto" w:sz="4" w:space="0"/>
              <w:bottom w:val="single" w:color="auto" w:sz="4" w:space="0"/>
              <w:right w:val="single" w:color="auto" w:sz="4" w:space="0"/>
            </w:tcBorders>
            <w:noWrap/>
            <w:vAlign w:val="center"/>
          </w:tcPr>
          <w:p w14:paraId="434C8EAB">
            <w:pPr>
              <w:pStyle w:val="35"/>
              <w:snapToGrid w:val="0"/>
              <w:spacing w:before="0" w:line="240" w:lineRule="auto"/>
              <w:jc w:val="center"/>
              <w:rPr>
                <w:rFonts w:ascii="宋体" w:hAnsi="宋体" w:cs="宋体"/>
                <w:b/>
                <w:bCs/>
                <w:color w:val="auto"/>
                <w:szCs w:val="24"/>
                <w:highlight w:val="none"/>
              </w:rPr>
            </w:pPr>
            <w:r>
              <w:rPr>
                <w:rFonts w:hint="eastAsia" w:ascii="宋体" w:hAnsi="宋体" w:cs="宋体"/>
                <w:b/>
                <w:bCs/>
                <w:color w:val="auto"/>
                <w:szCs w:val="24"/>
                <w:highlight w:val="none"/>
              </w:rPr>
              <w:t>部门</w:t>
            </w:r>
          </w:p>
        </w:tc>
        <w:tc>
          <w:tcPr>
            <w:tcW w:w="2195" w:type="dxa"/>
            <w:tcBorders>
              <w:top w:val="single" w:color="auto" w:sz="4" w:space="0"/>
              <w:left w:val="single" w:color="auto" w:sz="4" w:space="0"/>
              <w:bottom w:val="single" w:color="auto" w:sz="4" w:space="0"/>
              <w:right w:val="single" w:color="auto" w:sz="4" w:space="0"/>
            </w:tcBorders>
            <w:noWrap/>
            <w:vAlign w:val="center"/>
          </w:tcPr>
          <w:p w14:paraId="10707576">
            <w:pPr>
              <w:pStyle w:val="35"/>
              <w:snapToGrid w:val="0"/>
              <w:spacing w:before="0" w:line="240" w:lineRule="auto"/>
              <w:jc w:val="center"/>
              <w:rPr>
                <w:rFonts w:ascii="宋体" w:hAnsi="宋体" w:cs="宋体"/>
                <w:b/>
                <w:bCs/>
                <w:color w:val="auto"/>
                <w:szCs w:val="24"/>
                <w:highlight w:val="none"/>
              </w:rPr>
            </w:pPr>
            <w:r>
              <w:rPr>
                <w:rFonts w:hint="eastAsia" w:ascii="宋体" w:hAnsi="宋体" w:cs="宋体"/>
                <w:b/>
                <w:bCs/>
                <w:color w:val="auto"/>
                <w:szCs w:val="24"/>
                <w:highlight w:val="none"/>
              </w:rPr>
              <w:t>服务人员</w:t>
            </w:r>
          </w:p>
        </w:tc>
        <w:tc>
          <w:tcPr>
            <w:tcW w:w="732" w:type="dxa"/>
            <w:tcBorders>
              <w:top w:val="single" w:color="auto" w:sz="4" w:space="0"/>
              <w:left w:val="single" w:color="auto" w:sz="4" w:space="0"/>
              <w:bottom w:val="single" w:color="auto" w:sz="4" w:space="0"/>
              <w:right w:val="single" w:color="auto" w:sz="4" w:space="0"/>
            </w:tcBorders>
            <w:noWrap/>
            <w:vAlign w:val="center"/>
          </w:tcPr>
          <w:p w14:paraId="18E6862B">
            <w:pPr>
              <w:pStyle w:val="35"/>
              <w:snapToGrid w:val="0"/>
              <w:spacing w:before="0" w:line="240" w:lineRule="auto"/>
              <w:jc w:val="center"/>
              <w:rPr>
                <w:rFonts w:ascii="宋体" w:hAnsi="宋体" w:cs="宋体"/>
                <w:b/>
                <w:bCs/>
                <w:color w:val="auto"/>
                <w:szCs w:val="24"/>
                <w:highlight w:val="none"/>
              </w:rPr>
            </w:pPr>
            <w:r>
              <w:rPr>
                <w:rFonts w:hint="eastAsia" w:ascii="宋体" w:hAnsi="宋体" w:cs="宋体"/>
                <w:b/>
                <w:bCs/>
                <w:color w:val="auto"/>
                <w:szCs w:val="24"/>
                <w:highlight w:val="none"/>
              </w:rPr>
              <w:t>数量</w:t>
            </w:r>
          </w:p>
        </w:tc>
        <w:tc>
          <w:tcPr>
            <w:tcW w:w="3970" w:type="dxa"/>
            <w:tcBorders>
              <w:top w:val="single" w:color="auto" w:sz="4" w:space="0"/>
              <w:left w:val="single" w:color="auto" w:sz="4" w:space="0"/>
              <w:bottom w:val="single" w:color="auto" w:sz="4" w:space="0"/>
              <w:right w:val="single" w:color="auto" w:sz="4" w:space="0"/>
            </w:tcBorders>
            <w:noWrap/>
            <w:vAlign w:val="center"/>
          </w:tcPr>
          <w:p w14:paraId="0CA93F51">
            <w:pPr>
              <w:pStyle w:val="35"/>
              <w:snapToGrid w:val="0"/>
              <w:spacing w:before="0" w:line="240" w:lineRule="auto"/>
              <w:jc w:val="center"/>
              <w:rPr>
                <w:rFonts w:ascii="宋体" w:hAnsi="宋体" w:cs="宋体"/>
                <w:b/>
                <w:bCs/>
                <w:color w:val="auto"/>
                <w:szCs w:val="24"/>
                <w:highlight w:val="none"/>
              </w:rPr>
            </w:pPr>
            <w:r>
              <w:rPr>
                <w:rFonts w:hint="eastAsia" w:ascii="宋体" w:hAnsi="宋体" w:cs="宋体"/>
                <w:b/>
                <w:bCs/>
                <w:color w:val="auto"/>
                <w:szCs w:val="24"/>
                <w:highlight w:val="none"/>
              </w:rPr>
              <w:t>基本素质要求</w:t>
            </w:r>
          </w:p>
        </w:tc>
        <w:tc>
          <w:tcPr>
            <w:tcW w:w="1335" w:type="dxa"/>
            <w:tcBorders>
              <w:top w:val="single" w:color="auto" w:sz="4" w:space="0"/>
              <w:left w:val="single" w:color="auto" w:sz="4" w:space="0"/>
              <w:bottom w:val="single" w:color="auto" w:sz="4" w:space="0"/>
              <w:right w:val="single" w:color="auto" w:sz="4" w:space="0"/>
            </w:tcBorders>
            <w:noWrap/>
            <w:vAlign w:val="center"/>
          </w:tcPr>
          <w:p w14:paraId="1C7D5C88">
            <w:pPr>
              <w:pStyle w:val="35"/>
              <w:snapToGrid w:val="0"/>
              <w:spacing w:before="0" w:line="240" w:lineRule="auto"/>
              <w:jc w:val="center"/>
              <w:rPr>
                <w:rFonts w:ascii="宋体" w:hAnsi="宋体" w:cs="宋体"/>
                <w:b/>
                <w:bCs/>
                <w:color w:val="auto"/>
                <w:szCs w:val="24"/>
                <w:highlight w:val="none"/>
              </w:rPr>
            </w:pPr>
            <w:r>
              <w:rPr>
                <w:rFonts w:hint="eastAsia" w:ascii="宋体" w:hAnsi="宋体" w:cs="宋体"/>
                <w:b/>
                <w:bCs/>
                <w:color w:val="auto"/>
                <w:szCs w:val="24"/>
                <w:highlight w:val="none"/>
              </w:rPr>
              <w:t>工作</w:t>
            </w:r>
          </w:p>
          <w:p w14:paraId="5B4A974E">
            <w:pPr>
              <w:pStyle w:val="35"/>
              <w:snapToGrid w:val="0"/>
              <w:spacing w:before="0" w:line="240" w:lineRule="auto"/>
              <w:jc w:val="center"/>
              <w:rPr>
                <w:rFonts w:ascii="宋体" w:hAnsi="宋体" w:cs="宋体"/>
                <w:b/>
                <w:bCs/>
                <w:color w:val="auto"/>
                <w:szCs w:val="24"/>
                <w:highlight w:val="none"/>
              </w:rPr>
            </w:pPr>
            <w:r>
              <w:rPr>
                <w:rFonts w:hint="eastAsia" w:ascii="宋体" w:hAnsi="宋体" w:cs="宋体"/>
                <w:b/>
                <w:bCs/>
                <w:color w:val="auto"/>
                <w:szCs w:val="24"/>
                <w:highlight w:val="none"/>
              </w:rPr>
              <w:t>时间</w:t>
            </w:r>
          </w:p>
        </w:tc>
      </w:tr>
      <w:tr w14:paraId="294BC2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 w:hRule="atLeast"/>
        </w:trPr>
        <w:tc>
          <w:tcPr>
            <w:tcW w:w="981" w:type="dxa"/>
            <w:vMerge w:val="restart"/>
            <w:tcBorders>
              <w:top w:val="single" w:color="auto" w:sz="4" w:space="0"/>
              <w:left w:val="single" w:color="auto" w:sz="4" w:space="0"/>
              <w:right w:val="single" w:color="auto" w:sz="4" w:space="0"/>
            </w:tcBorders>
            <w:noWrap/>
            <w:vAlign w:val="center"/>
          </w:tcPr>
          <w:p w14:paraId="0AAB5D6D">
            <w:pPr>
              <w:pStyle w:val="35"/>
              <w:snapToGrid w:val="0"/>
              <w:spacing w:before="0" w:line="240" w:lineRule="auto"/>
              <w:jc w:val="center"/>
              <w:rPr>
                <w:rFonts w:ascii="宋体" w:hAnsi="宋体" w:cs="宋体"/>
                <w:color w:val="auto"/>
                <w:szCs w:val="24"/>
                <w:highlight w:val="none"/>
              </w:rPr>
            </w:pPr>
            <w:r>
              <w:rPr>
                <w:rFonts w:hint="eastAsia" w:ascii="宋体" w:hAnsi="宋体" w:cs="宋体"/>
                <w:color w:val="auto"/>
                <w:szCs w:val="24"/>
                <w:highlight w:val="none"/>
              </w:rPr>
              <w:t>综合管理</w:t>
            </w:r>
          </w:p>
        </w:tc>
        <w:tc>
          <w:tcPr>
            <w:tcW w:w="2195" w:type="dxa"/>
            <w:tcBorders>
              <w:top w:val="single" w:color="auto" w:sz="4" w:space="0"/>
              <w:left w:val="single" w:color="auto" w:sz="4" w:space="0"/>
              <w:bottom w:val="single" w:color="auto" w:sz="4" w:space="0"/>
              <w:right w:val="single" w:color="auto" w:sz="4" w:space="0"/>
            </w:tcBorders>
            <w:noWrap/>
            <w:vAlign w:val="center"/>
          </w:tcPr>
          <w:p w14:paraId="51AF09C1">
            <w:pPr>
              <w:pStyle w:val="35"/>
              <w:snapToGrid w:val="0"/>
              <w:spacing w:before="0" w:line="240" w:lineRule="auto"/>
              <w:jc w:val="center"/>
              <w:rPr>
                <w:rFonts w:ascii="宋体" w:hAnsi="宋体" w:cs="宋体"/>
                <w:color w:val="auto"/>
                <w:szCs w:val="24"/>
                <w:highlight w:val="none"/>
              </w:rPr>
            </w:pPr>
            <w:r>
              <w:rPr>
                <w:rFonts w:hint="eastAsia" w:ascii="宋体" w:hAnsi="宋体" w:cs="宋体"/>
                <w:color w:val="auto"/>
                <w:szCs w:val="24"/>
                <w:highlight w:val="none"/>
              </w:rPr>
              <w:t>项目经理</w:t>
            </w:r>
          </w:p>
        </w:tc>
        <w:tc>
          <w:tcPr>
            <w:tcW w:w="732" w:type="dxa"/>
            <w:tcBorders>
              <w:top w:val="single" w:color="auto" w:sz="4" w:space="0"/>
              <w:left w:val="single" w:color="auto" w:sz="4" w:space="0"/>
              <w:bottom w:val="single" w:color="auto" w:sz="4" w:space="0"/>
              <w:right w:val="single" w:color="auto" w:sz="4" w:space="0"/>
            </w:tcBorders>
            <w:noWrap/>
            <w:vAlign w:val="center"/>
          </w:tcPr>
          <w:p w14:paraId="39FDA0C0">
            <w:pPr>
              <w:pStyle w:val="35"/>
              <w:snapToGrid w:val="0"/>
              <w:spacing w:before="0" w:line="240" w:lineRule="auto"/>
              <w:jc w:val="center"/>
              <w:rPr>
                <w:rFonts w:ascii="宋体" w:hAnsi="宋体" w:cs="宋体"/>
                <w:color w:val="auto"/>
                <w:szCs w:val="24"/>
                <w:highlight w:val="none"/>
              </w:rPr>
            </w:pPr>
            <w:r>
              <w:rPr>
                <w:rFonts w:hint="eastAsia" w:ascii="宋体" w:hAnsi="宋体" w:cs="宋体"/>
                <w:color w:val="auto"/>
                <w:szCs w:val="24"/>
                <w:highlight w:val="none"/>
              </w:rPr>
              <w:t>1</w:t>
            </w:r>
          </w:p>
        </w:tc>
        <w:tc>
          <w:tcPr>
            <w:tcW w:w="3970" w:type="dxa"/>
            <w:tcBorders>
              <w:top w:val="single" w:color="auto" w:sz="4" w:space="0"/>
              <w:left w:val="single" w:color="auto" w:sz="4" w:space="0"/>
              <w:bottom w:val="single" w:color="auto" w:sz="4" w:space="0"/>
              <w:right w:val="single" w:color="auto" w:sz="4" w:space="0"/>
            </w:tcBorders>
            <w:noWrap/>
            <w:vAlign w:val="center"/>
          </w:tcPr>
          <w:p w14:paraId="119E7413">
            <w:pPr>
              <w:pStyle w:val="35"/>
              <w:snapToGrid w:val="0"/>
              <w:spacing w:before="0" w:line="240" w:lineRule="auto"/>
              <w:jc w:val="center"/>
              <w:rPr>
                <w:rFonts w:ascii="宋体" w:hAnsi="宋体" w:cs="宋体"/>
                <w:color w:val="auto"/>
                <w:szCs w:val="24"/>
                <w:highlight w:val="none"/>
              </w:rPr>
            </w:pPr>
            <w:r>
              <w:rPr>
                <w:rFonts w:hint="eastAsia" w:ascii="宋体" w:hAnsi="宋体" w:cs="宋体"/>
                <w:color w:val="auto"/>
                <w:szCs w:val="24"/>
                <w:highlight w:val="none"/>
              </w:rPr>
              <w:t>具有物业经理上岗证，3年以上项目经理岗位经验，本科以上学历，年龄45岁以下。</w:t>
            </w:r>
          </w:p>
        </w:tc>
        <w:tc>
          <w:tcPr>
            <w:tcW w:w="1335" w:type="dxa"/>
            <w:vMerge w:val="restart"/>
            <w:tcBorders>
              <w:top w:val="single" w:color="auto" w:sz="4" w:space="0"/>
              <w:left w:val="single" w:color="auto" w:sz="4" w:space="0"/>
              <w:right w:val="single" w:color="auto" w:sz="4" w:space="0"/>
            </w:tcBorders>
            <w:noWrap/>
            <w:vAlign w:val="center"/>
          </w:tcPr>
          <w:p w14:paraId="1F308D2C">
            <w:pPr>
              <w:pStyle w:val="35"/>
              <w:snapToGrid w:val="0"/>
              <w:spacing w:before="0" w:line="240" w:lineRule="auto"/>
              <w:jc w:val="center"/>
              <w:rPr>
                <w:rFonts w:ascii="宋体" w:hAnsi="宋体" w:cs="宋体"/>
                <w:color w:val="auto"/>
                <w:szCs w:val="24"/>
                <w:highlight w:val="none"/>
              </w:rPr>
            </w:pPr>
            <w:r>
              <w:rPr>
                <w:rFonts w:hint="eastAsia" w:ascii="宋体" w:hAnsi="宋体" w:cs="宋体"/>
                <w:color w:val="auto"/>
                <w:szCs w:val="24"/>
                <w:highlight w:val="none"/>
              </w:rPr>
              <w:t>A.白班：7:30—18:30；B. 周末、节假日为轮班制。</w:t>
            </w:r>
          </w:p>
        </w:tc>
      </w:tr>
      <w:tr w14:paraId="330FFC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981" w:type="dxa"/>
            <w:vMerge w:val="continue"/>
            <w:tcBorders>
              <w:left w:val="single" w:color="auto" w:sz="4" w:space="0"/>
              <w:right w:val="single" w:color="auto" w:sz="4" w:space="0"/>
            </w:tcBorders>
            <w:noWrap/>
            <w:vAlign w:val="center"/>
          </w:tcPr>
          <w:p w14:paraId="61A247BE">
            <w:pPr>
              <w:pStyle w:val="35"/>
              <w:snapToGrid w:val="0"/>
              <w:spacing w:before="0" w:line="240" w:lineRule="auto"/>
              <w:jc w:val="center"/>
              <w:rPr>
                <w:rFonts w:ascii="宋体" w:hAnsi="宋体" w:cs="宋体"/>
                <w:color w:val="auto"/>
                <w:szCs w:val="24"/>
                <w:highlight w:val="none"/>
              </w:rPr>
            </w:pPr>
          </w:p>
        </w:tc>
        <w:tc>
          <w:tcPr>
            <w:tcW w:w="2195" w:type="dxa"/>
            <w:tcBorders>
              <w:top w:val="single" w:color="auto" w:sz="4" w:space="0"/>
              <w:left w:val="single" w:color="auto" w:sz="4" w:space="0"/>
              <w:bottom w:val="single" w:color="auto" w:sz="4" w:space="0"/>
              <w:right w:val="single" w:color="auto" w:sz="4" w:space="0"/>
            </w:tcBorders>
            <w:noWrap/>
            <w:vAlign w:val="center"/>
          </w:tcPr>
          <w:p w14:paraId="6D8C1ADB">
            <w:pPr>
              <w:pStyle w:val="35"/>
              <w:snapToGrid w:val="0"/>
              <w:spacing w:before="0" w:line="240" w:lineRule="auto"/>
              <w:jc w:val="center"/>
              <w:rPr>
                <w:rFonts w:ascii="宋体" w:hAnsi="宋体" w:cs="宋体"/>
                <w:color w:val="auto"/>
                <w:szCs w:val="24"/>
                <w:highlight w:val="none"/>
              </w:rPr>
            </w:pPr>
            <w:r>
              <w:rPr>
                <w:rFonts w:hint="eastAsia" w:ascii="宋体" w:hAnsi="宋体" w:cs="宋体"/>
                <w:color w:val="auto"/>
                <w:szCs w:val="24"/>
                <w:highlight w:val="none"/>
              </w:rPr>
              <w:t>行政人员</w:t>
            </w:r>
          </w:p>
        </w:tc>
        <w:tc>
          <w:tcPr>
            <w:tcW w:w="732" w:type="dxa"/>
            <w:tcBorders>
              <w:top w:val="single" w:color="auto" w:sz="4" w:space="0"/>
              <w:left w:val="single" w:color="auto" w:sz="4" w:space="0"/>
              <w:bottom w:val="single" w:color="auto" w:sz="4" w:space="0"/>
              <w:right w:val="single" w:color="auto" w:sz="4" w:space="0"/>
            </w:tcBorders>
            <w:noWrap/>
            <w:vAlign w:val="center"/>
          </w:tcPr>
          <w:p w14:paraId="45E6E738">
            <w:pPr>
              <w:pStyle w:val="35"/>
              <w:snapToGrid w:val="0"/>
              <w:spacing w:before="0" w:line="240" w:lineRule="auto"/>
              <w:jc w:val="center"/>
              <w:rPr>
                <w:rFonts w:ascii="宋体" w:hAnsi="宋体" w:cs="宋体"/>
                <w:color w:val="auto"/>
                <w:szCs w:val="24"/>
                <w:highlight w:val="none"/>
              </w:rPr>
            </w:pPr>
            <w:r>
              <w:rPr>
                <w:rFonts w:hint="eastAsia" w:ascii="宋体" w:hAnsi="宋体" w:cs="宋体"/>
                <w:color w:val="auto"/>
                <w:szCs w:val="24"/>
                <w:highlight w:val="none"/>
              </w:rPr>
              <w:t>1</w:t>
            </w:r>
          </w:p>
        </w:tc>
        <w:tc>
          <w:tcPr>
            <w:tcW w:w="3970" w:type="dxa"/>
            <w:tcBorders>
              <w:top w:val="single" w:color="auto" w:sz="4" w:space="0"/>
              <w:left w:val="single" w:color="auto" w:sz="4" w:space="0"/>
              <w:bottom w:val="single" w:color="auto" w:sz="4" w:space="0"/>
              <w:right w:val="single" w:color="auto" w:sz="4" w:space="0"/>
            </w:tcBorders>
            <w:noWrap/>
            <w:vAlign w:val="center"/>
          </w:tcPr>
          <w:p w14:paraId="3E3A8A4C">
            <w:pPr>
              <w:pStyle w:val="35"/>
              <w:snapToGrid w:val="0"/>
              <w:spacing w:before="0" w:line="240" w:lineRule="auto"/>
              <w:jc w:val="center"/>
              <w:rPr>
                <w:rFonts w:ascii="宋体" w:hAnsi="宋体" w:cs="宋体"/>
                <w:color w:val="auto"/>
                <w:szCs w:val="24"/>
                <w:highlight w:val="none"/>
              </w:rPr>
            </w:pPr>
            <w:r>
              <w:rPr>
                <w:rFonts w:hint="eastAsia" w:ascii="宋体" w:hAnsi="宋体" w:cs="宋体"/>
                <w:color w:val="auto"/>
                <w:szCs w:val="24"/>
                <w:highlight w:val="none"/>
              </w:rPr>
              <w:t>大专以上学历，熟练使用电脑,女性年龄35岁以下，身高162CM以上，形象气质佳。</w:t>
            </w:r>
          </w:p>
        </w:tc>
        <w:tc>
          <w:tcPr>
            <w:tcW w:w="1335" w:type="dxa"/>
            <w:vMerge w:val="continue"/>
            <w:tcBorders>
              <w:left w:val="single" w:color="auto" w:sz="4" w:space="0"/>
              <w:right w:val="single" w:color="auto" w:sz="4" w:space="0"/>
            </w:tcBorders>
            <w:noWrap/>
            <w:vAlign w:val="center"/>
          </w:tcPr>
          <w:p w14:paraId="0BBD1BE4">
            <w:pPr>
              <w:pStyle w:val="35"/>
              <w:snapToGrid w:val="0"/>
              <w:spacing w:before="0" w:line="240" w:lineRule="auto"/>
              <w:jc w:val="center"/>
              <w:rPr>
                <w:rFonts w:ascii="宋体" w:hAnsi="宋体" w:cs="宋体"/>
                <w:color w:val="auto"/>
                <w:szCs w:val="24"/>
                <w:highlight w:val="none"/>
              </w:rPr>
            </w:pPr>
          </w:p>
        </w:tc>
      </w:tr>
      <w:tr w14:paraId="74BE1D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 w:hRule="atLeast"/>
        </w:trPr>
        <w:tc>
          <w:tcPr>
            <w:tcW w:w="981" w:type="dxa"/>
            <w:vMerge w:val="continue"/>
            <w:tcBorders>
              <w:left w:val="single" w:color="auto" w:sz="4" w:space="0"/>
              <w:right w:val="single" w:color="auto" w:sz="4" w:space="0"/>
            </w:tcBorders>
            <w:noWrap/>
            <w:vAlign w:val="center"/>
          </w:tcPr>
          <w:p w14:paraId="1C5C50D2">
            <w:pPr>
              <w:pStyle w:val="35"/>
              <w:snapToGrid w:val="0"/>
              <w:spacing w:before="0" w:line="240" w:lineRule="auto"/>
              <w:jc w:val="center"/>
              <w:rPr>
                <w:rFonts w:ascii="宋体" w:hAnsi="宋体" w:cs="宋体"/>
                <w:color w:val="auto"/>
                <w:szCs w:val="24"/>
                <w:highlight w:val="none"/>
              </w:rPr>
            </w:pPr>
          </w:p>
        </w:tc>
        <w:tc>
          <w:tcPr>
            <w:tcW w:w="2195" w:type="dxa"/>
            <w:tcBorders>
              <w:top w:val="single" w:color="auto" w:sz="4" w:space="0"/>
              <w:left w:val="single" w:color="auto" w:sz="4" w:space="0"/>
              <w:bottom w:val="single" w:color="auto" w:sz="4" w:space="0"/>
              <w:right w:val="single" w:color="auto" w:sz="4" w:space="0"/>
            </w:tcBorders>
            <w:noWrap/>
            <w:vAlign w:val="center"/>
          </w:tcPr>
          <w:p w14:paraId="4A924F37">
            <w:pPr>
              <w:pStyle w:val="35"/>
              <w:snapToGrid w:val="0"/>
              <w:spacing w:before="0" w:line="240" w:lineRule="auto"/>
              <w:jc w:val="center"/>
              <w:rPr>
                <w:rFonts w:ascii="宋体" w:hAnsi="宋体" w:cs="宋体"/>
                <w:color w:val="auto"/>
                <w:szCs w:val="24"/>
                <w:highlight w:val="none"/>
              </w:rPr>
            </w:pPr>
            <w:r>
              <w:rPr>
                <w:rFonts w:hint="eastAsia" w:ascii="宋体" w:hAnsi="宋体" w:cs="宋体"/>
                <w:color w:val="auto"/>
                <w:szCs w:val="24"/>
                <w:highlight w:val="none"/>
              </w:rPr>
              <w:t>客服人员</w:t>
            </w:r>
          </w:p>
        </w:tc>
        <w:tc>
          <w:tcPr>
            <w:tcW w:w="732" w:type="dxa"/>
            <w:tcBorders>
              <w:top w:val="single" w:color="auto" w:sz="4" w:space="0"/>
              <w:left w:val="single" w:color="auto" w:sz="4" w:space="0"/>
              <w:bottom w:val="single" w:color="auto" w:sz="4" w:space="0"/>
              <w:right w:val="single" w:color="auto" w:sz="4" w:space="0"/>
            </w:tcBorders>
            <w:noWrap/>
            <w:vAlign w:val="center"/>
          </w:tcPr>
          <w:p w14:paraId="0A90B57E">
            <w:pPr>
              <w:pStyle w:val="35"/>
              <w:snapToGrid w:val="0"/>
              <w:spacing w:before="0" w:line="240" w:lineRule="auto"/>
              <w:jc w:val="center"/>
              <w:rPr>
                <w:rFonts w:ascii="宋体" w:hAnsi="宋体" w:cs="宋体"/>
                <w:color w:val="auto"/>
                <w:szCs w:val="24"/>
                <w:highlight w:val="none"/>
              </w:rPr>
            </w:pPr>
            <w:r>
              <w:rPr>
                <w:rFonts w:hint="eastAsia" w:ascii="宋体" w:hAnsi="宋体" w:cs="宋体"/>
                <w:color w:val="auto"/>
                <w:szCs w:val="24"/>
                <w:highlight w:val="none"/>
              </w:rPr>
              <w:t>2</w:t>
            </w:r>
          </w:p>
        </w:tc>
        <w:tc>
          <w:tcPr>
            <w:tcW w:w="3970" w:type="dxa"/>
            <w:tcBorders>
              <w:top w:val="single" w:color="auto" w:sz="4" w:space="0"/>
              <w:left w:val="single" w:color="auto" w:sz="4" w:space="0"/>
              <w:bottom w:val="single" w:color="auto" w:sz="4" w:space="0"/>
              <w:right w:val="single" w:color="auto" w:sz="4" w:space="0"/>
            </w:tcBorders>
            <w:noWrap/>
            <w:vAlign w:val="center"/>
          </w:tcPr>
          <w:p w14:paraId="5416FC84">
            <w:pPr>
              <w:pStyle w:val="35"/>
              <w:snapToGrid w:val="0"/>
              <w:spacing w:before="0" w:line="240" w:lineRule="auto"/>
              <w:jc w:val="center"/>
              <w:rPr>
                <w:rFonts w:ascii="宋体" w:hAnsi="宋体" w:cs="宋体"/>
                <w:color w:val="auto"/>
                <w:szCs w:val="24"/>
                <w:highlight w:val="none"/>
              </w:rPr>
            </w:pPr>
            <w:r>
              <w:rPr>
                <w:rFonts w:hint="eastAsia" w:ascii="宋体" w:hAnsi="宋体" w:cs="宋体"/>
                <w:color w:val="auto"/>
                <w:szCs w:val="24"/>
                <w:highlight w:val="none"/>
              </w:rPr>
              <w:t>大专以上学历，女性年龄35岁以下，身高165CM以上，形象气质佳。</w:t>
            </w:r>
          </w:p>
        </w:tc>
        <w:tc>
          <w:tcPr>
            <w:tcW w:w="1335" w:type="dxa"/>
            <w:vMerge w:val="continue"/>
            <w:tcBorders>
              <w:left w:val="single" w:color="auto" w:sz="4" w:space="0"/>
              <w:right w:val="single" w:color="auto" w:sz="4" w:space="0"/>
            </w:tcBorders>
            <w:noWrap/>
            <w:vAlign w:val="center"/>
          </w:tcPr>
          <w:p w14:paraId="4FC9C71D">
            <w:pPr>
              <w:pStyle w:val="35"/>
              <w:snapToGrid w:val="0"/>
              <w:spacing w:before="0" w:line="240" w:lineRule="auto"/>
              <w:jc w:val="center"/>
              <w:rPr>
                <w:rFonts w:ascii="宋体" w:hAnsi="宋体" w:cs="宋体"/>
                <w:color w:val="auto"/>
                <w:szCs w:val="24"/>
                <w:highlight w:val="none"/>
              </w:rPr>
            </w:pPr>
          </w:p>
        </w:tc>
      </w:tr>
      <w:tr w14:paraId="7158EA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 w:hRule="atLeast"/>
        </w:trPr>
        <w:tc>
          <w:tcPr>
            <w:tcW w:w="981" w:type="dxa"/>
            <w:vMerge w:val="continue"/>
            <w:tcBorders>
              <w:left w:val="single" w:color="auto" w:sz="4" w:space="0"/>
              <w:bottom w:val="single" w:color="auto" w:sz="4" w:space="0"/>
              <w:right w:val="single" w:color="auto" w:sz="4" w:space="0"/>
            </w:tcBorders>
            <w:noWrap/>
            <w:vAlign w:val="center"/>
          </w:tcPr>
          <w:p w14:paraId="7E2705EF">
            <w:pPr>
              <w:pStyle w:val="35"/>
              <w:snapToGrid w:val="0"/>
              <w:spacing w:before="0" w:line="240" w:lineRule="auto"/>
              <w:jc w:val="center"/>
              <w:rPr>
                <w:rFonts w:ascii="宋体" w:hAnsi="宋体" w:cs="宋体"/>
                <w:color w:val="auto"/>
                <w:szCs w:val="24"/>
                <w:highlight w:val="none"/>
              </w:rPr>
            </w:pPr>
          </w:p>
        </w:tc>
        <w:tc>
          <w:tcPr>
            <w:tcW w:w="2195" w:type="dxa"/>
            <w:tcBorders>
              <w:top w:val="single" w:color="auto" w:sz="4" w:space="0"/>
              <w:left w:val="single" w:color="auto" w:sz="4" w:space="0"/>
              <w:bottom w:val="single" w:color="auto" w:sz="4" w:space="0"/>
              <w:right w:val="single" w:color="auto" w:sz="4" w:space="0"/>
            </w:tcBorders>
            <w:noWrap/>
            <w:vAlign w:val="center"/>
          </w:tcPr>
          <w:p w14:paraId="7763317A">
            <w:pPr>
              <w:pStyle w:val="35"/>
              <w:snapToGrid w:val="0"/>
              <w:spacing w:before="0" w:line="240" w:lineRule="auto"/>
              <w:jc w:val="center"/>
              <w:rPr>
                <w:rFonts w:ascii="宋体" w:hAnsi="宋体" w:cs="宋体"/>
                <w:color w:val="auto"/>
                <w:szCs w:val="24"/>
                <w:highlight w:val="none"/>
              </w:rPr>
            </w:pPr>
            <w:r>
              <w:rPr>
                <w:rFonts w:hint="eastAsia" w:ascii="宋体" w:hAnsi="宋体" w:cs="宋体"/>
                <w:color w:val="auto"/>
                <w:szCs w:val="24"/>
                <w:highlight w:val="none"/>
              </w:rPr>
              <w:t>会务人员</w:t>
            </w:r>
          </w:p>
        </w:tc>
        <w:tc>
          <w:tcPr>
            <w:tcW w:w="732" w:type="dxa"/>
            <w:tcBorders>
              <w:top w:val="single" w:color="auto" w:sz="4" w:space="0"/>
              <w:left w:val="single" w:color="auto" w:sz="4" w:space="0"/>
              <w:bottom w:val="single" w:color="auto" w:sz="4" w:space="0"/>
              <w:right w:val="single" w:color="auto" w:sz="4" w:space="0"/>
            </w:tcBorders>
            <w:noWrap/>
            <w:vAlign w:val="center"/>
          </w:tcPr>
          <w:p w14:paraId="4E34638D">
            <w:pPr>
              <w:pStyle w:val="35"/>
              <w:snapToGrid w:val="0"/>
              <w:spacing w:before="0" w:line="240" w:lineRule="auto"/>
              <w:jc w:val="center"/>
              <w:rPr>
                <w:rFonts w:ascii="宋体" w:hAnsi="宋体" w:cs="宋体"/>
                <w:color w:val="auto"/>
                <w:szCs w:val="24"/>
                <w:highlight w:val="none"/>
              </w:rPr>
            </w:pPr>
            <w:r>
              <w:rPr>
                <w:rFonts w:hint="eastAsia" w:ascii="宋体" w:hAnsi="宋体" w:cs="宋体"/>
                <w:color w:val="auto"/>
                <w:szCs w:val="24"/>
                <w:highlight w:val="none"/>
              </w:rPr>
              <w:t>1</w:t>
            </w:r>
          </w:p>
        </w:tc>
        <w:tc>
          <w:tcPr>
            <w:tcW w:w="3970" w:type="dxa"/>
            <w:tcBorders>
              <w:top w:val="single" w:color="auto" w:sz="4" w:space="0"/>
              <w:left w:val="single" w:color="auto" w:sz="4" w:space="0"/>
              <w:bottom w:val="single" w:color="auto" w:sz="4" w:space="0"/>
              <w:right w:val="single" w:color="auto" w:sz="4" w:space="0"/>
            </w:tcBorders>
            <w:noWrap/>
            <w:vAlign w:val="center"/>
          </w:tcPr>
          <w:p w14:paraId="54D835DD">
            <w:pPr>
              <w:pStyle w:val="35"/>
              <w:snapToGrid w:val="0"/>
              <w:spacing w:before="0" w:line="240" w:lineRule="auto"/>
              <w:jc w:val="center"/>
              <w:rPr>
                <w:rFonts w:ascii="宋体" w:hAnsi="宋体" w:cs="宋体"/>
                <w:color w:val="auto"/>
                <w:szCs w:val="24"/>
                <w:highlight w:val="none"/>
              </w:rPr>
            </w:pPr>
            <w:r>
              <w:rPr>
                <w:rFonts w:hint="eastAsia" w:ascii="宋体" w:hAnsi="宋体" w:cs="宋体"/>
                <w:color w:val="auto"/>
                <w:szCs w:val="24"/>
                <w:highlight w:val="none"/>
              </w:rPr>
              <w:t>1年以上岗位经验，大专以上学历，女性年龄35岁以下，身高165CM以上，形象气质佳。</w:t>
            </w:r>
          </w:p>
        </w:tc>
        <w:tc>
          <w:tcPr>
            <w:tcW w:w="1335" w:type="dxa"/>
            <w:vMerge w:val="continue"/>
            <w:tcBorders>
              <w:left w:val="single" w:color="auto" w:sz="4" w:space="0"/>
              <w:bottom w:val="single" w:color="auto" w:sz="4" w:space="0"/>
              <w:right w:val="single" w:color="auto" w:sz="4" w:space="0"/>
            </w:tcBorders>
            <w:noWrap/>
            <w:vAlign w:val="center"/>
          </w:tcPr>
          <w:p w14:paraId="6610D4C0">
            <w:pPr>
              <w:pStyle w:val="35"/>
              <w:snapToGrid w:val="0"/>
              <w:spacing w:before="0" w:line="240" w:lineRule="auto"/>
              <w:jc w:val="center"/>
              <w:rPr>
                <w:rFonts w:ascii="宋体" w:hAnsi="宋体" w:cs="宋体"/>
                <w:color w:val="auto"/>
                <w:szCs w:val="24"/>
                <w:highlight w:val="none"/>
              </w:rPr>
            </w:pPr>
          </w:p>
        </w:tc>
      </w:tr>
      <w:tr w14:paraId="24FAD3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 w:hRule="atLeast"/>
        </w:trPr>
        <w:tc>
          <w:tcPr>
            <w:tcW w:w="981" w:type="dxa"/>
            <w:vMerge w:val="restart"/>
            <w:tcBorders>
              <w:top w:val="single" w:color="auto" w:sz="4" w:space="0"/>
              <w:left w:val="single" w:color="auto" w:sz="4" w:space="0"/>
              <w:right w:val="single" w:color="auto" w:sz="4" w:space="0"/>
            </w:tcBorders>
            <w:noWrap/>
            <w:vAlign w:val="center"/>
          </w:tcPr>
          <w:p w14:paraId="48668B8A">
            <w:pPr>
              <w:pStyle w:val="35"/>
              <w:snapToGrid w:val="0"/>
              <w:spacing w:before="0" w:line="240" w:lineRule="auto"/>
              <w:jc w:val="center"/>
              <w:rPr>
                <w:rFonts w:ascii="宋体" w:hAnsi="宋体" w:cs="宋体"/>
                <w:color w:val="auto"/>
                <w:szCs w:val="24"/>
                <w:highlight w:val="none"/>
              </w:rPr>
            </w:pPr>
            <w:r>
              <w:rPr>
                <w:rFonts w:hint="eastAsia" w:ascii="宋体" w:hAnsi="宋体" w:cs="宋体"/>
                <w:color w:val="auto"/>
                <w:szCs w:val="24"/>
                <w:highlight w:val="none"/>
              </w:rPr>
              <w:t>环境管理</w:t>
            </w:r>
          </w:p>
        </w:tc>
        <w:tc>
          <w:tcPr>
            <w:tcW w:w="2195" w:type="dxa"/>
            <w:tcBorders>
              <w:top w:val="single" w:color="auto" w:sz="4" w:space="0"/>
              <w:left w:val="single" w:color="auto" w:sz="4" w:space="0"/>
              <w:bottom w:val="single" w:color="auto" w:sz="4" w:space="0"/>
              <w:right w:val="single" w:color="auto" w:sz="4" w:space="0"/>
            </w:tcBorders>
            <w:noWrap/>
            <w:vAlign w:val="center"/>
          </w:tcPr>
          <w:p w14:paraId="4ACEB3A7">
            <w:pPr>
              <w:pStyle w:val="35"/>
              <w:snapToGrid w:val="0"/>
              <w:spacing w:before="0" w:line="240" w:lineRule="auto"/>
              <w:jc w:val="center"/>
              <w:rPr>
                <w:rFonts w:ascii="宋体" w:hAnsi="宋体" w:cs="宋体"/>
                <w:color w:val="auto"/>
                <w:szCs w:val="24"/>
                <w:highlight w:val="none"/>
              </w:rPr>
            </w:pPr>
            <w:r>
              <w:rPr>
                <w:rFonts w:hint="eastAsia" w:ascii="宋体" w:hAnsi="宋体" w:cs="宋体"/>
                <w:color w:val="auto"/>
                <w:szCs w:val="24"/>
                <w:highlight w:val="none"/>
              </w:rPr>
              <w:t>保洁领班</w:t>
            </w:r>
          </w:p>
        </w:tc>
        <w:tc>
          <w:tcPr>
            <w:tcW w:w="732" w:type="dxa"/>
            <w:tcBorders>
              <w:top w:val="single" w:color="auto" w:sz="4" w:space="0"/>
              <w:left w:val="single" w:color="auto" w:sz="4" w:space="0"/>
              <w:bottom w:val="single" w:color="auto" w:sz="4" w:space="0"/>
              <w:right w:val="single" w:color="auto" w:sz="4" w:space="0"/>
            </w:tcBorders>
            <w:noWrap/>
            <w:vAlign w:val="center"/>
          </w:tcPr>
          <w:p w14:paraId="19DB405D">
            <w:pPr>
              <w:pStyle w:val="35"/>
              <w:snapToGrid w:val="0"/>
              <w:spacing w:before="0" w:line="240" w:lineRule="auto"/>
              <w:jc w:val="center"/>
              <w:rPr>
                <w:rFonts w:ascii="宋体" w:hAnsi="宋体" w:cs="宋体"/>
                <w:color w:val="auto"/>
                <w:szCs w:val="24"/>
                <w:highlight w:val="none"/>
              </w:rPr>
            </w:pPr>
            <w:r>
              <w:rPr>
                <w:rFonts w:hint="eastAsia" w:ascii="宋体" w:hAnsi="宋体" w:cs="宋体"/>
                <w:color w:val="auto"/>
                <w:szCs w:val="24"/>
                <w:highlight w:val="none"/>
              </w:rPr>
              <w:t>1</w:t>
            </w:r>
          </w:p>
        </w:tc>
        <w:tc>
          <w:tcPr>
            <w:tcW w:w="3970" w:type="dxa"/>
            <w:tcBorders>
              <w:top w:val="single" w:color="auto" w:sz="4" w:space="0"/>
              <w:left w:val="single" w:color="auto" w:sz="4" w:space="0"/>
              <w:bottom w:val="single" w:color="auto" w:sz="4" w:space="0"/>
              <w:right w:val="single" w:color="auto" w:sz="4" w:space="0"/>
            </w:tcBorders>
            <w:noWrap/>
            <w:vAlign w:val="center"/>
          </w:tcPr>
          <w:p w14:paraId="388AF640">
            <w:pPr>
              <w:pStyle w:val="35"/>
              <w:snapToGrid w:val="0"/>
              <w:spacing w:before="0" w:line="240" w:lineRule="auto"/>
              <w:jc w:val="center"/>
              <w:rPr>
                <w:rFonts w:ascii="宋体" w:hAnsi="宋体" w:cs="宋体"/>
                <w:color w:val="auto"/>
                <w:szCs w:val="24"/>
                <w:highlight w:val="none"/>
              </w:rPr>
            </w:pPr>
            <w:r>
              <w:rPr>
                <w:rFonts w:hint="eastAsia" w:ascii="宋体" w:hAnsi="宋体" w:cs="宋体"/>
                <w:color w:val="auto"/>
                <w:szCs w:val="24"/>
                <w:highlight w:val="none"/>
              </w:rPr>
              <w:t>年龄50岁以下，具有3年以上岗位经验，负责保洁人员的指导和管理工作。</w:t>
            </w:r>
          </w:p>
        </w:tc>
        <w:tc>
          <w:tcPr>
            <w:tcW w:w="1335" w:type="dxa"/>
            <w:vMerge w:val="restart"/>
            <w:tcBorders>
              <w:top w:val="single" w:color="auto" w:sz="4" w:space="0"/>
              <w:left w:val="single" w:color="auto" w:sz="4" w:space="0"/>
              <w:right w:val="single" w:color="auto" w:sz="4" w:space="0"/>
            </w:tcBorders>
            <w:noWrap/>
            <w:vAlign w:val="center"/>
          </w:tcPr>
          <w:p w14:paraId="1C0E35D1">
            <w:pPr>
              <w:pStyle w:val="35"/>
              <w:snapToGrid w:val="0"/>
              <w:spacing w:before="0" w:line="240" w:lineRule="auto"/>
              <w:jc w:val="center"/>
              <w:rPr>
                <w:rFonts w:ascii="宋体" w:hAnsi="宋体" w:cs="宋体"/>
                <w:color w:val="auto"/>
                <w:szCs w:val="24"/>
                <w:highlight w:val="none"/>
              </w:rPr>
            </w:pPr>
            <w:r>
              <w:rPr>
                <w:rFonts w:hint="eastAsia" w:ascii="宋体" w:hAnsi="宋体" w:cs="宋体"/>
                <w:color w:val="auto"/>
                <w:szCs w:val="24"/>
                <w:highlight w:val="none"/>
              </w:rPr>
              <w:t>A.白班：7:30—18:30；B. 周末、节假日为轮班制。</w:t>
            </w:r>
          </w:p>
        </w:tc>
      </w:tr>
      <w:tr w14:paraId="0C3766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 w:hRule="atLeast"/>
        </w:trPr>
        <w:tc>
          <w:tcPr>
            <w:tcW w:w="981" w:type="dxa"/>
            <w:vMerge w:val="continue"/>
            <w:tcBorders>
              <w:left w:val="single" w:color="auto" w:sz="4" w:space="0"/>
              <w:right w:val="single" w:color="auto" w:sz="4" w:space="0"/>
            </w:tcBorders>
            <w:noWrap/>
            <w:vAlign w:val="center"/>
          </w:tcPr>
          <w:p w14:paraId="607879E7">
            <w:pPr>
              <w:pStyle w:val="35"/>
              <w:snapToGrid w:val="0"/>
              <w:spacing w:before="0" w:line="240" w:lineRule="auto"/>
              <w:jc w:val="center"/>
              <w:rPr>
                <w:rFonts w:ascii="宋体" w:hAnsi="宋体" w:cs="宋体"/>
                <w:color w:val="auto"/>
                <w:szCs w:val="24"/>
                <w:highlight w:val="none"/>
              </w:rPr>
            </w:pPr>
          </w:p>
        </w:tc>
        <w:tc>
          <w:tcPr>
            <w:tcW w:w="2195" w:type="dxa"/>
            <w:tcBorders>
              <w:top w:val="single" w:color="auto" w:sz="4" w:space="0"/>
              <w:left w:val="single" w:color="auto" w:sz="4" w:space="0"/>
              <w:bottom w:val="single" w:color="auto" w:sz="4" w:space="0"/>
              <w:right w:val="single" w:color="auto" w:sz="4" w:space="0"/>
            </w:tcBorders>
            <w:noWrap/>
            <w:vAlign w:val="center"/>
          </w:tcPr>
          <w:p w14:paraId="2951DB1F">
            <w:pPr>
              <w:pStyle w:val="35"/>
              <w:snapToGrid w:val="0"/>
              <w:spacing w:before="0" w:line="240" w:lineRule="auto"/>
              <w:jc w:val="center"/>
              <w:rPr>
                <w:rFonts w:ascii="宋体" w:hAnsi="宋体" w:cs="宋体"/>
                <w:color w:val="auto"/>
                <w:szCs w:val="24"/>
                <w:highlight w:val="none"/>
              </w:rPr>
            </w:pPr>
            <w:r>
              <w:rPr>
                <w:rFonts w:hint="eastAsia" w:ascii="宋体" w:hAnsi="宋体" w:cs="宋体"/>
                <w:color w:val="auto"/>
                <w:szCs w:val="24"/>
                <w:highlight w:val="none"/>
              </w:rPr>
              <w:t>保洁人员</w:t>
            </w:r>
          </w:p>
        </w:tc>
        <w:tc>
          <w:tcPr>
            <w:tcW w:w="732" w:type="dxa"/>
            <w:tcBorders>
              <w:top w:val="single" w:color="auto" w:sz="4" w:space="0"/>
              <w:left w:val="single" w:color="auto" w:sz="4" w:space="0"/>
              <w:bottom w:val="single" w:color="auto" w:sz="4" w:space="0"/>
              <w:right w:val="single" w:color="auto" w:sz="4" w:space="0"/>
            </w:tcBorders>
            <w:noWrap/>
            <w:vAlign w:val="center"/>
          </w:tcPr>
          <w:p w14:paraId="01835115">
            <w:pPr>
              <w:pStyle w:val="35"/>
              <w:snapToGrid w:val="0"/>
              <w:spacing w:before="0" w:line="240" w:lineRule="auto"/>
              <w:jc w:val="center"/>
              <w:rPr>
                <w:rFonts w:ascii="宋体" w:hAnsi="宋体" w:cs="宋体"/>
                <w:color w:val="auto"/>
                <w:szCs w:val="24"/>
                <w:highlight w:val="none"/>
              </w:rPr>
            </w:pPr>
            <w:r>
              <w:rPr>
                <w:rFonts w:hint="eastAsia" w:ascii="宋体" w:hAnsi="宋体" w:cs="宋体"/>
                <w:color w:val="auto"/>
                <w:szCs w:val="24"/>
                <w:highlight w:val="none"/>
              </w:rPr>
              <w:t>6</w:t>
            </w:r>
          </w:p>
        </w:tc>
        <w:tc>
          <w:tcPr>
            <w:tcW w:w="3970" w:type="dxa"/>
            <w:tcBorders>
              <w:top w:val="single" w:color="auto" w:sz="4" w:space="0"/>
              <w:left w:val="single" w:color="auto" w:sz="4" w:space="0"/>
              <w:bottom w:val="single" w:color="auto" w:sz="4" w:space="0"/>
              <w:right w:val="single" w:color="auto" w:sz="4" w:space="0"/>
            </w:tcBorders>
            <w:noWrap/>
            <w:vAlign w:val="center"/>
          </w:tcPr>
          <w:p w14:paraId="6B337A79">
            <w:pPr>
              <w:pStyle w:val="35"/>
              <w:snapToGrid w:val="0"/>
              <w:spacing w:before="0" w:line="240" w:lineRule="auto"/>
              <w:jc w:val="center"/>
              <w:rPr>
                <w:rFonts w:ascii="宋体" w:hAnsi="宋体" w:cs="宋体"/>
                <w:color w:val="auto"/>
                <w:szCs w:val="24"/>
                <w:highlight w:val="none"/>
              </w:rPr>
            </w:pPr>
            <w:r>
              <w:rPr>
                <w:rFonts w:hint="eastAsia" w:ascii="宋体" w:hAnsi="宋体" w:cs="宋体"/>
                <w:color w:val="auto"/>
                <w:szCs w:val="24"/>
                <w:highlight w:val="none"/>
              </w:rPr>
              <w:t>年龄55岁以下</w:t>
            </w:r>
          </w:p>
        </w:tc>
        <w:tc>
          <w:tcPr>
            <w:tcW w:w="1335" w:type="dxa"/>
            <w:vMerge w:val="continue"/>
            <w:tcBorders>
              <w:left w:val="single" w:color="auto" w:sz="4" w:space="0"/>
              <w:right w:val="single" w:color="auto" w:sz="4" w:space="0"/>
            </w:tcBorders>
            <w:noWrap/>
            <w:vAlign w:val="center"/>
          </w:tcPr>
          <w:p w14:paraId="607C60D5">
            <w:pPr>
              <w:pStyle w:val="35"/>
              <w:snapToGrid w:val="0"/>
              <w:spacing w:before="0" w:line="240" w:lineRule="auto"/>
              <w:jc w:val="center"/>
              <w:rPr>
                <w:rFonts w:ascii="宋体" w:hAnsi="宋体" w:cs="宋体"/>
                <w:color w:val="auto"/>
                <w:szCs w:val="24"/>
                <w:highlight w:val="none"/>
              </w:rPr>
            </w:pPr>
          </w:p>
        </w:tc>
      </w:tr>
      <w:tr w14:paraId="1CFDE9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 w:hRule="atLeast"/>
        </w:trPr>
        <w:tc>
          <w:tcPr>
            <w:tcW w:w="981" w:type="dxa"/>
            <w:vMerge w:val="continue"/>
            <w:tcBorders>
              <w:left w:val="single" w:color="auto" w:sz="4" w:space="0"/>
              <w:bottom w:val="single" w:color="auto" w:sz="4" w:space="0"/>
              <w:right w:val="single" w:color="auto" w:sz="4" w:space="0"/>
            </w:tcBorders>
            <w:noWrap/>
            <w:vAlign w:val="center"/>
          </w:tcPr>
          <w:p w14:paraId="1AC1B78B">
            <w:pPr>
              <w:pStyle w:val="35"/>
              <w:snapToGrid w:val="0"/>
              <w:spacing w:before="0" w:line="240" w:lineRule="auto"/>
              <w:jc w:val="center"/>
              <w:rPr>
                <w:rFonts w:ascii="宋体" w:hAnsi="宋体" w:cs="宋体"/>
                <w:color w:val="auto"/>
                <w:szCs w:val="24"/>
                <w:highlight w:val="none"/>
              </w:rPr>
            </w:pPr>
          </w:p>
        </w:tc>
        <w:tc>
          <w:tcPr>
            <w:tcW w:w="2195" w:type="dxa"/>
            <w:tcBorders>
              <w:top w:val="single" w:color="auto" w:sz="4" w:space="0"/>
              <w:left w:val="single" w:color="auto" w:sz="4" w:space="0"/>
              <w:bottom w:val="single" w:color="auto" w:sz="4" w:space="0"/>
              <w:right w:val="single" w:color="auto" w:sz="4" w:space="0"/>
            </w:tcBorders>
            <w:noWrap/>
            <w:vAlign w:val="center"/>
          </w:tcPr>
          <w:p w14:paraId="4228477C">
            <w:pPr>
              <w:pStyle w:val="35"/>
              <w:snapToGrid w:val="0"/>
              <w:spacing w:before="0" w:line="240" w:lineRule="auto"/>
              <w:jc w:val="center"/>
              <w:rPr>
                <w:rFonts w:ascii="宋体" w:hAnsi="宋体" w:cs="宋体"/>
                <w:color w:val="auto"/>
                <w:szCs w:val="24"/>
                <w:highlight w:val="none"/>
              </w:rPr>
            </w:pPr>
            <w:r>
              <w:rPr>
                <w:rFonts w:hint="eastAsia" w:ascii="宋体" w:hAnsi="宋体" w:cs="宋体"/>
                <w:color w:val="auto"/>
                <w:szCs w:val="24"/>
                <w:highlight w:val="none"/>
              </w:rPr>
              <w:t>绿化维护人员</w:t>
            </w:r>
          </w:p>
        </w:tc>
        <w:tc>
          <w:tcPr>
            <w:tcW w:w="732" w:type="dxa"/>
            <w:tcBorders>
              <w:top w:val="single" w:color="auto" w:sz="4" w:space="0"/>
              <w:left w:val="single" w:color="auto" w:sz="4" w:space="0"/>
              <w:bottom w:val="single" w:color="auto" w:sz="4" w:space="0"/>
              <w:right w:val="single" w:color="auto" w:sz="4" w:space="0"/>
            </w:tcBorders>
            <w:noWrap/>
            <w:vAlign w:val="center"/>
          </w:tcPr>
          <w:p w14:paraId="479CE9ED">
            <w:pPr>
              <w:pStyle w:val="35"/>
              <w:snapToGrid w:val="0"/>
              <w:spacing w:before="0" w:line="240" w:lineRule="auto"/>
              <w:jc w:val="center"/>
              <w:rPr>
                <w:rFonts w:ascii="宋体" w:hAnsi="宋体" w:cs="宋体"/>
                <w:color w:val="auto"/>
                <w:szCs w:val="24"/>
                <w:highlight w:val="none"/>
              </w:rPr>
            </w:pPr>
            <w:r>
              <w:rPr>
                <w:rFonts w:hint="eastAsia" w:ascii="宋体" w:hAnsi="宋体" w:cs="宋体"/>
                <w:color w:val="auto"/>
                <w:szCs w:val="24"/>
                <w:highlight w:val="none"/>
              </w:rPr>
              <w:t>2</w:t>
            </w:r>
          </w:p>
        </w:tc>
        <w:tc>
          <w:tcPr>
            <w:tcW w:w="3970" w:type="dxa"/>
            <w:tcBorders>
              <w:top w:val="single" w:color="auto" w:sz="4" w:space="0"/>
              <w:left w:val="single" w:color="auto" w:sz="4" w:space="0"/>
              <w:bottom w:val="single" w:color="auto" w:sz="4" w:space="0"/>
              <w:right w:val="single" w:color="auto" w:sz="4" w:space="0"/>
            </w:tcBorders>
            <w:noWrap/>
            <w:vAlign w:val="center"/>
          </w:tcPr>
          <w:p w14:paraId="530E4228">
            <w:pPr>
              <w:pStyle w:val="35"/>
              <w:snapToGrid w:val="0"/>
              <w:spacing w:before="0" w:line="240" w:lineRule="auto"/>
              <w:jc w:val="center"/>
              <w:rPr>
                <w:rFonts w:hint="eastAsia" w:ascii="宋体" w:hAnsi="宋体" w:eastAsia="宋体" w:cs="宋体"/>
                <w:color w:val="auto"/>
                <w:szCs w:val="24"/>
                <w:highlight w:val="none"/>
                <w:lang w:eastAsia="zh-CN"/>
              </w:rPr>
            </w:pPr>
            <w:r>
              <w:rPr>
                <w:rFonts w:hint="eastAsia" w:ascii="宋体" w:hAnsi="宋体" w:cs="宋体"/>
                <w:color w:val="auto"/>
                <w:szCs w:val="24"/>
                <w:highlight w:val="none"/>
              </w:rPr>
              <w:t>具有3年以上园林绿化经验</w:t>
            </w:r>
          </w:p>
        </w:tc>
        <w:tc>
          <w:tcPr>
            <w:tcW w:w="1335" w:type="dxa"/>
            <w:vMerge w:val="continue"/>
            <w:tcBorders>
              <w:left w:val="single" w:color="auto" w:sz="4" w:space="0"/>
              <w:bottom w:val="single" w:color="auto" w:sz="4" w:space="0"/>
              <w:right w:val="single" w:color="auto" w:sz="4" w:space="0"/>
            </w:tcBorders>
            <w:noWrap/>
            <w:vAlign w:val="center"/>
          </w:tcPr>
          <w:p w14:paraId="78BCF7CD">
            <w:pPr>
              <w:pStyle w:val="35"/>
              <w:snapToGrid w:val="0"/>
              <w:spacing w:before="0" w:line="240" w:lineRule="auto"/>
              <w:jc w:val="center"/>
              <w:rPr>
                <w:rFonts w:ascii="宋体" w:hAnsi="宋体" w:cs="宋体"/>
                <w:color w:val="auto"/>
                <w:szCs w:val="24"/>
                <w:highlight w:val="none"/>
              </w:rPr>
            </w:pPr>
          </w:p>
        </w:tc>
      </w:tr>
      <w:tr w14:paraId="40AF7D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 w:hRule="atLeast"/>
        </w:trPr>
        <w:tc>
          <w:tcPr>
            <w:tcW w:w="981" w:type="dxa"/>
            <w:vMerge w:val="restart"/>
            <w:tcBorders>
              <w:top w:val="single" w:color="auto" w:sz="4" w:space="0"/>
              <w:left w:val="single" w:color="auto" w:sz="4" w:space="0"/>
              <w:right w:val="single" w:color="auto" w:sz="4" w:space="0"/>
            </w:tcBorders>
            <w:noWrap/>
            <w:vAlign w:val="center"/>
          </w:tcPr>
          <w:p w14:paraId="197AEA95">
            <w:pPr>
              <w:pStyle w:val="35"/>
              <w:snapToGrid w:val="0"/>
              <w:spacing w:before="0" w:line="240" w:lineRule="auto"/>
              <w:jc w:val="center"/>
              <w:rPr>
                <w:rFonts w:ascii="宋体" w:hAnsi="宋体" w:cs="宋体"/>
                <w:color w:val="auto"/>
                <w:szCs w:val="24"/>
                <w:highlight w:val="none"/>
              </w:rPr>
            </w:pPr>
            <w:r>
              <w:rPr>
                <w:rFonts w:hint="eastAsia" w:ascii="宋体" w:hAnsi="宋体" w:cs="宋体"/>
                <w:color w:val="auto"/>
                <w:szCs w:val="24"/>
                <w:highlight w:val="none"/>
              </w:rPr>
              <w:t>维修管理</w:t>
            </w:r>
          </w:p>
        </w:tc>
        <w:tc>
          <w:tcPr>
            <w:tcW w:w="2195" w:type="dxa"/>
            <w:tcBorders>
              <w:top w:val="single" w:color="auto" w:sz="4" w:space="0"/>
              <w:left w:val="single" w:color="auto" w:sz="4" w:space="0"/>
              <w:bottom w:val="single" w:color="auto" w:sz="4" w:space="0"/>
              <w:right w:val="single" w:color="auto" w:sz="4" w:space="0"/>
            </w:tcBorders>
            <w:noWrap/>
            <w:vAlign w:val="center"/>
          </w:tcPr>
          <w:p w14:paraId="72D0BBFB">
            <w:pPr>
              <w:pStyle w:val="35"/>
              <w:snapToGrid w:val="0"/>
              <w:spacing w:before="0" w:line="240" w:lineRule="auto"/>
              <w:jc w:val="center"/>
              <w:rPr>
                <w:rFonts w:ascii="宋体" w:hAnsi="宋体" w:cs="宋体"/>
                <w:color w:val="auto"/>
                <w:szCs w:val="24"/>
                <w:highlight w:val="none"/>
              </w:rPr>
            </w:pPr>
            <w:r>
              <w:rPr>
                <w:rFonts w:hint="eastAsia" w:ascii="宋体" w:hAnsi="宋体" w:cs="宋体"/>
                <w:color w:val="auto"/>
                <w:szCs w:val="24"/>
                <w:highlight w:val="none"/>
              </w:rPr>
              <w:t>水电维修负责人</w:t>
            </w:r>
          </w:p>
        </w:tc>
        <w:tc>
          <w:tcPr>
            <w:tcW w:w="732" w:type="dxa"/>
            <w:tcBorders>
              <w:top w:val="single" w:color="auto" w:sz="4" w:space="0"/>
              <w:left w:val="single" w:color="auto" w:sz="4" w:space="0"/>
              <w:bottom w:val="single" w:color="auto" w:sz="4" w:space="0"/>
              <w:right w:val="single" w:color="auto" w:sz="4" w:space="0"/>
            </w:tcBorders>
            <w:noWrap/>
            <w:vAlign w:val="center"/>
          </w:tcPr>
          <w:p w14:paraId="04828E06">
            <w:pPr>
              <w:pStyle w:val="35"/>
              <w:snapToGrid w:val="0"/>
              <w:spacing w:before="0" w:line="240" w:lineRule="auto"/>
              <w:jc w:val="center"/>
              <w:rPr>
                <w:rFonts w:ascii="宋体" w:hAnsi="宋体" w:cs="宋体"/>
                <w:color w:val="auto"/>
                <w:szCs w:val="24"/>
                <w:highlight w:val="none"/>
              </w:rPr>
            </w:pPr>
            <w:r>
              <w:rPr>
                <w:rFonts w:hint="eastAsia" w:ascii="宋体" w:hAnsi="宋体" w:cs="宋体"/>
                <w:color w:val="auto"/>
                <w:szCs w:val="24"/>
                <w:highlight w:val="none"/>
              </w:rPr>
              <w:t>1</w:t>
            </w:r>
          </w:p>
        </w:tc>
        <w:tc>
          <w:tcPr>
            <w:tcW w:w="3970" w:type="dxa"/>
            <w:tcBorders>
              <w:top w:val="single" w:color="auto" w:sz="4" w:space="0"/>
              <w:left w:val="single" w:color="auto" w:sz="4" w:space="0"/>
              <w:bottom w:val="single" w:color="auto" w:sz="4" w:space="0"/>
              <w:right w:val="single" w:color="auto" w:sz="4" w:space="0"/>
            </w:tcBorders>
            <w:noWrap/>
            <w:vAlign w:val="center"/>
          </w:tcPr>
          <w:p w14:paraId="2508957E">
            <w:pPr>
              <w:pStyle w:val="35"/>
              <w:snapToGrid w:val="0"/>
              <w:spacing w:before="0" w:line="240" w:lineRule="auto"/>
              <w:jc w:val="center"/>
              <w:rPr>
                <w:rFonts w:hint="eastAsia" w:ascii="宋体" w:hAnsi="宋体" w:eastAsia="宋体" w:cs="宋体"/>
                <w:color w:val="auto"/>
                <w:szCs w:val="24"/>
                <w:highlight w:val="none"/>
                <w:lang w:eastAsia="zh-CN"/>
              </w:rPr>
            </w:pPr>
            <w:r>
              <w:rPr>
                <w:rFonts w:hint="eastAsia" w:ascii="宋体" w:hAnsi="宋体" w:cs="宋体"/>
                <w:color w:val="auto"/>
                <w:szCs w:val="24"/>
                <w:highlight w:val="none"/>
              </w:rPr>
              <w:t>男，55岁以下，持有上岗证，有3年以上同岗位经验</w:t>
            </w:r>
            <w:r>
              <w:rPr>
                <w:rFonts w:hint="eastAsia" w:ascii="宋体" w:hAnsi="宋体" w:cs="宋体"/>
                <w:color w:val="auto"/>
                <w:szCs w:val="24"/>
                <w:highlight w:val="none"/>
                <w:lang w:eastAsia="zh-CN"/>
              </w:rPr>
              <w:t>。</w:t>
            </w:r>
          </w:p>
        </w:tc>
        <w:tc>
          <w:tcPr>
            <w:tcW w:w="1335" w:type="dxa"/>
            <w:vMerge w:val="restart"/>
            <w:tcBorders>
              <w:top w:val="single" w:color="auto" w:sz="4" w:space="0"/>
              <w:left w:val="single" w:color="auto" w:sz="4" w:space="0"/>
              <w:right w:val="single" w:color="auto" w:sz="4" w:space="0"/>
            </w:tcBorders>
            <w:noWrap/>
            <w:vAlign w:val="center"/>
          </w:tcPr>
          <w:p w14:paraId="157594A8">
            <w:pPr>
              <w:pStyle w:val="35"/>
              <w:snapToGrid w:val="0"/>
              <w:spacing w:before="0" w:line="240" w:lineRule="auto"/>
              <w:jc w:val="center"/>
              <w:rPr>
                <w:rFonts w:ascii="宋体" w:hAnsi="宋体" w:cs="宋体"/>
                <w:color w:val="auto"/>
                <w:szCs w:val="24"/>
                <w:highlight w:val="none"/>
              </w:rPr>
            </w:pPr>
            <w:r>
              <w:rPr>
                <w:rFonts w:hint="eastAsia" w:ascii="宋体" w:hAnsi="宋体" w:cs="宋体"/>
                <w:color w:val="auto"/>
                <w:szCs w:val="24"/>
                <w:highlight w:val="none"/>
              </w:rPr>
              <w:t>A.白班：7:30—18:30；B. 周末、节假日为轮班制。</w:t>
            </w:r>
          </w:p>
        </w:tc>
      </w:tr>
      <w:tr w14:paraId="4534D6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 w:hRule="atLeast"/>
        </w:trPr>
        <w:tc>
          <w:tcPr>
            <w:tcW w:w="981" w:type="dxa"/>
            <w:vMerge w:val="continue"/>
            <w:tcBorders>
              <w:left w:val="single" w:color="auto" w:sz="4" w:space="0"/>
              <w:bottom w:val="single" w:color="auto" w:sz="4" w:space="0"/>
              <w:right w:val="single" w:color="auto" w:sz="4" w:space="0"/>
            </w:tcBorders>
            <w:noWrap/>
            <w:vAlign w:val="center"/>
          </w:tcPr>
          <w:p w14:paraId="44D6DE64">
            <w:pPr>
              <w:pStyle w:val="35"/>
              <w:snapToGrid w:val="0"/>
              <w:spacing w:before="0" w:line="240" w:lineRule="auto"/>
              <w:jc w:val="center"/>
              <w:rPr>
                <w:rFonts w:ascii="宋体" w:hAnsi="宋体" w:cs="宋体"/>
                <w:color w:val="auto"/>
                <w:szCs w:val="24"/>
                <w:highlight w:val="none"/>
              </w:rPr>
            </w:pPr>
          </w:p>
        </w:tc>
        <w:tc>
          <w:tcPr>
            <w:tcW w:w="2195" w:type="dxa"/>
            <w:tcBorders>
              <w:top w:val="single" w:color="auto" w:sz="4" w:space="0"/>
              <w:left w:val="single" w:color="auto" w:sz="4" w:space="0"/>
              <w:bottom w:val="single" w:color="auto" w:sz="4" w:space="0"/>
              <w:right w:val="single" w:color="auto" w:sz="4" w:space="0"/>
            </w:tcBorders>
            <w:noWrap/>
            <w:vAlign w:val="center"/>
          </w:tcPr>
          <w:p w14:paraId="35B0CBDC">
            <w:pPr>
              <w:pStyle w:val="35"/>
              <w:snapToGrid w:val="0"/>
              <w:spacing w:before="0" w:line="240" w:lineRule="auto"/>
              <w:jc w:val="center"/>
              <w:rPr>
                <w:rFonts w:ascii="宋体" w:hAnsi="宋体" w:cs="宋体"/>
                <w:color w:val="auto"/>
                <w:szCs w:val="24"/>
                <w:highlight w:val="none"/>
              </w:rPr>
            </w:pPr>
            <w:r>
              <w:rPr>
                <w:rFonts w:hint="eastAsia" w:ascii="宋体" w:hAnsi="宋体" w:cs="宋体"/>
                <w:color w:val="auto"/>
                <w:szCs w:val="24"/>
                <w:highlight w:val="none"/>
              </w:rPr>
              <w:t>弱电、信息化设备维修负责人</w:t>
            </w:r>
          </w:p>
        </w:tc>
        <w:tc>
          <w:tcPr>
            <w:tcW w:w="732" w:type="dxa"/>
            <w:tcBorders>
              <w:top w:val="single" w:color="auto" w:sz="4" w:space="0"/>
              <w:left w:val="single" w:color="auto" w:sz="4" w:space="0"/>
              <w:bottom w:val="single" w:color="auto" w:sz="4" w:space="0"/>
              <w:right w:val="single" w:color="auto" w:sz="4" w:space="0"/>
            </w:tcBorders>
            <w:noWrap/>
            <w:vAlign w:val="center"/>
          </w:tcPr>
          <w:p w14:paraId="7CC8393F">
            <w:pPr>
              <w:pStyle w:val="35"/>
              <w:snapToGrid w:val="0"/>
              <w:spacing w:before="0" w:line="240" w:lineRule="auto"/>
              <w:jc w:val="center"/>
              <w:rPr>
                <w:rFonts w:ascii="宋体" w:hAnsi="宋体" w:cs="宋体"/>
                <w:color w:val="auto"/>
                <w:szCs w:val="24"/>
                <w:highlight w:val="none"/>
              </w:rPr>
            </w:pPr>
            <w:r>
              <w:rPr>
                <w:rFonts w:hint="eastAsia" w:ascii="宋体" w:hAnsi="宋体" w:cs="宋体"/>
                <w:color w:val="auto"/>
                <w:szCs w:val="24"/>
                <w:highlight w:val="none"/>
              </w:rPr>
              <w:t>1</w:t>
            </w:r>
          </w:p>
        </w:tc>
        <w:tc>
          <w:tcPr>
            <w:tcW w:w="3970" w:type="dxa"/>
            <w:tcBorders>
              <w:top w:val="single" w:color="auto" w:sz="4" w:space="0"/>
              <w:left w:val="single" w:color="auto" w:sz="4" w:space="0"/>
              <w:bottom w:val="single" w:color="auto" w:sz="4" w:space="0"/>
              <w:right w:val="single" w:color="auto" w:sz="4" w:space="0"/>
            </w:tcBorders>
            <w:noWrap/>
            <w:vAlign w:val="center"/>
          </w:tcPr>
          <w:p w14:paraId="5A9CDB9B">
            <w:pPr>
              <w:pStyle w:val="35"/>
              <w:snapToGrid w:val="0"/>
              <w:spacing w:before="0" w:line="240" w:lineRule="auto"/>
              <w:jc w:val="center"/>
              <w:rPr>
                <w:rFonts w:hint="eastAsia" w:ascii="宋体" w:hAnsi="宋体" w:eastAsia="宋体" w:cs="宋体"/>
                <w:color w:val="auto"/>
                <w:szCs w:val="24"/>
                <w:highlight w:val="none"/>
                <w:lang w:eastAsia="zh-CN"/>
              </w:rPr>
            </w:pPr>
            <w:r>
              <w:rPr>
                <w:rFonts w:hint="eastAsia" w:ascii="宋体" w:hAnsi="宋体" w:cs="宋体"/>
                <w:color w:val="auto"/>
                <w:szCs w:val="24"/>
                <w:highlight w:val="none"/>
              </w:rPr>
              <w:t>男，55岁以下，持有上岗证，有3年以上同岗位经验</w:t>
            </w:r>
            <w:r>
              <w:rPr>
                <w:rFonts w:hint="eastAsia" w:ascii="宋体" w:hAnsi="宋体" w:cs="宋体"/>
                <w:color w:val="auto"/>
                <w:szCs w:val="24"/>
                <w:highlight w:val="none"/>
                <w:lang w:eastAsia="zh-CN"/>
              </w:rPr>
              <w:t>。</w:t>
            </w:r>
          </w:p>
        </w:tc>
        <w:tc>
          <w:tcPr>
            <w:tcW w:w="1335" w:type="dxa"/>
            <w:vMerge w:val="continue"/>
            <w:tcBorders>
              <w:left w:val="single" w:color="auto" w:sz="4" w:space="0"/>
              <w:bottom w:val="single" w:color="auto" w:sz="4" w:space="0"/>
              <w:right w:val="single" w:color="auto" w:sz="4" w:space="0"/>
            </w:tcBorders>
            <w:noWrap/>
            <w:vAlign w:val="center"/>
          </w:tcPr>
          <w:p w14:paraId="06D27055">
            <w:pPr>
              <w:pStyle w:val="35"/>
              <w:snapToGrid w:val="0"/>
              <w:spacing w:before="0" w:line="240" w:lineRule="auto"/>
              <w:jc w:val="center"/>
              <w:rPr>
                <w:rFonts w:ascii="宋体" w:hAnsi="宋体" w:cs="宋体"/>
                <w:color w:val="auto"/>
                <w:szCs w:val="24"/>
                <w:highlight w:val="none"/>
              </w:rPr>
            </w:pPr>
          </w:p>
        </w:tc>
      </w:tr>
      <w:tr w14:paraId="18C3BD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 w:hRule="atLeast"/>
        </w:trPr>
        <w:tc>
          <w:tcPr>
            <w:tcW w:w="981" w:type="dxa"/>
            <w:vMerge w:val="restart"/>
            <w:tcBorders>
              <w:top w:val="single" w:color="auto" w:sz="4" w:space="0"/>
              <w:left w:val="single" w:color="auto" w:sz="4" w:space="0"/>
              <w:right w:val="single" w:color="auto" w:sz="4" w:space="0"/>
            </w:tcBorders>
            <w:noWrap/>
            <w:vAlign w:val="center"/>
          </w:tcPr>
          <w:p w14:paraId="29325CE2">
            <w:pPr>
              <w:pStyle w:val="35"/>
              <w:snapToGrid w:val="0"/>
              <w:spacing w:before="0" w:line="240" w:lineRule="auto"/>
              <w:jc w:val="center"/>
              <w:rPr>
                <w:rFonts w:ascii="宋体" w:hAnsi="宋体" w:cs="宋体"/>
                <w:color w:val="auto"/>
                <w:szCs w:val="24"/>
                <w:highlight w:val="none"/>
              </w:rPr>
            </w:pPr>
            <w:r>
              <w:rPr>
                <w:rFonts w:hint="eastAsia" w:ascii="宋体" w:hAnsi="宋体" w:cs="宋体"/>
                <w:color w:val="auto"/>
                <w:szCs w:val="24"/>
                <w:highlight w:val="none"/>
              </w:rPr>
              <w:t>安保管理</w:t>
            </w:r>
          </w:p>
        </w:tc>
        <w:tc>
          <w:tcPr>
            <w:tcW w:w="2195" w:type="dxa"/>
            <w:tcBorders>
              <w:top w:val="single" w:color="auto" w:sz="4" w:space="0"/>
              <w:left w:val="single" w:color="auto" w:sz="4" w:space="0"/>
              <w:bottom w:val="single" w:color="auto" w:sz="4" w:space="0"/>
              <w:right w:val="single" w:color="auto" w:sz="4" w:space="0"/>
            </w:tcBorders>
            <w:noWrap/>
            <w:vAlign w:val="center"/>
          </w:tcPr>
          <w:p w14:paraId="4DD476A1">
            <w:pPr>
              <w:pStyle w:val="35"/>
              <w:snapToGrid w:val="0"/>
              <w:spacing w:before="0" w:line="240" w:lineRule="auto"/>
              <w:jc w:val="center"/>
              <w:rPr>
                <w:rFonts w:ascii="宋体" w:hAnsi="宋体" w:cs="宋体"/>
                <w:color w:val="auto"/>
                <w:szCs w:val="24"/>
                <w:highlight w:val="none"/>
              </w:rPr>
            </w:pPr>
            <w:r>
              <w:rPr>
                <w:rFonts w:hint="eastAsia" w:ascii="宋体" w:hAnsi="宋体" w:cs="宋体"/>
                <w:color w:val="auto"/>
                <w:szCs w:val="24"/>
                <w:highlight w:val="none"/>
              </w:rPr>
              <w:t>安保领班</w:t>
            </w:r>
          </w:p>
        </w:tc>
        <w:tc>
          <w:tcPr>
            <w:tcW w:w="732" w:type="dxa"/>
            <w:tcBorders>
              <w:top w:val="single" w:color="auto" w:sz="4" w:space="0"/>
              <w:left w:val="single" w:color="auto" w:sz="4" w:space="0"/>
              <w:bottom w:val="single" w:color="auto" w:sz="4" w:space="0"/>
              <w:right w:val="single" w:color="auto" w:sz="4" w:space="0"/>
            </w:tcBorders>
            <w:noWrap/>
            <w:vAlign w:val="center"/>
          </w:tcPr>
          <w:p w14:paraId="7304BA53">
            <w:pPr>
              <w:pStyle w:val="35"/>
              <w:snapToGrid w:val="0"/>
              <w:spacing w:before="0" w:line="240" w:lineRule="auto"/>
              <w:jc w:val="center"/>
              <w:rPr>
                <w:rFonts w:ascii="宋体" w:hAnsi="宋体" w:cs="宋体"/>
                <w:color w:val="auto"/>
                <w:szCs w:val="24"/>
                <w:highlight w:val="none"/>
              </w:rPr>
            </w:pPr>
            <w:r>
              <w:rPr>
                <w:rFonts w:hint="eastAsia" w:ascii="宋体" w:hAnsi="宋体" w:cs="宋体"/>
                <w:color w:val="auto"/>
                <w:szCs w:val="24"/>
                <w:highlight w:val="none"/>
              </w:rPr>
              <w:t>1</w:t>
            </w:r>
          </w:p>
        </w:tc>
        <w:tc>
          <w:tcPr>
            <w:tcW w:w="3970" w:type="dxa"/>
            <w:tcBorders>
              <w:top w:val="single" w:color="auto" w:sz="4" w:space="0"/>
              <w:left w:val="single" w:color="auto" w:sz="4" w:space="0"/>
              <w:bottom w:val="single" w:color="auto" w:sz="4" w:space="0"/>
              <w:right w:val="single" w:color="auto" w:sz="4" w:space="0"/>
            </w:tcBorders>
            <w:noWrap/>
            <w:vAlign w:val="center"/>
          </w:tcPr>
          <w:p w14:paraId="24333301">
            <w:pPr>
              <w:pStyle w:val="35"/>
              <w:snapToGrid w:val="0"/>
              <w:spacing w:before="0" w:line="240" w:lineRule="auto"/>
              <w:jc w:val="center"/>
              <w:rPr>
                <w:rFonts w:ascii="宋体" w:hAnsi="宋体" w:cs="宋体"/>
                <w:color w:val="auto"/>
                <w:szCs w:val="24"/>
                <w:highlight w:val="none"/>
              </w:rPr>
            </w:pPr>
            <w:r>
              <w:rPr>
                <w:rFonts w:hint="eastAsia" w:ascii="宋体" w:hAnsi="宋体" w:cs="宋体"/>
                <w:color w:val="auto"/>
                <w:szCs w:val="24"/>
                <w:highlight w:val="none"/>
              </w:rPr>
              <w:t>大专以上学历，年龄45岁以下，有一定的消防、急救等安保服务能力，有3年以上岗位经验，有部队经历优先。</w:t>
            </w:r>
          </w:p>
        </w:tc>
        <w:tc>
          <w:tcPr>
            <w:tcW w:w="1335" w:type="dxa"/>
            <w:vMerge w:val="restart"/>
            <w:tcBorders>
              <w:top w:val="single" w:color="auto" w:sz="4" w:space="0"/>
              <w:left w:val="single" w:color="auto" w:sz="4" w:space="0"/>
              <w:right w:val="single" w:color="auto" w:sz="4" w:space="0"/>
            </w:tcBorders>
            <w:noWrap/>
            <w:vAlign w:val="center"/>
          </w:tcPr>
          <w:p w14:paraId="611D5BC0">
            <w:pPr>
              <w:pStyle w:val="35"/>
              <w:snapToGrid w:val="0"/>
              <w:spacing w:before="0" w:line="240" w:lineRule="auto"/>
              <w:jc w:val="center"/>
              <w:rPr>
                <w:rFonts w:ascii="宋体" w:hAnsi="宋体" w:cs="宋体"/>
                <w:color w:val="auto"/>
                <w:szCs w:val="24"/>
                <w:highlight w:val="none"/>
              </w:rPr>
            </w:pPr>
            <w:r>
              <w:rPr>
                <w:rFonts w:hint="eastAsia" w:ascii="宋体" w:hAnsi="宋体" w:cs="宋体"/>
                <w:color w:val="auto"/>
                <w:szCs w:val="24"/>
                <w:highlight w:val="none"/>
              </w:rPr>
              <w:t>24小时值班, 轮班制。</w:t>
            </w:r>
          </w:p>
        </w:tc>
      </w:tr>
      <w:tr w14:paraId="495DB2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 w:hRule="atLeast"/>
        </w:trPr>
        <w:tc>
          <w:tcPr>
            <w:tcW w:w="981" w:type="dxa"/>
            <w:vMerge w:val="continue"/>
            <w:tcBorders>
              <w:left w:val="single" w:color="auto" w:sz="4" w:space="0"/>
              <w:right w:val="single" w:color="auto" w:sz="4" w:space="0"/>
            </w:tcBorders>
            <w:noWrap/>
            <w:vAlign w:val="center"/>
          </w:tcPr>
          <w:p w14:paraId="2D8BCD23">
            <w:pPr>
              <w:pStyle w:val="35"/>
              <w:snapToGrid w:val="0"/>
              <w:spacing w:before="0" w:line="240" w:lineRule="auto"/>
              <w:jc w:val="center"/>
              <w:rPr>
                <w:rFonts w:ascii="宋体" w:hAnsi="宋体" w:cs="宋体"/>
                <w:color w:val="auto"/>
                <w:szCs w:val="24"/>
                <w:highlight w:val="none"/>
              </w:rPr>
            </w:pPr>
          </w:p>
        </w:tc>
        <w:tc>
          <w:tcPr>
            <w:tcW w:w="2195" w:type="dxa"/>
            <w:tcBorders>
              <w:top w:val="single" w:color="auto" w:sz="4" w:space="0"/>
              <w:left w:val="single" w:color="auto" w:sz="4" w:space="0"/>
              <w:bottom w:val="single" w:color="auto" w:sz="4" w:space="0"/>
              <w:right w:val="single" w:color="auto" w:sz="4" w:space="0"/>
            </w:tcBorders>
            <w:noWrap/>
            <w:vAlign w:val="center"/>
          </w:tcPr>
          <w:p w14:paraId="320EEC31">
            <w:pPr>
              <w:pStyle w:val="35"/>
              <w:snapToGrid w:val="0"/>
              <w:spacing w:before="0" w:line="240" w:lineRule="auto"/>
              <w:jc w:val="center"/>
              <w:rPr>
                <w:rFonts w:ascii="宋体" w:hAnsi="宋体" w:cs="宋体"/>
                <w:color w:val="auto"/>
                <w:szCs w:val="24"/>
                <w:highlight w:val="none"/>
              </w:rPr>
            </w:pPr>
            <w:r>
              <w:rPr>
                <w:rFonts w:hint="eastAsia" w:ascii="宋体" w:hAnsi="宋体" w:cs="宋体"/>
                <w:color w:val="auto"/>
                <w:szCs w:val="24"/>
                <w:highlight w:val="none"/>
              </w:rPr>
              <w:t>门岗值守人员</w:t>
            </w:r>
          </w:p>
        </w:tc>
        <w:tc>
          <w:tcPr>
            <w:tcW w:w="732" w:type="dxa"/>
            <w:tcBorders>
              <w:top w:val="single" w:color="auto" w:sz="4" w:space="0"/>
              <w:left w:val="single" w:color="auto" w:sz="4" w:space="0"/>
              <w:bottom w:val="single" w:color="auto" w:sz="4" w:space="0"/>
              <w:right w:val="single" w:color="auto" w:sz="4" w:space="0"/>
            </w:tcBorders>
            <w:noWrap/>
            <w:vAlign w:val="center"/>
          </w:tcPr>
          <w:p w14:paraId="7B3117CB">
            <w:pPr>
              <w:pStyle w:val="35"/>
              <w:snapToGrid w:val="0"/>
              <w:spacing w:before="0" w:line="240" w:lineRule="auto"/>
              <w:jc w:val="center"/>
              <w:rPr>
                <w:rFonts w:ascii="宋体" w:hAnsi="宋体" w:cs="宋体"/>
                <w:color w:val="auto"/>
                <w:szCs w:val="24"/>
                <w:highlight w:val="none"/>
              </w:rPr>
            </w:pPr>
            <w:r>
              <w:rPr>
                <w:rFonts w:hint="eastAsia" w:ascii="宋体" w:hAnsi="宋体" w:cs="宋体"/>
                <w:color w:val="auto"/>
                <w:szCs w:val="24"/>
                <w:highlight w:val="none"/>
              </w:rPr>
              <w:t>2</w:t>
            </w:r>
          </w:p>
        </w:tc>
        <w:tc>
          <w:tcPr>
            <w:tcW w:w="3970" w:type="dxa"/>
            <w:tcBorders>
              <w:top w:val="single" w:color="auto" w:sz="4" w:space="0"/>
              <w:left w:val="single" w:color="auto" w:sz="4" w:space="0"/>
              <w:bottom w:val="single" w:color="auto" w:sz="4" w:space="0"/>
              <w:right w:val="single" w:color="auto" w:sz="4" w:space="0"/>
            </w:tcBorders>
            <w:noWrap/>
            <w:vAlign w:val="center"/>
          </w:tcPr>
          <w:p w14:paraId="3E09A472">
            <w:pPr>
              <w:pStyle w:val="35"/>
              <w:snapToGrid w:val="0"/>
              <w:spacing w:before="0" w:line="240" w:lineRule="auto"/>
              <w:jc w:val="center"/>
              <w:rPr>
                <w:rFonts w:ascii="宋体" w:hAnsi="宋体" w:cs="宋体"/>
                <w:color w:val="auto"/>
                <w:szCs w:val="24"/>
                <w:highlight w:val="none"/>
              </w:rPr>
            </w:pPr>
            <w:r>
              <w:rPr>
                <w:rFonts w:hint="eastAsia" w:ascii="宋体" w:hAnsi="宋体" w:cs="宋体"/>
                <w:color w:val="auto"/>
                <w:szCs w:val="24"/>
                <w:highlight w:val="none"/>
              </w:rPr>
              <w:t>高中以上学历，年龄40岁以下，身高不低于175CM男性，有部队经历优先。</w:t>
            </w:r>
          </w:p>
        </w:tc>
        <w:tc>
          <w:tcPr>
            <w:tcW w:w="1335" w:type="dxa"/>
            <w:vMerge w:val="continue"/>
            <w:tcBorders>
              <w:left w:val="single" w:color="auto" w:sz="4" w:space="0"/>
              <w:right w:val="single" w:color="auto" w:sz="4" w:space="0"/>
            </w:tcBorders>
            <w:noWrap/>
            <w:vAlign w:val="center"/>
          </w:tcPr>
          <w:p w14:paraId="57AE0360">
            <w:pPr>
              <w:pStyle w:val="35"/>
              <w:snapToGrid w:val="0"/>
              <w:spacing w:before="0" w:line="240" w:lineRule="auto"/>
              <w:jc w:val="center"/>
              <w:rPr>
                <w:rFonts w:ascii="宋体" w:hAnsi="宋体" w:cs="宋体"/>
                <w:color w:val="auto"/>
                <w:szCs w:val="24"/>
                <w:highlight w:val="none"/>
              </w:rPr>
            </w:pPr>
          </w:p>
        </w:tc>
      </w:tr>
      <w:tr w14:paraId="5D359C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 w:hRule="atLeast"/>
        </w:trPr>
        <w:tc>
          <w:tcPr>
            <w:tcW w:w="981" w:type="dxa"/>
            <w:vMerge w:val="continue"/>
            <w:tcBorders>
              <w:left w:val="single" w:color="auto" w:sz="4" w:space="0"/>
              <w:right w:val="single" w:color="auto" w:sz="4" w:space="0"/>
            </w:tcBorders>
            <w:noWrap/>
            <w:vAlign w:val="center"/>
          </w:tcPr>
          <w:p w14:paraId="37B248ED">
            <w:pPr>
              <w:pStyle w:val="35"/>
              <w:snapToGrid w:val="0"/>
              <w:spacing w:before="0" w:line="240" w:lineRule="auto"/>
              <w:jc w:val="center"/>
              <w:rPr>
                <w:rFonts w:ascii="宋体" w:hAnsi="宋体" w:cs="宋体"/>
                <w:color w:val="auto"/>
                <w:szCs w:val="24"/>
                <w:highlight w:val="none"/>
              </w:rPr>
            </w:pPr>
          </w:p>
        </w:tc>
        <w:tc>
          <w:tcPr>
            <w:tcW w:w="2195" w:type="dxa"/>
            <w:tcBorders>
              <w:top w:val="single" w:color="auto" w:sz="4" w:space="0"/>
              <w:left w:val="single" w:color="auto" w:sz="4" w:space="0"/>
              <w:bottom w:val="single" w:color="auto" w:sz="4" w:space="0"/>
              <w:right w:val="single" w:color="auto" w:sz="4" w:space="0"/>
            </w:tcBorders>
            <w:noWrap/>
            <w:vAlign w:val="center"/>
          </w:tcPr>
          <w:p w14:paraId="795DB555">
            <w:pPr>
              <w:pStyle w:val="35"/>
              <w:snapToGrid w:val="0"/>
              <w:spacing w:before="0" w:line="240" w:lineRule="auto"/>
              <w:jc w:val="center"/>
              <w:rPr>
                <w:rFonts w:ascii="宋体" w:hAnsi="宋体" w:cs="宋体"/>
                <w:color w:val="auto"/>
                <w:szCs w:val="24"/>
                <w:highlight w:val="none"/>
              </w:rPr>
            </w:pPr>
            <w:r>
              <w:rPr>
                <w:rFonts w:hint="eastAsia" w:ascii="宋体" w:hAnsi="宋体" w:cs="宋体"/>
                <w:color w:val="auto"/>
                <w:szCs w:val="24"/>
                <w:highlight w:val="none"/>
              </w:rPr>
              <w:t>巡逻安保人员</w:t>
            </w:r>
          </w:p>
        </w:tc>
        <w:tc>
          <w:tcPr>
            <w:tcW w:w="732" w:type="dxa"/>
            <w:tcBorders>
              <w:top w:val="single" w:color="auto" w:sz="4" w:space="0"/>
              <w:left w:val="single" w:color="auto" w:sz="4" w:space="0"/>
              <w:bottom w:val="single" w:color="auto" w:sz="4" w:space="0"/>
              <w:right w:val="single" w:color="auto" w:sz="4" w:space="0"/>
            </w:tcBorders>
            <w:noWrap/>
            <w:vAlign w:val="center"/>
          </w:tcPr>
          <w:p w14:paraId="4E54BE77">
            <w:pPr>
              <w:pStyle w:val="35"/>
              <w:snapToGrid w:val="0"/>
              <w:spacing w:before="0" w:line="240" w:lineRule="auto"/>
              <w:jc w:val="center"/>
              <w:rPr>
                <w:rFonts w:ascii="宋体" w:hAnsi="宋体" w:cs="宋体"/>
                <w:color w:val="auto"/>
                <w:szCs w:val="24"/>
                <w:highlight w:val="none"/>
              </w:rPr>
            </w:pPr>
            <w:r>
              <w:rPr>
                <w:rFonts w:hint="eastAsia" w:ascii="宋体" w:hAnsi="宋体" w:cs="宋体"/>
                <w:color w:val="auto"/>
                <w:szCs w:val="24"/>
                <w:highlight w:val="none"/>
              </w:rPr>
              <w:t>2</w:t>
            </w:r>
          </w:p>
        </w:tc>
        <w:tc>
          <w:tcPr>
            <w:tcW w:w="3970" w:type="dxa"/>
            <w:tcBorders>
              <w:top w:val="single" w:color="auto" w:sz="4" w:space="0"/>
              <w:left w:val="single" w:color="auto" w:sz="4" w:space="0"/>
              <w:bottom w:val="single" w:color="auto" w:sz="4" w:space="0"/>
              <w:right w:val="single" w:color="auto" w:sz="4" w:space="0"/>
            </w:tcBorders>
            <w:noWrap/>
            <w:vAlign w:val="center"/>
          </w:tcPr>
          <w:p w14:paraId="75B6CB97">
            <w:pPr>
              <w:pStyle w:val="35"/>
              <w:snapToGrid w:val="0"/>
              <w:spacing w:before="0" w:line="240" w:lineRule="auto"/>
              <w:jc w:val="center"/>
              <w:rPr>
                <w:rFonts w:ascii="宋体" w:hAnsi="宋体" w:cs="宋体"/>
                <w:color w:val="auto"/>
                <w:szCs w:val="24"/>
                <w:highlight w:val="none"/>
              </w:rPr>
            </w:pPr>
            <w:r>
              <w:rPr>
                <w:rFonts w:hint="eastAsia" w:ascii="宋体" w:hAnsi="宋体" w:cs="宋体"/>
                <w:color w:val="auto"/>
                <w:szCs w:val="24"/>
                <w:highlight w:val="none"/>
              </w:rPr>
              <w:t>年龄55岁以下，无违法犯罪记录，有部队经历优先。</w:t>
            </w:r>
          </w:p>
        </w:tc>
        <w:tc>
          <w:tcPr>
            <w:tcW w:w="1335" w:type="dxa"/>
            <w:vMerge w:val="continue"/>
            <w:tcBorders>
              <w:left w:val="single" w:color="auto" w:sz="4" w:space="0"/>
              <w:right w:val="single" w:color="auto" w:sz="4" w:space="0"/>
            </w:tcBorders>
            <w:noWrap/>
            <w:vAlign w:val="center"/>
          </w:tcPr>
          <w:p w14:paraId="5BC7173F">
            <w:pPr>
              <w:pStyle w:val="35"/>
              <w:snapToGrid w:val="0"/>
              <w:spacing w:before="0" w:line="240" w:lineRule="auto"/>
              <w:jc w:val="center"/>
              <w:rPr>
                <w:rFonts w:ascii="宋体" w:hAnsi="宋体" w:cs="宋体"/>
                <w:color w:val="auto"/>
                <w:szCs w:val="24"/>
                <w:highlight w:val="none"/>
              </w:rPr>
            </w:pPr>
          </w:p>
        </w:tc>
      </w:tr>
      <w:tr w14:paraId="2D93EE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 w:hRule="atLeast"/>
        </w:trPr>
        <w:tc>
          <w:tcPr>
            <w:tcW w:w="981" w:type="dxa"/>
            <w:vMerge w:val="continue"/>
            <w:tcBorders>
              <w:left w:val="single" w:color="auto" w:sz="4" w:space="0"/>
              <w:bottom w:val="single" w:color="auto" w:sz="4" w:space="0"/>
              <w:right w:val="single" w:color="auto" w:sz="4" w:space="0"/>
            </w:tcBorders>
            <w:noWrap/>
            <w:vAlign w:val="center"/>
          </w:tcPr>
          <w:p w14:paraId="54A0CD80">
            <w:pPr>
              <w:pStyle w:val="35"/>
              <w:snapToGrid w:val="0"/>
              <w:spacing w:before="0" w:line="240" w:lineRule="auto"/>
              <w:jc w:val="center"/>
              <w:rPr>
                <w:rFonts w:ascii="宋体" w:hAnsi="宋体" w:cs="宋体"/>
                <w:color w:val="auto"/>
                <w:szCs w:val="24"/>
                <w:highlight w:val="none"/>
              </w:rPr>
            </w:pPr>
          </w:p>
        </w:tc>
        <w:tc>
          <w:tcPr>
            <w:tcW w:w="2195" w:type="dxa"/>
            <w:tcBorders>
              <w:top w:val="single" w:color="auto" w:sz="4" w:space="0"/>
              <w:left w:val="single" w:color="auto" w:sz="4" w:space="0"/>
              <w:bottom w:val="single" w:color="auto" w:sz="4" w:space="0"/>
              <w:right w:val="single" w:color="auto" w:sz="4" w:space="0"/>
            </w:tcBorders>
            <w:noWrap/>
            <w:vAlign w:val="center"/>
          </w:tcPr>
          <w:p w14:paraId="19ED0AC8">
            <w:pPr>
              <w:pStyle w:val="35"/>
              <w:snapToGrid w:val="0"/>
              <w:spacing w:before="0" w:line="240" w:lineRule="auto"/>
              <w:jc w:val="both"/>
              <w:rPr>
                <w:rFonts w:ascii="宋体" w:hAnsi="宋体" w:cs="宋体"/>
                <w:color w:val="auto"/>
                <w:szCs w:val="24"/>
                <w:highlight w:val="none"/>
              </w:rPr>
            </w:pPr>
            <w:r>
              <w:rPr>
                <w:rFonts w:hint="eastAsia" w:ascii="宋体" w:hAnsi="宋体" w:cs="宋体"/>
                <w:color w:val="auto"/>
                <w:szCs w:val="24"/>
                <w:highlight w:val="none"/>
              </w:rPr>
              <w:t>消防监控人员</w:t>
            </w:r>
          </w:p>
        </w:tc>
        <w:tc>
          <w:tcPr>
            <w:tcW w:w="732" w:type="dxa"/>
            <w:tcBorders>
              <w:top w:val="single" w:color="auto" w:sz="4" w:space="0"/>
              <w:left w:val="single" w:color="auto" w:sz="4" w:space="0"/>
              <w:bottom w:val="single" w:color="auto" w:sz="4" w:space="0"/>
              <w:right w:val="single" w:color="auto" w:sz="4" w:space="0"/>
            </w:tcBorders>
            <w:noWrap/>
            <w:vAlign w:val="center"/>
          </w:tcPr>
          <w:p w14:paraId="7C2E78EC">
            <w:pPr>
              <w:pStyle w:val="35"/>
              <w:snapToGrid w:val="0"/>
              <w:spacing w:before="0" w:line="240" w:lineRule="auto"/>
              <w:jc w:val="center"/>
              <w:rPr>
                <w:rFonts w:ascii="宋体" w:hAnsi="宋体" w:cs="宋体"/>
                <w:color w:val="auto"/>
                <w:szCs w:val="24"/>
                <w:highlight w:val="none"/>
              </w:rPr>
            </w:pPr>
            <w:r>
              <w:rPr>
                <w:rFonts w:hint="eastAsia" w:ascii="宋体" w:hAnsi="宋体" w:cs="宋体"/>
                <w:color w:val="auto"/>
                <w:szCs w:val="24"/>
                <w:highlight w:val="none"/>
              </w:rPr>
              <w:t>3</w:t>
            </w:r>
          </w:p>
        </w:tc>
        <w:tc>
          <w:tcPr>
            <w:tcW w:w="3970" w:type="dxa"/>
            <w:tcBorders>
              <w:top w:val="single" w:color="auto" w:sz="4" w:space="0"/>
              <w:left w:val="single" w:color="auto" w:sz="4" w:space="0"/>
              <w:bottom w:val="single" w:color="auto" w:sz="4" w:space="0"/>
              <w:right w:val="single" w:color="auto" w:sz="4" w:space="0"/>
            </w:tcBorders>
            <w:noWrap/>
            <w:vAlign w:val="center"/>
          </w:tcPr>
          <w:p w14:paraId="1F5AF652">
            <w:pPr>
              <w:pStyle w:val="35"/>
              <w:snapToGrid w:val="0"/>
              <w:spacing w:before="0" w:line="240" w:lineRule="auto"/>
              <w:jc w:val="center"/>
              <w:rPr>
                <w:rFonts w:ascii="宋体" w:hAnsi="宋体" w:cs="宋体"/>
                <w:color w:val="auto"/>
                <w:szCs w:val="24"/>
                <w:highlight w:val="none"/>
              </w:rPr>
            </w:pPr>
            <w:r>
              <w:rPr>
                <w:rFonts w:hint="eastAsia" w:ascii="宋体" w:hAnsi="宋体" w:cs="宋体"/>
                <w:color w:val="auto"/>
                <w:szCs w:val="24"/>
                <w:highlight w:val="none"/>
              </w:rPr>
              <w:t>有3年以上岗位经验，高中以上学历，年龄45岁以下，有部队经历优先。</w:t>
            </w:r>
          </w:p>
        </w:tc>
        <w:tc>
          <w:tcPr>
            <w:tcW w:w="1335" w:type="dxa"/>
            <w:vMerge w:val="continue"/>
            <w:tcBorders>
              <w:left w:val="single" w:color="auto" w:sz="4" w:space="0"/>
              <w:bottom w:val="single" w:color="auto" w:sz="4" w:space="0"/>
              <w:right w:val="single" w:color="auto" w:sz="4" w:space="0"/>
            </w:tcBorders>
            <w:noWrap/>
            <w:vAlign w:val="center"/>
          </w:tcPr>
          <w:p w14:paraId="03475E31">
            <w:pPr>
              <w:pStyle w:val="35"/>
              <w:snapToGrid w:val="0"/>
              <w:spacing w:before="0" w:line="240" w:lineRule="auto"/>
              <w:jc w:val="center"/>
              <w:rPr>
                <w:rFonts w:ascii="宋体" w:hAnsi="宋体" w:cs="宋体"/>
                <w:color w:val="auto"/>
                <w:szCs w:val="24"/>
                <w:highlight w:val="none"/>
              </w:rPr>
            </w:pPr>
          </w:p>
        </w:tc>
      </w:tr>
      <w:tr w14:paraId="01C57D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 w:hRule="atLeast"/>
        </w:trPr>
        <w:tc>
          <w:tcPr>
            <w:tcW w:w="3176" w:type="dxa"/>
            <w:gridSpan w:val="2"/>
            <w:tcBorders>
              <w:left w:val="single" w:color="auto" w:sz="4" w:space="0"/>
              <w:bottom w:val="single" w:color="auto" w:sz="4" w:space="0"/>
              <w:right w:val="single" w:color="auto" w:sz="4" w:space="0"/>
            </w:tcBorders>
            <w:noWrap/>
            <w:vAlign w:val="center"/>
          </w:tcPr>
          <w:p w14:paraId="48B70AA7">
            <w:pPr>
              <w:pStyle w:val="35"/>
              <w:snapToGrid w:val="0"/>
              <w:spacing w:before="0" w:line="240" w:lineRule="auto"/>
              <w:jc w:val="center"/>
              <w:rPr>
                <w:rFonts w:ascii="宋体" w:hAnsi="宋体" w:cs="宋体"/>
                <w:color w:val="auto"/>
                <w:szCs w:val="24"/>
                <w:highlight w:val="none"/>
              </w:rPr>
            </w:pPr>
            <w:r>
              <w:rPr>
                <w:rFonts w:hint="eastAsia" w:ascii="宋体" w:hAnsi="宋体" w:cs="宋体"/>
                <w:color w:val="auto"/>
                <w:szCs w:val="24"/>
                <w:highlight w:val="none"/>
              </w:rPr>
              <w:t>合计</w:t>
            </w:r>
          </w:p>
        </w:tc>
        <w:tc>
          <w:tcPr>
            <w:tcW w:w="732" w:type="dxa"/>
            <w:tcBorders>
              <w:top w:val="single" w:color="auto" w:sz="4" w:space="0"/>
              <w:left w:val="single" w:color="auto" w:sz="4" w:space="0"/>
              <w:bottom w:val="single" w:color="auto" w:sz="4" w:space="0"/>
              <w:right w:val="single" w:color="auto" w:sz="4" w:space="0"/>
            </w:tcBorders>
            <w:noWrap/>
            <w:vAlign w:val="center"/>
          </w:tcPr>
          <w:p w14:paraId="6AA569D3">
            <w:pPr>
              <w:pStyle w:val="35"/>
              <w:snapToGrid w:val="0"/>
              <w:spacing w:before="0" w:line="240" w:lineRule="auto"/>
              <w:jc w:val="center"/>
              <w:rPr>
                <w:rFonts w:ascii="宋体" w:hAnsi="宋体" w:cs="宋体"/>
                <w:color w:val="auto"/>
                <w:szCs w:val="24"/>
                <w:highlight w:val="none"/>
              </w:rPr>
            </w:pPr>
            <w:r>
              <w:rPr>
                <w:rFonts w:hint="eastAsia" w:ascii="宋体" w:hAnsi="宋体" w:cs="宋体"/>
                <w:color w:val="auto"/>
                <w:szCs w:val="24"/>
                <w:highlight w:val="none"/>
              </w:rPr>
              <w:t>24</w:t>
            </w:r>
          </w:p>
        </w:tc>
        <w:tc>
          <w:tcPr>
            <w:tcW w:w="3970" w:type="dxa"/>
            <w:tcBorders>
              <w:top w:val="single" w:color="auto" w:sz="4" w:space="0"/>
              <w:left w:val="single" w:color="auto" w:sz="4" w:space="0"/>
              <w:bottom w:val="single" w:color="auto" w:sz="4" w:space="0"/>
              <w:right w:val="single" w:color="auto" w:sz="4" w:space="0"/>
            </w:tcBorders>
            <w:noWrap/>
            <w:vAlign w:val="center"/>
          </w:tcPr>
          <w:p w14:paraId="510DFDF9">
            <w:pPr>
              <w:pStyle w:val="35"/>
              <w:snapToGrid w:val="0"/>
              <w:spacing w:before="0" w:line="240" w:lineRule="auto"/>
              <w:jc w:val="center"/>
              <w:rPr>
                <w:rFonts w:ascii="宋体" w:hAnsi="宋体" w:cs="宋体"/>
                <w:color w:val="auto"/>
                <w:szCs w:val="24"/>
                <w:highlight w:val="none"/>
              </w:rPr>
            </w:pPr>
          </w:p>
        </w:tc>
        <w:tc>
          <w:tcPr>
            <w:tcW w:w="1335" w:type="dxa"/>
            <w:tcBorders>
              <w:left w:val="single" w:color="auto" w:sz="4" w:space="0"/>
              <w:bottom w:val="single" w:color="auto" w:sz="4" w:space="0"/>
              <w:right w:val="single" w:color="auto" w:sz="4" w:space="0"/>
            </w:tcBorders>
            <w:noWrap/>
            <w:vAlign w:val="center"/>
          </w:tcPr>
          <w:p w14:paraId="703FA0A3">
            <w:pPr>
              <w:pStyle w:val="35"/>
              <w:snapToGrid w:val="0"/>
              <w:spacing w:before="0" w:line="240" w:lineRule="auto"/>
              <w:jc w:val="center"/>
              <w:rPr>
                <w:rFonts w:ascii="宋体" w:hAnsi="宋体" w:cs="宋体"/>
                <w:color w:val="auto"/>
                <w:szCs w:val="24"/>
                <w:highlight w:val="none"/>
              </w:rPr>
            </w:pPr>
          </w:p>
        </w:tc>
      </w:tr>
    </w:tbl>
    <w:p w14:paraId="48FF29F4">
      <w:pPr>
        <w:pStyle w:val="15"/>
        <w:spacing w:line="360" w:lineRule="auto"/>
        <w:ind w:firstLine="482" w:firstLineChars="200"/>
        <w:rPr>
          <w:rFonts w:ascii="宋体" w:hAnsi="宋体" w:cs="宋体"/>
          <w:b/>
          <w:bCs/>
          <w:color w:val="auto"/>
          <w:szCs w:val="24"/>
          <w:highlight w:val="none"/>
        </w:rPr>
      </w:pPr>
      <w:r>
        <w:rPr>
          <w:rFonts w:hint="eastAsia" w:ascii="宋体" w:hAnsi="宋体" w:cs="宋体"/>
          <w:b/>
          <w:bCs/>
          <w:color w:val="auto"/>
          <w:szCs w:val="24"/>
          <w:highlight w:val="none"/>
        </w:rPr>
        <w:t>3.服务具体内容及服务标准</w:t>
      </w:r>
    </w:p>
    <w:p w14:paraId="2150B031">
      <w:pPr>
        <w:pStyle w:val="15"/>
        <w:spacing w:line="360" w:lineRule="auto"/>
        <w:ind w:firstLine="482" w:firstLineChars="200"/>
        <w:rPr>
          <w:rFonts w:ascii="宋体" w:hAnsi="宋体" w:cs="宋体"/>
          <w:b/>
          <w:bCs/>
          <w:color w:val="auto"/>
          <w:szCs w:val="24"/>
          <w:highlight w:val="none"/>
        </w:rPr>
      </w:pPr>
      <w:r>
        <w:rPr>
          <w:rFonts w:hint="eastAsia" w:ascii="宋体" w:hAnsi="宋体" w:cs="宋体"/>
          <w:b/>
          <w:bCs/>
          <w:color w:val="auto"/>
          <w:szCs w:val="24"/>
          <w:highlight w:val="none"/>
        </w:rPr>
        <w:t>3.1安保管理服务</w:t>
      </w:r>
    </w:p>
    <w:p w14:paraId="6855CD70">
      <w:pPr>
        <w:spacing w:line="360" w:lineRule="auto"/>
        <w:ind w:firstLine="482" w:firstLineChars="200"/>
        <w:rPr>
          <w:rFonts w:ascii="宋体" w:hAnsi="宋体" w:cs="宋体"/>
          <w:color w:val="auto"/>
          <w:szCs w:val="24"/>
          <w:highlight w:val="none"/>
        </w:rPr>
      </w:pPr>
      <w:r>
        <w:rPr>
          <w:rFonts w:hint="eastAsia" w:ascii="宋体" w:hAnsi="宋体" w:cs="宋体"/>
          <w:b/>
          <w:bCs/>
          <w:color w:val="auto"/>
          <w:szCs w:val="24"/>
          <w:highlight w:val="none"/>
        </w:rPr>
        <w:t>3.1.1服务内容：</w:t>
      </w:r>
      <w:r>
        <w:rPr>
          <w:rFonts w:hint="eastAsia" w:ascii="宋体" w:hAnsi="宋体" w:cs="宋体"/>
          <w:color w:val="auto"/>
          <w:szCs w:val="24"/>
          <w:highlight w:val="none"/>
        </w:rPr>
        <w:t>①</w:t>
      </w:r>
      <w:r>
        <w:rPr>
          <w:rFonts w:hint="eastAsia" w:ascii="宋体" w:hAnsi="宋体" w:cs="宋体"/>
          <w:color w:val="auto"/>
          <w:kern w:val="0"/>
          <w:szCs w:val="24"/>
          <w:highlight w:val="none"/>
        </w:rPr>
        <w:t>维护物业管理区域全天候公共秩序，加强安全管理，包括人员出入管理、安全巡视、24小时监控和突发事件处理等；</w:t>
      </w:r>
      <w:r>
        <w:rPr>
          <w:rFonts w:hint="eastAsia" w:ascii="宋体" w:hAnsi="宋体" w:cs="宋体"/>
          <w:color w:val="auto"/>
          <w:szCs w:val="24"/>
          <w:highlight w:val="none"/>
        </w:rPr>
        <w:t>②</w:t>
      </w:r>
      <w:r>
        <w:rPr>
          <w:rFonts w:hint="eastAsia" w:ascii="宋体" w:hAnsi="宋体" w:cs="宋体"/>
          <w:color w:val="auto"/>
          <w:kern w:val="0"/>
          <w:szCs w:val="24"/>
          <w:highlight w:val="none"/>
        </w:rPr>
        <w:t>维护物业管理区域各类车辆进出秩序，引导车辆有序停放，加强停车场所的安全使用管理；</w:t>
      </w:r>
      <w:r>
        <w:rPr>
          <w:rFonts w:hint="eastAsia" w:ascii="宋体" w:hAnsi="宋体" w:cs="宋体"/>
          <w:color w:val="auto"/>
          <w:szCs w:val="24"/>
          <w:highlight w:val="none"/>
        </w:rPr>
        <w:t>③</w:t>
      </w:r>
      <w:r>
        <w:rPr>
          <w:rFonts w:hint="eastAsia" w:ascii="宋体" w:hAnsi="宋体" w:cs="宋体"/>
          <w:color w:val="auto"/>
          <w:kern w:val="0"/>
          <w:szCs w:val="24"/>
          <w:highlight w:val="none"/>
        </w:rPr>
        <w:t>完善各类消防管理制度，负责物业管理服务区域的消防监控值班和巡查；</w:t>
      </w:r>
      <w:r>
        <w:rPr>
          <w:rFonts w:hint="eastAsia" w:ascii="宋体" w:hAnsi="宋体" w:cs="宋体"/>
          <w:color w:val="auto"/>
          <w:szCs w:val="24"/>
          <w:highlight w:val="none"/>
        </w:rPr>
        <w:t>④协助公安等有关行政管理部门做好服务区域内的公共秩序维护和安全防护工作；⑤</w:t>
      </w:r>
      <w:r>
        <w:rPr>
          <w:rFonts w:hint="eastAsia" w:ascii="宋体" w:hAnsi="宋体" w:cs="宋体"/>
          <w:color w:val="auto"/>
          <w:kern w:val="0"/>
          <w:szCs w:val="24"/>
          <w:highlight w:val="none"/>
        </w:rPr>
        <w:t>按甲方要求配合做好日常会议和重要活动安全保卫工作。</w:t>
      </w:r>
    </w:p>
    <w:p w14:paraId="09DC59CA">
      <w:pPr>
        <w:pStyle w:val="15"/>
        <w:spacing w:line="360" w:lineRule="auto"/>
        <w:ind w:firstLine="482" w:firstLineChars="200"/>
        <w:rPr>
          <w:rFonts w:ascii="宋体" w:hAnsi="宋体" w:cs="宋体"/>
          <w:b/>
          <w:bCs/>
          <w:color w:val="auto"/>
          <w:szCs w:val="24"/>
          <w:highlight w:val="none"/>
        </w:rPr>
      </w:pPr>
      <w:r>
        <w:rPr>
          <w:rFonts w:hint="eastAsia" w:ascii="宋体" w:hAnsi="宋体" w:cs="宋体"/>
          <w:b/>
          <w:bCs/>
          <w:color w:val="auto"/>
          <w:szCs w:val="24"/>
          <w:highlight w:val="none"/>
        </w:rPr>
        <w:t>3.1.2服务标准：</w:t>
      </w:r>
    </w:p>
    <w:p w14:paraId="26A9C847">
      <w:pPr>
        <w:spacing w:line="360" w:lineRule="auto"/>
        <w:ind w:firstLine="482" w:firstLineChars="200"/>
        <w:rPr>
          <w:rFonts w:ascii="宋体" w:hAnsi="宋体" w:cs="宋体"/>
          <w:color w:val="auto"/>
          <w:kern w:val="0"/>
          <w:szCs w:val="24"/>
          <w:highlight w:val="none"/>
        </w:rPr>
      </w:pPr>
      <w:r>
        <w:rPr>
          <w:rFonts w:hint="eastAsia" w:ascii="宋体" w:hAnsi="宋体" w:cs="宋体"/>
          <w:b/>
          <w:bCs/>
          <w:color w:val="auto"/>
          <w:kern w:val="0"/>
          <w:szCs w:val="24"/>
          <w:highlight w:val="none"/>
        </w:rPr>
        <w:t>门岗值守标准：</w:t>
      </w:r>
      <w:r>
        <w:rPr>
          <w:rFonts w:hint="eastAsia" w:ascii="宋体" w:hAnsi="宋体" w:cs="宋体"/>
          <w:color w:val="auto"/>
          <w:szCs w:val="24"/>
          <w:highlight w:val="none"/>
        </w:rPr>
        <w:t>①应做到着装统一、文明礼貌、热情周到。②24小时执勤，建立执勤、出入登记、交接班等记录，不得擅自离岗。③</w:t>
      </w:r>
      <w:r>
        <w:rPr>
          <w:rFonts w:hint="eastAsia" w:ascii="宋体" w:hAnsi="宋体" w:cs="宋体"/>
          <w:color w:val="auto"/>
          <w:kern w:val="0"/>
          <w:szCs w:val="24"/>
          <w:highlight w:val="none"/>
        </w:rPr>
        <w:t>严格执行来访登记和验证制度，对进出人员核查证件，不准无证人员进入办公楼，严禁未经许可人员进入涉密场所和重要场所，对强行进入办公楼和涉密场所和重要场所的，要果断制止，并立即上报。</w:t>
      </w:r>
      <w:r>
        <w:rPr>
          <w:rFonts w:hint="eastAsia" w:ascii="宋体" w:hAnsi="宋体" w:cs="宋体"/>
          <w:color w:val="auto"/>
          <w:szCs w:val="24"/>
          <w:highlight w:val="none"/>
        </w:rPr>
        <w:t>④</w:t>
      </w:r>
      <w:r>
        <w:rPr>
          <w:rFonts w:hint="eastAsia" w:ascii="宋体" w:hAnsi="宋体" w:cs="宋体"/>
          <w:color w:val="auto"/>
          <w:kern w:val="0"/>
          <w:szCs w:val="24"/>
          <w:highlight w:val="none"/>
        </w:rPr>
        <w:t>对管辖范围内无证车辆进出应询问并记录，对运送物品车辆应检查和记录，并向采购人报告，待采购人确认无误后放行。</w:t>
      </w:r>
      <w:r>
        <w:rPr>
          <w:rFonts w:hint="eastAsia" w:ascii="宋体" w:hAnsi="宋体" w:cs="宋体"/>
          <w:color w:val="auto"/>
          <w:szCs w:val="24"/>
          <w:highlight w:val="none"/>
        </w:rPr>
        <w:t>⑤</w:t>
      </w:r>
      <w:r>
        <w:rPr>
          <w:rFonts w:hint="eastAsia"/>
          <w:color w:val="auto"/>
          <w:szCs w:val="24"/>
          <w:highlight w:val="none"/>
        </w:rPr>
        <w:t xml:space="preserve">做好快递包裹投放区的管理，严禁快递人员将快递包裹乱扔乱放的行为，寄收快递物品在楼外进行。 </w:t>
      </w:r>
      <w:r>
        <w:rPr>
          <w:rFonts w:hint="eastAsia" w:ascii="宋体" w:hAnsi="宋体" w:cs="宋体"/>
          <w:color w:val="auto"/>
          <w:szCs w:val="24"/>
          <w:highlight w:val="none"/>
        </w:rPr>
        <w:t>⑥</w:t>
      </w:r>
      <w:r>
        <w:rPr>
          <w:rFonts w:hint="eastAsia" w:ascii="宋体" w:hAnsi="宋体" w:cs="宋体"/>
          <w:color w:val="auto"/>
          <w:kern w:val="0"/>
          <w:szCs w:val="24"/>
          <w:highlight w:val="none"/>
        </w:rPr>
        <w:t>对重要来宾所乘车辆要做好引导和停放工作。</w:t>
      </w:r>
    </w:p>
    <w:p w14:paraId="702DC299">
      <w:pPr>
        <w:spacing w:line="360" w:lineRule="auto"/>
        <w:ind w:firstLine="482" w:firstLineChars="200"/>
        <w:rPr>
          <w:rFonts w:ascii="宋体" w:hAnsi="宋体" w:cs="宋体"/>
          <w:color w:val="auto"/>
          <w:kern w:val="0"/>
          <w:szCs w:val="24"/>
          <w:highlight w:val="none"/>
        </w:rPr>
      </w:pPr>
      <w:r>
        <w:rPr>
          <w:rFonts w:hint="eastAsia" w:ascii="宋体" w:hAnsi="宋体" w:cs="宋体"/>
          <w:b/>
          <w:bCs/>
          <w:color w:val="auto"/>
          <w:kern w:val="0"/>
          <w:szCs w:val="24"/>
          <w:highlight w:val="none"/>
        </w:rPr>
        <w:t>巡逻岗值守标准：</w:t>
      </w:r>
      <w:r>
        <w:rPr>
          <w:rFonts w:hint="eastAsia" w:ascii="宋体" w:hAnsi="宋体" w:cs="宋体"/>
          <w:color w:val="auto"/>
          <w:szCs w:val="24"/>
          <w:highlight w:val="none"/>
        </w:rPr>
        <w:t>①</w:t>
      </w:r>
      <w:r>
        <w:rPr>
          <w:rFonts w:hint="eastAsia" w:ascii="宋体" w:hAnsi="宋体" w:cs="宋体"/>
          <w:color w:val="auto"/>
          <w:kern w:val="0"/>
          <w:szCs w:val="24"/>
          <w:highlight w:val="none"/>
        </w:rPr>
        <w:t>按照规定路线和时间24小时进行有计划、不间断的巡逻，白天巡逻3小时1次，晚上巡逻2小时1次；对重点区域、重点部位每1小时至少巡查1次，并做好巡查记录；</w:t>
      </w:r>
      <w:r>
        <w:rPr>
          <w:rFonts w:hint="eastAsia" w:ascii="宋体" w:hAnsi="宋体" w:cs="宋体"/>
          <w:color w:val="auto"/>
          <w:szCs w:val="24"/>
          <w:highlight w:val="none"/>
        </w:rPr>
        <w:t>及时处置巡逻过程中的异常情况，对可疑人员进行询问；发现火警苗头或治安隐患及时处理，并及时报告甲方。②</w:t>
      </w:r>
      <w:r>
        <w:rPr>
          <w:rFonts w:hint="eastAsia" w:ascii="宋体" w:hAnsi="宋体" w:cs="宋体"/>
          <w:color w:val="auto"/>
          <w:kern w:val="0"/>
          <w:szCs w:val="24"/>
          <w:highlight w:val="none"/>
        </w:rPr>
        <w:t>及时发现安全隐患，防止盗窃、火灾等治安事故的发生。对火灾、治安、公共卫生等突发事件有应急预案</w:t>
      </w:r>
      <w:r>
        <w:rPr>
          <w:rFonts w:hint="eastAsia" w:ascii="宋体" w:hAnsi="宋体" w:cs="宋体"/>
          <w:color w:val="auto"/>
          <w:szCs w:val="24"/>
          <w:highlight w:val="none"/>
        </w:rPr>
        <w:t>。</w:t>
      </w:r>
      <w:r>
        <w:rPr>
          <w:rFonts w:hint="eastAsia" w:ascii="宋体" w:hAnsi="宋体" w:cs="宋体"/>
          <w:color w:val="auto"/>
          <w:kern w:val="0"/>
          <w:szCs w:val="24"/>
          <w:highlight w:val="none"/>
        </w:rPr>
        <w:t>事发时及时报告甲方，并协助采取相应措施。</w:t>
      </w:r>
      <w:r>
        <w:rPr>
          <w:rFonts w:hint="eastAsia" w:ascii="宋体" w:hAnsi="宋体" w:cs="宋体"/>
          <w:color w:val="auto"/>
          <w:szCs w:val="24"/>
          <w:highlight w:val="none"/>
        </w:rPr>
        <w:t>③交通规划有序，设置必要的交通安全标准和设施，对机动车实施车牌管理，机动车在指定地点有序存放，非机动车停放整齐。④</w:t>
      </w:r>
      <w:r>
        <w:rPr>
          <w:rFonts w:hint="eastAsia" w:ascii="宋体" w:hAnsi="宋体" w:cs="宋体"/>
          <w:color w:val="auto"/>
          <w:kern w:val="0"/>
          <w:szCs w:val="24"/>
          <w:highlight w:val="none"/>
        </w:rPr>
        <w:t>做好重大活动、重要人物、宾客及重大节日的安全保卫工作。</w:t>
      </w:r>
    </w:p>
    <w:p w14:paraId="601681AB">
      <w:pPr>
        <w:spacing w:line="360" w:lineRule="auto"/>
        <w:ind w:firstLine="482" w:firstLineChars="200"/>
        <w:rPr>
          <w:rFonts w:ascii="宋体" w:hAnsi="宋体" w:cs="宋体"/>
          <w:color w:val="auto"/>
          <w:kern w:val="0"/>
          <w:szCs w:val="24"/>
          <w:highlight w:val="none"/>
        </w:rPr>
      </w:pPr>
      <w:r>
        <w:rPr>
          <w:rFonts w:hint="eastAsia" w:ascii="宋体" w:hAnsi="宋体" w:cs="宋体"/>
          <w:b/>
          <w:bCs/>
          <w:color w:val="auto"/>
          <w:kern w:val="0"/>
          <w:szCs w:val="24"/>
          <w:highlight w:val="none"/>
        </w:rPr>
        <w:t>停车场管理标准：</w:t>
      </w:r>
      <w:r>
        <w:rPr>
          <w:rFonts w:hint="eastAsia" w:ascii="宋体" w:hAnsi="宋体" w:cs="宋体"/>
          <w:color w:val="auto"/>
          <w:szCs w:val="24"/>
          <w:highlight w:val="none"/>
        </w:rPr>
        <w:t>①</w:t>
      </w:r>
      <w:r>
        <w:rPr>
          <w:rFonts w:hint="eastAsia" w:ascii="宋体" w:hAnsi="宋体" w:cs="宋体"/>
          <w:color w:val="auto"/>
          <w:kern w:val="0"/>
          <w:szCs w:val="24"/>
          <w:highlight w:val="none"/>
        </w:rPr>
        <w:t>保证停车场内整齐有序及辖区内交通畅通，全天24小时对地下停车场和地面停车场实施管理，保证车辆停放安全。</w:t>
      </w:r>
      <w:r>
        <w:rPr>
          <w:rFonts w:hint="eastAsia" w:ascii="宋体" w:hAnsi="宋体" w:cs="宋体"/>
          <w:color w:val="auto"/>
          <w:szCs w:val="24"/>
          <w:highlight w:val="none"/>
        </w:rPr>
        <w:t>②</w:t>
      </w:r>
      <w:r>
        <w:rPr>
          <w:rFonts w:hint="eastAsia" w:ascii="宋体" w:hAnsi="宋体" w:cs="宋体"/>
          <w:color w:val="auto"/>
          <w:kern w:val="0"/>
          <w:szCs w:val="24"/>
          <w:highlight w:val="none"/>
        </w:rPr>
        <w:t>定时对车辆巡视，检查车辆是否有漏油、车窗门未关好等情况。</w:t>
      </w:r>
      <w:r>
        <w:rPr>
          <w:rFonts w:hint="eastAsia" w:ascii="宋体" w:hAnsi="宋体" w:cs="宋体"/>
          <w:color w:val="auto"/>
          <w:szCs w:val="24"/>
          <w:highlight w:val="none"/>
        </w:rPr>
        <w:t>③</w:t>
      </w:r>
      <w:r>
        <w:rPr>
          <w:rFonts w:hint="eastAsia" w:ascii="宋体" w:hAnsi="宋体" w:cs="宋体"/>
          <w:color w:val="auto"/>
          <w:kern w:val="0"/>
          <w:szCs w:val="24"/>
          <w:highlight w:val="none"/>
        </w:rPr>
        <w:t>负责车辆交通配套设备设施的使用管理、简单维修和日常保养，按规定的时间准时对地下停车场排风和送风。</w:t>
      </w:r>
      <w:r>
        <w:rPr>
          <w:rFonts w:hint="eastAsia" w:ascii="宋体" w:hAnsi="宋体" w:cs="宋体"/>
          <w:color w:val="auto"/>
          <w:szCs w:val="24"/>
          <w:highlight w:val="none"/>
        </w:rPr>
        <w:t>④</w:t>
      </w:r>
      <w:r>
        <w:rPr>
          <w:rFonts w:hint="eastAsia" w:ascii="宋体" w:hAnsi="宋体" w:cs="宋体"/>
          <w:color w:val="auto"/>
          <w:kern w:val="0"/>
          <w:szCs w:val="24"/>
          <w:highlight w:val="none"/>
        </w:rPr>
        <w:t>发现无关人员和可疑人员进入到停车场要及时责令其离开，若有紧急情况，应立即采取措施；发现非正常驾驶行为应立即劝阻，避免意外交通事故的发生。</w:t>
      </w:r>
      <w:r>
        <w:rPr>
          <w:rFonts w:hint="eastAsia" w:ascii="宋体" w:hAnsi="宋体" w:cs="宋体"/>
          <w:color w:val="auto"/>
          <w:szCs w:val="24"/>
          <w:highlight w:val="none"/>
        </w:rPr>
        <w:t>⑤</w:t>
      </w:r>
      <w:r>
        <w:rPr>
          <w:rFonts w:hint="eastAsia" w:ascii="宋体" w:hAnsi="宋体" w:cs="宋体"/>
          <w:color w:val="auto"/>
          <w:kern w:val="0"/>
          <w:szCs w:val="24"/>
          <w:highlight w:val="none"/>
        </w:rPr>
        <w:t>及时发现和协助交警妥善处理在停车场发生的交通事故。</w:t>
      </w:r>
    </w:p>
    <w:p w14:paraId="500ED802">
      <w:pPr>
        <w:spacing w:line="360" w:lineRule="auto"/>
        <w:ind w:firstLine="482" w:firstLineChars="200"/>
        <w:rPr>
          <w:rFonts w:ascii="宋体" w:hAnsi="宋体" w:cs="宋体"/>
          <w:color w:val="auto"/>
          <w:szCs w:val="24"/>
          <w:highlight w:val="none"/>
        </w:rPr>
      </w:pPr>
      <w:r>
        <w:rPr>
          <w:rFonts w:hint="eastAsia" w:ascii="宋体" w:hAnsi="宋体" w:cs="宋体"/>
          <w:b/>
          <w:bCs/>
          <w:color w:val="auto"/>
          <w:kern w:val="0"/>
          <w:szCs w:val="24"/>
          <w:highlight w:val="none"/>
        </w:rPr>
        <w:t>消防管理及保障标准：</w:t>
      </w:r>
      <w:r>
        <w:rPr>
          <w:rFonts w:hint="eastAsia" w:ascii="宋体" w:hAnsi="宋体" w:cs="宋体"/>
          <w:color w:val="auto"/>
          <w:szCs w:val="24"/>
          <w:highlight w:val="none"/>
        </w:rPr>
        <w:t>①</w:t>
      </w:r>
      <w:r>
        <w:rPr>
          <w:rFonts w:hint="eastAsia" w:ascii="宋体" w:hAnsi="宋体" w:cs="宋体"/>
          <w:color w:val="auto"/>
          <w:kern w:val="0"/>
          <w:szCs w:val="24"/>
          <w:highlight w:val="none"/>
        </w:rPr>
        <w:t>消防控制人员必须持证上岗，建立24小时值班制度。建立各项消防制度，定期对安防人员进行消防知识的培训和普及，做到每日巡察消防设施设备、动火作业、用电安全等各项消防隐患和安全。</w:t>
      </w:r>
      <w:r>
        <w:rPr>
          <w:rFonts w:hint="eastAsia" w:ascii="宋体" w:hAnsi="宋体" w:cs="宋体"/>
          <w:color w:val="auto"/>
          <w:szCs w:val="24"/>
          <w:highlight w:val="none"/>
        </w:rPr>
        <w:t>②</w:t>
      </w:r>
      <w:r>
        <w:rPr>
          <w:rFonts w:hint="eastAsia" w:ascii="宋体" w:hAnsi="宋体" w:cs="宋体"/>
          <w:color w:val="auto"/>
          <w:kern w:val="0"/>
          <w:szCs w:val="24"/>
          <w:highlight w:val="none"/>
        </w:rPr>
        <w:t>建立消防设备档案，实行消防监控档案专人负责。每月对消防设施设备进行检查，发现问题及时通知甲方并书面告知维保单位。</w:t>
      </w:r>
      <w:r>
        <w:rPr>
          <w:rFonts w:hint="eastAsia" w:ascii="宋体" w:hAnsi="宋体" w:cs="宋体"/>
          <w:color w:val="auto"/>
          <w:szCs w:val="24"/>
          <w:highlight w:val="none"/>
        </w:rPr>
        <w:t>③</w:t>
      </w:r>
      <w:r>
        <w:rPr>
          <w:rFonts w:hint="eastAsia" w:ascii="宋体" w:hAnsi="宋体" w:cs="宋体"/>
          <w:color w:val="auto"/>
          <w:kern w:val="0"/>
          <w:szCs w:val="24"/>
          <w:highlight w:val="none"/>
        </w:rPr>
        <w:t>建立消防应急措施管理方案,并负责组织实施。</w:t>
      </w:r>
      <w:r>
        <w:rPr>
          <w:rFonts w:hint="eastAsia" w:ascii="宋体" w:hAnsi="宋体" w:cs="宋体"/>
          <w:color w:val="auto"/>
          <w:szCs w:val="24"/>
          <w:highlight w:val="none"/>
        </w:rPr>
        <w:t>④</w:t>
      </w:r>
      <w:r>
        <w:rPr>
          <w:rFonts w:hint="eastAsia" w:ascii="宋体" w:hAnsi="宋体" w:cs="宋体"/>
          <w:color w:val="auto"/>
          <w:kern w:val="0"/>
          <w:szCs w:val="24"/>
          <w:highlight w:val="none"/>
        </w:rPr>
        <w:t>成立义务消防队，义务消防队员能够熟练使用消防设施设备；消防设施设备由义务消防队员专人负责管理，除义务消防队员外任何人不得在未发生火情的情况下随意开启或关闭大楼内的消防设施设备；做好安防、消防档案管理，包括设施设备档案、巡察记录档案、监控室录像档案等。</w:t>
      </w:r>
    </w:p>
    <w:p w14:paraId="50FF2ED4">
      <w:pPr>
        <w:pStyle w:val="15"/>
        <w:spacing w:line="360" w:lineRule="auto"/>
        <w:ind w:firstLine="482" w:firstLineChars="200"/>
        <w:rPr>
          <w:rFonts w:ascii="宋体" w:hAnsi="宋体" w:cs="宋体"/>
          <w:color w:val="auto"/>
          <w:szCs w:val="24"/>
          <w:highlight w:val="none"/>
        </w:rPr>
      </w:pPr>
      <w:r>
        <w:rPr>
          <w:rFonts w:hint="eastAsia" w:ascii="宋体" w:hAnsi="宋体" w:cs="宋体"/>
          <w:b/>
          <w:bCs/>
          <w:color w:val="auto"/>
          <w:szCs w:val="24"/>
          <w:highlight w:val="none"/>
        </w:rPr>
        <w:t>3.1.3补充说明：</w:t>
      </w:r>
      <w:r>
        <w:rPr>
          <w:rFonts w:hint="eastAsia" w:ascii="宋体" w:hAnsi="宋体" w:cs="宋体"/>
          <w:color w:val="auto"/>
          <w:szCs w:val="24"/>
          <w:highlight w:val="none"/>
        </w:rPr>
        <w:t>乙方应定期组织对安保人员进行培训，配备对讲装置和必要的防护器械。</w:t>
      </w:r>
    </w:p>
    <w:p w14:paraId="7F882A6A">
      <w:pPr>
        <w:pStyle w:val="15"/>
        <w:spacing w:line="360" w:lineRule="auto"/>
        <w:ind w:firstLine="482" w:firstLineChars="200"/>
        <w:rPr>
          <w:rFonts w:ascii="宋体" w:hAnsi="宋体" w:cs="宋体"/>
          <w:color w:val="auto"/>
          <w:szCs w:val="24"/>
          <w:highlight w:val="none"/>
        </w:rPr>
      </w:pPr>
      <w:r>
        <w:rPr>
          <w:rFonts w:hint="eastAsia" w:ascii="宋体" w:hAnsi="宋体" w:cs="宋体"/>
          <w:b/>
          <w:bCs/>
          <w:color w:val="auto"/>
          <w:szCs w:val="24"/>
          <w:highlight w:val="none"/>
        </w:rPr>
        <w:t>3.1.4惩处措施：</w:t>
      </w:r>
      <w:r>
        <w:rPr>
          <w:rFonts w:hint="eastAsia" w:ascii="宋体" w:hAnsi="宋体" w:cs="宋体"/>
          <w:color w:val="auto"/>
          <w:szCs w:val="24"/>
          <w:highlight w:val="none"/>
        </w:rPr>
        <w:t>①安保正常工作时间为24小时，未按要求落实的每次处罚300元。②因工作失职造成公共财物丢失的按照原价赔偿并处罚500元。③因工作失误造成停电、火灾等险情的，视情处1000-20000元/次罚款。</w:t>
      </w:r>
    </w:p>
    <w:p w14:paraId="5B367CD6">
      <w:pPr>
        <w:pStyle w:val="15"/>
        <w:spacing w:line="360" w:lineRule="auto"/>
        <w:ind w:firstLine="482" w:firstLineChars="200"/>
        <w:rPr>
          <w:rFonts w:ascii="宋体" w:hAnsi="宋体" w:cs="宋体"/>
          <w:b/>
          <w:bCs/>
          <w:color w:val="auto"/>
          <w:szCs w:val="24"/>
          <w:highlight w:val="none"/>
        </w:rPr>
      </w:pPr>
      <w:r>
        <w:rPr>
          <w:rFonts w:hint="eastAsia" w:ascii="宋体" w:hAnsi="宋体" w:cs="宋体"/>
          <w:b/>
          <w:bCs/>
          <w:color w:val="auto"/>
          <w:szCs w:val="24"/>
          <w:highlight w:val="none"/>
        </w:rPr>
        <w:t>3.2环境管理</w:t>
      </w:r>
    </w:p>
    <w:p w14:paraId="031A1CE2">
      <w:pPr>
        <w:pStyle w:val="15"/>
        <w:spacing w:line="360" w:lineRule="auto"/>
        <w:ind w:firstLine="482" w:firstLineChars="200"/>
        <w:rPr>
          <w:rFonts w:ascii="宋体" w:hAnsi="宋体" w:cs="宋体"/>
          <w:color w:val="auto"/>
          <w:szCs w:val="24"/>
          <w:highlight w:val="none"/>
        </w:rPr>
      </w:pPr>
      <w:r>
        <w:rPr>
          <w:rFonts w:hint="eastAsia" w:ascii="宋体" w:hAnsi="宋体" w:cs="宋体"/>
          <w:b/>
          <w:bCs/>
          <w:color w:val="auto"/>
          <w:szCs w:val="24"/>
          <w:highlight w:val="none"/>
        </w:rPr>
        <w:t>3.2.1服务内容：</w:t>
      </w:r>
      <w:r>
        <w:rPr>
          <w:rFonts w:hint="eastAsia" w:ascii="宋体" w:hAnsi="宋体" w:cs="宋体"/>
          <w:color w:val="auto"/>
          <w:szCs w:val="24"/>
          <w:highlight w:val="none"/>
        </w:rPr>
        <w:t>室内：①办公楼内所有公共部位、会议室、办公室等地面清扫清洁，墙面扫尘掸灰，门窗、楼梯扶手及公共设施设备清洁擦拭等。②各楼层卫生间卫生清洁，垃圾清倒。室外：①硬化路面清洁。②路灯、垃圾箱、宣传栏及各类指示标牌等设施的卫生清整、擦拭。③绿化带、停车场等公共场所卫生清洁。④楼宇内外“四害”的防治。</w:t>
      </w:r>
    </w:p>
    <w:p w14:paraId="3E6C4A6E">
      <w:pPr>
        <w:pStyle w:val="15"/>
        <w:spacing w:line="360" w:lineRule="auto"/>
        <w:ind w:firstLine="482" w:firstLineChars="200"/>
        <w:rPr>
          <w:rFonts w:ascii="宋体" w:hAnsi="宋体" w:cs="宋体"/>
          <w:b/>
          <w:bCs/>
          <w:color w:val="auto"/>
          <w:szCs w:val="24"/>
          <w:highlight w:val="none"/>
        </w:rPr>
      </w:pPr>
      <w:r>
        <w:rPr>
          <w:rFonts w:hint="eastAsia" w:ascii="宋体" w:hAnsi="宋体" w:cs="宋体"/>
          <w:b/>
          <w:bCs/>
          <w:color w:val="auto"/>
          <w:szCs w:val="24"/>
          <w:highlight w:val="none"/>
        </w:rPr>
        <w:t>3.2.2服务标准：</w:t>
      </w:r>
    </w:p>
    <w:p w14:paraId="5006CA2B">
      <w:pPr>
        <w:spacing w:line="360" w:lineRule="auto"/>
        <w:ind w:firstLine="482" w:firstLineChars="200"/>
        <w:rPr>
          <w:rFonts w:ascii="宋体" w:hAnsi="宋体" w:cs="宋体"/>
          <w:color w:val="auto"/>
          <w:szCs w:val="24"/>
          <w:highlight w:val="none"/>
        </w:rPr>
      </w:pPr>
      <w:r>
        <w:rPr>
          <w:rFonts w:hint="eastAsia" w:ascii="宋体" w:hAnsi="宋体" w:cs="宋体"/>
          <w:b/>
          <w:bCs/>
          <w:color w:val="auto"/>
          <w:kern w:val="0"/>
          <w:szCs w:val="24"/>
          <w:highlight w:val="none"/>
        </w:rPr>
        <w:t>室内、外公共区域保洁标准：</w:t>
      </w:r>
      <w:r>
        <w:rPr>
          <w:rFonts w:hint="eastAsia" w:ascii="宋体" w:hAnsi="宋体" w:cs="宋体"/>
          <w:color w:val="auto"/>
          <w:szCs w:val="24"/>
          <w:highlight w:val="none"/>
        </w:rPr>
        <w:t>①楼内</w:t>
      </w:r>
      <w:r>
        <w:rPr>
          <w:rFonts w:hint="eastAsia" w:ascii="宋体" w:hAnsi="宋体" w:cs="宋体"/>
          <w:color w:val="auto"/>
          <w:kern w:val="0"/>
          <w:szCs w:val="24"/>
          <w:highlight w:val="none"/>
        </w:rPr>
        <w:t>大理石地、墙面开展日常镜面保养，应保持整洁光亮，亮度应保持85度以上。</w:t>
      </w:r>
      <w:r>
        <w:rPr>
          <w:rFonts w:hint="eastAsia" w:ascii="宋体" w:hAnsi="宋体" w:cs="宋体"/>
          <w:color w:val="auto"/>
          <w:szCs w:val="24"/>
          <w:highlight w:val="none"/>
        </w:rPr>
        <w:t>大厅及楼道、墙面不得出现污渍、尘土、霉变，地面不得出现污渍、尘土，玻璃、镜面、不锈钢表面不得出现1米以外可见的污渍、尘土、印迹；院落地面、台阶、天台无杂物、无积尘、积水、无烟头、无鸟屎、无油渍，保持地面本色。露台保持清洁、无垃圾。②消防栓、指示牌、灯箱、展板等公共设施隔日擦一次，表面干净无灰尘。玻璃大门无手印及灰尘，保持干净、光亮、完好无损。③楼梯间及通道天花板和墙壁：每日清扫，每月除尘消毒1次，确保墙面、地面、扶手无浮尘、无蛛网。④地面：每天擦拭并循环保洁，保持地面清洁、光亮，无污渍、无水迹、无脚印、无污渍、无烟蒂、无痰迹、无垃圾；墙面清洁：每月除尘1次、脏污处随时清洁。走道四角及踢脚板保持干净、无垃圾。道路、公共活动场地、绿地、楼道每日循环清扫扶手、栏杆、电梯间、室外标识牌、宣传牌、小型外露设施，每天擦拭一次，保持干净无灰尘。⑤公共卫生间：每天定时打扫、循环保洁；每天早上保洁后用专用消毒液对洗手盆、水龙头、大小便器、门把手和地板简易消毒；每月至少1次灯具擦拭、天花板清洁。所有清洁剂、消毒剂、保养材料必须使用正规品牌，卫生洁具做到清洁，无水迹、无头发、无异味；地面四角保持干燥、无蛛网，地面无脚印、无尘土、无杂物；金属器具保持光亮，无浮尘，无便迹、无锈斑。⑥楼梯、扶手：每日擦拭并循环保洁；其它部位，如柱面、墙面、台面、栏杆、灯座、灯罩、灯具、空调通风口等保持光亮、整洁、无灰尘。消防栓、指示牌等公共设施隔日擦一次，表面干净无灰尘。⑦垃圾桶、箱放置整齐、垃圾袋套在垃圾箱上，四周无散落垃圾，无异味；垃圾日产日清，运送至集中放置点。每周要对生活垃圾容器进行一次清理、保洁、灭害工作，保证无异味、无污迹。每月消杀2次，夏季每周清洗、消杀1次。清洁工具定点存放，摆放整齐有序。⑧</w:t>
      </w:r>
      <w:r>
        <w:rPr>
          <w:rFonts w:hint="eastAsia" w:ascii="宋体" w:hAnsi="宋体" w:cs="宋体"/>
          <w:color w:val="auto"/>
          <w:kern w:val="0"/>
          <w:szCs w:val="24"/>
          <w:highlight w:val="none"/>
        </w:rPr>
        <w:t>停车场：每天定时打扫，无垃圾杂物，地面果皮、纸屑、烟头、碎石、墙面、棚面和设施设备干净，无灰尘，无污渍，杂物必须在20分钟内处理完毕。不得损坏车辆及设施，如发现有车门、车窗、车灯没有关好，及时上报。⑨</w:t>
      </w:r>
      <w:r>
        <w:rPr>
          <w:rFonts w:hint="eastAsia" w:ascii="宋体" w:hAnsi="宋体" w:cs="宋体"/>
          <w:color w:val="auto"/>
          <w:szCs w:val="24"/>
          <w:highlight w:val="none"/>
        </w:rPr>
        <w:t>定期进行标准化规范的特殊保洁作业，如大堂地面镜面处理、窗帘清洗、空调清洗等。定期消杀老鼠、蚊、苍蝇及白蚁等有害生物，通过“清洁、改造、消杀、隔离”等步骤，使内外环境改善，以防治有害生物的滋生和各种不同灾害的发生。</w:t>
      </w:r>
    </w:p>
    <w:p w14:paraId="3F980C02">
      <w:pPr>
        <w:spacing w:line="360" w:lineRule="auto"/>
        <w:ind w:firstLine="482" w:firstLineChars="200"/>
        <w:rPr>
          <w:rFonts w:ascii="宋体" w:hAnsi="宋体" w:cs="宋体"/>
          <w:color w:val="auto"/>
          <w:kern w:val="0"/>
          <w:szCs w:val="24"/>
          <w:highlight w:val="none"/>
        </w:rPr>
      </w:pPr>
      <w:r>
        <w:rPr>
          <w:rFonts w:hint="eastAsia" w:ascii="宋体" w:hAnsi="宋体" w:cs="宋体"/>
          <w:b/>
          <w:bCs/>
          <w:color w:val="auto"/>
          <w:szCs w:val="24"/>
          <w:highlight w:val="none"/>
        </w:rPr>
        <w:t>电梯保洁标准：</w:t>
      </w:r>
      <w:r>
        <w:rPr>
          <w:rFonts w:hint="eastAsia" w:ascii="宋体" w:hAnsi="宋体" w:cs="宋体"/>
          <w:color w:val="auto"/>
          <w:szCs w:val="24"/>
          <w:highlight w:val="none"/>
        </w:rPr>
        <w:t>①电梯应定期上不锈钢油。②电梯轿厢每日至少擦拭1次，轿厢内地面清洁、光亮，无污渍、无水迹、无脚印、无污渍、无烟蒂、无痰迹、无垃圾，不锈钢壁无手印、无灰尘，保持干净、光亮、完好无损。③电梯内大理石地面保持光亮，日常亮度保持在85度以上。④</w:t>
      </w:r>
      <w:r>
        <w:rPr>
          <w:rFonts w:hint="eastAsia" w:ascii="宋体" w:hAnsi="宋体" w:cs="宋体"/>
          <w:color w:val="auto"/>
          <w:kern w:val="0"/>
          <w:szCs w:val="24"/>
          <w:highlight w:val="none"/>
        </w:rPr>
        <w:t>电梯间天花风口无明显积尘，无污渍，无蜘蛛网，灯罩光亮。</w:t>
      </w:r>
    </w:p>
    <w:p w14:paraId="5B1D9B20">
      <w:pPr>
        <w:spacing w:line="360" w:lineRule="auto"/>
        <w:ind w:firstLine="482" w:firstLineChars="200"/>
        <w:rPr>
          <w:rFonts w:ascii="宋体" w:hAnsi="宋体" w:cs="宋体"/>
          <w:color w:val="auto"/>
          <w:kern w:val="0"/>
          <w:szCs w:val="24"/>
          <w:highlight w:val="none"/>
        </w:rPr>
      </w:pPr>
      <w:r>
        <w:rPr>
          <w:rFonts w:hint="eastAsia" w:ascii="宋体" w:hAnsi="宋体" w:cs="宋体"/>
          <w:b/>
          <w:bCs/>
          <w:color w:val="auto"/>
          <w:kern w:val="0"/>
          <w:szCs w:val="24"/>
          <w:highlight w:val="none"/>
        </w:rPr>
        <w:t>卫生间保洁标准：</w:t>
      </w:r>
      <w:r>
        <w:rPr>
          <w:rFonts w:hint="eastAsia" w:ascii="宋体" w:hAnsi="宋体" w:cs="宋体"/>
          <w:color w:val="auto"/>
          <w:szCs w:val="24"/>
          <w:highlight w:val="none"/>
        </w:rPr>
        <w:t>①</w:t>
      </w:r>
      <w:r>
        <w:rPr>
          <w:rFonts w:hint="eastAsia" w:ascii="宋体" w:hAnsi="宋体" w:cs="宋体"/>
          <w:color w:val="auto"/>
          <w:kern w:val="0"/>
          <w:szCs w:val="24"/>
          <w:highlight w:val="none"/>
        </w:rPr>
        <w:t>地面、墙面、门板、间隔板、标识标牌应保持干净，无污物，无污垢，无垃圾杂物，地面并保持适度的干燥。</w:t>
      </w:r>
      <w:r>
        <w:rPr>
          <w:rFonts w:hint="eastAsia" w:ascii="宋体" w:hAnsi="宋体" w:cs="宋体"/>
          <w:color w:val="auto"/>
          <w:szCs w:val="24"/>
          <w:highlight w:val="none"/>
        </w:rPr>
        <w:t>②</w:t>
      </w:r>
      <w:r>
        <w:rPr>
          <w:rFonts w:hint="eastAsia" w:ascii="宋体" w:hAnsi="宋体" w:cs="宋体"/>
          <w:color w:val="auto"/>
          <w:kern w:val="0"/>
          <w:szCs w:val="24"/>
          <w:highlight w:val="none"/>
        </w:rPr>
        <w:t>天花、灯具、风口无明显积尘，无污印，无蜘蛛网，灯罩光亮。上下班负责开关电源。</w:t>
      </w:r>
      <w:r>
        <w:rPr>
          <w:rFonts w:hint="eastAsia" w:ascii="宋体" w:hAnsi="宋体" w:cs="宋体"/>
          <w:color w:val="auto"/>
          <w:szCs w:val="24"/>
          <w:highlight w:val="none"/>
        </w:rPr>
        <w:t>③</w:t>
      </w:r>
      <w:r>
        <w:rPr>
          <w:rFonts w:hint="eastAsia" w:ascii="宋体" w:hAnsi="宋体" w:cs="宋体"/>
          <w:color w:val="auto"/>
          <w:kern w:val="0"/>
          <w:szCs w:val="24"/>
          <w:highlight w:val="none"/>
        </w:rPr>
        <w:t>洗手池台面、洗手盆、水龙头、镜面、洗手液盒等保持干净，无污迹，无水渍，无头发。</w:t>
      </w:r>
      <w:r>
        <w:rPr>
          <w:rFonts w:hint="eastAsia" w:ascii="宋体" w:hAnsi="宋体" w:cs="宋体"/>
          <w:color w:val="auto"/>
          <w:szCs w:val="24"/>
          <w:highlight w:val="none"/>
        </w:rPr>
        <w:t>④</w:t>
      </w:r>
      <w:r>
        <w:rPr>
          <w:rFonts w:hint="eastAsia" w:ascii="宋体" w:hAnsi="宋体" w:cs="宋体"/>
          <w:color w:val="auto"/>
          <w:kern w:val="0"/>
          <w:szCs w:val="24"/>
          <w:highlight w:val="none"/>
        </w:rPr>
        <w:t>蹲位、小便器内无粪便物，无便迹，无尿垢，无污垢，无黄迹，无杂物，冲水顺畅。</w:t>
      </w:r>
      <w:r>
        <w:rPr>
          <w:rFonts w:hint="eastAsia" w:ascii="宋体" w:hAnsi="宋体" w:cs="宋体"/>
          <w:color w:val="auto"/>
          <w:szCs w:val="24"/>
          <w:highlight w:val="none"/>
        </w:rPr>
        <w:t>⑤</w:t>
      </w:r>
      <w:r>
        <w:rPr>
          <w:rFonts w:hint="eastAsia" w:ascii="宋体" w:hAnsi="宋体" w:cs="宋体"/>
          <w:color w:val="auto"/>
          <w:kern w:val="0"/>
          <w:szCs w:val="24"/>
          <w:highlight w:val="none"/>
        </w:rPr>
        <w:t>洗手液和手纸保证供应，及时补充；垃圾筐内的手纸、垃圾不得超过其容积的2/3。</w:t>
      </w:r>
      <w:r>
        <w:rPr>
          <w:rFonts w:hint="eastAsia" w:ascii="宋体" w:hAnsi="宋体" w:cs="宋体"/>
          <w:color w:val="auto"/>
          <w:szCs w:val="24"/>
          <w:highlight w:val="none"/>
        </w:rPr>
        <w:t>⑥</w:t>
      </w:r>
      <w:r>
        <w:rPr>
          <w:rFonts w:hint="eastAsia" w:ascii="宋体" w:hAnsi="宋体" w:cs="宋体"/>
          <w:color w:val="auto"/>
          <w:kern w:val="0"/>
          <w:szCs w:val="24"/>
          <w:highlight w:val="none"/>
        </w:rPr>
        <w:t>卫生间采用隐蔽式插电香薰机进行异味治理；定期进行有效消毒。清洁用品有产品合格证，使用正规品牌，符合国家环境保护要求，不得使用腐蚀性清洁剂，以免损坏洁具。</w:t>
      </w:r>
      <w:r>
        <w:rPr>
          <w:rFonts w:hint="eastAsia" w:ascii="宋体" w:hAnsi="宋体" w:cs="宋体"/>
          <w:color w:val="auto"/>
          <w:szCs w:val="24"/>
          <w:highlight w:val="none"/>
        </w:rPr>
        <w:t>⑦</w:t>
      </w:r>
      <w:r>
        <w:rPr>
          <w:rFonts w:hint="eastAsia" w:ascii="宋体" w:hAnsi="宋体" w:cs="宋体"/>
          <w:color w:val="auto"/>
          <w:kern w:val="0"/>
          <w:szCs w:val="24"/>
          <w:highlight w:val="none"/>
        </w:rPr>
        <w:t>及时疏通下水道，保证排水排污畅通；设施设备故障需维修，应及时报告；清洁时和维修时需设置相应的指示牌，指示牌保持清洁，并清晰易见。</w:t>
      </w:r>
    </w:p>
    <w:p w14:paraId="42A3BF61">
      <w:pPr>
        <w:spacing w:line="360" w:lineRule="auto"/>
        <w:ind w:firstLine="482" w:firstLineChars="200"/>
        <w:rPr>
          <w:rFonts w:ascii="宋体" w:hAnsi="宋体" w:cs="宋体"/>
          <w:color w:val="auto"/>
          <w:kern w:val="0"/>
          <w:szCs w:val="24"/>
          <w:highlight w:val="none"/>
        </w:rPr>
      </w:pPr>
      <w:r>
        <w:rPr>
          <w:rFonts w:hint="eastAsia" w:ascii="宋体" w:hAnsi="宋体" w:cs="宋体"/>
          <w:b/>
          <w:bCs/>
          <w:color w:val="auto"/>
          <w:kern w:val="0"/>
          <w:szCs w:val="24"/>
          <w:highlight w:val="none"/>
        </w:rPr>
        <w:t>办公室保洁标准：</w:t>
      </w:r>
      <w:r>
        <w:rPr>
          <w:rFonts w:hint="eastAsia" w:ascii="宋体" w:hAnsi="宋体" w:cs="宋体"/>
          <w:color w:val="auto"/>
          <w:szCs w:val="24"/>
          <w:highlight w:val="none"/>
        </w:rPr>
        <w:t>①</w:t>
      </w:r>
      <w:r>
        <w:rPr>
          <w:rFonts w:hint="eastAsia" w:ascii="宋体" w:hAnsi="宋体" w:cs="宋体"/>
          <w:color w:val="auto"/>
          <w:kern w:val="0"/>
          <w:szCs w:val="24"/>
          <w:highlight w:val="none"/>
        </w:rPr>
        <w:t>每天定时保洁。保洁过程中所有物品轻拿轻放，避免损坏；不得动房间内任何物品。</w:t>
      </w:r>
      <w:r>
        <w:rPr>
          <w:rFonts w:hint="eastAsia" w:ascii="宋体" w:hAnsi="宋体" w:cs="宋体"/>
          <w:color w:val="auto"/>
          <w:szCs w:val="24"/>
          <w:highlight w:val="none"/>
        </w:rPr>
        <w:t>②地板、</w:t>
      </w:r>
      <w:r>
        <w:rPr>
          <w:rFonts w:hint="eastAsia" w:ascii="宋体" w:hAnsi="宋体" w:cs="宋体"/>
          <w:color w:val="auto"/>
          <w:kern w:val="0"/>
          <w:szCs w:val="24"/>
          <w:highlight w:val="none"/>
        </w:rPr>
        <w:t>办公桌、家具、沙发、文件柜、大门、窗户、窗帘、电器等应保持干净，无灰尘，无污渍，并定期做保养消毒。</w:t>
      </w:r>
      <w:r>
        <w:rPr>
          <w:rFonts w:hint="eastAsia" w:ascii="宋体" w:hAnsi="宋体" w:cs="宋体"/>
          <w:color w:val="auto"/>
          <w:szCs w:val="24"/>
          <w:highlight w:val="none"/>
        </w:rPr>
        <w:t>③</w:t>
      </w:r>
      <w:r>
        <w:rPr>
          <w:rFonts w:hint="eastAsia" w:ascii="宋体" w:hAnsi="宋体" w:cs="宋体"/>
          <w:color w:val="auto"/>
          <w:kern w:val="0"/>
          <w:szCs w:val="24"/>
          <w:highlight w:val="none"/>
        </w:rPr>
        <w:t>墙面、地脚线、玻璃、天花板、灯罩等无积尘，无污渍，无蜘蛛网，灯明亮。</w:t>
      </w:r>
      <w:r>
        <w:rPr>
          <w:rFonts w:hint="eastAsia" w:ascii="宋体" w:hAnsi="宋体" w:cs="宋体"/>
          <w:color w:val="auto"/>
          <w:szCs w:val="24"/>
          <w:highlight w:val="none"/>
        </w:rPr>
        <w:t>④</w:t>
      </w:r>
      <w:r>
        <w:rPr>
          <w:rFonts w:hint="eastAsia" w:ascii="宋体" w:hAnsi="宋体" w:cs="宋体"/>
          <w:color w:val="auto"/>
          <w:kern w:val="0"/>
          <w:szCs w:val="24"/>
          <w:highlight w:val="none"/>
        </w:rPr>
        <w:t>垃圾桶内无垃圾杂物，每日更换新垃圾袋，无异味。</w:t>
      </w:r>
      <w:r>
        <w:rPr>
          <w:rFonts w:hint="eastAsia" w:ascii="宋体" w:hAnsi="宋体" w:cs="宋体"/>
          <w:color w:val="auto"/>
          <w:szCs w:val="24"/>
          <w:highlight w:val="none"/>
        </w:rPr>
        <w:t>⑤</w:t>
      </w:r>
      <w:r>
        <w:rPr>
          <w:rFonts w:hint="eastAsia" w:ascii="宋体" w:hAnsi="宋体" w:cs="宋体"/>
          <w:color w:val="auto"/>
          <w:kern w:val="0"/>
          <w:szCs w:val="24"/>
          <w:highlight w:val="none"/>
        </w:rPr>
        <w:t>盆植保持鲜艳，无灰尘和黄叶。</w:t>
      </w:r>
    </w:p>
    <w:p w14:paraId="0BB66CBE">
      <w:pPr>
        <w:spacing w:line="360" w:lineRule="auto"/>
        <w:ind w:firstLine="482" w:firstLineChars="200"/>
        <w:rPr>
          <w:rFonts w:ascii="宋体" w:hAnsi="宋体" w:cs="宋体"/>
          <w:color w:val="auto"/>
          <w:kern w:val="0"/>
          <w:szCs w:val="24"/>
          <w:highlight w:val="none"/>
        </w:rPr>
      </w:pPr>
      <w:r>
        <w:rPr>
          <w:rFonts w:hint="eastAsia" w:ascii="宋体" w:hAnsi="宋体" w:cs="宋体"/>
          <w:b/>
          <w:bCs/>
          <w:color w:val="auto"/>
          <w:kern w:val="0"/>
          <w:szCs w:val="24"/>
          <w:highlight w:val="none"/>
        </w:rPr>
        <w:t>接待室、会议室保洁标准：</w:t>
      </w:r>
      <w:r>
        <w:rPr>
          <w:rFonts w:hint="eastAsia" w:ascii="宋体" w:hAnsi="宋体" w:cs="宋体"/>
          <w:color w:val="auto"/>
          <w:szCs w:val="24"/>
          <w:highlight w:val="none"/>
        </w:rPr>
        <w:t>①</w:t>
      </w:r>
      <w:r>
        <w:rPr>
          <w:rFonts w:hint="eastAsia" w:ascii="宋体" w:hAnsi="宋体" w:cs="宋体"/>
          <w:color w:val="auto"/>
          <w:kern w:val="0"/>
          <w:szCs w:val="24"/>
          <w:highlight w:val="none"/>
        </w:rPr>
        <w:t>每天定时保洁。室内桌椅、沙发、大门、窗户、窗帘等应保持干净，无灰尘，无污渍，并定期做保养消毒。其中座椅要特别注意皮面养护和结合部清洁。</w:t>
      </w:r>
      <w:r>
        <w:rPr>
          <w:rFonts w:hint="eastAsia" w:ascii="宋体" w:hAnsi="宋体" w:cs="宋体"/>
          <w:color w:val="auto"/>
          <w:szCs w:val="24"/>
          <w:highlight w:val="none"/>
        </w:rPr>
        <w:t>②</w:t>
      </w:r>
      <w:r>
        <w:rPr>
          <w:rFonts w:hint="eastAsia" w:ascii="宋体" w:hAnsi="宋体" w:cs="宋体"/>
          <w:color w:val="auto"/>
          <w:kern w:val="0"/>
          <w:szCs w:val="24"/>
          <w:highlight w:val="none"/>
        </w:rPr>
        <w:t>有重要活动应加大周围环境保洁力度，协助保持这些区域的安静。当日有全天会议及第二天上午有会议的，会议结束时立即清理会场卫生，以便及时快速准备好下一场会议的召开。当日摆第二天会场的，当日上班必须先清理需要准备的会场卫生，摆完会场后需再一次检查整理。</w:t>
      </w:r>
      <w:r>
        <w:rPr>
          <w:rFonts w:hint="eastAsia" w:ascii="宋体" w:hAnsi="宋体" w:cs="宋体"/>
          <w:color w:val="auto"/>
          <w:szCs w:val="24"/>
          <w:highlight w:val="none"/>
        </w:rPr>
        <w:t>③</w:t>
      </w:r>
      <w:r>
        <w:rPr>
          <w:rFonts w:hint="eastAsia" w:ascii="宋体" w:hAnsi="宋体" w:cs="宋体"/>
          <w:color w:val="auto"/>
          <w:kern w:val="0"/>
          <w:szCs w:val="24"/>
          <w:highlight w:val="none"/>
        </w:rPr>
        <w:t>会议结束后及时做好清洁工作，确保快捷、干净、整洁，如发现有遗失物品及时归还物主或上交。</w:t>
      </w:r>
      <w:r>
        <w:rPr>
          <w:rFonts w:hint="eastAsia" w:ascii="宋体" w:hAnsi="宋体" w:cs="宋体"/>
          <w:color w:val="auto"/>
          <w:szCs w:val="24"/>
          <w:highlight w:val="none"/>
        </w:rPr>
        <w:t>④</w:t>
      </w:r>
      <w:r>
        <w:rPr>
          <w:rFonts w:hint="eastAsia" w:ascii="宋体" w:hAnsi="宋体" w:cs="宋体"/>
          <w:color w:val="auto"/>
          <w:kern w:val="0"/>
          <w:szCs w:val="24"/>
          <w:highlight w:val="none"/>
        </w:rPr>
        <w:t>会场每场次用过后地毯必须吸尘，使用频率高的会场地毯应及时定时清洗。（视地毯污损情况定）。</w:t>
      </w:r>
      <w:r>
        <w:rPr>
          <w:rFonts w:hint="eastAsia" w:ascii="宋体" w:hAnsi="宋体" w:cs="宋体"/>
          <w:color w:val="auto"/>
          <w:szCs w:val="24"/>
          <w:highlight w:val="none"/>
        </w:rPr>
        <w:t>⑤</w:t>
      </w:r>
      <w:r>
        <w:rPr>
          <w:rFonts w:hint="eastAsia" w:ascii="宋体" w:hAnsi="宋体" w:cs="宋体"/>
          <w:color w:val="auto"/>
          <w:kern w:val="0"/>
          <w:szCs w:val="24"/>
          <w:highlight w:val="none"/>
        </w:rPr>
        <w:t>室内及时通风换气，保持空气清新。</w:t>
      </w:r>
    </w:p>
    <w:p w14:paraId="57E553FF">
      <w:pPr>
        <w:spacing w:line="360" w:lineRule="auto"/>
        <w:ind w:firstLine="472" w:firstLineChars="196"/>
        <w:rPr>
          <w:rFonts w:ascii="宋体" w:hAnsi="宋体" w:cs="宋体"/>
          <w:color w:val="auto"/>
          <w:kern w:val="0"/>
          <w:szCs w:val="24"/>
          <w:highlight w:val="none"/>
        </w:rPr>
      </w:pPr>
      <w:r>
        <w:rPr>
          <w:rFonts w:hint="eastAsia" w:ascii="宋体" w:hAnsi="宋体" w:cs="宋体"/>
          <w:b/>
          <w:bCs/>
          <w:color w:val="auto"/>
          <w:kern w:val="0"/>
          <w:szCs w:val="24"/>
          <w:highlight w:val="none"/>
        </w:rPr>
        <w:t>安全工作标准：</w:t>
      </w:r>
      <w:r>
        <w:rPr>
          <w:rFonts w:hint="eastAsia" w:ascii="宋体" w:hAnsi="宋体" w:cs="宋体"/>
          <w:color w:val="auto"/>
          <w:szCs w:val="24"/>
          <w:highlight w:val="none"/>
        </w:rPr>
        <w:t>①</w:t>
      </w:r>
      <w:r>
        <w:rPr>
          <w:rFonts w:hint="eastAsia" w:ascii="宋体" w:hAnsi="宋体" w:cs="宋体"/>
          <w:color w:val="auto"/>
          <w:kern w:val="0"/>
          <w:szCs w:val="24"/>
          <w:highlight w:val="none"/>
        </w:rPr>
        <w:t>在清洁任何靠近电、水、管道的区域之前，须和甲方沟通进入程序和工作步骤以及人员数量及设备，以保证工作人员及设备的安全，并避免对楼内设施的破坏。</w:t>
      </w:r>
      <w:r>
        <w:rPr>
          <w:rFonts w:hint="eastAsia" w:ascii="宋体" w:hAnsi="宋体" w:cs="宋体"/>
          <w:color w:val="auto"/>
          <w:szCs w:val="24"/>
          <w:highlight w:val="none"/>
        </w:rPr>
        <w:t>②</w:t>
      </w:r>
      <w:r>
        <w:rPr>
          <w:rFonts w:hint="eastAsia" w:ascii="宋体" w:hAnsi="宋体" w:cs="宋体"/>
          <w:color w:val="auto"/>
          <w:kern w:val="0"/>
          <w:szCs w:val="24"/>
          <w:highlight w:val="none"/>
        </w:rPr>
        <w:t>在工作中绝对杜绝超负荷用电。</w:t>
      </w:r>
      <w:r>
        <w:rPr>
          <w:rFonts w:hint="eastAsia" w:ascii="宋体" w:hAnsi="宋体" w:cs="宋体"/>
          <w:color w:val="auto"/>
          <w:szCs w:val="24"/>
          <w:highlight w:val="none"/>
        </w:rPr>
        <w:t>③</w:t>
      </w:r>
      <w:r>
        <w:rPr>
          <w:rFonts w:hint="eastAsia" w:ascii="宋体" w:hAnsi="宋体" w:cs="宋体"/>
          <w:color w:val="auto"/>
          <w:kern w:val="0"/>
          <w:szCs w:val="24"/>
          <w:highlight w:val="none"/>
        </w:rPr>
        <w:t>必须在工作中始终保持安全第一，避免因保洁工作导致服务区域的运行被中断或者造成人身伤害以及车辆、设备和其他财产的破坏。</w:t>
      </w:r>
      <w:r>
        <w:rPr>
          <w:rFonts w:hint="eastAsia" w:ascii="宋体" w:hAnsi="宋体" w:cs="宋体"/>
          <w:color w:val="auto"/>
          <w:szCs w:val="24"/>
          <w:highlight w:val="none"/>
        </w:rPr>
        <w:t>④</w:t>
      </w:r>
      <w:r>
        <w:rPr>
          <w:rFonts w:hint="eastAsia" w:ascii="宋体" w:hAnsi="宋体" w:cs="宋体"/>
          <w:color w:val="auto"/>
          <w:kern w:val="0"/>
          <w:szCs w:val="24"/>
          <w:highlight w:val="none"/>
        </w:rPr>
        <w:t>禁止在非设备存放地点放置设备、工具。</w:t>
      </w:r>
      <w:r>
        <w:rPr>
          <w:rFonts w:hint="eastAsia" w:ascii="宋体" w:hAnsi="宋体" w:cs="宋体"/>
          <w:color w:val="auto"/>
          <w:szCs w:val="24"/>
          <w:highlight w:val="none"/>
        </w:rPr>
        <w:t>⑤</w:t>
      </w:r>
      <w:r>
        <w:rPr>
          <w:rFonts w:hint="eastAsia" w:ascii="宋体" w:hAnsi="宋体" w:cs="宋体"/>
          <w:color w:val="auto"/>
          <w:kern w:val="0"/>
          <w:szCs w:val="24"/>
          <w:highlight w:val="none"/>
        </w:rPr>
        <w:t>凡在办公楼内外2米以上(含2米)有可能坠落的高处进行的清洁作业均应遵循国家现行的有关高处作业及安全技术标准的规定，须和甲方沟通工作程序和步骤以及人员数量及设备，必须依照标准要求进行高处清洁作业前的安全检查、工作中的安全监督和现场管理，确保高处清洁工作安全、有序。</w:t>
      </w:r>
    </w:p>
    <w:p w14:paraId="5686C539">
      <w:pPr>
        <w:spacing w:line="360" w:lineRule="auto"/>
        <w:ind w:firstLine="472" w:firstLineChars="196"/>
        <w:rPr>
          <w:rFonts w:ascii="宋体" w:hAnsi="宋体" w:cs="宋体"/>
          <w:color w:val="auto"/>
          <w:kern w:val="0"/>
          <w:szCs w:val="24"/>
          <w:highlight w:val="none"/>
        </w:rPr>
      </w:pPr>
      <w:r>
        <w:rPr>
          <w:rFonts w:hint="eastAsia" w:ascii="宋体" w:hAnsi="宋体" w:cs="宋体"/>
          <w:b/>
          <w:bCs/>
          <w:color w:val="auto"/>
          <w:kern w:val="0"/>
          <w:szCs w:val="24"/>
          <w:highlight w:val="none"/>
        </w:rPr>
        <w:t>消耗品标准：</w:t>
      </w:r>
      <w:r>
        <w:rPr>
          <w:rFonts w:hint="eastAsia" w:ascii="宋体" w:hAnsi="宋体" w:cs="宋体"/>
          <w:color w:val="auto"/>
          <w:szCs w:val="24"/>
          <w:highlight w:val="none"/>
        </w:rPr>
        <w:t>①</w:t>
      </w:r>
      <w:r>
        <w:rPr>
          <w:rFonts w:hint="eastAsia" w:ascii="宋体" w:hAnsi="宋体" w:cs="宋体"/>
          <w:color w:val="auto"/>
          <w:kern w:val="0"/>
          <w:szCs w:val="24"/>
          <w:highlight w:val="none"/>
        </w:rPr>
        <w:t>日常消耗品，包括卫生纸、洗手液、垃圾袋和全套清洁剂或药水—全能清洗水、玻璃清洗剂、瓷砖清洗剂、陶瓷清洗剂、去胶剂、除渍剂、酸性清洁剂、洁厕剂、不锈钢清洗剂、不锈钢光亮剂、香氛剂等，品牌需由甲方认可，以确保保洁服务质量。</w:t>
      </w:r>
      <w:r>
        <w:rPr>
          <w:rFonts w:hint="eastAsia" w:ascii="宋体" w:hAnsi="宋体" w:cs="宋体"/>
          <w:color w:val="auto"/>
          <w:szCs w:val="24"/>
          <w:highlight w:val="none"/>
        </w:rPr>
        <w:t>②</w:t>
      </w:r>
      <w:r>
        <w:rPr>
          <w:rFonts w:hint="eastAsia" w:ascii="宋体" w:hAnsi="宋体" w:cs="宋体"/>
          <w:color w:val="auto"/>
          <w:kern w:val="0"/>
          <w:szCs w:val="24"/>
          <w:highlight w:val="none"/>
        </w:rPr>
        <w:t>物业公司将所配置的消耗品的类型、数量、使用情况以文字形式报给甲方，甲方随时有权查阅物业库存和使用情况的原始记录。</w:t>
      </w:r>
    </w:p>
    <w:p w14:paraId="14B8D609">
      <w:pPr>
        <w:spacing w:line="360" w:lineRule="auto"/>
        <w:ind w:firstLine="472" w:firstLineChars="196"/>
        <w:rPr>
          <w:rFonts w:ascii="宋体" w:hAnsi="宋体" w:cs="宋体"/>
          <w:color w:val="auto"/>
          <w:kern w:val="0"/>
          <w:szCs w:val="24"/>
          <w:highlight w:val="none"/>
        </w:rPr>
      </w:pPr>
      <w:r>
        <w:rPr>
          <w:rFonts w:hint="eastAsia" w:ascii="宋体" w:hAnsi="宋体" w:cs="宋体"/>
          <w:b/>
          <w:bCs/>
          <w:color w:val="auto"/>
          <w:kern w:val="0"/>
          <w:szCs w:val="24"/>
          <w:highlight w:val="none"/>
        </w:rPr>
        <w:t>病媒生物预防控制管理（包含但不限于消杀管理、灭四害）病媒生物预防控制管理标准：</w:t>
      </w:r>
      <w:r>
        <w:rPr>
          <w:rFonts w:hint="eastAsia" w:ascii="宋体" w:hAnsi="宋体" w:cs="宋体"/>
          <w:color w:val="auto"/>
          <w:szCs w:val="24"/>
          <w:highlight w:val="none"/>
        </w:rPr>
        <w:t>①</w:t>
      </w:r>
      <w:r>
        <w:rPr>
          <w:rFonts w:hint="eastAsia" w:ascii="宋体" w:hAnsi="宋体" w:cs="宋体"/>
          <w:color w:val="auto"/>
          <w:kern w:val="0"/>
          <w:szCs w:val="24"/>
          <w:highlight w:val="none"/>
        </w:rPr>
        <w:t xml:space="preserve">建立定期病媒生物预防控制管理制度，提高清洁卫生水平。所有办公室、所有公共场所（包括走廊、楼梯、大厅等处）、所有洗手间、茶水间、各类机房、所有杂物房、垃圾房等，按规定周期做消杀（每周至少一次）。病媒生物预防控制管理工作应由具备相应资质的人员进行。达到无鼠害、无白蚁的标准以及符合有关一级物业所规定的要求。 </w:t>
      </w:r>
      <w:r>
        <w:rPr>
          <w:rFonts w:hint="eastAsia" w:ascii="宋体" w:hAnsi="宋体" w:cs="宋体"/>
          <w:color w:val="auto"/>
          <w:szCs w:val="24"/>
          <w:highlight w:val="none"/>
        </w:rPr>
        <w:t>②定期开展</w:t>
      </w:r>
      <w:r>
        <w:rPr>
          <w:rFonts w:hint="eastAsia" w:ascii="宋体" w:hAnsi="宋体" w:cs="宋体"/>
          <w:color w:val="auto"/>
          <w:kern w:val="0"/>
          <w:szCs w:val="24"/>
          <w:highlight w:val="none"/>
        </w:rPr>
        <w:t xml:space="preserve">病媒生物预防控制管理效果评估，出具评估意见，当连续三次消杀效果不能达到消杀验收标准时，另外聘请政府或社会专业机构评估，并提出改进意见，直至达到消杀标准。 </w:t>
      </w:r>
    </w:p>
    <w:p w14:paraId="0602EE6D">
      <w:pPr>
        <w:spacing w:line="360" w:lineRule="auto"/>
        <w:ind w:firstLine="480" w:firstLineChars="200"/>
        <w:rPr>
          <w:rFonts w:ascii="宋体" w:hAnsi="宋体" w:cs="宋体"/>
          <w:color w:val="auto"/>
          <w:szCs w:val="24"/>
          <w:highlight w:val="none"/>
        </w:rPr>
      </w:pPr>
      <w:r>
        <w:rPr>
          <w:rFonts w:hint="eastAsia" w:ascii="宋体" w:hAnsi="宋体" w:cs="宋体"/>
          <w:color w:val="auto"/>
          <w:szCs w:val="24"/>
          <w:highlight w:val="none"/>
        </w:rPr>
        <w:t>3.2.3补充说明：①</w:t>
      </w:r>
      <w:r>
        <w:rPr>
          <w:rFonts w:hint="eastAsia" w:ascii="宋体" w:hAnsi="宋体" w:cs="宋体"/>
          <w:color w:val="auto"/>
          <w:kern w:val="0"/>
          <w:szCs w:val="24"/>
          <w:highlight w:val="none"/>
        </w:rPr>
        <w:t>楼内一楼大理石地面及4至5楼楼梯做到每月镜面保养一次，4楼以下楼梯每季镜面保养一次；楼内大理石墙面每半年镜面保养一次，对大理石光泽度度不能保持85度应增加保养频次。</w:t>
      </w:r>
      <w:r>
        <w:rPr>
          <w:rFonts w:hint="eastAsia" w:ascii="宋体" w:hAnsi="宋体" w:cs="宋体"/>
          <w:color w:val="auto"/>
          <w:szCs w:val="24"/>
          <w:highlight w:val="none"/>
        </w:rPr>
        <w:t>②楼内办公区、接待室、会议室等所有</w:t>
      </w:r>
      <w:r>
        <w:rPr>
          <w:rFonts w:hint="eastAsia" w:ascii="宋体" w:hAnsi="宋体" w:cs="宋体"/>
          <w:color w:val="auto"/>
          <w:kern w:val="0"/>
          <w:szCs w:val="24"/>
          <w:highlight w:val="none"/>
        </w:rPr>
        <w:t>地毯应每年清洗一次，保持原色，无尘迹，无沙砾，无杂物，对发现破损的网格地毯并进行更换，更换所需经费由乙方承担。</w:t>
      </w:r>
      <w:r>
        <w:rPr>
          <w:rFonts w:hint="eastAsia" w:ascii="宋体" w:hAnsi="宋体" w:cs="宋体"/>
          <w:color w:val="auto"/>
          <w:szCs w:val="24"/>
          <w:highlight w:val="none"/>
        </w:rPr>
        <w:t>③室内</w:t>
      </w:r>
      <w:r>
        <w:rPr>
          <w:rFonts w:hint="eastAsia" w:ascii="宋体" w:hAnsi="宋体" w:cs="宋体"/>
          <w:color w:val="auto"/>
          <w:kern w:val="0"/>
          <w:szCs w:val="24"/>
          <w:highlight w:val="none"/>
        </w:rPr>
        <w:t>窗帘每年清洗一次；五楼天台防腐木应每年刷漆</w:t>
      </w:r>
      <w:r>
        <w:rPr>
          <w:rFonts w:hint="eastAsia" w:ascii="宋体" w:hAnsi="宋体" w:cs="宋体"/>
          <w:color w:val="auto"/>
          <w:kern w:val="0"/>
          <w:szCs w:val="24"/>
          <w:highlight w:val="none"/>
          <w:lang w:eastAsia="zh-CN"/>
        </w:rPr>
        <w:t>养护</w:t>
      </w:r>
      <w:r>
        <w:rPr>
          <w:rFonts w:hint="eastAsia" w:ascii="宋体" w:hAnsi="宋体" w:cs="宋体"/>
          <w:color w:val="auto"/>
          <w:kern w:val="0"/>
          <w:szCs w:val="24"/>
          <w:highlight w:val="none"/>
        </w:rPr>
        <w:t>一次；五楼玻璃顶面每年涂胶一次；大楼外墙及玻璃每年清洗一次。</w:t>
      </w:r>
      <w:r>
        <w:rPr>
          <w:rFonts w:hint="eastAsia" w:ascii="宋体" w:hAnsi="宋体" w:cs="宋体"/>
          <w:color w:val="auto"/>
          <w:szCs w:val="24"/>
          <w:highlight w:val="none"/>
        </w:rPr>
        <w:t>④购置卫生保洁所需的工具、用品等所需经费由乙方自行承担。⑤雨雪天气清扫有完善应急预案。⑥中标人使用的保洁设备、保洁材料（包括但不限于洗地清洁设备、扫地清洁设备、吸尘清洁设备、抛光清洁设备）等须符合国家绿色环保的要求，均由中标人自行提供。</w:t>
      </w:r>
    </w:p>
    <w:p w14:paraId="3E6EE395">
      <w:pPr>
        <w:pStyle w:val="15"/>
        <w:spacing w:line="360" w:lineRule="auto"/>
        <w:ind w:firstLine="480" w:firstLineChars="200"/>
        <w:rPr>
          <w:rFonts w:ascii="宋体" w:hAnsi="宋体" w:cs="宋体"/>
          <w:color w:val="auto"/>
          <w:szCs w:val="24"/>
          <w:highlight w:val="none"/>
        </w:rPr>
      </w:pPr>
      <w:r>
        <w:rPr>
          <w:rFonts w:hint="eastAsia" w:ascii="宋体" w:hAnsi="宋体" w:cs="宋体"/>
          <w:color w:val="auto"/>
          <w:szCs w:val="24"/>
          <w:highlight w:val="none"/>
        </w:rPr>
        <w:t>3.2.4惩处措施：①相关区域未达到卫生标准，整改不及时，每次罚款500元。②相关公共设施等未按规定频率擦拭、清洗、消毒的，每次罚款500元。③未按要求及时放置灭鼠、虫药品及相关工具的，每次罚款100元。④因维护保养不善，造成PVC、大理石等地面磨损严重和地毯污损严重且不可修复，相应修补费用由乙方承担。</w:t>
      </w:r>
    </w:p>
    <w:p w14:paraId="6C9F7B9F">
      <w:pPr>
        <w:pStyle w:val="15"/>
        <w:spacing w:line="360" w:lineRule="auto"/>
        <w:ind w:firstLine="482" w:firstLineChars="200"/>
        <w:rPr>
          <w:rFonts w:ascii="宋体" w:hAnsi="宋体" w:cs="宋体"/>
          <w:b/>
          <w:bCs/>
          <w:color w:val="auto"/>
          <w:szCs w:val="24"/>
          <w:highlight w:val="none"/>
        </w:rPr>
      </w:pPr>
      <w:r>
        <w:rPr>
          <w:rFonts w:hint="eastAsia" w:ascii="宋体" w:hAnsi="宋体" w:cs="宋体"/>
          <w:b/>
          <w:bCs/>
          <w:color w:val="auto"/>
          <w:szCs w:val="24"/>
          <w:highlight w:val="none"/>
        </w:rPr>
        <w:t>3.3绿化养护</w:t>
      </w:r>
    </w:p>
    <w:p w14:paraId="71ADBA47">
      <w:pPr>
        <w:pStyle w:val="15"/>
        <w:spacing w:line="360" w:lineRule="auto"/>
        <w:ind w:firstLine="480" w:firstLineChars="200"/>
        <w:rPr>
          <w:rFonts w:ascii="宋体" w:hAnsi="宋体" w:cs="宋体"/>
          <w:color w:val="auto"/>
          <w:szCs w:val="24"/>
          <w:highlight w:val="none"/>
        </w:rPr>
      </w:pPr>
      <w:r>
        <w:rPr>
          <w:rFonts w:hint="eastAsia" w:ascii="宋体" w:hAnsi="宋体" w:cs="宋体"/>
          <w:color w:val="auto"/>
          <w:szCs w:val="24"/>
          <w:highlight w:val="none"/>
        </w:rPr>
        <w:t>3.3.1服务内容：①负责园区绿化日常养护工作，包括：浇水、施肥、修枝剪叶、病虫害防治、冬季防寒防护等。②定期组织绿化补栽补种。③配合需求方完成绿化整修、改造施工等任务。④负责甲方指定区域内的花卉、绿植补种及养护。⑤清运绿化垃圾。</w:t>
      </w:r>
    </w:p>
    <w:p w14:paraId="0705A9D3">
      <w:pPr>
        <w:pStyle w:val="15"/>
        <w:spacing w:line="360" w:lineRule="auto"/>
        <w:ind w:firstLine="480" w:firstLineChars="200"/>
        <w:rPr>
          <w:rFonts w:ascii="宋体" w:hAnsi="宋体" w:cs="宋体"/>
          <w:color w:val="auto"/>
          <w:szCs w:val="24"/>
          <w:highlight w:val="none"/>
        </w:rPr>
      </w:pPr>
      <w:r>
        <w:rPr>
          <w:rFonts w:hint="eastAsia" w:ascii="宋体" w:hAnsi="宋体" w:cs="宋体"/>
          <w:color w:val="auto"/>
          <w:szCs w:val="24"/>
          <w:highlight w:val="none"/>
        </w:rPr>
        <w:t>3.3.2服务标准：</w:t>
      </w:r>
    </w:p>
    <w:p w14:paraId="4560894B">
      <w:pPr>
        <w:spacing w:line="360" w:lineRule="auto"/>
        <w:ind w:firstLine="482" w:firstLineChars="200"/>
        <w:rPr>
          <w:rFonts w:ascii="宋体" w:hAnsi="宋体" w:cs="宋体"/>
          <w:color w:val="auto"/>
          <w:kern w:val="0"/>
          <w:szCs w:val="24"/>
          <w:highlight w:val="none"/>
        </w:rPr>
      </w:pPr>
      <w:r>
        <w:rPr>
          <w:rFonts w:hint="eastAsia" w:ascii="宋体" w:hAnsi="宋体" w:cs="宋体"/>
          <w:b/>
          <w:bCs/>
          <w:color w:val="auto"/>
          <w:kern w:val="0"/>
          <w:szCs w:val="24"/>
          <w:highlight w:val="none"/>
        </w:rPr>
        <w:t>园区绿植服务标准（一级养护质量标准）：</w:t>
      </w:r>
      <w:r>
        <w:rPr>
          <w:rFonts w:hint="eastAsia" w:ascii="宋体" w:hAnsi="宋体" w:cs="宋体"/>
          <w:color w:val="auto"/>
          <w:szCs w:val="24"/>
          <w:highlight w:val="none"/>
        </w:rPr>
        <w:t>①</w:t>
      </w:r>
      <w:r>
        <w:rPr>
          <w:rFonts w:hint="eastAsia" w:ascii="宋体" w:hAnsi="宋体" w:cs="宋体"/>
          <w:color w:val="auto"/>
          <w:kern w:val="0"/>
          <w:szCs w:val="24"/>
          <w:highlight w:val="none"/>
        </w:rPr>
        <w:t>绿化充分，植物配置合理，达到黄土不露天。</w:t>
      </w:r>
      <w:r>
        <w:rPr>
          <w:rFonts w:hint="eastAsia" w:ascii="宋体" w:hAnsi="宋体" w:cs="宋体"/>
          <w:color w:val="auto"/>
          <w:szCs w:val="24"/>
          <w:highlight w:val="none"/>
        </w:rPr>
        <w:t>园林植物生长</w:t>
      </w:r>
      <w:r>
        <w:rPr>
          <w:rFonts w:hint="eastAsia" w:ascii="宋体" w:hAnsi="宋体" w:cs="宋体"/>
          <w:color w:val="auto"/>
          <w:kern w:val="0"/>
          <w:szCs w:val="24"/>
          <w:highlight w:val="none"/>
        </w:rPr>
        <w:t>超过该树种该规格的平均生长量，(平均生长量由甲方根据调查确定)。</w:t>
      </w:r>
      <w:r>
        <w:rPr>
          <w:rFonts w:hint="eastAsia" w:ascii="宋体" w:hAnsi="宋体" w:cs="宋体"/>
          <w:color w:val="auto"/>
          <w:szCs w:val="24"/>
          <w:highlight w:val="none"/>
        </w:rPr>
        <w:t>②</w:t>
      </w:r>
      <w:r>
        <w:rPr>
          <w:rFonts w:hint="eastAsia" w:ascii="宋体" w:hAnsi="宋体" w:cs="宋体"/>
          <w:color w:val="auto"/>
          <w:kern w:val="0"/>
          <w:szCs w:val="24"/>
          <w:highlight w:val="none"/>
        </w:rPr>
        <w:t>叶色正常，叶大而肥厚、在正常的条件下不黄叶，不焦叶、不卷叶、不落叶，叶上无虫尿虫网灰尘；被啃咬的叶片最严重的每株在5％以下</w:t>
      </w:r>
      <w:r>
        <w:rPr>
          <w:rFonts w:hint="eastAsia" w:ascii="宋体" w:hAnsi="宋体" w:cs="宋体"/>
          <w:color w:val="auto"/>
          <w:szCs w:val="24"/>
          <w:highlight w:val="none"/>
        </w:rPr>
        <w:t>。③</w:t>
      </w:r>
      <w:r>
        <w:rPr>
          <w:rFonts w:hint="eastAsia" w:ascii="宋体" w:hAnsi="宋体" w:cs="宋体"/>
          <w:color w:val="auto"/>
          <w:kern w:val="0"/>
          <w:szCs w:val="24"/>
          <w:highlight w:val="none"/>
        </w:rPr>
        <w:t>枝、干健壮，无明显枯枝、死权、枝条粗壮，过冬前新梢木质化；</w:t>
      </w:r>
      <w:r>
        <w:rPr>
          <w:rFonts w:hint="eastAsia" w:ascii="宋体" w:hAnsi="宋体" w:cs="宋体"/>
          <w:color w:val="auto"/>
          <w:szCs w:val="24"/>
          <w:highlight w:val="none"/>
        </w:rPr>
        <w:t>90％以上的树冠完整，有绿化效果。④</w:t>
      </w:r>
      <w:r>
        <w:rPr>
          <w:rFonts w:hint="eastAsia" w:ascii="宋体" w:hAnsi="宋体" w:cs="宋体"/>
          <w:color w:val="auto"/>
          <w:kern w:val="0"/>
          <w:szCs w:val="24"/>
          <w:highlight w:val="none"/>
        </w:rPr>
        <w:t>草坪覆盖率应基本达到100％，草坪内杂草控制在10％以内</w:t>
      </w:r>
      <w:r>
        <w:rPr>
          <w:rFonts w:hint="eastAsia" w:ascii="宋体" w:hAnsi="宋体" w:cs="宋体"/>
          <w:color w:val="auto"/>
          <w:szCs w:val="24"/>
          <w:highlight w:val="none"/>
        </w:rPr>
        <w:t>；</w:t>
      </w:r>
      <w:r>
        <w:rPr>
          <w:rFonts w:hint="eastAsia" w:ascii="宋体" w:hAnsi="宋体" w:cs="宋体"/>
          <w:color w:val="auto"/>
          <w:kern w:val="0"/>
          <w:szCs w:val="24"/>
          <w:highlight w:val="none"/>
        </w:rPr>
        <w:t>整体外观平整，生长茂盛颜色正常，保持四季常青，不枯黄。</w:t>
      </w:r>
      <w:r>
        <w:rPr>
          <w:rFonts w:hint="eastAsia" w:ascii="宋体" w:hAnsi="宋体" w:cs="宋体"/>
          <w:color w:val="auto"/>
          <w:szCs w:val="24"/>
          <w:highlight w:val="none"/>
        </w:rPr>
        <w:t>⑤行道树和绿地内无死树，树木修剪合理，树形美观，能较好地解决树木与电线、建筑物、交通等之间的矛盾。⑥</w:t>
      </w:r>
      <w:r>
        <w:rPr>
          <w:rFonts w:hint="eastAsia" w:ascii="宋体" w:hAnsi="宋体" w:cs="宋体"/>
          <w:color w:val="auto"/>
          <w:kern w:val="0"/>
          <w:szCs w:val="24"/>
          <w:highlight w:val="none"/>
        </w:rPr>
        <w:t>负责喷灌设施设备的养护，完好率100%，如有损坏负责维修更换。</w:t>
      </w:r>
      <w:r>
        <w:rPr>
          <w:rFonts w:hint="eastAsia" w:ascii="宋体" w:hAnsi="宋体" w:cs="宋体"/>
          <w:color w:val="auto"/>
          <w:szCs w:val="24"/>
          <w:highlight w:val="none"/>
        </w:rPr>
        <w:t>⑦绿化生产垃圾主要地区和路段做到日产日清，其他地区能坚持在重大节日前突击清理绿地内的废弃物。植栏杆、园路和井盖等园林设施比较完整，能进行维护和油饰。⑧</w:t>
      </w:r>
      <w:r>
        <w:rPr>
          <w:rFonts w:hint="eastAsia" w:ascii="宋体" w:hAnsi="宋体" w:cs="宋体"/>
          <w:color w:val="auto"/>
          <w:kern w:val="0"/>
          <w:szCs w:val="24"/>
          <w:highlight w:val="none"/>
        </w:rPr>
        <w:t>制定绿化养护方案和养护应急预案。包括越冬防冻防寒等应对恶劣天气的措施。根据植物的生物学特性和生长发育规律，结合本地的生态条件，制定一套符合实情的科学的养护措施。必须保证项目人员和养护机械设备充足有效投入。绿化的具体情况以竣工验收交接为准，统一建卡立档。⑨负责所需工具、机械、肥料、除虫药物等必须物品。保养期内植物由于保养不当而造成生长不良或死亡的，负责无偿按原来规格补种。</w:t>
      </w:r>
    </w:p>
    <w:p w14:paraId="21B41670">
      <w:pPr>
        <w:spacing w:line="360" w:lineRule="auto"/>
        <w:ind w:firstLine="482" w:firstLineChars="200"/>
        <w:rPr>
          <w:rFonts w:ascii="宋体" w:hAnsi="宋体" w:cs="宋体"/>
          <w:color w:val="auto"/>
          <w:kern w:val="0"/>
          <w:szCs w:val="24"/>
          <w:highlight w:val="none"/>
        </w:rPr>
      </w:pPr>
      <w:r>
        <w:rPr>
          <w:rFonts w:hint="eastAsia" w:ascii="宋体" w:hAnsi="宋体" w:cs="宋体"/>
          <w:b/>
          <w:bCs/>
          <w:color w:val="auto"/>
          <w:kern w:val="0"/>
          <w:szCs w:val="24"/>
          <w:highlight w:val="none"/>
        </w:rPr>
        <w:t>日常四季绿植摆放和节假日绿植摆放标准（实施过程中以完全满足甲方需求为执行标准）：</w:t>
      </w:r>
      <w:r>
        <w:rPr>
          <w:rFonts w:hint="eastAsia" w:ascii="宋体" w:hAnsi="宋体" w:cs="宋体"/>
          <w:color w:val="auto"/>
          <w:szCs w:val="24"/>
          <w:highlight w:val="none"/>
        </w:rPr>
        <w:t>①</w:t>
      </w:r>
      <w:r>
        <w:rPr>
          <w:rFonts w:hint="eastAsia" w:ascii="宋体" w:hAnsi="宋体" w:cs="宋体"/>
          <w:color w:val="auto"/>
          <w:kern w:val="0"/>
          <w:szCs w:val="24"/>
          <w:highlight w:val="none"/>
        </w:rPr>
        <w:t>摆放的各类花卉植物形态优美、生长健康、无枯枝干叶、无病虫害、绿色植物面层有光泽、叶片无尘土，摆放点格调和谐，且具有观赏性。</w:t>
      </w:r>
      <w:r>
        <w:rPr>
          <w:rFonts w:hint="eastAsia" w:ascii="宋体" w:hAnsi="宋体" w:cs="宋体"/>
          <w:color w:val="auto"/>
          <w:szCs w:val="24"/>
          <w:highlight w:val="none"/>
        </w:rPr>
        <w:t>②</w:t>
      </w:r>
      <w:r>
        <w:rPr>
          <w:rFonts w:hint="eastAsia" w:ascii="宋体" w:hAnsi="宋体" w:cs="宋体"/>
          <w:color w:val="auto"/>
          <w:kern w:val="0"/>
          <w:szCs w:val="24"/>
          <w:highlight w:val="none"/>
        </w:rPr>
        <w:t>品种间搭配合理，有层次感、韵律感，整体效果突出，符合时令要求。</w:t>
      </w:r>
      <w:r>
        <w:rPr>
          <w:rFonts w:hint="eastAsia" w:ascii="宋体" w:hAnsi="宋体" w:cs="宋体"/>
          <w:color w:val="auto"/>
          <w:szCs w:val="24"/>
          <w:highlight w:val="none"/>
        </w:rPr>
        <w:t>③</w:t>
      </w:r>
      <w:r>
        <w:rPr>
          <w:rFonts w:hint="eastAsia" w:ascii="宋体" w:hAnsi="宋体" w:cs="宋体"/>
          <w:color w:val="auto"/>
          <w:kern w:val="0"/>
          <w:szCs w:val="24"/>
          <w:highlight w:val="none"/>
        </w:rPr>
        <w:t>花木摆放整齐，盘内无杂物、无残花、黄叶、花盘整洁美观、无缺水干旱现象，植物生长良好。保持较好的观赏性，保持叶色常绿，形态优美，有长势不好现象的，需要更换的摆放植物，在接到甲方要求后，应在接到甲方电话通知后4小时内更换为生长状态好的植物。</w:t>
      </w:r>
      <w:r>
        <w:rPr>
          <w:rFonts w:hint="eastAsia" w:ascii="宋体" w:hAnsi="宋体" w:cs="宋体"/>
          <w:color w:val="auto"/>
          <w:szCs w:val="24"/>
          <w:highlight w:val="none"/>
        </w:rPr>
        <w:t>④</w:t>
      </w:r>
      <w:r>
        <w:rPr>
          <w:rFonts w:hint="eastAsia" w:ascii="宋体" w:hAnsi="宋体" w:cs="宋体"/>
          <w:color w:val="auto"/>
          <w:kern w:val="0"/>
          <w:szCs w:val="24"/>
          <w:highlight w:val="none"/>
        </w:rPr>
        <w:t>应根据植物、花卉的生长情况及时更换品种，保证花卉新鲜，所有植物、花卉盘内泥土不外露，全部铺好白沙子、陶粒或鹅卵石并配瓷瓶；（或全部铺好青苔并配套盆）</w:t>
      </w:r>
      <w:r>
        <w:rPr>
          <w:rFonts w:hint="eastAsia" w:ascii="宋体" w:hAnsi="宋体" w:cs="宋体"/>
          <w:color w:val="auto"/>
          <w:szCs w:val="24"/>
          <w:highlight w:val="none"/>
        </w:rPr>
        <w:t>⑤</w:t>
      </w:r>
      <w:r>
        <w:rPr>
          <w:rFonts w:hint="eastAsia" w:ascii="宋体" w:hAnsi="宋体" w:cs="宋体"/>
          <w:color w:val="auto"/>
          <w:kern w:val="0"/>
          <w:szCs w:val="24"/>
          <w:highlight w:val="none"/>
        </w:rPr>
        <w:t>根据季节对植物、花卉进行摆放布置，摆放地点为双方约定地点，且听从甲方安排，不得影响甲方正常办公秩序，并负责日常养护、浇水、修剪、施肥等工作。</w:t>
      </w:r>
      <w:r>
        <w:rPr>
          <w:rFonts w:hint="eastAsia" w:ascii="宋体" w:hAnsi="宋体" w:cs="宋体"/>
          <w:color w:val="auto"/>
          <w:szCs w:val="24"/>
          <w:highlight w:val="none"/>
        </w:rPr>
        <w:t>⑥</w:t>
      </w:r>
      <w:r>
        <w:rPr>
          <w:rFonts w:hint="eastAsia" w:ascii="宋体" w:hAnsi="宋体" w:cs="宋体"/>
          <w:color w:val="auto"/>
          <w:kern w:val="0"/>
          <w:szCs w:val="24"/>
          <w:highlight w:val="none"/>
        </w:rPr>
        <w:t>及时培土、施肥和修剪，清除杂物及防治病虫害，所有植物花卉品种每月更换一次。</w:t>
      </w:r>
    </w:p>
    <w:p w14:paraId="7C154B26">
      <w:pPr>
        <w:spacing w:line="360" w:lineRule="auto"/>
        <w:ind w:firstLine="480" w:firstLineChars="200"/>
        <w:rPr>
          <w:rFonts w:ascii="宋体" w:hAnsi="宋体" w:cs="宋体"/>
          <w:color w:val="auto"/>
          <w:szCs w:val="24"/>
          <w:highlight w:val="none"/>
        </w:rPr>
      </w:pPr>
      <w:r>
        <w:rPr>
          <w:rFonts w:hint="eastAsia" w:ascii="宋体" w:hAnsi="宋体" w:cs="宋体"/>
          <w:color w:val="auto"/>
          <w:szCs w:val="24"/>
          <w:highlight w:val="none"/>
        </w:rPr>
        <w:t>3.3.3补充说明：①</w:t>
      </w:r>
      <w:r>
        <w:rPr>
          <w:rFonts w:hint="eastAsia" w:ascii="宋体" w:hAnsi="宋体" w:cs="宋体"/>
          <w:color w:val="auto"/>
          <w:kern w:val="0"/>
          <w:szCs w:val="24"/>
          <w:highlight w:val="none"/>
        </w:rPr>
        <w:t>甲方可要求乙方在园区及后山坡（面积约3072.6平）</w:t>
      </w:r>
      <w:r>
        <w:rPr>
          <w:rFonts w:hint="eastAsia" w:ascii="宋体" w:hAnsi="宋体" w:cs="宋体"/>
          <w:color w:val="auto"/>
          <w:szCs w:val="24"/>
          <w:highlight w:val="none"/>
        </w:rPr>
        <w:t>栽种</w:t>
      </w:r>
      <w:r>
        <w:rPr>
          <w:rFonts w:hint="eastAsia" w:ascii="宋体" w:hAnsi="宋体" w:cs="宋体"/>
          <w:color w:val="auto"/>
          <w:kern w:val="0"/>
          <w:szCs w:val="24"/>
          <w:highlight w:val="none"/>
        </w:rPr>
        <w:t>季节性花卉（花期全年不少于6个月时间为标准）和果树种植（果树龄以当年能结果标准），实施过程以完全满足甲方需求为准。所需经费均应包含在投标的总报价中，供应商中标后，不得以此为理由向甲方提出增加费用的要求。</w:t>
      </w:r>
      <w:r>
        <w:rPr>
          <w:rFonts w:hint="eastAsia" w:ascii="宋体" w:hAnsi="宋体" w:cs="宋体"/>
          <w:color w:val="auto"/>
          <w:szCs w:val="24"/>
          <w:highlight w:val="none"/>
        </w:rPr>
        <w:t>②购置绿化养护所需的设备、工具、药品、防护材料等经费，由物业公司自行承担。③绿化工作人员，须持证书上岗，不可兼职。</w:t>
      </w:r>
    </w:p>
    <w:p w14:paraId="197EDA0F">
      <w:pPr>
        <w:spacing w:line="360" w:lineRule="auto"/>
        <w:ind w:firstLine="480" w:firstLineChars="200"/>
        <w:rPr>
          <w:rFonts w:ascii="宋体" w:hAnsi="宋体" w:cs="宋体"/>
          <w:color w:val="auto"/>
          <w:szCs w:val="24"/>
          <w:highlight w:val="none"/>
        </w:rPr>
      </w:pPr>
      <w:r>
        <w:rPr>
          <w:rFonts w:hint="eastAsia" w:ascii="宋体" w:hAnsi="宋体" w:cs="宋体"/>
          <w:color w:val="auto"/>
          <w:szCs w:val="24"/>
          <w:highlight w:val="none"/>
        </w:rPr>
        <w:t>3.3.4惩处措施：①草坪及地被植物修剪、浇水不及时，草坪出现大面积土地裸露现象；杂草率超过20%，出现病虫害的，在及时补种的同时，每次罚款5000元。②树木、灌木有死株情况的，及时补种；死株率超过5%的罚款10000元。③树木、灌木出现病虫害防治不及时，叶子出现较严重黄叶、焦叶、卷叶、带虫网灰尘株数在2%以上，被啃咬的叶片最严重的每株在10%以上，有蛀干害虫的株数在2%以上，在积极整改同时每棵树罚款200元。④租赁摆放的花木绿植，树木、灌木枝干有明显枯枝、死枝的，每株罚款200元。⑤绿化垃圾清理不到位，通知整改不及时的，每次罚款500元。</w:t>
      </w:r>
    </w:p>
    <w:p w14:paraId="09CC9D1B">
      <w:pPr>
        <w:pStyle w:val="15"/>
        <w:spacing w:line="360" w:lineRule="auto"/>
        <w:ind w:firstLine="482" w:firstLineChars="200"/>
        <w:rPr>
          <w:rFonts w:ascii="宋体" w:hAnsi="宋体" w:cs="宋体"/>
          <w:b/>
          <w:bCs/>
          <w:color w:val="auto"/>
          <w:szCs w:val="24"/>
          <w:highlight w:val="none"/>
        </w:rPr>
      </w:pPr>
      <w:r>
        <w:rPr>
          <w:rFonts w:hint="eastAsia" w:ascii="宋体" w:hAnsi="宋体" w:cs="宋体"/>
          <w:b/>
          <w:bCs/>
          <w:color w:val="auto"/>
          <w:szCs w:val="24"/>
          <w:highlight w:val="none"/>
        </w:rPr>
        <w:t>3.4给排水设备运行维护</w:t>
      </w:r>
    </w:p>
    <w:p w14:paraId="7E9D33A5">
      <w:pPr>
        <w:pStyle w:val="15"/>
        <w:spacing w:line="360" w:lineRule="auto"/>
        <w:ind w:firstLine="480" w:firstLineChars="200"/>
        <w:rPr>
          <w:rFonts w:ascii="宋体" w:hAnsi="宋体" w:cs="宋体"/>
          <w:color w:val="auto"/>
          <w:szCs w:val="24"/>
          <w:highlight w:val="none"/>
        </w:rPr>
      </w:pPr>
      <w:r>
        <w:rPr>
          <w:rFonts w:hint="eastAsia" w:ascii="宋体" w:hAnsi="宋体" w:cs="宋体"/>
          <w:color w:val="auto"/>
          <w:szCs w:val="24"/>
          <w:highlight w:val="none"/>
        </w:rPr>
        <w:t>3.4.1服务内容：①负责运行管理和维护保养服务大楼室内外给水系统的设备、设施（含水泵、水箱、气压给水装置、水处理设备、消火栓、管道、管件、阀门、水嘴、卫生洁具、排水管、透气管及疏通、水封设备、室外排水管及其附属构筑物等）及四台史密斯饮水机②熟悉给排水图纸和系统划分、设备的性能和安装位置。</w:t>
      </w:r>
      <w:r>
        <w:rPr>
          <w:rFonts w:hint="eastAsia" w:ascii="宋体" w:hAnsi="宋体" w:cs="宋体"/>
          <w:color w:val="auto"/>
          <w:szCs w:val="24"/>
          <w:highlight w:val="none"/>
        </w:rPr>
        <w:fldChar w:fldCharType="begin"/>
      </w:r>
      <w:r>
        <w:rPr>
          <w:rFonts w:hint="eastAsia" w:ascii="宋体" w:hAnsi="宋体" w:cs="宋体"/>
          <w:color w:val="auto"/>
          <w:szCs w:val="24"/>
          <w:highlight w:val="none"/>
        </w:rPr>
        <w:instrText xml:space="preserve">= 3 \* GB3</w:instrText>
      </w:r>
      <w:r>
        <w:rPr>
          <w:rFonts w:hint="eastAsia" w:ascii="宋体" w:hAnsi="宋体" w:cs="宋体"/>
          <w:color w:val="auto"/>
          <w:szCs w:val="24"/>
          <w:highlight w:val="none"/>
        </w:rPr>
        <w:fldChar w:fldCharType="separate"/>
      </w:r>
      <w:r>
        <w:rPr>
          <w:rFonts w:hint="eastAsia" w:ascii="宋体" w:hAnsi="宋体" w:cs="宋体"/>
          <w:color w:val="auto"/>
          <w:szCs w:val="24"/>
          <w:highlight w:val="none"/>
        </w:rPr>
        <w:t>③</w:t>
      </w:r>
      <w:r>
        <w:rPr>
          <w:rFonts w:hint="eastAsia" w:ascii="宋体" w:hAnsi="宋体" w:cs="宋体"/>
          <w:color w:val="auto"/>
          <w:szCs w:val="24"/>
          <w:highlight w:val="none"/>
        </w:rPr>
        <w:fldChar w:fldCharType="end"/>
      </w:r>
      <w:r>
        <w:rPr>
          <w:rFonts w:hint="eastAsia" w:ascii="宋体" w:hAnsi="宋体" w:cs="宋体"/>
          <w:color w:val="auto"/>
          <w:szCs w:val="24"/>
          <w:highlight w:val="none"/>
        </w:rPr>
        <w:t>清理消防泵房卫生。</w:t>
      </w:r>
    </w:p>
    <w:p w14:paraId="0D5025F8">
      <w:pPr>
        <w:pStyle w:val="15"/>
        <w:spacing w:line="360" w:lineRule="auto"/>
        <w:ind w:firstLine="480" w:firstLineChars="200"/>
        <w:rPr>
          <w:rFonts w:ascii="宋体" w:hAnsi="宋体" w:cs="宋体"/>
          <w:color w:val="auto"/>
          <w:szCs w:val="24"/>
          <w:highlight w:val="none"/>
        </w:rPr>
      </w:pPr>
      <w:r>
        <w:rPr>
          <w:rFonts w:hint="eastAsia" w:ascii="宋体" w:hAnsi="宋体" w:cs="宋体"/>
          <w:color w:val="auto"/>
          <w:szCs w:val="24"/>
          <w:highlight w:val="none"/>
        </w:rPr>
        <w:t>3.4.2服务标准：①建立日常检查巡视台账，保证给水、消防系统运行稳定、水压正常。②定期对排水管进行清通、维护及清除污垢，水箱保持清洁卫生并定期消毒，保证室内外排水系统畅通，汛期道路无积水，地下室、车库、设备房无积水、浸泡发生。</w:t>
      </w:r>
      <w:r>
        <w:rPr>
          <w:rFonts w:hint="eastAsia" w:ascii="宋体" w:hAnsi="宋体" w:cs="宋体"/>
          <w:color w:val="auto"/>
          <w:szCs w:val="24"/>
          <w:highlight w:val="none"/>
        </w:rPr>
        <w:fldChar w:fldCharType="begin"/>
      </w:r>
      <w:r>
        <w:rPr>
          <w:rFonts w:hint="eastAsia" w:ascii="宋体" w:hAnsi="宋体" w:cs="宋体"/>
          <w:color w:val="auto"/>
          <w:szCs w:val="24"/>
          <w:highlight w:val="none"/>
        </w:rPr>
        <w:instrText xml:space="preserve">= 3 \* GB3</w:instrText>
      </w:r>
      <w:r>
        <w:rPr>
          <w:rFonts w:hint="eastAsia" w:ascii="宋体" w:hAnsi="宋体" w:cs="宋体"/>
          <w:color w:val="auto"/>
          <w:szCs w:val="24"/>
          <w:highlight w:val="none"/>
        </w:rPr>
        <w:fldChar w:fldCharType="separate"/>
      </w:r>
      <w:r>
        <w:rPr>
          <w:rFonts w:hint="eastAsia" w:ascii="宋体" w:hAnsi="宋体" w:cs="宋体"/>
          <w:color w:val="auto"/>
          <w:szCs w:val="24"/>
          <w:highlight w:val="none"/>
        </w:rPr>
        <w:t>③</w:t>
      </w:r>
      <w:r>
        <w:rPr>
          <w:rFonts w:hint="eastAsia" w:ascii="宋体" w:hAnsi="宋体" w:cs="宋体"/>
          <w:color w:val="auto"/>
          <w:szCs w:val="24"/>
          <w:highlight w:val="none"/>
        </w:rPr>
        <w:fldChar w:fldCharType="end"/>
      </w:r>
      <w:r>
        <w:rPr>
          <w:rFonts w:hint="eastAsia" w:ascii="宋体" w:hAnsi="宋体" w:cs="宋体"/>
          <w:color w:val="auto"/>
          <w:szCs w:val="24"/>
          <w:highlight w:val="none"/>
        </w:rPr>
        <w:t>建立用水、供水管理制度，保证水质符合国家标准，做好节约用水工作，防止跑、冒、滴、漏，对供水系统管路、水泵、水箱、阀门等进行日常维护和定期检修。</w:t>
      </w:r>
      <w:r>
        <w:rPr>
          <w:rFonts w:hint="eastAsia" w:ascii="宋体" w:hAnsi="宋体" w:cs="宋体"/>
          <w:color w:val="auto"/>
          <w:szCs w:val="24"/>
          <w:highlight w:val="none"/>
        </w:rPr>
        <w:fldChar w:fldCharType="begin"/>
      </w:r>
      <w:r>
        <w:rPr>
          <w:rFonts w:hint="eastAsia" w:ascii="宋体" w:hAnsi="宋体" w:cs="宋体"/>
          <w:color w:val="auto"/>
          <w:szCs w:val="24"/>
          <w:highlight w:val="none"/>
        </w:rPr>
        <w:instrText xml:space="preserve">= 4 \* GB3</w:instrText>
      </w:r>
      <w:r>
        <w:rPr>
          <w:rFonts w:hint="eastAsia" w:ascii="宋体" w:hAnsi="宋体" w:cs="宋体"/>
          <w:color w:val="auto"/>
          <w:szCs w:val="24"/>
          <w:highlight w:val="none"/>
        </w:rPr>
        <w:fldChar w:fldCharType="separate"/>
      </w:r>
      <w:r>
        <w:rPr>
          <w:rFonts w:hint="eastAsia" w:ascii="宋体" w:hAnsi="宋体" w:cs="宋体"/>
          <w:color w:val="auto"/>
          <w:szCs w:val="24"/>
          <w:highlight w:val="none"/>
        </w:rPr>
        <w:t>④</w:t>
      </w:r>
      <w:r>
        <w:rPr>
          <w:rFonts w:hint="eastAsia" w:ascii="宋体" w:hAnsi="宋体" w:cs="宋体"/>
          <w:color w:val="auto"/>
          <w:szCs w:val="24"/>
          <w:highlight w:val="none"/>
        </w:rPr>
        <w:fldChar w:fldCharType="end"/>
      </w:r>
      <w:r>
        <w:rPr>
          <w:rFonts w:hint="eastAsia" w:ascii="宋体" w:hAnsi="宋体" w:cs="宋体"/>
          <w:color w:val="auto"/>
          <w:szCs w:val="24"/>
          <w:highlight w:val="none"/>
        </w:rPr>
        <w:t>维修及时高效，建立24小时消防报修响应制度，完善相关登记；接到报修1个小时内人员到场。</w:t>
      </w:r>
      <w:r>
        <w:rPr>
          <w:rFonts w:hint="eastAsia" w:ascii="宋体" w:hAnsi="宋体" w:cs="宋体"/>
          <w:color w:val="auto"/>
          <w:szCs w:val="24"/>
          <w:highlight w:val="none"/>
        </w:rPr>
        <w:fldChar w:fldCharType="begin"/>
      </w:r>
      <w:r>
        <w:rPr>
          <w:rFonts w:hint="eastAsia" w:ascii="宋体" w:hAnsi="宋体" w:cs="宋体"/>
          <w:color w:val="auto"/>
          <w:szCs w:val="24"/>
          <w:highlight w:val="none"/>
        </w:rPr>
        <w:instrText xml:space="preserve">= 5 \* GB3</w:instrText>
      </w:r>
      <w:r>
        <w:rPr>
          <w:rFonts w:hint="eastAsia" w:ascii="宋体" w:hAnsi="宋体" w:cs="宋体"/>
          <w:color w:val="auto"/>
          <w:szCs w:val="24"/>
          <w:highlight w:val="none"/>
        </w:rPr>
        <w:fldChar w:fldCharType="separate"/>
      </w:r>
      <w:r>
        <w:rPr>
          <w:rFonts w:hint="eastAsia" w:ascii="宋体" w:hAnsi="宋体" w:cs="宋体"/>
          <w:color w:val="auto"/>
          <w:szCs w:val="24"/>
          <w:highlight w:val="none"/>
        </w:rPr>
        <w:t>⑤</w:t>
      </w:r>
      <w:r>
        <w:rPr>
          <w:rFonts w:hint="eastAsia" w:ascii="宋体" w:hAnsi="宋体" w:cs="宋体"/>
          <w:color w:val="auto"/>
          <w:szCs w:val="24"/>
          <w:highlight w:val="none"/>
        </w:rPr>
        <w:fldChar w:fldCharType="end"/>
      </w:r>
      <w:r>
        <w:rPr>
          <w:rFonts w:hint="eastAsia" w:ascii="宋体" w:hAnsi="宋体" w:cs="宋体"/>
          <w:color w:val="auto"/>
          <w:szCs w:val="24"/>
          <w:highlight w:val="none"/>
        </w:rPr>
        <w:t>及时对开水器排污，保证开水供应，设备出现故障时，应及时报告，按时关闭电热水器开关、阀门和电源。</w:t>
      </w:r>
    </w:p>
    <w:p w14:paraId="7F1EC915">
      <w:pPr>
        <w:pStyle w:val="15"/>
        <w:spacing w:line="360" w:lineRule="auto"/>
        <w:ind w:firstLine="480" w:firstLineChars="200"/>
        <w:rPr>
          <w:rFonts w:ascii="宋体" w:hAnsi="宋体" w:cs="宋体"/>
          <w:color w:val="auto"/>
          <w:szCs w:val="24"/>
          <w:highlight w:val="none"/>
        </w:rPr>
      </w:pPr>
      <w:r>
        <w:rPr>
          <w:rFonts w:hint="eastAsia" w:ascii="宋体" w:hAnsi="宋体" w:cs="宋体"/>
          <w:color w:val="auto"/>
          <w:szCs w:val="24"/>
          <w:highlight w:val="none"/>
        </w:rPr>
        <w:t>3.4.3补充说明：</w:t>
      </w:r>
      <w:r>
        <w:rPr>
          <w:rFonts w:hint="eastAsia" w:ascii="宋体" w:hAnsi="宋体" w:cs="宋体"/>
          <w:color w:val="auto"/>
          <w:szCs w:val="24"/>
          <w:highlight w:val="none"/>
        </w:rPr>
        <w:fldChar w:fldCharType="begin"/>
      </w:r>
      <w:r>
        <w:rPr>
          <w:rFonts w:hint="eastAsia" w:ascii="宋体" w:hAnsi="宋体" w:cs="宋体"/>
          <w:color w:val="auto"/>
          <w:szCs w:val="24"/>
          <w:highlight w:val="none"/>
        </w:rPr>
        <w:instrText xml:space="preserve">= 1 \* GB3</w:instrText>
      </w:r>
      <w:r>
        <w:rPr>
          <w:rFonts w:hint="eastAsia" w:ascii="宋体" w:hAnsi="宋体" w:cs="宋体"/>
          <w:color w:val="auto"/>
          <w:szCs w:val="24"/>
          <w:highlight w:val="none"/>
        </w:rPr>
        <w:fldChar w:fldCharType="separate"/>
      </w:r>
      <w:r>
        <w:rPr>
          <w:rFonts w:hint="eastAsia" w:ascii="宋体" w:hAnsi="宋体" w:cs="宋体"/>
          <w:color w:val="auto"/>
          <w:szCs w:val="24"/>
          <w:highlight w:val="none"/>
        </w:rPr>
        <w:t>①</w:t>
      </w:r>
      <w:r>
        <w:rPr>
          <w:rFonts w:hint="eastAsia" w:ascii="宋体" w:hAnsi="宋体" w:cs="宋体"/>
          <w:color w:val="auto"/>
          <w:szCs w:val="24"/>
          <w:highlight w:val="none"/>
        </w:rPr>
        <w:fldChar w:fldCharType="end"/>
      </w:r>
      <w:r>
        <w:rPr>
          <w:rFonts w:hint="eastAsia" w:ascii="宋体" w:hAnsi="宋体" w:cs="宋体"/>
          <w:color w:val="auto"/>
          <w:szCs w:val="24"/>
          <w:highlight w:val="none"/>
        </w:rPr>
        <w:t>制定给水系统、消防系统的维护保养、检测和消防器材年度保养计划。</w:t>
      </w:r>
      <w:r>
        <w:rPr>
          <w:rFonts w:hint="eastAsia" w:ascii="宋体" w:hAnsi="宋体" w:cs="宋体"/>
          <w:color w:val="auto"/>
          <w:szCs w:val="24"/>
          <w:highlight w:val="none"/>
        </w:rPr>
        <w:fldChar w:fldCharType="begin"/>
      </w:r>
      <w:r>
        <w:rPr>
          <w:rFonts w:hint="eastAsia" w:ascii="宋体" w:hAnsi="宋体" w:cs="宋体"/>
          <w:color w:val="auto"/>
          <w:szCs w:val="24"/>
          <w:highlight w:val="none"/>
        </w:rPr>
        <w:instrText xml:space="preserve">= 2 \* GB3</w:instrText>
      </w:r>
      <w:r>
        <w:rPr>
          <w:rFonts w:hint="eastAsia" w:ascii="宋体" w:hAnsi="宋体" w:cs="宋体"/>
          <w:color w:val="auto"/>
          <w:szCs w:val="24"/>
          <w:highlight w:val="none"/>
        </w:rPr>
        <w:fldChar w:fldCharType="separate"/>
      </w:r>
      <w:r>
        <w:rPr>
          <w:rFonts w:hint="eastAsia" w:ascii="宋体" w:hAnsi="宋体" w:cs="宋体"/>
          <w:color w:val="auto"/>
          <w:szCs w:val="24"/>
          <w:highlight w:val="none"/>
        </w:rPr>
        <w:t>②</w:t>
      </w:r>
      <w:r>
        <w:rPr>
          <w:rFonts w:hint="eastAsia" w:ascii="宋体" w:hAnsi="宋体" w:cs="宋体"/>
          <w:color w:val="auto"/>
          <w:szCs w:val="24"/>
          <w:highlight w:val="none"/>
        </w:rPr>
        <w:fldChar w:fldCharType="end"/>
      </w:r>
      <w:r>
        <w:rPr>
          <w:rFonts w:hint="eastAsia" w:ascii="宋体" w:hAnsi="宋体" w:cs="宋体"/>
          <w:color w:val="auto"/>
          <w:szCs w:val="24"/>
          <w:highlight w:val="none"/>
        </w:rPr>
        <w:t>巡查组织经常，生活水泵房每日巡查1次，消防泵房、水池、水箱每周巡查1次。</w:t>
      </w:r>
      <w:r>
        <w:rPr>
          <w:rFonts w:hint="eastAsia" w:ascii="宋体" w:hAnsi="宋体" w:cs="宋体"/>
          <w:color w:val="auto"/>
          <w:szCs w:val="24"/>
          <w:highlight w:val="none"/>
        </w:rPr>
        <w:fldChar w:fldCharType="begin"/>
      </w:r>
      <w:r>
        <w:rPr>
          <w:rFonts w:hint="eastAsia" w:ascii="宋体" w:hAnsi="宋体" w:cs="宋体"/>
          <w:color w:val="auto"/>
          <w:szCs w:val="24"/>
          <w:highlight w:val="none"/>
        </w:rPr>
        <w:instrText xml:space="preserve">= 3 \* GB3</w:instrText>
      </w:r>
      <w:r>
        <w:rPr>
          <w:rFonts w:hint="eastAsia" w:ascii="宋体" w:hAnsi="宋体" w:cs="宋体"/>
          <w:color w:val="auto"/>
          <w:szCs w:val="24"/>
          <w:highlight w:val="none"/>
        </w:rPr>
        <w:fldChar w:fldCharType="separate"/>
      </w:r>
      <w:r>
        <w:rPr>
          <w:rFonts w:hint="eastAsia" w:ascii="宋体" w:hAnsi="宋体" w:cs="宋体"/>
          <w:color w:val="auto"/>
          <w:szCs w:val="24"/>
          <w:highlight w:val="none"/>
        </w:rPr>
        <w:t>③</w:t>
      </w:r>
      <w:r>
        <w:rPr>
          <w:rFonts w:hint="eastAsia" w:ascii="宋体" w:hAnsi="宋体" w:cs="宋体"/>
          <w:color w:val="auto"/>
          <w:szCs w:val="24"/>
          <w:highlight w:val="none"/>
        </w:rPr>
        <w:fldChar w:fldCharType="end"/>
      </w:r>
      <w:r>
        <w:rPr>
          <w:rFonts w:hint="eastAsia" w:ascii="宋体" w:hAnsi="宋体" w:cs="宋体"/>
          <w:color w:val="auto"/>
          <w:szCs w:val="24"/>
          <w:highlight w:val="none"/>
        </w:rPr>
        <w:t>楼内四台饮水机日常维修及滤芯更换维护费用由乙方承担，其他设备设施涉及维修的配件及材料单项800元及以下由乙方承担，800元以上由需求方承担。</w:t>
      </w:r>
    </w:p>
    <w:p w14:paraId="63E4718B">
      <w:pPr>
        <w:pStyle w:val="15"/>
        <w:spacing w:line="360" w:lineRule="auto"/>
        <w:ind w:firstLine="480" w:firstLineChars="200"/>
        <w:rPr>
          <w:rFonts w:ascii="宋体" w:hAnsi="宋体" w:cs="宋体"/>
          <w:color w:val="auto"/>
          <w:szCs w:val="24"/>
          <w:highlight w:val="none"/>
        </w:rPr>
      </w:pPr>
      <w:r>
        <w:rPr>
          <w:rFonts w:hint="eastAsia" w:ascii="宋体" w:hAnsi="宋体" w:cs="宋体"/>
          <w:color w:val="auto"/>
          <w:szCs w:val="24"/>
          <w:highlight w:val="none"/>
        </w:rPr>
        <w:t>3.4.4惩处措施：①出现与工作标准不符现象，每次视情处500-5000元罚款。②未按期组织年检的，责令整改并处10000元罚款。</w:t>
      </w:r>
    </w:p>
    <w:p w14:paraId="6E31452B">
      <w:pPr>
        <w:pStyle w:val="15"/>
        <w:spacing w:line="360" w:lineRule="auto"/>
        <w:ind w:firstLine="482" w:firstLineChars="200"/>
        <w:rPr>
          <w:rFonts w:ascii="宋体" w:hAnsi="宋体" w:cs="宋体"/>
          <w:b/>
          <w:bCs/>
          <w:color w:val="auto"/>
          <w:szCs w:val="24"/>
          <w:highlight w:val="none"/>
        </w:rPr>
      </w:pPr>
      <w:r>
        <w:rPr>
          <w:rFonts w:hint="eastAsia" w:ascii="宋体" w:hAnsi="宋体" w:cs="宋体"/>
          <w:b/>
          <w:bCs/>
          <w:color w:val="auto"/>
          <w:szCs w:val="24"/>
          <w:highlight w:val="none"/>
        </w:rPr>
        <w:t>3.5电梯运行维护及年检</w:t>
      </w:r>
    </w:p>
    <w:p w14:paraId="22E4FA1F">
      <w:pPr>
        <w:pStyle w:val="15"/>
        <w:spacing w:line="360" w:lineRule="auto"/>
        <w:ind w:firstLine="480" w:firstLineChars="200"/>
        <w:rPr>
          <w:rFonts w:ascii="宋体" w:hAnsi="宋体" w:cs="宋体"/>
          <w:color w:val="auto"/>
          <w:szCs w:val="24"/>
          <w:highlight w:val="none"/>
        </w:rPr>
      </w:pPr>
      <w:r>
        <w:rPr>
          <w:rFonts w:hint="eastAsia" w:ascii="宋体" w:hAnsi="宋体" w:cs="宋体"/>
          <w:color w:val="auto"/>
          <w:szCs w:val="24"/>
          <w:highlight w:val="none"/>
        </w:rPr>
        <w:t>3.5.1服务内容：负责大楼2部电梯的日常维护和年检工作。</w:t>
      </w:r>
    </w:p>
    <w:p w14:paraId="73170FCD">
      <w:pPr>
        <w:pStyle w:val="15"/>
        <w:spacing w:line="360" w:lineRule="auto"/>
        <w:ind w:firstLine="480" w:firstLineChars="200"/>
        <w:rPr>
          <w:rFonts w:ascii="宋体" w:hAnsi="宋体" w:cs="宋体"/>
          <w:color w:val="auto"/>
          <w:szCs w:val="24"/>
          <w:highlight w:val="none"/>
        </w:rPr>
      </w:pPr>
      <w:r>
        <w:rPr>
          <w:rFonts w:hint="eastAsia" w:ascii="宋体" w:hAnsi="宋体" w:cs="宋体"/>
          <w:color w:val="auto"/>
          <w:szCs w:val="24"/>
          <w:highlight w:val="none"/>
        </w:rPr>
        <w:t>3.5.2服务标准：①建立电梯运行和安全管理制度，确保电梯按规定时间运行，安全设备齐全有效。②在电梯轿厢张贴（悬挂）《电梯日常维护检查登记表》，定期对电梯进行一次预防性例行保养，确保电梯运行平稳、平层准确，照明、内外呼梯按钮完好，楼层显示正常。警铃或其它救助设备功能完好，称重装置可靠，安全装置有效。③中控室安保人员负责监控电梯的运行状况，实行电梯24小时运行监控，通过监控电视观察轿厢内状况，如发现乘客吸烟、哄闹、打斗或损坏电梯部件等情况，用对讲电话制止并录像，严禁易燃易爆等危险品和超长超重等物品进入电梯。</w:t>
      </w:r>
      <w:r>
        <w:rPr>
          <w:rFonts w:hint="eastAsia" w:ascii="宋体" w:hAnsi="宋体" w:cs="宋体"/>
          <w:color w:val="auto"/>
          <w:szCs w:val="24"/>
          <w:highlight w:val="none"/>
        </w:rPr>
        <w:fldChar w:fldCharType="begin"/>
      </w:r>
      <w:r>
        <w:rPr>
          <w:rFonts w:hint="eastAsia" w:ascii="宋体" w:hAnsi="宋体" w:cs="宋体"/>
          <w:color w:val="auto"/>
          <w:szCs w:val="24"/>
          <w:highlight w:val="none"/>
        </w:rPr>
        <w:instrText xml:space="preserve">= 4 \* GB3</w:instrText>
      </w:r>
      <w:r>
        <w:rPr>
          <w:rFonts w:hint="eastAsia" w:ascii="宋体" w:hAnsi="宋体" w:cs="宋体"/>
          <w:color w:val="auto"/>
          <w:szCs w:val="24"/>
          <w:highlight w:val="none"/>
        </w:rPr>
        <w:fldChar w:fldCharType="separate"/>
      </w:r>
      <w:r>
        <w:rPr>
          <w:rFonts w:hint="eastAsia" w:ascii="宋体" w:hAnsi="宋体" w:cs="宋体"/>
          <w:color w:val="auto"/>
          <w:szCs w:val="24"/>
          <w:highlight w:val="none"/>
        </w:rPr>
        <w:t>④</w:t>
      </w:r>
      <w:r>
        <w:rPr>
          <w:rFonts w:hint="eastAsia" w:ascii="宋体" w:hAnsi="宋体" w:cs="宋体"/>
          <w:color w:val="auto"/>
          <w:szCs w:val="24"/>
          <w:highlight w:val="none"/>
        </w:rPr>
        <w:fldChar w:fldCharType="end"/>
      </w:r>
      <w:r>
        <w:rPr>
          <w:rFonts w:hint="eastAsia" w:ascii="宋体" w:hAnsi="宋体" w:cs="宋体"/>
          <w:color w:val="auto"/>
          <w:szCs w:val="24"/>
          <w:highlight w:val="none"/>
        </w:rPr>
        <w:t>制定电梯事故应急救援预案，建立24小时说应急救援电话和报修响应制度，电梯维修及时高效，接到报修后，维修人员1小时内到场，一般故障1小时内修复。⑤建立并保管好包括使用登记证、定期检验合格证、出厂合格证、日常维护保养记录、运行故障、事故记录等资料在内的电梯安全技术档案，并在服务合同期满后将电梯安全技术档案移交甲方。</w:t>
      </w:r>
    </w:p>
    <w:p w14:paraId="42D491E7">
      <w:pPr>
        <w:pStyle w:val="15"/>
        <w:spacing w:line="360" w:lineRule="auto"/>
        <w:ind w:firstLine="480" w:firstLineChars="200"/>
        <w:rPr>
          <w:rFonts w:ascii="宋体" w:hAnsi="宋体" w:cs="宋体"/>
          <w:color w:val="auto"/>
          <w:szCs w:val="24"/>
          <w:highlight w:val="none"/>
        </w:rPr>
      </w:pPr>
      <w:r>
        <w:rPr>
          <w:rFonts w:hint="eastAsia" w:ascii="宋体" w:hAnsi="宋体" w:cs="宋体"/>
          <w:color w:val="auto"/>
          <w:szCs w:val="24"/>
          <w:highlight w:val="none"/>
        </w:rPr>
        <w:t>3.5.3补充说明：①按规定组织电梯年度检验工作，所需经费由乙方承担。②涉及维修的配件及材料单项800元及以下由乙方承担，800元以上由需求方承担。</w:t>
      </w:r>
    </w:p>
    <w:p w14:paraId="1EEF8387">
      <w:pPr>
        <w:pStyle w:val="15"/>
        <w:spacing w:line="360" w:lineRule="auto"/>
        <w:ind w:firstLine="480" w:firstLineChars="200"/>
        <w:rPr>
          <w:rFonts w:ascii="宋体" w:hAnsi="宋体" w:cs="宋体"/>
          <w:color w:val="auto"/>
          <w:szCs w:val="24"/>
          <w:highlight w:val="none"/>
        </w:rPr>
      </w:pPr>
      <w:r>
        <w:rPr>
          <w:rFonts w:hint="eastAsia" w:ascii="宋体" w:hAnsi="宋体" w:cs="宋体"/>
          <w:color w:val="auto"/>
          <w:szCs w:val="24"/>
          <w:highlight w:val="none"/>
        </w:rPr>
        <w:t>3.5.4惩处措施：①电梯运行不顺畅，通知整改不及时的，每次罚款500元。②电梯出现故障，1小时内未到达现场的，每次罚款1000元。③未按规定进行年检的，责令整改并罚款5000元/次。</w:t>
      </w:r>
    </w:p>
    <w:p w14:paraId="0E0610A3">
      <w:pPr>
        <w:pStyle w:val="15"/>
        <w:spacing w:line="360" w:lineRule="auto"/>
        <w:ind w:firstLine="482" w:firstLineChars="200"/>
        <w:rPr>
          <w:rFonts w:ascii="宋体" w:hAnsi="宋体" w:cs="宋体"/>
          <w:b/>
          <w:bCs/>
          <w:color w:val="auto"/>
          <w:szCs w:val="24"/>
          <w:highlight w:val="none"/>
        </w:rPr>
      </w:pPr>
      <w:r>
        <w:rPr>
          <w:rFonts w:hint="eastAsia" w:ascii="宋体" w:hAnsi="宋体" w:cs="宋体"/>
          <w:b/>
          <w:bCs/>
          <w:color w:val="auto"/>
          <w:szCs w:val="24"/>
          <w:highlight w:val="none"/>
        </w:rPr>
        <w:t>3.6空调设施设备维护</w:t>
      </w:r>
    </w:p>
    <w:p w14:paraId="405C1235">
      <w:pPr>
        <w:pStyle w:val="15"/>
        <w:spacing w:line="360" w:lineRule="auto"/>
        <w:ind w:firstLine="480" w:firstLineChars="200"/>
        <w:rPr>
          <w:rFonts w:ascii="宋体" w:hAnsi="宋体" w:cs="宋体"/>
          <w:color w:val="auto"/>
          <w:szCs w:val="24"/>
          <w:highlight w:val="none"/>
        </w:rPr>
      </w:pPr>
      <w:r>
        <w:rPr>
          <w:rFonts w:hint="eastAsia" w:ascii="宋体" w:hAnsi="宋体" w:cs="宋体"/>
          <w:color w:val="auto"/>
          <w:szCs w:val="24"/>
          <w:highlight w:val="none"/>
        </w:rPr>
        <w:t>3.6.1服务范围：保证办公楼（区）空调系统正常运行和日常管理和维护，熟悉空调系统图纸以及设备设施性能和安装位置。</w:t>
      </w:r>
    </w:p>
    <w:p w14:paraId="3871325D">
      <w:pPr>
        <w:pStyle w:val="15"/>
        <w:spacing w:line="360" w:lineRule="auto"/>
        <w:ind w:firstLine="480" w:firstLineChars="200"/>
        <w:rPr>
          <w:rFonts w:ascii="宋体" w:hAnsi="宋体" w:cs="宋体"/>
          <w:color w:val="auto"/>
          <w:szCs w:val="24"/>
          <w:highlight w:val="none"/>
        </w:rPr>
      </w:pPr>
      <w:r>
        <w:rPr>
          <w:rFonts w:hint="eastAsia" w:ascii="宋体" w:hAnsi="宋体" w:cs="宋体"/>
          <w:color w:val="auto"/>
          <w:szCs w:val="24"/>
          <w:highlight w:val="none"/>
        </w:rPr>
        <w:t>3.6.2服务标准：①建立空调运行管理制度、安全操作规程和维修登记制度，运行设备必须定期巡查，填写巡查日志，保证空调系统正常，工作人员须按规定持证上岗，按时参加技术培训和安全教育活动。②管理员每日检查设施、设备情况，发现隐患，及时报告和处理，保证空调系统有良好的性能。③空调系统出现运行故障后，维修人员应在规定的时间内到达现场维修。</w:t>
      </w:r>
      <w:r>
        <w:rPr>
          <w:rFonts w:hint="eastAsia" w:ascii="宋体" w:hAnsi="宋体" w:cs="宋体"/>
          <w:color w:val="auto"/>
          <w:szCs w:val="24"/>
          <w:highlight w:val="none"/>
        </w:rPr>
        <w:fldChar w:fldCharType="begin"/>
      </w:r>
      <w:r>
        <w:rPr>
          <w:rFonts w:hint="eastAsia" w:ascii="宋体" w:hAnsi="宋体" w:cs="宋体"/>
          <w:color w:val="auto"/>
          <w:szCs w:val="24"/>
          <w:highlight w:val="none"/>
        </w:rPr>
        <w:instrText xml:space="preserve">= 4 \* GB3</w:instrText>
      </w:r>
      <w:r>
        <w:rPr>
          <w:rFonts w:hint="eastAsia" w:ascii="宋体" w:hAnsi="宋体" w:cs="宋体"/>
          <w:color w:val="auto"/>
          <w:szCs w:val="24"/>
          <w:highlight w:val="none"/>
        </w:rPr>
        <w:fldChar w:fldCharType="separate"/>
      </w:r>
      <w:r>
        <w:rPr>
          <w:rFonts w:hint="eastAsia" w:ascii="宋体" w:hAnsi="宋体" w:cs="宋体"/>
          <w:color w:val="auto"/>
          <w:szCs w:val="24"/>
          <w:highlight w:val="none"/>
        </w:rPr>
        <w:t>④</w:t>
      </w:r>
      <w:r>
        <w:rPr>
          <w:rFonts w:hint="eastAsia" w:ascii="宋体" w:hAnsi="宋体" w:cs="宋体"/>
          <w:color w:val="auto"/>
          <w:szCs w:val="24"/>
          <w:highlight w:val="none"/>
        </w:rPr>
        <w:fldChar w:fldCharType="end"/>
      </w:r>
      <w:r>
        <w:rPr>
          <w:rFonts w:hint="eastAsia" w:ascii="宋体" w:hAnsi="宋体" w:cs="宋体"/>
          <w:color w:val="auto"/>
          <w:szCs w:val="24"/>
          <w:highlight w:val="none"/>
        </w:rPr>
        <w:t>设备设施维修人员除自主开展正常工作外，还应听从空调总控值班操作人员对设备设施疑似问题进行巡查维修，不能解决的问题，应及时上报。</w:t>
      </w:r>
    </w:p>
    <w:p w14:paraId="1B90C3C7">
      <w:pPr>
        <w:pStyle w:val="15"/>
        <w:spacing w:line="360" w:lineRule="auto"/>
        <w:ind w:firstLine="480" w:firstLineChars="200"/>
        <w:rPr>
          <w:rFonts w:ascii="宋体" w:hAnsi="宋体" w:cs="宋体"/>
          <w:color w:val="auto"/>
          <w:szCs w:val="24"/>
          <w:highlight w:val="none"/>
        </w:rPr>
      </w:pPr>
      <w:r>
        <w:rPr>
          <w:rFonts w:hint="eastAsia" w:ascii="宋体" w:hAnsi="宋体" w:cs="宋体"/>
          <w:color w:val="auto"/>
          <w:szCs w:val="24"/>
          <w:highlight w:val="none"/>
        </w:rPr>
        <w:t>3.6.3补充说明：①按规定做好空调系统的日常维护，</w:t>
      </w:r>
      <w:r>
        <w:rPr>
          <w:rFonts w:hint="eastAsia"/>
          <w:color w:val="auto"/>
          <w:szCs w:val="24"/>
          <w:highlight w:val="none"/>
        </w:rPr>
        <w:t>保证空调设施设备处于良好状态。</w:t>
      </w:r>
      <w:r>
        <w:rPr>
          <w:rFonts w:hint="eastAsia" w:ascii="宋体" w:hAnsi="宋体" w:cs="宋体"/>
          <w:color w:val="auto"/>
          <w:szCs w:val="24"/>
          <w:highlight w:val="none"/>
        </w:rPr>
        <w:t>每年夏、冬季使用前组织</w:t>
      </w:r>
      <w:r>
        <w:rPr>
          <w:rFonts w:hint="eastAsia"/>
          <w:color w:val="auto"/>
          <w:szCs w:val="24"/>
          <w:highlight w:val="none"/>
        </w:rPr>
        <w:t>整体性维修养护，检验压力容器、仪表及冷却塔噪声等系统性</w:t>
      </w:r>
      <w:r>
        <w:rPr>
          <w:rFonts w:hint="eastAsia" w:ascii="宋体" w:hAnsi="宋体" w:cs="宋体"/>
          <w:color w:val="auto"/>
          <w:szCs w:val="24"/>
          <w:highlight w:val="none"/>
        </w:rPr>
        <w:t>大检查以及</w:t>
      </w:r>
      <w:r>
        <w:rPr>
          <w:rFonts w:hint="eastAsia"/>
          <w:color w:val="auto"/>
          <w:szCs w:val="24"/>
          <w:highlight w:val="none"/>
        </w:rPr>
        <w:t>开展空调主机（含空调过滤网、风机盘管）和室外机</w:t>
      </w:r>
      <w:r>
        <w:rPr>
          <w:rFonts w:hint="eastAsia" w:ascii="宋体" w:hAnsi="宋体" w:cs="宋体"/>
          <w:color w:val="auto"/>
          <w:szCs w:val="24"/>
          <w:highlight w:val="none"/>
        </w:rPr>
        <w:t>清洗，所需经费由乙方承担。②涉及维修的配件及材料单项800元及以下由乙方承担，800元以上由需求方承担。</w:t>
      </w:r>
    </w:p>
    <w:p w14:paraId="09A2B913">
      <w:pPr>
        <w:pStyle w:val="15"/>
        <w:spacing w:line="360" w:lineRule="auto"/>
        <w:ind w:firstLine="480" w:firstLineChars="200"/>
        <w:rPr>
          <w:rFonts w:ascii="宋体" w:hAnsi="宋体" w:cs="宋体"/>
          <w:color w:val="auto"/>
          <w:szCs w:val="24"/>
          <w:highlight w:val="none"/>
        </w:rPr>
      </w:pPr>
      <w:r>
        <w:rPr>
          <w:rFonts w:hint="eastAsia" w:ascii="宋体" w:hAnsi="宋体" w:cs="宋体"/>
          <w:color w:val="auto"/>
          <w:szCs w:val="24"/>
          <w:highlight w:val="none"/>
        </w:rPr>
        <w:t>3.6.4惩处措施：①空调运行不顺畅，通知整改不及时的，每次罚款500元。②空调出现故障，1小时内未到达现场的，每次罚款1000元。</w:t>
      </w:r>
    </w:p>
    <w:p w14:paraId="208032E9">
      <w:pPr>
        <w:pStyle w:val="15"/>
        <w:spacing w:line="360" w:lineRule="auto"/>
        <w:ind w:firstLine="482" w:firstLineChars="200"/>
        <w:rPr>
          <w:rFonts w:hint="eastAsia" w:ascii="宋体" w:hAnsi="宋体" w:cs="宋体"/>
          <w:b/>
          <w:bCs/>
          <w:color w:val="auto"/>
          <w:szCs w:val="24"/>
          <w:highlight w:val="none"/>
          <w:lang w:eastAsia="zh-CN"/>
        </w:rPr>
      </w:pPr>
      <w:r>
        <w:rPr>
          <w:rFonts w:hint="eastAsia" w:ascii="宋体" w:hAnsi="宋体" w:cs="宋体"/>
          <w:b/>
          <w:bCs/>
          <w:color w:val="auto"/>
          <w:szCs w:val="24"/>
          <w:highlight w:val="none"/>
        </w:rPr>
        <w:t>3.7消防管理服务</w:t>
      </w:r>
    </w:p>
    <w:p w14:paraId="53837426">
      <w:pPr>
        <w:pStyle w:val="15"/>
        <w:spacing w:line="360" w:lineRule="auto"/>
        <w:ind w:firstLine="480" w:firstLineChars="200"/>
        <w:rPr>
          <w:rFonts w:hint="eastAsia" w:ascii="宋体" w:hAnsi="宋体" w:eastAsia="宋体" w:cs="宋体"/>
          <w:color w:val="auto"/>
          <w:szCs w:val="24"/>
          <w:highlight w:val="none"/>
          <w:lang w:eastAsia="zh-CN"/>
        </w:rPr>
      </w:pPr>
      <w:r>
        <w:rPr>
          <w:rFonts w:hint="eastAsia" w:ascii="宋体" w:hAnsi="宋体" w:cs="宋体"/>
          <w:color w:val="auto"/>
          <w:szCs w:val="24"/>
          <w:highlight w:val="none"/>
        </w:rPr>
        <w:t>3.7.1服务范围：①消防系统（包括火灾自动报警系统、气体灭火系统、室内外消防栓系统、自动喷水灭火系统、消防广播系统、消防联动系统等）。②定期组织消防巡查，及时更换损坏、失效、缺失的消防器材（灭火器、消防水带、消防枪头、消火栓箱玻璃等）、设施（应急照明灯具、安全疏散指示、楼层指示等）以及消防各子系统。③保证区域内火灾自动报警系统、自动喷水灭火系统等消防设备设施的功能完好有效，及时、准确、熟练地操作各消防系统的设备设施，切实发挥报警、联动等控制作用。</w:t>
      </w:r>
    </w:p>
    <w:p w14:paraId="1B2C69F1">
      <w:pPr>
        <w:pStyle w:val="15"/>
        <w:shd w:val="clear" w:color="auto" w:fill="FFFFFF"/>
        <w:spacing w:beforeAutospacing="0" w:afterAutospacing="0" w:line="360" w:lineRule="auto"/>
        <w:ind w:firstLine="480" w:firstLineChars="200"/>
        <w:rPr>
          <w:rFonts w:hint="eastAsia" w:ascii="宋体" w:hAnsi="宋体" w:eastAsia="宋体" w:cs="宋体"/>
          <w:color w:val="auto"/>
          <w:sz w:val="24"/>
          <w:szCs w:val="24"/>
          <w:highlight w:val="none"/>
        </w:rPr>
      </w:pPr>
      <w:r>
        <w:rPr>
          <w:rFonts w:hint="eastAsia" w:ascii="宋体" w:hAnsi="宋体" w:cs="宋体"/>
          <w:color w:val="auto"/>
          <w:szCs w:val="24"/>
          <w:highlight w:val="none"/>
        </w:rPr>
        <w:t>3.7.2服务标准：①消防监控室实行24小时值班制度，值班人员须持证上岗，坚守岗位，熟悉本岗位的任务与要求，并详细做好消防监控室内各系统设备的运行记录。②保证消防系统设施使用状态完好，设备齐全、完好无损，可随时启用。应急照明设施、引路标志完好，紧急疏散通道畅通。③制定突发火灾的应急方案，设立消防疏散示意图，组织开展消防法规及消防知识的宣传教育，明确各区域防火责任人。</w:t>
      </w:r>
      <w:r>
        <w:rPr>
          <w:rFonts w:hint="eastAsia" w:ascii="宋体" w:hAnsi="宋体" w:cs="宋体"/>
          <w:color w:val="auto"/>
          <w:szCs w:val="24"/>
          <w:highlight w:val="none"/>
        </w:rPr>
        <w:fldChar w:fldCharType="begin"/>
      </w:r>
      <w:r>
        <w:rPr>
          <w:rFonts w:hint="eastAsia" w:ascii="宋体" w:hAnsi="宋体" w:cs="宋体"/>
          <w:color w:val="auto"/>
          <w:szCs w:val="24"/>
          <w:highlight w:val="none"/>
        </w:rPr>
        <w:instrText xml:space="preserve">= 4 \* GB3</w:instrText>
      </w:r>
      <w:r>
        <w:rPr>
          <w:rFonts w:hint="eastAsia" w:ascii="宋体" w:hAnsi="宋体" w:cs="宋体"/>
          <w:color w:val="auto"/>
          <w:szCs w:val="24"/>
          <w:highlight w:val="none"/>
        </w:rPr>
        <w:fldChar w:fldCharType="separate"/>
      </w:r>
      <w:r>
        <w:rPr>
          <w:rFonts w:hint="eastAsia" w:ascii="宋体" w:hAnsi="宋体" w:cs="宋体"/>
          <w:color w:val="auto"/>
          <w:szCs w:val="24"/>
          <w:highlight w:val="none"/>
        </w:rPr>
        <w:t>④</w:t>
      </w:r>
      <w:r>
        <w:rPr>
          <w:rFonts w:hint="eastAsia" w:ascii="宋体" w:hAnsi="宋体" w:cs="宋体"/>
          <w:color w:val="auto"/>
          <w:szCs w:val="24"/>
          <w:highlight w:val="none"/>
        </w:rPr>
        <w:fldChar w:fldCharType="end"/>
      </w:r>
      <w:r>
        <w:rPr>
          <w:rFonts w:hint="eastAsia" w:ascii="宋体" w:hAnsi="宋体" w:cs="宋体"/>
          <w:color w:val="auto"/>
          <w:szCs w:val="24"/>
          <w:highlight w:val="none"/>
        </w:rPr>
        <w:t>按要求定期进行设备的维护保养，检查消防水喷淋系统和中控室消防监控系统、烟感温感气体消防系统和中控室消防监控系统的联动是否正常；出现报警时，应及时将报警点位置通知安保监控人员，进行现场视频监控并及时上报。</w:t>
      </w:r>
    </w:p>
    <w:p w14:paraId="7164477C">
      <w:pPr>
        <w:pStyle w:val="15"/>
        <w:spacing w:line="360" w:lineRule="auto"/>
        <w:ind w:firstLine="480" w:firstLineChars="200"/>
        <w:rPr>
          <w:rFonts w:ascii="宋体" w:hAnsi="宋体" w:cs="宋体"/>
          <w:color w:val="auto"/>
          <w:szCs w:val="24"/>
          <w:highlight w:val="none"/>
        </w:rPr>
      </w:pPr>
      <w:r>
        <w:rPr>
          <w:rFonts w:hint="eastAsia" w:ascii="宋体" w:hAnsi="宋体" w:cs="宋体"/>
          <w:color w:val="auto"/>
          <w:szCs w:val="24"/>
          <w:highlight w:val="none"/>
        </w:rPr>
        <w:t>3.7.3补充说明：①巡查组织经常，消防泵房、水池、水箱每周巡查1次，消防水泵每周起泵运转1次，报警装置、消防广播系统检查和室内外消防栓水位测试、水压检测每月进行1次，确保消防储水量充足和报警广播装置、消防水泵、消防栓运行正常。②灭火器始终处于有效使用状态，每年定期年检1次。③消防系统容器、管道、阀门每年除锈刷漆1次，消防栓每月放水检查1次，保证管道无渗漏、阀门无锈死现象。</w:t>
      </w:r>
      <w:r>
        <w:rPr>
          <w:rFonts w:hint="eastAsia" w:ascii="宋体" w:hAnsi="宋体" w:cs="宋体"/>
          <w:color w:val="auto"/>
          <w:szCs w:val="24"/>
          <w:highlight w:val="none"/>
        </w:rPr>
        <w:fldChar w:fldCharType="begin"/>
      </w:r>
      <w:r>
        <w:rPr>
          <w:rFonts w:hint="eastAsia" w:ascii="宋体" w:hAnsi="宋体" w:cs="宋体"/>
          <w:color w:val="auto"/>
          <w:szCs w:val="24"/>
          <w:highlight w:val="none"/>
        </w:rPr>
        <w:instrText xml:space="preserve">= 4 \* GB3</w:instrText>
      </w:r>
      <w:r>
        <w:rPr>
          <w:rFonts w:hint="eastAsia" w:ascii="宋体" w:hAnsi="宋体" w:cs="宋体"/>
          <w:color w:val="auto"/>
          <w:szCs w:val="24"/>
          <w:highlight w:val="none"/>
        </w:rPr>
        <w:fldChar w:fldCharType="separate"/>
      </w:r>
      <w:r>
        <w:rPr>
          <w:rFonts w:hint="eastAsia" w:ascii="宋体" w:hAnsi="宋体" w:cs="宋体"/>
          <w:color w:val="auto"/>
          <w:szCs w:val="24"/>
          <w:highlight w:val="none"/>
        </w:rPr>
        <w:t>④</w:t>
      </w:r>
      <w:r>
        <w:rPr>
          <w:rFonts w:hint="eastAsia" w:ascii="宋体" w:hAnsi="宋体" w:cs="宋体"/>
          <w:color w:val="auto"/>
          <w:szCs w:val="24"/>
          <w:highlight w:val="none"/>
        </w:rPr>
        <w:fldChar w:fldCharType="end"/>
      </w:r>
      <w:r>
        <w:rPr>
          <w:rFonts w:hint="eastAsia" w:ascii="宋体" w:hAnsi="宋体" w:cs="宋体"/>
          <w:color w:val="auto"/>
          <w:szCs w:val="24"/>
          <w:highlight w:val="none"/>
        </w:rPr>
        <w:t>涉及维修的配件及材料单项800元及以下由乙方承担，800元以上由需求方承担。</w:t>
      </w:r>
    </w:p>
    <w:p w14:paraId="7F14FE5F">
      <w:pPr>
        <w:pStyle w:val="15"/>
        <w:spacing w:line="360" w:lineRule="auto"/>
        <w:ind w:firstLine="480" w:firstLineChars="200"/>
        <w:rPr>
          <w:rFonts w:hint="eastAsia" w:ascii="宋体" w:hAnsi="宋体" w:cs="宋体"/>
          <w:color w:val="auto"/>
          <w:szCs w:val="24"/>
          <w:highlight w:val="none"/>
        </w:rPr>
      </w:pPr>
      <w:r>
        <w:rPr>
          <w:rFonts w:hint="eastAsia" w:ascii="宋体" w:hAnsi="宋体" w:cs="宋体"/>
          <w:color w:val="auto"/>
          <w:szCs w:val="24"/>
          <w:highlight w:val="none"/>
        </w:rPr>
        <w:t>3.7.4惩处措施：①出现与工作标准不符现象，每次视情处500-5000元罚款。②未按期组织年检的，责令整改并处10000元罚款。</w:t>
      </w:r>
    </w:p>
    <w:p w14:paraId="68052661">
      <w:pPr>
        <w:pStyle w:val="15"/>
        <w:spacing w:line="360" w:lineRule="auto"/>
        <w:ind w:firstLine="482" w:firstLineChars="200"/>
        <w:rPr>
          <w:rFonts w:ascii="宋体" w:hAnsi="宋体" w:cs="宋体"/>
          <w:b/>
          <w:bCs/>
          <w:color w:val="000000"/>
          <w:szCs w:val="24"/>
        </w:rPr>
      </w:pPr>
      <w:r>
        <w:rPr>
          <w:rFonts w:hint="eastAsia" w:ascii="宋体" w:hAnsi="宋体" w:cs="宋体"/>
          <w:b/>
          <w:bCs/>
          <w:color w:val="000000"/>
          <w:szCs w:val="24"/>
        </w:rPr>
        <w:t>3.8安防</w:t>
      </w:r>
      <w:r>
        <w:rPr>
          <w:rFonts w:hint="eastAsia" w:ascii="宋体" w:hAnsi="宋体" w:cs="宋体"/>
          <w:b/>
          <w:bCs/>
          <w:szCs w:val="24"/>
        </w:rPr>
        <w:t>系统运维服务</w:t>
      </w:r>
    </w:p>
    <w:p w14:paraId="6E11FF36">
      <w:pPr>
        <w:pStyle w:val="15"/>
        <w:spacing w:line="360" w:lineRule="auto"/>
        <w:ind w:firstLine="480" w:firstLineChars="200"/>
        <w:rPr>
          <w:rFonts w:ascii="宋体" w:hAnsi="宋体" w:cs="宋体"/>
          <w:color w:val="000000"/>
          <w:szCs w:val="24"/>
        </w:rPr>
      </w:pPr>
      <w:r>
        <w:rPr>
          <w:rFonts w:hint="eastAsia" w:ascii="宋体" w:hAnsi="宋体" w:cs="宋体"/>
          <w:color w:val="000000"/>
          <w:szCs w:val="24"/>
        </w:rPr>
        <w:t>3.8.1服务范围包括以下子系统：</w:t>
      </w:r>
    </w:p>
    <w:p w14:paraId="51426BF6">
      <w:pPr>
        <w:pStyle w:val="15"/>
        <w:spacing w:line="360" w:lineRule="auto"/>
        <w:ind w:firstLine="480" w:firstLineChars="200"/>
        <w:rPr>
          <w:rFonts w:ascii="宋体" w:hAnsi="宋体" w:cs="宋体"/>
          <w:color w:val="000000"/>
          <w:szCs w:val="24"/>
        </w:rPr>
      </w:pPr>
      <w:r>
        <w:rPr>
          <w:rFonts w:hint="eastAsia" w:ascii="宋体" w:hAnsi="宋体" w:cs="宋体"/>
          <w:color w:val="000000"/>
          <w:szCs w:val="24"/>
        </w:rPr>
        <w:t>①安防综合布线系统（包括网络链路、网络设备等）；②视频监控系统（包括前端摄像头、监控主机、视频存储、拼接屏、操作台软件等）；③门禁系统（包括前端人脸识别主机、行人摆闸通道、电动门通道、磁吸门通道等）；</w:t>
      </w:r>
      <w:r>
        <w:rPr>
          <w:rFonts w:hint="eastAsia" w:ascii="宋体" w:hAnsi="宋体" w:cs="宋体"/>
          <w:color w:val="000000"/>
          <w:szCs w:val="24"/>
        </w:rPr>
        <w:fldChar w:fldCharType="begin"/>
      </w:r>
      <w:r>
        <w:rPr>
          <w:rFonts w:hint="eastAsia" w:ascii="宋体" w:hAnsi="宋体" w:cs="宋体"/>
          <w:color w:val="000000"/>
          <w:szCs w:val="24"/>
        </w:rPr>
        <w:instrText xml:space="preserve">= 4 \* GB3</w:instrText>
      </w:r>
      <w:r>
        <w:rPr>
          <w:rFonts w:hint="eastAsia" w:ascii="宋体" w:hAnsi="宋体" w:cs="宋体"/>
          <w:color w:val="000000"/>
          <w:szCs w:val="24"/>
        </w:rPr>
        <w:fldChar w:fldCharType="separate"/>
      </w:r>
      <w:r>
        <w:rPr>
          <w:rFonts w:hint="eastAsia" w:ascii="宋体" w:hAnsi="宋体" w:cs="宋体"/>
          <w:color w:val="000000"/>
          <w:szCs w:val="24"/>
        </w:rPr>
        <w:t>④</w:t>
      </w:r>
      <w:r>
        <w:rPr>
          <w:rFonts w:hint="eastAsia" w:ascii="宋体" w:hAnsi="宋体" w:cs="宋体"/>
          <w:color w:val="000000"/>
          <w:szCs w:val="24"/>
        </w:rPr>
        <w:fldChar w:fldCharType="end"/>
      </w:r>
      <w:r>
        <w:rPr>
          <w:rFonts w:hint="eastAsia" w:ascii="宋体" w:hAnsi="宋体" w:cs="宋体"/>
          <w:color w:val="000000"/>
          <w:szCs w:val="24"/>
        </w:rPr>
        <w:t>停车场系统（包括机动车道闸、岗亭工作台等）；⑤机房环控系统（包括软件、UPS及电池、空调、照明、配电链路等）；⑥安防管理平台（包括平台服务器，配套视频、门禁、停车场、消费软件等）；⑦系统网络安全（促进落实网络安全工作责任,切实做好网络突发事件的防范和应急处理工作）。</w:t>
      </w:r>
    </w:p>
    <w:p w14:paraId="76CF1B29">
      <w:pPr>
        <w:pStyle w:val="15"/>
        <w:spacing w:line="360" w:lineRule="auto"/>
        <w:ind w:firstLine="480" w:firstLineChars="200"/>
        <w:rPr>
          <w:rFonts w:ascii="宋体" w:hAnsi="宋体" w:cs="宋体"/>
          <w:color w:val="000000"/>
          <w:szCs w:val="24"/>
        </w:rPr>
      </w:pPr>
      <w:r>
        <w:rPr>
          <w:rFonts w:hint="eastAsia" w:ascii="宋体" w:hAnsi="宋体" w:cs="宋体"/>
          <w:color w:val="000000"/>
          <w:szCs w:val="24"/>
        </w:rPr>
        <w:t>3.8.2服务标准：①首次巡检报告，维保首月出具安防设施现状清单，对隐患、漏洞、遗留问题项提供维保建议和销项计划；②定期上门巡检服务，</w:t>
      </w:r>
      <w:r>
        <w:rPr>
          <w:rFonts w:hint="eastAsia" w:ascii="宋体" w:hAnsi="宋体" w:cs="宋体"/>
          <w:szCs w:val="24"/>
        </w:rPr>
        <w:t>建立安防系统管理制度，</w:t>
      </w:r>
      <w:r>
        <w:rPr>
          <w:rFonts w:hint="eastAsia" w:ascii="宋体" w:hAnsi="宋体" w:cs="宋体"/>
          <w:color w:val="000000"/>
          <w:szCs w:val="24"/>
        </w:rPr>
        <w:t>定期对各安防子系统状态巡查养护；③电话支持服务，对安防故障直接电话报修，安排服务工程师24小时内到场维修。对于临时出现的使用、操作或其他非故障的简单问题可直接电话联系服务工程师，寻求问题的解决方案、操作方法及技术指导；</w:t>
      </w:r>
    </w:p>
    <w:p w14:paraId="29F7102A">
      <w:pPr>
        <w:pStyle w:val="15"/>
        <w:spacing w:line="360" w:lineRule="auto"/>
        <w:ind w:left="0" w:leftChars="0" w:firstLine="0" w:firstLineChars="0"/>
        <w:rPr>
          <w:rFonts w:ascii="宋体" w:hAnsi="宋体" w:cs="宋体"/>
          <w:color w:val="000000"/>
          <w:szCs w:val="24"/>
        </w:rPr>
      </w:pPr>
      <w:r>
        <w:rPr>
          <w:rFonts w:hint="eastAsia" w:ascii="宋体" w:hAnsi="宋体" w:cs="宋体"/>
          <w:color w:val="000000"/>
          <w:szCs w:val="24"/>
        </w:rPr>
        <w:t>④驻场支持服务，对有特定事项如移机、割接、升级设备等情况，提供现场技术支持服务。</w:t>
      </w:r>
    </w:p>
    <w:p w14:paraId="0897FDE5">
      <w:pPr>
        <w:pStyle w:val="15"/>
        <w:spacing w:line="360" w:lineRule="auto"/>
        <w:ind w:firstLine="480" w:firstLineChars="200"/>
        <w:rPr>
          <w:rFonts w:ascii="宋体" w:hAnsi="宋体" w:cs="宋体"/>
          <w:color w:val="000000"/>
          <w:szCs w:val="24"/>
        </w:rPr>
      </w:pPr>
      <w:r>
        <w:rPr>
          <w:rFonts w:hint="eastAsia" w:ascii="宋体" w:hAnsi="宋体" w:cs="宋体"/>
          <w:color w:val="000000"/>
          <w:szCs w:val="24"/>
        </w:rPr>
        <w:t>3.8.3补充说明</w:t>
      </w:r>
      <w:r>
        <w:rPr>
          <w:rFonts w:hint="eastAsia" w:ascii="宋体" w:hAnsi="宋体" w:cs="宋体"/>
          <w:color w:val="000000"/>
          <w:szCs w:val="24"/>
          <w:lang w:eastAsia="zh-CN"/>
        </w:rPr>
        <w:t>：</w:t>
      </w:r>
      <w:r>
        <w:rPr>
          <w:rFonts w:hint="eastAsia" w:ascii="宋体" w:hAnsi="宋体" w:cs="宋体"/>
          <w:color w:val="000000"/>
          <w:szCs w:val="24"/>
        </w:rPr>
        <w:t>①每月安防巡查，及时更换损坏的安防设施；②每季度检查监控机房通风、散热、净尘、供电等设施。对容易老化的安防监控部件每个季度一次进行全面检查，一旦发现老化现象应及时更换、维修，如视频头、散热风扇等；③每年对摄像头除尘清理，调整清晰度；④根据用户的监控系统经常出现的情况或者有可能出现的地方及时提出日常维护和日常使用建议。</w:t>
      </w:r>
    </w:p>
    <w:p w14:paraId="6E58CDBC">
      <w:pPr>
        <w:pStyle w:val="15"/>
        <w:spacing w:line="360" w:lineRule="auto"/>
        <w:ind w:firstLine="480" w:firstLineChars="200"/>
        <w:rPr>
          <w:rFonts w:hint="default" w:ascii="宋体" w:hAnsi="宋体" w:cs="宋体"/>
          <w:color w:val="auto"/>
          <w:szCs w:val="24"/>
          <w:highlight w:val="none"/>
          <w:lang w:val="en-US" w:eastAsia="zh-CN"/>
        </w:rPr>
      </w:pPr>
      <w:r>
        <w:rPr>
          <w:rFonts w:hint="eastAsia" w:ascii="宋体" w:hAnsi="宋体" w:cs="宋体"/>
          <w:color w:val="000000"/>
          <w:szCs w:val="24"/>
        </w:rPr>
        <w:t>3.8.4惩处措施：①出现与工作标准不符现象，每次视情处500-1000元罚款。②未按期组织年检的，责令整改并处2000元罚款。</w:t>
      </w:r>
    </w:p>
    <w:p w14:paraId="36DD1F1E">
      <w:pPr>
        <w:pStyle w:val="15"/>
        <w:spacing w:line="360" w:lineRule="auto"/>
        <w:ind w:firstLine="482" w:firstLineChars="200"/>
        <w:rPr>
          <w:rFonts w:ascii="宋体" w:hAnsi="宋体" w:cs="宋体"/>
          <w:b/>
          <w:bCs/>
          <w:color w:val="auto"/>
          <w:szCs w:val="24"/>
          <w:highlight w:val="none"/>
        </w:rPr>
      </w:pPr>
      <w:r>
        <w:rPr>
          <w:rFonts w:hint="eastAsia" w:ascii="宋体" w:hAnsi="宋体" w:cs="宋体"/>
          <w:b/>
          <w:bCs/>
          <w:color w:val="auto"/>
          <w:szCs w:val="24"/>
          <w:highlight w:val="none"/>
        </w:rPr>
        <w:t>3.</w:t>
      </w:r>
      <w:r>
        <w:rPr>
          <w:rFonts w:hint="eastAsia" w:ascii="宋体" w:hAnsi="宋体" w:cs="宋体"/>
          <w:b/>
          <w:bCs/>
          <w:color w:val="auto"/>
          <w:szCs w:val="24"/>
          <w:highlight w:val="none"/>
          <w:lang w:val="en-US" w:eastAsia="zh-CN"/>
        </w:rPr>
        <w:t>9</w:t>
      </w:r>
      <w:r>
        <w:rPr>
          <w:rFonts w:hint="eastAsia" w:ascii="宋体" w:hAnsi="宋体" w:cs="宋体"/>
          <w:b/>
          <w:bCs/>
          <w:color w:val="auto"/>
          <w:szCs w:val="24"/>
          <w:highlight w:val="none"/>
        </w:rPr>
        <w:t>房屋管理、共用设施设备维护</w:t>
      </w:r>
    </w:p>
    <w:p w14:paraId="5823553D">
      <w:pPr>
        <w:pStyle w:val="15"/>
        <w:spacing w:line="360" w:lineRule="auto"/>
        <w:ind w:firstLine="480" w:firstLineChars="200"/>
        <w:rPr>
          <w:rFonts w:ascii="宋体" w:hAnsi="宋体" w:cs="宋体"/>
          <w:color w:val="auto"/>
          <w:szCs w:val="24"/>
          <w:highlight w:val="none"/>
        </w:rPr>
      </w:pPr>
      <w:r>
        <w:rPr>
          <w:rFonts w:hint="eastAsia" w:ascii="宋体" w:hAnsi="宋体" w:cs="宋体"/>
          <w:color w:val="auto"/>
          <w:szCs w:val="24"/>
          <w:highlight w:val="none"/>
        </w:rPr>
        <w:t>3.</w:t>
      </w:r>
      <w:r>
        <w:rPr>
          <w:rFonts w:hint="eastAsia" w:ascii="宋体" w:hAnsi="宋体" w:cs="宋体"/>
          <w:color w:val="auto"/>
          <w:szCs w:val="24"/>
          <w:highlight w:val="none"/>
          <w:lang w:val="en-US" w:eastAsia="zh-CN"/>
        </w:rPr>
        <w:t>9</w:t>
      </w:r>
      <w:r>
        <w:rPr>
          <w:rFonts w:hint="eastAsia" w:ascii="宋体" w:hAnsi="宋体" w:cs="宋体"/>
          <w:color w:val="auto"/>
          <w:szCs w:val="24"/>
          <w:highlight w:val="none"/>
        </w:rPr>
        <w:t>.1服务范围：</w:t>
      </w:r>
      <w:r>
        <w:rPr>
          <w:rFonts w:hint="eastAsia" w:ascii="宋体" w:hAnsi="宋体" w:cs="宋体"/>
          <w:color w:val="auto"/>
          <w:kern w:val="0"/>
          <w:szCs w:val="24"/>
          <w:highlight w:val="none"/>
        </w:rPr>
        <w:t>做好办公楼（区）建筑物及其附属设施的检查和日常养护工作和及时修复小损小坏等房屋维护管理工作，以及五楼防腐木（约800平）年度刷漆翻新</w:t>
      </w:r>
      <w:r>
        <w:rPr>
          <w:rFonts w:hint="eastAsia" w:ascii="宋体" w:hAnsi="宋体" w:cs="宋体"/>
          <w:color w:val="auto"/>
          <w:kern w:val="0"/>
          <w:szCs w:val="24"/>
          <w:highlight w:val="none"/>
          <w:lang w:eastAsia="zh-CN"/>
        </w:rPr>
        <w:t>养护</w:t>
      </w:r>
      <w:r>
        <w:rPr>
          <w:rFonts w:hint="eastAsia" w:ascii="宋体" w:hAnsi="宋体" w:cs="宋体"/>
          <w:color w:val="auto"/>
          <w:kern w:val="0"/>
          <w:szCs w:val="24"/>
          <w:highlight w:val="none"/>
        </w:rPr>
        <w:t>、及花箱破损更换工作，使建筑物及其附属设施处于完好等级和正常使用；</w:t>
      </w:r>
    </w:p>
    <w:p w14:paraId="4061C500">
      <w:pPr>
        <w:spacing w:line="360" w:lineRule="auto"/>
        <w:ind w:firstLine="480" w:firstLineChars="200"/>
        <w:rPr>
          <w:rFonts w:ascii="宋体" w:hAnsi="宋体" w:cs="宋体"/>
          <w:color w:val="auto"/>
          <w:szCs w:val="24"/>
          <w:highlight w:val="none"/>
        </w:rPr>
      </w:pPr>
      <w:r>
        <w:rPr>
          <w:rFonts w:hint="eastAsia" w:ascii="宋体" w:hAnsi="宋体" w:cs="宋体"/>
          <w:color w:val="auto"/>
          <w:szCs w:val="24"/>
          <w:highlight w:val="none"/>
        </w:rPr>
        <w:t>3.</w:t>
      </w:r>
      <w:r>
        <w:rPr>
          <w:rFonts w:hint="eastAsia" w:ascii="宋体" w:hAnsi="宋体" w:cs="宋体"/>
          <w:color w:val="auto"/>
          <w:szCs w:val="24"/>
          <w:highlight w:val="none"/>
          <w:lang w:val="en-US" w:eastAsia="zh-CN"/>
        </w:rPr>
        <w:t>9</w:t>
      </w:r>
      <w:r>
        <w:rPr>
          <w:rFonts w:hint="eastAsia" w:ascii="宋体" w:hAnsi="宋体" w:cs="宋体"/>
          <w:color w:val="auto"/>
          <w:szCs w:val="24"/>
          <w:highlight w:val="none"/>
        </w:rPr>
        <w:t>.2服务标准：①维修人员工作认真，服务热情，维修及时高效，维修质量符合国家相关质量标准。②保证各类设施设备的正常运行和安全使用。③定期检查</w:t>
      </w:r>
      <w:r>
        <w:rPr>
          <w:rFonts w:hint="eastAsia" w:ascii="宋体" w:hAnsi="宋体" w:cs="宋体"/>
          <w:color w:val="auto"/>
          <w:kern w:val="0"/>
          <w:szCs w:val="24"/>
          <w:highlight w:val="none"/>
        </w:rPr>
        <w:t>石材、路面路基、屋顶、各类灯具、停车场设施、沟渠地井、围墙、围栏、共用标志、地下管网等</w:t>
      </w:r>
      <w:r>
        <w:rPr>
          <w:rFonts w:hint="eastAsia" w:ascii="宋体" w:hAnsi="宋体" w:cs="宋体"/>
          <w:color w:val="auto"/>
          <w:szCs w:val="24"/>
          <w:highlight w:val="none"/>
        </w:rPr>
        <w:t>各类设施设备进行巡查和维修，并做好维修记录。④</w:t>
      </w:r>
      <w:r>
        <w:rPr>
          <w:rFonts w:hint="eastAsia" w:ascii="宋体" w:hAnsi="宋体" w:cs="宋体"/>
          <w:color w:val="auto"/>
          <w:kern w:val="0"/>
          <w:szCs w:val="24"/>
          <w:highlight w:val="none"/>
        </w:rPr>
        <w:t>建立设施档案、巡查检查记录、维护记录、保养记录，对设施损坏、异常及重大或突发性事件有应急方案和现场处理措施、处理记录。</w:t>
      </w:r>
    </w:p>
    <w:p w14:paraId="78316328">
      <w:pPr>
        <w:pStyle w:val="15"/>
        <w:spacing w:line="360" w:lineRule="auto"/>
        <w:ind w:firstLine="480" w:firstLineChars="200"/>
        <w:rPr>
          <w:rFonts w:ascii="宋体" w:hAnsi="宋体" w:cs="宋体"/>
          <w:color w:val="auto"/>
          <w:szCs w:val="24"/>
          <w:highlight w:val="none"/>
        </w:rPr>
      </w:pPr>
      <w:r>
        <w:rPr>
          <w:rFonts w:hint="eastAsia" w:ascii="宋体" w:hAnsi="宋体" w:cs="宋体"/>
          <w:color w:val="auto"/>
          <w:szCs w:val="24"/>
          <w:highlight w:val="none"/>
        </w:rPr>
        <w:t>3.</w:t>
      </w:r>
      <w:r>
        <w:rPr>
          <w:rFonts w:hint="eastAsia" w:ascii="宋体" w:hAnsi="宋体" w:cs="宋体"/>
          <w:color w:val="auto"/>
          <w:szCs w:val="24"/>
          <w:highlight w:val="none"/>
          <w:lang w:val="en-US" w:eastAsia="zh-CN"/>
        </w:rPr>
        <w:t>9</w:t>
      </w:r>
      <w:r>
        <w:rPr>
          <w:rFonts w:hint="eastAsia" w:ascii="宋体" w:hAnsi="宋体" w:cs="宋体"/>
          <w:color w:val="auto"/>
          <w:szCs w:val="24"/>
          <w:highlight w:val="none"/>
        </w:rPr>
        <w:t>.3补充说明：①乙方根据甲方发出的《维修通知单》，组织人员完成各类维修任务。②</w:t>
      </w:r>
      <w:r>
        <w:rPr>
          <w:rFonts w:hint="eastAsia" w:ascii="宋体" w:hAnsi="宋体" w:cs="宋体"/>
          <w:color w:val="auto"/>
          <w:kern w:val="0"/>
          <w:szCs w:val="24"/>
          <w:highlight w:val="none"/>
        </w:rPr>
        <w:t>常备一些配件及材料做到随时维修随时取用，日常零星维修及时完成，800元以下（含800元）维修耗材由乙方承担，800元以上维修耗材由甲方承担。</w:t>
      </w:r>
      <w:r>
        <w:rPr>
          <w:rFonts w:hint="eastAsia" w:ascii="宋体" w:hAnsi="宋体" w:cs="宋体"/>
          <w:color w:val="auto"/>
          <w:szCs w:val="24"/>
          <w:highlight w:val="none"/>
        </w:rPr>
        <w:t>④服务人员需持有相应资格证书（如电工证等，投标时提供相应证件等证明材料）。⑤实行24小时报修响应制度，维修人员应在2个小时内到达现场实施维修。</w:t>
      </w:r>
    </w:p>
    <w:p w14:paraId="1DE30D49">
      <w:pPr>
        <w:pStyle w:val="15"/>
        <w:spacing w:line="360" w:lineRule="auto"/>
        <w:ind w:firstLine="480" w:firstLineChars="200"/>
        <w:rPr>
          <w:rFonts w:ascii="宋体" w:hAnsi="宋体" w:cs="宋体"/>
          <w:color w:val="auto"/>
          <w:szCs w:val="24"/>
          <w:highlight w:val="none"/>
        </w:rPr>
      </w:pPr>
      <w:r>
        <w:rPr>
          <w:rFonts w:hint="eastAsia" w:ascii="宋体" w:hAnsi="宋体" w:cs="宋体"/>
          <w:color w:val="auto"/>
          <w:szCs w:val="24"/>
          <w:highlight w:val="none"/>
        </w:rPr>
        <w:t>3.</w:t>
      </w:r>
      <w:r>
        <w:rPr>
          <w:rFonts w:hint="eastAsia" w:ascii="宋体" w:hAnsi="宋体" w:cs="宋体"/>
          <w:color w:val="auto"/>
          <w:szCs w:val="24"/>
          <w:highlight w:val="none"/>
          <w:lang w:val="en-US" w:eastAsia="zh-CN"/>
        </w:rPr>
        <w:t>9</w:t>
      </w:r>
      <w:r>
        <w:rPr>
          <w:rFonts w:hint="eastAsia" w:ascii="宋体" w:hAnsi="宋体" w:cs="宋体"/>
          <w:color w:val="auto"/>
          <w:szCs w:val="24"/>
          <w:highlight w:val="none"/>
        </w:rPr>
        <w:t>.4惩处措施：公共区域设施设备出现故障，维修不及时，每次视情处200-2000元罚款。</w:t>
      </w:r>
    </w:p>
    <w:p w14:paraId="37B16C5F">
      <w:pPr>
        <w:pStyle w:val="15"/>
        <w:spacing w:line="360" w:lineRule="auto"/>
        <w:ind w:firstLine="482" w:firstLineChars="200"/>
        <w:rPr>
          <w:rFonts w:ascii="宋体" w:hAnsi="宋体" w:cs="宋体"/>
          <w:b/>
          <w:bCs/>
          <w:color w:val="auto"/>
          <w:szCs w:val="24"/>
          <w:highlight w:val="none"/>
        </w:rPr>
      </w:pPr>
      <w:r>
        <w:rPr>
          <w:rFonts w:hint="eastAsia" w:ascii="宋体" w:hAnsi="宋体" w:cs="宋体"/>
          <w:b/>
          <w:bCs/>
          <w:color w:val="auto"/>
          <w:szCs w:val="24"/>
          <w:highlight w:val="none"/>
          <w:lang w:val="en-US" w:eastAsia="zh-CN"/>
        </w:rPr>
        <w:t>3.10</w:t>
      </w:r>
      <w:r>
        <w:rPr>
          <w:rFonts w:hint="eastAsia" w:ascii="宋体" w:hAnsi="宋体" w:cs="宋体"/>
          <w:b/>
          <w:bCs/>
          <w:color w:val="auto"/>
          <w:szCs w:val="24"/>
          <w:highlight w:val="none"/>
        </w:rPr>
        <w:t>生活垃圾清运</w:t>
      </w:r>
    </w:p>
    <w:p w14:paraId="22DEF999">
      <w:pPr>
        <w:pStyle w:val="15"/>
        <w:spacing w:line="360" w:lineRule="auto"/>
        <w:ind w:firstLine="480" w:firstLineChars="200"/>
        <w:rPr>
          <w:rFonts w:ascii="宋体" w:hAnsi="宋体" w:cs="宋体"/>
          <w:color w:val="auto"/>
          <w:szCs w:val="24"/>
          <w:highlight w:val="none"/>
        </w:rPr>
      </w:pPr>
      <w:r>
        <w:rPr>
          <w:rFonts w:hint="eastAsia" w:ascii="宋体" w:hAnsi="宋体" w:cs="宋体"/>
          <w:color w:val="auto"/>
          <w:szCs w:val="24"/>
          <w:highlight w:val="none"/>
        </w:rPr>
        <w:t>3.</w:t>
      </w:r>
      <w:r>
        <w:rPr>
          <w:rFonts w:hint="eastAsia" w:ascii="宋体" w:hAnsi="宋体" w:cs="宋体"/>
          <w:color w:val="auto"/>
          <w:szCs w:val="24"/>
          <w:highlight w:val="none"/>
          <w:lang w:val="en-US" w:eastAsia="zh-CN"/>
        </w:rPr>
        <w:t>10</w:t>
      </w:r>
      <w:r>
        <w:rPr>
          <w:rFonts w:hint="eastAsia" w:ascii="宋体" w:hAnsi="宋体" w:cs="宋体"/>
          <w:color w:val="auto"/>
          <w:szCs w:val="24"/>
          <w:highlight w:val="none"/>
        </w:rPr>
        <w:t>.1服务范围：①收集室内外公共区域垃圾收纳容器内垃圾，并清运至需求方指定的垃圾转运站。②组织生活垃圾外运和消纳。</w:t>
      </w:r>
    </w:p>
    <w:p w14:paraId="126E38FE">
      <w:pPr>
        <w:pStyle w:val="15"/>
        <w:spacing w:line="360" w:lineRule="auto"/>
        <w:ind w:firstLine="480" w:firstLineChars="200"/>
        <w:rPr>
          <w:rFonts w:ascii="宋体" w:hAnsi="宋体" w:cs="宋体"/>
          <w:color w:val="auto"/>
          <w:szCs w:val="24"/>
          <w:highlight w:val="none"/>
        </w:rPr>
      </w:pPr>
      <w:r>
        <w:rPr>
          <w:rFonts w:hint="eastAsia" w:ascii="宋体" w:hAnsi="宋体" w:cs="宋体"/>
          <w:color w:val="auto"/>
          <w:szCs w:val="24"/>
          <w:highlight w:val="none"/>
        </w:rPr>
        <w:t>3.</w:t>
      </w:r>
      <w:r>
        <w:rPr>
          <w:rFonts w:hint="eastAsia" w:ascii="宋体" w:hAnsi="宋体" w:cs="宋体"/>
          <w:color w:val="auto"/>
          <w:szCs w:val="24"/>
          <w:highlight w:val="none"/>
          <w:lang w:val="en-US" w:eastAsia="zh-CN"/>
        </w:rPr>
        <w:t>10</w:t>
      </w:r>
      <w:r>
        <w:rPr>
          <w:rFonts w:hint="eastAsia" w:ascii="宋体" w:hAnsi="宋体" w:cs="宋体"/>
          <w:color w:val="auto"/>
          <w:szCs w:val="24"/>
          <w:highlight w:val="none"/>
        </w:rPr>
        <w:t>.2服务标准：①根据需求方需要，配备有分类标志的垃圾收纳容器。②生活垃圾日产日清，无垃圾堆积现象。楼内垃圾每日清运不少于2次，上午8时、下午14时前清运完毕。③垃圾收纳容器无垃圾溢满或周围散落垃圾现象，外观干净，无蚊蝇、无异味。</w:t>
      </w:r>
    </w:p>
    <w:p w14:paraId="67B28739">
      <w:pPr>
        <w:pStyle w:val="15"/>
        <w:spacing w:line="360" w:lineRule="auto"/>
        <w:ind w:firstLine="480" w:firstLineChars="200"/>
        <w:rPr>
          <w:rFonts w:ascii="宋体" w:hAnsi="宋体" w:cs="宋体"/>
          <w:color w:val="auto"/>
          <w:szCs w:val="24"/>
          <w:highlight w:val="none"/>
        </w:rPr>
      </w:pPr>
      <w:r>
        <w:rPr>
          <w:rFonts w:hint="eastAsia" w:ascii="宋体" w:hAnsi="宋体" w:cs="宋体"/>
          <w:color w:val="auto"/>
          <w:szCs w:val="24"/>
          <w:highlight w:val="none"/>
        </w:rPr>
        <w:t>3.</w:t>
      </w:r>
      <w:r>
        <w:rPr>
          <w:rFonts w:hint="eastAsia" w:ascii="宋体" w:hAnsi="宋体" w:cs="宋体"/>
          <w:color w:val="auto"/>
          <w:szCs w:val="24"/>
          <w:highlight w:val="none"/>
          <w:lang w:val="en-US" w:eastAsia="zh-CN"/>
        </w:rPr>
        <w:t>10</w:t>
      </w:r>
      <w:r>
        <w:rPr>
          <w:rFonts w:hint="eastAsia" w:ascii="宋体" w:hAnsi="宋体" w:cs="宋体"/>
          <w:color w:val="auto"/>
          <w:szCs w:val="24"/>
          <w:highlight w:val="none"/>
        </w:rPr>
        <w:t>.3补充说明：①应严格按照甲方垃圾分类有关要求设置相关垃圾收纳容器，组织垃圾分类。②现有垃圾收纳容器无偿提供乙方使用，缺少的由乙方购置。③定期对垃圾收纳容器进行卫生消毒。</w:t>
      </w:r>
    </w:p>
    <w:p w14:paraId="18A5A6A5">
      <w:pPr>
        <w:pStyle w:val="15"/>
        <w:spacing w:line="360" w:lineRule="auto"/>
        <w:ind w:firstLine="480" w:firstLineChars="200"/>
        <w:rPr>
          <w:rFonts w:ascii="宋体" w:hAnsi="宋体" w:cs="宋体"/>
          <w:color w:val="auto"/>
          <w:szCs w:val="24"/>
          <w:highlight w:val="none"/>
        </w:rPr>
      </w:pPr>
      <w:r>
        <w:rPr>
          <w:rFonts w:hint="eastAsia" w:ascii="宋体" w:hAnsi="宋体" w:cs="宋体"/>
          <w:color w:val="auto"/>
          <w:szCs w:val="24"/>
          <w:highlight w:val="none"/>
        </w:rPr>
        <w:t>3.</w:t>
      </w:r>
      <w:r>
        <w:rPr>
          <w:rFonts w:hint="eastAsia" w:ascii="宋体" w:hAnsi="宋体" w:cs="宋体"/>
          <w:color w:val="auto"/>
          <w:szCs w:val="24"/>
          <w:highlight w:val="none"/>
          <w:lang w:val="en-US" w:eastAsia="zh-CN"/>
        </w:rPr>
        <w:t>10</w:t>
      </w:r>
      <w:r>
        <w:rPr>
          <w:rFonts w:hint="eastAsia" w:ascii="宋体" w:hAnsi="宋体" w:cs="宋体"/>
          <w:color w:val="auto"/>
          <w:szCs w:val="24"/>
          <w:highlight w:val="none"/>
        </w:rPr>
        <w:t>.4惩处措施：①垃圾收纳容器内垃圾清理不及时，导致垃圾外溢、滋生飞虫等每处罚款100元。②垃圾未按要求分类收集、外运不及时的每次视情处罚500-1000元。</w:t>
      </w:r>
    </w:p>
    <w:p w14:paraId="2A163338">
      <w:pPr>
        <w:pStyle w:val="15"/>
        <w:spacing w:line="360" w:lineRule="auto"/>
        <w:ind w:firstLine="482" w:firstLineChars="200"/>
        <w:rPr>
          <w:rFonts w:ascii="宋体" w:hAnsi="宋体" w:cs="宋体"/>
          <w:b/>
          <w:bCs/>
          <w:color w:val="auto"/>
          <w:szCs w:val="24"/>
          <w:highlight w:val="none"/>
        </w:rPr>
      </w:pPr>
      <w:r>
        <w:rPr>
          <w:rFonts w:hint="eastAsia" w:ascii="宋体" w:hAnsi="宋体" w:cs="宋体"/>
          <w:b/>
          <w:bCs/>
          <w:color w:val="auto"/>
          <w:szCs w:val="24"/>
          <w:highlight w:val="none"/>
        </w:rPr>
        <w:t>3.1</w:t>
      </w:r>
      <w:r>
        <w:rPr>
          <w:rFonts w:hint="eastAsia" w:ascii="宋体" w:hAnsi="宋体" w:cs="宋体"/>
          <w:b/>
          <w:bCs/>
          <w:color w:val="auto"/>
          <w:szCs w:val="24"/>
          <w:highlight w:val="none"/>
          <w:lang w:val="en-US" w:eastAsia="zh-CN"/>
        </w:rPr>
        <w:t>1</w:t>
      </w:r>
      <w:r>
        <w:rPr>
          <w:rFonts w:hint="eastAsia" w:ascii="宋体" w:hAnsi="宋体" w:cs="宋体"/>
          <w:b/>
          <w:bCs/>
          <w:color w:val="auto"/>
          <w:szCs w:val="24"/>
          <w:highlight w:val="none"/>
        </w:rPr>
        <w:t>上下水及排污管线清理</w:t>
      </w:r>
    </w:p>
    <w:p w14:paraId="42596A82">
      <w:pPr>
        <w:pStyle w:val="15"/>
        <w:spacing w:line="360" w:lineRule="auto"/>
        <w:ind w:firstLine="480" w:firstLineChars="200"/>
        <w:rPr>
          <w:rFonts w:ascii="宋体" w:hAnsi="宋体" w:cs="宋体"/>
          <w:color w:val="auto"/>
          <w:szCs w:val="24"/>
          <w:highlight w:val="none"/>
        </w:rPr>
      </w:pPr>
      <w:r>
        <w:rPr>
          <w:rFonts w:hint="eastAsia" w:ascii="宋体" w:hAnsi="宋体" w:cs="宋体"/>
          <w:color w:val="auto"/>
          <w:szCs w:val="24"/>
          <w:highlight w:val="none"/>
        </w:rPr>
        <w:t>3.1</w:t>
      </w:r>
      <w:r>
        <w:rPr>
          <w:rFonts w:hint="eastAsia" w:ascii="宋体" w:hAnsi="宋体" w:cs="宋体"/>
          <w:color w:val="auto"/>
          <w:szCs w:val="24"/>
          <w:highlight w:val="none"/>
          <w:lang w:val="en-US" w:eastAsia="zh-CN"/>
        </w:rPr>
        <w:t>1</w:t>
      </w:r>
      <w:r>
        <w:rPr>
          <w:rFonts w:hint="eastAsia" w:ascii="宋体" w:hAnsi="宋体" w:cs="宋体"/>
          <w:color w:val="auto"/>
          <w:szCs w:val="24"/>
          <w:highlight w:val="none"/>
        </w:rPr>
        <w:t>.1服务范围：负责院内化粪池清掏，雨（污）水管线疏通。</w:t>
      </w:r>
    </w:p>
    <w:p w14:paraId="13EB5946">
      <w:pPr>
        <w:pStyle w:val="15"/>
        <w:spacing w:line="360" w:lineRule="auto"/>
        <w:ind w:firstLine="480" w:firstLineChars="200"/>
        <w:rPr>
          <w:rFonts w:ascii="宋体" w:hAnsi="宋体" w:cs="宋体"/>
          <w:color w:val="auto"/>
          <w:szCs w:val="24"/>
          <w:highlight w:val="none"/>
        </w:rPr>
      </w:pPr>
      <w:r>
        <w:rPr>
          <w:rFonts w:hint="eastAsia" w:ascii="宋体" w:hAnsi="宋体" w:cs="宋体"/>
          <w:color w:val="auto"/>
          <w:szCs w:val="24"/>
          <w:highlight w:val="none"/>
        </w:rPr>
        <w:t>3.1</w:t>
      </w:r>
      <w:r>
        <w:rPr>
          <w:rFonts w:hint="eastAsia" w:ascii="宋体" w:hAnsi="宋体" w:cs="宋体"/>
          <w:color w:val="auto"/>
          <w:szCs w:val="24"/>
          <w:highlight w:val="none"/>
          <w:lang w:val="en-US" w:eastAsia="zh-CN"/>
        </w:rPr>
        <w:t>1</w:t>
      </w:r>
      <w:r>
        <w:rPr>
          <w:rFonts w:hint="eastAsia" w:ascii="宋体" w:hAnsi="宋体" w:cs="宋体"/>
          <w:color w:val="auto"/>
          <w:szCs w:val="24"/>
          <w:highlight w:val="none"/>
        </w:rPr>
        <w:t>.2服务标准：化粪池每半年清掏1次，雨（污）水管线疏通随叫随到，保证无堵塞、无外溢。</w:t>
      </w:r>
    </w:p>
    <w:p w14:paraId="219D9812">
      <w:pPr>
        <w:pStyle w:val="15"/>
        <w:spacing w:line="360" w:lineRule="auto"/>
        <w:ind w:firstLine="480" w:firstLineChars="200"/>
        <w:rPr>
          <w:rFonts w:ascii="宋体" w:hAnsi="宋体" w:cs="宋体"/>
          <w:color w:val="auto"/>
          <w:szCs w:val="24"/>
          <w:highlight w:val="none"/>
        </w:rPr>
      </w:pPr>
      <w:r>
        <w:rPr>
          <w:rFonts w:hint="eastAsia" w:ascii="宋体" w:hAnsi="宋体" w:cs="宋体"/>
          <w:color w:val="auto"/>
          <w:szCs w:val="24"/>
          <w:highlight w:val="none"/>
        </w:rPr>
        <w:t>3.1</w:t>
      </w:r>
      <w:r>
        <w:rPr>
          <w:rFonts w:hint="eastAsia" w:ascii="宋体" w:hAnsi="宋体" w:cs="宋体"/>
          <w:color w:val="auto"/>
          <w:szCs w:val="24"/>
          <w:highlight w:val="none"/>
          <w:lang w:val="en-US" w:eastAsia="zh-CN"/>
        </w:rPr>
        <w:t>1</w:t>
      </w:r>
      <w:r>
        <w:rPr>
          <w:rFonts w:hint="eastAsia" w:ascii="宋体" w:hAnsi="宋体" w:cs="宋体"/>
          <w:color w:val="auto"/>
          <w:szCs w:val="24"/>
          <w:highlight w:val="none"/>
        </w:rPr>
        <w:t>.3惩处措施：因清掏、疏通不及时导致的管道堵塞、外溢每次处罚500-1000元。</w:t>
      </w:r>
    </w:p>
    <w:p w14:paraId="1F516E67">
      <w:pPr>
        <w:pStyle w:val="15"/>
        <w:spacing w:line="360" w:lineRule="auto"/>
        <w:ind w:firstLine="482" w:firstLineChars="200"/>
        <w:rPr>
          <w:rFonts w:ascii="宋体" w:hAnsi="宋体" w:cs="宋体"/>
          <w:b/>
          <w:bCs/>
          <w:color w:val="auto"/>
          <w:szCs w:val="24"/>
          <w:highlight w:val="none"/>
        </w:rPr>
      </w:pPr>
      <w:r>
        <w:rPr>
          <w:rFonts w:hint="eastAsia" w:ascii="宋体" w:hAnsi="宋体" w:cs="宋体"/>
          <w:b/>
          <w:bCs/>
          <w:color w:val="auto"/>
          <w:szCs w:val="24"/>
          <w:highlight w:val="none"/>
        </w:rPr>
        <w:t>3.1</w:t>
      </w:r>
      <w:r>
        <w:rPr>
          <w:rFonts w:hint="eastAsia" w:ascii="宋体" w:hAnsi="宋体" w:cs="宋体"/>
          <w:b/>
          <w:bCs/>
          <w:color w:val="auto"/>
          <w:szCs w:val="24"/>
          <w:highlight w:val="none"/>
          <w:lang w:val="en-US" w:eastAsia="zh-CN"/>
        </w:rPr>
        <w:t>2</w:t>
      </w:r>
      <w:r>
        <w:rPr>
          <w:rFonts w:hint="eastAsia" w:ascii="宋体" w:hAnsi="宋体" w:cs="宋体"/>
          <w:b/>
          <w:bCs/>
          <w:color w:val="auto"/>
          <w:szCs w:val="24"/>
          <w:highlight w:val="none"/>
        </w:rPr>
        <w:t>综合管理</w:t>
      </w:r>
    </w:p>
    <w:p w14:paraId="0E28B761">
      <w:pPr>
        <w:spacing w:line="360" w:lineRule="auto"/>
        <w:ind w:firstLine="480" w:firstLineChars="200"/>
        <w:rPr>
          <w:rFonts w:ascii="宋体" w:hAnsi="宋体" w:cs="宋体"/>
          <w:color w:val="auto"/>
          <w:szCs w:val="24"/>
          <w:highlight w:val="none"/>
        </w:rPr>
      </w:pPr>
      <w:r>
        <w:rPr>
          <w:rFonts w:hint="eastAsia" w:ascii="宋体" w:hAnsi="宋体" w:cs="宋体"/>
          <w:color w:val="auto"/>
          <w:szCs w:val="24"/>
          <w:highlight w:val="none"/>
        </w:rPr>
        <w:t>3.1</w:t>
      </w:r>
      <w:r>
        <w:rPr>
          <w:rFonts w:hint="eastAsia" w:ascii="宋体" w:hAnsi="宋体" w:cs="宋体"/>
          <w:color w:val="auto"/>
          <w:szCs w:val="24"/>
          <w:highlight w:val="none"/>
          <w:lang w:val="en-US" w:eastAsia="zh-CN"/>
        </w:rPr>
        <w:t>2</w:t>
      </w:r>
      <w:r>
        <w:rPr>
          <w:rFonts w:hint="eastAsia" w:ascii="宋体" w:hAnsi="宋体" w:cs="宋体"/>
          <w:color w:val="auto"/>
          <w:szCs w:val="24"/>
          <w:highlight w:val="none"/>
        </w:rPr>
        <w:t>.1服务内容：①</w:t>
      </w:r>
      <w:r>
        <w:rPr>
          <w:rFonts w:hint="eastAsia" w:ascii="宋体" w:hAnsi="宋体" w:cs="宋体"/>
          <w:color w:val="auto"/>
          <w:kern w:val="0"/>
          <w:szCs w:val="24"/>
          <w:highlight w:val="none"/>
        </w:rPr>
        <w:t>根据甲方要求做好会务保障工作。</w:t>
      </w:r>
      <w:r>
        <w:rPr>
          <w:rFonts w:hint="eastAsia" w:ascii="宋体" w:hAnsi="宋体" w:cs="宋体"/>
          <w:color w:val="auto"/>
          <w:szCs w:val="24"/>
          <w:highlight w:val="none"/>
        </w:rPr>
        <w:t>②做好各类档案收集整理工作。③做好重大活动后勤保障工作。④做好驻场人员管理工作。</w:t>
      </w:r>
    </w:p>
    <w:p w14:paraId="1528698A">
      <w:pPr>
        <w:pStyle w:val="15"/>
        <w:spacing w:line="360" w:lineRule="auto"/>
        <w:ind w:firstLine="480" w:firstLineChars="200"/>
        <w:rPr>
          <w:rFonts w:ascii="宋体" w:hAnsi="宋体" w:cs="宋体"/>
          <w:color w:val="auto"/>
          <w:szCs w:val="24"/>
          <w:highlight w:val="none"/>
        </w:rPr>
      </w:pPr>
      <w:r>
        <w:rPr>
          <w:rFonts w:hint="eastAsia" w:ascii="宋体" w:hAnsi="宋体" w:cs="宋体"/>
          <w:color w:val="auto"/>
          <w:szCs w:val="24"/>
          <w:highlight w:val="none"/>
        </w:rPr>
        <w:t>3.1</w:t>
      </w:r>
      <w:r>
        <w:rPr>
          <w:rFonts w:hint="eastAsia" w:ascii="宋体" w:hAnsi="宋体" w:cs="宋体"/>
          <w:color w:val="auto"/>
          <w:szCs w:val="24"/>
          <w:highlight w:val="none"/>
          <w:lang w:val="en-US" w:eastAsia="zh-CN"/>
        </w:rPr>
        <w:t>2</w:t>
      </w:r>
      <w:r>
        <w:rPr>
          <w:rFonts w:hint="eastAsia" w:ascii="宋体" w:hAnsi="宋体" w:cs="宋体"/>
          <w:color w:val="auto"/>
          <w:szCs w:val="24"/>
          <w:highlight w:val="none"/>
        </w:rPr>
        <w:t>.2服务标准：</w:t>
      </w:r>
    </w:p>
    <w:p w14:paraId="3AA8AAF8">
      <w:pPr>
        <w:spacing w:line="360" w:lineRule="auto"/>
        <w:ind w:firstLine="482" w:firstLineChars="200"/>
        <w:rPr>
          <w:rFonts w:ascii="宋体" w:hAnsi="宋体" w:cs="宋体"/>
          <w:color w:val="auto"/>
          <w:szCs w:val="24"/>
          <w:highlight w:val="none"/>
        </w:rPr>
      </w:pPr>
      <w:r>
        <w:rPr>
          <w:rFonts w:hint="eastAsia" w:ascii="宋体" w:hAnsi="宋体" w:cs="宋体"/>
          <w:b/>
          <w:bCs/>
          <w:color w:val="auto"/>
          <w:kern w:val="0"/>
          <w:szCs w:val="24"/>
          <w:highlight w:val="none"/>
        </w:rPr>
        <w:t>人员管理标准：</w:t>
      </w:r>
      <w:r>
        <w:rPr>
          <w:rFonts w:hint="eastAsia" w:ascii="宋体" w:hAnsi="宋体" w:cs="宋体"/>
          <w:color w:val="auto"/>
          <w:szCs w:val="24"/>
          <w:highlight w:val="none"/>
        </w:rPr>
        <w:t>①</w:t>
      </w:r>
      <w:r>
        <w:rPr>
          <w:rFonts w:hint="eastAsia" w:ascii="宋体" w:hAnsi="宋体" w:cs="宋体"/>
          <w:color w:val="auto"/>
          <w:kern w:val="0"/>
          <w:szCs w:val="24"/>
          <w:highlight w:val="none"/>
        </w:rPr>
        <w:t>拥护中国共产党领导，拥护社会主义，热爱祖国，热爱人民；坚持正确的政治方向，拥护党和国家的路线、方针、政策，在大是大非问题上，立场坚定，旗帜鲜明。遵纪守法，廉洁自律，保密意识强。</w:t>
      </w:r>
      <w:r>
        <w:rPr>
          <w:rFonts w:hint="eastAsia" w:ascii="宋体" w:hAnsi="宋体" w:cs="宋体"/>
          <w:color w:val="auto"/>
          <w:szCs w:val="24"/>
          <w:highlight w:val="none"/>
        </w:rPr>
        <w:t>②</w:t>
      </w:r>
      <w:r>
        <w:rPr>
          <w:rFonts w:hint="eastAsia" w:ascii="宋体" w:hAnsi="宋体" w:cs="宋体"/>
          <w:color w:val="auto"/>
          <w:kern w:val="0"/>
          <w:szCs w:val="24"/>
          <w:highlight w:val="none"/>
        </w:rPr>
        <w:t>树立“用户至上、服务第一”的服务意识和强烈的责任感和良好的职业道德，爱岗敬业、诚信服务，优质高效地服务于甲方。</w:t>
      </w:r>
      <w:r>
        <w:rPr>
          <w:rFonts w:hint="eastAsia" w:ascii="宋体" w:hAnsi="宋体" w:cs="宋体"/>
          <w:color w:val="auto"/>
          <w:szCs w:val="24"/>
          <w:highlight w:val="none"/>
        </w:rPr>
        <w:t>③</w:t>
      </w:r>
      <w:r>
        <w:rPr>
          <w:rFonts w:hint="eastAsia" w:ascii="宋体" w:hAnsi="宋体" w:cs="宋体"/>
          <w:color w:val="auto"/>
          <w:kern w:val="0"/>
          <w:szCs w:val="24"/>
          <w:highlight w:val="none"/>
        </w:rPr>
        <w:t>管理人员应全部持有政府或专业部门颁发的有效证书上岗，政策法律法规规定的需要持证上岗的人员100%持证上岗，有一定的物业管理工作经验及相应岗位的技能。</w:t>
      </w:r>
      <w:r>
        <w:rPr>
          <w:rFonts w:hint="eastAsia" w:ascii="宋体" w:hAnsi="宋体" w:cs="宋体"/>
          <w:color w:val="auto"/>
          <w:szCs w:val="24"/>
          <w:highlight w:val="none"/>
        </w:rPr>
        <w:t>④</w:t>
      </w:r>
      <w:r>
        <w:rPr>
          <w:rFonts w:hint="eastAsia" w:ascii="宋体" w:hAnsi="宋体" w:cs="宋体"/>
          <w:color w:val="auto"/>
          <w:kern w:val="0"/>
          <w:szCs w:val="24"/>
          <w:highlight w:val="none"/>
        </w:rPr>
        <w:t>五官端正，身体健康，品行良好，政历清楚，无违法犯罪记录。⑤严格遵守国家保密法律法规，在制定范围内工作，不进入与本人无关的场所；不接触涉密物品，不查看办公室内的电脑内容；如听到或看到相关工作信息，保证不泄露给第三方，不以任何方式、通过任何途径进行传播，不在互联网上发表有关言论。⑥招录的人员应事先报甲方审核备案。</w:t>
      </w:r>
    </w:p>
    <w:p w14:paraId="05C0FAE0">
      <w:pPr>
        <w:spacing w:line="360" w:lineRule="auto"/>
        <w:ind w:firstLine="482" w:firstLineChars="200"/>
        <w:rPr>
          <w:rFonts w:ascii="宋体" w:hAnsi="宋体" w:cs="宋体"/>
          <w:color w:val="auto"/>
          <w:kern w:val="0"/>
          <w:szCs w:val="24"/>
          <w:highlight w:val="none"/>
        </w:rPr>
      </w:pPr>
      <w:r>
        <w:rPr>
          <w:rFonts w:hint="eastAsia" w:ascii="宋体" w:hAnsi="宋体" w:cs="宋体"/>
          <w:b/>
          <w:bCs/>
          <w:color w:val="auto"/>
          <w:kern w:val="0"/>
          <w:szCs w:val="24"/>
          <w:highlight w:val="none"/>
        </w:rPr>
        <w:t>档案管理服务标准：</w:t>
      </w:r>
      <w:r>
        <w:rPr>
          <w:rFonts w:hint="eastAsia" w:ascii="宋体" w:hAnsi="宋体" w:cs="宋体"/>
          <w:color w:val="auto"/>
          <w:szCs w:val="24"/>
          <w:highlight w:val="none"/>
        </w:rPr>
        <w:t>①</w:t>
      </w:r>
      <w:r>
        <w:rPr>
          <w:rFonts w:hint="eastAsia" w:ascii="宋体" w:hAnsi="宋体" w:cs="宋体"/>
          <w:color w:val="auto"/>
          <w:kern w:val="0"/>
          <w:szCs w:val="24"/>
          <w:highlight w:val="none"/>
        </w:rPr>
        <w:t>建立办公楼（区）物业档案并加强档案和资料的管理。档案和资料管理包括但不限于：房屋及其共用设施设备档案、维修养护运行管理档案、设备设施档案、业主投诉和意见档案、安全管理记录档案、环境卫生管理档案、中标方人事管理及人员培训档案等。</w:t>
      </w:r>
      <w:r>
        <w:rPr>
          <w:rFonts w:hint="eastAsia" w:ascii="宋体" w:hAnsi="宋体" w:cs="宋体"/>
          <w:color w:val="auto"/>
          <w:szCs w:val="24"/>
          <w:highlight w:val="none"/>
        </w:rPr>
        <w:t>②</w:t>
      </w:r>
      <w:r>
        <w:rPr>
          <w:rFonts w:hint="eastAsia" w:ascii="宋体" w:hAnsi="宋体" w:cs="宋体"/>
          <w:color w:val="auto"/>
          <w:kern w:val="0"/>
          <w:szCs w:val="24"/>
          <w:highlight w:val="none"/>
        </w:rPr>
        <w:t>必须运用计算机管理所有档案，并按档案管理的要求，将物业管理服务的有关资料分类管理，要求做到保存完整、管理完善、交接手续完备、检索方便准确。</w:t>
      </w:r>
      <w:r>
        <w:rPr>
          <w:rFonts w:hint="eastAsia" w:ascii="宋体" w:hAnsi="宋体" w:cs="宋体"/>
          <w:color w:val="auto"/>
          <w:szCs w:val="24"/>
          <w:highlight w:val="none"/>
        </w:rPr>
        <w:t>③</w:t>
      </w:r>
      <w:r>
        <w:rPr>
          <w:rFonts w:hint="eastAsia" w:ascii="宋体" w:hAnsi="宋体" w:cs="宋体"/>
          <w:color w:val="auto"/>
          <w:kern w:val="0"/>
          <w:szCs w:val="24"/>
          <w:highlight w:val="none"/>
        </w:rPr>
        <w:t>收集、保管好有关办公楼（区）物业管理的政策、法规、章程等资料以及物业相关的图纸、数据等资料。管理相关的工程图纸、档案与竣工验收资料等。</w:t>
      </w:r>
    </w:p>
    <w:p w14:paraId="4157C050">
      <w:pPr>
        <w:spacing w:line="360" w:lineRule="auto"/>
        <w:ind w:firstLine="482" w:firstLineChars="200"/>
        <w:rPr>
          <w:rFonts w:ascii="宋体" w:hAnsi="宋体" w:cs="宋体"/>
          <w:color w:val="auto"/>
          <w:kern w:val="0"/>
          <w:szCs w:val="24"/>
          <w:highlight w:val="none"/>
        </w:rPr>
      </w:pPr>
      <w:r>
        <w:rPr>
          <w:rFonts w:hint="eastAsia" w:ascii="宋体" w:hAnsi="宋体" w:cs="宋体"/>
          <w:b/>
          <w:bCs/>
          <w:color w:val="auto"/>
          <w:kern w:val="0"/>
          <w:szCs w:val="24"/>
          <w:highlight w:val="none"/>
        </w:rPr>
        <w:t>会务管理服务标准：</w:t>
      </w:r>
      <w:r>
        <w:rPr>
          <w:rFonts w:hint="eastAsia" w:ascii="宋体" w:hAnsi="宋体" w:cs="宋体"/>
          <w:color w:val="auto"/>
          <w:szCs w:val="24"/>
          <w:highlight w:val="none"/>
        </w:rPr>
        <w:t>①</w:t>
      </w:r>
      <w:r>
        <w:rPr>
          <w:rFonts w:hint="eastAsia" w:ascii="宋体" w:hAnsi="宋体" w:cs="宋体"/>
          <w:color w:val="auto"/>
          <w:kern w:val="0"/>
          <w:szCs w:val="24"/>
          <w:highlight w:val="none"/>
        </w:rPr>
        <w:t>会务服务人员必须严格遵守保密制度。</w:t>
      </w:r>
      <w:r>
        <w:rPr>
          <w:rFonts w:hint="eastAsia" w:ascii="宋体" w:hAnsi="宋体" w:cs="宋体"/>
          <w:color w:val="auto"/>
          <w:szCs w:val="24"/>
          <w:highlight w:val="none"/>
        </w:rPr>
        <w:t>②</w:t>
      </w:r>
      <w:r>
        <w:rPr>
          <w:rFonts w:hint="eastAsia" w:ascii="宋体" w:hAnsi="宋体" w:cs="宋体"/>
          <w:color w:val="auto"/>
          <w:kern w:val="0"/>
          <w:szCs w:val="24"/>
          <w:highlight w:val="none"/>
        </w:rPr>
        <w:t>到岗后首先根据需要打开灯光、调节好空调温度，检查卫生是否干净到位。每天清洗消毒领导办公室茶具，及时整理领导办公室的书、报、杂志、及日用品，摆放有序、整齐。</w:t>
      </w:r>
      <w:r>
        <w:rPr>
          <w:rFonts w:hint="eastAsia" w:ascii="宋体" w:hAnsi="宋体" w:cs="宋体"/>
          <w:color w:val="auto"/>
          <w:szCs w:val="24"/>
          <w:highlight w:val="none"/>
        </w:rPr>
        <w:t>③做好引导服务，</w:t>
      </w:r>
      <w:r>
        <w:rPr>
          <w:rFonts w:hint="eastAsia" w:ascii="宋体" w:hAnsi="宋体" w:cs="宋体"/>
          <w:color w:val="auto"/>
          <w:kern w:val="0"/>
          <w:szCs w:val="24"/>
          <w:highlight w:val="none"/>
        </w:rPr>
        <w:t>服务人员热情礼貌，客人来访能笑容可掬，引导接待并及时递上茶水，取得来访者好评。及时了解会议时间、地点、人数，根据通知单的要求调试好会议设备，提前十分钟站在会议室门口迎接参会人员，同时准备好座位和茶水，确保会议顺利进行。</w:t>
      </w:r>
      <w:r>
        <w:rPr>
          <w:rFonts w:hint="eastAsia" w:ascii="宋体" w:hAnsi="宋体" w:cs="宋体"/>
          <w:color w:val="auto"/>
          <w:szCs w:val="24"/>
          <w:highlight w:val="none"/>
        </w:rPr>
        <w:t>④</w:t>
      </w:r>
      <w:r>
        <w:rPr>
          <w:rFonts w:hint="eastAsia" w:ascii="宋体" w:hAnsi="宋体" w:cs="宋体"/>
          <w:color w:val="auto"/>
          <w:kern w:val="0"/>
          <w:szCs w:val="24"/>
          <w:highlight w:val="none"/>
        </w:rPr>
        <w:t>与会人员入场后，服务人员应倒好茶水，会议期间夏天 20 分钟（冬天 30 分钟）加一次水，服务中要做到三轻（走路轻、说话轻、动作轻）。⑤会议结束后，服务员应将会议室收拾干净，包括桌椅摆放整齐，茶杯、烟灰缸冲洗消毒干净，切断电源、关闭门窗。</w:t>
      </w:r>
    </w:p>
    <w:p w14:paraId="2D6CCFB3">
      <w:pPr>
        <w:snapToGrid w:val="0"/>
        <w:spacing w:line="360" w:lineRule="auto"/>
        <w:ind w:firstLine="482" w:firstLineChars="200"/>
        <w:rPr>
          <w:color w:val="auto"/>
          <w:szCs w:val="24"/>
          <w:highlight w:val="none"/>
        </w:rPr>
      </w:pPr>
      <w:r>
        <w:rPr>
          <w:rFonts w:hint="eastAsia" w:ascii="宋体" w:hAnsi="宋体" w:cs="宋体"/>
          <w:b/>
          <w:bCs/>
          <w:color w:val="auto"/>
          <w:kern w:val="0"/>
          <w:szCs w:val="24"/>
          <w:highlight w:val="none"/>
        </w:rPr>
        <w:t>客服管理服务标准：</w:t>
      </w:r>
      <w:r>
        <w:rPr>
          <w:rFonts w:hint="eastAsia" w:ascii="宋体" w:hAnsi="宋体" w:cs="宋体"/>
          <w:color w:val="auto"/>
          <w:szCs w:val="24"/>
          <w:highlight w:val="none"/>
        </w:rPr>
        <w:t>①人员统一着装，仪容整洁，举止文明</w:t>
      </w:r>
      <w:r>
        <w:rPr>
          <w:rFonts w:hint="eastAsia" w:ascii="宋体" w:hAnsi="宋体" w:cs="宋体"/>
          <w:color w:val="auto"/>
          <w:kern w:val="0"/>
          <w:szCs w:val="24"/>
          <w:highlight w:val="none"/>
        </w:rPr>
        <w:t>，精神饱满，真诚微笑。在规定场合应站立服务，对宾客主动热情，和蔼可亲，规范文明用语。</w:t>
      </w:r>
      <w:r>
        <w:rPr>
          <w:rFonts w:hint="eastAsia" w:ascii="宋体" w:hAnsi="宋体" w:cs="宋体"/>
          <w:color w:val="auto"/>
          <w:szCs w:val="24"/>
          <w:highlight w:val="none"/>
        </w:rPr>
        <w:t>②</w:t>
      </w:r>
      <w:r>
        <w:rPr>
          <w:rFonts w:hint="eastAsia" w:ascii="宋体" w:hAnsi="宋体" w:cs="宋体"/>
          <w:color w:val="auto"/>
          <w:kern w:val="0"/>
          <w:szCs w:val="24"/>
          <w:highlight w:val="none"/>
        </w:rPr>
        <w:t>严格遵守宾客至上，服务第一岗位职责，坐如钟，站如松，彬彬有礼，微笑服务，有问必答。</w:t>
      </w:r>
      <w:r>
        <w:rPr>
          <w:rFonts w:hint="eastAsia" w:ascii="宋体" w:hAnsi="宋体" w:cs="宋体"/>
          <w:color w:val="auto"/>
          <w:szCs w:val="24"/>
          <w:highlight w:val="none"/>
        </w:rPr>
        <w:t>③</w:t>
      </w:r>
      <w:r>
        <w:rPr>
          <w:rFonts w:hint="eastAsia" w:ascii="宋体" w:hAnsi="宋体" w:cs="宋体"/>
          <w:color w:val="auto"/>
          <w:kern w:val="0"/>
          <w:szCs w:val="24"/>
          <w:highlight w:val="none"/>
        </w:rPr>
        <w:t>处理客户投诉，做好投诉后的客户回访工作；主动致电客户，做好主动性专业指导服务及客户关系维护。</w:t>
      </w:r>
      <w:r>
        <w:rPr>
          <w:rFonts w:hint="eastAsia" w:ascii="宋体" w:hAnsi="宋体" w:cs="宋体"/>
          <w:color w:val="auto"/>
          <w:szCs w:val="24"/>
          <w:highlight w:val="none"/>
        </w:rPr>
        <w:t>④</w:t>
      </w:r>
      <w:r>
        <w:rPr>
          <w:rFonts w:hint="eastAsia"/>
          <w:color w:val="auto"/>
          <w:szCs w:val="24"/>
          <w:highlight w:val="none"/>
        </w:rPr>
        <w:t>对邮件、包裹和挂号信等进行正确分理、安全检查和防疫卫生检查，及时投送或通知收件人领取。</w:t>
      </w:r>
    </w:p>
    <w:p w14:paraId="106D99D5">
      <w:pPr>
        <w:snapToGrid w:val="0"/>
        <w:spacing w:line="360" w:lineRule="auto"/>
        <w:ind w:firstLine="482" w:firstLineChars="200"/>
        <w:rPr>
          <w:color w:val="auto"/>
          <w:szCs w:val="24"/>
          <w:highlight w:val="none"/>
        </w:rPr>
      </w:pPr>
      <w:r>
        <w:rPr>
          <w:rFonts w:hint="eastAsia" w:hAnsi="宋体" w:cs="宋体"/>
          <w:b/>
          <w:bCs/>
          <w:color w:val="auto"/>
          <w:kern w:val="0"/>
          <w:szCs w:val="24"/>
          <w:highlight w:val="none"/>
        </w:rPr>
        <w:t>重大活动后勤保障服务标准：</w:t>
      </w:r>
      <w:r>
        <w:rPr>
          <w:rFonts w:hint="eastAsia"/>
          <w:color w:val="auto"/>
          <w:szCs w:val="24"/>
          <w:highlight w:val="none"/>
        </w:rPr>
        <w:t>重大活动保障服务时间为24小时。</w:t>
      </w:r>
      <w:r>
        <w:rPr>
          <w:rFonts w:hint="eastAsia" w:ascii="宋体" w:hAnsi="宋体" w:cs="宋体"/>
          <w:color w:val="auto"/>
          <w:szCs w:val="24"/>
          <w:highlight w:val="none"/>
        </w:rPr>
        <w:t>①</w:t>
      </w:r>
      <w:r>
        <w:rPr>
          <w:rFonts w:hint="eastAsia"/>
          <w:color w:val="auto"/>
          <w:szCs w:val="24"/>
          <w:highlight w:val="none"/>
        </w:rPr>
        <w:t>制订流程。配合采购人制订重大活动后勤保障工作流程，需对任务进行详细了解，并根据工作安排制定详细的后勤保障计划。</w:t>
      </w:r>
      <w:r>
        <w:rPr>
          <w:rFonts w:hint="eastAsia" w:ascii="宋体" w:hAnsi="宋体" w:cs="宋体"/>
          <w:color w:val="auto"/>
          <w:szCs w:val="24"/>
          <w:highlight w:val="none"/>
        </w:rPr>
        <w:t>②</w:t>
      </w:r>
      <w:r>
        <w:rPr>
          <w:rFonts w:hint="eastAsia"/>
          <w:color w:val="auto"/>
          <w:szCs w:val="24"/>
          <w:highlight w:val="none"/>
        </w:rPr>
        <w:t>实施保障。按计划在关键区域和重点部位进行部署，确保任务顺利进行，对活动区域进行全面安全检查，发现并排除安全隐患，对车辆进行有序引导和管理，确保交通安全畅通，以礼貌、专业的态度对待来宾，展现良好形象。</w:t>
      </w:r>
    </w:p>
    <w:p w14:paraId="45265F8D">
      <w:pPr>
        <w:snapToGrid w:val="0"/>
        <w:spacing w:line="360" w:lineRule="auto"/>
        <w:ind w:firstLine="0" w:firstLineChars="0"/>
        <w:rPr>
          <w:color w:val="auto"/>
          <w:szCs w:val="24"/>
          <w:highlight w:val="none"/>
        </w:rPr>
      </w:pPr>
      <w:r>
        <w:rPr>
          <w:rFonts w:hint="eastAsia" w:ascii="宋体" w:hAnsi="宋体" w:cs="宋体"/>
          <w:color w:val="auto"/>
          <w:szCs w:val="24"/>
          <w:highlight w:val="none"/>
        </w:rPr>
        <w:t>③</w:t>
      </w:r>
      <w:r>
        <w:rPr>
          <w:rFonts w:hint="eastAsia"/>
          <w:color w:val="auto"/>
          <w:szCs w:val="24"/>
          <w:highlight w:val="none"/>
        </w:rPr>
        <w:t>收尾工作。对现场进行检查，做好清理工作。</w:t>
      </w:r>
    </w:p>
    <w:p w14:paraId="74F44367">
      <w:pPr>
        <w:pStyle w:val="15"/>
        <w:snapToGrid w:val="0"/>
        <w:spacing w:line="360" w:lineRule="auto"/>
        <w:ind w:firstLine="480" w:firstLineChars="200"/>
        <w:rPr>
          <w:color w:val="auto"/>
          <w:szCs w:val="24"/>
          <w:highlight w:val="none"/>
        </w:rPr>
      </w:pPr>
      <w:r>
        <w:rPr>
          <w:rFonts w:hint="eastAsia" w:ascii="宋体" w:hAnsi="宋体" w:cs="宋体"/>
          <w:color w:val="auto"/>
          <w:szCs w:val="24"/>
          <w:highlight w:val="none"/>
        </w:rPr>
        <w:t>3.1</w:t>
      </w:r>
      <w:r>
        <w:rPr>
          <w:rFonts w:hint="eastAsia" w:ascii="宋体" w:hAnsi="宋体" w:cs="宋体"/>
          <w:color w:val="auto"/>
          <w:szCs w:val="24"/>
          <w:highlight w:val="none"/>
          <w:lang w:val="en-US" w:eastAsia="zh-CN"/>
        </w:rPr>
        <w:t>2</w:t>
      </w:r>
      <w:r>
        <w:rPr>
          <w:rFonts w:hint="eastAsia" w:ascii="宋体" w:hAnsi="宋体" w:cs="宋体"/>
          <w:color w:val="auto"/>
          <w:szCs w:val="24"/>
          <w:highlight w:val="none"/>
        </w:rPr>
        <w:t>.3补充说明：①为保障项目平顺性及一致性，项目负责人原则上固定不换，如乙方更换项目主要管理人员，需经甲方严格审核后方可使用，原则上服务期内不能更换项目负责人，调整项目负责人应征得甲方书面同意。②保持人员相对稳定，调整除项目经理外的其他管理人员应及时通知甲方并办理备案手续。③物业公司现场用工人员数量应满足甲方物业需求，各部门人员分工明确，责任到人，如有调整，应当出具书面文件向甲方报备。</w:t>
      </w:r>
    </w:p>
    <w:p w14:paraId="3CDAB5E8">
      <w:pPr>
        <w:snapToGrid w:val="0"/>
        <w:spacing w:line="360" w:lineRule="auto"/>
        <w:ind w:firstLine="482" w:firstLineChars="200"/>
        <w:rPr>
          <w:b/>
          <w:bCs/>
          <w:color w:val="auto"/>
          <w:szCs w:val="24"/>
          <w:highlight w:val="none"/>
        </w:rPr>
      </w:pPr>
      <w:r>
        <w:rPr>
          <w:b/>
          <w:bCs/>
          <w:color w:val="auto"/>
          <w:szCs w:val="24"/>
          <w:highlight w:val="none"/>
        </w:rPr>
        <w:t>3.1</w:t>
      </w:r>
      <w:r>
        <w:rPr>
          <w:rFonts w:hint="eastAsia"/>
          <w:b/>
          <w:bCs/>
          <w:color w:val="auto"/>
          <w:szCs w:val="24"/>
          <w:highlight w:val="none"/>
          <w:lang w:val="en-US" w:eastAsia="zh-CN"/>
        </w:rPr>
        <w:t>3</w:t>
      </w:r>
      <w:r>
        <w:rPr>
          <w:rFonts w:hint="eastAsia"/>
          <w:b/>
          <w:bCs/>
          <w:color w:val="auto"/>
          <w:szCs w:val="24"/>
          <w:highlight w:val="none"/>
        </w:rPr>
        <w:t>应急保障预案</w:t>
      </w:r>
    </w:p>
    <w:p w14:paraId="6D9B61B6">
      <w:pPr>
        <w:snapToGrid w:val="0"/>
        <w:spacing w:line="360" w:lineRule="auto"/>
        <w:ind w:firstLine="482" w:firstLineChars="200"/>
        <w:rPr>
          <w:color w:val="auto"/>
          <w:szCs w:val="24"/>
          <w:highlight w:val="none"/>
        </w:rPr>
      </w:pPr>
      <w:r>
        <w:rPr>
          <w:b/>
          <w:bCs/>
          <w:color w:val="auto"/>
          <w:szCs w:val="24"/>
          <w:highlight w:val="none"/>
        </w:rPr>
        <w:t>3.1</w:t>
      </w:r>
      <w:r>
        <w:rPr>
          <w:rFonts w:hint="eastAsia"/>
          <w:b/>
          <w:bCs/>
          <w:color w:val="auto"/>
          <w:szCs w:val="24"/>
          <w:highlight w:val="none"/>
          <w:lang w:val="en-US" w:eastAsia="zh-CN"/>
        </w:rPr>
        <w:t>3</w:t>
      </w:r>
      <w:r>
        <w:rPr>
          <w:b/>
          <w:bCs/>
          <w:color w:val="auto"/>
          <w:szCs w:val="24"/>
          <w:highlight w:val="none"/>
        </w:rPr>
        <w:t>.1</w:t>
      </w:r>
      <w:r>
        <w:rPr>
          <w:rFonts w:hint="eastAsia"/>
          <w:b/>
          <w:bCs/>
          <w:color w:val="auto"/>
          <w:szCs w:val="24"/>
          <w:highlight w:val="none"/>
        </w:rPr>
        <w:t>服务内容：</w:t>
      </w:r>
      <w:r>
        <w:rPr>
          <w:rFonts w:hint="eastAsia" w:ascii="宋体" w:hAnsi="宋体" w:cs="宋体"/>
          <w:color w:val="auto"/>
          <w:szCs w:val="24"/>
          <w:highlight w:val="none"/>
        </w:rPr>
        <w:t>①对楼内</w:t>
      </w:r>
      <w:r>
        <w:rPr>
          <w:rFonts w:hint="eastAsia"/>
          <w:color w:val="auto"/>
          <w:szCs w:val="24"/>
          <w:highlight w:val="none"/>
        </w:rPr>
        <w:t>重点区域及安全隐患排查。</w:t>
      </w:r>
      <w:r>
        <w:rPr>
          <w:rFonts w:hint="eastAsia" w:ascii="宋体" w:hAnsi="宋体" w:cs="宋体"/>
          <w:color w:val="auto"/>
          <w:szCs w:val="24"/>
          <w:highlight w:val="none"/>
        </w:rPr>
        <w:t>②</w:t>
      </w:r>
      <w:r>
        <w:rPr>
          <w:rFonts w:hint="eastAsia"/>
          <w:color w:val="auto"/>
          <w:szCs w:val="24"/>
          <w:highlight w:val="none"/>
        </w:rPr>
        <w:t>根据机房综合楼隐患排查的结果和实际情况，制定专项应急预案。</w:t>
      </w:r>
      <w:r>
        <w:rPr>
          <w:rFonts w:hint="eastAsia" w:ascii="宋体" w:hAnsi="宋体" w:cs="宋体"/>
          <w:color w:val="auto"/>
          <w:szCs w:val="24"/>
          <w:highlight w:val="none"/>
        </w:rPr>
        <w:t>③组织开展</w:t>
      </w:r>
      <w:r>
        <w:rPr>
          <w:rFonts w:hint="eastAsia"/>
          <w:color w:val="auto"/>
          <w:szCs w:val="24"/>
          <w:highlight w:val="none"/>
        </w:rPr>
        <w:t>应急预案的培训和演练。</w:t>
      </w:r>
      <w:r>
        <w:rPr>
          <w:rFonts w:hint="eastAsia" w:ascii="宋体" w:hAnsi="宋体" w:cs="宋体"/>
          <w:color w:val="auto"/>
          <w:szCs w:val="24"/>
          <w:highlight w:val="none"/>
        </w:rPr>
        <w:t>④</w:t>
      </w:r>
      <w:r>
        <w:rPr>
          <w:rFonts w:hint="eastAsia"/>
          <w:color w:val="auto"/>
          <w:szCs w:val="24"/>
          <w:highlight w:val="none"/>
        </w:rPr>
        <w:t>应急物资的使用管理。</w:t>
      </w:r>
    </w:p>
    <w:p w14:paraId="4C059FF4">
      <w:pPr>
        <w:snapToGrid w:val="0"/>
        <w:spacing w:line="360" w:lineRule="auto"/>
        <w:ind w:firstLine="482" w:firstLineChars="200"/>
        <w:rPr>
          <w:color w:val="auto"/>
          <w:highlight w:val="none"/>
        </w:rPr>
      </w:pPr>
      <w:r>
        <w:rPr>
          <w:b/>
          <w:bCs/>
          <w:color w:val="auto"/>
          <w:szCs w:val="24"/>
          <w:highlight w:val="none"/>
        </w:rPr>
        <w:t>3.1</w:t>
      </w:r>
      <w:r>
        <w:rPr>
          <w:rFonts w:hint="eastAsia"/>
          <w:b/>
          <w:bCs/>
          <w:color w:val="auto"/>
          <w:szCs w:val="24"/>
          <w:highlight w:val="none"/>
          <w:lang w:val="en-US" w:eastAsia="zh-CN"/>
        </w:rPr>
        <w:t>3</w:t>
      </w:r>
      <w:r>
        <w:rPr>
          <w:b/>
          <w:bCs/>
          <w:color w:val="auto"/>
          <w:szCs w:val="24"/>
          <w:highlight w:val="none"/>
        </w:rPr>
        <w:t>.2</w:t>
      </w:r>
      <w:r>
        <w:rPr>
          <w:rFonts w:hint="eastAsia"/>
          <w:b/>
          <w:bCs/>
          <w:color w:val="auto"/>
          <w:szCs w:val="24"/>
          <w:highlight w:val="none"/>
        </w:rPr>
        <w:t>服务标准：</w:t>
      </w:r>
      <w:r>
        <w:rPr>
          <w:rFonts w:hint="eastAsia" w:ascii="宋体" w:hAnsi="宋体" w:cs="宋体"/>
          <w:color w:val="auto"/>
          <w:szCs w:val="24"/>
          <w:highlight w:val="none"/>
        </w:rPr>
        <w:t>①</w:t>
      </w:r>
      <w:r>
        <w:rPr>
          <w:rFonts w:hint="eastAsia"/>
          <w:color w:val="auto"/>
          <w:szCs w:val="24"/>
          <w:highlight w:val="none"/>
        </w:rPr>
        <w:t>结合项目的实际情况，对重点部位及危险隐患进行排查，并建立清单/台账；应当对危险隐患进行风险分析，制定相应措施进行控制或整改并定期监控；随着设施设备、服务内容的变化，及时更新清单/台账，使风险隐患始终处于受控状态。</w:t>
      </w:r>
      <w:r>
        <w:rPr>
          <w:rFonts w:hint="eastAsia" w:ascii="宋体" w:hAnsi="宋体" w:cs="宋体"/>
          <w:color w:val="auto"/>
          <w:szCs w:val="24"/>
          <w:highlight w:val="none"/>
        </w:rPr>
        <w:t>②</w:t>
      </w:r>
      <w:r>
        <w:rPr>
          <w:rFonts w:hint="eastAsia"/>
          <w:color w:val="auto"/>
          <w:szCs w:val="24"/>
          <w:highlight w:val="none"/>
        </w:rPr>
        <w:t>制定专项预案，包括但不限于：火情火警紧急处理应急预案、紧急疏散应急预案、停水停电应急预案、有限空间救援应急预案、高空作业救援应急预案、恶劣天气应对应急预案等。建立反恐防恐防爆等安保工作方案和应急预案，定期做好应急演练，如防冲撞、防暴反恐、防上访静坐拉横幅等。</w:t>
      </w:r>
      <w:r>
        <w:rPr>
          <w:rFonts w:hint="eastAsia" w:ascii="宋体" w:hAnsi="宋体" w:cs="宋体"/>
          <w:color w:val="auto"/>
          <w:szCs w:val="24"/>
          <w:highlight w:val="none"/>
        </w:rPr>
        <w:t>③</w:t>
      </w:r>
      <w:r>
        <w:rPr>
          <w:rFonts w:hint="eastAsia"/>
          <w:color w:val="auto"/>
          <w:szCs w:val="24"/>
          <w:highlight w:val="none"/>
        </w:rPr>
        <w:t>组织相关岗位每半年至少开展一次专项应急预案演练；留存培训及演练记录和影像资料，并对预案进行评价，确保与实际情况相结合。</w:t>
      </w:r>
      <w:r>
        <w:rPr>
          <w:rFonts w:hint="eastAsia" w:ascii="宋体" w:hAnsi="宋体" w:cs="宋体"/>
          <w:color w:val="auto"/>
          <w:szCs w:val="24"/>
          <w:highlight w:val="none"/>
        </w:rPr>
        <w:t>④</w:t>
      </w:r>
      <w:r>
        <w:rPr>
          <w:rFonts w:hint="eastAsia"/>
          <w:color w:val="auto"/>
          <w:szCs w:val="24"/>
          <w:highlight w:val="none"/>
        </w:rPr>
        <w:t>根据专项预案中的应对需要、必要的应急物资，建立清单或台账，并由专人定期对应急物资进行检查，如有应急物资不足，及时通知采购人购置齐全，确保能够随时正常使用。</w:t>
      </w:r>
    </w:p>
    <w:p w14:paraId="2073BA6E">
      <w:pPr>
        <w:pStyle w:val="15"/>
        <w:spacing w:line="360" w:lineRule="auto"/>
        <w:ind w:firstLine="482" w:firstLineChars="200"/>
        <w:rPr>
          <w:rFonts w:ascii="宋体" w:hAnsi="宋体" w:cs="宋体"/>
          <w:b/>
          <w:bCs/>
          <w:color w:val="auto"/>
          <w:szCs w:val="24"/>
          <w:highlight w:val="none"/>
        </w:rPr>
      </w:pPr>
      <w:r>
        <w:rPr>
          <w:rFonts w:hint="eastAsia" w:ascii="宋体" w:hAnsi="宋体" w:cs="宋体"/>
          <w:b/>
          <w:bCs/>
          <w:color w:val="auto"/>
          <w:szCs w:val="24"/>
          <w:highlight w:val="none"/>
        </w:rPr>
        <w:t>4.考评管理办法</w:t>
      </w:r>
    </w:p>
    <w:p w14:paraId="3F35EED1">
      <w:pPr>
        <w:pStyle w:val="15"/>
        <w:spacing w:line="360" w:lineRule="auto"/>
        <w:ind w:firstLine="480" w:firstLineChars="200"/>
        <w:rPr>
          <w:rFonts w:ascii="宋体" w:hAnsi="宋体" w:cs="宋体"/>
          <w:color w:val="auto"/>
          <w:szCs w:val="24"/>
          <w:highlight w:val="none"/>
        </w:rPr>
      </w:pPr>
      <w:r>
        <w:rPr>
          <w:rFonts w:hint="eastAsia" w:ascii="宋体" w:hAnsi="宋体" w:cs="宋体"/>
          <w:color w:val="auto"/>
          <w:szCs w:val="24"/>
          <w:highlight w:val="none"/>
        </w:rPr>
        <w:t>4.1评估内容。（1）日常检查督导情况。由采购人进行日常检查并评估。（2）满意度调查。采购人每月组织满意度调查，征求同事意见建议。（3）其他形式收集到的意见情况。</w:t>
      </w:r>
    </w:p>
    <w:p w14:paraId="15180282">
      <w:pPr>
        <w:pStyle w:val="15"/>
        <w:spacing w:line="360" w:lineRule="auto"/>
        <w:ind w:firstLine="480" w:firstLineChars="200"/>
        <w:rPr>
          <w:rFonts w:ascii="宋体" w:hAnsi="宋体" w:cs="宋体"/>
          <w:color w:val="auto"/>
          <w:szCs w:val="24"/>
          <w:highlight w:val="none"/>
        </w:rPr>
      </w:pPr>
      <w:r>
        <w:rPr>
          <w:rFonts w:hint="eastAsia" w:ascii="宋体" w:hAnsi="宋体" w:cs="宋体"/>
          <w:color w:val="auto"/>
          <w:szCs w:val="24"/>
          <w:highlight w:val="none"/>
        </w:rPr>
        <w:t>4.2评估权重。考评总分为100分，日常工作监督占40分，采购人满意度占40分，其他形式收集到的意见占20分。</w:t>
      </w:r>
    </w:p>
    <w:p w14:paraId="3B676B2A">
      <w:pPr>
        <w:spacing w:line="360" w:lineRule="auto"/>
        <w:ind w:firstLine="480" w:firstLineChars="200"/>
        <w:rPr>
          <w:rFonts w:ascii="宋体" w:hAnsi="宋体" w:cs="宋体"/>
          <w:color w:val="auto"/>
          <w:szCs w:val="24"/>
          <w:highlight w:val="none"/>
        </w:rPr>
      </w:pPr>
      <w:r>
        <w:rPr>
          <w:rFonts w:hint="eastAsia" w:ascii="宋体" w:hAnsi="宋体" w:cs="宋体"/>
          <w:color w:val="auto"/>
          <w:szCs w:val="24"/>
          <w:highlight w:val="none"/>
        </w:rPr>
        <w:t>4.3计分办法。（1）日常工作监督检查。由甲方物业管理部门管理人员和负责人每月进行物业服务月度考核打分。（2）满意度测评。每月组织满意度测评，反馈结果出现基本满意每次扣0.1分，出现不满意的意见扣0.5分/次。（3）其他形式收集到的意见情况。通过意见单、意见本或业主口头反馈收到的批评性意见，经认定合理的，扣除0.5分/次。（4）</w:t>
      </w:r>
      <w:r>
        <w:rPr>
          <w:rFonts w:hint="eastAsia" w:ascii="宋体" w:hAnsi="宋体" w:cs="宋体"/>
          <w:color w:val="auto"/>
          <w:kern w:val="10"/>
          <w:szCs w:val="24"/>
          <w:highlight w:val="none"/>
        </w:rPr>
        <w:t>月度考核成绩= 日常评分*40%+月底满意度评分*40%+</w:t>
      </w:r>
      <w:r>
        <w:rPr>
          <w:rFonts w:hint="eastAsia" w:ascii="宋体" w:hAnsi="宋体" w:cs="宋体"/>
          <w:color w:val="auto"/>
          <w:szCs w:val="24"/>
          <w:highlight w:val="none"/>
        </w:rPr>
        <w:t>其他形式收集到的意见评分</w:t>
      </w:r>
      <w:r>
        <w:rPr>
          <w:rFonts w:hint="eastAsia" w:ascii="宋体" w:hAnsi="宋体" w:cs="宋体"/>
          <w:color w:val="auto"/>
          <w:kern w:val="10"/>
          <w:szCs w:val="24"/>
          <w:highlight w:val="none"/>
        </w:rPr>
        <w:t>*</w:t>
      </w:r>
      <w:r>
        <w:rPr>
          <w:rFonts w:hint="eastAsia" w:ascii="宋体" w:hAnsi="宋体" w:cs="宋体"/>
          <w:color w:val="auto"/>
          <w:szCs w:val="24"/>
          <w:highlight w:val="none"/>
        </w:rPr>
        <w:t>20%</w:t>
      </w:r>
      <w:r>
        <w:rPr>
          <w:rFonts w:hint="eastAsia" w:ascii="宋体" w:hAnsi="宋体" w:cs="宋体"/>
          <w:color w:val="auto"/>
          <w:kern w:val="10"/>
          <w:szCs w:val="24"/>
          <w:highlight w:val="none"/>
        </w:rPr>
        <w:t>；</w:t>
      </w:r>
      <w:r>
        <w:rPr>
          <w:rFonts w:hint="eastAsia" w:ascii="宋体" w:hAnsi="宋体" w:cs="宋体"/>
          <w:color w:val="auto"/>
          <w:kern w:val="10"/>
          <w:szCs w:val="24"/>
          <w:highlight w:val="none"/>
          <w:lang w:eastAsia="zh-CN"/>
        </w:rPr>
        <w:t>季度</w:t>
      </w:r>
      <w:r>
        <w:rPr>
          <w:rFonts w:hint="eastAsia" w:ascii="宋体" w:hAnsi="宋体" w:cs="宋体"/>
          <w:color w:val="auto"/>
          <w:kern w:val="10"/>
          <w:szCs w:val="24"/>
          <w:highlight w:val="none"/>
        </w:rPr>
        <w:t>考核成绩= 3个月的月度考核平均成绩。</w:t>
      </w:r>
    </w:p>
    <w:p w14:paraId="6C90E03E">
      <w:pPr>
        <w:pStyle w:val="15"/>
        <w:spacing w:line="360" w:lineRule="auto"/>
        <w:ind w:firstLine="480" w:firstLineChars="200"/>
        <w:rPr>
          <w:rFonts w:ascii="宋体" w:hAnsi="宋体" w:cs="宋体"/>
          <w:color w:val="auto"/>
          <w:kern w:val="10"/>
          <w:szCs w:val="24"/>
          <w:highlight w:val="none"/>
        </w:rPr>
      </w:pPr>
      <w:r>
        <w:rPr>
          <w:rFonts w:hint="eastAsia" w:ascii="宋体" w:hAnsi="宋体" w:cs="宋体"/>
          <w:color w:val="auto"/>
          <w:szCs w:val="24"/>
          <w:highlight w:val="none"/>
        </w:rPr>
        <w:t>4.4评估结果及运用。（1）成绩评定。采购人根据“计分办法”计算得分值，拟制《评估报告》，提出季度评估建议，报领导审定后确定。（2）结果运用。服务费将按季度支付，</w:t>
      </w:r>
      <w:r>
        <w:rPr>
          <w:rFonts w:hint="eastAsia" w:ascii="宋体" w:hAnsi="宋体" w:cs="宋体"/>
          <w:color w:val="auto"/>
          <w:szCs w:val="24"/>
          <w:highlight w:val="none"/>
          <w:lang w:eastAsia="zh-CN"/>
        </w:rPr>
        <w:t>季度</w:t>
      </w:r>
      <w:r>
        <w:rPr>
          <w:rFonts w:hint="eastAsia" w:ascii="宋体" w:hAnsi="宋体" w:cs="宋体"/>
          <w:color w:val="auto"/>
          <w:szCs w:val="24"/>
          <w:highlight w:val="none"/>
        </w:rPr>
        <w:t>评估结果90分以上（含90分）为“优秀”，按季度金额的100%支付服务费用；</w:t>
      </w:r>
      <w:r>
        <w:rPr>
          <w:rFonts w:hint="eastAsia" w:ascii="宋体" w:hAnsi="宋体" w:cs="宋体"/>
          <w:color w:val="auto"/>
          <w:szCs w:val="24"/>
          <w:highlight w:val="none"/>
          <w:lang w:eastAsia="zh-CN"/>
        </w:rPr>
        <w:t>季度</w:t>
      </w:r>
      <w:r>
        <w:rPr>
          <w:rFonts w:hint="eastAsia" w:ascii="宋体" w:hAnsi="宋体" w:cs="宋体"/>
          <w:color w:val="auto"/>
          <w:szCs w:val="24"/>
          <w:highlight w:val="none"/>
        </w:rPr>
        <w:t>评估结果85-90分（含85分）为“良好”，按季度金额的95%支付服务费用；</w:t>
      </w:r>
      <w:r>
        <w:rPr>
          <w:rFonts w:hint="eastAsia" w:ascii="宋体" w:hAnsi="宋体" w:cs="宋体"/>
          <w:color w:val="auto"/>
          <w:szCs w:val="24"/>
          <w:highlight w:val="none"/>
          <w:lang w:eastAsia="zh-CN"/>
        </w:rPr>
        <w:t>季度</w:t>
      </w:r>
      <w:r>
        <w:rPr>
          <w:rFonts w:hint="eastAsia" w:ascii="宋体" w:hAnsi="宋体" w:cs="宋体"/>
          <w:color w:val="auto"/>
          <w:szCs w:val="24"/>
          <w:highlight w:val="none"/>
        </w:rPr>
        <w:t>评估结果80-85分（含80分）为合格，按季度金额的90%支付服务费用；</w:t>
      </w:r>
      <w:r>
        <w:rPr>
          <w:rFonts w:hint="eastAsia" w:ascii="宋体" w:hAnsi="宋体" w:cs="宋体"/>
          <w:color w:val="auto"/>
          <w:szCs w:val="24"/>
          <w:highlight w:val="none"/>
          <w:lang w:eastAsia="zh-CN"/>
        </w:rPr>
        <w:t>季度</w:t>
      </w:r>
      <w:r>
        <w:rPr>
          <w:rFonts w:hint="eastAsia" w:ascii="宋体" w:hAnsi="宋体" w:cs="宋体"/>
          <w:color w:val="auto"/>
          <w:szCs w:val="24"/>
          <w:highlight w:val="none"/>
        </w:rPr>
        <w:t>评估结果80分以下为不合格，按季度金额的80%支付季度服务费用（日常管理中发生的扣款金额与季度考评的扣款不能相互抵扣），甲方根据情节严重性可终止合同；</w:t>
      </w:r>
      <w:r>
        <w:rPr>
          <w:rFonts w:hint="eastAsia" w:ascii="宋体" w:hAnsi="宋体" w:cs="宋体"/>
          <w:color w:val="auto"/>
          <w:kern w:val="10"/>
          <w:szCs w:val="24"/>
          <w:highlight w:val="none"/>
        </w:rPr>
        <w:t xml:space="preserve">连续三个月月度考核成绩为不合格，甲方可终止合同并将管理服务费（已产生）的20%作为违约金。（3）每月考核中对某些问题要求及时整改。在日常的管理与服务中乙方未完成规定的管理目标和未达到服务标准的，由采购人物业管理部门下发整改通知，限期整改，未达到要求的，视为违约，并根据未达标程度及整改申诉情况处理。 </w:t>
      </w:r>
    </w:p>
    <w:p w14:paraId="1F09E386">
      <w:pPr>
        <w:pStyle w:val="15"/>
        <w:spacing w:line="360" w:lineRule="auto"/>
        <w:ind w:firstLine="480" w:firstLineChars="200"/>
        <w:rPr>
          <w:rFonts w:hint="eastAsia" w:ascii="宋体" w:hAnsi="宋体" w:cs="宋体"/>
          <w:color w:val="auto"/>
          <w:kern w:val="10"/>
          <w:szCs w:val="24"/>
          <w:highlight w:val="none"/>
        </w:rPr>
      </w:pPr>
      <w:r>
        <w:rPr>
          <w:rFonts w:hint="eastAsia" w:ascii="宋体" w:hAnsi="宋体" w:cs="宋体"/>
          <w:color w:val="auto"/>
          <w:kern w:val="10"/>
          <w:szCs w:val="24"/>
          <w:highlight w:val="none"/>
        </w:rPr>
        <w:t>4.5服务考核标准</w:t>
      </w:r>
    </w:p>
    <w:tbl>
      <w:tblPr>
        <w:tblStyle w:val="27"/>
        <w:tblW w:w="9465" w:type="dxa"/>
        <w:tblInd w:w="108" w:type="dxa"/>
        <w:tblLayout w:type="fixed"/>
        <w:tblCellMar>
          <w:top w:w="0" w:type="dxa"/>
          <w:left w:w="108" w:type="dxa"/>
          <w:bottom w:w="0" w:type="dxa"/>
          <w:right w:w="108" w:type="dxa"/>
        </w:tblCellMar>
      </w:tblPr>
      <w:tblGrid>
        <w:gridCol w:w="404"/>
        <w:gridCol w:w="928"/>
        <w:gridCol w:w="919"/>
        <w:gridCol w:w="1036"/>
        <w:gridCol w:w="931"/>
        <w:gridCol w:w="931"/>
        <w:gridCol w:w="998"/>
        <w:gridCol w:w="1020"/>
        <w:gridCol w:w="860"/>
        <w:gridCol w:w="844"/>
        <w:gridCol w:w="594"/>
      </w:tblGrid>
      <w:tr w14:paraId="2755C149">
        <w:tblPrEx>
          <w:tblCellMar>
            <w:top w:w="0" w:type="dxa"/>
            <w:left w:w="108" w:type="dxa"/>
            <w:bottom w:w="0" w:type="dxa"/>
            <w:right w:w="108" w:type="dxa"/>
          </w:tblCellMar>
        </w:tblPrEx>
        <w:trPr>
          <w:trHeight w:val="818" w:hRule="atLeast"/>
        </w:trPr>
        <w:tc>
          <w:tcPr>
            <w:tcW w:w="404" w:type="dxa"/>
            <w:tcBorders>
              <w:top w:val="single" w:color="000000" w:sz="4" w:space="0"/>
              <w:left w:val="single" w:color="auto" w:sz="4" w:space="0"/>
              <w:bottom w:val="single" w:color="000000" w:sz="4" w:space="0"/>
              <w:right w:val="single" w:color="auto" w:sz="4" w:space="0"/>
            </w:tcBorders>
            <w:noWrap/>
          </w:tcPr>
          <w:p w14:paraId="6C6D4186">
            <w:pPr>
              <w:widowControl/>
              <w:spacing w:line="240" w:lineRule="exact"/>
              <w:jc w:val="center"/>
              <w:rPr>
                <w:rFonts w:ascii="宋体" w:hAnsi="宋体" w:cs="宋体"/>
                <w:b/>
                <w:bCs/>
                <w:color w:val="auto"/>
                <w:kern w:val="0"/>
                <w:sz w:val="18"/>
                <w:szCs w:val="18"/>
                <w:highlight w:val="none"/>
              </w:rPr>
            </w:pPr>
          </w:p>
        </w:tc>
        <w:tc>
          <w:tcPr>
            <w:tcW w:w="9061" w:type="dxa"/>
            <w:gridSpan w:val="10"/>
            <w:tcBorders>
              <w:top w:val="single" w:color="000000" w:sz="4" w:space="0"/>
              <w:left w:val="single" w:color="auto" w:sz="4" w:space="0"/>
              <w:bottom w:val="single" w:color="000000" w:sz="4" w:space="0"/>
              <w:right w:val="single" w:color="auto" w:sz="4" w:space="0"/>
            </w:tcBorders>
            <w:noWrap/>
            <w:vAlign w:val="center"/>
          </w:tcPr>
          <w:p w14:paraId="23DF25C6">
            <w:pPr>
              <w:widowControl/>
              <w:spacing w:line="240" w:lineRule="exact"/>
              <w:jc w:val="center"/>
              <w:rPr>
                <w:rFonts w:ascii="宋体" w:hAnsi="宋体" w:cs="宋体"/>
                <w:b/>
                <w:bCs/>
                <w:color w:val="auto"/>
                <w:kern w:val="0"/>
                <w:sz w:val="18"/>
                <w:szCs w:val="18"/>
                <w:highlight w:val="none"/>
              </w:rPr>
            </w:pPr>
            <w:r>
              <w:rPr>
                <w:rFonts w:hint="eastAsia" w:ascii="宋体" w:hAnsi="宋体" w:cs="宋体"/>
                <w:b/>
                <w:bCs/>
                <w:color w:val="auto"/>
                <w:kern w:val="0"/>
                <w:sz w:val="18"/>
                <w:szCs w:val="18"/>
                <w:highlight w:val="none"/>
              </w:rPr>
              <w:t>物业服务月度考核表</w:t>
            </w:r>
            <w:r>
              <w:rPr>
                <w:rFonts w:ascii="宋体" w:hAnsi="宋体" w:cs="宋体"/>
                <w:b/>
                <w:bCs/>
                <w:color w:val="auto"/>
                <w:kern w:val="0"/>
                <w:sz w:val="18"/>
                <w:szCs w:val="18"/>
                <w:highlight w:val="none"/>
              </w:rPr>
              <w:t xml:space="preserve"> </w:t>
            </w:r>
          </w:p>
          <w:p w14:paraId="73B4630F">
            <w:pPr>
              <w:widowControl/>
              <w:spacing w:line="240" w:lineRule="exact"/>
              <w:rPr>
                <w:rFonts w:ascii="宋体" w:hAnsi="宋体" w:cs="宋体"/>
                <w:color w:val="auto"/>
                <w:kern w:val="0"/>
                <w:sz w:val="18"/>
                <w:szCs w:val="18"/>
                <w:highlight w:val="none"/>
              </w:rPr>
            </w:pPr>
          </w:p>
        </w:tc>
      </w:tr>
      <w:tr w14:paraId="5593F385">
        <w:tblPrEx>
          <w:tblCellMar>
            <w:top w:w="0" w:type="dxa"/>
            <w:left w:w="108" w:type="dxa"/>
            <w:bottom w:w="0" w:type="dxa"/>
            <w:right w:w="108" w:type="dxa"/>
          </w:tblCellMar>
        </w:tblPrEx>
        <w:trPr>
          <w:trHeight w:val="960" w:hRule="atLeast"/>
        </w:trPr>
        <w:tc>
          <w:tcPr>
            <w:tcW w:w="404" w:type="dxa"/>
            <w:tcBorders>
              <w:top w:val="single" w:color="000000" w:sz="4" w:space="0"/>
              <w:left w:val="single" w:color="000000" w:sz="4" w:space="0"/>
              <w:bottom w:val="nil"/>
              <w:right w:val="single" w:color="000000" w:sz="4" w:space="0"/>
            </w:tcBorders>
            <w:shd w:val="clear" w:color="auto" w:fill="C6EFCE"/>
            <w:noWrap/>
            <w:vAlign w:val="center"/>
          </w:tcPr>
          <w:p w14:paraId="26738ADB">
            <w:pPr>
              <w:widowControl/>
              <w:spacing w:line="240" w:lineRule="exact"/>
              <w:jc w:val="center"/>
              <w:rPr>
                <w:rFonts w:ascii="宋体" w:hAnsi="宋体" w:cs="宋体"/>
                <w:color w:val="auto"/>
                <w:kern w:val="0"/>
                <w:sz w:val="18"/>
                <w:szCs w:val="18"/>
                <w:highlight w:val="none"/>
              </w:rPr>
            </w:pPr>
            <w:r>
              <w:rPr>
                <w:rFonts w:hint="eastAsia" w:ascii="宋体" w:hAnsi="宋体" w:cs="宋体"/>
                <w:color w:val="auto"/>
                <w:kern w:val="0"/>
                <w:sz w:val="18"/>
                <w:szCs w:val="18"/>
                <w:highlight w:val="none"/>
              </w:rPr>
              <w:t>项目</w:t>
            </w:r>
          </w:p>
        </w:tc>
        <w:tc>
          <w:tcPr>
            <w:tcW w:w="928" w:type="dxa"/>
            <w:tcBorders>
              <w:top w:val="single" w:color="000000" w:sz="4" w:space="0"/>
              <w:left w:val="single" w:color="000000" w:sz="4" w:space="0"/>
              <w:bottom w:val="nil"/>
              <w:right w:val="single" w:color="000000" w:sz="4" w:space="0"/>
            </w:tcBorders>
            <w:noWrap/>
            <w:vAlign w:val="center"/>
          </w:tcPr>
          <w:p w14:paraId="7D19F380">
            <w:pPr>
              <w:widowControl/>
              <w:spacing w:line="240" w:lineRule="exact"/>
              <w:jc w:val="center"/>
              <w:rPr>
                <w:rFonts w:ascii="宋体" w:hAnsi="宋体" w:cs="宋体"/>
                <w:color w:val="auto"/>
                <w:kern w:val="0"/>
                <w:sz w:val="18"/>
                <w:szCs w:val="18"/>
                <w:highlight w:val="none"/>
              </w:rPr>
            </w:pPr>
            <w:r>
              <w:rPr>
                <w:rFonts w:hint="eastAsia" w:ascii="宋体" w:hAnsi="宋体" w:cs="宋体"/>
                <w:color w:val="auto"/>
                <w:kern w:val="0"/>
                <w:sz w:val="18"/>
                <w:szCs w:val="18"/>
                <w:highlight w:val="none"/>
              </w:rPr>
              <w:t>综合服务</w:t>
            </w:r>
            <w:r>
              <w:rPr>
                <w:rFonts w:ascii="宋体" w:hAnsi="宋体" w:cs="宋体"/>
                <w:color w:val="auto"/>
                <w:kern w:val="0"/>
                <w:sz w:val="18"/>
                <w:szCs w:val="18"/>
                <w:highlight w:val="none"/>
              </w:rPr>
              <w:t>（15分）</w:t>
            </w:r>
          </w:p>
        </w:tc>
        <w:tc>
          <w:tcPr>
            <w:tcW w:w="919" w:type="dxa"/>
            <w:tcBorders>
              <w:top w:val="single" w:color="000000" w:sz="4" w:space="0"/>
              <w:left w:val="single" w:color="000000" w:sz="4" w:space="0"/>
              <w:bottom w:val="nil"/>
              <w:right w:val="single" w:color="000000" w:sz="4" w:space="0"/>
            </w:tcBorders>
            <w:noWrap/>
            <w:vAlign w:val="center"/>
          </w:tcPr>
          <w:p w14:paraId="35F6F2C0">
            <w:pPr>
              <w:widowControl/>
              <w:spacing w:line="240" w:lineRule="exact"/>
              <w:jc w:val="center"/>
              <w:rPr>
                <w:rFonts w:ascii="宋体" w:hAnsi="宋体" w:cs="宋体"/>
                <w:color w:val="auto"/>
                <w:kern w:val="0"/>
                <w:sz w:val="18"/>
                <w:szCs w:val="18"/>
                <w:highlight w:val="none"/>
              </w:rPr>
            </w:pPr>
            <w:r>
              <w:rPr>
                <w:rFonts w:hint="eastAsia" w:ascii="宋体" w:hAnsi="宋体" w:cs="宋体"/>
                <w:color w:val="auto"/>
                <w:kern w:val="0"/>
                <w:sz w:val="18"/>
                <w:szCs w:val="18"/>
                <w:highlight w:val="none"/>
              </w:rPr>
              <w:t>房屋维护服务</w:t>
            </w:r>
            <w:r>
              <w:rPr>
                <w:rFonts w:ascii="宋体" w:hAnsi="宋体" w:cs="宋体"/>
                <w:color w:val="auto"/>
                <w:kern w:val="0"/>
                <w:sz w:val="18"/>
                <w:szCs w:val="18"/>
                <w:highlight w:val="none"/>
              </w:rPr>
              <w:t>（1</w:t>
            </w:r>
            <w:r>
              <w:rPr>
                <w:rFonts w:hint="eastAsia" w:ascii="宋体" w:hAnsi="宋体" w:cs="宋体"/>
                <w:color w:val="auto"/>
                <w:kern w:val="0"/>
                <w:sz w:val="18"/>
                <w:szCs w:val="18"/>
                <w:highlight w:val="none"/>
              </w:rPr>
              <w:t>0</w:t>
            </w:r>
            <w:r>
              <w:rPr>
                <w:rFonts w:ascii="宋体" w:hAnsi="宋体" w:cs="宋体"/>
                <w:color w:val="auto"/>
                <w:kern w:val="0"/>
                <w:sz w:val="18"/>
                <w:szCs w:val="18"/>
                <w:highlight w:val="none"/>
              </w:rPr>
              <w:t>分）</w:t>
            </w:r>
          </w:p>
        </w:tc>
        <w:tc>
          <w:tcPr>
            <w:tcW w:w="1036" w:type="dxa"/>
            <w:tcBorders>
              <w:top w:val="single" w:color="000000" w:sz="4" w:space="0"/>
              <w:left w:val="single" w:color="000000" w:sz="4" w:space="0"/>
              <w:bottom w:val="nil"/>
              <w:right w:val="single" w:color="000000" w:sz="4" w:space="0"/>
            </w:tcBorders>
            <w:noWrap/>
            <w:vAlign w:val="center"/>
          </w:tcPr>
          <w:p w14:paraId="5DC8F13A">
            <w:pPr>
              <w:widowControl/>
              <w:spacing w:line="240" w:lineRule="exact"/>
              <w:jc w:val="center"/>
              <w:rPr>
                <w:rFonts w:ascii="宋体" w:hAnsi="宋体" w:cs="宋体"/>
                <w:color w:val="auto"/>
                <w:kern w:val="0"/>
                <w:sz w:val="18"/>
                <w:szCs w:val="18"/>
                <w:highlight w:val="none"/>
              </w:rPr>
            </w:pPr>
            <w:r>
              <w:rPr>
                <w:rFonts w:hint="eastAsia" w:ascii="宋体" w:hAnsi="宋体" w:cs="宋体"/>
                <w:color w:val="auto"/>
                <w:kern w:val="0"/>
                <w:sz w:val="18"/>
                <w:szCs w:val="18"/>
                <w:highlight w:val="none"/>
              </w:rPr>
              <w:t>公用设施设备维护服务（10分）</w:t>
            </w:r>
          </w:p>
        </w:tc>
        <w:tc>
          <w:tcPr>
            <w:tcW w:w="931" w:type="dxa"/>
            <w:tcBorders>
              <w:top w:val="single" w:color="000000" w:sz="4" w:space="0"/>
              <w:left w:val="single" w:color="000000" w:sz="4" w:space="0"/>
              <w:bottom w:val="nil"/>
              <w:right w:val="single" w:color="000000" w:sz="4" w:space="0"/>
            </w:tcBorders>
            <w:noWrap/>
            <w:vAlign w:val="center"/>
          </w:tcPr>
          <w:p w14:paraId="347707A8">
            <w:pPr>
              <w:widowControl/>
              <w:spacing w:line="240" w:lineRule="exact"/>
              <w:jc w:val="center"/>
              <w:rPr>
                <w:rFonts w:ascii="宋体" w:hAnsi="宋体" w:cs="宋体"/>
                <w:color w:val="auto"/>
                <w:kern w:val="0"/>
                <w:sz w:val="18"/>
                <w:szCs w:val="18"/>
                <w:highlight w:val="none"/>
              </w:rPr>
            </w:pPr>
            <w:r>
              <w:rPr>
                <w:rFonts w:hint="eastAsia" w:ascii="宋体" w:hAnsi="宋体" w:cs="宋体"/>
                <w:color w:val="auto"/>
                <w:kern w:val="0"/>
                <w:sz w:val="18"/>
                <w:szCs w:val="18"/>
                <w:highlight w:val="none"/>
              </w:rPr>
              <w:t>保洁服务（10分）</w:t>
            </w:r>
          </w:p>
        </w:tc>
        <w:tc>
          <w:tcPr>
            <w:tcW w:w="931" w:type="dxa"/>
            <w:tcBorders>
              <w:top w:val="single" w:color="000000" w:sz="4" w:space="0"/>
              <w:left w:val="single" w:color="000000" w:sz="4" w:space="0"/>
              <w:bottom w:val="nil"/>
              <w:right w:val="single" w:color="000000" w:sz="4" w:space="0"/>
            </w:tcBorders>
            <w:noWrap/>
            <w:vAlign w:val="center"/>
          </w:tcPr>
          <w:p w14:paraId="7B522702">
            <w:pPr>
              <w:widowControl/>
              <w:spacing w:line="240" w:lineRule="exact"/>
              <w:jc w:val="center"/>
              <w:rPr>
                <w:rFonts w:ascii="宋体" w:hAnsi="宋体" w:cs="宋体"/>
                <w:color w:val="auto"/>
                <w:kern w:val="0"/>
                <w:sz w:val="18"/>
                <w:szCs w:val="18"/>
                <w:highlight w:val="none"/>
              </w:rPr>
            </w:pPr>
            <w:r>
              <w:rPr>
                <w:rFonts w:hint="eastAsia" w:ascii="宋体" w:hAnsi="宋体" w:cs="宋体"/>
                <w:color w:val="auto"/>
                <w:kern w:val="0"/>
                <w:sz w:val="18"/>
                <w:szCs w:val="18"/>
                <w:highlight w:val="none"/>
              </w:rPr>
              <w:t>绿化服务（10分）</w:t>
            </w:r>
          </w:p>
        </w:tc>
        <w:tc>
          <w:tcPr>
            <w:tcW w:w="998" w:type="dxa"/>
            <w:tcBorders>
              <w:top w:val="single" w:color="000000" w:sz="4" w:space="0"/>
              <w:left w:val="single" w:color="000000" w:sz="4" w:space="0"/>
              <w:bottom w:val="nil"/>
              <w:right w:val="single" w:color="000000" w:sz="4" w:space="0"/>
            </w:tcBorders>
            <w:noWrap/>
            <w:vAlign w:val="center"/>
          </w:tcPr>
          <w:p w14:paraId="3FD20EFE">
            <w:pPr>
              <w:widowControl/>
              <w:spacing w:line="240" w:lineRule="exact"/>
              <w:jc w:val="center"/>
              <w:rPr>
                <w:rFonts w:ascii="宋体" w:hAnsi="宋体" w:cs="宋体"/>
                <w:color w:val="auto"/>
                <w:kern w:val="0"/>
                <w:sz w:val="18"/>
                <w:szCs w:val="18"/>
                <w:highlight w:val="none"/>
              </w:rPr>
            </w:pPr>
            <w:r>
              <w:rPr>
                <w:rFonts w:hint="eastAsia" w:ascii="宋体" w:hAnsi="宋体" w:cs="宋体"/>
                <w:color w:val="auto"/>
                <w:kern w:val="0"/>
                <w:sz w:val="18"/>
                <w:szCs w:val="18"/>
                <w:highlight w:val="none"/>
              </w:rPr>
              <w:t>安保服务（10分）</w:t>
            </w:r>
          </w:p>
        </w:tc>
        <w:tc>
          <w:tcPr>
            <w:tcW w:w="1020" w:type="dxa"/>
            <w:tcBorders>
              <w:top w:val="single" w:color="000000" w:sz="4" w:space="0"/>
              <w:left w:val="single" w:color="000000" w:sz="4" w:space="0"/>
              <w:bottom w:val="single" w:color="000000" w:sz="4" w:space="0"/>
              <w:right w:val="single" w:color="000000" w:sz="4" w:space="0"/>
            </w:tcBorders>
            <w:noWrap/>
            <w:vAlign w:val="center"/>
          </w:tcPr>
          <w:p w14:paraId="4212FBD2">
            <w:pPr>
              <w:widowControl/>
              <w:spacing w:line="240" w:lineRule="exact"/>
              <w:jc w:val="center"/>
              <w:rPr>
                <w:rFonts w:ascii="宋体" w:hAnsi="宋体" w:cs="宋体"/>
                <w:color w:val="auto"/>
                <w:kern w:val="0"/>
                <w:sz w:val="18"/>
                <w:szCs w:val="18"/>
                <w:highlight w:val="none"/>
              </w:rPr>
            </w:pPr>
            <w:r>
              <w:rPr>
                <w:rFonts w:hint="eastAsia" w:ascii="宋体" w:hAnsi="宋体" w:cs="宋体"/>
                <w:color w:val="auto"/>
                <w:kern w:val="0"/>
                <w:sz w:val="18"/>
                <w:szCs w:val="18"/>
                <w:highlight w:val="none"/>
              </w:rPr>
              <w:t>会议会务服务（10分）</w:t>
            </w:r>
          </w:p>
        </w:tc>
        <w:tc>
          <w:tcPr>
            <w:tcW w:w="860" w:type="dxa"/>
            <w:tcBorders>
              <w:top w:val="single" w:color="000000" w:sz="4" w:space="0"/>
              <w:left w:val="single" w:color="000000" w:sz="4" w:space="0"/>
              <w:right w:val="single" w:color="000000" w:sz="4" w:space="0"/>
            </w:tcBorders>
            <w:noWrap/>
            <w:vAlign w:val="center"/>
          </w:tcPr>
          <w:p w14:paraId="07CCB774">
            <w:pPr>
              <w:widowControl/>
              <w:spacing w:line="240" w:lineRule="exact"/>
              <w:jc w:val="center"/>
              <w:rPr>
                <w:rFonts w:ascii="宋体" w:hAnsi="宋体" w:cs="宋体"/>
                <w:color w:val="auto"/>
                <w:kern w:val="0"/>
                <w:sz w:val="18"/>
                <w:szCs w:val="18"/>
                <w:highlight w:val="none"/>
              </w:rPr>
            </w:pPr>
            <w:r>
              <w:rPr>
                <w:rFonts w:hint="eastAsia" w:ascii="宋体" w:hAnsi="宋体" w:cs="宋体"/>
                <w:color w:val="auto"/>
                <w:kern w:val="0"/>
                <w:sz w:val="18"/>
                <w:szCs w:val="18"/>
                <w:highlight w:val="none"/>
              </w:rPr>
              <w:t>保密管理（15分）</w:t>
            </w:r>
          </w:p>
        </w:tc>
        <w:tc>
          <w:tcPr>
            <w:tcW w:w="844" w:type="dxa"/>
            <w:tcBorders>
              <w:top w:val="single" w:color="000000" w:sz="4" w:space="0"/>
              <w:left w:val="single" w:color="000000" w:sz="4" w:space="0"/>
              <w:bottom w:val="single" w:color="000000" w:sz="4" w:space="0"/>
              <w:right w:val="single" w:color="000000" w:sz="4" w:space="0"/>
            </w:tcBorders>
            <w:noWrap/>
            <w:vAlign w:val="center"/>
          </w:tcPr>
          <w:p w14:paraId="11AA8972">
            <w:pPr>
              <w:widowControl/>
              <w:spacing w:line="240" w:lineRule="exact"/>
              <w:jc w:val="center"/>
              <w:rPr>
                <w:rFonts w:ascii="宋体" w:hAnsi="宋体" w:cs="宋体"/>
                <w:color w:val="auto"/>
                <w:kern w:val="0"/>
                <w:sz w:val="18"/>
                <w:szCs w:val="18"/>
                <w:highlight w:val="none"/>
              </w:rPr>
            </w:pPr>
            <w:r>
              <w:rPr>
                <w:rFonts w:ascii="宋体" w:hAnsi="宋体" w:cs="宋体"/>
                <w:color w:val="auto"/>
                <w:kern w:val="0"/>
                <w:sz w:val="18"/>
                <w:szCs w:val="18"/>
                <w:highlight w:val="none"/>
              </w:rPr>
              <w:t>临时任务（10分）</w:t>
            </w:r>
          </w:p>
        </w:tc>
        <w:tc>
          <w:tcPr>
            <w:tcW w:w="594" w:type="dxa"/>
            <w:tcBorders>
              <w:top w:val="single" w:color="000000" w:sz="4" w:space="0"/>
              <w:left w:val="single" w:color="000000" w:sz="4" w:space="0"/>
              <w:bottom w:val="nil"/>
              <w:right w:val="single" w:color="000000" w:sz="4" w:space="0"/>
            </w:tcBorders>
            <w:noWrap/>
            <w:vAlign w:val="center"/>
          </w:tcPr>
          <w:p w14:paraId="359FDC78">
            <w:pPr>
              <w:widowControl/>
              <w:spacing w:line="240" w:lineRule="exact"/>
              <w:jc w:val="center"/>
              <w:rPr>
                <w:rFonts w:ascii="宋体" w:hAnsi="宋体" w:cs="宋体"/>
                <w:color w:val="auto"/>
                <w:kern w:val="0"/>
                <w:sz w:val="18"/>
                <w:szCs w:val="18"/>
                <w:highlight w:val="none"/>
              </w:rPr>
            </w:pPr>
            <w:r>
              <w:rPr>
                <w:rFonts w:ascii="宋体" w:hAnsi="宋体" w:cs="宋体"/>
                <w:color w:val="auto"/>
                <w:kern w:val="0"/>
                <w:sz w:val="18"/>
                <w:szCs w:val="18"/>
                <w:highlight w:val="none"/>
              </w:rPr>
              <w:t>合计（100分）</w:t>
            </w:r>
          </w:p>
        </w:tc>
      </w:tr>
      <w:tr w14:paraId="2DE9F74B">
        <w:tblPrEx>
          <w:tblCellMar>
            <w:top w:w="0" w:type="dxa"/>
            <w:left w:w="108" w:type="dxa"/>
            <w:bottom w:w="0" w:type="dxa"/>
            <w:right w:w="108" w:type="dxa"/>
          </w:tblCellMar>
        </w:tblPrEx>
        <w:trPr>
          <w:trHeight w:val="70" w:hRule="atLeast"/>
        </w:trPr>
        <w:tc>
          <w:tcPr>
            <w:tcW w:w="404" w:type="dxa"/>
            <w:tcBorders>
              <w:top w:val="single" w:color="000000" w:sz="4" w:space="0"/>
              <w:left w:val="single" w:color="000000" w:sz="4" w:space="0"/>
              <w:bottom w:val="single" w:color="000000" w:sz="4" w:space="0"/>
              <w:right w:val="single" w:color="000000" w:sz="4" w:space="0"/>
            </w:tcBorders>
            <w:shd w:val="clear" w:color="auto" w:fill="C6EFCE"/>
            <w:noWrap/>
            <w:vAlign w:val="center"/>
          </w:tcPr>
          <w:p w14:paraId="5728348D">
            <w:pPr>
              <w:widowControl/>
              <w:spacing w:line="240" w:lineRule="exact"/>
              <w:jc w:val="center"/>
              <w:rPr>
                <w:rFonts w:ascii="宋体" w:hAnsi="宋体" w:cs="宋体"/>
                <w:color w:val="auto"/>
                <w:kern w:val="0"/>
                <w:sz w:val="18"/>
                <w:szCs w:val="18"/>
                <w:highlight w:val="none"/>
              </w:rPr>
            </w:pPr>
            <w:r>
              <w:rPr>
                <w:rFonts w:hint="eastAsia" w:ascii="宋体" w:hAnsi="宋体" w:cs="宋体"/>
                <w:color w:val="auto"/>
                <w:kern w:val="0"/>
                <w:sz w:val="18"/>
                <w:szCs w:val="18"/>
                <w:highlight w:val="none"/>
              </w:rPr>
              <w:t>考核内容</w:t>
            </w:r>
          </w:p>
        </w:tc>
        <w:tc>
          <w:tcPr>
            <w:tcW w:w="928" w:type="dxa"/>
            <w:tcBorders>
              <w:top w:val="single" w:color="000000" w:sz="4" w:space="0"/>
              <w:left w:val="single" w:color="000000" w:sz="4" w:space="0"/>
              <w:bottom w:val="single" w:color="000000" w:sz="4" w:space="0"/>
              <w:right w:val="single" w:color="000000" w:sz="4" w:space="0"/>
            </w:tcBorders>
            <w:noWrap/>
          </w:tcPr>
          <w:p w14:paraId="4C5E73D1">
            <w:pPr>
              <w:widowControl/>
              <w:spacing w:line="240" w:lineRule="exact"/>
              <w:jc w:val="both"/>
              <w:rPr>
                <w:rFonts w:ascii="宋体" w:hAnsi="宋体" w:cs="宋体"/>
                <w:color w:val="auto"/>
                <w:kern w:val="0"/>
                <w:sz w:val="18"/>
                <w:szCs w:val="18"/>
                <w:highlight w:val="none"/>
              </w:rPr>
            </w:pPr>
            <w:r>
              <w:rPr>
                <w:rFonts w:hint="eastAsia" w:ascii="宋体" w:hAnsi="宋体" w:cs="宋体"/>
                <w:color w:val="auto"/>
                <w:kern w:val="0"/>
                <w:sz w:val="18"/>
                <w:szCs w:val="18"/>
                <w:highlight w:val="none"/>
              </w:rPr>
              <w:t>1.服务人员配备、2.档案等综合管理、3.重大活动后勤保障、4.应急保障预案、5.前台接待及投诉处理、6.服务改进。</w:t>
            </w:r>
          </w:p>
        </w:tc>
        <w:tc>
          <w:tcPr>
            <w:tcW w:w="919" w:type="dxa"/>
            <w:tcBorders>
              <w:top w:val="single" w:color="000000" w:sz="4" w:space="0"/>
              <w:left w:val="single" w:color="000000" w:sz="4" w:space="0"/>
              <w:bottom w:val="single" w:color="000000" w:sz="4" w:space="0"/>
              <w:right w:val="single" w:color="000000" w:sz="4" w:space="0"/>
            </w:tcBorders>
            <w:noWrap/>
          </w:tcPr>
          <w:p w14:paraId="07424A36">
            <w:pPr>
              <w:widowControl/>
              <w:spacing w:line="240" w:lineRule="exact"/>
              <w:jc w:val="both"/>
              <w:rPr>
                <w:rFonts w:ascii="宋体" w:hAnsi="宋体" w:cs="宋体"/>
                <w:color w:val="auto"/>
                <w:kern w:val="0"/>
                <w:sz w:val="18"/>
                <w:szCs w:val="18"/>
                <w:highlight w:val="none"/>
              </w:rPr>
            </w:pPr>
            <w:r>
              <w:rPr>
                <w:rFonts w:hint="eastAsia" w:ascii="宋体" w:hAnsi="宋体" w:cs="宋体"/>
                <w:color w:val="auto"/>
                <w:kern w:val="0"/>
                <w:sz w:val="18"/>
                <w:szCs w:val="18"/>
                <w:highlight w:val="none"/>
              </w:rPr>
              <w:t>1.室内检查、2.室外巡查、3.极端天气等巡检、4.室内装修监督管理。</w:t>
            </w:r>
          </w:p>
        </w:tc>
        <w:tc>
          <w:tcPr>
            <w:tcW w:w="1036" w:type="dxa"/>
            <w:tcBorders>
              <w:top w:val="single" w:color="000000" w:sz="4" w:space="0"/>
              <w:left w:val="single" w:color="000000" w:sz="4" w:space="0"/>
              <w:bottom w:val="single" w:color="000000" w:sz="4" w:space="0"/>
              <w:right w:val="single" w:color="000000" w:sz="4" w:space="0"/>
            </w:tcBorders>
            <w:noWrap/>
          </w:tcPr>
          <w:p w14:paraId="50051CAC">
            <w:pPr>
              <w:widowControl/>
              <w:spacing w:line="240" w:lineRule="exact"/>
              <w:jc w:val="both"/>
              <w:rPr>
                <w:rFonts w:ascii="宋体" w:hAnsi="宋体" w:cs="宋体"/>
                <w:color w:val="auto"/>
                <w:kern w:val="0"/>
                <w:sz w:val="18"/>
                <w:szCs w:val="18"/>
                <w:highlight w:val="none"/>
              </w:rPr>
            </w:pPr>
            <w:r>
              <w:rPr>
                <w:rFonts w:hint="eastAsia" w:ascii="宋体" w:hAnsi="宋体" w:cs="宋体"/>
                <w:color w:val="auto"/>
                <w:kern w:val="0"/>
                <w:sz w:val="18"/>
                <w:szCs w:val="18"/>
                <w:highlight w:val="none"/>
              </w:rPr>
              <w:t>1.电梯系统维护、2.给排水系统维护、3.供配电系统维护、4.照明系统维护、5.办公空调系统维护、6.消防系统维护。</w:t>
            </w:r>
          </w:p>
        </w:tc>
        <w:tc>
          <w:tcPr>
            <w:tcW w:w="931" w:type="dxa"/>
            <w:tcBorders>
              <w:top w:val="single" w:color="000000" w:sz="4" w:space="0"/>
              <w:left w:val="single" w:color="000000" w:sz="4" w:space="0"/>
              <w:bottom w:val="single" w:color="000000" w:sz="4" w:space="0"/>
              <w:right w:val="single" w:color="000000" w:sz="4" w:space="0"/>
            </w:tcBorders>
            <w:noWrap/>
          </w:tcPr>
          <w:p w14:paraId="71EB03A5">
            <w:pPr>
              <w:widowControl/>
              <w:spacing w:line="240" w:lineRule="exact"/>
              <w:jc w:val="both"/>
              <w:rPr>
                <w:rFonts w:ascii="宋体" w:hAnsi="宋体" w:cs="宋体"/>
                <w:color w:val="auto"/>
                <w:kern w:val="0"/>
                <w:sz w:val="18"/>
                <w:szCs w:val="18"/>
                <w:highlight w:val="none"/>
              </w:rPr>
            </w:pPr>
            <w:r>
              <w:rPr>
                <w:rFonts w:hint="eastAsia" w:ascii="宋体" w:hAnsi="宋体" w:cs="宋体"/>
                <w:color w:val="auto"/>
                <w:kern w:val="0"/>
                <w:sz w:val="18"/>
                <w:szCs w:val="18"/>
                <w:highlight w:val="none"/>
              </w:rPr>
              <w:t>1.制度建设、2.机房综合楼楼内保洁、3.公共场地区域保洁、4.垃圾处理、5.卫生消毒。</w:t>
            </w:r>
          </w:p>
        </w:tc>
        <w:tc>
          <w:tcPr>
            <w:tcW w:w="931" w:type="dxa"/>
            <w:tcBorders>
              <w:top w:val="single" w:color="000000" w:sz="4" w:space="0"/>
              <w:left w:val="single" w:color="000000" w:sz="4" w:space="0"/>
              <w:bottom w:val="single" w:color="000000" w:sz="4" w:space="0"/>
              <w:right w:val="single" w:color="000000" w:sz="4" w:space="0"/>
            </w:tcBorders>
            <w:noWrap/>
          </w:tcPr>
          <w:p w14:paraId="4FED7C0B">
            <w:pPr>
              <w:widowControl/>
              <w:spacing w:line="240" w:lineRule="exact"/>
              <w:jc w:val="both"/>
              <w:rPr>
                <w:rFonts w:ascii="宋体" w:hAnsi="宋体" w:cs="宋体"/>
                <w:color w:val="auto"/>
                <w:kern w:val="0"/>
                <w:sz w:val="18"/>
                <w:szCs w:val="18"/>
                <w:highlight w:val="none"/>
              </w:rPr>
            </w:pPr>
            <w:r>
              <w:rPr>
                <w:rFonts w:hint="eastAsia" w:ascii="宋体" w:hAnsi="宋体" w:cs="宋体"/>
                <w:color w:val="auto"/>
                <w:kern w:val="0"/>
                <w:sz w:val="18"/>
                <w:szCs w:val="18"/>
                <w:highlight w:val="none"/>
              </w:rPr>
              <w:t>1.植物日常养护、2.绿化设施养护、3.病虫防治、4.极端天气应对、5.更换要求。</w:t>
            </w:r>
          </w:p>
        </w:tc>
        <w:tc>
          <w:tcPr>
            <w:tcW w:w="998" w:type="dxa"/>
            <w:tcBorders>
              <w:top w:val="single" w:color="000000" w:sz="4" w:space="0"/>
              <w:left w:val="single" w:color="000000" w:sz="4" w:space="0"/>
              <w:bottom w:val="single" w:color="000000" w:sz="4" w:space="0"/>
              <w:right w:val="single" w:color="000000" w:sz="4" w:space="0"/>
            </w:tcBorders>
            <w:noWrap/>
          </w:tcPr>
          <w:p w14:paraId="608C4F53">
            <w:pPr>
              <w:widowControl/>
              <w:spacing w:line="240" w:lineRule="exact"/>
              <w:jc w:val="both"/>
              <w:rPr>
                <w:rFonts w:ascii="宋体" w:hAnsi="宋体" w:cs="宋体"/>
                <w:color w:val="auto"/>
                <w:kern w:val="0"/>
                <w:sz w:val="18"/>
                <w:szCs w:val="18"/>
                <w:highlight w:val="none"/>
              </w:rPr>
            </w:pPr>
            <w:r>
              <w:rPr>
                <w:rFonts w:hint="eastAsia" w:ascii="宋体" w:hAnsi="宋体" w:cs="宋体"/>
                <w:color w:val="auto"/>
                <w:kern w:val="0"/>
                <w:sz w:val="18"/>
                <w:szCs w:val="18"/>
                <w:highlight w:val="none"/>
              </w:rPr>
              <w:t>1.出入管理、2.值班巡查、3.车辆停放、4.消防安全管理、5.突发事件处理、6.大型活动秩序。</w:t>
            </w:r>
          </w:p>
        </w:tc>
        <w:tc>
          <w:tcPr>
            <w:tcW w:w="1020" w:type="dxa"/>
            <w:tcBorders>
              <w:top w:val="single" w:color="000000" w:sz="4" w:space="0"/>
              <w:left w:val="single" w:color="000000" w:sz="4" w:space="0"/>
              <w:bottom w:val="single" w:color="000000" w:sz="4" w:space="0"/>
              <w:right w:val="single" w:color="000000" w:sz="4" w:space="0"/>
            </w:tcBorders>
            <w:noWrap/>
          </w:tcPr>
          <w:p w14:paraId="492DF92A">
            <w:pPr>
              <w:widowControl/>
              <w:spacing w:line="240" w:lineRule="exact"/>
              <w:jc w:val="both"/>
              <w:rPr>
                <w:rFonts w:ascii="宋体" w:hAnsi="宋体" w:cs="宋体"/>
                <w:color w:val="auto"/>
                <w:kern w:val="0"/>
                <w:sz w:val="18"/>
                <w:szCs w:val="18"/>
                <w:highlight w:val="none"/>
              </w:rPr>
            </w:pPr>
            <w:r>
              <w:rPr>
                <w:rFonts w:hint="eastAsia" w:ascii="宋体" w:hAnsi="宋体" w:cs="宋体"/>
                <w:color w:val="auto"/>
                <w:kern w:val="0"/>
                <w:sz w:val="18"/>
                <w:szCs w:val="18"/>
                <w:highlight w:val="none"/>
              </w:rPr>
              <w:t>1.会前准备、2.引导服务、3.会中服务、4.会后整理、5.重大会议活动应对、6.会务用品统计。</w:t>
            </w:r>
          </w:p>
        </w:tc>
        <w:tc>
          <w:tcPr>
            <w:tcW w:w="860" w:type="dxa"/>
            <w:tcBorders>
              <w:top w:val="single" w:color="000000" w:sz="4" w:space="0"/>
              <w:left w:val="single" w:color="000000" w:sz="4" w:space="0"/>
              <w:bottom w:val="single" w:color="000000" w:sz="4" w:space="0"/>
              <w:right w:val="single" w:color="000000" w:sz="4" w:space="0"/>
            </w:tcBorders>
            <w:noWrap/>
          </w:tcPr>
          <w:p w14:paraId="71F2D4EF">
            <w:pPr>
              <w:widowControl/>
              <w:spacing w:line="240" w:lineRule="exact"/>
              <w:jc w:val="both"/>
              <w:rPr>
                <w:rFonts w:ascii="宋体" w:hAnsi="宋体" w:cs="宋体"/>
                <w:color w:val="auto"/>
                <w:kern w:val="0"/>
                <w:sz w:val="18"/>
                <w:szCs w:val="18"/>
                <w:highlight w:val="none"/>
              </w:rPr>
            </w:pPr>
            <w:r>
              <w:rPr>
                <w:rFonts w:hint="eastAsia" w:ascii="宋体" w:hAnsi="宋体" w:cs="宋体"/>
                <w:color w:val="auto"/>
                <w:kern w:val="0"/>
                <w:sz w:val="18"/>
                <w:szCs w:val="18"/>
                <w:highlight w:val="none"/>
              </w:rPr>
              <w:t>1.保密制度、2.保密协议、3.保密教育、4.必要审查。</w:t>
            </w:r>
          </w:p>
        </w:tc>
        <w:tc>
          <w:tcPr>
            <w:tcW w:w="844" w:type="dxa"/>
            <w:tcBorders>
              <w:top w:val="single" w:color="000000" w:sz="4" w:space="0"/>
              <w:left w:val="single" w:color="000000" w:sz="4" w:space="0"/>
              <w:bottom w:val="single" w:color="000000" w:sz="4" w:space="0"/>
              <w:right w:val="single" w:color="000000" w:sz="4" w:space="0"/>
            </w:tcBorders>
            <w:noWrap/>
          </w:tcPr>
          <w:p w14:paraId="375B89CC">
            <w:pPr>
              <w:widowControl/>
              <w:spacing w:line="240" w:lineRule="exact"/>
              <w:jc w:val="both"/>
              <w:rPr>
                <w:rFonts w:ascii="宋体" w:hAnsi="宋体" w:cs="宋体"/>
                <w:color w:val="auto"/>
                <w:kern w:val="0"/>
                <w:sz w:val="18"/>
                <w:szCs w:val="18"/>
                <w:highlight w:val="none"/>
              </w:rPr>
            </w:pPr>
            <w:r>
              <w:rPr>
                <w:rFonts w:hint="eastAsia" w:ascii="宋体" w:hAnsi="宋体" w:cs="宋体"/>
                <w:color w:val="auto"/>
                <w:kern w:val="0"/>
                <w:sz w:val="18"/>
                <w:szCs w:val="18"/>
                <w:highlight w:val="none"/>
              </w:rPr>
              <w:t>及时高效完成相应工作</w:t>
            </w:r>
          </w:p>
        </w:tc>
        <w:tc>
          <w:tcPr>
            <w:tcW w:w="594" w:type="dxa"/>
            <w:vMerge w:val="restart"/>
            <w:tcBorders>
              <w:top w:val="single" w:color="000000" w:sz="4" w:space="0"/>
              <w:left w:val="single" w:color="000000" w:sz="4" w:space="0"/>
              <w:bottom w:val="single" w:color="000000" w:sz="4" w:space="0"/>
              <w:right w:val="single" w:color="000000" w:sz="4" w:space="0"/>
            </w:tcBorders>
            <w:noWrap/>
            <w:vAlign w:val="center"/>
          </w:tcPr>
          <w:p w14:paraId="20CFD9CF">
            <w:pPr>
              <w:widowControl w:val="0"/>
              <w:spacing w:line="500" w:lineRule="exact"/>
              <w:jc w:val="left"/>
              <w:rPr>
                <w:rFonts w:ascii="宋体" w:hAnsi="宋体" w:cs="宋体"/>
                <w:color w:val="auto"/>
                <w:kern w:val="0"/>
                <w:sz w:val="18"/>
                <w:szCs w:val="18"/>
                <w:highlight w:val="none"/>
              </w:rPr>
            </w:pPr>
            <w:r>
              <w:rPr>
                <w:rFonts w:hint="eastAsia" w:ascii="宋体" w:hAnsi="宋体" w:cs="宋体"/>
                <w:color w:val="auto"/>
                <w:kern w:val="0"/>
                <w:sz w:val="18"/>
                <w:szCs w:val="18"/>
                <w:highlight w:val="none"/>
              </w:rPr>
              <w:t xml:space="preserve">注：总分=甲方物业管理人员评分×40%+甲方物业管理负责人评分×60%。 </w:t>
            </w:r>
          </w:p>
        </w:tc>
      </w:tr>
      <w:tr w14:paraId="0A967A89">
        <w:tblPrEx>
          <w:tblCellMar>
            <w:top w:w="0" w:type="dxa"/>
            <w:left w:w="108" w:type="dxa"/>
            <w:bottom w:w="0" w:type="dxa"/>
            <w:right w:w="108" w:type="dxa"/>
          </w:tblCellMar>
        </w:tblPrEx>
        <w:trPr>
          <w:trHeight w:val="147" w:hRule="atLeast"/>
        </w:trPr>
        <w:tc>
          <w:tcPr>
            <w:tcW w:w="404" w:type="dxa"/>
            <w:tcBorders>
              <w:top w:val="single" w:color="000000" w:sz="4" w:space="0"/>
              <w:left w:val="single" w:color="000000" w:sz="4" w:space="0"/>
              <w:bottom w:val="single" w:color="000000" w:sz="4" w:space="0"/>
              <w:right w:val="single" w:color="000000" w:sz="4" w:space="0"/>
            </w:tcBorders>
            <w:shd w:val="clear" w:color="auto" w:fill="C6EFCE"/>
            <w:noWrap/>
            <w:vAlign w:val="center"/>
          </w:tcPr>
          <w:p w14:paraId="195B1088">
            <w:pPr>
              <w:widowControl/>
              <w:spacing w:line="240" w:lineRule="exact"/>
              <w:jc w:val="center"/>
              <w:rPr>
                <w:rFonts w:ascii="宋体" w:hAnsi="宋体" w:cs="宋体"/>
                <w:color w:val="auto"/>
                <w:kern w:val="0"/>
                <w:sz w:val="18"/>
                <w:szCs w:val="18"/>
                <w:highlight w:val="none"/>
              </w:rPr>
            </w:pPr>
            <w:r>
              <w:rPr>
                <w:rFonts w:hint="eastAsia" w:ascii="宋体" w:hAnsi="宋体" w:cs="宋体"/>
                <w:color w:val="auto"/>
                <w:kern w:val="0"/>
                <w:sz w:val="18"/>
                <w:szCs w:val="18"/>
                <w:highlight w:val="none"/>
              </w:rPr>
              <w:t>评分标准</w:t>
            </w:r>
          </w:p>
        </w:tc>
        <w:tc>
          <w:tcPr>
            <w:tcW w:w="928" w:type="dxa"/>
            <w:tcBorders>
              <w:top w:val="single" w:color="000000" w:sz="4" w:space="0"/>
              <w:left w:val="single" w:color="000000" w:sz="4" w:space="0"/>
              <w:bottom w:val="single" w:color="000000" w:sz="4" w:space="0"/>
              <w:right w:val="single" w:color="000000" w:sz="4" w:space="0"/>
            </w:tcBorders>
            <w:noWrap/>
          </w:tcPr>
          <w:p w14:paraId="5F470E7E">
            <w:pPr>
              <w:widowControl/>
              <w:spacing w:line="240" w:lineRule="exact"/>
              <w:jc w:val="both"/>
              <w:rPr>
                <w:rFonts w:ascii="宋体" w:hAnsi="宋体" w:cs="宋体"/>
                <w:color w:val="auto"/>
                <w:kern w:val="0"/>
                <w:sz w:val="18"/>
                <w:szCs w:val="18"/>
                <w:highlight w:val="none"/>
              </w:rPr>
            </w:pPr>
            <w:r>
              <w:rPr>
                <w:rFonts w:hint="eastAsia" w:ascii="宋体" w:hAnsi="宋体" w:cs="宋体"/>
                <w:color w:val="auto"/>
                <w:kern w:val="0"/>
                <w:sz w:val="18"/>
                <w:szCs w:val="18"/>
                <w:highlight w:val="none"/>
              </w:rPr>
              <w:t>优秀12-15分，良好得8-11分，合格得4-7分，不合格0-3分。（15分）</w:t>
            </w:r>
          </w:p>
        </w:tc>
        <w:tc>
          <w:tcPr>
            <w:tcW w:w="919" w:type="dxa"/>
            <w:tcBorders>
              <w:top w:val="single" w:color="000000" w:sz="4" w:space="0"/>
              <w:left w:val="single" w:color="000000" w:sz="4" w:space="0"/>
              <w:bottom w:val="single" w:color="000000" w:sz="4" w:space="0"/>
              <w:right w:val="single" w:color="000000" w:sz="4" w:space="0"/>
            </w:tcBorders>
            <w:noWrap/>
          </w:tcPr>
          <w:p w14:paraId="38ABB528">
            <w:pPr>
              <w:widowControl/>
              <w:spacing w:line="240" w:lineRule="exact"/>
              <w:jc w:val="both"/>
              <w:rPr>
                <w:rFonts w:ascii="宋体" w:hAnsi="宋体" w:cs="宋体"/>
                <w:color w:val="auto"/>
                <w:kern w:val="0"/>
                <w:sz w:val="18"/>
                <w:szCs w:val="18"/>
                <w:highlight w:val="none"/>
              </w:rPr>
            </w:pPr>
            <w:r>
              <w:rPr>
                <w:rFonts w:hint="eastAsia" w:ascii="宋体" w:hAnsi="宋体" w:cs="宋体"/>
                <w:color w:val="auto"/>
                <w:kern w:val="0"/>
                <w:sz w:val="18"/>
                <w:szCs w:val="18"/>
                <w:highlight w:val="none"/>
              </w:rPr>
              <w:t>优秀12-15分，良好得8-11分，合格得4-7分，不合格0-3分。（10分）</w:t>
            </w:r>
          </w:p>
        </w:tc>
        <w:tc>
          <w:tcPr>
            <w:tcW w:w="1036" w:type="dxa"/>
            <w:tcBorders>
              <w:top w:val="single" w:color="000000" w:sz="4" w:space="0"/>
              <w:left w:val="single" w:color="000000" w:sz="4" w:space="0"/>
              <w:bottom w:val="single" w:color="000000" w:sz="4" w:space="0"/>
              <w:right w:val="single" w:color="000000" w:sz="4" w:space="0"/>
            </w:tcBorders>
            <w:noWrap/>
          </w:tcPr>
          <w:p w14:paraId="4BB2800C">
            <w:pPr>
              <w:widowControl/>
              <w:spacing w:line="240" w:lineRule="exact"/>
              <w:jc w:val="both"/>
              <w:rPr>
                <w:rFonts w:ascii="宋体" w:hAnsi="宋体" w:cs="宋体"/>
                <w:color w:val="auto"/>
                <w:kern w:val="0"/>
                <w:sz w:val="18"/>
                <w:szCs w:val="18"/>
                <w:highlight w:val="none"/>
              </w:rPr>
            </w:pPr>
            <w:r>
              <w:rPr>
                <w:rFonts w:hint="eastAsia" w:ascii="宋体" w:hAnsi="宋体" w:cs="宋体"/>
                <w:color w:val="auto"/>
                <w:kern w:val="0"/>
                <w:sz w:val="18"/>
                <w:szCs w:val="18"/>
                <w:highlight w:val="none"/>
              </w:rPr>
              <w:t>优秀12-15分，良好得8-11分，合格得4-7分，不合格0-3分。（10分）</w:t>
            </w:r>
          </w:p>
        </w:tc>
        <w:tc>
          <w:tcPr>
            <w:tcW w:w="931" w:type="dxa"/>
            <w:tcBorders>
              <w:top w:val="single" w:color="000000" w:sz="4" w:space="0"/>
              <w:left w:val="single" w:color="000000" w:sz="4" w:space="0"/>
              <w:bottom w:val="single" w:color="000000" w:sz="4" w:space="0"/>
              <w:right w:val="single" w:color="000000" w:sz="4" w:space="0"/>
            </w:tcBorders>
            <w:noWrap/>
          </w:tcPr>
          <w:p w14:paraId="3934D32D">
            <w:pPr>
              <w:widowControl/>
              <w:spacing w:line="240" w:lineRule="exact"/>
              <w:jc w:val="both"/>
              <w:rPr>
                <w:rFonts w:ascii="宋体" w:hAnsi="宋体" w:cs="宋体"/>
                <w:color w:val="auto"/>
                <w:kern w:val="0"/>
                <w:sz w:val="18"/>
                <w:szCs w:val="18"/>
                <w:highlight w:val="none"/>
              </w:rPr>
            </w:pPr>
            <w:r>
              <w:rPr>
                <w:rFonts w:hint="eastAsia" w:ascii="宋体" w:hAnsi="宋体" w:cs="宋体"/>
                <w:color w:val="auto"/>
                <w:kern w:val="0"/>
                <w:sz w:val="18"/>
                <w:szCs w:val="18"/>
                <w:highlight w:val="none"/>
              </w:rPr>
              <w:t>优秀12-15分，良好得8-11分，合格得4-7分，不合格0-3分。（10分）</w:t>
            </w:r>
          </w:p>
        </w:tc>
        <w:tc>
          <w:tcPr>
            <w:tcW w:w="931" w:type="dxa"/>
            <w:tcBorders>
              <w:top w:val="single" w:color="000000" w:sz="4" w:space="0"/>
              <w:left w:val="single" w:color="000000" w:sz="4" w:space="0"/>
              <w:bottom w:val="single" w:color="000000" w:sz="4" w:space="0"/>
              <w:right w:val="single" w:color="000000" w:sz="4" w:space="0"/>
            </w:tcBorders>
            <w:noWrap/>
          </w:tcPr>
          <w:p w14:paraId="1C2EF17F">
            <w:pPr>
              <w:widowControl/>
              <w:spacing w:line="240" w:lineRule="exact"/>
              <w:jc w:val="both"/>
              <w:rPr>
                <w:rFonts w:ascii="宋体" w:hAnsi="宋体" w:cs="宋体"/>
                <w:color w:val="auto"/>
                <w:kern w:val="0"/>
                <w:sz w:val="18"/>
                <w:szCs w:val="18"/>
                <w:highlight w:val="none"/>
              </w:rPr>
            </w:pPr>
            <w:r>
              <w:rPr>
                <w:rFonts w:hint="eastAsia" w:ascii="宋体" w:hAnsi="宋体" w:cs="宋体"/>
                <w:color w:val="auto"/>
                <w:kern w:val="0"/>
                <w:sz w:val="18"/>
                <w:szCs w:val="18"/>
                <w:highlight w:val="none"/>
              </w:rPr>
              <w:t>优秀12-15分，良好得8-11分，合格得4-7分，不合格0-3分。（10分）</w:t>
            </w:r>
          </w:p>
        </w:tc>
        <w:tc>
          <w:tcPr>
            <w:tcW w:w="998" w:type="dxa"/>
            <w:tcBorders>
              <w:top w:val="single" w:color="000000" w:sz="4" w:space="0"/>
              <w:left w:val="single" w:color="000000" w:sz="4" w:space="0"/>
              <w:bottom w:val="single" w:color="000000" w:sz="4" w:space="0"/>
              <w:right w:val="single" w:color="000000" w:sz="4" w:space="0"/>
            </w:tcBorders>
            <w:noWrap/>
          </w:tcPr>
          <w:p w14:paraId="0DC59C12">
            <w:pPr>
              <w:widowControl/>
              <w:spacing w:line="240" w:lineRule="exact"/>
              <w:jc w:val="both"/>
              <w:rPr>
                <w:rFonts w:ascii="宋体" w:hAnsi="宋体" w:cs="宋体"/>
                <w:color w:val="auto"/>
                <w:kern w:val="0"/>
                <w:sz w:val="18"/>
                <w:szCs w:val="18"/>
                <w:highlight w:val="none"/>
              </w:rPr>
            </w:pPr>
            <w:r>
              <w:rPr>
                <w:rFonts w:hint="eastAsia" w:ascii="宋体" w:hAnsi="宋体" w:cs="宋体"/>
                <w:color w:val="auto"/>
                <w:kern w:val="0"/>
                <w:sz w:val="18"/>
                <w:szCs w:val="18"/>
                <w:highlight w:val="none"/>
              </w:rPr>
              <w:t>优秀12-15分，良好得8-11分，合格得4-7分，不合格0-3分。（10分）</w:t>
            </w:r>
          </w:p>
        </w:tc>
        <w:tc>
          <w:tcPr>
            <w:tcW w:w="1020" w:type="dxa"/>
            <w:tcBorders>
              <w:top w:val="single" w:color="000000" w:sz="4" w:space="0"/>
              <w:left w:val="single" w:color="000000" w:sz="4" w:space="0"/>
              <w:bottom w:val="single" w:color="000000" w:sz="4" w:space="0"/>
              <w:right w:val="single" w:color="000000" w:sz="4" w:space="0"/>
            </w:tcBorders>
            <w:noWrap/>
          </w:tcPr>
          <w:p w14:paraId="1C411944">
            <w:pPr>
              <w:widowControl/>
              <w:spacing w:line="240" w:lineRule="exact"/>
              <w:jc w:val="both"/>
              <w:rPr>
                <w:rFonts w:ascii="宋体" w:hAnsi="宋体" w:cs="宋体"/>
                <w:color w:val="auto"/>
                <w:kern w:val="0"/>
                <w:sz w:val="18"/>
                <w:szCs w:val="18"/>
                <w:highlight w:val="none"/>
              </w:rPr>
            </w:pPr>
            <w:r>
              <w:rPr>
                <w:rFonts w:hint="eastAsia" w:ascii="宋体" w:hAnsi="宋体" w:cs="宋体"/>
                <w:color w:val="auto"/>
                <w:kern w:val="0"/>
                <w:sz w:val="18"/>
                <w:szCs w:val="18"/>
                <w:highlight w:val="none"/>
              </w:rPr>
              <w:t>优秀12-15分，良好得8-11分，合格得4-7分，不合格0-3分。（10分）</w:t>
            </w:r>
          </w:p>
        </w:tc>
        <w:tc>
          <w:tcPr>
            <w:tcW w:w="860" w:type="dxa"/>
            <w:tcBorders>
              <w:top w:val="single" w:color="000000" w:sz="4" w:space="0"/>
              <w:left w:val="single" w:color="000000" w:sz="4" w:space="0"/>
              <w:bottom w:val="single" w:color="000000" w:sz="4" w:space="0"/>
              <w:right w:val="single" w:color="000000" w:sz="4" w:space="0"/>
            </w:tcBorders>
            <w:noWrap/>
          </w:tcPr>
          <w:p w14:paraId="67A9457B">
            <w:pPr>
              <w:widowControl/>
              <w:spacing w:line="240" w:lineRule="exact"/>
              <w:jc w:val="both"/>
              <w:rPr>
                <w:rFonts w:ascii="宋体" w:hAnsi="宋体" w:cs="宋体"/>
                <w:color w:val="auto"/>
                <w:kern w:val="0"/>
                <w:sz w:val="18"/>
                <w:szCs w:val="18"/>
                <w:highlight w:val="none"/>
              </w:rPr>
            </w:pPr>
            <w:r>
              <w:rPr>
                <w:rFonts w:hint="eastAsia" w:ascii="宋体" w:hAnsi="宋体" w:cs="宋体"/>
                <w:color w:val="auto"/>
                <w:kern w:val="0"/>
                <w:sz w:val="18"/>
                <w:szCs w:val="18"/>
                <w:highlight w:val="none"/>
              </w:rPr>
              <w:t>优秀12-15分，良好得8-11分，合格得4-7分，不合格0-3分。（15分）</w:t>
            </w:r>
          </w:p>
        </w:tc>
        <w:tc>
          <w:tcPr>
            <w:tcW w:w="844" w:type="dxa"/>
            <w:tcBorders>
              <w:top w:val="single" w:color="000000" w:sz="4" w:space="0"/>
              <w:left w:val="single" w:color="000000" w:sz="4" w:space="0"/>
              <w:bottom w:val="single" w:color="000000" w:sz="4" w:space="0"/>
              <w:right w:val="single" w:color="000000" w:sz="4" w:space="0"/>
            </w:tcBorders>
            <w:noWrap/>
          </w:tcPr>
          <w:p w14:paraId="78147B88">
            <w:pPr>
              <w:widowControl/>
              <w:spacing w:line="240" w:lineRule="exact"/>
              <w:jc w:val="both"/>
              <w:rPr>
                <w:rFonts w:ascii="宋体" w:hAnsi="宋体" w:cs="宋体"/>
                <w:color w:val="auto"/>
                <w:kern w:val="0"/>
                <w:sz w:val="18"/>
                <w:szCs w:val="18"/>
                <w:highlight w:val="none"/>
              </w:rPr>
            </w:pPr>
            <w:r>
              <w:rPr>
                <w:rFonts w:hint="eastAsia" w:ascii="宋体" w:hAnsi="宋体" w:cs="宋体"/>
                <w:color w:val="auto"/>
                <w:kern w:val="0"/>
                <w:sz w:val="18"/>
                <w:szCs w:val="18"/>
                <w:highlight w:val="none"/>
              </w:rPr>
              <w:t>优秀12-15分，良好得8-11分，合格得4-7分，不合格0-3分。（10分）</w:t>
            </w:r>
          </w:p>
        </w:tc>
        <w:tc>
          <w:tcPr>
            <w:tcW w:w="594" w:type="dxa"/>
            <w:vMerge w:val="continue"/>
            <w:tcBorders>
              <w:top w:val="single" w:color="000000" w:sz="4" w:space="0"/>
              <w:left w:val="single" w:color="000000" w:sz="4" w:space="0"/>
              <w:bottom w:val="single" w:color="000000" w:sz="4" w:space="0"/>
              <w:right w:val="single" w:color="000000" w:sz="4" w:space="0"/>
            </w:tcBorders>
            <w:noWrap/>
            <w:vAlign w:val="center"/>
          </w:tcPr>
          <w:p w14:paraId="6F6D23D7">
            <w:pPr>
              <w:widowControl/>
              <w:spacing w:line="240" w:lineRule="exact"/>
              <w:rPr>
                <w:rFonts w:ascii="宋体" w:hAnsi="宋体" w:cs="宋体"/>
                <w:color w:val="auto"/>
                <w:kern w:val="0"/>
                <w:sz w:val="18"/>
                <w:szCs w:val="18"/>
                <w:highlight w:val="none"/>
              </w:rPr>
            </w:pPr>
          </w:p>
        </w:tc>
      </w:tr>
      <w:tr w14:paraId="71C09400">
        <w:tblPrEx>
          <w:tblCellMar>
            <w:top w:w="0" w:type="dxa"/>
            <w:left w:w="108" w:type="dxa"/>
            <w:bottom w:w="0" w:type="dxa"/>
            <w:right w:w="108" w:type="dxa"/>
          </w:tblCellMar>
        </w:tblPrEx>
        <w:trPr>
          <w:trHeight w:val="912" w:hRule="atLeast"/>
        </w:trPr>
        <w:tc>
          <w:tcPr>
            <w:tcW w:w="404" w:type="dxa"/>
            <w:tcBorders>
              <w:top w:val="nil"/>
              <w:left w:val="single" w:color="000000" w:sz="4" w:space="0"/>
              <w:bottom w:val="single" w:color="000000" w:sz="4" w:space="0"/>
              <w:right w:val="single" w:color="000000" w:sz="4" w:space="0"/>
            </w:tcBorders>
            <w:shd w:val="clear" w:color="auto" w:fill="C6EFCE"/>
            <w:noWrap/>
            <w:vAlign w:val="center"/>
          </w:tcPr>
          <w:p w14:paraId="22AD6F03">
            <w:pPr>
              <w:widowControl/>
              <w:spacing w:line="240" w:lineRule="exact"/>
              <w:jc w:val="center"/>
              <w:rPr>
                <w:rFonts w:ascii="宋体" w:hAnsi="宋体" w:cs="宋体"/>
                <w:color w:val="auto"/>
                <w:kern w:val="0"/>
                <w:sz w:val="18"/>
                <w:szCs w:val="18"/>
                <w:highlight w:val="none"/>
              </w:rPr>
            </w:pPr>
            <w:r>
              <w:rPr>
                <w:rFonts w:hint="eastAsia" w:ascii="宋体" w:hAnsi="宋体" w:cs="宋体"/>
                <w:color w:val="auto"/>
                <w:kern w:val="0"/>
                <w:sz w:val="18"/>
                <w:szCs w:val="18"/>
                <w:highlight w:val="none"/>
              </w:rPr>
              <w:t>甲方</w:t>
            </w:r>
            <w:r>
              <w:rPr>
                <w:rFonts w:hint="eastAsia" w:ascii="宋体" w:hAnsi="宋体" w:cs="宋体"/>
                <w:color w:val="auto"/>
                <w:kern w:val="0"/>
                <w:sz w:val="18"/>
                <w:szCs w:val="18"/>
                <w:highlight w:val="none"/>
                <w:lang w:eastAsia="zh-CN"/>
              </w:rPr>
              <w:t>物业</w:t>
            </w:r>
            <w:r>
              <w:rPr>
                <w:rFonts w:hint="eastAsia" w:ascii="宋体" w:hAnsi="宋体" w:cs="宋体"/>
                <w:color w:val="auto"/>
                <w:kern w:val="0"/>
                <w:sz w:val="18"/>
                <w:szCs w:val="18"/>
                <w:highlight w:val="none"/>
              </w:rPr>
              <w:t>管理人员打分</w:t>
            </w:r>
          </w:p>
        </w:tc>
        <w:tc>
          <w:tcPr>
            <w:tcW w:w="928" w:type="dxa"/>
            <w:tcBorders>
              <w:top w:val="nil"/>
              <w:left w:val="single" w:color="000000" w:sz="4" w:space="0"/>
              <w:bottom w:val="single" w:color="000000" w:sz="4" w:space="0"/>
              <w:right w:val="single" w:color="000000" w:sz="4" w:space="0"/>
            </w:tcBorders>
            <w:noWrap/>
            <w:vAlign w:val="center"/>
          </w:tcPr>
          <w:p w14:paraId="0910603A">
            <w:pPr>
              <w:widowControl/>
              <w:spacing w:line="240" w:lineRule="exact"/>
              <w:jc w:val="center"/>
              <w:rPr>
                <w:rFonts w:ascii="宋体" w:hAnsi="宋体" w:cs="宋体"/>
                <w:color w:val="auto"/>
                <w:kern w:val="0"/>
                <w:sz w:val="18"/>
                <w:szCs w:val="18"/>
                <w:highlight w:val="none"/>
              </w:rPr>
            </w:pPr>
          </w:p>
        </w:tc>
        <w:tc>
          <w:tcPr>
            <w:tcW w:w="919" w:type="dxa"/>
            <w:tcBorders>
              <w:top w:val="nil"/>
              <w:left w:val="single" w:color="000000" w:sz="4" w:space="0"/>
              <w:bottom w:val="single" w:color="000000" w:sz="4" w:space="0"/>
              <w:right w:val="single" w:color="000000" w:sz="4" w:space="0"/>
            </w:tcBorders>
            <w:noWrap/>
            <w:vAlign w:val="center"/>
          </w:tcPr>
          <w:p w14:paraId="03BA62C2">
            <w:pPr>
              <w:widowControl/>
              <w:spacing w:line="240" w:lineRule="exact"/>
              <w:rPr>
                <w:rFonts w:eastAsia="Times New Roman"/>
                <w:color w:val="auto"/>
                <w:kern w:val="0"/>
                <w:sz w:val="18"/>
                <w:szCs w:val="18"/>
                <w:highlight w:val="none"/>
              </w:rPr>
            </w:pPr>
          </w:p>
        </w:tc>
        <w:tc>
          <w:tcPr>
            <w:tcW w:w="1036" w:type="dxa"/>
            <w:tcBorders>
              <w:top w:val="nil"/>
              <w:left w:val="single" w:color="000000" w:sz="4" w:space="0"/>
              <w:bottom w:val="single" w:color="000000" w:sz="4" w:space="0"/>
              <w:right w:val="single" w:color="000000" w:sz="4" w:space="0"/>
            </w:tcBorders>
            <w:noWrap/>
            <w:vAlign w:val="center"/>
          </w:tcPr>
          <w:p w14:paraId="1B72CC0D">
            <w:pPr>
              <w:widowControl/>
              <w:spacing w:line="240" w:lineRule="exact"/>
              <w:rPr>
                <w:rFonts w:eastAsia="Times New Roman"/>
                <w:color w:val="auto"/>
                <w:kern w:val="0"/>
                <w:sz w:val="18"/>
                <w:szCs w:val="18"/>
                <w:highlight w:val="none"/>
              </w:rPr>
            </w:pPr>
          </w:p>
        </w:tc>
        <w:tc>
          <w:tcPr>
            <w:tcW w:w="931" w:type="dxa"/>
            <w:tcBorders>
              <w:top w:val="nil"/>
              <w:left w:val="single" w:color="000000" w:sz="4" w:space="0"/>
              <w:bottom w:val="single" w:color="000000" w:sz="4" w:space="0"/>
              <w:right w:val="single" w:color="000000" w:sz="4" w:space="0"/>
            </w:tcBorders>
            <w:noWrap/>
            <w:vAlign w:val="center"/>
          </w:tcPr>
          <w:p w14:paraId="072957B1">
            <w:pPr>
              <w:widowControl/>
              <w:spacing w:line="240" w:lineRule="exact"/>
              <w:rPr>
                <w:rFonts w:eastAsia="Times New Roman"/>
                <w:color w:val="auto"/>
                <w:kern w:val="0"/>
                <w:sz w:val="18"/>
                <w:szCs w:val="18"/>
                <w:highlight w:val="none"/>
              </w:rPr>
            </w:pPr>
          </w:p>
        </w:tc>
        <w:tc>
          <w:tcPr>
            <w:tcW w:w="931" w:type="dxa"/>
            <w:tcBorders>
              <w:top w:val="nil"/>
              <w:left w:val="single" w:color="000000" w:sz="4" w:space="0"/>
              <w:bottom w:val="single" w:color="000000" w:sz="4" w:space="0"/>
              <w:right w:val="single" w:color="000000" w:sz="4" w:space="0"/>
            </w:tcBorders>
            <w:noWrap/>
            <w:vAlign w:val="center"/>
          </w:tcPr>
          <w:p w14:paraId="5ADFE7BD">
            <w:pPr>
              <w:widowControl/>
              <w:spacing w:line="240" w:lineRule="exact"/>
              <w:rPr>
                <w:rFonts w:eastAsia="Times New Roman"/>
                <w:color w:val="auto"/>
                <w:kern w:val="0"/>
                <w:sz w:val="18"/>
                <w:szCs w:val="18"/>
                <w:highlight w:val="none"/>
              </w:rPr>
            </w:pPr>
          </w:p>
        </w:tc>
        <w:tc>
          <w:tcPr>
            <w:tcW w:w="998" w:type="dxa"/>
            <w:tcBorders>
              <w:top w:val="nil"/>
              <w:left w:val="single" w:color="000000" w:sz="4" w:space="0"/>
              <w:bottom w:val="single" w:color="000000" w:sz="4" w:space="0"/>
              <w:right w:val="single" w:color="000000" w:sz="4" w:space="0"/>
            </w:tcBorders>
            <w:noWrap/>
            <w:vAlign w:val="center"/>
          </w:tcPr>
          <w:p w14:paraId="0B2F91F5">
            <w:pPr>
              <w:widowControl/>
              <w:spacing w:line="240" w:lineRule="exact"/>
              <w:rPr>
                <w:rFonts w:eastAsia="Times New Roman"/>
                <w:color w:val="auto"/>
                <w:kern w:val="0"/>
                <w:sz w:val="18"/>
                <w:szCs w:val="18"/>
                <w:highlight w:val="none"/>
              </w:rPr>
            </w:pPr>
          </w:p>
        </w:tc>
        <w:tc>
          <w:tcPr>
            <w:tcW w:w="1020" w:type="dxa"/>
            <w:tcBorders>
              <w:top w:val="single" w:color="000000" w:sz="4" w:space="0"/>
              <w:left w:val="single" w:color="000000" w:sz="4" w:space="0"/>
              <w:bottom w:val="single" w:color="000000" w:sz="4" w:space="0"/>
              <w:right w:val="single" w:color="000000" w:sz="4" w:space="0"/>
            </w:tcBorders>
            <w:noWrap/>
            <w:vAlign w:val="center"/>
          </w:tcPr>
          <w:p w14:paraId="7680F428">
            <w:pPr>
              <w:widowControl/>
              <w:spacing w:line="240" w:lineRule="exact"/>
              <w:rPr>
                <w:rFonts w:eastAsia="Times New Roman"/>
                <w:color w:val="auto"/>
                <w:kern w:val="0"/>
                <w:sz w:val="18"/>
                <w:szCs w:val="18"/>
                <w:highlight w:val="none"/>
              </w:rPr>
            </w:pPr>
          </w:p>
        </w:tc>
        <w:tc>
          <w:tcPr>
            <w:tcW w:w="860" w:type="dxa"/>
            <w:tcBorders>
              <w:top w:val="nil"/>
              <w:left w:val="single" w:color="000000" w:sz="4" w:space="0"/>
              <w:bottom w:val="single" w:color="000000" w:sz="4" w:space="0"/>
              <w:right w:val="single" w:color="000000" w:sz="4" w:space="0"/>
            </w:tcBorders>
            <w:noWrap/>
          </w:tcPr>
          <w:p w14:paraId="507670FD">
            <w:pPr>
              <w:widowControl/>
              <w:spacing w:line="240" w:lineRule="exact"/>
              <w:jc w:val="center"/>
              <w:rPr>
                <w:rFonts w:eastAsia="Times New Roman"/>
                <w:color w:val="auto"/>
                <w:kern w:val="0"/>
                <w:sz w:val="18"/>
                <w:szCs w:val="18"/>
                <w:highlight w:val="none"/>
              </w:rPr>
            </w:pPr>
          </w:p>
        </w:tc>
        <w:tc>
          <w:tcPr>
            <w:tcW w:w="844" w:type="dxa"/>
            <w:tcBorders>
              <w:top w:val="nil"/>
              <w:left w:val="single" w:color="000000" w:sz="4" w:space="0"/>
              <w:bottom w:val="single" w:color="000000" w:sz="4" w:space="0"/>
              <w:right w:val="single" w:color="000000" w:sz="4" w:space="0"/>
            </w:tcBorders>
            <w:noWrap/>
            <w:vAlign w:val="center"/>
          </w:tcPr>
          <w:p w14:paraId="0E632D99">
            <w:pPr>
              <w:widowControl/>
              <w:spacing w:line="240" w:lineRule="exact"/>
              <w:jc w:val="center"/>
              <w:rPr>
                <w:rFonts w:eastAsia="Times New Roman"/>
                <w:color w:val="auto"/>
                <w:kern w:val="0"/>
                <w:sz w:val="18"/>
                <w:szCs w:val="18"/>
                <w:highlight w:val="none"/>
              </w:rPr>
            </w:pPr>
          </w:p>
        </w:tc>
        <w:tc>
          <w:tcPr>
            <w:tcW w:w="594" w:type="dxa"/>
            <w:tcBorders>
              <w:top w:val="nil"/>
              <w:left w:val="single" w:color="000000" w:sz="4" w:space="0"/>
              <w:bottom w:val="single" w:color="000000" w:sz="4" w:space="0"/>
              <w:right w:val="single" w:color="000000" w:sz="4" w:space="0"/>
            </w:tcBorders>
            <w:noWrap/>
            <w:vAlign w:val="center"/>
          </w:tcPr>
          <w:p w14:paraId="24DCB815">
            <w:pPr>
              <w:widowControl/>
              <w:spacing w:line="240" w:lineRule="exact"/>
              <w:rPr>
                <w:rFonts w:eastAsia="Times New Roman"/>
                <w:color w:val="auto"/>
                <w:kern w:val="0"/>
                <w:sz w:val="18"/>
                <w:szCs w:val="18"/>
                <w:highlight w:val="none"/>
              </w:rPr>
            </w:pPr>
          </w:p>
        </w:tc>
      </w:tr>
      <w:tr w14:paraId="37BBCAE6">
        <w:tblPrEx>
          <w:tblCellMar>
            <w:top w:w="0" w:type="dxa"/>
            <w:left w:w="108" w:type="dxa"/>
            <w:bottom w:w="0" w:type="dxa"/>
            <w:right w:w="108" w:type="dxa"/>
          </w:tblCellMar>
        </w:tblPrEx>
        <w:trPr>
          <w:trHeight w:val="878" w:hRule="atLeast"/>
        </w:trPr>
        <w:tc>
          <w:tcPr>
            <w:tcW w:w="404" w:type="dxa"/>
            <w:tcBorders>
              <w:top w:val="nil"/>
              <w:left w:val="single" w:color="000000" w:sz="4" w:space="0"/>
              <w:bottom w:val="single" w:color="000000" w:sz="4" w:space="0"/>
              <w:right w:val="single" w:color="000000" w:sz="4" w:space="0"/>
            </w:tcBorders>
            <w:shd w:val="clear" w:color="auto" w:fill="C6EFCE"/>
            <w:noWrap/>
            <w:vAlign w:val="center"/>
          </w:tcPr>
          <w:p w14:paraId="0DA3CF6F">
            <w:pPr>
              <w:widowControl/>
              <w:spacing w:line="240" w:lineRule="exact"/>
              <w:jc w:val="center"/>
              <w:rPr>
                <w:rFonts w:ascii="宋体" w:hAnsi="宋体" w:cs="宋体"/>
                <w:color w:val="auto"/>
                <w:kern w:val="0"/>
                <w:sz w:val="18"/>
                <w:szCs w:val="18"/>
                <w:highlight w:val="none"/>
              </w:rPr>
            </w:pPr>
            <w:r>
              <w:rPr>
                <w:rFonts w:hint="eastAsia" w:ascii="宋体" w:hAnsi="宋体" w:cs="宋体"/>
                <w:color w:val="auto"/>
                <w:kern w:val="0"/>
                <w:sz w:val="18"/>
                <w:szCs w:val="18"/>
                <w:highlight w:val="none"/>
              </w:rPr>
              <w:t>甲方</w:t>
            </w:r>
            <w:r>
              <w:rPr>
                <w:rFonts w:hint="eastAsia" w:ascii="宋体" w:hAnsi="宋体" w:cs="宋体"/>
                <w:color w:val="auto"/>
                <w:kern w:val="0"/>
                <w:sz w:val="18"/>
                <w:szCs w:val="18"/>
                <w:highlight w:val="none"/>
                <w:lang w:eastAsia="zh-CN"/>
              </w:rPr>
              <w:t>物业</w:t>
            </w:r>
            <w:r>
              <w:rPr>
                <w:rFonts w:hint="eastAsia" w:ascii="宋体" w:hAnsi="宋体" w:cs="宋体"/>
                <w:color w:val="auto"/>
                <w:kern w:val="0"/>
                <w:sz w:val="18"/>
                <w:szCs w:val="18"/>
                <w:highlight w:val="none"/>
              </w:rPr>
              <w:t>负责人打分</w:t>
            </w:r>
          </w:p>
        </w:tc>
        <w:tc>
          <w:tcPr>
            <w:tcW w:w="928" w:type="dxa"/>
            <w:tcBorders>
              <w:top w:val="nil"/>
              <w:left w:val="single" w:color="000000" w:sz="4" w:space="0"/>
              <w:bottom w:val="single" w:color="000000" w:sz="4" w:space="0"/>
              <w:right w:val="single" w:color="000000" w:sz="4" w:space="0"/>
            </w:tcBorders>
            <w:noWrap/>
            <w:vAlign w:val="center"/>
          </w:tcPr>
          <w:p w14:paraId="6AF11266">
            <w:pPr>
              <w:widowControl/>
              <w:spacing w:line="240" w:lineRule="exact"/>
              <w:jc w:val="center"/>
              <w:rPr>
                <w:rFonts w:ascii="宋体" w:hAnsi="宋体" w:cs="宋体"/>
                <w:color w:val="auto"/>
                <w:kern w:val="0"/>
                <w:sz w:val="18"/>
                <w:szCs w:val="18"/>
                <w:highlight w:val="none"/>
              </w:rPr>
            </w:pPr>
          </w:p>
        </w:tc>
        <w:tc>
          <w:tcPr>
            <w:tcW w:w="919" w:type="dxa"/>
            <w:tcBorders>
              <w:top w:val="nil"/>
              <w:left w:val="single" w:color="000000" w:sz="4" w:space="0"/>
              <w:bottom w:val="single" w:color="000000" w:sz="4" w:space="0"/>
              <w:right w:val="single" w:color="000000" w:sz="4" w:space="0"/>
            </w:tcBorders>
            <w:noWrap/>
            <w:vAlign w:val="center"/>
          </w:tcPr>
          <w:p w14:paraId="5D91CDCD">
            <w:pPr>
              <w:widowControl/>
              <w:spacing w:line="240" w:lineRule="exact"/>
              <w:rPr>
                <w:rFonts w:eastAsia="Times New Roman"/>
                <w:color w:val="auto"/>
                <w:kern w:val="0"/>
                <w:sz w:val="18"/>
                <w:szCs w:val="18"/>
                <w:highlight w:val="none"/>
              </w:rPr>
            </w:pPr>
          </w:p>
        </w:tc>
        <w:tc>
          <w:tcPr>
            <w:tcW w:w="1036" w:type="dxa"/>
            <w:tcBorders>
              <w:top w:val="nil"/>
              <w:left w:val="single" w:color="000000" w:sz="4" w:space="0"/>
              <w:bottom w:val="single" w:color="000000" w:sz="4" w:space="0"/>
              <w:right w:val="single" w:color="000000" w:sz="4" w:space="0"/>
            </w:tcBorders>
            <w:noWrap/>
            <w:vAlign w:val="center"/>
          </w:tcPr>
          <w:p w14:paraId="7045D8F9">
            <w:pPr>
              <w:widowControl/>
              <w:spacing w:line="240" w:lineRule="exact"/>
              <w:rPr>
                <w:rFonts w:eastAsia="Times New Roman"/>
                <w:color w:val="auto"/>
                <w:kern w:val="0"/>
                <w:sz w:val="18"/>
                <w:szCs w:val="18"/>
                <w:highlight w:val="none"/>
              </w:rPr>
            </w:pPr>
          </w:p>
        </w:tc>
        <w:tc>
          <w:tcPr>
            <w:tcW w:w="931" w:type="dxa"/>
            <w:tcBorders>
              <w:top w:val="nil"/>
              <w:left w:val="single" w:color="000000" w:sz="4" w:space="0"/>
              <w:bottom w:val="single" w:color="000000" w:sz="4" w:space="0"/>
              <w:right w:val="single" w:color="000000" w:sz="4" w:space="0"/>
            </w:tcBorders>
            <w:noWrap/>
            <w:vAlign w:val="center"/>
          </w:tcPr>
          <w:p w14:paraId="085F7521">
            <w:pPr>
              <w:widowControl/>
              <w:spacing w:line="240" w:lineRule="exact"/>
              <w:rPr>
                <w:rFonts w:eastAsia="Times New Roman"/>
                <w:color w:val="auto"/>
                <w:kern w:val="0"/>
                <w:sz w:val="18"/>
                <w:szCs w:val="18"/>
                <w:highlight w:val="none"/>
              </w:rPr>
            </w:pPr>
          </w:p>
        </w:tc>
        <w:tc>
          <w:tcPr>
            <w:tcW w:w="931" w:type="dxa"/>
            <w:tcBorders>
              <w:top w:val="nil"/>
              <w:left w:val="single" w:color="000000" w:sz="4" w:space="0"/>
              <w:bottom w:val="single" w:color="000000" w:sz="4" w:space="0"/>
              <w:right w:val="single" w:color="000000" w:sz="4" w:space="0"/>
            </w:tcBorders>
            <w:noWrap/>
            <w:vAlign w:val="center"/>
          </w:tcPr>
          <w:p w14:paraId="34DD234D">
            <w:pPr>
              <w:widowControl/>
              <w:spacing w:line="240" w:lineRule="exact"/>
              <w:rPr>
                <w:rFonts w:eastAsia="Times New Roman"/>
                <w:color w:val="auto"/>
                <w:kern w:val="0"/>
                <w:sz w:val="18"/>
                <w:szCs w:val="18"/>
                <w:highlight w:val="none"/>
              </w:rPr>
            </w:pPr>
          </w:p>
        </w:tc>
        <w:tc>
          <w:tcPr>
            <w:tcW w:w="998" w:type="dxa"/>
            <w:tcBorders>
              <w:top w:val="nil"/>
              <w:left w:val="single" w:color="000000" w:sz="4" w:space="0"/>
              <w:bottom w:val="single" w:color="000000" w:sz="4" w:space="0"/>
              <w:right w:val="single" w:color="000000" w:sz="4" w:space="0"/>
            </w:tcBorders>
            <w:noWrap/>
            <w:vAlign w:val="center"/>
          </w:tcPr>
          <w:p w14:paraId="553039EC">
            <w:pPr>
              <w:widowControl/>
              <w:spacing w:line="240" w:lineRule="exact"/>
              <w:rPr>
                <w:rFonts w:eastAsia="Times New Roman"/>
                <w:color w:val="auto"/>
                <w:kern w:val="0"/>
                <w:sz w:val="18"/>
                <w:szCs w:val="18"/>
                <w:highlight w:val="none"/>
              </w:rPr>
            </w:pPr>
          </w:p>
        </w:tc>
        <w:tc>
          <w:tcPr>
            <w:tcW w:w="1020" w:type="dxa"/>
            <w:tcBorders>
              <w:top w:val="single" w:color="000000" w:sz="4" w:space="0"/>
              <w:left w:val="single" w:color="000000" w:sz="4" w:space="0"/>
              <w:bottom w:val="single" w:color="000000" w:sz="4" w:space="0"/>
              <w:right w:val="single" w:color="000000" w:sz="4" w:space="0"/>
            </w:tcBorders>
            <w:noWrap/>
            <w:vAlign w:val="center"/>
          </w:tcPr>
          <w:p w14:paraId="743B5455">
            <w:pPr>
              <w:widowControl/>
              <w:spacing w:line="240" w:lineRule="exact"/>
              <w:rPr>
                <w:rFonts w:eastAsia="Times New Roman"/>
                <w:color w:val="auto"/>
                <w:kern w:val="0"/>
                <w:sz w:val="18"/>
                <w:szCs w:val="18"/>
                <w:highlight w:val="none"/>
              </w:rPr>
            </w:pPr>
          </w:p>
        </w:tc>
        <w:tc>
          <w:tcPr>
            <w:tcW w:w="860" w:type="dxa"/>
            <w:tcBorders>
              <w:top w:val="nil"/>
              <w:left w:val="single" w:color="000000" w:sz="4" w:space="0"/>
              <w:bottom w:val="single" w:color="000000" w:sz="4" w:space="0"/>
              <w:right w:val="single" w:color="000000" w:sz="4" w:space="0"/>
            </w:tcBorders>
            <w:noWrap/>
          </w:tcPr>
          <w:p w14:paraId="3F77AC69">
            <w:pPr>
              <w:widowControl/>
              <w:spacing w:line="240" w:lineRule="exact"/>
              <w:jc w:val="center"/>
              <w:rPr>
                <w:rFonts w:eastAsia="Times New Roman"/>
                <w:color w:val="auto"/>
                <w:kern w:val="0"/>
                <w:sz w:val="18"/>
                <w:szCs w:val="18"/>
                <w:highlight w:val="none"/>
              </w:rPr>
            </w:pPr>
          </w:p>
        </w:tc>
        <w:tc>
          <w:tcPr>
            <w:tcW w:w="844" w:type="dxa"/>
            <w:tcBorders>
              <w:top w:val="nil"/>
              <w:left w:val="single" w:color="000000" w:sz="4" w:space="0"/>
              <w:bottom w:val="single" w:color="000000" w:sz="4" w:space="0"/>
              <w:right w:val="single" w:color="000000" w:sz="4" w:space="0"/>
            </w:tcBorders>
            <w:noWrap/>
            <w:vAlign w:val="center"/>
          </w:tcPr>
          <w:p w14:paraId="6C59165A">
            <w:pPr>
              <w:widowControl/>
              <w:spacing w:line="240" w:lineRule="exact"/>
              <w:jc w:val="center"/>
              <w:rPr>
                <w:rFonts w:eastAsia="Times New Roman"/>
                <w:color w:val="auto"/>
                <w:kern w:val="0"/>
                <w:sz w:val="18"/>
                <w:szCs w:val="18"/>
                <w:highlight w:val="none"/>
              </w:rPr>
            </w:pPr>
          </w:p>
        </w:tc>
        <w:tc>
          <w:tcPr>
            <w:tcW w:w="594" w:type="dxa"/>
            <w:tcBorders>
              <w:top w:val="nil"/>
              <w:left w:val="single" w:color="000000" w:sz="4" w:space="0"/>
              <w:bottom w:val="single" w:color="000000" w:sz="4" w:space="0"/>
              <w:right w:val="single" w:color="000000" w:sz="4" w:space="0"/>
            </w:tcBorders>
            <w:noWrap/>
            <w:vAlign w:val="center"/>
          </w:tcPr>
          <w:p w14:paraId="467B79BC">
            <w:pPr>
              <w:widowControl/>
              <w:spacing w:line="240" w:lineRule="exact"/>
              <w:rPr>
                <w:rFonts w:eastAsia="Times New Roman"/>
                <w:color w:val="auto"/>
                <w:kern w:val="0"/>
                <w:sz w:val="18"/>
                <w:szCs w:val="18"/>
                <w:highlight w:val="none"/>
              </w:rPr>
            </w:pPr>
          </w:p>
        </w:tc>
      </w:tr>
      <w:tr w14:paraId="40A6C8F2">
        <w:tblPrEx>
          <w:tblCellMar>
            <w:top w:w="0" w:type="dxa"/>
            <w:left w:w="108" w:type="dxa"/>
            <w:bottom w:w="0" w:type="dxa"/>
            <w:right w:w="108" w:type="dxa"/>
          </w:tblCellMar>
        </w:tblPrEx>
        <w:trPr>
          <w:trHeight w:val="1671" w:hRule="atLeast"/>
        </w:trPr>
        <w:tc>
          <w:tcPr>
            <w:tcW w:w="404" w:type="dxa"/>
            <w:tcBorders>
              <w:top w:val="single" w:color="000000" w:sz="4" w:space="0"/>
              <w:left w:val="single" w:color="000000" w:sz="4" w:space="0"/>
              <w:bottom w:val="single" w:color="000000" w:sz="4" w:space="0"/>
              <w:right w:val="single" w:color="000000" w:sz="4" w:space="0"/>
            </w:tcBorders>
            <w:shd w:val="clear" w:color="auto" w:fill="C6EFCE"/>
            <w:noWrap/>
            <w:vAlign w:val="center"/>
          </w:tcPr>
          <w:p w14:paraId="1C562B72">
            <w:pPr>
              <w:widowControl/>
              <w:spacing w:line="240" w:lineRule="exact"/>
              <w:jc w:val="center"/>
              <w:rPr>
                <w:rFonts w:ascii="宋体" w:hAnsi="宋体" w:cs="宋体"/>
                <w:color w:val="auto"/>
                <w:kern w:val="0"/>
                <w:sz w:val="18"/>
                <w:szCs w:val="18"/>
                <w:highlight w:val="none"/>
              </w:rPr>
            </w:pPr>
            <w:r>
              <w:rPr>
                <w:rFonts w:hint="eastAsia" w:ascii="宋体" w:hAnsi="宋体" w:cs="宋体"/>
                <w:color w:val="auto"/>
                <w:kern w:val="0"/>
                <w:sz w:val="18"/>
                <w:szCs w:val="18"/>
                <w:highlight w:val="none"/>
              </w:rPr>
              <w:t>总分</w:t>
            </w:r>
          </w:p>
        </w:tc>
        <w:tc>
          <w:tcPr>
            <w:tcW w:w="928" w:type="dxa"/>
            <w:tcBorders>
              <w:top w:val="single" w:color="000000" w:sz="4" w:space="0"/>
              <w:left w:val="nil"/>
              <w:bottom w:val="single" w:color="000000" w:sz="4" w:space="0"/>
              <w:right w:val="single" w:color="000000" w:sz="4" w:space="0"/>
            </w:tcBorders>
            <w:shd w:val="clear" w:color="auto" w:fill="auto"/>
            <w:noWrap/>
            <w:vAlign w:val="center"/>
          </w:tcPr>
          <w:p w14:paraId="403F2C26">
            <w:pPr>
              <w:widowControl/>
              <w:spacing w:line="240" w:lineRule="exact"/>
              <w:jc w:val="center"/>
              <w:rPr>
                <w:rFonts w:ascii="宋体" w:hAnsi="宋体" w:cs="宋体"/>
                <w:color w:val="auto"/>
                <w:kern w:val="0"/>
                <w:sz w:val="18"/>
                <w:szCs w:val="18"/>
                <w:highlight w:val="none"/>
              </w:rPr>
            </w:pPr>
          </w:p>
        </w:tc>
        <w:tc>
          <w:tcPr>
            <w:tcW w:w="919" w:type="dxa"/>
            <w:tcBorders>
              <w:top w:val="single" w:color="000000" w:sz="4" w:space="0"/>
              <w:left w:val="single" w:color="000000" w:sz="4" w:space="0"/>
              <w:bottom w:val="single" w:color="000000" w:sz="4" w:space="0"/>
              <w:right w:val="single" w:color="000000" w:sz="4" w:space="0"/>
            </w:tcBorders>
            <w:shd w:val="clear" w:color="auto" w:fill="C6EFCE"/>
            <w:noWrap/>
            <w:vAlign w:val="center"/>
          </w:tcPr>
          <w:p w14:paraId="2E7885B3">
            <w:pPr>
              <w:widowControl/>
              <w:spacing w:line="240" w:lineRule="exact"/>
              <w:jc w:val="center"/>
              <w:rPr>
                <w:rFonts w:ascii="宋体" w:hAnsi="宋体" w:cs="宋体"/>
                <w:color w:val="auto"/>
                <w:kern w:val="0"/>
                <w:sz w:val="18"/>
                <w:szCs w:val="18"/>
                <w:highlight w:val="none"/>
              </w:rPr>
            </w:pPr>
            <w:r>
              <w:rPr>
                <w:rFonts w:hint="eastAsia" w:ascii="宋体" w:hAnsi="宋体" w:cs="宋体"/>
                <w:color w:val="auto"/>
                <w:kern w:val="0"/>
                <w:sz w:val="18"/>
                <w:szCs w:val="18"/>
                <w:highlight w:val="none"/>
              </w:rPr>
              <w:t>甲方</w:t>
            </w:r>
            <w:r>
              <w:rPr>
                <w:rFonts w:hint="eastAsia" w:ascii="宋体" w:hAnsi="宋体" w:cs="宋体"/>
                <w:color w:val="auto"/>
                <w:kern w:val="0"/>
                <w:sz w:val="18"/>
                <w:szCs w:val="18"/>
                <w:highlight w:val="none"/>
                <w:lang w:eastAsia="zh-CN"/>
              </w:rPr>
              <w:t>物业</w:t>
            </w:r>
            <w:r>
              <w:rPr>
                <w:rFonts w:hint="eastAsia" w:ascii="宋体" w:hAnsi="宋体" w:cs="宋体"/>
                <w:color w:val="auto"/>
                <w:kern w:val="0"/>
                <w:sz w:val="18"/>
                <w:szCs w:val="18"/>
                <w:highlight w:val="none"/>
              </w:rPr>
              <w:t>管理人员意见</w:t>
            </w:r>
          </w:p>
        </w:tc>
        <w:tc>
          <w:tcPr>
            <w:tcW w:w="2898" w:type="dxa"/>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0902A0">
            <w:pPr>
              <w:widowControl/>
              <w:spacing w:line="240" w:lineRule="exact"/>
              <w:jc w:val="center"/>
              <w:rPr>
                <w:rFonts w:ascii="宋体" w:hAnsi="宋体" w:cs="宋体"/>
                <w:color w:val="auto"/>
                <w:kern w:val="0"/>
                <w:sz w:val="18"/>
                <w:szCs w:val="18"/>
                <w:highlight w:val="none"/>
              </w:rPr>
            </w:pPr>
          </w:p>
        </w:tc>
        <w:tc>
          <w:tcPr>
            <w:tcW w:w="998" w:type="dxa"/>
            <w:tcBorders>
              <w:top w:val="single" w:color="000000" w:sz="4" w:space="0"/>
              <w:left w:val="single" w:color="000000" w:sz="4" w:space="0"/>
              <w:bottom w:val="single" w:color="000000" w:sz="4" w:space="0"/>
              <w:right w:val="single" w:color="000000" w:sz="4" w:space="0"/>
            </w:tcBorders>
            <w:shd w:val="clear" w:color="auto" w:fill="C6EFCE"/>
            <w:noWrap/>
            <w:vAlign w:val="center"/>
          </w:tcPr>
          <w:p w14:paraId="46BBD135">
            <w:pPr>
              <w:widowControl/>
              <w:spacing w:line="240" w:lineRule="exact"/>
              <w:jc w:val="center"/>
              <w:rPr>
                <w:rFonts w:ascii="宋体" w:hAnsi="宋体" w:cs="宋体"/>
                <w:color w:val="auto"/>
                <w:kern w:val="0"/>
                <w:sz w:val="18"/>
                <w:szCs w:val="18"/>
                <w:highlight w:val="none"/>
              </w:rPr>
            </w:pPr>
            <w:r>
              <w:rPr>
                <w:rFonts w:hint="eastAsia" w:ascii="宋体" w:hAnsi="宋体" w:cs="宋体"/>
                <w:color w:val="auto"/>
                <w:kern w:val="0"/>
                <w:sz w:val="18"/>
                <w:szCs w:val="18"/>
                <w:highlight w:val="none"/>
              </w:rPr>
              <w:t>甲方</w:t>
            </w:r>
            <w:r>
              <w:rPr>
                <w:rFonts w:hint="eastAsia" w:ascii="宋体" w:hAnsi="宋体" w:cs="宋体"/>
                <w:color w:val="auto"/>
                <w:kern w:val="0"/>
                <w:sz w:val="18"/>
                <w:szCs w:val="18"/>
                <w:highlight w:val="none"/>
                <w:lang w:eastAsia="zh-CN"/>
              </w:rPr>
              <w:t>物业管理</w:t>
            </w:r>
            <w:r>
              <w:rPr>
                <w:rFonts w:hint="eastAsia" w:ascii="宋体" w:hAnsi="宋体" w:cs="宋体"/>
                <w:color w:val="auto"/>
                <w:kern w:val="0"/>
                <w:sz w:val="18"/>
                <w:szCs w:val="18"/>
                <w:highlight w:val="none"/>
              </w:rPr>
              <w:t>负责人意见</w:t>
            </w:r>
          </w:p>
        </w:tc>
        <w:tc>
          <w:tcPr>
            <w:tcW w:w="3318" w:type="dxa"/>
            <w:gridSpan w:val="4"/>
            <w:tcBorders>
              <w:top w:val="single" w:color="000000" w:sz="4" w:space="0"/>
              <w:left w:val="single" w:color="000000" w:sz="4" w:space="0"/>
              <w:bottom w:val="single" w:color="000000" w:sz="4" w:space="0"/>
              <w:right w:val="single" w:color="000000" w:sz="4" w:space="0"/>
            </w:tcBorders>
            <w:noWrap/>
          </w:tcPr>
          <w:p w14:paraId="7B00836B">
            <w:pPr>
              <w:widowControl/>
              <w:spacing w:line="240" w:lineRule="exact"/>
              <w:jc w:val="center"/>
              <w:rPr>
                <w:rFonts w:ascii="宋体" w:hAnsi="宋体" w:cs="宋体"/>
                <w:color w:val="auto"/>
                <w:kern w:val="0"/>
                <w:sz w:val="18"/>
                <w:szCs w:val="18"/>
                <w:highlight w:val="none"/>
              </w:rPr>
            </w:pPr>
          </w:p>
        </w:tc>
      </w:tr>
    </w:tbl>
    <w:p w14:paraId="6741CD20">
      <w:pPr>
        <w:pStyle w:val="15"/>
        <w:spacing w:line="360" w:lineRule="auto"/>
        <w:ind w:firstLine="0"/>
        <w:rPr>
          <w:rFonts w:ascii="宋体" w:hAnsi="宋体" w:cs="宋体"/>
          <w:b/>
          <w:bCs/>
          <w:color w:val="auto"/>
          <w:szCs w:val="24"/>
          <w:highlight w:val="none"/>
        </w:rPr>
      </w:pPr>
    </w:p>
    <w:p w14:paraId="534BEE7E">
      <w:pPr>
        <w:pStyle w:val="15"/>
        <w:spacing w:line="360" w:lineRule="auto"/>
        <w:ind w:firstLine="0"/>
        <w:rPr>
          <w:rFonts w:hint="eastAsia" w:ascii="宋体" w:hAnsi="宋体" w:cs="宋体"/>
          <w:b/>
          <w:bCs/>
          <w:color w:val="auto"/>
          <w:szCs w:val="24"/>
          <w:highlight w:val="none"/>
        </w:rPr>
      </w:pPr>
    </w:p>
    <w:p w14:paraId="2C67D468">
      <w:pPr>
        <w:pStyle w:val="15"/>
        <w:spacing w:line="360" w:lineRule="auto"/>
        <w:ind w:firstLine="0"/>
        <w:rPr>
          <w:rFonts w:ascii="宋体" w:hAnsi="宋体" w:cs="宋体"/>
          <w:b/>
          <w:bCs/>
          <w:color w:val="auto"/>
          <w:szCs w:val="24"/>
          <w:highlight w:val="none"/>
        </w:rPr>
      </w:pPr>
      <w:r>
        <w:rPr>
          <w:rFonts w:hint="eastAsia" w:ascii="宋体" w:hAnsi="宋体" w:cs="宋体"/>
          <w:b/>
          <w:bCs/>
          <w:color w:val="auto"/>
          <w:szCs w:val="24"/>
          <w:highlight w:val="none"/>
        </w:rPr>
        <w:t>5.整体要求</w:t>
      </w:r>
    </w:p>
    <w:p w14:paraId="07874424">
      <w:pPr>
        <w:pStyle w:val="2"/>
        <w:spacing w:line="360" w:lineRule="auto"/>
        <w:ind w:firstLine="480" w:firstLineChars="200"/>
        <w:rPr>
          <w:rFonts w:hAnsi="宋体" w:cs="宋体"/>
          <w:color w:val="auto"/>
          <w:szCs w:val="24"/>
          <w:highlight w:val="none"/>
        </w:rPr>
      </w:pPr>
      <w:r>
        <w:rPr>
          <w:rFonts w:hint="eastAsia" w:hAnsi="宋体" w:cs="宋体"/>
          <w:color w:val="auto"/>
          <w:szCs w:val="24"/>
          <w:highlight w:val="none"/>
        </w:rPr>
        <w:t>5.1在《合同》签订后按《合同》中提供的拟录用人员花名册进行核实，核实过程中如发现</w:t>
      </w:r>
      <w:r>
        <w:rPr>
          <w:rFonts w:hint="eastAsia" w:hAnsi="宋体" w:cs="宋体"/>
          <w:color w:val="auto"/>
          <w:szCs w:val="24"/>
          <w:highlight w:val="none"/>
          <w:lang w:eastAsia="zh-CN"/>
        </w:rPr>
        <w:t>未经甲方同意，</w:t>
      </w:r>
      <w:r>
        <w:rPr>
          <w:rFonts w:hint="eastAsia" w:hAnsi="宋体" w:cs="宋体"/>
          <w:color w:val="auto"/>
          <w:szCs w:val="24"/>
          <w:highlight w:val="none"/>
        </w:rPr>
        <w:t>投标人花名册人员与现场实际服务人员不一致，采购人可终止合同，不予退还其履约保证金，成交供应商承担相应法律责任。应在岗的服务人员，脱岗或缺勤按200元/人·天罚款；未经招标人同意私自更换服务人员的，罚款2000元/人次；</w:t>
      </w:r>
      <w:r>
        <w:rPr>
          <w:rFonts w:hint="eastAsia"/>
          <w:color w:val="auto"/>
          <w:szCs w:val="24"/>
          <w:highlight w:val="none"/>
        </w:rPr>
        <w:t>如采购人认为服务人员不适应岗位要求或存在其他影响工作的，可要求供应商进行调换。如因供应商原因对服务人员进行调换，应当经采购人同意，更换比例不得超过本项目服务人员总数的20%。本项目服务人员不得在其他项目兼职。</w:t>
      </w:r>
    </w:p>
    <w:p w14:paraId="5AB1B763">
      <w:pPr>
        <w:snapToGrid w:val="0"/>
        <w:spacing w:line="360" w:lineRule="auto"/>
        <w:ind w:firstLine="480" w:firstLineChars="200"/>
        <w:rPr>
          <w:rFonts w:ascii="宋体" w:hAnsi="宋体" w:cs="宋体"/>
          <w:color w:val="auto"/>
          <w:szCs w:val="24"/>
          <w:highlight w:val="none"/>
        </w:rPr>
      </w:pPr>
      <w:r>
        <w:rPr>
          <w:rFonts w:hint="eastAsia" w:ascii="宋体" w:hAnsi="宋体" w:cs="宋体"/>
          <w:color w:val="auto"/>
          <w:szCs w:val="24"/>
          <w:highlight w:val="none"/>
        </w:rPr>
        <w:t>5.2所录用人员</w:t>
      </w:r>
      <w:r>
        <w:rPr>
          <w:rFonts w:hint="eastAsia"/>
          <w:color w:val="auto"/>
          <w:szCs w:val="24"/>
          <w:highlight w:val="none"/>
        </w:rPr>
        <w:t>的年龄、学历、工作经验及资格条件应当与所在岗位能力要求相匹配，到岗前应当经过必要的岗前培训以达到岗位能力要求，国家、行业规定应当取得职业资格证书或特种作业证书的，应当按规定持证上岗。</w:t>
      </w:r>
      <w:r>
        <w:rPr>
          <w:rFonts w:hint="eastAsia" w:ascii="宋体" w:hAnsi="宋体" w:cs="宋体"/>
          <w:color w:val="auto"/>
          <w:szCs w:val="24"/>
          <w:highlight w:val="none"/>
        </w:rPr>
        <w:t>必须符合国家相关的法律法规的要求（包括国家劳动法和地方相关管理规定），必须服从需求单位的行政管理。不遵守安全制度及规定，使用大功率电器、厨房设备等，造成安全隐患，处罚1000元/次；</w:t>
      </w:r>
    </w:p>
    <w:p w14:paraId="20CB6CE1">
      <w:pPr>
        <w:pStyle w:val="15"/>
        <w:spacing w:line="360" w:lineRule="auto"/>
        <w:ind w:firstLine="480" w:firstLineChars="200"/>
        <w:rPr>
          <w:rFonts w:ascii="宋体" w:hAnsi="宋体" w:cs="宋体"/>
          <w:color w:val="auto"/>
          <w:szCs w:val="24"/>
          <w:highlight w:val="none"/>
        </w:rPr>
      </w:pPr>
      <w:r>
        <w:rPr>
          <w:rFonts w:hint="eastAsia" w:ascii="宋体" w:hAnsi="宋体" w:cs="宋体"/>
          <w:color w:val="auto"/>
          <w:szCs w:val="24"/>
          <w:highlight w:val="none"/>
        </w:rPr>
        <w:t>5.3拟聘用人员须经采购人审查并备案，审查内容包括：所有服务人员身份证、健康证、职业资格证（仅对需要提供职业资格的人员）、参保证明等，未经政审、体检和岗前培训合格的人员不得聘用。中标单位应确保其派遣人员相对固定、不得无故变更，如确实需要调整，必须书面申请征得采购人同意，中标单位项目经理每日必须到达现场检查各类服务工作人员的工作情况等。</w:t>
      </w:r>
    </w:p>
    <w:p w14:paraId="513D495D">
      <w:pPr>
        <w:pStyle w:val="15"/>
        <w:spacing w:line="360" w:lineRule="auto"/>
        <w:ind w:firstLine="480" w:firstLineChars="200"/>
        <w:rPr>
          <w:rFonts w:ascii="宋体" w:hAnsi="宋体" w:cs="宋体"/>
          <w:color w:val="auto"/>
          <w:szCs w:val="24"/>
          <w:highlight w:val="none"/>
        </w:rPr>
      </w:pPr>
      <w:r>
        <w:rPr>
          <w:rFonts w:hint="eastAsia" w:ascii="宋体" w:hAnsi="宋体" w:cs="宋体"/>
          <w:color w:val="auto"/>
          <w:szCs w:val="24"/>
          <w:highlight w:val="none"/>
        </w:rPr>
        <w:t>5.4服务方要严格按质量、标准、要求提供保障服务，</w:t>
      </w:r>
      <w:r>
        <w:rPr>
          <w:rFonts w:hint="eastAsia"/>
          <w:color w:val="auto"/>
          <w:szCs w:val="24"/>
          <w:highlight w:val="none"/>
        </w:rPr>
        <w:t>每季度至少开展1次岗位技能、职业素质、服务知识、安全保卫、保密、绿色节能环保等教育培训，</w:t>
      </w:r>
      <w:r>
        <w:rPr>
          <w:rFonts w:hint="eastAsia" w:ascii="宋体" w:hAnsi="宋体" w:cs="宋体"/>
          <w:color w:val="auto"/>
          <w:szCs w:val="24"/>
          <w:highlight w:val="none"/>
        </w:rPr>
        <w:t>需求单位指定专门人员对服务工作数量、质量进行不定期的检查、考核，不符合要求时，要立即整改。</w:t>
      </w:r>
    </w:p>
    <w:p w14:paraId="018D4768">
      <w:pPr>
        <w:pStyle w:val="15"/>
        <w:spacing w:line="360" w:lineRule="auto"/>
        <w:ind w:firstLine="480" w:firstLineChars="200"/>
        <w:rPr>
          <w:rFonts w:ascii="宋体" w:hAnsi="宋体" w:cs="宋体"/>
          <w:color w:val="auto"/>
          <w:szCs w:val="24"/>
          <w:highlight w:val="none"/>
        </w:rPr>
      </w:pPr>
      <w:r>
        <w:rPr>
          <w:rFonts w:hint="eastAsia" w:ascii="宋体" w:hAnsi="宋体" w:cs="宋体"/>
          <w:color w:val="auto"/>
          <w:szCs w:val="24"/>
          <w:highlight w:val="none"/>
        </w:rPr>
        <w:t>5.5服务方所聘用在需求单位工作的员工应无条件服从需求单位管理部门的管理和监督。</w:t>
      </w:r>
    </w:p>
    <w:p w14:paraId="6F01C62D">
      <w:pPr>
        <w:pStyle w:val="15"/>
        <w:spacing w:line="360" w:lineRule="auto"/>
        <w:ind w:firstLine="480" w:firstLineChars="200"/>
        <w:rPr>
          <w:rFonts w:ascii="宋体" w:hAnsi="宋体" w:cs="宋体"/>
          <w:color w:val="auto"/>
          <w:szCs w:val="24"/>
          <w:highlight w:val="none"/>
        </w:rPr>
      </w:pPr>
      <w:r>
        <w:rPr>
          <w:rFonts w:hint="eastAsia" w:ascii="宋体" w:hAnsi="宋体" w:cs="宋体"/>
          <w:color w:val="auto"/>
          <w:szCs w:val="24"/>
          <w:highlight w:val="none"/>
        </w:rPr>
        <w:t>5.6成交供应商需与旗下员工签订劳动合同，必须为员工缴纳保险，意外事故、伤亡及其他事项，均由公司自行负责，采购人概不负责。</w:t>
      </w:r>
    </w:p>
    <w:p w14:paraId="22324BBD">
      <w:pPr>
        <w:pStyle w:val="15"/>
        <w:spacing w:line="360" w:lineRule="auto"/>
        <w:ind w:firstLine="480" w:firstLineChars="200"/>
        <w:rPr>
          <w:rFonts w:ascii="宋体" w:hAnsi="宋体" w:cs="宋体"/>
          <w:color w:val="auto"/>
          <w:szCs w:val="24"/>
          <w:highlight w:val="none"/>
        </w:rPr>
      </w:pPr>
      <w:r>
        <w:rPr>
          <w:rFonts w:hint="eastAsia" w:ascii="宋体" w:hAnsi="宋体" w:cs="宋体"/>
          <w:color w:val="auto"/>
          <w:szCs w:val="24"/>
          <w:highlight w:val="none"/>
        </w:rPr>
        <w:t>5.7遇特殊情况，需求单位有权要求服务公司完成突击性、临时性保障工作。</w:t>
      </w:r>
    </w:p>
    <w:p w14:paraId="664F88FC">
      <w:pPr>
        <w:pStyle w:val="15"/>
        <w:spacing w:line="360" w:lineRule="auto"/>
        <w:ind w:firstLine="480" w:firstLineChars="200"/>
        <w:rPr>
          <w:rFonts w:ascii="宋体" w:hAnsi="宋体" w:cs="宋体"/>
          <w:color w:val="auto"/>
          <w:szCs w:val="24"/>
          <w:highlight w:val="none"/>
        </w:rPr>
      </w:pPr>
      <w:r>
        <w:rPr>
          <w:rFonts w:hint="eastAsia" w:ascii="宋体" w:hAnsi="宋体" w:cs="宋体"/>
          <w:color w:val="auto"/>
          <w:szCs w:val="24"/>
          <w:highlight w:val="none"/>
        </w:rPr>
        <w:t>5.8乙方应制定员工手册，实行员工考勤制度(建议实行电子刷卡)、细化赏罚制度，明确赏罚标准。</w:t>
      </w:r>
    </w:p>
    <w:p w14:paraId="5E8E5ACE">
      <w:pPr>
        <w:pStyle w:val="15"/>
        <w:spacing w:line="360" w:lineRule="auto"/>
        <w:ind w:firstLine="360" w:firstLineChars="150"/>
        <w:rPr>
          <w:rFonts w:ascii="宋体" w:hAnsi="宋体" w:cs="宋体"/>
          <w:color w:val="auto"/>
          <w:szCs w:val="24"/>
          <w:highlight w:val="none"/>
        </w:rPr>
      </w:pPr>
      <w:r>
        <w:rPr>
          <w:rFonts w:hint="eastAsia" w:ascii="宋体" w:hAnsi="宋体" w:cs="宋体"/>
          <w:color w:val="auto"/>
          <w:szCs w:val="24"/>
          <w:highlight w:val="none"/>
        </w:rPr>
        <w:t>5.9各类服务人员上班期间必须着装分类统一，佩戴标识。仪容整洁、姿态端正、举止文明。未按要求落实的，处罚50元/次。</w:t>
      </w:r>
    </w:p>
    <w:p w14:paraId="673C0480">
      <w:pPr>
        <w:pStyle w:val="15"/>
        <w:spacing w:line="360" w:lineRule="auto"/>
        <w:ind w:firstLine="360" w:firstLineChars="150"/>
        <w:rPr>
          <w:rFonts w:ascii="宋体" w:hAnsi="宋体" w:cs="宋体"/>
          <w:color w:val="auto"/>
          <w:szCs w:val="24"/>
          <w:highlight w:val="none"/>
        </w:rPr>
      </w:pPr>
      <w:r>
        <w:rPr>
          <w:rFonts w:hint="eastAsia" w:ascii="宋体" w:hAnsi="宋体" w:cs="宋体"/>
          <w:color w:val="auto"/>
          <w:szCs w:val="24"/>
          <w:highlight w:val="none"/>
        </w:rPr>
        <w:t>5.10检查记录和整改时限反馈中标人。定期对相应内容的检查结果进行考核。</w:t>
      </w:r>
    </w:p>
    <w:p w14:paraId="7C1C0FD7">
      <w:pPr>
        <w:pStyle w:val="15"/>
        <w:spacing w:line="360" w:lineRule="auto"/>
        <w:ind w:firstLine="360" w:firstLineChars="150"/>
        <w:rPr>
          <w:rFonts w:ascii="宋体" w:hAnsi="宋体" w:cs="宋体"/>
          <w:color w:val="auto"/>
          <w:szCs w:val="24"/>
          <w:highlight w:val="none"/>
        </w:rPr>
      </w:pPr>
      <w:r>
        <w:rPr>
          <w:rFonts w:hint="eastAsia" w:ascii="宋体" w:hAnsi="宋体" w:cs="宋体"/>
          <w:color w:val="auto"/>
          <w:szCs w:val="24"/>
          <w:highlight w:val="none"/>
        </w:rPr>
        <w:t>5.11投标人为服务人员缴纳各种社会保险费。如由此引起的一切纠纷由投标人自行负责。投标人每年需提交所有服务人员的体检报告，确保服务人员身体健康，无传染病。</w:t>
      </w:r>
    </w:p>
    <w:p w14:paraId="76485048">
      <w:pPr>
        <w:pStyle w:val="15"/>
        <w:spacing w:line="360" w:lineRule="auto"/>
        <w:ind w:firstLine="240" w:firstLineChars="100"/>
        <w:rPr>
          <w:rFonts w:ascii="宋体" w:hAnsi="宋体" w:cs="宋体"/>
          <w:color w:val="auto"/>
          <w:szCs w:val="24"/>
          <w:highlight w:val="none"/>
        </w:rPr>
        <w:sectPr>
          <w:headerReference r:id="rId15" w:type="default"/>
          <w:footerReference r:id="rId16" w:type="default"/>
          <w:pgSz w:w="11906" w:h="16838"/>
          <w:pgMar w:top="1440" w:right="1440" w:bottom="1440" w:left="1440" w:header="851" w:footer="992" w:gutter="0"/>
          <w:pgNumType w:fmt="decimal"/>
          <w:cols w:space="720" w:num="1"/>
          <w:docGrid w:type="lines" w:linePitch="312" w:charSpace="0"/>
        </w:sectPr>
      </w:pPr>
      <w:r>
        <w:rPr>
          <w:rFonts w:hint="eastAsia" w:ascii="宋体" w:hAnsi="宋体" w:cs="宋体"/>
          <w:color w:val="auto"/>
          <w:szCs w:val="24"/>
          <w:highlight w:val="none"/>
        </w:rPr>
        <w:t>5.12各类服务人员进驻时间（具体进驻时间）由需求单位另行书面通知，进驻后及时配合需求单位的有关物业服务事宜。</w:t>
      </w:r>
    </w:p>
    <w:p w14:paraId="01DF86C0">
      <w:pPr>
        <w:pStyle w:val="15"/>
        <w:spacing w:line="360" w:lineRule="auto"/>
        <w:ind w:firstLine="0"/>
        <w:rPr>
          <w:rFonts w:ascii="宋体" w:hAnsi="宋体" w:cs="宋体"/>
          <w:b/>
          <w:bCs/>
          <w:color w:val="auto"/>
          <w:szCs w:val="24"/>
          <w:highlight w:val="none"/>
        </w:rPr>
      </w:pPr>
      <w:r>
        <w:rPr>
          <w:rFonts w:hint="eastAsia" w:ascii="宋体" w:hAnsi="宋体" w:cs="宋体"/>
          <w:b/>
          <w:bCs/>
          <w:color w:val="auto"/>
          <w:szCs w:val="24"/>
          <w:highlight w:val="none"/>
        </w:rPr>
        <w:t>品目二：</w:t>
      </w:r>
      <w:r>
        <w:rPr>
          <w:rFonts w:hint="eastAsia" w:ascii="宋体" w:hAnsi="宋体" w:cs="宋体"/>
          <w:color w:val="auto"/>
          <w:szCs w:val="24"/>
          <w:highlight w:val="none"/>
        </w:rPr>
        <w:t>国家计算机网络与信息安全管理中心江西分中心餐饮服务</w:t>
      </w:r>
    </w:p>
    <w:p w14:paraId="198803C9">
      <w:pPr>
        <w:pStyle w:val="15"/>
        <w:spacing w:line="360" w:lineRule="auto"/>
        <w:ind w:firstLine="482" w:firstLineChars="200"/>
        <w:rPr>
          <w:rFonts w:ascii="宋体" w:hAnsi="宋体" w:cs="宋体"/>
          <w:b/>
          <w:bCs/>
          <w:color w:val="auto"/>
          <w:szCs w:val="24"/>
          <w:highlight w:val="none"/>
        </w:rPr>
      </w:pPr>
      <w:r>
        <w:rPr>
          <w:rFonts w:hint="eastAsia" w:ascii="宋体" w:hAnsi="宋体" w:cs="宋体"/>
          <w:b/>
          <w:bCs/>
          <w:color w:val="auto"/>
          <w:szCs w:val="24"/>
          <w:highlight w:val="none"/>
        </w:rPr>
        <w:t>1.项目概况</w:t>
      </w:r>
    </w:p>
    <w:p w14:paraId="70BE6605">
      <w:pPr>
        <w:pStyle w:val="15"/>
        <w:spacing w:line="360" w:lineRule="auto"/>
        <w:ind w:firstLine="480" w:firstLineChars="200"/>
        <w:rPr>
          <w:rFonts w:ascii="宋体" w:hAnsi="宋体" w:cs="宋体"/>
          <w:color w:val="auto"/>
          <w:szCs w:val="24"/>
          <w:highlight w:val="none"/>
        </w:rPr>
      </w:pPr>
      <w:r>
        <w:rPr>
          <w:rFonts w:hint="eastAsia" w:ascii="宋体" w:hAnsi="宋体" w:cs="宋体"/>
          <w:color w:val="auto"/>
          <w:szCs w:val="24"/>
          <w:highlight w:val="none"/>
        </w:rPr>
        <w:t>服务范围：主要包括厨师、餐厅服务人员，保障采购人用餐及餐厅、餐具和操作间的环境卫生消毒、厨具设备的保养维护和卫生打扫。</w:t>
      </w:r>
    </w:p>
    <w:p w14:paraId="1F1F4219">
      <w:pPr>
        <w:pStyle w:val="15"/>
        <w:spacing w:line="360" w:lineRule="auto"/>
        <w:ind w:firstLine="482" w:firstLineChars="200"/>
        <w:rPr>
          <w:rFonts w:ascii="宋体" w:hAnsi="宋体" w:cs="宋体"/>
          <w:b/>
          <w:bCs/>
          <w:color w:val="auto"/>
          <w:szCs w:val="24"/>
          <w:highlight w:val="none"/>
        </w:rPr>
      </w:pPr>
      <w:r>
        <w:rPr>
          <w:rFonts w:hint="eastAsia" w:ascii="宋体" w:hAnsi="宋体" w:cs="宋体"/>
          <w:b/>
          <w:bCs/>
          <w:color w:val="auto"/>
          <w:szCs w:val="24"/>
          <w:highlight w:val="none"/>
        </w:rPr>
        <w:t>2.服务内容和服务标准</w:t>
      </w:r>
    </w:p>
    <w:p w14:paraId="4473BC75">
      <w:pPr>
        <w:spacing w:line="360" w:lineRule="auto"/>
        <w:ind w:firstLine="480" w:firstLineChars="200"/>
        <w:rPr>
          <w:rFonts w:ascii="宋体" w:hAnsi="宋体" w:cs="宋体"/>
          <w:color w:val="auto"/>
          <w:kern w:val="0"/>
          <w:szCs w:val="24"/>
          <w:highlight w:val="none"/>
        </w:rPr>
      </w:pPr>
      <w:r>
        <w:rPr>
          <w:rFonts w:hint="eastAsia" w:ascii="宋体" w:hAnsi="宋体" w:cs="宋体"/>
          <w:color w:val="auto"/>
          <w:szCs w:val="24"/>
          <w:highlight w:val="none"/>
        </w:rPr>
        <w:t>2.1服务范围：①保障单位工作人员的一日两餐（早、午餐）、接待餐和临时保障任务以及操作间、餐厅的卫生、消毒等服务。②</w:t>
      </w:r>
      <w:r>
        <w:rPr>
          <w:rFonts w:hint="eastAsia" w:ascii="宋体" w:hAnsi="宋体" w:cs="宋体"/>
          <w:color w:val="auto"/>
          <w:kern w:val="0"/>
          <w:szCs w:val="24"/>
          <w:highlight w:val="none"/>
        </w:rPr>
        <w:t>早、午餐不少于8个品种，餐标按35元/人/天，</w:t>
      </w:r>
      <w:r>
        <w:rPr>
          <w:rFonts w:hint="eastAsia" w:ascii="宋体" w:hAnsi="宋体" w:cs="宋体"/>
          <w:color w:val="auto"/>
          <w:szCs w:val="24"/>
          <w:highlight w:val="none"/>
        </w:rPr>
        <w:t>日</w:t>
      </w:r>
      <w:r>
        <w:rPr>
          <w:rFonts w:hint="eastAsia" w:ascii="宋体" w:hAnsi="宋体" w:cs="宋体"/>
          <w:color w:val="auto"/>
          <w:kern w:val="0"/>
          <w:szCs w:val="24"/>
          <w:highlight w:val="none"/>
        </w:rPr>
        <w:t>就餐人数约为50人，每周制订一次食谱并公布，食谱需经甲方同意，严格按食谱规定的品种制作，并做到营养合理搭配，饭菜供应品种丰富多样，在保证质量的基础上，合理控制成本，最大限度保障甲方职工就餐标准，就餐人员满意率达到90%以上；</w:t>
      </w:r>
    </w:p>
    <w:p w14:paraId="01EA6A1D">
      <w:pPr>
        <w:spacing w:line="360" w:lineRule="auto"/>
        <w:ind w:firstLine="480" w:firstLineChars="200"/>
        <w:rPr>
          <w:rFonts w:ascii="宋体" w:hAnsi="宋体" w:cs="宋体"/>
          <w:color w:val="auto"/>
          <w:szCs w:val="24"/>
          <w:highlight w:val="none"/>
        </w:rPr>
      </w:pPr>
      <w:r>
        <w:rPr>
          <w:rFonts w:hint="eastAsia" w:ascii="宋体" w:hAnsi="宋体" w:cs="宋体"/>
          <w:color w:val="auto"/>
          <w:szCs w:val="24"/>
          <w:highlight w:val="none"/>
        </w:rPr>
        <w:t>2.2服务标准：①服从分配，按质、按量、按时烹饪饭菜，做到饭菜可口，保热保鲜。②注意食品新鲜，变质商品不蒸，不下锅，不烘烤；食品充分加热，防止内生外熟。③食品应分类保存，半成品与原料存放，生熟严格分开，</w:t>
      </w:r>
      <w:r>
        <w:rPr>
          <w:rFonts w:hint="eastAsia" w:ascii="宋体" w:hAnsi="宋体" w:cs="宋体"/>
          <w:color w:val="auto"/>
          <w:kern w:val="0"/>
          <w:szCs w:val="24"/>
          <w:highlight w:val="none"/>
        </w:rPr>
        <w:t>当日食品留样在冷藏条件下存放48小时备检。</w:t>
      </w:r>
      <w:r>
        <w:rPr>
          <w:rFonts w:hint="eastAsia" w:ascii="宋体" w:hAnsi="宋体" w:cs="宋体"/>
          <w:color w:val="auto"/>
          <w:szCs w:val="24"/>
          <w:highlight w:val="none"/>
        </w:rPr>
        <w:t>④严格遵守《食品卫生法》及各项制度，搞好厨房、餐厅卫生，保证不让职工吃异味食品，防止食物中毒。⑤鱼洗净后，无鳞、腮和内脏；肉、家禽洗净后，无毛、污，内脏洗净，无有害腺体；蔬菜清洗后无泥沙杂质，无枯萎黄叶；鸡蛋用流水逐个清洗干净，先打在小容器内，确认新鲜卫生后再打入大容器，不可直接打入大容器。⑥严格遵守作息时间，按时开餐，不擅离职守、串岗、脱岗。⑦工作时间按照要求统一着装、仪容整洁、文明礼貌。⑧认真做好餐具、炊具的清洁、消毒工作，保质保量完成厨房日常清洁及通道卫生工作。</w:t>
      </w:r>
      <w:r>
        <w:rPr>
          <w:rFonts w:hint="eastAsia" w:ascii="宋体" w:hAnsi="宋体" w:cs="宋体"/>
          <w:color w:val="auto"/>
          <w:kern w:val="0"/>
          <w:szCs w:val="24"/>
          <w:highlight w:val="none"/>
        </w:rPr>
        <w:t>餐厅区域每日清洗一次，餐后对区域进行去油去污及消毒处理，</w:t>
      </w:r>
      <w:r>
        <w:rPr>
          <w:rFonts w:hint="eastAsia" w:ascii="宋体" w:hAnsi="宋体" w:cs="宋体"/>
          <w:color w:val="auto"/>
          <w:szCs w:val="24"/>
          <w:highlight w:val="none"/>
        </w:rPr>
        <w:t>做到地面干爽无积水、餐具堆放齐整无歪斜、器皿分类无混杂、垃圾桶加盖无异味、水台洁净无死角。⑨清洗、消毒过程中，轻拿、轻洗、轻放，保护好餐具减少损耗。⑩</w:t>
      </w:r>
      <w:r>
        <w:rPr>
          <w:rFonts w:hint="eastAsia" w:ascii="宋体" w:hAnsi="宋体" w:cs="宋体"/>
          <w:color w:val="auto"/>
          <w:kern w:val="0"/>
          <w:szCs w:val="24"/>
          <w:highlight w:val="none"/>
        </w:rPr>
        <w:t>指定分别专人负责食品采购、查验及台帐记录工作，留存采购原材料的相关检验合格证明、发票等采购依据，以备甲方查验；配送食堂所有原材料如八大类食品(大米、面粉、食用油、酱油、蔬菜、猪肉、豆制品、冷冻食品)及其他食材的供应商选择应经甲方认可。</w:t>
      </w:r>
    </w:p>
    <w:p w14:paraId="46D87813">
      <w:pPr>
        <w:pStyle w:val="15"/>
        <w:spacing w:line="360" w:lineRule="auto"/>
        <w:ind w:firstLine="480" w:firstLineChars="200"/>
        <w:rPr>
          <w:rFonts w:ascii="宋体" w:hAnsi="宋体" w:cs="宋体"/>
          <w:color w:val="auto"/>
          <w:szCs w:val="24"/>
          <w:highlight w:val="none"/>
        </w:rPr>
      </w:pPr>
      <w:r>
        <w:rPr>
          <w:rFonts w:hint="eastAsia" w:ascii="宋体" w:hAnsi="宋体" w:cs="宋体"/>
          <w:color w:val="auto"/>
          <w:szCs w:val="24"/>
          <w:highlight w:val="none"/>
        </w:rPr>
        <w:t>2.3惩处措施：①厨师责任心不强，造成汤锅水烧干，菜肴炖枯，蒸笼食品整过了、菜品蒸烂了、米饭蒸糊了、原料存储不当造成厨房成本增大处罚500元。②工作时间不按规定穿着统一服装的，每次处罚200元。③餐具清洗不及时、有污渍，操作间积水较多，桌椅摆放凌乱每处每次处罚100元。④不服从分配，影响厨房生产者每次处罚200元。⑤因菜肴质量问题或厨房工作失误引起投诉情况属实的每次处罚200元。⑥不按操作规程生产，损坏厨房设备和用具者，按价赔偿并处罚1000元。⑦不按操作规程生产，引起较大责任事故者按价赔偿并处罚2000元。⑧不按时清理原料，造成变质变味按价赔偿并处罚100元。⑨偷吃、偷拿厨房食品原料者，双倍赔偿并处罚500元。</w:t>
      </w:r>
    </w:p>
    <w:p w14:paraId="532C81DA">
      <w:pPr>
        <w:spacing w:line="360" w:lineRule="auto"/>
        <w:ind w:firstLine="480" w:firstLineChars="200"/>
        <w:rPr>
          <w:rFonts w:ascii="宋体" w:hAnsi="宋体" w:cs="宋体"/>
          <w:color w:val="auto"/>
          <w:szCs w:val="24"/>
          <w:highlight w:val="none"/>
        </w:rPr>
      </w:pPr>
      <w:r>
        <w:rPr>
          <w:rFonts w:hint="eastAsia" w:ascii="宋体" w:hAnsi="宋体" w:cs="宋体"/>
          <w:color w:val="auto"/>
          <w:szCs w:val="24"/>
          <w:highlight w:val="none"/>
        </w:rPr>
        <w:t>2.4补充说明：①遵守安全操作规程，正确使用操作工具，合理使用原材料，节约水、电、煤气等用料。②如果采购人有餐饮的接待任务，投标人全力做好接待餐的保障工作。③每周一公布本周菜单。④</w:t>
      </w:r>
      <w:r>
        <w:rPr>
          <w:rFonts w:hint="eastAsia" w:ascii="宋体" w:hAnsi="宋体" w:cs="宋体"/>
          <w:color w:val="auto"/>
          <w:kern w:val="0"/>
          <w:szCs w:val="24"/>
          <w:highlight w:val="none"/>
        </w:rPr>
        <w:t>每年对厨房及设备不少于一次深度清洁消毒（包含餐厅墙面、地面、餐桌、餐具及相关餐饮电器设备）。</w:t>
      </w:r>
      <w:r>
        <w:rPr>
          <w:rFonts w:hint="eastAsia" w:ascii="宋体" w:hAnsi="宋体" w:cs="宋体"/>
          <w:color w:val="auto"/>
          <w:szCs w:val="24"/>
          <w:highlight w:val="none"/>
        </w:rPr>
        <w:t>⑤</w:t>
      </w:r>
      <w:r>
        <w:rPr>
          <w:rFonts w:hint="eastAsia" w:ascii="宋体" w:hAnsi="宋体" w:cs="宋体"/>
          <w:color w:val="auto"/>
          <w:kern w:val="0"/>
          <w:szCs w:val="24"/>
          <w:highlight w:val="none"/>
        </w:rPr>
        <w:t>每年对厨房隔油池清掏一次；每季度一次对厨房抽油烟机含管道深度清洗。</w:t>
      </w:r>
      <w:r>
        <w:rPr>
          <w:rFonts w:hint="eastAsia" w:ascii="宋体" w:hAnsi="宋体" w:cs="宋体"/>
          <w:color w:val="auto"/>
          <w:szCs w:val="24"/>
          <w:highlight w:val="none"/>
        </w:rPr>
        <w:t>⑥食堂所需</w:t>
      </w:r>
      <w:r>
        <w:rPr>
          <w:rFonts w:hint="eastAsia" w:ascii="宋体" w:hAnsi="宋体" w:cs="宋体"/>
          <w:color w:val="auto"/>
          <w:kern w:val="0"/>
          <w:szCs w:val="24"/>
          <w:highlight w:val="none"/>
        </w:rPr>
        <w:t>清洁耗品由中标人承担，包括但不限于洗涤用品、包括垃圾袋、清洁剂、洗手液、抽纸等保洁低耗品，耗品品牌应甲方认可。</w:t>
      </w:r>
    </w:p>
    <w:p w14:paraId="7AA682DF">
      <w:pPr>
        <w:pStyle w:val="15"/>
        <w:spacing w:line="360" w:lineRule="auto"/>
        <w:ind w:firstLine="0"/>
        <w:rPr>
          <w:rFonts w:ascii="宋体" w:hAnsi="宋体" w:cs="宋体"/>
          <w:b/>
          <w:bCs/>
          <w:color w:val="auto"/>
          <w:szCs w:val="24"/>
          <w:highlight w:val="none"/>
        </w:rPr>
      </w:pPr>
      <w:r>
        <w:rPr>
          <w:rFonts w:hint="eastAsia" w:ascii="宋体" w:hAnsi="宋体" w:cs="宋体"/>
          <w:b/>
          <w:bCs/>
          <w:color w:val="auto"/>
          <w:szCs w:val="24"/>
          <w:highlight w:val="none"/>
        </w:rPr>
        <w:t>3.人员配备要求</w:t>
      </w:r>
    </w:p>
    <w:tbl>
      <w:tblPr>
        <w:tblStyle w:val="27"/>
        <w:tblW w:w="890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42"/>
        <w:gridCol w:w="1457"/>
        <w:gridCol w:w="966"/>
        <w:gridCol w:w="3327"/>
        <w:gridCol w:w="1914"/>
      </w:tblGrid>
      <w:tr w14:paraId="78E80C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2" w:hRule="atLeast"/>
        </w:trPr>
        <w:tc>
          <w:tcPr>
            <w:tcW w:w="1242" w:type="dxa"/>
            <w:tcBorders>
              <w:top w:val="single" w:color="auto" w:sz="4" w:space="0"/>
              <w:left w:val="single" w:color="auto" w:sz="4" w:space="0"/>
              <w:bottom w:val="single" w:color="auto" w:sz="4" w:space="0"/>
              <w:right w:val="single" w:color="auto" w:sz="4" w:space="0"/>
            </w:tcBorders>
            <w:noWrap/>
            <w:vAlign w:val="center"/>
          </w:tcPr>
          <w:p w14:paraId="3E753033">
            <w:pPr>
              <w:pStyle w:val="26"/>
              <w:snapToGrid w:val="0"/>
              <w:ind w:left="0" w:leftChars="0"/>
              <w:jc w:val="center"/>
              <w:rPr>
                <w:rFonts w:ascii="仿宋_GB2312" w:hAnsi="仿宋_GB2312" w:eastAsia="仿宋_GB2312" w:cs="仿宋_GB2312"/>
                <w:bCs/>
                <w:color w:val="auto"/>
                <w:szCs w:val="24"/>
                <w:highlight w:val="none"/>
              </w:rPr>
            </w:pPr>
            <w:r>
              <w:rPr>
                <w:rFonts w:hint="eastAsia" w:ascii="仿宋_GB2312" w:hAnsi="仿宋_GB2312" w:eastAsia="仿宋_GB2312" w:cs="仿宋_GB2312"/>
                <w:bCs/>
                <w:color w:val="auto"/>
                <w:szCs w:val="24"/>
                <w:highlight w:val="none"/>
              </w:rPr>
              <w:t>服务对象</w:t>
            </w:r>
          </w:p>
        </w:tc>
        <w:tc>
          <w:tcPr>
            <w:tcW w:w="1457" w:type="dxa"/>
            <w:tcBorders>
              <w:top w:val="single" w:color="auto" w:sz="4" w:space="0"/>
              <w:left w:val="single" w:color="auto" w:sz="4" w:space="0"/>
              <w:bottom w:val="single" w:color="auto" w:sz="4" w:space="0"/>
              <w:right w:val="single" w:color="auto" w:sz="4" w:space="0"/>
            </w:tcBorders>
            <w:noWrap/>
            <w:vAlign w:val="center"/>
          </w:tcPr>
          <w:p w14:paraId="155A0641">
            <w:pPr>
              <w:pStyle w:val="26"/>
              <w:snapToGrid w:val="0"/>
              <w:ind w:left="0" w:leftChars="0"/>
              <w:jc w:val="center"/>
              <w:rPr>
                <w:rFonts w:ascii="仿宋_GB2312" w:hAnsi="仿宋_GB2312" w:eastAsia="仿宋_GB2312" w:cs="仿宋_GB2312"/>
                <w:bCs/>
                <w:color w:val="auto"/>
                <w:szCs w:val="24"/>
                <w:highlight w:val="none"/>
              </w:rPr>
            </w:pPr>
            <w:r>
              <w:rPr>
                <w:rFonts w:hint="eastAsia" w:ascii="仿宋_GB2312" w:hAnsi="仿宋_GB2312" w:eastAsia="仿宋_GB2312" w:cs="仿宋_GB2312"/>
                <w:bCs/>
                <w:color w:val="auto"/>
                <w:szCs w:val="24"/>
                <w:highlight w:val="none"/>
              </w:rPr>
              <w:t>人员类别</w:t>
            </w:r>
          </w:p>
        </w:tc>
        <w:tc>
          <w:tcPr>
            <w:tcW w:w="966" w:type="dxa"/>
            <w:tcBorders>
              <w:top w:val="single" w:color="auto" w:sz="4" w:space="0"/>
              <w:left w:val="single" w:color="auto" w:sz="4" w:space="0"/>
              <w:bottom w:val="single" w:color="auto" w:sz="4" w:space="0"/>
              <w:right w:val="single" w:color="auto" w:sz="4" w:space="0"/>
            </w:tcBorders>
            <w:noWrap/>
            <w:vAlign w:val="center"/>
          </w:tcPr>
          <w:p w14:paraId="76193069">
            <w:pPr>
              <w:pStyle w:val="26"/>
              <w:snapToGrid w:val="0"/>
              <w:ind w:left="0" w:leftChars="0"/>
              <w:jc w:val="center"/>
              <w:rPr>
                <w:rFonts w:ascii="仿宋_GB2312" w:hAnsi="仿宋_GB2312" w:eastAsia="仿宋_GB2312" w:cs="仿宋_GB2312"/>
                <w:bCs/>
                <w:color w:val="auto"/>
                <w:szCs w:val="24"/>
                <w:highlight w:val="none"/>
              </w:rPr>
            </w:pPr>
            <w:r>
              <w:rPr>
                <w:rFonts w:hint="eastAsia" w:ascii="仿宋_GB2312" w:hAnsi="仿宋_GB2312" w:eastAsia="仿宋_GB2312" w:cs="仿宋_GB2312"/>
                <w:bCs/>
                <w:color w:val="auto"/>
                <w:szCs w:val="24"/>
                <w:highlight w:val="none"/>
              </w:rPr>
              <w:t>人数</w:t>
            </w:r>
          </w:p>
        </w:tc>
        <w:tc>
          <w:tcPr>
            <w:tcW w:w="3327" w:type="dxa"/>
            <w:tcBorders>
              <w:top w:val="single" w:color="auto" w:sz="4" w:space="0"/>
              <w:left w:val="single" w:color="auto" w:sz="4" w:space="0"/>
              <w:bottom w:val="single" w:color="auto" w:sz="4" w:space="0"/>
              <w:right w:val="single" w:color="auto" w:sz="4" w:space="0"/>
            </w:tcBorders>
            <w:noWrap/>
            <w:vAlign w:val="center"/>
          </w:tcPr>
          <w:p w14:paraId="2E0FE048">
            <w:pPr>
              <w:pStyle w:val="26"/>
              <w:snapToGrid w:val="0"/>
              <w:ind w:left="0" w:leftChars="0"/>
              <w:jc w:val="center"/>
              <w:rPr>
                <w:rFonts w:ascii="仿宋_GB2312" w:hAnsi="仿宋_GB2312" w:eastAsia="仿宋_GB2312" w:cs="仿宋_GB2312"/>
                <w:bCs/>
                <w:color w:val="auto"/>
                <w:szCs w:val="24"/>
                <w:highlight w:val="none"/>
              </w:rPr>
            </w:pPr>
            <w:r>
              <w:rPr>
                <w:rFonts w:hint="eastAsia" w:ascii="仿宋_GB2312" w:hAnsi="仿宋_GB2312" w:eastAsia="仿宋_GB2312" w:cs="仿宋_GB2312"/>
                <w:bCs/>
                <w:color w:val="auto"/>
                <w:szCs w:val="24"/>
                <w:highlight w:val="none"/>
              </w:rPr>
              <w:t>上岗要求</w:t>
            </w:r>
          </w:p>
        </w:tc>
        <w:tc>
          <w:tcPr>
            <w:tcW w:w="1914" w:type="dxa"/>
            <w:tcBorders>
              <w:top w:val="single" w:color="auto" w:sz="4" w:space="0"/>
              <w:left w:val="single" w:color="auto" w:sz="4" w:space="0"/>
              <w:bottom w:val="single" w:color="auto" w:sz="4" w:space="0"/>
              <w:right w:val="single" w:color="auto" w:sz="4" w:space="0"/>
            </w:tcBorders>
            <w:noWrap/>
            <w:vAlign w:val="center"/>
          </w:tcPr>
          <w:p w14:paraId="7C253F04">
            <w:pPr>
              <w:pStyle w:val="26"/>
              <w:snapToGrid w:val="0"/>
              <w:ind w:left="0" w:leftChars="0"/>
              <w:jc w:val="center"/>
              <w:rPr>
                <w:rFonts w:ascii="仿宋_GB2312" w:hAnsi="仿宋_GB2312" w:eastAsia="仿宋_GB2312" w:cs="仿宋_GB2312"/>
                <w:bCs/>
                <w:color w:val="auto"/>
                <w:szCs w:val="24"/>
                <w:highlight w:val="none"/>
              </w:rPr>
            </w:pPr>
            <w:r>
              <w:rPr>
                <w:rFonts w:hint="eastAsia" w:ascii="仿宋_GB2312" w:hAnsi="仿宋_GB2312" w:eastAsia="仿宋_GB2312" w:cs="仿宋_GB2312"/>
                <w:bCs/>
                <w:color w:val="auto"/>
                <w:szCs w:val="24"/>
                <w:highlight w:val="none"/>
              </w:rPr>
              <w:t>工作时间</w:t>
            </w:r>
          </w:p>
        </w:tc>
      </w:tr>
      <w:tr w14:paraId="1C384E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9" w:hRule="atLeast"/>
        </w:trPr>
        <w:tc>
          <w:tcPr>
            <w:tcW w:w="1242" w:type="dxa"/>
            <w:vMerge w:val="restart"/>
            <w:tcBorders>
              <w:top w:val="single" w:color="auto" w:sz="4" w:space="0"/>
              <w:left w:val="single" w:color="auto" w:sz="4" w:space="0"/>
              <w:bottom w:val="single" w:color="auto" w:sz="4" w:space="0"/>
              <w:right w:val="single" w:color="auto" w:sz="4" w:space="0"/>
            </w:tcBorders>
            <w:noWrap/>
            <w:vAlign w:val="center"/>
          </w:tcPr>
          <w:p w14:paraId="40F5F650">
            <w:pPr>
              <w:pStyle w:val="26"/>
              <w:snapToGrid w:val="0"/>
              <w:ind w:left="0" w:leftChars="0"/>
              <w:jc w:val="center"/>
              <w:rPr>
                <w:rFonts w:ascii="仿宋_GB2312" w:hAnsi="仿宋_GB2312" w:eastAsia="仿宋_GB2312" w:cs="仿宋_GB2312"/>
                <w:bCs/>
                <w:color w:val="auto"/>
                <w:szCs w:val="24"/>
                <w:highlight w:val="none"/>
              </w:rPr>
            </w:pPr>
            <w:r>
              <w:rPr>
                <w:rFonts w:hint="eastAsia" w:ascii="仿宋_GB2312" w:hAnsi="仿宋_GB2312" w:eastAsia="仿宋_GB2312" w:cs="仿宋_GB2312"/>
                <w:bCs/>
                <w:color w:val="auto"/>
                <w:szCs w:val="24"/>
                <w:highlight w:val="none"/>
              </w:rPr>
              <w:t>食堂</w:t>
            </w:r>
          </w:p>
        </w:tc>
        <w:tc>
          <w:tcPr>
            <w:tcW w:w="1457" w:type="dxa"/>
            <w:tcBorders>
              <w:top w:val="single" w:color="auto" w:sz="4" w:space="0"/>
              <w:left w:val="single" w:color="auto" w:sz="4" w:space="0"/>
              <w:bottom w:val="single" w:color="auto" w:sz="4" w:space="0"/>
              <w:right w:val="single" w:color="auto" w:sz="4" w:space="0"/>
            </w:tcBorders>
            <w:noWrap/>
            <w:vAlign w:val="center"/>
          </w:tcPr>
          <w:p w14:paraId="3B2D9696">
            <w:pPr>
              <w:pStyle w:val="26"/>
              <w:snapToGrid w:val="0"/>
              <w:ind w:left="0" w:leftChars="0"/>
              <w:jc w:val="center"/>
              <w:rPr>
                <w:rFonts w:ascii="仿宋_GB2312" w:hAnsi="仿宋_GB2312" w:eastAsia="仿宋_GB2312" w:cs="仿宋_GB2312"/>
                <w:bCs/>
                <w:color w:val="auto"/>
                <w:szCs w:val="24"/>
                <w:highlight w:val="none"/>
              </w:rPr>
            </w:pPr>
            <w:r>
              <w:rPr>
                <w:rFonts w:hint="eastAsia" w:ascii="仿宋_GB2312" w:hAnsi="仿宋_GB2312" w:eastAsia="仿宋_GB2312" w:cs="仿宋_GB2312"/>
                <w:bCs/>
                <w:color w:val="auto"/>
                <w:szCs w:val="24"/>
                <w:highlight w:val="none"/>
              </w:rPr>
              <w:t>厨师</w:t>
            </w:r>
          </w:p>
        </w:tc>
        <w:tc>
          <w:tcPr>
            <w:tcW w:w="966" w:type="dxa"/>
            <w:tcBorders>
              <w:top w:val="single" w:color="auto" w:sz="4" w:space="0"/>
              <w:left w:val="single" w:color="auto" w:sz="4" w:space="0"/>
              <w:bottom w:val="single" w:color="auto" w:sz="4" w:space="0"/>
              <w:right w:val="single" w:color="auto" w:sz="4" w:space="0"/>
            </w:tcBorders>
            <w:noWrap/>
            <w:vAlign w:val="center"/>
          </w:tcPr>
          <w:p w14:paraId="334B36F1">
            <w:pPr>
              <w:pStyle w:val="26"/>
              <w:snapToGrid w:val="0"/>
              <w:ind w:left="0" w:leftChars="0"/>
              <w:jc w:val="center"/>
              <w:rPr>
                <w:rFonts w:ascii="仿宋_GB2312" w:hAnsi="仿宋_GB2312" w:eastAsia="仿宋_GB2312" w:cs="仿宋_GB2312"/>
                <w:bCs/>
                <w:color w:val="auto"/>
                <w:szCs w:val="24"/>
                <w:highlight w:val="none"/>
              </w:rPr>
            </w:pPr>
            <w:r>
              <w:rPr>
                <w:rFonts w:hint="eastAsia" w:ascii="仿宋_GB2312" w:hAnsi="仿宋_GB2312" w:eastAsia="仿宋_GB2312" w:cs="仿宋_GB2312"/>
                <w:bCs/>
                <w:color w:val="auto"/>
                <w:szCs w:val="24"/>
                <w:highlight w:val="none"/>
              </w:rPr>
              <w:t>2</w:t>
            </w:r>
          </w:p>
        </w:tc>
        <w:tc>
          <w:tcPr>
            <w:tcW w:w="3327" w:type="dxa"/>
            <w:tcBorders>
              <w:top w:val="single" w:color="auto" w:sz="4" w:space="0"/>
              <w:left w:val="single" w:color="auto" w:sz="4" w:space="0"/>
              <w:bottom w:val="single" w:color="auto" w:sz="4" w:space="0"/>
              <w:right w:val="single" w:color="auto" w:sz="4" w:space="0"/>
            </w:tcBorders>
            <w:noWrap/>
            <w:vAlign w:val="center"/>
          </w:tcPr>
          <w:p w14:paraId="4782D9C9">
            <w:pPr>
              <w:pStyle w:val="26"/>
              <w:snapToGrid w:val="0"/>
              <w:ind w:left="0" w:leftChars="0"/>
              <w:rPr>
                <w:rFonts w:ascii="仿宋_GB2312" w:hAnsi="仿宋_GB2312" w:eastAsia="仿宋_GB2312" w:cs="仿宋_GB2312"/>
                <w:bCs/>
                <w:color w:val="auto"/>
                <w:szCs w:val="24"/>
                <w:highlight w:val="none"/>
              </w:rPr>
            </w:pPr>
            <w:r>
              <w:rPr>
                <w:rFonts w:hint="eastAsia" w:ascii="仿宋_GB2312" w:hAnsi="仿宋_GB2312" w:eastAsia="仿宋_GB2312" w:cs="仿宋_GB2312"/>
                <w:bCs/>
                <w:color w:val="auto"/>
                <w:szCs w:val="24"/>
                <w:highlight w:val="none"/>
              </w:rPr>
              <w:t>红白案各1人，男女不限，年龄不超过50岁；至少一名拥有一级厨师证或以上（中式烹调类）</w:t>
            </w:r>
          </w:p>
        </w:tc>
        <w:tc>
          <w:tcPr>
            <w:tcW w:w="1914" w:type="dxa"/>
            <w:vMerge w:val="restart"/>
            <w:tcBorders>
              <w:top w:val="single" w:color="auto" w:sz="4" w:space="0"/>
              <w:left w:val="single" w:color="auto" w:sz="4" w:space="0"/>
              <w:bottom w:val="single" w:color="auto" w:sz="4" w:space="0"/>
              <w:right w:val="single" w:color="auto" w:sz="4" w:space="0"/>
            </w:tcBorders>
            <w:noWrap/>
            <w:vAlign w:val="center"/>
          </w:tcPr>
          <w:p w14:paraId="0510F62B">
            <w:pPr>
              <w:pStyle w:val="26"/>
              <w:snapToGrid w:val="0"/>
              <w:ind w:left="0" w:leftChars="0"/>
              <w:rPr>
                <w:rFonts w:ascii="仿宋_GB2312" w:hAnsi="仿宋_GB2312" w:eastAsia="仿宋_GB2312" w:cs="仿宋_GB2312"/>
                <w:bCs/>
                <w:color w:val="auto"/>
                <w:szCs w:val="24"/>
                <w:highlight w:val="none"/>
              </w:rPr>
            </w:pPr>
            <w:r>
              <w:rPr>
                <w:rFonts w:hint="eastAsia" w:ascii="仿宋_GB2312" w:hAnsi="仿宋_GB2312" w:eastAsia="仿宋_GB2312" w:cs="仿宋_GB2312"/>
                <w:bCs/>
                <w:color w:val="auto"/>
                <w:szCs w:val="24"/>
                <w:highlight w:val="none"/>
              </w:rPr>
              <w:t>除正常保障外，应做好接待餐保障工作</w:t>
            </w:r>
          </w:p>
        </w:tc>
      </w:tr>
      <w:tr w14:paraId="2C5ED2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4" w:hRule="atLeast"/>
        </w:trPr>
        <w:tc>
          <w:tcPr>
            <w:tcW w:w="1242" w:type="dxa"/>
            <w:vMerge w:val="continue"/>
            <w:tcBorders>
              <w:top w:val="single" w:color="auto" w:sz="4" w:space="0"/>
              <w:left w:val="single" w:color="auto" w:sz="4" w:space="0"/>
              <w:bottom w:val="single" w:color="auto" w:sz="4" w:space="0"/>
              <w:right w:val="single" w:color="auto" w:sz="4" w:space="0"/>
            </w:tcBorders>
            <w:noWrap/>
          </w:tcPr>
          <w:p w14:paraId="7CA4EEB4">
            <w:pPr>
              <w:pStyle w:val="26"/>
              <w:snapToGrid w:val="0"/>
              <w:ind w:left="480"/>
              <w:jc w:val="center"/>
              <w:rPr>
                <w:rFonts w:ascii="仿宋_GB2312" w:hAnsi="仿宋_GB2312" w:eastAsia="仿宋_GB2312" w:cs="仿宋_GB2312"/>
                <w:bCs/>
                <w:color w:val="auto"/>
                <w:szCs w:val="24"/>
                <w:highlight w:val="none"/>
              </w:rPr>
            </w:pPr>
          </w:p>
        </w:tc>
        <w:tc>
          <w:tcPr>
            <w:tcW w:w="1457" w:type="dxa"/>
            <w:tcBorders>
              <w:top w:val="single" w:color="auto" w:sz="4" w:space="0"/>
              <w:left w:val="single" w:color="auto" w:sz="4" w:space="0"/>
              <w:bottom w:val="single" w:color="auto" w:sz="4" w:space="0"/>
              <w:right w:val="single" w:color="auto" w:sz="4" w:space="0"/>
            </w:tcBorders>
            <w:noWrap/>
            <w:vAlign w:val="center"/>
          </w:tcPr>
          <w:p w14:paraId="6CB6CA3B">
            <w:pPr>
              <w:pStyle w:val="26"/>
              <w:snapToGrid w:val="0"/>
              <w:ind w:left="0" w:leftChars="0"/>
              <w:jc w:val="center"/>
              <w:rPr>
                <w:rFonts w:ascii="仿宋_GB2312" w:hAnsi="仿宋_GB2312" w:eastAsia="仿宋_GB2312" w:cs="仿宋_GB2312"/>
                <w:bCs/>
                <w:color w:val="auto"/>
                <w:szCs w:val="24"/>
                <w:highlight w:val="none"/>
              </w:rPr>
            </w:pPr>
            <w:r>
              <w:rPr>
                <w:rFonts w:hint="eastAsia" w:ascii="仿宋_GB2312" w:hAnsi="仿宋_GB2312" w:eastAsia="仿宋_GB2312" w:cs="仿宋_GB2312"/>
                <w:bCs/>
                <w:color w:val="auto"/>
                <w:szCs w:val="24"/>
                <w:highlight w:val="none"/>
              </w:rPr>
              <w:t>餐厅服</w:t>
            </w:r>
          </w:p>
          <w:p w14:paraId="524C77D9">
            <w:pPr>
              <w:pStyle w:val="26"/>
              <w:snapToGrid w:val="0"/>
              <w:ind w:left="0" w:leftChars="0"/>
              <w:jc w:val="center"/>
              <w:rPr>
                <w:rFonts w:ascii="仿宋_GB2312" w:hAnsi="仿宋_GB2312" w:eastAsia="仿宋_GB2312" w:cs="仿宋_GB2312"/>
                <w:bCs/>
                <w:color w:val="auto"/>
                <w:szCs w:val="24"/>
                <w:highlight w:val="none"/>
              </w:rPr>
            </w:pPr>
            <w:r>
              <w:rPr>
                <w:rFonts w:hint="eastAsia" w:ascii="仿宋_GB2312" w:hAnsi="仿宋_GB2312" w:eastAsia="仿宋_GB2312" w:cs="仿宋_GB2312"/>
                <w:bCs/>
                <w:color w:val="auto"/>
                <w:szCs w:val="24"/>
                <w:highlight w:val="none"/>
              </w:rPr>
              <w:t>务人员</w:t>
            </w:r>
          </w:p>
        </w:tc>
        <w:tc>
          <w:tcPr>
            <w:tcW w:w="966" w:type="dxa"/>
            <w:tcBorders>
              <w:top w:val="single" w:color="auto" w:sz="4" w:space="0"/>
              <w:left w:val="single" w:color="auto" w:sz="4" w:space="0"/>
              <w:bottom w:val="single" w:color="auto" w:sz="4" w:space="0"/>
              <w:right w:val="single" w:color="auto" w:sz="4" w:space="0"/>
            </w:tcBorders>
            <w:noWrap/>
            <w:vAlign w:val="center"/>
          </w:tcPr>
          <w:p w14:paraId="47B3D65B">
            <w:pPr>
              <w:pStyle w:val="26"/>
              <w:snapToGrid w:val="0"/>
              <w:ind w:left="0" w:leftChars="0"/>
              <w:jc w:val="center"/>
              <w:rPr>
                <w:rFonts w:ascii="仿宋_GB2312" w:hAnsi="仿宋_GB2312" w:eastAsia="仿宋_GB2312" w:cs="仿宋_GB2312"/>
                <w:bCs/>
                <w:color w:val="auto"/>
                <w:szCs w:val="24"/>
                <w:highlight w:val="none"/>
              </w:rPr>
            </w:pPr>
            <w:r>
              <w:rPr>
                <w:rFonts w:hint="eastAsia" w:ascii="仿宋_GB2312" w:hAnsi="仿宋_GB2312" w:eastAsia="仿宋_GB2312" w:cs="仿宋_GB2312"/>
                <w:bCs/>
                <w:color w:val="auto"/>
                <w:szCs w:val="24"/>
                <w:highlight w:val="none"/>
              </w:rPr>
              <w:t>2</w:t>
            </w:r>
          </w:p>
        </w:tc>
        <w:tc>
          <w:tcPr>
            <w:tcW w:w="3327" w:type="dxa"/>
            <w:tcBorders>
              <w:top w:val="single" w:color="auto" w:sz="4" w:space="0"/>
              <w:left w:val="single" w:color="auto" w:sz="4" w:space="0"/>
              <w:bottom w:val="single" w:color="auto" w:sz="4" w:space="0"/>
              <w:right w:val="single" w:color="auto" w:sz="4" w:space="0"/>
            </w:tcBorders>
            <w:noWrap/>
            <w:vAlign w:val="center"/>
          </w:tcPr>
          <w:p w14:paraId="069C31E0">
            <w:pPr>
              <w:pStyle w:val="26"/>
              <w:snapToGrid w:val="0"/>
              <w:ind w:left="0" w:leftChars="0"/>
              <w:rPr>
                <w:rFonts w:ascii="仿宋_GB2312" w:hAnsi="仿宋_GB2312" w:eastAsia="仿宋_GB2312" w:cs="仿宋_GB2312"/>
                <w:bCs/>
                <w:color w:val="auto"/>
                <w:szCs w:val="24"/>
                <w:highlight w:val="none"/>
              </w:rPr>
            </w:pPr>
            <w:r>
              <w:rPr>
                <w:rFonts w:hint="eastAsia" w:ascii="仿宋_GB2312" w:hAnsi="仿宋_GB2312" w:eastAsia="仿宋_GB2312" w:cs="仿宋_GB2312"/>
                <w:bCs/>
                <w:color w:val="auto"/>
                <w:szCs w:val="24"/>
                <w:highlight w:val="none"/>
              </w:rPr>
              <w:t>男女不限，年龄不超过50岁；</w:t>
            </w:r>
          </w:p>
        </w:tc>
        <w:tc>
          <w:tcPr>
            <w:tcW w:w="1914" w:type="dxa"/>
            <w:vMerge w:val="continue"/>
            <w:tcBorders>
              <w:top w:val="single" w:color="auto" w:sz="4" w:space="0"/>
              <w:left w:val="single" w:color="auto" w:sz="4" w:space="0"/>
              <w:bottom w:val="single" w:color="auto" w:sz="4" w:space="0"/>
              <w:right w:val="single" w:color="auto" w:sz="4" w:space="0"/>
            </w:tcBorders>
            <w:noWrap/>
          </w:tcPr>
          <w:p w14:paraId="2D82F84E">
            <w:pPr>
              <w:pStyle w:val="26"/>
              <w:snapToGrid w:val="0"/>
              <w:ind w:left="480"/>
              <w:rPr>
                <w:rFonts w:ascii="仿宋_GB2312" w:hAnsi="仿宋_GB2312" w:eastAsia="仿宋_GB2312" w:cs="仿宋_GB2312"/>
                <w:bCs/>
                <w:color w:val="auto"/>
                <w:szCs w:val="24"/>
                <w:highlight w:val="none"/>
              </w:rPr>
            </w:pPr>
          </w:p>
        </w:tc>
      </w:tr>
      <w:tr w14:paraId="4C941F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2" w:hRule="atLeast"/>
        </w:trPr>
        <w:tc>
          <w:tcPr>
            <w:tcW w:w="2699" w:type="dxa"/>
            <w:gridSpan w:val="2"/>
            <w:tcBorders>
              <w:top w:val="single" w:color="auto" w:sz="4" w:space="0"/>
              <w:left w:val="single" w:color="auto" w:sz="4" w:space="0"/>
              <w:bottom w:val="single" w:color="auto" w:sz="4" w:space="0"/>
              <w:right w:val="single" w:color="auto" w:sz="4" w:space="0"/>
            </w:tcBorders>
            <w:noWrap/>
            <w:vAlign w:val="center"/>
          </w:tcPr>
          <w:p w14:paraId="0BEB7A12">
            <w:pPr>
              <w:pStyle w:val="26"/>
              <w:snapToGrid w:val="0"/>
              <w:ind w:left="480"/>
              <w:jc w:val="center"/>
              <w:rPr>
                <w:rFonts w:ascii="仿宋_GB2312" w:hAnsi="仿宋_GB2312" w:eastAsia="仿宋_GB2312" w:cs="仿宋_GB2312"/>
                <w:bCs/>
                <w:color w:val="auto"/>
                <w:szCs w:val="24"/>
                <w:highlight w:val="none"/>
              </w:rPr>
            </w:pPr>
            <w:r>
              <w:rPr>
                <w:rFonts w:hint="eastAsia" w:ascii="仿宋_GB2312" w:hAnsi="仿宋_GB2312" w:eastAsia="仿宋_GB2312" w:cs="仿宋_GB2312"/>
                <w:bCs/>
                <w:color w:val="auto"/>
                <w:szCs w:val="24"/>
                <w:highlight w:val="none"/>
              </w:rPr>
              <w:t>合计</w:t>
            </w:r>
          </w:p>
        </w:tc>
        <w:tc>
          <w:tcPr>
            <w:tcW w:w="966" w:type="dxa"/>
            <w:tcBorders>
              <w:top w:val="single" w:color="auto" w:sz="4" w:space="0"/>
              <w:left w:val="single" w:color="auto" w:sz="4" w:space="0"/>
              <w:bottom w:val="single" w:color="auto" w:sz="4" w:space="0"/>
              <w:right w:val="single" w:color="auto" w:sz="4" w:space="0"/>
            </w:tcBorders>
            <w:noWrap/>
            <w:vAlign w:val="center"/>
          </w:tcPr>
          <w:p w14:paraId="3EAD13C4">
            <w:pPr>
              <w:pStyle w:val="26"/>
              <w:snapToGrid w:val="0"/>
              <w:ind w:left="0" w:leftChars="0"/>
              <w:jc w:val="center"/>
              <w:rPr>
                <w:rFonts w:ascii="仿宋_GB2312" w:hAnsi="仿宋_GB2312" w:eastAsia="仿宋_GB2312" w:cs="仿宋_GB2312"/>
                <w:bCs/>
                <w:color w:val="auto"/>
                <w:szCs w:val="24"/>
                <w:highlight w:val="none"/>
              </w:rPr>
            </w:pPr>
            <w:r>
              <w:rPr>
                <w:rFonts w:hint="eastAsia" w:ascii="仿宋_GB2312" w:hAnsi="仿宋_GB2312" w:eastAsia="仿宋_GB2312" w:cs="仿宋_GB2312"/>
                <w:bCs/>
                <w:color w:val="auto"/>
                <w:szCs w:val="24"/>
                <w:highlight w:val="none"/>
              </w:rPr>
              <w:t>4</w:t>
            </w:r>
          </w:p>
        </w:tc>
        <w:tc>
          <w:tcPr>
            <w:tcW w:w="5241" w:type="dxa"/>
            <w:gridSpan w:val="2"/>
            <w:tcBorders>
              <w:top w:val="single" w:color="auto" w:sz="4" w:space="0"/>
              <w:left w:val="single" w:color="auto" w:sz="4" w:space="0"/>
              <w:bottom w:val="single" w:color="auto" w:sz="4" w:space="0"/>
              <w:right w:val="single" w:color="auto" w:sz="4" w:space="0"/>
            </w:tcBorders>
            <w:noWrap/>
            <w:vAlign w:val="center"/>
          </w:tcPr>
          <w:p w14:paraId="0929B26C">
            <w:pPr>
              <w:pStyle w:val="26"/>
              <w:snapToGrid w:val="0"/>
              <w:ind w:left="480"/>
              <w:rPr>
                <w:rFonts w:ascii="仿宋_GB2312" w:hAnsi="仿宋_GB2312" w:eastAsia="仿宋_GB2312" w:cs="仿宋_GB2312"/>
                <w:bCs/>
                <w:color w:val="auto"/>
                <w:szCs w:val="24"/>
                <w:highlight w:val="none"/>
              </w:rPr>
            </w:pPr>
          </w:p>
        </w:tc>
      </w:tr>
      <w:tr w14:paraId="6C81B2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52" w:hRule="atLeast"/>
        </w:trPr>
        <w:tc>
          <w:tcPr>
            <w:tcW w:w="2699" w:type="dxa"/>
            <w:gridSpan w:val="2"/>
            <w:tcBorders>
              <w:top w:val="single" w:color="auto" w:sz="4" w:space="0"/>
              <w:left w:val="single" w:color="auto" w:sz="4" w:space="0"/>
              <w:bottom w:val="single" w:color="auto" w:sz="4" w:space="0"/>
              <w:right w:val="single" w:color="auto" w:sz="4" w:space="0"/>
            </w:tcBorders>
            <w:noWrap/>
            <w:vAlign w:val="center"/>
          </w:tcPr>
          <w:p w14:paraId="33DA95FC">
            <w:pPr>
              <w:pStyle w:val="26"/>
              <w:snapToGrid w:val="0"/>
              <w:ind w:left="480"/>
              <w:jc w:val="center"/>
              <w:rPr>
                <w:rFonts w:ascii="仿宋_GB2312" w:hAnsi="仿宋_GB2312" w:eastAsia="仿宋_GB2312" w:cs="仿宋_GB2312"/>
                <w:bCs/>
                <w:color w:val="auto"/>
                <w:szCs w:val="24"/>
                <w:highlight w:val="none"/>
              </w:rPr>
            </w:pPr>
            <w:r>
              <w:rPr>
                <w:rFonts w:hint="eastAsia" w:ascii="仿宋_GB2312" w:hAnsi="仿宋_GB2312" w:eastAsia="仿宋_GB2312" w:cs="仿宋_GB2312"/>
                <w:bCs/>
                <w:color w:val="auto"/>
                <w:szCs w:val="24"/>
                <w:highlight w:val="none"/>
              </w:rPr>
              <w:t>说明</w:t>
            </w:r>
          </w:p>
        </w:tc>
        <w:tc>
          <w:tcPr>
            <w:tcW w:w="6207" w:type="dxa"/>
            <w:gridSpan w:val="3"/>
            <w:tcBorders>
              <w:top w:val="single" w:color="auto" w:sz="4" w:space="0"/>
              <w:left w:val="single" w:color="auto" w:sz="4" w:space="0"/>
              <w:bottom w:val="single" w:color="auto" w:sz="4" w:space="0"/>
              <w:right w:val="single" w:color="auto" w:sz="4" w:space="0"/>
            </w:tcBorders>
            <w:noWrap/>
            <w:vAlign w:val="center"/>
          </w:tcPr>
          <w:p w14:paraId="4C67C9EE">
            <w:pPr>
              <w:snapToGrid w:val="0"/>
              <w:spacing w:line="240" w:lineRule="auto"/>
              <w:rPr>
                <w:rFonts w:ascii="仿宋_GB2312" w:hAnsi="仿宋_GB2312" w:eastAsia="仿宋_GB2312" w:cs="仿宋_GB2312"/>
                <w:bCs/>
                <w:color w:val="auto"/>
                <w:szCs w:val="24"/>
                <w:highlight w:val="none"/>
              </w:rPr>
            </w:pPr>
            <w:r>
              <w:rPr>
                <w:rFonts w:hint="eastAsia" w:ascii="仿宋_GB2312" w:hAnsi="仿宋_GB2312" w:eastAsia="仿宋_GB2312" w:cs="仿宋_GB2312"/>
                <w:bCs/>
                <w:color w:val="auto"/>
                <w:szCs w:val="24"/>
                <w:highlight w:val="none"/>
              </w:rPr>
              <w:t>1.工作人员每年要进行一次健康体检，所有人员必须具有卫生部门规定办理的健康证，无健康证的不得上岗；                                       2.投标人须指定其中1名厨师作为行政主厨，便于和采购人随时沟通联系和对派遣团队人员进行管理（行政主厨应是乙方正式员工，</w:t>
            </w:r>
            <w:r>
              <w:rPr>
                <w:rFonts w:hint="eastAsia" w:ascii="仿宋_GB2312" w:hAnsi="仿宋_GB2312" w:eastAsia="仿宋_GB2312" w:cs="仿宋_GB2312"/>
                <w:color w:val="auto"/>
                <w:szCs w:val="24"/>
                <w:highlight w:val="none"/>
              </w:rPr>
              <w:t>且在该公司有缴纳社保</w:t>
            </w:r>
            <w:r>
              <w:rPr>
                <w:rFonts w:hint="eastAsia" w:ascii="仿宋_GB2312" w:hAnsi="仿宋_GB2312" w:eastAsia="仿宋_GB2312" w:cs="仿宋_GB2312"/>
                <w:bCs/>
                <w:color w:val="auto"/>
                <w:szCs w:val="24"/>
                <w:highlight w:val="none"/>
              </w:rPr>
              <w:t>）。</w:t>
            </w:r>
          </w:p>
        </w:tc>
      </w:tr>
    </w:tbl>
    <w:p w14:paraId="08218BA2">
      <w:pPr>
        <w:pStyle w:val="15"/>
        <w:spacing w:line="360" w:lineRule="auto"/>
        <w:ind w:firstLine="0"/>
        <w:rPr>
          <w:rFonts w:ascii="宋体" w:hAnsi="宋体" w:cs="宋体"/>
          <w:color w:val="auto"/>
          <w:szCs w:val="24"/>
          <w:highlight w:val="none"/>
        </w:rPr>
      </w:pPr>
      <w:r>
        <w:rPr>
          <w:rFonts w:hint="eastAsia" w:ascii="宋体" w:hAnsi="宋体" w:cs="宋体"/>
          <w:b/>
          <w:bCs/>
          <w:color w:val="auto"/>
          <w:szCs w:val="24"/>
          <w:highlight w:val="none"/>
        </w:rPr>
        <w:t>4.本标书规定的服务标准</w:t>
      </w:r>
      <w:r>
        <w:rPr>
          <w:rFonts w:hint="eastAsia" w:ascii="宋体" w:hAnsi="宋体" w:cs="宋体"/>
          <w:color w:val="auto"/>
          <w:szCs w:val="24"/>
          <w:highlight w:val="none"/>
        </w:rPr>
        <w:t>，仅作为主要要求，不作为完整的、详细的要求。投标人可提供不低于本标书规定标准的替代标准。投标要拟制完善的服务方案，明确各个岗位人员配备、服务内容、服务标准。</w:t>
      </w:r>
    </w:p>
    <w:p w14:paraId="2E5DF3F1">
      <w:pPr>
        <w:pStyle w:val="15"/>
        <w:spacing w:line="360" w:lineRule="auto"/>
        <w:ind w:firstLine="0"/>
        <w:rPr>
          <w:rFonts w:ascii="宋体" w:hAnsi="宋体" w:cs="宋体"/>
          <w:b/>
          <w:bCs/>
          <w:color w:val="auto"/>
          <w:szCs w:val="24"/>
          <w:highlight w:val="none"/>
        </w:rPr>
      </w:pPr>
      <w:r>
        <w:rPr>
          <w:rFonts w:hint="eastAsia" w:ascii="宋体" w:hAnsi="宋体" w:cs="宋体"/>
          <w:b/>
          <w:bCs/>
          <w:color w:val="auto"/>
          <w:szCs w:val="24"/>
          <w:highlight w:val="none"/>
        </w:rPr>
        <w:t>5.考评管理办法</w:t>
      </w:r>
    </w:p>
    <w:p w14:paraId="64E1B51B">
      <w:pPr>
        <w:pStyle w:val="15"/>
        <w:spacing w:line="360" w:lineRule="auto"/>
        <w:ind w:firstLine="480" w:firstLineChars="200"/>
        <w:rPr>
          <w:rFonts w:ascii="宋体" w:hAnsi="宋体" w:cs="宋体"/>
          <w:color w:val="auto"/>
          <w:szCs w:val="24"/>
          <w:highlight w:val="none"/>
        </w:rPr>
      </w:pPr>
      <w:r>
        <w:rPr>
          <w:rFonts w:hint="eastAsia" w:ascii="宋体" w:hAnsi="宋体" w:cs="宋体"/>
          <w:color w:val="auto"/>
          <w:szCs w:val="24"/>
          <w:highlight w:val="none"/>
        </w:rPr>
        <w:t>5.1评估内容。（1）日常检查督导情况。由采购人进行日常检查并评估。（2）满意度调查。采购人每月组织满意度调查，征求同事意见建议。（3）其他形式收集到的意见情况。</w:t>
      </w:r>
    </w:p>
    <w:p w14:paraId="21AC2BD2">
      <w:pPr>
        <w:pStyle w:val="15"/>
        <w:spacing w:line="360" w:lineRule="auto"/>
        <w:ind w:firstLine="480" w:firstLineChars="200"/>
        <w:rPr>
          <w:rFonts w:ascii="宋体" w:hAnsi="宋体" w:cs="宋体"/>
          <w:color w:val="auto"/>
          <w:szCs w:val="24"/>
          <w:highlight w:val="none"/>
        </w:rPr>
      </w:pPr>
      <w:r>
        <w:rPr>
          <w:rFonts w:hint="eastAsia" w:ascii="宋体" w:hAnsi="宋体" w:cs="宋体"/>
          <w:color w:val="auto"/>
          <w:szCs w:val="24"/>
          <w:highlight w:val="none"/>
        </w:rPr>
        <w:t>5.2评估权重。考评总分为100分，日常工作监督占40分，采购人满意度占40分，其他形式收集到的意见占20分。</w:t>
      </w:r>
    </w:p>
    <w:p w14:paraId="7B14A95F">
      <w:pPr>
        <w:spacing w:line="360" w:lineRule="auto"/>
        <w:ind w:firstLine="480" w:firstLineChars="200"/>
        <w:rPr>
          <w:rFonts w:ascii="宋体" w:hAnsi="宋体" w:cs="宋体"/>
          <w:color w:val="auto"/>
          <w:szCs w:val="24"/>
          <w:highlight w:val="none"/>
        </w:rPr>
      </w:pPr>
      <w:r>
        <w:rPr>
          <w:rFonts w:hint="eastAsia" w:ascii="宋体" w:hAnsi="宋体" w:cs="宋体"/>
          <w:color w:val="auto"/>
          <w:szCs w:val="24"/>
          <w:highlight w:val="none"/>
        </w:rPr>
        <w:t>5.3计分办法。（1）日常工作监督检查。由甲方物业管理部门管理人员和负责人每月进行物业服务月度考核打分。（2）满意度测评。每月组织满意度测评，反馈结果出现基本满意每次扣0.1分，出现不满意的意见扣0.5分/次。（3）其他形式收集到的意见情况。通过意见单、意见本或业主口头反馈收到的批评性意见，经认定合理的，扣除0.5分/次。（4）</w:t>
      </w:r>
      <w:r>
        <w:rPr>
          <w:rFonts w:hint="eastAsia" w:ascii="宋体" w:hAnsi="宋体" w:cs="宋体"/>
          <w:color w:val="auto"/>
          <w:kern w:val="10"/>
          <w:szCs w:val="24"/>
          <w:highlight w:val="none"/>
        </w:rPr>
        <w:t>月度考核成绩= 日常评分*40%+月底满意度评分*40%+</w:t>
      </w:r>
      <w:r>
        <w:rPr>
          <w:rFonts w:hint="eastAsia" w:ascii="宋体" w:hAnsi="宋体" w:cs="宋体"/>
          <w:color w:val="auto"/>
          <w:szCs w:val="24"/>
          <w:highlight w:val="none"/>
        </w:rPr>
        <w:t>其他形式收集到的意见评分*20%</w:t>
      </w:r>
      <w:r>
        <w:rPr>
          <w:rFonts w:hint="eastAsia" w:ascii="宋体" w:hAnsi="宋体" w:cs="宋体"/>
          <w:color w:val="auto"/>
          <w:kern w:val="10"/>
          <w:szCs w:val="24"/>
          <w:highlight w:val="none"/>
        </w:rPr>
        <w:t>；</w:t>
      </w:r>
      <w:r>
        <w:rPr>
          <w:rFonts w:hint="eastAsia" w:ascii="宋体" w:hAnsi="宋体" w:cs="宋体"/>
          <w:color w:val="auto"/>
          <w:kern w:val="10"/>
          <w:szCs w:val="24"/>
          <w:highlight w:val="none"/>
          <w:lang w:eastAsia="zh-CN"/>
        </w:rPr>
        <w:t>季度</w:t>
      </w:r>
      <w:r>
        <w:rPr>
          <w:rFonts w:hint="eastAsia" w:ascii="宋体" w:hAnsi="宋体" w:cs="宋体"/>
          <w:color w:val="auto"/>
          <w:kern w:val="10"/>
          <w:szCs w:val="24"/>
          <w:highlight w:val="none"/>
        </w:rPr>
        <w:t>考核成绩= 3个月的月度考核平均成绩。</w:t>
      </w:r>
    </w:p>
    <w:p w14:paraId="02B27B10">
      <w:pPr>
        <w:pStyle w:val="15"/>
        <w:spacing w:line="360" w:lineRule="auto"/>
        <w:ind w:firstLine="480" w:firstLineChars="200"/>
        <w:rPr>
          <w:rFonts w:ascii="宋体" w:hAnsi="宋体" w:cs="宋体"/>
          <w:color w:val="auto"/>
          <w:kern w:val="10"/>
          <w:szCs w:val="24"/>
          <w:highlight w:val="none"/>
        </w:rPr>
      </w:pPr>
      <w:r>
        <w:rPr>
          <w:rFonts w:hint="eastAsia" w:ascii="宋体" w:hAnsi="宋体" w:cs="宋体"/>
          <w:color w:val="auto"/>
          <w:szCs w:val="24"/>
          <w:highlight w:val="none"/>
        </w:rPr>
        <w:t>5.4评估结果及运用。（1）成绩评定。采购人根据“计分办法”计算得分值，拟制《评估报告》，提出季度评估建议，报领导审定后确定。（2）结果运用。服务费将按季度支付，</w:t>
      </w:r>
      <w:r>
        <w:rPr>
          <w:rFonts w:hint="eastAsia" w:ascii="宋体" w:hAnsi="宋体" w:cs="宋体"/>
          <w:color w:val="auto"/>
          <w:szCs w:val="24"/>
          <w:highlight w:val="none"/>
          <w:lang w:eastAsia="zh-CN"/>
        </w:rPr>
        <w:t>季度</w:t>
      </w:r>
      <w:r>
        <w:rPr>
          <w:rFonts w:hint="eastAsia" w:ascii="宋体" w:hAnsi="宋体" w:cs="宋体"/>
          <w:color w:val="auto"/>
          <w:szCs w:val="24"/>
          <w:highlight w:val="none"/>
        </w:rPr>
        <w:t>评估结果90分以上（含90分）为“优秀”，按季度金额的100%支付服务费用；</w:t>
      </w:r>
      <w:r>
        <w:rPr>
          <w:rFonts w:hint="eastAsia" w:ascii="宋体" w:hAnsi="宋体" w:cs="宋体"/>
          <w:color w:val="auto"/>
          <w:szCs w:val="24"/>
          <w:highlight w:val="none"/>
          <w:lang w:eastAsia="zh-CN"/>
        </w:rPr>
        <w:t>季度</w:t>
      </w:r>
      <w:r>
        <w:rPr>
          <w:rFonts w:hint="eastAsia" w:ascii="宋体" w:hAnsi="宋体" w:cs="宋体"/>
          <w:color w:val="auto"/>
          <w:szCs w:val="24"/>
          <w:highlight w:val="none"/>
        </w:rPr>
        <w:t>评估结果85-90分（含85分）为“良好”，按季度金额的95%支付服务费用；</w:t>
      </w:r>
      <w:r>
        <w:rPr>
          <w:rFonts w:hint="eastAsia" w:ascii="宋体" w:hAnsi="宋体" w:cs="宋体"/>
          <w:color w:val="auto"/>
          <w:szCs w:val="24"/>
          <w:highlight w:val="none"/>
          <w:lang w:eastAsia="zh-CN"/>
        </w:rPr>
        <w:t>季度</w:t>
      </w:r>
      <w:r>
        <w:rPr>
          <w:rFonts w:hint="eastAsia" w:ascii="宋体" w:hAnsi="宋体" w:cs="宋体"/>
          <w:color w:val="auto"/>
          <w:szCs w:val="24"/>
          <w:highlight w:val="none"/>
        </w:rPr>
        <w:t>评估结果80-85分（含80分）为合格，按季度金额的90%支付服务费用；</w:t>
      </w:r>
      <w:r>
        <w:rPr>
          <w:rFonts w:hint="eastAsia" w:ascii="宋体" w:hAnsi="宋体" w:cs="宋体"/>
          <w:color w:val="auto"/>
          <w:szCs w:val="24"/>
          <w:highlight w:val="none"/>
          <w:lang w:eastAsia="zh-CN"/>
        </w:rPr>
        <w:t>季度</w:t>
      </w:r>
      <w:r>
        <w:rPr>
          <w:rFonts w:hint="eastAsia" w:ascii="宋体" w:hAnsi="宋体" w:cs="宋体"/>
          <w:color w:val="auto"/>
          <w:szCs w:val="24"/>
          <w:highlight w:val="none"/>
        </w:rPr>
        <w:t>评估结果80分以下为不合格，按季度金额的80%支付季度服务费用（日常管理中发生的扣款金额与季度考评的扣款不能相互抵扣），甲方根据情节严重性可终止合同；</w:t>
      </w:r>
      <w:r>
        <w:rPr>
          <w:rFonts w:hint="eastAsia" w:ascii="宋体" w:hAnsi="宋体" w:cs="宋体"/>
          <w:color w:val="auto"/>
          <w:kern w:val="10"/>
          <w:szCs w:val="24"/>
          <w:highlight w:val="none"/>
        </w:rPr>
        <w:t xml:space="preserve">连续三个月月度考核成绩为不合格，甲方可终止合同并将管理服务费（已产生）的10%作为违约金。（3）每月考核中对某些问题要求及时整改。在日常的管理与服务中乙方未完成规定的管理目标和未达到服务标准的，由采购人物业管理部门下发整改通知，限期整改，未达到要求的，视为违约，并根据未达标程度及整改申诉情况处理。 </w:t>
      </w:r>
    </w:p>
    <w:p w14:paraId="4B9CA965">
      <w:pPr>
        <w:pStyle w:val="15"/>
        <w:spacing w:line="360" w:lineRule="auto"/>
        <w:ind w:firstLine="480" w:firstLineChars="200"/>
        <w:rPr>
          <w:rFonts w:ascii="宋体" w:hAnsi="宋体" w:cs="宋体"/>
          <w:color w:val="auto"/>
          <w:kern w:val="10"/>
          <w:szCs w:val="24"/>
          <w:highlight w:val="none"/>
        </w:rPr>
      </w:pPr>
      <w:r>
        <w:rPr>
          <w:rFonts w:hint="eastAsia" w:ascii="宋体" w:hAnsi="宋体" w:cs="宋体"/>
          <w:color w:val="auto"/>
          <w:kern w:val="10"/>
          <w:szCs w:val="24"/>
          <w:highlight w:val="none"/>
        </w:rPr>
        <w:t>5.5服务考核标准</w:t>
      </w:r>
    </w:p>
    <w:tbl>
      <w:tblPr>
        <w:tblStyle w:val="27"/>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66"/>
        <w:gridCol w:w="7845"/>
        <w:gridCol w:w="431"/>
      </w:tblGrid>
      <w:tr w14:paraId="0EB2D0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7" w:hRule="atLeast"/>
        </w:trPr>
        <w:tc>
          <w:tcPr>
            <w:tcW w:w="941" w:type="pct"/>
            <w:noWrap/>
            <w:vAlign w:val="center"/>
          </w:tcPr>
          <w:p w14:paraId="1EF9B90E">
            <w:pPr>
              <w:widowControl/>
              <w:jc w:val="center"/>
              <w:rPr>
                <w:rFonts w:ascii="宋体" w:hAnsi="宋体" w:cs="宋体"/>
                <w:b/>
                <w:bCs/>
                <w:color w:val="auto"/>
                <w:kern w:val="0"/>
                <w:szCs w:val="21"/>
                <w:highlight w:val="none"/>
              </w:rPr>
            </w:pPr>
            <w:r>
              <w:rPr>
                <w:rFonts w:hint="eastAsia" w:ascii="宋体" w:hAnsi="宋体" w:cs="宋体"/>
                <w:b/>
                <w:bCs/>
                <w:color w:val="auto"/>
                <w:kern w:val="0"/>
                <w:szCs w:val="21"/>
                <w:highlight w:val="none"/>
              </w:rPr>
              <w:t>检查内容</w:t>
            </w:r>
          </w:p>
        </w:tc>
        <w:tc>
          <w:tcPr>
            <w:tcW w:w="3693" w:type="pct"/>
            <w:noWrap/>
            <w:vAlign w:val="center"/>
          </w:tcPr>
          <w:p w14:paraId="2ABAB34F">
            <w:pPr>
              <w:widowControl/>
              <w:jc w:val="center"/>
              <w:rPr>
                <w:rFonts w:ascii="宋体" w:hAnsi="宋体" w:cs="宋体"/>
                <w:b/>
                <w:bCs/>
                <w:color w:val="auto"/>
                <w:kern w:val="0"/>
                <w:szCs w:val="21"/>
                <w:highlight w:val="none"/>
              </w:rPr>
            </w:pPr>
            <w:r>
              <w:rPr>
                <w:rFonts w:hint="eastAsia" w:ascii="宋体" w:hAnsi="宋体" w:cs="宋体"/>
                <w:b/>
                <w:bCs/>
                <w:color w:val="auto"/>
                <w:kern w:val="0"/>
                <w:szCs w:val="21"/>
                <w:highlight w:val="none"/>
              </w:rPr>
              <w:t>评分标准</w:t>
            </w:r>
          </w:p>
        </w:tc>
        <w:tc>
          <w:tcPr>
            <w:tcW w:w="365" w:type="pct"/>
            <w:noWrap/>
            <w:vAlign w:val="center"/>
          </w:tcPr>
          <w:p w14:paraId="76914C90">
            <w:pPr>
              <w:widowControl/>
              <w:jc w:val="center"/>
              <w:rPr>
                <w:rFonts w:ascii="宋体" w:hAnsi="宋体" w:cs="宋体"/>
                <w:b/>
                <w:bCs/>
                <w:color w:val="auto"/>
                <w:kern w:val="0"/>
                <w:szCs w:val="21"/>
                <w:highlight w:val="none"/>
              </w:rPr>
            </w:pPr>
            <w:r>
              <w:rPr>
                <w:rFonts w:hint="eastAsia" w:ascii="宋体" w:hAnsi="宋体" w:cs="宋体"/>
                <w:b/>
                <w:bCs/>
                <w:color w:val="auto"/>
                <w:kern w:val="0"/>
                <w:szCs w:val="21"/>
                <w:highlight w:val="none"/>
              </w:rPr>
              <w:t>分数</w:t>
            </w:r>
          </w:p>
        </w:tc>
      </w:tr>
      <w:tr w14:paraId="297389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4" w:hRule="atLeast"/>
        </w:trPr>
        <w:tc>
          <w:tcPr>
            <w:tcW w:w="941" w:type="pct"/>
            <w:noWrap/>
            <w:vAlign w:val="center"/>
          </w:tcPr>
          <w:p w14:paraId="1DB165F6">
            <w:pPr>
              <w:widowControl/>
              <w:jc w:val="center"/>
              <w:rPr>
                <w:rFonts w:ascii="宋体" w:hAnsi="宋体" w:cs="宋体"/>
                <w:color w:val="auto"/>
                <w:kern w:val="0"/>
                <w:szCs w:val="21"/>
                <w:highlight w:val="none"/>
              </w:rPr>
            </w:pPr>
            <w:r>
              <w:rPr>
                <w:rFonts w:hint="eastAsia" w:ascii="宋体" w:hAnsi="宋体" w:cs="宋体"/>
                <w:color w:val="auto"/>
                <w:kern w:val="0"/>
                <w:szCs w:val="21"/>
                <w:highlight w:val="none"/>
              </w:rPr>
              <w:t>个人卫生</w:t>
            </w:r>
          </w:p>
        </w:tc>
        <w:tc>
          <w:tcPr>
            <w:tcW w:w="3693" w:type="pct"/>
            <w:noWrap/>
            <w:vAlign w:val="center"/>
          </w:tcPr>
          <w:p w14:paraId="415C8825">
            <w:pPr>
              <w:widowControl/>
              <w:rPr>
                <w:rFonts w:ascii="宋体" w:hAnsi="宋体" w:cs="宋体"/>
                <w:color w:val="auto"/>
                <w:kern w:val="0"/>
                <w:szCs w:val="21"/>
                <w:highlight w:val="none"/>
              </w:rPr>
            </w:pPr>
            <w:r>
              <w:rPr>
                <w:rFonts w:hint="eastAsia" w:ascii="宋体" w:hAnsi="宋体" w:cs="宋体"/>
                <w:color w:val="auto"/>
                <w:kern w:val="0"/>
                <w:szCs w:val="21"/>
                <w:highlight w:val="none"/>
              </w:rPr>
              <w:t>1.持有效健康证上岗（2分）；</w:t>
            </w:r>
          </w:p>
          <w:p w14:paraId="018466E9">
            <w:pPr>
              <w:widowControl/>
              <w:rPr>
                <w:rFonts w:ascii="宋体" w:hAnsi="宋体" w:cs="宋体"/>
                <w:color w:val="auto"/>
                <w:kern w:val="0"/>
                <w:szCs w:val="21"/>
                <w:highlight w:val="none"/>
              </w:rPr>
            </w:pPr>
            <w:r>
              <w:rPr>
                <w:rFonts w:hint="eastAsia" w:ascii="宋体" w:hAnsi="宋体" w:cs="宋体"/>
                <w:color w:val="auto"/>
                <w:kern w:val="0"/>
                <w:szCs w:val="21"/>
                <w:highlight w:val="none"/>
              </w:rPr>
              <w:t>2.衣冠整洁、不外露长发、不涂指甲油、不留长指甲、不戴首饰、戴口罩符合卫生要求（2分）；</w:t>
            </w:r>
          </w:p>
          <w:p w14:paraId="668123EB">
            <w:pPr>
              <w:widowControl/>
              <w:rPr>
                <w:rFonts w:ascii="宋体" w:hAnsi="宋体" w:cs="宋体"/>
                <w:color w:val="auto"/>
                <w:kern w:val="0"/>
                <w:szCs w:val="21"/>
                <w:highlight w:val="none"/>
              </w:rPr>
            </w:pPr>
            <w:r>
              <w:rPr>
                <w:rFonts w:hint="eastAsia" w:ascii="宋体" w:hAnsi="宋体" w:cs="宋体"/>
                <w:color w:val="auto"/>
                <w:kern w:val="0"/>
                <w:szCs w:val="21"/>
                <w:highlight w:val="none"/>
              </w:rPr>
              <w:t>3.落实实名晨检制度（1分）；如检查不符合每一人扣1分。</w:t>
            </w:r>
          </w:p>
        </w:tc>
        <w:tc>
          <w:tcPr>
            <w:tcW w:w="365" w:type="pct"/>
            <w:noWrap/>
            <w:vAlign w:val="center"/>
          </w:tcPr>
          <w:p w14:paraId="7A20062D">
            <w:pPr>
              <w:widowControl/>
              <w:jc w:val="center"/>
              <w:rPr>
                <w:rFonts w:ascii="宋体" w:hAnsi="宋体" w:cs="宋体"/>
                <w:color w:val="auto"/>
                <w:kern w:val="0"/>
                <w:szCs w:val="21"/>
                <w:highlight w:val="none"/>
              </w:rPr>
            </w:pPr>
            <w:r>
              <w:rPr>
                <w:rFonts w:hint="eastAsia" w:ascii="宋体" w:hAnsi="宋体" w:cs="宋体"/>
                <w:color w:val="auto"/>
                <w:kern w:val="0"/>
                <w:szCs w:val="21"/>
                <w:highlight w:val="none"/>
              </w:rPr>
              <w:t>5</w:t>
            </w:r>
          </w:p>
        </w:tc>
      </w:tr>
      <w:tr w14:paraId="4743C7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6" w:hRule="atLeast"/>
        </w:trPr>
        <w:tc>
          <w:tcPr>
            <w:tcW w:w="941" w:type="pct"/>
            <w:noWrap/>
            <w:vAlign w:val="center"/>
          </w:tcPr>
          <w:p w14:paraId="2AF37DC1">
            <w:pPr>
              <w:widowControl/>
              <w:jc w:val="center"/>
              <w:rPr>
                <w:rFonts w:ascii="宋体" w:hAnsi="宋体" w:cs="宋体"/>
                <w:color w:val="auto"/>
                <w:kern w:val="0"/>
                <w:szCs w:val="21"/>
                <w:highlight w:val="none"/>
              </w:rPr>
            </w:pPr>
            <w:r>
              <w:rPr>
                <w:rFonts w:hint="eastAsia" w:ascii="宋体" w:hAnsi="宋体" w:cs="宋体"/>
                <w:color w:val="auto"/>
                <w:kern w:val="0"/>
                <w:szCs w:val="21"/>
                <w:highlight w:val="none"/>
              </w:rPr>
              <w:t>“ 六 T” 知识</w:t>
            </w:r>
          </w:p>
        </w:tc>
        <w:tc>
          <w:tcPr>
            <w:tcW w:w="3693" w:type="pct"/>
            <w:noWrap/>
            <w:vAlign w:val="center"/>
          </w:tcPr>
          <w:p w14:paraId="658D66B4">
            <w:pPr>
              <w:widowControl/>
              <w:rPr>
                <w:rFonts w:ascii="宋体" w:hAnsi="宋体" w:cs="宋体"/>
                <w:color w:val="auto"/>
                <w:kern w:val="0"/>
                <w:szCs w:val="21"/>
                <w:highlight w:val="none"/>
              </w:rPr>
            </w:pPr>
            <w:r>
              <w:rPr>
                <w:rFonts w:hint="eastAsia" w:ascii="宋体" w:hAnsi="宋体" w:cs="宋体"/>
                <w:color w:val="auto"/>
                <w:kern w:val="0"/>
                <w:szCs w:val="21"/>
                <w:highlight w:val="none"/>
              </w:rPr>
              <w:t>熟知“六 T” 内容：天天处理、天天整合、天天清扫、天天规范、天天检查、天天改进；如检查每一人不掌握内容扣2分。</w:t>
            </w:r>
          </w:p>
        </w:tc>
        <w:tc>
          <w:tcPr>
            <w:tcW w:w="365" w:type="pct"/>
            <w:noWrap/>
            <w:vAlign w:val="center"/>
          </w:tcPr>
          <w:p w14:paraId="3517BD49">
            <w:pPr>
              <w:widowControl/>
              <w:jc w:val="center"/>
              <w:rPr>
                <w:rFonts w:ascii="宋体" w:hAnsi="宋体" w:cs="宋体"/>
                <w:color w:val="auto"/>
                <w:kern w:val="0"/>
                <w:szCs w:val="21"/>
                <w:highlight w:val="none"/>
              </w:rPr>
            </w:pPr>
            <w:r>
              <w:rPr>
                <w:rFonts w:hint="eastAsia" w:ascii="宋体" w:hAnsi="宋体" w:cs="宋体"/>
                <w:color w:val="auto"/>
                <w:kern w:val="0"/>
                <w:szCs w:val="21"/>
                <w:highlight w:val="none"/>
              </w:rPr>
              <w:t>8</w:t>
            </w:r>
          </w:p>
        </w:tc>
      </w:tr>
      <w:tr w14:paraId="6B7BFF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 w:hRule="atLeast"/>
        </w:trPr>
        <w:tc>
          <w:tcPr>
            <w:tcW w:w="941" w:type="pct"/>
            <w:noWrap/>
            <w:vAlign w:val="center"/>
          </w:tcPr>
          <w:p w14:paraId="735A65DD">
            <w:pPr>
              <w:widowControl/>
              <w:jc w:val="center"/>
              <w:rPr>
                <w:rFonts w:ascii="宋体" w:hAnsi="宋体" w:cs="宋体"/>
                <w:color w:val="auto"/>
                <w:kern w:val="0"/>
                <w:szCs w:val="21"/>
                <w:highlight w:val="none"/>
              </w:rPr>
            </w:pPr>
            <w:r>
              <w:rPr>
                <w:rFonts w:hint="eastAsia" w:ascii="宋体" w:hAnsi="宋体" w:cs="宋体"/>
                <w:color w:val="auto"/>
                <w:kern w:val="0"/>
                <w:szCs w:val="21"/>
                <w:highlight w:val="none"/>
              </w:rPr>
              <w:t>标识图表</w:t>
            </w:r>
          </w:p>
        </w:tc>
        <w:tc>
          <w:tcPr>
            <w:tcW w:w="3693" w:type="pct"/>
            <w:noWrap/>
            <w:vAlign w:val="center"/>
          </w:tcPr>
          <w:p w14:paraId="2E3046F1">
            <w:pPr>
              <w:widowControl/>
              <w:ind w:left="120" w:hanging="120" w:hangingChars="50"/>
              <w:rPr>
                <w:rFonts w:ascii="宋体" w:hAnsi="宋体" w:cs="宋体"/>
                <w:color w:val="auto"/>
                <w:kern w:val="0"/>
                <w:szCs w:val="21"/>
                <w:highlight w:val="none"/>
              </w:rPr>
            </w:pPr>
            <w:r>
              <w:rPr>
                <w:rFonts w:hint="eastAsia" w:ascii="宋体" w:hAnsi="宋体" w:cs="宋体"/>
                <w:color w:val="auto"/>
                <w:kern w:val="0"/>
                <w:szCs w:val="21"/>
                <w:highlight w:val="none"/>
              </w:rPr>
              <w:t>1.标识、标签、图标张贴整齐规范、无脱落、翘起，无受潮、损坏（1分）；</w:t>
            </w:r>
          </w:p>
          <w:p w14:paraId="2D76A140">
            <w:pPr>
              <w:widowControl/>
              <w:ind w:left="120" w:hanging="120" w:hangingChars="50"/>
              <w:rPr>
                <w:rFonts w:ascii="宋体" w:hAnsi="宋体" w:cs="宋体"/>
                <w:color w:val="auto"/>
                <w:kern w:val="0"/>
                <w:szCs w:val="21"/>
                <w:highlight w:val="none"/>
              </w:rPr>
            </w:pPr>
            <w:r>
              <w:rPr>
                <w:rFonts w:hint="eastAsia" w:ascii="宋体" w:hAnsi="宋体" w:cs="宋体"/>
                <w:color w:val="auto"/>
                <w:kern w:val="0"/>
                <w:szCs w:val="21"/>
                <w:highlight w:val="none"/>
              </w:rPr>
              <w:t>2.标识，标牌内容符合要求（1分）。</w:t>
            </w:r>
          </w:p>
        </w:tc>
        <w:tc>
          <w:tcPr>
            <w:tcW w:w="365" w:type="pct"/>
            <w:noWrap/>
            <w:vAlign w:val="center"/>
          </w:tcPr>
          <w:p w14:paraId="242BF61C">
            <w:pPr>
              <w:widowControl/>
              <w:jc w:val="center"/>
              <w:rPr>
                <w:rFonts w:ascii="宋体" w:hAnsi="宋体" w:cs="宋体"/>
                <w:color w:val="auto"/>
                <w:kern w:val="0"/>
                <w:szCs w:val="21"/>
                <w:highlight w:val="none"/>
              </w:rPr>
            </w:pPr>
            <w:r>
              <w:rPr>
                <w:rFonts w:hint="eastAsia" w:ascii="宋体" w:hAnsi="宋体" w:cs="宋体"/>
                <w:color w:val="auto"/>
                <w:kern w:val="0"/>
                <w:szCs w:val="21"/>
                <w:highlight w:val="none"/>
              </w:rPr>
              <w:t>2</w:t>
            </w:r>
          </w:p>
        </w:tc>
      </w:tr>
      <w:tr w14:paraId="07BB0D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941" w:type="pct"/>
            <w:vMerge w:val="restart"/>
            <w:noWrap/>
            <w:vAlign w:val="center"/>
          </w:tcPr>
          <w:p w14:paraId="0C7C2545">
            <w:pPr>
              <w:widowControl/>
              <w:jc w:val="center"/>
              <w:rPr>
                <w:rFonts w:ascii="宋体" w:hAnsi="宋体" w:cs="宋体"/>
                <w:color w:val="auto"/>
                <w:kern w:val="0"/>
                <w:szCs w:val="21"/>
                <w:highlight w:val="none"/>
              </w:rPr>
            </w:pPr>
            <w:r>
              <w:rPr>
                <w:rFonts w:hint="eastAsia" w:ascii="宋体" w:hAnsi="宋体" w:cs="宋体"/>
                <w:color w:val="auto"/>
                <w:kern w:val="0"/>
                <w:szCs w:val="21"/>
                <w:highlight w:val="none"/>
              </w:rPr>
              <w:t>视觉管理</w:t>
            </w:r>
          </w:p>
        </w:tc>
        <w:tc>
          <w:tcPr>
            <w:tcW w:w="3693" w:type="pct"/>
            <w:noWrap/>
            <w:vAlign w:val="center"/>
          </w:tcPr>
          <w:p w14:paraId="40F12292">
            <w:pPr>
              <w:rPr>
                <w:rFonts w:ascii="宋体" w:hAnsi="宋体" w:cs="宋体"/>
                <w:color w:val="auto"/>
                <w:kern w:val="0"/>
                <w:szCs w:val="21"/>
                <w:highlight w:val="none"/>
              </w:rPr>
            </w:pPr>
            <w:r>
              <w:rPr>
                <w:rFonts w:hint="eastAsia" w:ascii="宋体" w:hAnsi="宋体" w:cs="宋体"/>
                <w:color w:val="auto"/>
                <w:kern w:val="0"/>
                <w:szCs w:val="21"/>
                <w:highlight w:val="none"/>
              </w:rPr>
              <w:t>1.加工生、熟食品的刀、砧板、操作台等工、用具有区别标识</w:t>
            </w:r>
          </w:p>
        </w:tc>
        <w:tc>
          <w:tcPr>
            <w:tcW w:w="365" w:type="pct"/>
            <w:noWrap/>
            <w:vAlign w:val="center"/>
          </w:tcPr>
          <w:p w14:paraId="541C6AF6">
            <w:pPr>
              <w:widowControl/>
              <w:jc w:val="center"/>
              <w:rPr>
                <w:rFonts w:ascii="宋体" w:hAnsi="宋体" w:cs="宋体"/>
                <w:color w:val="auto"/>
                <w:kern w:val="0"/>
                <w:szCs w:val="21"/>
                <w:highlight w:val="none"/>
              </w:rPr>
            </w:pPr>
            <w:r>
              <w:rPr>
                <w:rFonts w:hint="eastAsia" w:ascii="宋体" w:hAnsi="宋体" w:cs="宋体"/>
                <w:color w:val="auto"/>
                <w:kern w:val="0"/>
                <w:szCs w:val="21"/>
                <w:highlight w:val="none"/>
              </w:rPr>
              <w:t>2</w:t>
            </w:r>
          </w:p>
        </w:tc>
      </w:tr>
      <w:tr w14:paraId="2D7FBD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941" w:type="pct"/>
            <w:vMerge w:val="continue"/>
            <w:noWrap/>
            <w:vAlign w:val="center"/>
          </w:tcPr>
          <w:p w14:paraId="58007D76">
            <w:pPr>
              <w:widowControl/>
              <w:jc w:val="center"/>
              <w:rPr>
                <w:rFonts w:ascii="宋体" w:hAnsi="宋体" w:cs="宋体"/>
                <w:color w:val="auto"/>
                <w:kern w:val="0"/>
                <w:szCs w:val="21"/>
                <w:highlight w:val="none"/>
              </w:rPr>
            </w:pPr>
          </w:p>
        </w:tc>
        <w:tc>
          <w:tcPr>
            <w:tcW w:w="3693" w:type="pct"/>
            <w:noWrap/>
            <w:vAlign w:val="center"/>
          </w:tcPr>
          <w:p w14:paraId="6F3F04BF">
            <w:pPr>
              <w:rPr>
                <w:rFonts w:ascii="宋体" w:hAnsi="宋体" w:cs="宋体"/>
                <w:color w:val="auto"/>
                <w:kern w:val="0"/>
                <w:szCs w:val="21"/>
                <w:highlight w:val="none"/>
              </w:rPr>
            </w:pPr>
            <w:r>
              <w:rPr>
                <w:rFonts w:hint="eastAsia" w:ascii="宋体" w:hAnsi="宋体" w:cs="宋体"/>
                <w:color w:val="auto"/>
                <w:kern w:val="0"/>
                <w:szCs w:val="21"/>
                <w:highlight w:val="none"/>
              </w:rPr>
              <w:t>2.常用毛巾、抹布分色及悬挂与标识相符（标识上墙）</w:t>
            </w:r>
          </w:p>
        </w:tc>
        <w:tc>
          <w:tcPr>
            <w:tcW w:w="365" w:type="pct"/>
            <w:noWrap/>
            <w:vAlign w:val="center"/>
          </w:tcPr>
          <w:p w14:paraId="2A4DEAD3">
            <w:pPr>
              <w:jc w:val="center"/>
              <w:rPr>
                <w:rFonts w:ascii="宋体" w:hAnsi="宋体" w:cs="宋体"/>
                <w:color w:val="auto"/>
                <w:kern w:val="0"/>
                <w:szCs w:val="21"/>
                <w:highlight w:val="none"/>
              </w:rPr>
            </w:pPr>
            <w:r>
              <w:rPr>
                <w:rFonts w:hint="eastAsia" w:ascii="宋体" w:hAnsi="宋体" w:cs="宋体"/>
                <w:color w:val="auto"/>
                <w:kern w:val="0"/>
                <w:szCs w:val="21"/>
                <w:highlight w:val="none"/>
              </w:rPr>
              <w:t>1</w:t>
            </w:r>
          </w:p>
        </w:tc>
      </w:tr>
      <w:tr w14:paraId="18CEA1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7" w:hRule="atLeast"/>
        </w:trPr>
        <w:tc>
          <w:tcPr>
            <w:tcW w:w="941" w:type="pct"/>
            <w:vMerge w:val="continue"/>
            <w:noWrap/>
            <w:vAlign w:val="center"/>
          </w:tcPr>
          <w:p w14:paraId="68918572">
            <w:pPr>
              <w:widowControl/>
              <w:jc w:val="center"/>
              <w:rPr>
                <w:rFonts w:ascii="宋体" w:hAnsi="宋体" w:cs="宋体"/>
                <w:color w:val="auto"/>
                <w:kern w:val="0"/>
                <w:szCs w:val="21"/>
                <w:highlight w:val="none"/>
              </w:rPr>
            </w:pPr>
          </w:p>
        </w:tc>
        <w:tc>
          <w:tcPr>
            <w:tcW w:w="3693" w:type="pct"/>
            <w:noWrap/>
            <w:vAlign w:val="center"/>
          </w:tcPr>
          <w:p w14:paraId="0C5E60BD">
            <w:pPr>
              <w:rPr>
                <w:rFonts w:ascii="宋体" w:hAnsi="宋体" w:cs="宋体"/>
                <w:color w:val="auto"/>
                <w:kern w:val="0"/>
                <w:szCs w:val="21"/>
                <w:highlight w:val="none"/>
              </w:rPr>
            </w:pPr>
            <w:r>
              <w:rPr>
                <w:rFonts w:hint="eastAsia" w:ascii="宋体" w:hAnsi="宋体" w:cs="宋体"/>
                <w:color w:val="auto"/>
                <w:kern w:val="0"/>
                <w:szCs w:val="21"/>
                <w:highlight w:val="none"/>
              </w:rPr>
              <w:t>3.(1)仓库内食品摆放整齐并有先进先出标识（有生产日期及保质期登记卡）（1分）；（2）主食隔墙离地存放（1分）； （3）仓库通风设施完善有效（1分）；</w:t>
            </w:r>
          </w:p>
        </w:tc>
        <w:tc>
          <w:tcPr>
            <w:tcW w:w="365" w:type="pct"/>
            <w:noWrap/>
            <w:vAlign w:val="center"/>
          </w:tcPr>
          <w:p w14:paraId="2A5BCF25">
            <w:pPr>
              <w:widowControl/>
              <w:jc w:val="center"/>
              <w:rPr>
                <w:rFonts w:ascii="宋体" w:hAnsi="宋体" w:cs="宋体"/>
                <w:color w:val="auto"/>
                <w:kern w:val="0"/>
                <w:szCs w:val="21"/>
                <w:highlight w:val="none"/>
              </w:rPr>
            </w:pPr>
            <w:r>
              <w:rPr>
                <w:rFonts w:hint="eastAsia" w:ascii="宋体" w:hAnsi="宋体" w:cs="宋体"/>
                <w:color w:val="auto"/>
                <w:kern w:val="0"/>
                <w:szCs w:val="21"/>
                <w:highlight w:val="none"/>
              </w:rPr>
              <w:t>3</w:t>
            </w:r>
          </w:p>
        </w:tc>
      </w:tr>
      <w:tr w14:paraId="5DA4C9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trPr>
        <w:tc>
          <w:tcPr>
            <w:tcW w:w="941" w:type="pct"/>
            <w:vMerge w:val="continue"/>
            <w:noWrap/>
            <w:vAlign w:val="center"/>
          </w:tcPr>
          <w:p w14:paraId="353F5D01">
            <w:pPr>
              <w:widowControl/>
              <w:jc w:val="center"/>
              <w:rPr>
                <w:rFonts w:ascii="宋体" w:hAnsi="宋体" w:cs="宋体"/>
                <w:color w:val="auto"/>
                <w:kern w:val="0"/>
                <w:szCs w:val="21"/>
                <w:highlight w:val="none"/>
              </w:rPr>
            </w:pPr>
          </w:p>
        </w:tc>
        <w:tc>
          <w:tcPr>
            <w:tcW w:w="3693" w:type="pct"/>
            <w:noWrap/>
            <w:vAlign w:val="center"/>
          </w:tcPr>
          <w:p w14:paraId="39675F7E">
            <w:pPr>
              <w:numPr>
                <w:ilvl w:val="0"/>
                <w:numId w:val="7"/>
              </w:numPr>
              <w:rPr>
                <w:rFonts w:ascii="宋体" w:hAnsi="宋体" w:cs="宋体"/>
                <w:color w:val="auto"/>
                <w:kern w:val="0"/>
                <w:szCs w:val="21"/>
                <w:highlight w:val="none"/>
              </w:rPr>
            </w:pPr>
            <w:r>
              <w:rPr>
                <w:rFonts w:hint="eastAsia" w:ascii="宋体" w:hAnsi="宋体" w:cs="宋体"/>
                <w:color w:val="auto"/>
                <w:kern w:val="0"/>
                <w:szCs w:val="21"/>
                <w:highlight w:val="none"/>
              </w:rPr>
              <w:t>（1）各类设备设施规范放置整齐（1分）；</w:t>
            </w:r>
          </w:p>
          <w:p w14:paraId="69D285E5">
            <w:pPr>
              <w:numPr>
                <w:ilvl w:val="0"/>
                <w:numId w:val="7"/>
              </w:numPr>
              <w:rPr>
                <w:rFonts w:ascii="宋体" w:hAnsi="宋体" w:cs="宋体"/>
                <w:color w:val="auto"/>
                <w:kern w:val="0"/>
                <w:szCs w:val="21"/>
                <w:highlight w:val="none"/>
              </w:rPr>
            </w:pPr>
            <w:r>
              <w:rPr>
                <w:rFonts w:hint="eastAsia" w:ascii="宋体" w:hAnsi="宋体" w:cs="宋体"/>
                <w:color w:val="auto"/>
                <w:kern w:val="0"/>
                <w:szCs w:val="21"/>
                <w:highlight w:val="none"/>
              </w:rPr>
              <w:t>（2）操作台面摆放的工、用具有对应标识（1分）；</w:t>
            </w:r>
          </w:p>
        </w:tc>
        <w:tc>
          <w:tcPr>
            <w:tcW w:w="365" w:type="pct"/>
            <w:noWrap/>
            <w:vAlign w:val="center"/>
          </w:tcPr>
          <w:p w14:paraId="3EF185D3">
            <w:pPr>
              <w:widowControl/>
              <w:jc w:val="center"/>
              <w:rPr>
                <w:rFonts w:ascii="宋体" w:hAnsi="宋体" w:cs="宋体"/>
                <w:color w:val="auto"/>
                <w:kern w:val="0"/>
                <w:szCs w:val="21"/>
                <w:highlight w:val="none"/>
              </w:rPr>
            </w:pPr>
            <w:r>
              <w:rPr>
                <w:rFonts w:hint="eastAsia" w:ascii="宋体" w:hAnsi="宋体" w:cs="宋体"/>
                <w:color w:val="auto"/>
                <w:kern w:val="0"/>
                <w:szCs w:val="21"/>
                <w:highlight w:val="none"/>
              </w:rPr>
              <w:t>2</w:t>
            </w:r>
          </w:p>
        </w:tc>
      </w:tr>
      <w:tr w14:paraId="2DB278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trPr>
        <w:tc>
          <w:tcPr>
            <w:tcW w:w="941" w:type="pct"/>
            <w:vMerge w:val="continue"/>
            <w:noWrap/>
            <w:vAlign w:val="center"/>
          </w:tcPr>
          <w:p w14:paraId="7BF79725">
            <w:pPr>
              <w:widowControl/>
              <w:jc w:val="center"/>
              <w:rPr>
                <w:rFonts w:ascii="宋体" w:hAnsi="宋体" w:cs="宋体"/>
                <w:color w:val="auto"/>
                <w:kern w:val="0"/>
                <w:szCs w:val="21"/>
                <w:highlight w:val="none"/>
              </w:rPr>
            </w:pPr>
          </w:p>
        </w:tc>
        <w:tc>
          <w:tcPr>
            <w:tcW w:w="3693" w:type="pct"/>
            <w:noWrap/>
            <w:vAlign w:val="center"/>
          </w:tcPr>
          <w:p w14:paraId="48DB6761">
            <w:pPr>
              <w:rPr>
                <w:rFonts w:ascii="宋体" w:hAnsi="宋体" w:cs="宋体"/>
                <w:color w:val="auto"/>
                <w:kern w:val="0"/>
                <w:szCs w:val="21"/>
                <w:highlight w:val="none"/>
              </w:rPr>
            </w:pPr>
            <w:r>
              <w:rPr>
                <w:rFonts w:hint="eastAsia" w:ascii="宋体" w:hAnsi="宋体" w:cs="宋体"/>
                <w:color w:val="auto"/>
                <w:kern w:val="0"/>
                <w:szCs w:val="21"/>
                <w:highlight w:val="none"/>
              </w:rPr>
              <w:t>5.餐厨垃圾存放有专用容器和标识；</w:t>
            </w:r>
          </w:p>
        </w:tc>
        <w:tc>
          <w:tcPr>
            <w:tcW w:w="365" w:type="pct"/>
            <w:noWrap/>
            <w:vAlign w:val="center"/>
          </w:tcPr>
          <w:p w14:paraId="18D71DDD">
            <w:pPr>
              <w:widowControl/>
              <w:jc w:val="center"/>
              <w:rPr>
                <w:rFonts w:ascii="宋体" w:hAnsi="宋体" w:cs="宋体"/>
                <w:color w:val="auto"/>
                <w:kern w:val="0"/>
                <w:szCs w:val="21"/>
                <w:highlight w:val="none"/>
              </w:rPr>
            </w:pPr>
            <w:r>
              <w:rPr>
                <w:rFonts w:hint="eastAsia" w:ascii="宋体" w:hAnsi="宋体" w:cs="宋体"/>
                <w:color w:val="auto"/>
                <w:kern w:val="0"/>
                <w:szCs w:val="21"/>
                <w:highlight w:val="none"/>
              </w:rPr>
              <w:t>1</w:t>
            </w:r>
          </w:p>
        </w:tc>
      </w:tr>
      <w:tr w14:paraId="29A4E5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trPr>
        <w:tc>
          <w:tcPr>
            <w:tcW w:w="941" w:type="pct"/>
            <w:vMerge w:val="continue"/>
            <w:noWrap/>
            <w:vAlign w:val="center"/>
          </w:tcPr>
          <w:p w14:paraId="0186D42F">
            <w:pPr>
              <w:widowControl/>
              <w:jc w:val="center"/>
              <w:rPr>
                <w:rFonts w:ascii="宋体" w:hAnsi="宋体" w:cs="宋体"/>
                <w:color w:val="auto"/>
                <w:kern w:val="0"/>
                <w:szCs w:val="21"/>
                <w:highlight w:val="none"/>
              </w:rPr>
            </w:pPr>
          </w:p>
        </w:tc>
        <w:tc>
          <w:tcPr>
            <w:tcW w:w="3693" w:type="pct"/>
            <w:noWrap/>
            <w:vAlign w:val="center"/>
          </w:tcPr>
          <w:p w14:paraId="560E24E1">
            <w:pPr>
              <w:rPr>
                <w:rFonts w:ascii="宋体" w:hAnsi="宋体" w:cs="宋体"/>
                <w:color w:val="auto"/>
                <w:kern w:val="0"/>
                <w:szCs w:val="21"/>
                <w:highlight w:val="none"/>
              </w:rPr>
            </w:pPr>
            <w:r>
              <w:rPr>
                <w:rFonts w:hint="eastAsia" w:ascii="宋体" w:hAnsi="宋体" w:cs="宋体"/>
                <w:color w:val="auto"/>
                <w:kern w:val="0"/>
                <w:szCs w:val="21"/>
                <w:highlight w:val="none"/>
              </w:rPr>
              <w:t>6.厨房（备餐间）地沟、地漏设置符合要求</w:t>
            </w:r>
          </w:p>
        </w:tc>
        <w:tc>
          <w:tcPr>
            <w:tcW w:w="365" w:type="pct"/>
            <w:noWrap/>
            <w:vAlign w:val="center"/>
          </w:tcPr>
          <w:p w14:paraId="6E3D0BCC">
            <w:pPr>
              <w:widowControl/>
              <w:jc w:val="center"/>
              <w:rPr>
                <w:rFonts w:ascii="宋体" w:hAnsi="宋体" w:cs="宋体"/>
                <w:color w:val="auto"/>
                <w:kern w:val="0"/>
                <w:szCs w:val="21"/>
                <w:highlight w:val="none"/>
              </w:rPr>
            </w:pPr>
            <w:r>
              <w:rPr>
                <w:rFonts w:hint="eastAsia" w:ascii="宋体" w:hAnsi="宋体" w:cs="宋体"/>
                <w:color w:val="auto"/>
                <w:kern w:val="0"/>
                <w:szCs w:val="21"/>
                <w:highlight w:val="none"/>
              </w:rPr>
              <w:t>1</w:t>
            </w:r>
          </w:p>
        </w:tc>
      </w:tr>
      <w:tr w14:paraId="001AF8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9" w:hRule="atLeast"/>
        </w:trPr>
        <w:tc>
          <w:tcPr>
            <w:tcW w:w="941" w:type="pct"/>
            <w:vMerge w:val="restart"/>
            <w:noWrap/>
            <w:vAlign w:val="center"/>
          </w:tcPr>
          <w:p w14:paraId="6C7B11A2">
            <w:pPr>
              <w:widowControl/>
              <w:jc w:val="center"/>
              <w:rPr>
                <w:rFonts w:ascii="宋体" w:hAnsi="宋体" w:cs="宋体"/>
                <w:color w:val="auto"/>
                <w:kern w:val="0"/>
                <w:szCs w:val="21"/>
                <w:highlight w:val="none"/>
              </w:rPr>
            </w:pPr>
            <w:r>
              <w:rPr>
                <w:rFonts w:hint="eastAsia" w:ascii="宋体" w:hAnsi="宋体" w:cs="宋体"/>
                <w:color w:val="auto"/>
                <w:kern w:val="0"/>
                <w:szCs w:val="21"/>
                <w:highlight w:val="none"/>
              </w:rPr>
              <w:t>地面干燥</w:t>
            </w:r>
          </w:p>
        </w:tc>
        <w:tc>
          <w:tcPr>
            <w:tcW w:w="3693" w:type="pct"/>
            <w:noWrap/>
            <w:vAlign w:val="center"/>
          </w:tcPr>
          <w:p w14:paraId="66872773">
            <w:pPr>
              <w:rPr>
                <w:rFonts w:ascii="宋体" w:hAnsi="宋体" w:cs="宋体"/>
                <w:color w:val="auto"/>
                <w:kern w:val="0"/>
                <w:szCs w:val="21"/>
                <w:highlight w:val="none"/>
              </w:rPr>
            </w:pPr>
            <w:r>
              <w:rPr>
                <w:rFonts w:hint="eastAsia" w:ascii="宋体" w:hAnsi="宋体" w:cs="宋体"/>
                <w:color w:val="auto"/>
                <w:kern w:val="0"/>
                <w:szCs w:val="21"/>
                <w:highlight w:val="none"/>
              </w:rPr>
              <w:t>1.水池、开水炉等存水容器、大小灶下水管、空调排水管等无漏水现象；</w:t>
            </w:r>
          </w:p>
        </w:tc>
        <w:tc>
          <w:tcPr>
            <w:tcW w:w="365" w:type="pct"/>
            <w:noWrap/>
            <w:vAlign w:val="center"/>
          </w:tcPr>
          <w:p w14:paraId="24BF7159">
            <w:pPr>
              <w:widowControl/>
              <w:jc w:val="center"/>
              <w:rPr>
                <w:rFonts w:ascii="宋体" w:hAnsi="宋体" w:cs="宋体"/>
                <w:color w:val="auto"/>
                <w:kern w:val="0"/>
                <w:szCs w:val="21"/>
                <w:highlight w:val="none"/>
              </w:rPr>
            </w:pPr>
            <w:r>
              <w:rPr>
                <w:rFonts w:hint="eastAsia" w:ascii="宋体" w:hAnsi="宋体" w:cs="宋体"/>
                <w:color w:val="auto"/>
                <w:kern w:val="0"/>
                <w:szCs w:val="21"/>
                <w:highlight w:val="none"/>
              </w:rPr>
              <w:t>2</w:t>
            </w:r>
          </w:p>
        </w:tc>
      </w:tr>
      <w:tr w14:paraId="2D3C3B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941" w:type="pct"/>
            <w:vMerge w:val="continue"/>
            <w:noWrap/>
            <w:vAlign w:val="center"/>
          </w:tcPr>
          <w:p w14:paraId="651E6167">
            <w:pPr>
              <w:widowControl/>
              <w:jc w:val="center"/>
              <w:rPr>
                <w:rFonts w:ascii="宋体" w:hAnsi="宋体" w:cs="宋体"/>
                <w:color w:val="auto"/>
                <w:kern w:val="0"/>
                <w:szCs w:val="21"/>
                <w:highlight w:val="none"/>
              </w:rPr>
            </w:pPr>
          </w:p>
        </w:tc>
        <w:tc>
          <w:tcPr>
            <w:tcW w:w="3693" w:type="pct"/>
            <w:noWrap/>
            <w:vAlign w:val="center"/>
          </w:tcPr>
          <w:p w14:paraId="62065C1B">
            <w:pPr>
              <w:rPr>
                <w:rFonts w:ascii="宋体" w:hAnsi="宋体" w:cs="宋体"/>
                <w:color w:val="auto"/>
                <w:kern w:val="0"/>
                <w:szCs w:val="21"/>
                <w:highlight w:val="none"/>
              </w:rPr>
            </w:pPr>
            <w:r>
              <w:rPr>
                <w:rFonts w:hint="eastAsia" w:ascii="宋体" w:hAnsi="宋体" w:cs="宋体"/>
                <w:color w:val="auto"/>
                <w:kern w:val="0"/>
                <w:szCs w:val="21"/>
                <w:highlight w:val="none"/>
              </w:rPr>
              <w:t xml:space="preserve">2.拖把、扫把悬挂处下方有接水措施； </w:t>
            </w:r>
          </w:p>
        </w:tc>
        <w:tc>
          <w:tcPr>
            <w:tcW w:w="365" w:type="pct"/>
            <w:noWrap/>
            <w:vAlign w:val="center"/>
          </w:tcPr>
          <w:p w14:paraId="4C4036D4">
            <w:pPr>
              <w:jc w:val="center"/>
              <w:rPr>
                <w:rFonts w:ascii="宋体" w:hAnsi="宋体" w:cs="宋体"/>
                <w:color w:val="auto"/>
                <w:kern w:val="0"/>
                <w:szCs w:val="21"/>
                <w:highlight w:val="none"/>
              </w:rPr>
            </w:pPr>
            <w:r>
              <w:rPr>
                <w:rFonts w:hint="eastAsia" w:ascii="宋体" w:hAnsi="宋体" w:cs="宋体"/>
                <w:color w:val="auto"/>
                <w:kern w:val="0"/>
                <w:szCs w:val="21"/>
                <w:highlight w:val="none"/>
              </w:rPr>
              <w:t>1</w:t>
            </w:r>
          </w:p>
        </w:tc>
      </w:tr>
      <w:tr w14:paraId="531BB9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trPr>
        <w:tc>
          <w:tcPr>
            <w:tcW w:w="941" w:type="pct"/>
            <w:vMerge w:val="continue"/>
            <w:noWrap/>
            <w:vAlign w:val="center"/>
          </w:tcPr>
          <w:p w14:paraId="0317CB37">
            <w:pPr>
              <w:widowControl/>
              <w:jc w:val="center"/>
              <w:rPr>
                <w:rFonts w:ascii="宋体" w:hAnsi="宋体" w:cs="宋体"/>
                <w:color w:val="auto"/>
                <w:kern w:val="0"/>
                <w:szCs w:val="21"/>
                <w:highlight w:val="none"/>
              </w:rPr>
            </w:pPr>
          </w:p>
        </w:tc>
        <w:tc>
          <w:tcPr>
            <w:tcW w:w="3693" w:type="pct"/>
            <w:noWrap/>
            <w:vAlign w:val="center"/>
          </w:tcPr>
          <w:p w14:paraId="1D013AC9">
            <w:pPr>
              <w:rPr>
                <w:rFonts w:ascii="宋体" w:hAnsi="宋体" w:cs="宋体"/>
                <w:color w:val="auto"/>
                <w:kern w:val="0"/>
                <w:szCs w:val="21"/>
                <w:highlight w:val="none"/>
              </w:rPr>
            </w:pPr>
            <w:r>
              <w:rPr>
                <w:rFonts w:hint="eastAsia" w:ascii="宋体" w:hAnsi="宋体" w:cs="宋体"/>
                <w:color w:val="auto"/>
                <w:kern w:val="0"/>
                <w:szCs w:val="21"/>
                <w:highlight w:val="none"/>
              </w:rPr>
              <w:t xml:space="preserve">3.清洗后食材运输和存放期间是否有采取防滴水的措施； </w:t>
            </w:r>
          </w:p>
        </w:tc>
        <w:tc>
          <w:tcPr>
            <w:tcW w:w="365" w:type="pct"/>
            <w:noWrap/>
            <w:vAlign w:val="center"/>
          </w:tcPr>
          <w:p w14:paraId="100F66C8">
            <w:pPr>
              <w:widowControl/>
              <w:jc w:val="center"/>
              <w:rPr>
                <w:rFonts w:ascii="宋体" w:hAnsi="宋体" w:cs="宋体"/>
                <w:color w:val="auto"/>
                <w:kern w:val="0"/>
                <w:szCs w:val="21"/>
                <w:highlight w:val="none"/>
              </w:rPr>
            </w:pPr>
            <w:r>
              <w:rPr>
                <w:rFonts w:hint="eastAsia" w:ascii="宋体" w:hAnsi="宋体" w:cs="宋体"/>
                <w:color w:val="auto"/>
                <w:kern w:val="0"/>
                <w:szCs w:val="21"/>
                <w:highlight w:val="none"/>
              </w:rPr>
              <w:t>2</w:t>
            </w:r>
          </w:p>
        </w:tc>
      </w:tr>
      <w:tr w14:paraId="347DE5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8" w:hRule="atLeast"/>
        </w:trPr>
        <w:tc>
          <w:tcPr>
            <w:tcW w:w="941" w:type="pct"/>
            <w:vMerge w:val="continue"/>
            <w:noWrap/>
            <w:vAlign w:val="center"/>
          </w:tcPr>
          <w:p w14:paraId="79302644">
            <w:pPr>
              <w:widowControl/>
              <w:jc w:val="center"/>
              <w:rPr>
                <w:rFonts w:ascii="宋体" w:hAnsi="宋体" w:cs="宋体"/>
                <w:color w:val="auto"/>
                <w:kern w:val="0"/>
                <w:szCs w:val="21"/>
                <w:highlight w:val="none"/>
              </w:rPr>
            </w:pPr>
          </w:p>
        </w:tc>
        <w:tc>
          <w:tcPr>
            <w:tcW w:w="3693" w:type="pct"/>
            <w:noWrap/>
            <w:vAlign w:val="center"/>
          </w:tcPr>
          <w:p w14:paraId="2DBA1BE5">
            <w:pPr>
              <w:numPr>
                <w:ilvl w:val="0"/>
                <w:numId w:val="8"/>
              </w:numPr>
              <w:rPr>
                <w:rFonts w:ascii="宋体" w:hAnsi="宋体" w:cs="宋体"/>
                <w:color w:val="auto"/>
                <w:kern w:val="0"/>
                <w:szCs w:val="21"/>
                <w:highlight w:val="none"/>
              </w:rPr>
            </w:pPr>
            <w:r>
              <w:rPr>
                <w:rFonts w:hint="eastAsia" w:ascii="宋体" w:hAnsi="宋体" w:cs="宋体"/>
                <w:color w:val="auto"/>
                <w:kern w:val="0"/>
                <w:szCs w:val="21"/>
                <w:highlight w:val="none"/>
              </w:rPr>
              <w:t>（1）厨房工作场地保持干燥，无积水，无油腻（1分）；</w:t>
            </w:r>
          </w:p>
          <w:p w14:paraId="0B574BE1">
            <w:pPr>
              <w:numPr>
                <w:ilvl w:val="0"/>
                <w:numId w:val="8"/>
              </w:numPr>
              <w:rPr>
                <w:rFonts w:ascii="宋体" w:hAnsi="宋体" w:cs="宋体"/>
                <w:color w:val="auto"/>
                <w:kern w:val="0"/>
                <w:szCs w:val="21"/>
                <w:highlight w:val="none"/>
              </w:rPr>
            </w:pPr>
            <w:r>
              <w:rPr>
                <w:rFonts w:hint="eastAsia" w:ascii="宋体" w:hAnsi="宋体" w:cs="宋体"/>
                <w:color w:val="auto"/>
                <w:kern w:val="0"/>
                <w:szCs w:val="21"/>
                <w:highlight w:val="none"/>
              </w:rPr>
              <w:t xml:space="preserve">（2）操作间、备餐间、点心间等地面无明显水迹（1分）； </w:t>
            </w:r>
          </w:p>
          <w:p w14:paraId="3C6A0AD9">
            <w:pPr>
              <w:rPr>
                <w:rFonts w:ascii="宋体" w:hAnsi="宋体" w:cs="宋体"/>
                <w:color w:val="auto"/>
                <w:kern w:val="0"/>
                <w:szCs w:val="21"/>
                <w:highlight w:val="none"/>
              </w:rPr>
            </w:pPr>
            <w:r>
              <w:rPr>
                <w:rFonts w:hint="eastAsia" w:ascii="宋体" w:hAnsi="宋体" w:cs="宋体"/>
                <w:color w:val="auto"/>
                <w:kern w:val="0"/>
                <w:szCs w:val="21"/>
                <w:highlight w:val="none"/>
              </w:rPr>
              <w:t xml:space="preserve">6.（3）洗菜、洗碗间 、蒸饭间等地面无大量水迹（1分）； </w:t>
            </w:r>
          </w:p>
        </w:tc>
        <w:tc>
          <w:tcPr>
            <w:tcW w:w="365" w:type="pct"/>
            <w:noWrap/>
            <w:vAlign w:val="center"/>
          </w:tcPr>
          <w:p w14:paraId="09FB01A7">
            <w:pPr>
              <w:widowControl/>
              <w:jc w:val="center"/>
              <w:rPr>
                <w:rFonts w:ascii="宋体" w:hAnsi="宋体" w:cs="宋体"/>
                <w:color w:val="auto"/>
                <w:kern w:val="0"/>
                <w:szCs w:val="21"/>
                <w:highlight w:val="none"/>
              </w:rPr>
            </w:pPr>
            <w:r>
              <w:rPr>
                <w:rFonts w:hint="eastAsia" w:ascii="宋体" w:hAnsi="宋体" w:cs="宋体"/>
                <w:color w:val="auto"/>
                <w:kern w:val="0"/>
                <w:szCs w:val="21"/>
                <w:highlight w:val="none"/>
              </w:rPr>
              <w:t>3</w:t>
            </w:r>
          </w:p>
        </w:tc>
      </w:tr>
      <w:tr w14:paraId="0C6651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7" w:hRule="atLeast"/>
        </w:trPr>
        <w:tc>
          <w:tcPr>
            <w:tcW w:w="941" w:type="pct"/>
            <w:vMerge w:val="continue"/>
            <w:noWrap/>
            <w:vAlign w:val="center"/>
          </w:tcPr>
          <w:p w14:paraId="1FB6BABC">
            <w:pPr>
              <w:widowControl/>
              <w:jc w:val="center"/>
              <w:rPr>
                <w:rFonts w:ascii="宋体" w:hAnsi="宋体" w:cs="宋体"/>
                <w:color w:val="auto"/>
                <w:kern w:val="0"/>
                <w:szCs w:val="21"/>
                <w:highlight w:val="none"/>
              </w:rPr>
            </w:pPr>
          </w:p>
        </w:tc>
        <w:tc>
          <w:tcPr>
            <w:tcW w:w="3693" w:type="pct"/>
            <w:noWrap/>
            <w:vAlign w:val="center"/>
          </w:tcPr>
          <w:p w14:paraId="354BB2B5">
            <w:pPr>
              <w:rPr>
                <w:rFonts w:ascii="宋体" w:hAnsi="宋体" w:cs="宋体"/>
                <w:color w:val="auto"/>
                <w:kern w:val="0"/>
                <w:szCs w:val="21"/>
                <w:highlight w:val="none"/>
              </w:rPr>
            </w:pPr>
            <w:r>
              <w:rPr>
                <w:rFonts w:hint="eastAsia" w:ascii="宋体" w:hAnsi="宋体" w:cs="宋体"/>
                <w:color w:val="auto"/>
                <w:kern w:val="0"/>
                <w:szCs w:val="21"/>
                <w:highlight w:val="none"/>
              </w:rPr>
              <w:t xml:space="preserve">5.（1）就餐区域桌椅清洁干净，无油垢，无食物残留，无灰尘（1分）；（2）室外环境卫生干净整洁，地面不湿滑（1分）； </w:t>
            </w:r>
          </w:p>
        </w:tc>
        <w:tc>
          <w:tcPr>
            <w:tcW w:w="365" w:type="pct"/>
            <w:noWrap/>
            <w:vAlign w:val="center"/>
          </w:tcPr>
          <w:p w14:paraId="6A761F56">
            <w:pPr>
              <w:widowControl/>
              <w:jc w:val="center"/>
              <w:rPr>
                <w:rFonts w:ascii="宋体" w:hAnsi="宋体" w:cs="宋体"/>
                <w:color w:val="auto"/>
                <w:kern w:val="0"/>
                <w:szCs w:val="21"/>
                <w:highlight w:val="none"/>
              </w:rPr>
            </w:pPr>
            <w:r>
              <w:rPr>
                <w:rFonts w:hint="eastAsia" w:ascii="宋体" w:hAnsi="宋体" w:cs="宋体"/>
                <w:color w:val="auto"/>
                <w:kern w:val="0"/>
                <w:szCs w:val="21"/>
                <w:highlight w:val="none"/>
              </w:rPr>
              <w:t>2</w:t>
            </w:r>
          </w:p>
        </w:tc>
      </w:tr>
      <w:tr w14:paraId="7A4E4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941" w:type="pct"/>
            <w:vMerge w:val="restart"/>
            <w:noWrap/>
            <w:vAlign w:val="center"/>
          </w:tcPr>
          <w:p w14:paraId="58F23FE7">
            <w:pPr>
              <w:widowControl/>
              <w:jc w:val="center"/>
              <w:rPr>
                <w:rFonts w:ascii="宋体" w:hAnsi="宋体" w:cs="宋体"/>
                <w:color w:val="auto"/>
                <w:kern w:val="0"/>
                <w:szCs w:val="21"/>
                <w:highlight w:val="none"/>
              </w:rPr>
            </w:pPr>
            <w:r>
              <w:rPr>
                <w:rFonts w:hint="eastAsia" w:ascii="宋体" w:hAnsi="宋体" w:cs="宋体"/>
                <w:color w:val="auto"/>
                <w:kern w:val="0"/>
                <w:szCs w:val="21"/>
                <w:highlight w:val="none"/>
              </w:rPr>
              <w:t>规范存放</w:t>
            </w:r>
          </w:p>
        </w:tc>
        <w:tc>
          <w:tcPr>
            <w:tcW w:w="3693" w:type="pct"/>
            <w:noWrap/>
            <w:vAlign w:val="center"/>
          </w:tcPr>
          <w:p w14:paraId="2A0D176E">
            <w:pPr>
              <w:rPr>
                <w:rFonts w:ascii="宋体" w:hAnsi="宋体" w:cs="宋体"/>
                <w:color w:val="auto"/>
                <w:kern w:val="0"/>
                <w:szCs w:val="21"/>
                <w:highlight w:val="none"/>
              </w:rPr>
            </w:pPr>
            <w:r>
              <w:rPr>
                <w:rFonts w:hint="eastAsia" w:ascii="宋体" w:hAnsi="宋体" w:cs="宋体"/>
                <w:color w:val="auto"/>
                <w:kern w:val="0"/>
                <w:szCs w:val="21"/>
                <w:highlight w:val="none"/>
              </w:rPr>
              <w:t xml:space="preserve">1.清洗和未清洗食材使用不同的盛器区分存放（标识上墙）； </w:t>
            </w:r>
          </w:p>
        </w:tc>
        <w:tc>
          <w:tcPr>
            <w:tcW w:w="365" w:type="pct"/>
            <w:noWrap/>
            <w:vAlign w:val="center"/>
          </w:tcPr>
          <w:p w14:paraId="3C0C85A0">
            <w:pPr>
              <w:widowControl/>
              <w:jc w:val="center"/>
              <w:rPr>
                <w:rFonts w:ascii="宋体" w:hAnsi="宋体" w:cs="宋体"/>
                <w:color w:val="auto"/>
                <w:kern w:val="0"/>
                <w:szCs w:val="21"/>
                <w:highlight w:val="none"/>
              </w:rPr>
            </w:pPr>
            <w:r>
              <w:rPr>
                <w:rFonts w:hint="eastAsia" w:ascii="宋体" w:hAnsi="宋体" w:cs="宋体"/>
                <w:color w:val="auto"/>
                <w:kern w:val="0"/>
                <w:szCs w:val="21"/>
                <w:highlight w:val="none"/>
              </w:rPr>
              <w:t>1</w:t>
            </w:r>
          </w:p>
        </w:tc>
      </w:tr>
      <w:tr w14:paraId="0A76F7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1" w:hRule="atLeast"/>
        </w:trPr>
        <w:tc>
          <w:tcPr>
            <w:tcW w:w="941" w:type="pct"/>
            <w:vMerge w:val="continue"/>
            <w:noWrap/>
            <w:vAlign w:val="center"/>
          </w:tcPr>
          <w:p w14:paraId="3893049A">
            <w:pPr>
              <w:widowControl/>
              <w:jc w:val="center"/>
              <w:rPr>
                <w:rFonts w:ascii="宋体" w:hAnsi="宋体" w:cs="宋体"/>
                <w:color w:val="auto"/>
                <w:kern w:val="0"/>
                <w:szCs w:val="21"/>
                <w:highlight w:val="none"/>
              </w:rPr>
            </w:pPr>
          </w:p>
        </w:tc>
        <w:tc>
          <w:tcPr>
            <w:tcW w:w="3693" w:type="pct"/>
            <w:noWrap/>
            <w:vAlign w:val="center"/>
          </w:tcPr>
          <w:p w14:paraId="7BBB41B1">
            <w:pPr>
              <w:rPr>
                <w:rFonts w:ascii="宋体" w:hAnsi="宋体" w:cs="宋体"/>
                <w:color w:val="auto"/>
                <w:kern w:val="0"/>
                <w:szCs w:val="21"/>
                <w:highlight w:val="none"/>
              </w:rPr>
            </w:pPr>
            <w:r>
              <w:rPr>
                <w:rFonts w:hint="eastAsia" w:ascii="宋体" w:hAnsi="宋体" w:cs="宋体"/>
                <w:color w:val="auto"/>
                <w:kern w:val="0"/>
                <w:szCs w:val="21"/>
                <w:highlight w:val="none"/>
              </w:rPr>
              <w:t xml:space="preserve">2.各类容器，工、用具，厨具等分类规范存放（标识上墙）； </w:t>
            </w:r>
          </w:p>
        </w:tc>
        <w:tc>
          <w:tcPr>
            <w:tcW w:w="365" w:type="pct"/>
            <w:noWrap/>
            <w:vAlign w:val="center"/>
          </w:tcPr>
          <w:p w14:paraId="728C0484">
            <w:pPr>
              <w:jc w:val="center"/>
              <w:rPr>
                <w:rFonts w:ascii="宋体" w:hAnsi="宋体" w:cs="宋体"/>
                <w:color w:val="auto"/>
                <w:kern w:val="0"/>
                <w:szCs w:val="21"/>
                <w:highlight w:val="none"/>
              </w:rPr>
            </w:pPr>
            <w:r>
              <w:rPr>
                <w:rFonts w:hint="eastAsia" w:ascii="宋体" w:hAnsi="宋体" w:cs="宋体"/>
                <w:color w:val="auto"/>
                <w:kern w:val="0"/>
                <w:szCs w:val="21"/>
                <w:highlight w:val="none"/>
              </w:rPr>
              <w:t>1</w:t>
            </w:r>
          </w:p>
        </w:tc>
      </w:tr>
      <w:tr w14:paraId="793107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5" w:hRule="atLeast"/>
        </w:trPr>
        <w:tc>
          <w:tcPr>
            <w:tcW w:w="941" w:type="pct"/>
            <w:vMerge w:val="continue"/>
            <w:noWrap/>
            <w:vAlign w:val="center"/>
          </w:tcPr>
          <w:p w14:paraId="399D64FF">
            <w:pPr>
              <w:widowControl/>
              <w:jc w:val="center"/>
              <w:rPr>
                <w:rFonts w:ascii="宋体" w:hAnsi="宋体" w:cs="宋体"/>
                <w:color w:val="auto"/>
                <w:kern w:val="0"/>
                <w:szCs w:val="21"/>
                <w:highlight w:val="none"/>
              </w:rPr>
            </w:pPr>
          </w:p>
        </w:tc>
        <w:tc>
          <w:tcPr>
            <w:tcW w:w="3693" w:type="pct"/>
            <w:noWrap/>
            <w:vAlign w:val="center"/>
          </w:tcPr>
          <w:p w14:paraId="6C211DE6">
            <w:pPr>
              <w:rPr>
                <w:rFonts w:ascii="宋体" w:hAnsi="宋体" w:cs="宋体"/>
                <w:color w:val="auto"/>
                <w:kern w:val="0"/>
                <w:szCs w:val="21"/>
                <w:highlight w:val="none"/>
              </w:rPr>
            </w:pPr>
            <w:r>
              <w:rPr>
                <w:rFonts w:hint="eastAsia" w:ascii="宋体" w:hAnsi="宋体" w:cs="宋体"/>
                <w:color w:val="auto"/>
                <w:kern w:val="0"/>
                <w:szCs w:val="21"/>
                <w:highlight w:val="none"/>
              </w:rPr>
              <w:t xml:space="preserve">3.冰箱、冷库内食品储存规范无叠放，与标识相符； </w:t>
            </w:r>
          </w:p>
        </w:tc>
        <w:tc>
          <w:tcPr>
            <w:tcW w:w="365" w:type="pct"/>
            <w:noWrap/>
            <w:vAlign w:val="center"/>
          </w:tcPr>
          <w:p w14:paraId="553E956A">
            <w:pPr>
              <w:widowControl/>
              <w:jc w:val="center"/>
              <w:rPr>
                <w:rFonts w:ascii="宋体" w:hAnsi="宋体" w:cs="宋体"/>
                <w:color w:val="auto"/>
                <w:kern w:val="0"/>
                <w:szCs w:val="21"/>
                <w:highlight w:val="none"/>
              </w:rPr>
            </w:pPr>
            <w:r>
              <w:rPr>
                <w:rFonts w:hint="eastAsia" w:ascii="宋体" w:hAnsi="宋体" w:cs="宋体"/>
                <w:color w:val="auto"/>
                <w:kern w:val="0"/>
                <w:szCs w:val="21"/>
                <w:highlight w:val="none"/>
              </w:rPr>
              <w:t>1</w:t>
            </w:r>
          </w:p>
        </w:tc>
      </w:tr>
      <w:tr w14:paraId="4509AB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941" w:type="pct"/>
            <w:vMerge w:val="continue"/>
            <w:noWrap/>
            <w:vAlign w:val="center"/>
          </w:tcPr>
          <w:p w14:paraId="4522B78F">
            <w:pPr>
              <w:widowControl/>
              <w:jc w:val="center"/>
              <w:rPr>
                <w:rFonts w:ascii="宋体" w:hAnsi="宋体" w:cs="宋体"/>
                <w:color w:val="auto"/>
                <w:kern w:val="0"/>
                <w:szCs w:val="21"/>
                <w:highlight w:val="none"/>
              </w:rPr>
            </w:pPr>
          </w:p>
        </w:tc>
        <w:tc>
          <w:tcPr>
            <w:tcW w:w="3693" w:type="pct"/>
            <w:noWrap/>
            <w:vAlign w:val="center"/>
          </w:tcPr>
          <w:p w14:paraId="12D2256D">
            <w:pPr>
              <w:rPr>
                <w:rFonts w:ascii="宋体" w:hAnsi="宋体" w:cs="宋体"/>
                <w:color w:val="auto"/>
                <w:kern w:val="0"/>
                <w:szCs w:val="21"/>
                <w:highlight w:val="none"/>
              </w:rPr>
            </w:pPr>
            <w:r>
              <w:rPr>
                <w:rFonts w:hint="eastAsia" w:ascii="宋体" w:hAnsi="宋体" w:cs="宋体"/>
                <w:color w:val="auto"/>
                <w:kern w:val="0"/>
                <w:szCs w:val="21"/>
                <w:highlight w:val="none"/>
              </w:rPr>
              <w:t xml:space="preserve">4.常用毛巾抹布规范对应悬挂或摆放在相应位置； </w:t>
            </w:r>
          </w:p>
        </w:tc>
        <w:tc>
          <w:tcPr>
            <w:tcW w:w="365" w:type="pct"/>
            <w:noWrap/>
            <w:vAlign w:val="center"/>
          </w:tcPr>
          <w:p w14:paraId="5B3FDC86">
            <w:pPr>
              <w:widowControl/>
              <w:jc w:val="center"/>
              <w:rPr>
                <w:rFonts w:ascii="宋体" w:hAnsi="宋体" w:cs="宋体"/>
                <w:color w:val="auto"/>
                <w:kern w:val="0"/>
                <w:szCs w:val="21"/>
                <w:highlight w:val="none"/>
              </w:rPr>
            </w:pPr>
            <w:r>
              <w:rPr>
                <w:rFonts w:hint="eastAsia" w:ascii="宋体" w:hAnsi="宋体" w:cs="宋体"/>
                <w:color w:val="auto"/>
                <w:kern w:val="0"/>
                <w:szCs w:val="21"/>
                <w:highlight w:val="none"/>
              </w:rPr>
              <w:t>1</w:t>
            </w:r>
          </w:p>
        </w:tc>
      </w:tr>
      <w:tr w14:paraId="29D1E9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trPr>
        <w:tc>
          <w:tcPr>
            <w:tcW w:w="941" w:type="pct"/>
            <w:vMerge w:val="continue"/>
            <w:noWrap/>
            <w:vAlign w:val="center"/>
          </w:tcPr>
          <w:p w14:paraId="458558F4">
            <w:pPr>
              <w:widowControl/>
              <w:jc w:val="center"/>
              <w:rPr>
                <w:rFonts w:ascii="宋体" w:hAnsi="宋体" w:cs="宋体"/>
                <w:color w:val="auto"/>
                <w:kern w:val="0"/>
                <w:szCs w:val="21"/>
                <w:highlight w:val="none"/>
              </w:rPr>
            </w:pPr>
          </w:p>
        </w:tc>
        <w:tc>
          <w:tcPr>
            <w:tcW w:w="3693" w:type="pct"/>
            <w:noWrap/>
            <w:vAlign w:val="center"/>
          </w:tcPr>
          <w:p w14:paraId="386B338A">
            <w:pPr>
              <w:rPr>
                <w:rFonts w:ascii="宋体" w:hAnsi="宋体" w:cs="宋体"/>
                <w:color w:val="auto"/>
                <w:kern w:val="0"/>
                <w:szCs w:val="21"/>
                <w:highlight w:val="none"/>
              </w:rPr>
            </w:pPr>
            <w:r>
              <w:rPr>
                <w:rFonts w:hint="eastAsia" w:ascii="宋体" w:hAnsi="宋体" w:cs="宋体"/>
                <w:color w:val="auto"/>
                <w:kern w:val="0"/>
                <w:szCs w:val="21"/>
                <w:highlight w:val="none"/>
              </w:rPr>
              <w:t xml:space="preserve">5.各类食品盛装容器摆放整齐、整洁，加盖； </w:t>
            </w:r>
          </w:p>
        </w:tc>
        <w:tc>
          <w:tcPr>
            <w:tcW w:w="365" w:type="pct"/>
            <w:noWrap/>
            <w:vAlign w:val="center"/>
          </w:tcPr>
          <w:p w14:paraId="0F348D01">
            <w:pPr>
              <w:widowControl/>
              <w:jc w:val="center"/>
              <w:rPr>
                <w:rFonts w:ascii="宋体" w:hAnsi="宋体" w:cs="宋体"/>
                <w:color w:val="auto"/>
                <w:kern w:val="0"/>
                <w:szCs w:val="21"/>
                <w:highlight w:val="none"/>
              </w:rPr>
            </w:pPr>
            <w:r>
              <w:rPr>
                <w:rFonts w:hint="eastAsia" w:ascii="宋体" w:hAnsi="宋体" w:cs="宋体"/>
                <w:color w:val="auto"/>
                <w:kern w:val="0"/>
                <w:szCs w:val="21"/>
                <w:highlight w:val="none"/>
              </w:rPr>
              <w:t>1</w:t>
            </w:r>
          </w:p>
        </w:tc>
      </w:tr>
      <w:tr w14:paraId="1859F7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941" w:type="pct"/>
            <w:vMerge w:val="continue"/>
            <w:noWrap/>
            <w:vAlign w:val="center"/>
          </w:tcPr>
          <w:p w14:paraId="613DAF0D">
            <w:pPr>
              <w:widowControl/>
              <w:jc w:val="center"/>
              <w:rPr>
                <w:rFonts w:ascii="宋体" w:hAnsi="宋体" w:cs="宋体"/>
                <w:color w:val="auto"/>
                <w:kern w:val="0"/>
                <w:szCs w:val="21"/>
                <w:highlight w:val="none"/>
              </w:rPr>
            </w:pPr>
          </w:p>
        </w:tc>
        <w:tc>
          <w:tcPr>
            <w:tcW w:w="3693" w:type="pct"/>
            <w:noWrap/>
            <w:vAlign w:val="center"/>
          </w:tcPr>
          <w:p w14:paraId="1214081B">
            <w:pPr>
              <w:rPr>
                <w:rFonts w:ascii="宋体" w:hAnsi="宋体" w:cs="宋体"/>
                <w:color w:val="auto"/>
                <w:kern w:val="0"/>
                <w:szCs w:val="21"/>
                <w:highlight w:val="none"/>
              </w:rPr>
            </w:pPr>
            <w:r>
              <w:rPr>
                <w:rFonts w:hint="eastAsia" w:ascii="宋体" w:hAnsi="宋体" w:cs="宋体"/>
                <w:color w:val="auto"/>
                <w:kern w:val="0"/>
                <w:szCs w:val="21"/>
                <w:highlight w:val="none"/>
              </w:rPr>
              <w:t xml:space="preserve">6.各类小推车摆放对标到位、整齐、洁净； </w:t>
            </w:r>
          </w:p>
        </w:tc>
        <w:tc>
          <w:tcPr>
            <w:tcW w:w="365" w:type="pct"/>
            <w:noWrap/>
            <w:vAlign w:val="center"/>
          </w:tcPr>
          <w:p w14:paraId="7245332E">
            <w:pPr>
              <w:widowControl/>
              <w:jc w:val="center"/>
              <w:rPr>
                <w:rFonts w:ascii="宋体" w:hAnsi="宋体" w:cs="宋体"/>
                <w:color w:val="auto"/>
                <w:kern w:val="0"/>
                <w:szCs w:val="21"/>
                <w:highlight w:val="none"/>
              </w:rPr>
            </w:pPr>
            <w:r>
              <w:rPr>
                <w:rFonts w:hint="eastAsia" w:ascii="宋体" w:hAnsi="宋体" w:cs="宋体"/>
                <w:color w:val="auto"/>
                <w:kern w:val="0"/>
                <w:szCs w:val="21"/>
                <w:highlight w:val="none"/>
              </w:rPr>
              <w:t>1</w:t>
            </w:r>
          </w:p>
        </w:tc>
      </w:tr>
      <w:tr w14:paraId="404C3F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4" w:hRule="atLeast"/>
        </w:trPr>
        <w:tc>
          <w:tcPr>
            <w:tcW w:w="941" w:type="pct"/>
            <w:vMerge w:val="continue"/>
            <w:noWrap/>
            <w:vAlign w:val="center"/>
          </w:tcPr>
          <w:p w14:paraId="59A8995A">
            <w:pPr>
              <w:widowControl/>
              <w:jc w:val="center"/>
              <w:rPr>
                <w:rFonts w:ascii="宋体" w:hAnsi="宋体" w:cs="宋体"/>
                <w:color w:val="auto"/>
                <w:kern w:val="0"/>
                <w:szCs w:val="21"/>
                <w:highlight w:val="none"/>
              </w:rPr>
            </w:pPr>
          </w:p>
        </w:tc>
        <w:tc>
          <w:tcPr>
            <w:tcW w:w="3693" w:type="pct"/>
            <w:noWrap/>
            <w:vAlign w:val="center"/>
          </w:tcPr>
          <w:p w14:paraId="42360F28">
            <w:pPr>
              <w:numPr>
                <w:ilvl w:val="0"/>
                <w:numId w:val="9"/>
              </w:numPr>
              <w:ind w:left="240" w:hanging="240" w:hangingChars="100"/>
              <w:rPr>
                <w:rFonts w:ascii="宋体" w:hAnsi="宋体" w:cs="宋体"/>
                <w:color w:val="auto"/>
                <w:kern w:val="0"/>
                <w:szCs w:val="21"/>
                <w:highlight w:val="none"/>
              </w:rPr>
            </w:pPr>
            <w:r>
              <w:rPr>
                <w:rFonts w:hint="eastAsia" w:ascii="宋体" w:hAnsi="宋体" w:cs="宋体"/>
                <w:color w:val="auto"/>
                <w:kern w:val="0"/>
                <w:szCs w:val="21"/>
                <w:highlight w:val="none"/>
              </w:rPr>
              <w:t xml:space="preserve">（1）各类碗、盆、盘等器具摆放整齐、整洁对标（1.5分）；       </w:t>
            </w:r>
          </w:p>
          <w:p w14:paraId="296E9D82">
            <w:pPr>
              <w:numPr>
                <w:ilvl w:val="0"/>
                <w:numId w:val="9"/>
              </w:numPr>
              <w:ind w:left="240" w:hanging="240" w:hangingChars="100"/>
              <w:rPr>
                <w:rFonts w:ascii="宋体" w:hAnsi="宋体" w:cs="宋体"/>
                <w:color w:val="auto"/>
                <w:kern w:val="0"/>
                <w:szCs w:val="21"/>
                <w:highlight w:val="none"/>
              </w:rPr>
            </w:pPr>
            <w:r>
              <w:rPr>
                <w:rFonts w:hint="eastAsia" w:ascii="宋体" w:hAnsi="宋体" w:cs="宋体"/>
                <w:color w:val="auto"/>
                <w:kern w:val="0"/>
                <w:szCs w:val="21"/>
                <w:highlight w:val="none"/>
              </w:rPr>
              <w:t xml:space="preserve">（2）个人物品存放规范（1.5分）； </w:t>
            </w:r>
          </w:p>
        </w:tc>
        <w:tc>
          <w:tcPr>
            <w:tcW w:w="365" w:type="pct"/>
            <w:noWrap/>
            <w:vAlign w:val="center"/>
          </w:tcPr>
          <w:p w14:paraId="5B896CAB">
            <w:pPr>
              <w:widowControl/>
              <w:jc w:val="center"/>
              <w:rPr>
                <w:rFonts w:ascii="宋体" w:hAnsi="宋体" w:cs="宋体"/>
                <w:color w:val="auto"/>
                <w:kern w:val="0"/>
                <w:szCs w:val="21"/>
                <w:highlight w:val="none"/>
              </w:rPr>
            </w:pPr>
            <w:r>
              <w:rPr>
                <w:rFonts w:hint="eastAsia" w:ascii="宋体" w:hAnsi="宋体" w:cs="宋体"/>
                <w:color w:val="auto"/>
                <w:kern w:val="0"/>
                <w:szCs w:val="21"/>
                <w:highlight w:val="none"/>
              </w:rPr>
              <w:t>3</w:t>
            </w:r>
          </w:p>
        </w:tc>
      </w:tr>
      <w:tr w14:paraId="522C5C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trPr>
        <w:tc>
          <w:tcPr>
            <w:tcW w:w="941" w:type="pct"/>
            <w:vMerge w:val="continue"/>
            <w:noWrap/>
            <w:vAlign w:val="center"/>
          </w:tcPr>
          <w:p w14:paraId="6B54180B">
            <w:pPr>
              <w:widowControl/>
              <w:jc w:val="center"/>
              <w:rPr>
                <w:rFonts w:ascii="宋体" w:hAnsi="宋体" w:cs="宋体"/>
                <w:color w:val="auto"/>
                <w:kern w:val="0"/>
                <w:szCs w:val="21"/>
                <w:highlight w:val="none"/>
              </w:rPr>
            </w:pPr>
          </w:p>
        </w:tc>
        <w:tc>
          <w:tcPr>
            <w:tcW w:w="3693" w:type="pct"/>
            <w:noWrap/>
            <w:vAlign w:val="center"/>
          </w:tcPr>
          <w:p w14:paraId="70912D1A">
            <w:pPr>
              <w:rPr>
                <w:rFonts w:ascii="宋体" w:hAnsi="宋体" w:cs="宋体"/>
                <w:color w:val="auto"/>
                <w:kern w:val="0"/>
                <w:szCs w:val="21"/>
                <w:highlight w:val="none"/>
              </w:rPr>
            </w:pPr>
            <w:r>
              <w:rPr>
                <w:rFonts w:hint="eastAsia" w:ascii="宋体" w:hAnsi="宋体" w:cs="宋体"/>
                <w:color w:val="auto"/>
                <w:kern w:val="0"/>
                <w:szCs w:val="21"/>
                <w:highlight w:val="none"/>
              </w:rPr>
              <w:t xml:space="preserve">8.拖把、扫把、簸箕、刮水具等清洁用具规范悬挂放置； </w:t>
            </w:r>
          </w:p>
        </w:tc>
        <w:tc>
          <w:tcPr>
            <w:tcW w:w="365" w:type="pct"/>
            <w:noWrap/>
            <w:vAlign w:val="center"/>
          </w:tcPr>
          <w:p w14:paraId="08B5CF15">
            <w:pPr>
              <w:widowControl/>
              <w:jc w:val="center"/>
              <w:rPr>
                <w:rFonts w:ascii="宋体" w:hAnsi="宋体" w:cs="宋体"/>
                <w:color w:val="auto"/>
                <w:kern w:val="0"/>
                <w:szCs w:val="21"/>
                <w:highlight w:val="none"/>
              </w:rPr>
            </w:pPr>
            <w:r>
              <w:rPr>
                <w:rFonts w:hint="eastAsia" w:ascii="宋体" w:hAnsi="宋体" w:cs="宋体"/>
                <w:color w:val="auto"/>
                <w:kern w:val="0"/>
                <w:szCs w:val="21"/>
                <w:highlight w:val="none"/>
              </w:rPr>
              <w:t>1</w:t>
            </w:r>
          </w:p>
        </w:tc>
      </w:tr>
      <w:tr w14:paraId="19ED6B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trPr>
        <w:tc>
          <w:tcPr>
            <w:tcW w:w="941" w:type="pct"/>
            <w:vMerge w:val="restart"/>
            <w:noWrap/>
            <w:vAlign w:val="center"/>
          </w:tcPr>
          <w:p w14:paraId="4D85AC14">
            <w:pPr>
              <w:widowControl/>
              <w:jc w:val="center"/>
              <w:rPr>
                <w:rFonts w:ascii="宋体" w:hAnsi="宋体" w:cs="宋体"/>
                <w:color w:val="auto"/>
                <w:kern w:val="0"/>
                <w:szCs w:val="21"/>
                <w:highlight w:val="none"/>
              </w:rPr>
            </w:pPr>
            <w:r>
              <w:rPr>
                <w:rFonts w:hint="eastAsia" w:ascii="宋体" w:hAnsi="宋体" w:cs="宋体"/>
                <w:color w:val="auto"/>
                <w:kern w:val="0"/>
                <w:szCs w:val="21"/>
                <w:highlight w:val="none"/>
              </w:rPr>
              <w:t>安全卫生</w:t>
            </w:r>
          </w:p>
        </w:tc>
        <w:tc>
          <w:tcPr>
            <w:tcW w:w="3693" w:type="pct"/>
            <w:noWrap/>
            <w:vAlign w:val="center"/>
          </w:tcPr>
          <w:p w14:paraId="7C1E3F8C">
            <w:pPr>
              <w:numPr>
                <w:ilvl w:val="0"/>
                <w:numId w:val="10"/>
              </w:numPr>
              <w:ind w:left="240" w:hanging="240" w:hangingChars="100"/>
              <w:rPr>
                <w:rFonts w:ascii="宋体" w:hAnsi="宋体" w:cs="宋体"/>
                <w:color w:val="auto"/>
                <w:kern w:val="0"/>
                <w:szCs w:val="21"/>
                <w:highlight w:val="none"/>
              </w:rPr>
            </w:pPr>
            <w:r>
              <w:rPr>
                <w:rFonts w:hint="eastAsia" w:ascii="宋体" w:hAnsi="宋体" w:cs="宋体"/>
                <w:color w:val="auto"/>
                <w:kern w:val="0"/>
                <w:szCs w:val="21"/>
                <w:highlight w:val="none"/>
              </w:rPr>
              <w:t xml:space="preserve">（1）炉灶台面、地面、脱排、水沟无油腻污垢（1分），           </w:t>
            </w:r>
          </w:p>
          <w:p w14:paraId="05377893">
            <w:pPr>
              <w:numPr>
                <w:ilvl w:val="0"/>
                <w:numId w:val="10"/>
              </w:numPr>
              <w:ind w:left="240" w:hanging="240" w:hangingChars="100"/>
              <w:rPr>
                <w:rFonts w:ascii="宋体" w:hAnsi="宋体" w:cs="宋体"/>
                <w:color w:val="auto"/>
                <w:kern w:val="0"/>
                <w:szCs w:val="21"/>
                <w:highlight w:val="none"/>
              </w:rPr>
            </w:pPr>
            <w:r>
              <w:rPr>
                <w:rFonts w:hint="eastAsia" w:ascii="宋体" w:hAnsi="宋体" w:cs="宋体"/>
                <w:color w:val="auto"/>
                <w:kern w:val="0"/>
                <w:szCs w:val="21"/>
                <w:highlight w:val="none"/>
              </w:rPr>
              <w:t xml:space="preserve">（2）工作场所地面整洁、无污物、不粘鞋，阴沟明沟无沉积物、   无异味（1分）； </w:t>
            </w:r>
          </w:p>
        </w:tc>
        <w:tc>
          <w:tcPr>
            <w:tcW w:w="365" w:type="pct"/>
            <w:noWrap/>
            <w:vAlign w:val="center"/>
          </w:tcPr>
          <w:p w14:paraId="66431B5B">
            <w:pPr>
              <w:widowControl/>
              <w:jc w:val="center"/>
              <w:rPr>
                <w:rFonts w:ascii="宋体" w:hAnsi="宋体" w:cs="宋体"/>
                <w:color w:val="auto"/>
                <w:kern w:val="0"/>
                <w:szCs w:val="21"/>
                <w:highlight w:val="none"/>
              </w:rPr>
            </w:pPr>
            <w:r>
              <w:rPr>
                <w:rFonts w:hint="eastAsia" w:ascii="宋体" w:hAnsi="宋体" w:cs="宋体"/>
                <w:color w:val="auto"/>
                <w:kern w:val="0"/>
                <w:szCs w:val="21"/>
                <w:highlight w:val="none"/>
              </w:rPr>
              <w:t>2</w:t>
            </w:r>
          </w:p>
        </w:tc>
      </w:tr>
      <w:tr w14:paraId="5016F1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5" w:hRule="atLeast"/>
        </w:trPr>
        <w:tc>
          <w:tcPr>
            <w:tcW w:w="941" w:type="pct"/>
            <w:vMerge w:val="continue"/>
            <w:noWrap/>
            <w:vAlign w:val="center"/>
          </w:tcPr>
          <w:p w14:paraId="35D5F396">
            <w:pPr>
              <w:widowControl/>
              <w:jc w:val="center"/>
              <w:rPr>
                <w:rFonts w:ascii="宋体" w:hAnsi="宋体" w:cs="宋体"/>
                <w:color w:val="auto"/>
                <w:kern w:val="0"/>
                <w:szCs w:val="21"/>
                <w:highlight w:val="none"/>
              </w:rPr>
            </w:pPr>
          </w:p>
        </w:tc>
        <w:tc>
          <w:tcPr>
            <w:tcW w:w="3693" w:type="pct"/>
            <w:noWrap/>
            <w:vAlign w:val="center"/>
          </w:tcPr>
          <w:p w14:paraId="796CEDF4">
            <w:pPr>
              <w:rPr>
                <w:rFonts w:ascii="宋体" w:hAnsi="宋体" w:cs="宋体"/>
                <w:color w:val="auto"/>
                <w:kern w:val="0"/>
                <w:szCs w:val="21"/>
                <w:highlight w:val="none"/>
              </w:rPr>
            </w:pPr>
            <w:r>
              <w:rPr>
                <w:rFonts w:hint="eastAsia" w:ascii="宋体" w:hAnsi="宋体" w:cs="宋体"/>
                <w:color w:val="auto"/>
                <w:kern w:val="0"/>
                <w:szCs w:val="21"/>
                <w:highlight w:val="none"/>
              </w:rPr>
              <w:t xml:space="preserve">2.工作台面（0.5分）、容器（0.5分）、餐用工具（0.5分）、机械设备（0.5分）周边及厨房内外无污垢、残物、杂物； </w:t>
            </w:r>
          </w:p>
        </w:tc>
        <w:tc>
          <w:tcPr>
            <w:tcW w:w="365" w:type="pct"/>
            <w:noWrap/>
            <w:vAlign w:val="center"/>
          </w:tcPr>
          <w:p w14:paraId="610A7772">
            <w:pPr>
              <w:jc w:val="center"/>
              <w:rPr>
                <w:rFonts w:ascii="宋体" w:hAnsi="宋体" w:cs="宋体"/>
                <w:color w:val="auto"/>
                <w:kern w:val="0"/>
                <w:szCs w:val="21"/>
                <w:highlight w:val="none"/>
              </w:rPr>
            </w:pPr>
            <w:r>
              <w:rPr>
                <w:rFonts w:hint="eastAsia" w:ascii="宋体" w:hAnsi="宋体" w:cs="宋体"/>
                <w:color w:val="auto"/>
                <w:kern w:val="0"/>
                <w:szCs w:val="21"/>
                <w:highlight w:val="none"/>
              </w:rPr>
              <w:t>2</w:t>
            </w:r>
          </w:p>
        </w:tc>
      </w:tr>
      <w:tr w14:paraId="0EF3D7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trPr>
        <w:tc>
          <w:tcPr>
            <w:tcW w:w="941" w:type="pct"/>
            <w:vMerge w:val="continue"/>
            <w:noWrap/>
            <w:vAlign w:val="center"/>
          </w:tcPr>
          <w:p w14:paraId="26A18FC5">
            <w:pPr>
              <w:widowControl/>
              <w:jc w:val="center"/>
              <w:rPr>
                <w:rFonts w:ascii="宋体" w:hAnsi="宋体" w:cs="宋体"/>
                <w:color w:val="auto"/>
                <w:kern w:val="0"/>
                <w:szCs w:val="21"/>
                <w:highlight w:val="none"/>
              </w:rPr>
            </w:pPr>
          </w:p>
        </w:tc>
        <w:tc>
          <w:tcPr>
            <w:tcW w:w="3693" w:type="pct"/>
            <w:noWrap/>
            <w:vAlign w:val="center"/>
          </w:tcPr>
          <w:p w14:paraId="1E8A81ED">
            <w:pPr>
              <w:rPr>
                <w:rFonts w:ascii="宋体" w:hAnsi="宋体" w:cs="宋体"/>
                <w:color w:val="auto"/>
                <w:kern w:val="0"/>
                <w:szCs w:val="21"/>
                <w:highlight w:val="none"/>
              </w:rPr>
            </w:pPr>
            <w:r>
              <w:rPr>
                <w:rFonts w:hint="eastAsia" w:ascii="宋体" w:hAnsi="宋体" w:cs="宋体"/>
                <w:color w:val="auto"/>
                <w:kern w:val="0"/>
                <w:szCs w:val="21"/>
                <w:highlight w:val="none"/>
              </w:rPr>
              <w:t>3.（1）冰箱、冷库内外整洁、无残留物、积水（1分）；（2）冰箱（库）内无明显结霜，冰箱温度显示正常（1分）；</w:t>
            </w:r>
          </w:p>
        </w:tc>
        <w:tc>
          <w:tcPr>
            <w:tcW w:w="365" w:type="pct"/>
            <w:noWrap/>
            <w:vAlign w:val="center"/>
          </w:tcPr>
          <w:p w14:paraId="1E3A3047">
            <w:pPr>
              <w:jc w:val="center"/>
              <w:rPr>
                <w:rFonts w:ascii="宋体" w:hAnsi="宋体" w:cs="宋体"/>
                <w:color w:val="auto"/>
                <w:kern w:val="0"/>
                <w:szCs w:val="21"/>
                <w:highlight w:val="none"/>
              </w:rPr>
            </w:pPr>
            <w:r>
              <w:rPr>
                <w:rFonts w:hint="eastAsia" w:ascii="宋体" w:hAnsi="宋体" w:cs="宋体"/>
                <w:color w:val="auto"/>
                <w:kern w:val="0"/>
                <w:szCs w:val="21"/>
                <w:highlight w:val="none"/>
              </w:rPr>
              <w:t>2</w:t>
            </w:r>
          </w:p>
        </w:tc>
      </w:tr>
      <w:tr w14:paraId="0CCA86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3" w:hRule="atLeast"/>
        </w:trPr>
        <w:tc>
          <w:tcPr>
            <w:tcW w:w="941" w:type="pct"/>
            <w:vMerge w:val="continue"/>
            <w:noWrap/>
            <w:vAlign w:val="center"/>
          </w:tcPr>
          <w:p w14:paraId="65C526A4">
            <w:pPr>
              <w:widowControl/>
              <w:jc w:val="center"/>
              <w:rPr>
                <w:rFonts w:ascii="宋体" w:hAnsi="宋体" w:cs="宋体"/>
                <w:color w:val="auto"/>
                <w:kern w:val="0"/>
                <w:szCs w:val="21"/>
                <w:highlight w:val="none"/>
              </w:rPr>
            </w:pPr>
          </w:p>
        </w:tc>
        <w:tc>
          <w:tcPr>
            <w:tcW w:w="3693" w:type="pct"/>
            <w:noWrap/>
            <w:vAlign w:val="center"/>
          </w:tcPr>
          <w:p w14:paraId="7B51F994">
            <w:pPr>
              <w:rPr>
                <w:rFonts w:ascii="宋体" w:hAnsi="宋体" w:cs="宋体"/>
                <w:color w:val="auto"/>
                <w:kern w:val="0"/>
                <w:szCs w:val="21"/>
                <w:highlight w:val="none"/>
              </w:rPr>
            </w:pPr>
            <w:r>
              <w:rPr>
                <w:rFonts w:hint="eastAsia" w:ascii="宋体" w:hAnsi="宋体" w:cs="宋体"/>
                <w:color w:val="auto"/>
                <w:kern w:val="0"/>
                <w:szCs w:val="21"/>
                <w:highlight w:val="none"/>
              </w:rPr>
              <w:t xml:space="preserve">4.（1）墙面、房顶整洁无污物，垃圾桶有盖、清洁，环境干净整洁（1分），（2）有防虫防鼠措施（1分）； </w:t>
            </w:r>
          </w:p>
        </w:tc>
        <w:tc>
          <w:tcPr>
            <w:tcW w:w="365" w:type="pct"/>
            <w:noWrap/>
            <w:vAlign w:val="center"/>
          </w:tcPr>
          <w:p w14:paraId="245834DD">
            <w:pPr>
              <w:jc w:val="center"/>
              <w:rPr>
                <w:rFonts w:ascii="宋体" w:hAnsi="宋体" w:cs="宋体"/>
                <w:color w:val="auto"/>
                <w:kern w:val="0"/>
                <w:szCs w:val="21"/>
                <w:highlight w:val="none"/>
              </w:rPr>
            </w:pPr>
            <w:r>
              <w:rPr>
                <w:rFonts w:hint="eastAsia" w:ascii="宋体" w:hAnsi="宋体" w:cs="宋体"/>
                <w:color w:val="auto"/>
                <w:kern w:val="0"/>
                <w:szCs w:val="21"/>
                <w:highlight w:val="none"/>
              </w:rPr>
              <w:t>2</w:t>
            </w:r>
          </w:p>
        </w:tc>
      </w:tr>
      <w:tr w14:paraId="01CFBA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941" w:type="pct"/>
            <w:vMerge w:val="continue"/>
            <w:noWrap/>
            <w:vAlign w:val="center"/>
          </w:tcPr>
          <w:p w14:paraId="203CFB67">
            <w:pPr>
              <w:widowControl/>
              <w:jc w:val="center"/>
              <w:rPr>
                <w:rFonts w:ascii="宋体" w:hAnsi="宋体" w:cs="宋体"/>
                <w:color w:val="auto"/>
                <w:kern w:val="0"/>
                <w:szCs w:val="21"/>
                <w:highlight w:val="none"/>
              </w:rPr>
            </w:pPr>
          </w:p>
        </w:tc>
        <w:tc>
          <w:tcPr>
            <w:tcW w:w="3693" w:type="pct"/>
            <w:noWrap/>
            <w:vAlign w:val="center"/>
          </w:tcPr>
          <w:p w14:paraId="268C99FB">
            <w:pPr>
              <w:rPr>
                <w:rFonts w:ascii="宋体" w:hAnsi="宋体" w:cs="宋体"/>
                <w:color w:val="auto"/>
                <w:kern w:val="0"/>
                <w:szCs w:val="21"/>
                <w:highlight w:val="none"/>
              </w:rPr>
            </w:pPr>
            <w:r>
              <w:rPr>
                <w:rFonts w:hint="eastAsia" w:ascii="宋体" w:hAnsi="宋体" w:cs="宋体"/>
                <w:color w:val="auto"/>
                <w:kern w:val="0"/>
                <w:szCs w:val="21"/>
                <w:highlight w:val="none"/>
              </w:rPr>
              <w:t>5.二次更衣（间）规范有效；</w:t>
            </w:r>
          </w:p>
        </w:tc>
        <w:tc>
          <w:tcPr>
            <w:tcW w:w="365" w:type="pct"/>
            <w:noWrap/>
            <w:vAlign w:val="center"/>
          </w:tcPr>
          <w:p w14:paraId="11A8C0A4">
            <w:pPr>
              <w:jc w:val="center"/>
              <w:rPr>
                <w:rFonts w:ascii="宋体" w:hAnsi="宋体" w:cs="宋体"/>
                <w:color w:val="auto"/>
                <w:kern w:val="0"/>
                <w:szCs w:val="21"/>
                <w:highlight w:val="none"/>
              </w:rPr>
            </w:pPr>
            <w:r>
              <w:rPr>
                <w:rFonts w:hint="eastAsia" w:ascii="宋体" w:hAnsi="宋体" w:cs="宋体"/>
                <w:color w:val="auto"/>
                <w:kern w:val="0"/>
                <w:szCs w:val="21"/>
                <w:highlight w:val="none"/>
              </w:rPr>
              <w:t>1</w:t>
            </w:r>
          </w:p>
        </w:tc>
      </w:tr>
      <w:tr w14:paraId="170E1E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3" w:hRule="atLeast"/>
        </w:trPr>
        <w:tc>
          <w:tcPr>
            <w:tcW w:w="941" w:type="pct"/>
            <w:vMerge w:val="continue"/>
            <w:noWrap/>
            <w:vAlign w:val="center"/>
          </w:tcPr>
          <w:p w14:paraId="40CB8584">
            <w:pPr>
              <w:widowControl/>
              <w:jc w:val="center"/>
              <w:rPr>
                <w:rFonts w:ascii="宋体" w:hAnsi="宋体" w:cs="宋体"/>
                <w:color w:val="auto"/>
                <w:kern w:val="0"/>
                <w:szCs w:val="21"/>
                <w:highlight w:val="none"/>
              </w:rPr>
            </w:pPr>
          </w:p>
        </w:tc>
        <w:tc>
          <w:tcPr>
            <w:tcW w:w="3693" w:type="pct"/>
            <w:noWrap/>
            <w:vAlign w:val="center"/>
          </w:tcPr>
          <w:p w14:paraId="1403369D">
            <w:pPr>
              <w:rPr>
                <w:rFonts w:ascii="宋体" w:hAnsi="宋体" w:cs="宋体"/>
                <w:color w:val="auto"/>
                <w:kern w:val="0"/>
                <w:szCs w:val="21"/>
                <w:highlight w:val="none"/>
              </w:rPr>
            </w:pPr>
            <w:r>
              <w:rPr>
                <w:rFonts w:hint="eastAsia" w:ascii="宋体" w:hAnsi="宋体" w:cs="宋体"/>
                <w:color w:val="auto"/>
                <w:kern w:val="0"/>
                <w:szCs w:val="21"/>
                <w:highlight w:val="none"/>
              </w:rPr>
              <w:t>6.有厨房门禁系统且食堂技防设施完备，符合《食堂安全防范技术标准》；</w:t>
            </w:r>
          </w:p>
        </w:tc>
        <w:tc>
          <w:tcPr>
            <w:tcW w:w="365" w:type="pct"/>
            <w:noWrap/>
            <w:vAlign w:val="center"/>
          </w:tcPr>
          <w:p w14:paraId="7B97F418">
            <w:pPr>
              <w:jc w:val="center"/>
              <w:rPr>
                <w:rFonts w:ascii="宋体" w:hAnsi="宋体" w:cs="宋体"/>
                <w:color w:val="auto"/>
                <w:kern w:val="0"/>
                <w:szCs w:val="21"/>
                <w:highlight w:val="none"/>
              </w:rPr>
            </w:pPr>
            <w:r>
              <w:rPr>
                <w:rFonts w:hint="eastAsia" w:ascii="宋体" w:hAnsi="宋体" w:cs="宋体"/>
                <w:color w:val="auto"/>
                <w:kern w:val="0"/>
                <w:szCs w:val="21"/>
                <w:highlight w:val="none"/>
              </w:rPr>
              <w:t>2</w:t>
            </w:r>
          </w:p>
        </w:tc>
      </w:tr>
      <w:tr w14:paraId="6962D6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3" w:hRule="atLeast"/>
        </w:trPr>
        <w:tc>
          <w:tcPr>
            <w:tcW w:w="941" w:type="pct"/>
            <w:vMerge w:val="continue"/>
            <w:noWrap/>
            <w:vAlign w:val="center"/>
          </w:tcPr>
          <w:p w14:paraId="1FCE8422">
            <w:pPr>
              <w:widowControl/>
              <w:jc w:val="center"/>
              <w:rPr>
                <w:rFonts w:ascii="宋体" w:hAnsi="宋体" w:cs="宋体"/>
                <w:color w:val="auto"/>
                <w:kern w:val="0"/>
                <w:szCs w:val="21"/>
                <w:highlight w:val="none"/>
              </w:rPr>
            </w:pPr>
          </w:p>
        </w:tc>
        <w:tc>
          <w:tcPr>
            <w:tcW w:w="3693" w:type="pct"/>
            <w:noWrap/>
            <w:vAlign w:val="center"/>
          </w:tcPr>
          <w:p w14:paraId="2CB8F35E">
            <w:pPr>
              <w:rPr>
                <w:rFonts w:ascii="宋体" w:hAnsi="宋体" w:cs="宋体"/>
                <w:color w:val="auto"/>
                <w:kern w:val="0"/>
                <w:szCs w:val="21"/>
                <w:highlight w:val="none"/>
              </w:rPr>
            </w:pPr>
            <w:r>
              <w:rPr>
                <w:rFonts w:hint="eastAsia" w:ascii="宋体" w:hAnsi="宋体" w:cs="宋体"/>
                <w:color w:val="auto"/>
                <w:kern w:val="0"/>
                <w:szCs w:val="21"/>
                <w:highlight w:val="none"/>
              </w:rPr>
              <w:t>7.消防设施设备按要求配备，定期检测、完好，有逃生指示灯、应急灯、逃生通道标识等；</w:t>
            </w:r>
          </w:p>
        </w:tc>
        <w:tc>
          <w:tcPr>
            <w:tcW w:w="365" w:type="pct"/>
            <w:noWrap/>
            <w:vAlign w:val="center"/>
          </w:tcPr>
          <w:p w14:paraId="77F0FA65">
            <w:pPr>
              <w:jc w:val="center"/>
              <w:rPr>
                <w:rFonts w:ascii="宋体" w:hAnsi="宋体" w:cs="宋体"/>
                <w:color w:val="auto"/>
                <w:kern w:val="0"/>
                <w:szCs w:val="21"/>
                <w:highlight w:val="none"/>
              </w:rPr>
            </w:pPr>
            <w:r>
              <w:rPr>
                <w:rFonts w:hint="eastAsia" w:ascii="宋体" w:hAnsi="宋体" w:cs="宋体"/>
                <w:color w:val="auto"/>
                <w:kern w:val="0"/>
                <w:szCs w:val="21"/>
                <w:highlight w:val="none"/>
              </w:rPr>
              <w:t>2</w:t>
            </w:r>
          </w:p>
        </w:tc>
      </w:tr>
      <w:tr w14:paraId="49E098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0" w:hRule="atLeast"/>
        </w:trPr>
        <w:tc>
          <w:tcPr>
            <w:tcW w:w="941" w:type="pct"/>
            <w:vMerge w:val="continue"/>
            <w:noWrap/>
            <w:vAlign w:val="center"/>
          </w:tcPr>
          <w:p w14:paraId="2DCD5F25">
            <w:pPr>
              <w:widowControl/>
              <w:jc w:val="center"/>
              <w:rPr>
                <w:rFonts w:ascii="宋体" w:hAnsi="宋体" w:cs="宋体"/>
                <w:color w:val="auto"/>
                <w:kern w:val="0"/>
                <w:szCs w:val="21"/>
                <w:highlight w:val="none"/>
              </w:rPr>
            </w:pPr>
          </w:p>
        </w:tc>
        <w:tc>
          <w:tcPr>
            <w:tcW w:w="3693" w:type="pct"/>
            <w:noWrap/>
            <w:vAlign w:val="center"/>
          </w:tcPr>
          <w:p w14:paraId="20B69F5C">
            <w:pPr>
              <w:rPr>
                <w:rFonts w:ascii="宋体" w:hAnsi="宋体" w:cs="宋体"/>
                <w:color w:val="auto"/>
                <w:kern w:val="0"/>
                <w:szCs w:val="21"/>
                <w:highlight w:val="none"/>
              </w:rPr>
            </w:pPr>
            <w:r>
              <w:rPr>
                <w:rFonts w:hint="eastAsia" w:ascii="宋体" w:hAnsi="宋体" w:cs="宋体"/>
                <w:color w:val="auto"/>
                <w:kern w:val="0"/>
                <w:szCs w:val="21"/>
                <w:highlight w:val="none"/>
              </w:rPr>
              <w:t>8.各类机械设备有相对应的操作规程并上墙，刀具上锁；</w:t>
            </w:r>
          </w:p>
        </w:tc>
        <w:tc>
          <w:tcPr>
            <w:tcW w:w="365" w:type="pct"/>
            <w:noWrap/>
            <w:vAlign w:val="center"/>
          </w:tcPr>
          <w:p w14:paraId="5F84D281">
            <w:pPr>
              <w:jc w:val="center"/>
              <w:rPr>
                <w:rFonts w:ascii="宋体" w:hAnsi="宋体" w:cs="宋体"/>
                <w:color w:val="auto"/>
                <w:kern w:val="0"/>
                <w:szCs w:val="21"/>
                <w:highlight w:val="none"/>
              </w:rPr>
            </w:pPr>
            <w:r>
              <w:rPr>
                <w:rFonts w:hint="eastAsia" w:ascii="宋体" w:hAnsi="宋体" w:cs="宋体"/>
                <w:color w:val="auto"/>
                <w:kern w:val="0"/>
                <w:szCs w:val="21"/>
                <w:highlight w:val="none"/>
              </w:rPr>
              <w:t>1</w:t>
            </w:r>
          </w:p>
        </w:tc>
      </w:tr>
      <w:tr w14:paraId="32AC5F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trPr>
        <w:tc>
          <w:tcPr>
            <w:tcW w:w="941" w:type="pct"/>
            <w:vMerge w:val="continue"/>
            <w:noWrap/>
            <w:vAlign w:val="center"/>
          </w:tcPr>
          <w:p w14:paraId="5F1C4375">
            <w:pPr>
              <w:widowControl/>
              <w:jc w:val="center"/>
              <w:rPr>
                <w:rFonts w:ascii="宋体" w:hAnsi="宋体" w:cs="宋体"/>
                <w:color w:val="auto"/>
                <w:kern w:val="0"/>
                <w:szCs w:val="21"/>
                <w:highlight w:val="none"/>
              </w:rPr>
            </w:pPr>
          </w:p>
        </w:tc>
        <w:tc>
          <w:tcPr>
            <w:tcW w:w="3693" w:type="pct"/>
            <w:noWrap/>
            <w:vAlign w:val="center"/>
          </w:tcPr>
          <w:p w14:paraId="6ACA6A20">
            <w:pPr>
              <w:rPr>
                <w:rFonts w:ascii="宋体" w:hAnsi="宋体" w:cs="宋体"/>
                <w:color w:val="auto"/>
                <w:kern w:val="0"/>
                <w:szCs w:val="21"/>
                <w:highlight w:val="none"/>
              </w:rPr>
            </w:pPr>
            <w:r>
              <w:rPr>
                <w:rFonts w:hint="eastAsia" w:ascii="宋体" w:hAnsi="宋体" w:cs="宋体"/>
                <w:color w:val="auto"/>
                <w:kern w:val="0"/>
                <w:szCs w:val="21"/>
                <w:highlight w:val="none"/>
              </w:rPr>
              <w:t>9.实施明厨亮灶。</w:t>
            </w:r>
          </w:p>
        </w:tc>
        <w:tc>
          <w:tcPr>
            <w:tcW w:w="365" w:type="pct"/>
            <w:noWrap/>
            <w:vAlign w:val="center"/>
          </w:tcPr>
          <w:p w14:paraId="5A9105FD">
            <w:pPr>
              <w:jc w:val="center"/>
              <w:rPr>
                <w:rFonts w:ascii="宋体" w:hAnsi="宋体" w:cs="宋体"/>
                <w:color w:val="auto"/>
                <w:kern w:val="0"/>
                <w:szCs w:val="21"/>
                <w:highlight w:val="none"/>
              </w:rPr>
            </w:pPr>
            <w:r>
              <w:rPr>
                <w:rFonts w:hint="eastAsia" w:ascii="宋体" w:hAnsi="宋体" w:cs="宋体"/>
                <w:color w:val="auto"/>
                <w:kern w:val="0"/>
                <w:szCs w:val="21"/>
                <w:highlight w:val="none"/>
              </w:rPr>
              <w:t>1</w:t>
            </w:r>
          </w:p>
        </w:tc>
      </w:tr>
      <w:tr w14:paraId="6E05E2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6" w:hRule="atLeast"/>
        </w:trPr>
        <w:tc>
          <w:tcPr>
            <w:tcW w:w="941" w:type="pct"/>
            <w:noWrap/>
            <w:vAlign w:val="center"/>
          </w:tcPr>
          <w:p w14:paraId="2C1EA152">
            <w:pPr>
              <w:widowControl/>
              <w:jc w:val="center"/>
              <w:rPr>
                <w:rFonts w:ascii="宋体" w:hAnsi="宋体" w:cs="宋体"/>
                <w:color w:val="auto"/>
                <w:kern w:val="0"/>
                <w:szCs w:val="21"/>
                <w:highlight w:val="none"/>
              </w:rPr>
            </w:pPr>
            <w:r>
              <w:rPr>
                <w:rFonts w:hint="eastAsia" w:ascii="宋体" w:hAnsi="宋体" w:cs="宋体"/>
                <w:color w:val="auto"/>
                <w:kern w:val="0"/>
                <w:szCs w:val="21"/>
                <w:highlight w:val="none"/>
              </w:rPr>
              <w:t>清洗消毒</w:t>
            </w:r>
          </w:p>
        </w:tc>
        <w:tc>
          <w:tcPr>
            <w:tcW w:w="3693" w:type="pct"/>
            <w:noWrap/>
            <w:vAlign w:val="center"/>
          </w:tcPr>
          <w:p w14:paraId="58FED3C4">
            <w:pPr>
              <w:widowControl/>
              <w:rPr>
                <w:rFonts w:ascii="宋体" w:hAnsi="宋体" w:cs="宋体"/>
                <w:color w:val="auto"/>
                <w:kern w:val="0"/>
                <w:szCs w:val="21"/>
                <w:highlight w:val="none"/>
              </w:rPr>
            </w:pPr>
            <w:r>
              <w:rPr>
                <w:rFonts w:hint="eastAsia" w:ascii="宋体" w:hAnsi="宋体" w:cs="宋体"/>
                <w:color w:val="auto"/>
                <w:kern w:val="0"/>
                <w:szCs w:val="21"/>
                <w:highlight w:val="none"/>
              </w:rPr>
              <w:t>1.各类消毒设施设备齐全（含紫外线灯），符合要求（2分）；</w:t>
            </w:r>
          </w:p>
          <w:p w14:paraId="3A175D6F">
            <w:pPr>
              <w:widowControl/>
              <w:rPr>
                <w:rFonts w:ascii="宋体" w:hAnsi="宋体" w:cs="宋体"/>
                <w:color w:val="auto"/>
                <w:kern w:val="0"/>
                <w:szCs w:val="21"/>
                <w:highlight w:val="none"/>
              </w:rPr>
            </w:pPr>
            <w:r>
              <w:rPr>
                <w:rFonts w:hint="eastAsia" w:ascii="宋体" w:hAnsi="宋体" w:cs="宋体"/>
                <w:color w:val="auto"/>
                <w:kern w:val="0"/>
                <w:szCs w:val="21"/>
                <w:highlight w:val="none"/>
              </w:rPr>
              <w:t>2.厨房及备餐间内容器、餐用工具、餐具等当餐清洗、消毒（2分）；</w:t>
            </w:r>
          </w:p>
          <w:p w14:paraId="11A4383D">
            <w:pPr>
              <w:widowControl/>
              <w:rPr>
                <w:rFonts w:ascii="宋体" w:hAnsi="宋体" w:cs="宋体"/>
                <w:color w:val="auto"/>
                <w:kern w:val="0"/>
                <w:szCs w:val="21"/>
                <w:highlight w:val="none"/>
              </w:rPr>
            </w:pPr>
            <w:r>
              <w:rPr>
                <w:rFonts w:hint="eastAsia" w:ascii="宋体" w:hAnsi="宋体" w:cs="宋体"/>
                <w:color w:val="auto"/>
                <w:kern w:val="0"/>
                <w:szCs w:val="21"/>
                <w:highlight w:val="none"/>
              </w:rPr>
              <w:t xml:space="preserve">3.各类消毒规范并有记录（2分）； </w:t>
            </w:r>
          </w:p>
        </w:tc>
        <w:tc>
          <w:tcPr>
            <w:tcW w:w="365" w:type="pct"/>
            <w:noWrap/>
            <w:vAlign w:val="center"/>
          </w:tcPr>
          <w:p w14:paraId="41038AEA">
            <w:pPr>
              <w:widowControl/>
              <w:jc w:val="center"/>
              <w:rPr>
                <w:rFonts w:ascii="宋体" w:hAnsi="宋体" w:cs="宋体"/>
                <w:color w:val="auto"/>
                <w:kern w:val="0"/>
                <w:szCs w:val="21"/>
                <w:highlight w:val="none"/>
              </w:rPr>
            </w:pPr>
            <w:r>
              <w:rPr>
                <w:rFonts w:hint="eastAsia" w:ascii="宋体" w:hAnsi="宋体" w:cs="宋体"/>
                <w:color w:val="auto"/>
                <w:kern w:val="0"/>
                <w:szCs w:val="21"/>
                <w:highlight w:val="none"/>
              </w:rPr>
              <w:t>6</w:t>
            </w:r>
          </w:p>
        </w:tc>
      </w:tr>
      <w:tr w14:paraId="3C631F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1" w:hRule="atLeast"/>
        </w:trPr>
        <w:tc>
          <w:tcPr>
            <w:tcW w:w="941" w:type="pct"/>
            <w:noWrap/>
            <w:vAlign w:val="center"/>
          </w:tcPr>
          <w:p w14:paraId="0539FFF8">
            <w:pPr>
              <w:widowControl/>
              <w:jc w:val="center"/>
              <w:rPr>
                <w:rFonts w:ascii="宋体" w:hAnsi="宋体" w:cs="宋体"/>
                <w:color w:val="auto"/>
                <w:kern w:val="0"/>
                <w:szCs w:val="21"/>
                <w:highlight w:val="none"/>
              </w:rPr>
            </w:pPr>
            <w:r>
              <w:rPr>
                <w:rFonts w:hint="eastAsia" w:ascii="宋体" w:hAnsi="宋体" w:cs="宋体"/>
                <w:color w:val="auto"/>
                <w:kern w:val="0"/>
                <w:szCs w:val="21"/>
                <w:highlight w:val="none"/>
              </w:rPr>
              <w:t>监督考核</w:t>
            </w:r>
          </w:p>
        </w:tc>
        <w:tc>
          <w:tcPr>
            <w:tcW w:w="3693" w:type="pct"/>
            <w:noWrap/>
            <w:vAlign w:val="center"/>
          </w:tcPr>
          <w:p w14:paraId="236A0926">
            <w:pPr>
              <w:widowControl/>
              <w:rPr>
                <w:rFonts w:ascii="宋体" w:hAnsi="宋体" w:cs="宋体"/>
                <w:color w:val="auto"/>
                <w:kern w:val="0"/>
                <w:szCs w:val="21"/>
                <w:highlight w:val="none"/>
              </w:rPr>
            </w:pPr>
            <w:r>
              <w:rPr>
                <w:rFonts w:hint="eastAsia" w:ascii="宋体" w:hAnsi="宋体" w:cs="宋体"/>
                <w:color w:val="auto"/>
                <w:kern w:val="0"/>
                <w:szCs w:val="21"/>
                <w:highlight w:val="none"/>
              </w:rPr>
              <w:t>监管部门日常监管考核（优秀得6分、良好得3分、合格得1分）</w:t>
            </w:r>
          </w:p>
        </w:tc>
        <w:tc>
          <w:tcPr>
            <w:tcW w:w="365" w:type="pct"/>
            <w:noWrap/>
            <w:vAlign w:val="center"/>
          </w:tcPr>
          <w:p w14:paraId="124090C0">
            <w:pPr>
              <w:widowControl/>
              <w:jc w:val="center"/>
              <w:rPr>
                <w:rFonts w:ascii="宋体" w:hAnsi="宋体" w:cs="宋体"/>
                <w:color w:val="auto"/>
                <w:kern w:val="0"/>
                <w:szCs w:val="21"/>
                <w:highlight w:val="none"/>
              </w:rPr>
            </w:pPr>
            <w:r>
              <w:rPr>
                <w:rFonts w:hint="eastAsia" w:ascii="宋体" w:hAnsi="宋体" w:cs="宋体"/>
                <w:color w:val="auto"/>
                <w:kern w:val="0"/>
                <w:szCs w:val="21"/>
                <w:highlight w:val="none"/>
              </w:rPr>
              <w:t>6</w:t>
            </w:r>
          </w:p>
        </w:tc>
      </w:tr>
      <w:tr w14:paraId="369254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1" w:hRule="atLeast"/>
        </w:trPr>
        <w:tc>
          <w:tcPr>
            <w:tcW w:w="941" w:type="pct"/>
            <w:noWrap/>
            <w:vAlign w:val="center"/>
          </w:tcPr>
          <w:p w14:paraId="0131E8E5">
            <w:pPr>
              <w:widowControl/>
              <w:jc w:val="center"/>
              <w:rPr>
                <w:rFonts w:ascii="宋体" w:hAnsi="宋体" w:cs="宋体"/>
                <w:color w:val="auto"/>
                <w:kern w:val="0"/>
                <w:szCs w:val="21"/>
                <w:highlight w:val="none"/>
              </w:rPr>
            </w:pPr>
            <w:r>
              <w:rPr>
                <w:rFonts w:hint="eastAsia" w:ascii="宋体" w:hAnsi="宋体" w:cs="宋体"/>
                <w:color w:val="auto"/>
                <w:kern w:val="0"/>
                <w:szCs w:val="21"/>
                <w:highlight w:val="none"/>
              </w:rPr>
              <w:t>满意度评价</w:t>
            </w:r>
          </w:p>
        </w:tc>
        <w:tc>
          <w:tcPr>
            <w:tcW w:w="3693" w:type="pct"/>
            <w:noWrap/>
            <w:vAlign w:val="center"/>
          </w:tcPr>
          <w:p w14:paraId="2DE25B60">
            <w:pPr>
              <w:widowControl/>
              <w:rPr>
                <w:rFonts w:ascii="宋体" w:hAnsi="宋体" w:cs="宋体"/>
                <w:color w:val="auto"/>
                <w:kern w:val="0"/>
                <w:szCs w:val="21"/>
                <w:highlight w:val="none"/>
              </w:rPr>
            </w:pPr>
            <w:r>
              <w:rPr>
                <w:rFonts w:hint="eastAsia" w:ascii="宋体" w:hAnsi="宋体" w:cs="宋体"/>
                <w:color w:val="auto"/>
                <w:kern w:val="0"/>
                <w:szCs w:val="21"/>
                <w:highlight w:val="none"/>
              </w:rPr>
              <w:t>食堂满意度评价（满意得4分、一般得1分）</w:t>
            </w:r>
          </w:p>
        </w:tc>
        <w:tc>
          <w:tcPr>
            <w:tcW w:w="365" w:type="pct"/>
            <w:noWrap/>
            <w:vAlign w:val="center"/>
          </w:tcPr>
          <w:p w14:paraId="1DCA3A4D">
            <w:pPr>
              <w:widowControl/>
              <w:jc w:val="center"/>
              <w:rPr>
                <w:rFonts w:ascii="宋体" w:hAnsi="宋体" w:cs="宋体"/>
                <w:color w:val="auto"/>
                <w:kern w:val="0"/>
                <w:szCs w:val="21"/>
                <w:highlight w:val="none"/>
              </w:rPr>
            </w:pPr>
            <w:r>
              <w:rPr>
                <w:rFonts w:hint="eastAsia" w:ascii="宋体" w:hAnsi="宋体" w:cs="宋体"/>
                <w:color w:val="auto"/>
                <w:kern w:val="0"/>
                <w:szCs w:val="21"/>
                <w:highlight w:val="none"/>
              </w:rPr>
              <w:t>4</w:t>
            </w:r>
          </w:p>
        </w:tc>
      </w:tr>
      <w:tr w14:paraId="19743D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6" w:hRule="atLeast"/>
        </w:trPr>
        <w:tc>
          <w:tcPr>
            <w:tcW w:w="941" w:type="pct"/>
            <w:noWrap/>
            <w:vAlign w:val="center"/>
          </w:tcPr>
          <w:p w14:paraId="48457AA4">
            <w:pPr>
              <w:widowControl/>
              <w:jc w:val="center"/>
              <w:rPr>
                <w:rFonts w:ascii="宋体" w:hAnsi="宋体" w:cs="宋体"/>
                <w:color w:val="auto"/>
                <w:kern w:val="0"/>
                <w:szCs w:val="21"/>
                <w:highlight w:val="none"/>
              </w:rPr>
            </w:pPr>
            <w:r>
              <w:rPr>
                <w:rFonts w:hint="eastAsia" w:ascii="宋体" w:hAnsi="宋体" w:cs="宋体"/>
                <w:color w:val="auto"/>
                <w:kern w:val="0"/>
                <w:szCs w:val="21"/>
                <w:highlight w:val="none"/>
              </w:rPr>
              <w:t>食品质量</w:t>
            </w:r>
          </w:p>
        </w:tc>
        <w:tc>
          <w:tcPr>
            <w:tcW w:w="3693" w:type="pct"/>
            <w:noWrap/>
            <w:vAlign w:val="center"/>
          </w:tcPr>
          <w:p w14:paraId="1956AEE9">
            <w:pPr>
              <w:widowControl/>
              <w:rPr>
                <w:rFonts w:ascii="宋体" w:hAnsi="宋体" w:cs="宋体"/>
                <w:color w:val="auto"/>
                <w:kern w:val="0"/>
                <w:szCs w:val="21"/>
                <w:highlight w:val="none"/>
              </w:rPr>
            </w:pPr>
            <w:r>
              <w:rPr>
                <w:rFonts w:hint="eastAsia" w:ascii="宋体" w:hAnsi="宋体" w:cs="宋体"/>
                <w:color w:val="auto"/>
                <w:kern w:val="0"/>
                <w:szCs w:val="21"/>
                <w:highlight w:val="none"/>
              </w:rPr>
              <w:t>1、食品烧熟煮透、质量新鲜，无过期、霉变、腐烂、异色异味等变质情况（3分），2、加工制作符合食品卫生要求（3分）</w:t>
            </w:r>
          </w:p>
        </w:tc>
        <w:tc>
          <w:tcPr>
            <w:tcW w:w="365" w:type="pct"/>
            <w:noWrap/>
            <w:vAlign w:val="center"/>
          </w:tcPr>
          <w:p w14:paraId="74A2DE4F">
            <w:pPr>
              <w:widowControl/>
              <w:jc w:val="center"/>
              <w:rPr>
                <w:rFonts w:ascii="宋体" w:hAnsi="宋体" w:cs="宋体"/>
                <w:color w:val="auto"/>
                <w:kern w:val="0"/>
                <w:szCs w:val="21"/>
                <w:highlight w:val="none"/>
              </w:rPr>
            </w:pPr>
            <w:r>
              <w:rPr>
                <w:rFonts w:hint="eastAsia" w:ascii="宋体" w:hAnsi="宋体" w:cs="宋体"/>
                <w:color w:val="auto"/>
                <w:kern w:val="0"/>
                <w:szCs w:val="21"/>
                <w:highlight w:val="none"/>
              </w:rPr>
              <w:t>6</w:t>
            </w:r>
          </w:p>
        </w:tc>
      </w:tr>
      <w:tr w14:paraId="41E4FF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trPr>
        <w:tc>
          <w:tcPr>
            <w:tcW w:w="941" w:type="pct"/>
            <w:noWrap/>
            <w:vAlign w:val="center"/>
          </w:tcPr>
          <w:p w14:paraId="196E394F">
            <w:pPr>
              <w:widowControl/>
              <w:jc w:val="center"/>
              <w:rPr>
                <w:rFonts w:ascii="宋体" w:hAnsi="宋体" w:cs="宋体"/>
                <w:color w:val="auto"/>
                <w:kern w:val="0"/>
                <w:szCs w:val="21"/>
                <w:highlight w:val="none"/>
              </w:rPr>
            </w:pPr>
            <w:r>
              <w:rPr>
                <w:rFonts w:hint="eastAsia" w:ascii="宋体" w:hAnsi="宋体" w:cs="宋体"/>
                <w:color w:val="auto"/>
                <w:kern w:val="0"/>
                <w:szCs w:val="21"/>
                <w:highlight w:val="none"/>
              </w:rPr>
              <w:t>台账记录</w:t>
            </w:r>
          </w:p>
        </w:tc>
        <w:tc>
          <w:tcPr>
            <w:tcW w:w="3693" w:type="pct"/>
            <w:noWrap/>
            <w:vAlign w:val="center"/>
          </w:tcPr>
          <w:p w14:paraId="3980915D">
            <w:pPr>
              <w:widowControl/>
              <w:rPr>
                <w:rFonts w:ascii="宋体" w:hAnsi="宋体" w:cs="宋体"/>
                <w:color w:val="auto"/>
                <w:kern w:val="0"/>
                <w:szCs w:val="21"/>
                <w:highlight w:val="none"/>
              </w:rPr>
            </w:pPr>
            <w:r>
              <w:rPr>
                <w:rFonts w:hint="eastAsia" w:ascii="宋体" w:hAnsi="宋体" w:cs="宋体"/>
                <w:color w:val="auto"/>
                <w:kern w:val="0"/>
                <w:szCs w:val="21"/>
                <w:highlight w:val="none"/>
              </w:rPr>
              <w:t>1.食堂各类制度和证照齐全（2分）；</w:t>
            </w:r>
          </w:p>
          <w:p w14:paraId="61CED324">
            <w:pPr>
              <w:widowControl/>
              <w:rPr>
                <w:rFonts w:ascii="宋体" w:hAnsi="宋体" w:cs="宋体"/>
                <w:color w:val="auto"/>
                <w:kern w:val="0"/>
                <w:szCs w:val="21"/>
                <w:highlight w:val="none"/>
              </w:rPr>
            </w:pPr>
            <w:r>
              <w:rPr>
                <w:rFonts w:hint="eastAsia" w:ascii="宋体" w:hAnsi="宋体" w:cs="宋体"/>
                <w:color w:val="auto"/>
                <w:kern w:val="0"/>
                <w:szCs w:val="21"/>
                <w:highlight w:val="none"/>
              </w:rPr>
              <w:t>2.食品添加剂落实“五专”管理（2分）；</w:t>
            </w:r>
          </w:p>
          <w:p w14:paraId="3667B71C">
            <w:pPr>
              <w:widowControl/>
              <w:rPr>
                <w:rFonts w:ascii="宋体" w:hAnsi="宋体" w:cs="宋体"/>
                <w:color w:val="auto"/>
                <w:kern w:val="0"/>
                <w:szCs w:val="21"/>
                <w:highlight w:val="none"/>
              </w:rPr>
            </w:pPr>
            <w:r>
              <w:rPr>
                <w:rFonts w:hint="eastAsia" w:ascii="宋体" w:hAnsi="宋体" w:cs="宋体"/>
                <w:color w:val="auto"/>
                <w:kern w:val="0"/>
                <w:szCs w:val="21"/>
                <w:highlight w:val="none"/>
              </w:rPr>
              <w:t>3.台账记录完整（2分）；</w:t>
            </w:r>
          </w:p>
          <w:p w14:paraId="73C0A037">
            <w:pPr>
              <w:widowControl/>
              <w:rPr>
                <w:rFonts w:ascii="宋体" w:hAnsi="宋体" w:cs="宋体"/>
                <w:color w:val="auto"/>
                <w:kern w:val="0"/>
                <w:szCs w:val="21"/>
                <w:highlight w:val="none"/>
              </w:rPr>
            </w:pPr>
            <w:r>
              <w:rPr>
                <w:rFonts w:hint="eastAsia" w:ascii="宋体" w:hAnsi="宋体" w:cs="宋体"/>
                <w:color w:val="auto"/>
                <w:kern w:val="0"/>
                <w:szCs w:val="21"/>
                <w:highlight w:val="none"/>
              </w:rPr>
              <w:t>4.有“六T”工作检查记录（2分）</w:t>
            </w:r>
          </w:p>
        </w:tc>
        <w:tc>
          <w:tcPr>
            <w:tcW w:w="365" w:type="pct"/>
            <w:noWrap/>
            <w:vAlign w:val="center"/>
          </w:tcPr>
          <w:p w14:paraId="48725B77">
            <w:pPr>
              <w:widowControl/>
              <w:jc w:val="center"/>
              <w:rPr>
                <w:rFonts w:ascii="宋体" w:hAnsi="宋体" w:cs="宋体"/>
                <w:color w:val="auto"/>
                <w:kern w:val="0"/>
                <w:szCs w:val="21"/>
                <w:highlight w:val="none"/>
              </w:rPr>
            </w:pPr>
            <w:r>
              <w:rPr>
                <w:rFonts w:hint="eastAsia" w:ascii="宋体" w:hAnsi="宋体" w:cs="宋体"/>
                <w:color w:val="auto"/>
                <w:kern w:val="0"/>
                <w:szCs w:val="21"/>
                <w:highlight w:val="none"/>
              </w:rPr>
              <w:t>8</w:t>
            </w:r>
          </w:p>
        </w:tc>
      </w:tr>
      <w:tr w14:paraId="7DD155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60" w:hRule="atLeast"/>
        </w:trPr>
        <w:tc>
          <w:tcPr>
            <w:tcW w:w="941" w:type="pct"/>
            <w:noWrap/>
            <w:vAlign w:val="center"/>
          </w:tcPr>
          <w:p w14:paraId="17E3642D">
            <w:pPr>
              <w:jc w:val="center"/>
              <w:rPr>
                <w:rFonts w:ascii="宋体" w:hAnsi="宋体" w:cs="宋体"/>
                <w:color w:val="auto"/>
                <w:kern w:val="0"/>
                <w:szCs w:val="21"/>
                <w:highlight w:val="none"/>
              </w:rPr>
            </w:pPr>
            <w:r>
              <w:rPr>
                <w:rFonts w:hint="eastAsia" w:ascii="宋体" w:hAnsi="宋体" w:cs="宋体"/>
                <w:color w:val="auto"/>
                <w:kern w:val="0"/>
                <w:szCs w:val="21"/>
                <w:highlight w:val="none"/>
              </w:rPr>
              <w:t>饭菜质量</w:t>
            </w:r>
          </w:p>
        </w:tc>
        <w:tc>
          <w:tcPr>
            <w:tcW w:w="3693" w:type="pct"/>
            <w:noWrap/>
            <w:vAlign w:val="center"/>
          </w:tcPr>
          <w:p w14:paraId="1F57E4F9">
            <w:pPr>
              <w:rPr>
                <w:rFonts w:ascii="宋体" w:hAnsi="宋体" w:cs="宋体"/>
                <w:color w:val="auto"/>
                <w:kern w:val="0"/>
                <w:szCs w:val="21"/>
                <w:highlight w:val="none"/>
              </w:rPr>
            </w:pPr>
            <w:r>
              <w:rPr>
                <w:rFonts w:hint="eastAsia" w:ascii="宋体" w:hAnsi="宋体" w:cs="宋体"/>
                <w:color w:val="auto"/>
                <w:kern w:val="0"/>
                <w:szCs w:val="21"/>
                <w:highlight w:val="none"/>
              </w:rPr>
              <w:t>烹任制作规范，米饭硬软合适，菜肴美味可口，品质好，菜肴色、香、味、形俱佳，不符合要求的酌情扣0.5－2分</w:t>
            </w:r>
          </w:p>
          <w:p w14:paraId="091A9E5A">
            <w:pPr>
              <w:rPr>
                <w:rFonts w:ascii="宋体" w:hAnsi="宋体" w:cs="宋体"/>
                <w:color w:val="auto"/>
                <w:kern w:val="0"/>
                <w:szCs w:val="21"/>
                <w:highlight w:val="none"/>
              </w:rPr>
            </w:pPr>
          </w:p>
        </w:tc>
        <w:tc>
          <w:tcPr>
            <w:tcW w:w="365" w:type="pct"/>
            <w:noWrap/>
            <w:vAlign w:val="center"/>
          </w:tcPr>
          <w:p w14:paraId="1C916BF0">
            <w:pPr>
              <w:jc w:val="center"/>
              <w:rPr>
                <w:rFonts w:ascii="宋体" w:hAnsi="宋体" w:cs="宋体"/>
                <w:color w:val="auto"/>
                <w:kern w:val="0"/>
                <w:szCs w:val="21"/>
                <w:highlight w:val="none"/>
              </w:rPr>
            </w:pPr>
            <w:r>
              <w:rPr>
                <w:rFonts w:hint="eastAsia" w:ascii="宋体" w:hAnsi="宋体" w:cs="宋体"/>
                <w:color w:val="auto"/>
                <w:kern w:val="0"/>
                <w:szCs w:val="21"/>
                <w:highlight w:val="none"/>
              </w:rPr>
              <w:t>10</w:t>
            </w:r>
          </w:p>
          <w:p w14:paraId="29638ACC">
            <w:pPr>
              <w:jc w:val="center"/>
              <w:rPr>
                <w:rFonts w:ascii="宋体" w:hAnsi="宋体" w:cs="宋体"/>
                <w:color w:val="auto"/>
                <w:kern w:val="0"/>
                <w:szCs w:val="21"/>
                <w:highlight w:val="none"/>
              </w:rPr>
            </w:pPr>
          </w:p>
        </w:tc>
      </w:tr>
    </w:tbl>
    <w:p w14:paraId="6A4EF899">
      <w:pPr>
        <w:pStyle w:val="15"/>
        <w:spacing w:line="240" w:lineRule="auto"/>
        <w:ind w:firstLine="0"/>
        <w:rPr>
          <w:rFonts w:ascii="仿宋" w:hAnsi="仿宋" w:eastAsia="仿宋" w:cs="Calibri"/>
          <w:color w:val="auto"/>
          <w:kern w:val="10"/>
          <w:sz w:val="32"/>
          <w:szCs w:val="32"/>
          <w:highlight w:val="none"/>
        </w:rPr>
      </w:pPr>
    </w:p>
    <w:p w14:paraId="4DF07E4E">
      <w:pPr>
        <w:pStyle w:val="15"/>
        <w:spacing w:line="360" w:lineRule="auto"/>
        <w:ind w:firstLine="0"/>
        <w:rPr>
          <w:rFonts w:ascii="宋体" w:hAnsi="宋体" w:cs="宋体"/>
          <w:b/>
          <w:bCs/>
          <w:color w:val="auto"/>
          <w:szCs w:val="24"/>
          <w:highlight w:val="none"/>
        </w:rPr>
      </w:pPr>
      <w:r>
        <w:rPr>
          <w:rFonts w:hint="eastAsia" w:ascii="宋体" w:hAnsi="宋体" w:cs="宋体"/>
          <w:b/>
          <w:bCs/>
          <w:color w:val="auto"/>
          <w:szCs w:val="24"/>
          <w:highlight w:val="none"/>
        </w:rPr>
        <w:t>6.整体要求</w:t>
      </w:r>
    </w:p>
    <w:p w14:paraId="2120A339">
      <w:pPr>
        <w:pStyle w:val="2"/>
        <w:spacing w:line="360" w:lineRule="auto"/>
        <w:ind w:firstLine="480" w:firstLineChars="200"/>
        <w:rPr>
          <w:rFonts w:hAnsi="宋体" w:cs="宋体"/>
          <w:color w:val="auto"/>
          <w:szCs w:val="24"/>
          <w:highlight w:val="none"/>
        </w:rPr>
      </w:pPr>
      <w:r>
        <w:rPr>
          <w:rFonts w:hint="eastAsia" w:hAnsi="宋体" w:cs="宋体"/>
          <w:color w:val="auto"/>
          <w:szCs w:val="24"/>
          <w:highlight w:val="none"/>
        </w:rPr>
        <w:t>6.1在《合同》签订后按《合同》中提供的拟录用人员花名册进行核实，核实过程中如发现</w:t>
      </w:r>
      <w:r>
        <w:rPr>
          <w:rFonts w:hint="eastAsia" w:hAnsi="宋体" w:cs="宋体"/>
          <w:color w:val="auto"/>
          <w:szCs w:val="24"/>
          <w:highlight w:val="none"/>
          <w:lang w:eastAsia="zh-CN"/>
        </w:rPr>
        <w:t>未经甲方同意，</w:t>
      </w:r>
      <w:r>
        <w:rPr>
          <w:rFonts w:hint="eastAsia" w:hAnsi="宋体" w:cs="宋体"/>
          <w:color w:val="auto"/>
          <w:szCs w:val="24"/>
          <w:highlight w:val="none"/>
        </w:rPr>
        <w:t>投标人花名册人员与现场实际服务人员不一致，采购人可终止合同，不予退还其履约保证金，成交供应商承担相应法律责任。应在岗的服务人员，脱岗或缺勤按200元/人·天罚款；未经招标人同意私自更换服务人员的，罚款2000元/人次；</w:t>
      </w:r>
      <w:r>
        <w:rPr>
          <w:rFonts w:hint="eastAsia"/>
          <w:color w:val="auto"/>
          <w:szCs w:val="24"/>
          <w:highlight w:val="none"/>
        </w:rPr>
        <w:t>如采购人认为服务人员不适应岗位要求或存在其他影响工作的，可要求供应商进行调换。如因供应商原因对服务人员进行调换，应当经采购人同意，更换比例不得超过本项目服务人员总数的20%。本项目服务人员不得在其他项目兼职。</w:t>
      </w:r>
    </w:p>
    <w:p w14:paraId="4ACBE1DF">
      <w:pPr>
        <w:snapToGrid w:val="0"/>
        <w:spacing w:line="360" w:lineRule="auto"/>
        <w:ind w:firstLine="480" w:firstLineChars="200"/>
        <w:rPr>
          <w:rFonts w:ascii="宋体" w:hAnsi="宋体" w:cs="宋体"/>
          <w:color w:val="auto"/>
          <w:szCs w:val="24"/>
          <w:highlight w:val="none"/>
        </w:rPr>
      </w:pPr>
      <w:r>
        <w:rPr>
          <w:rFonts w:hint="eastAsia" w:ascii="宋体" w:hAnsi="宋体" w:cs="宋体"/>
          <w:color w:val="auto"/>
          <w:szCs w:val="24"/>
          <w:highlight w:val="none"/>
        </w:rPr>
        <w:t>6.2所录用人员</w:t>
      </w:r>
      <w:r>
        <w:rPr>
          <w:rFonts w:hint="eastAsia"/>
          <w:color w:val="auto"/>
          <w:szCs w:val="24"/>
          <w:highlight w:val="none"/>
        </w:rPr>
        <w:t>的年龄、工作经验及资格条件应当与所在岗位能力要求相匹配，到岗前应当经过必要的岗前培训以达到岗位能力要求，国家、行业规定应当取得职业资格证书或特种作业证书的，应当按规定持证上岗。</w:t>
      </w:r>
      <w:r>
        <w:rPr>
          <w:rFonts w:hint="eastAsia" w:ascii="宋体" w:hAnsi="宋体" w:cs="宋体"/>
          <w:color w:val="auto"/>
          <w:szCs w:val="24"/>
          <w:highlight w:val="none"/>
        </w:rPr>
        <w:t>必须符合国家相关的法律法规的要求（包括国家劳动法和地方相关管理规定），必须服从需求单位的行政管理。不遵守安全制度及规定，使用大功率电器、厨房设备等，造成安全隐患，处罚1000元/次；</w:t>
      </w:r>
    </w:p>
    <w:p w14:paraId="59DDA2E7">
      <w:pPr>
        <w:pStyle w:val="15"/>
        <w:spacing w:line="360" w:lineRule="auto"/>
        <w:ind w:firstLine="480" w:firstLineChars="200"/>
        <w:rPr>
          <w:rFonts w:ascii="宋体" w:hAnsi="宋体" w:cs="宋体"/>
          <w:color w:val="auto"/>
          <w:szCs w:val="24"/>
          <w:highlight w:val="none"/>
        </w:rPr>
      </w:pPr>
      <w:r>
        <w:rPr>
          <w:rFonts w:hint="eastAsia" w:ascii="宋体" w:hAnsi="宋体" w:cs="宋体"/>
          <w:color w:val="auto"/>
          <w:szCs w:val="24"/>
          <w:highlight w:val="none"/>
        </w:rPr>
        <w:t>6.3拟聘用人员须经采购人审查并备案，审查内容包括：所有服务人员身份证、健康证、职业资格证（仅对需要提供职业资格的人员）、参保证明等，未经政审、体检和岗前培训合格的人员不得聘用。中标单位应确保其派遣人员相对固定、不得无故变更，如确实需要调整，必须书面申请征得采购人同意，中标单位项目经理每日必须到达现场检查各类服务工作人员的工作情况等。</w:t>
      </w:r>
    </w:p>
    <w:p w14:paraId="3917B47D">
      <w:pPr>
        <w:pStyle w:val="15"/>
        <w:spacing w:line="360" w:lineRule="auto"/>
        <w:ind w:firstLine="480" w:firstLineChars="200"/>
        <w:rPr>
          <w:rFonts w:ascii="宋体" w:hAnsi="宋体" w:cs="宋体"/>
          <w:color w:val="auto"/>
          <w:szCs w:val="24"/>
          <w:highlight w:val="none"/>
        </w:rPr>
      </w:pPr>
      <w:r>
        <w:rPr>
          <w:rFonts w:hint="eastAsia" w:ascii="宋体" w:hAnsi="宋体" w:cs="宋体"/>
          <w:color w:val="auto"/>
          <w:szCs w:val="24"/>
          <w:highlight w:val="none"/>
        </w:rPr>
        <w:t>6.4服务方要严格按质量、标准、要求提供保障服务，</w:t>
      </w:r>
      <w:r>
        <w:rPr>
          <w:rFonts w:hint="eastAsia"/>
          <w:color w:val="auto"/>
          <w:szCs w:val="24"/>
          <w:highlight w:val="none"/>
        </w:rPr>
        <w:t>每季度至少开展1次岗位技能、职业素质、服务知识、安全保卫、保密、绿色节能环保等教育培训，</w:t>
      </w:r>
      <w:r>
        <w:rPr>
          <w:rFonts w:hint="eastAsia" w:ascii="宋体" w:hAnsi="宋体" w:cs="宋体"/>
          <w:color w:val="auto"/>
          <w:szCs w:val="24"/>
          <w:highlight w:val="none"/>
        </w:rPr>
        <w:t>需求单位指定专门人员对服务工作数量、质量进行不定期的检查、考核，不符合要求时，要立即整改。</w:t>
      </w:r>
    </w:p>
    <w:p w14:paraId="01F04170">
      <w:pPr>
        <w:pStyle w:val="15"/>
        <w:spacing w:line="360" w:lineRule="auto"/>
        <w:ind w:firstLine="480" w:firstLineChars="200"/>
        <w:rPr>
          <w:rFonts w:ascii="宋体" w:hAnsi="宋体" w:cs="宋体"/>
          <w:color w:val="auto"/>
          <w:szCs w:val="24"/>
          <w:highlight w:val="none"/>
        </w:rPr>
      </w:pPr>
      <w:r>
        <w:rPr>
          <w:rFonts w:hint="eastAsia" w:ascii="宋体" w:hAnsi="宋体" w:cs="宋体"/>
          <w:color w:val="auto"/>
          <w:szCs w:val="24"/>
          <w:highlight w:val="none"/>
        </w:rPr>
        <w:t>6.5服务方所聘用在需求单位工作的员工应无条件服从需求单位管理部门的管理和监督。</w:t>
      </w:r>
    </w:p>
    <w:p w14:paraId="6C04E963">
      <w:pPr>
        <w:pStyle w:val="15"/>
        <w:spacing w:line="360" w:lineRule="auto"/>
        <w:ind w:firstLine="480" w:firstLineChars="200"/>
        <w:rPr>
          <w:rFonts w:ascii="宋体" w:hAnsi="宋体" w:cs="宋体"/>
          <w:color w:val="auto"/>
          <w:szCs w:val="24"/>
          <w:highlight w:val="none"/>
        </w:rPr>
      </w:pPr>
      <w:r>
        <w:rPr>
          <w:rFonts w:hint="eastAsia" w:ascii="宋体" w:hAnsi="宋体" w:cs="宋体"/>
          <w:color w:val="auto"/>
          <w:szCs w:val="24"/>
          <w:highlight w:val="none"/>
        </w:rPr>
        <w:t>6.6成交供应商需与旗下员工签订劳动合同，必须为员工缴纳保险，意外事故、伤亡及其他事项，均由公司自行负责，采购人概不负责。</w:t>
      </w:r>
    </w:p>
    <w:p w14:paraId="4D48FDE5">
      <w:pPr>
        <w:pStyle w:val="15"/>
        <w:spacing w:line="360" w:lineRule="auto"/>
        <w:ind w:firstLine="480" w:firstLineChars="200"/>
        <w:rPr>
          <w:rFonts w:ascii="宋体" w:hAnsi="宋体" w:cs="宋体"/>
          <w:color w:val="auto"/>
          <w:szCs w:val="24"/>
          <w:highlight w:val="none"/>
        </w:rPr>
      </w:pPr>
      <w:r>
        <w:rPr>
          <w:rFonts w:hint="eastAsia" w:ascii="宋体" w:hAnsi="宋体" w:cs="宋体"/>
          <w:color w:val="auto"/>
          <w:szCs w:val="24"/>
          <w:highlight w:val="none"/>
        </w:rPr>
        <w:t>6.7遇特殊情况，需求单位有权要求服务公司完成突击性、临时性保障工作。</w:t>
      </w:r>
    </w:p>
    <w:p w14:paraId="6517246C">
      <w:pPr>
        <w:pStyle w:val="15"/>
        <w:spacing w:line="360" w:lineRule="auto"/>
        <w:ind w:firstLine="480" w:firstLineChars="200"/>
        <w:rPr>
          <w:rFonts w:ascii="宋体" w:hAnsi="宋体" w:cs="宋体"/>
          <w:color w:val="auto"/>
          <w:szCs w:val="24"/>
          <w:highlight w:val="none"/>
        </w:rPr>
      </w:pPr>
      <w:r>
        <w:rPr>
          <w:rFonts w:hint="eastAsia" w:ascii="宋体" w:hAnsi="宋体" w:cs="宋体"/>
          <w:color w:val="auto"/>
          <w:szCs w:val="24"/>
          <w:highlight w:val="none"/>
        </w:rPr>
        <w:t>6.8乙方应制定员工手册，实行员工考勤制度(建议实行电子刷卡)、细化赏罚制度，明确赏罚标准。</w:t>
      </w:r>
    </w:p>
    <w:p w14:paraId="47A00EFE">
      <w:pPr>
        <w:pStyle w:val="15"/>
        <w:spacing w:line="360" w:lineRule="auto"/>
        <w:ind w:firstLine="480" w:firstLineChars="200"/>
        <w:rPr>
          <w:rFonts w:ascii="宋体" w:hAnsi="宋体" w:cs="宋体"/>
          <w:color w:val="auto"/>
          <w:szCs w:val="24"/>
          <w:highlight w:val="none"/>
        </w:rPr>
      </w:pPr>
      <w:r>
        <w:rPr>
          <w:rFonts w:hint="eastAsia" w:ascii="宋体" w:hAnsi="宋体" w:cs="宋体"/>
          <w:color w:val="auto"/>
          <w:szCs w:val="24"/>
          <w:highlight w:val="none"/>
        </w:rPr>
        <w:t>6.9各类服务人员上班期间必须着装分类统一，佩戴标识。仪容整洁、姿态端正、举止文明。未按要求落实的，处罚50元/次。</w:t>
      </w:r>
    </w:p>
    <w:p w14:paraId="560BB41B">
      <w:pPr>
        <w:pStyle w:val="15"/>
        <w:spacing w:line="360" w:lineRule="auto"/>
        <w:ind w:left="480" w:leftChars="200" w:firstLine="0" w:firstLineChars="0"/>
        <w:rPr>
          <w:rFonts w:ascii="宋体" w:hAnsi="宋体" w:cs="宋体"/>
          <w:color w:val="auto"/>
          <w:szCs w:val="24"/>
          <w:highlight w:val="none"/>
        </w:rPr>
      </w:pPr>
      <w:r>
        <w:rPr>
          <w:rFonts w:hint="eastAsia" w:ascii="宋体" w:hAnsi="宋体" w:cs="宋体"/>
          <w:color w:val="auto"/>
          <w:szCs w:val="24"/>
          <w:highlight w:val="none"/>
        </w:rPr>
        <w:t>6.10检查记录和整改时限反馈中标人。定期对相应内容的检查结果进行考核。</w:t>
      </w:r>
    </w:p>
    <w:p w14:paraId="0197F97D">
      <w:pPr>
        <w:pStyle w:val="15"/>
        <w:spacing w:line="360" w:lineRule="auto"/>
        <w:ind w:left="480" w:leftChars="200" w:firstLine="0" w:firstLineChars="0"/>
        <w:rPr>
          <w:rFonts w:ascii="宋体" w:hAnsi="宋体" w:cs="宋体"/>
          <w:color w:val="auto"/>
          <w:szCs w:val="24"/>
          <w:highlight w:val="none"/>
        </w:rPr>
      </w:pPr>
      <w:r>
        <w:rPr>
          <w:rFonts w:hint="eastAsia" w:ascii="宋体" w:hAnsi="宋体" w:cs="宋体"/>
          <w:color w:val="auto"/>
          <w:szCs w:val="24"/>
          <w:highlight w:val="none"/>
        </w:rPr>
        <w:t>6.11投标人为服务人员缴纳各种社会保险费。如由此引起的一切纠纷由投标人自行负责。投标人每年需提交所有服务人员的体检报告，确保服务人员身体健康，无传染病。</w:t>
      </w:r>
    </w:p>
    <w:p w14:paraId="3A416BBA">
      <w:pPr>
        <w:pStyle w:val="15"/>
        <w:spacing w:line="360" w:lineRule="auto"/>
        <w:ind w:firstLine="480" w:firstLineChars="200"/>
        <w:rPr>
          <w:rFonts w:ascii="宋体" w:hAnsi="宋体" w:cs="宋体"/>
          <w:color w:val="auto"/>
          <w:szCs w:val="24"/>
          <w:highlight w:val="none"/>
        </w:rPr>
        <w:sectPr>
          <w:headerReference r:id="rId17" w:type="default"/>
          <w:footerReference r:id="rId18" w:type="default"/>
          <w:pgSz w:w="11906" w:h="16838"/>
          <w:pgMar w:top="1440" w:right="1440" w:bottom="1440" w:left="1440" w:header="851" w:footer="992" w:gutter="0"/>
          <w:pgNumType w:fmt="decimal"/>
          <w:cols w:space="720" w:num="1"/>
          <w:docGrid w:type="lines" w:linePitch="312" w:charSpace="0"/>
        </w:sectPr>
      </w:pPr>
      <w:r>
        <w:rPr>
          <w:rFonts w:hint="eastAsia" w:ascii="宋体" w:hAnsi="宋体" w:cs="宋体"/>
          <w:color w:val="auto"/>
          <w:szCs w:val="24"/>
          <w:highlight w:val="none"/>
        </w:rPr>
        <w:t>6.12各类服务人员进驻时间（具体进驻时间）由需求单位另行书面通知，进驻后及时配合需求单位的有关物业服务事宜。</w:t>
      </w:r>
    </w:p>
    <w:p w14:paraId="69D536A3">
      <w:pPr>
        <w:pStyle w:val="15"/>
        <w:spacing w:line="240" w:lineRule="auto"/>
        <w:ind w:firstLine="0"/>
        <w:rPr>
          <w:rFonts w:ascii="仿宋_GB2312" w:hAnsi="仿宋_GB2312" w:eastAsia="仿宋_GB2312" w:cs="仿宋_GB2312"/>
          <w:b/>
          <w:bCs/>
          <w:color w:val="auto"/>
          <w:sz w:val="32"/>
          <w:szCs w:val="32"/>
          <w:highlight w:val="none"/>
        </w:rPr>
      </w:pPr>
    </w:p>
    <w:p w14:paraId="0D62733B">
      <w:pPr>
        <w:pStyle w:val="15"/>
        <w:spacing w:line="240" w:lineRule="auto"/>
        <w:ind w:firstLine="0"/>
        <w:rPr>
          <w:rFonts w:ascii="宋体" w:hAnsi="宋体" w:cs="宋体"/>
          <w:b/>
          <w:bCs/>
          <w:color w:val="auto"/>
          <w:sz w:val="28"/>
          <w:szCs w:val="28"/>
          <w:highlight w:val="none"/>
        </w:rPr>
        <w:sectPr>
          <w:pgSz w:w="11906" w:h="16838"/>
          <w:pgMar w:top="1440" w:right="1440" w:bottom="1440" w:left="1440" w:header="851" w:footer="992" w:gutter="0"/>
          <w:pgNumType w:fmt="decimal"/>
          <w:cols w:space="720" w:num="1"/>
          <w:docGrid w:type="lines" w:linePitch="312" w:charSpace="0"/>
        </w:sectPr>
      </w:pPr>
      <w:r>
        <w:rPr>
          <w:rFonts w:hint="eastAsia" w:ascii="宋体" w:hAnsi="宋体" w:cs="宋体"/>
          <w:b/>
          <w:bCs/>
          <w:color w:val="auto"/>
          <w:sz w:val="28"/>
          <w:szCs w:val="28"/>
          <w:highlight w:val="none"/>
        </w:rPr>
        <w:t>注：以上服务要求为基本要求，供应商必须完全满足或优于以上服务要求，否则视为无效响应。</w:t>
      </w:r>
    </w:p>
    <w:p w14:paraId="376A4E8A">
      <w:pPr>
        <w:rPr>
          <w:rFonts w:cs="宋体"/>
          <w:b/>
          <w:bCs/>
          <w:color w:val="auto"/>
          <w:sz w:val="30"/>
          <w:szCs w:val="30"/>
          <w:highlight w:val="none"/>
        </w:rPr>
      </w:pPr>
      <w:r>
        <w:rPr>
          <w:rFonts w:hint="eastAsia" w:cs="宋体"/>
          <w:b/>
          <w:bCs/>
          <w:color w:val="auto"/>
          <w:sz w:val="30"/>
          <w:szCs w:val="30"/>
          <w:highlight w:val="none"/>
        </w:rPr>
        <w:t>三、商务</w:t>
      </w:r>
      <w:r>
        <w:rPr>
          <w:rFonts w:hint="eastAsia" w:cs="宋体"/>
          <w:b/>
          <w:bCs/>
          <w:color w:val="auto"/>
          <w:sz w:val="30"/>
          <w:szCs w:val="30"/>
          <w:highlight w:val="none"/>
          <w:lang w:val="en-US" w:eastAsia="zh-CN"/>
        </w:rPr>
        <w:t>条款</w:t>
      </w:r>
    </w:p>
    <w:p w14:paraId="7660B88E">
      <w:pPr>
        <w:widowControl/>
        <w:spacing w:line="240" w:lineRule="auto"/>
        <w:textAlignment w:val="center"/>
        <w:rPr>
          <w:rFonts w:ascii="宋体" w:hAnsi="宋体" w:cs="宋体"/>
          <w:color w:val="auto"/>
          <w:highlight w:val="none"/>
        </w:rPr>
      </w:pPr>
    </w:p>
    <w:p w14:paraId="01832AA8">
      <w:pPr>
        <w:pStyle w:val="15"/>
        <w:spacing w:line="360" w:lineRule="auto"/>
        <w:ind w:firstLine="482" w:firstLineChars="200"/>
        <w:rPr>
          <w:rFonts w:hint="eastAsia" w:ascii="宋体" w:hAnsi="宋体" w:cs="宋体"/>
          <w:bCs/>
          <w:color w:val="auto"/>
          <w:szCs w:val="24"/>
          <w:highlight w:val="none"/>
        </w:rPr>
      </w:pPr>
      <w:bookmarkStart w:id="37" w:name="_Toc12781"/>
      <w:r>
        <w:rPr>
          <w:rFonts w:hint="eastAsia" w:ascii="宋体" w:hAnsi="宋体" w:cs="宋体"/>
          <w:b/>
          <w:color w:val="auto"/>
          <w:szCs w:val="24"/>
          <w:highlight w:val="none"/>
          <w:lang w:val="en-US" w:eastAsia="zh-CN"/>
        </w:rPr>
        <w:t>1.</w:t>
      </w:r>
      <w:r>
        <w:rPr>
          <w:rFonts w:hint="eastAsia" w:ascii="宋体" w:hAnsi="宋体" w:cs="宋体"/>
          <w:b/>
          <w:color w:val="auto"/>
          <w:szCs w:val="24"/>
          <w:highlight w:val="none"/>
        </w:rPr>
        <w:t>履约保证金：</w:t>
      </w:r>
      <w:r>
        <w:rPr>
          <w:rFonts w:hint="eastAsia" w:ascii="宋体" w:hAnsi="宋体" w:cs="宋体"/>
          <w:bCs/>
          <w:color w:val="auto"/>
          <w:szCs w:val="24"/>
          <w:highlight w:val="none"/>
        </w:rPr>
        <w:t>中标人应在收到中标通知书后，且与采购人签订采购合同后10个工作日内向采购人支付中标金额</w:t>
      </w:r>
      <w:r>
        <w:rPr>
          <w:rFonts w:hint="eastAsia" w:ascii="宋体" w:hAnsi="宋体" w:cs="宋体"/>
          <w:bCs/>
          <w:color w:val="auto"/>
          <w:szCs w:val="24"/>
          <w:highlight w:val="none"/>
          <w:lang w:val="en-US" w:eastAsia="zh-CN"/>
        </w:rPr>
        <w:t>10</w:t>
      </w:r>
      <w:r>
        <w:rPr>
          <w:rFonts w:hint="eastAsia" w:ascii="宋体" w:hAnsi="宋体" w:cs="宋体"/>
          <w:bCs/>
          <w:color w:val="auto"/>
          <w:szCs w:val="24"/>
          <w:highlight w:val="none"/>
        </w:rPr>
        <w:t>%</w:t>
      </w:r>
      <w:r>
        <w:rPr>
          <w:rFonts w:hint="eastAsia" w:ascii="宋体" w:hAnsi="宋体" w:eastAsia="宋体" w:cs="宋体"/>
          <w:b w:val="0"/>
          <w:bCs/>
          <w:color w:val="auto"/>
          <w:kern w:val="2"/>
          <w:sz w:val="24"/>
          <w:szCs w:val="24"/>
          <w:highlight w:val="none"/>
        </w:rPr>
        <w:t>作为履约保证金或履约担保（保险、支票、汇票、本票、网上银行支付或者金融机构、担保机构出具的保函、保险公司出具的保证保险等非现金形式交纳，如采用转账需缴纳至</w:t>
      </w:r>
      <w:r>
        <w:rPr>
          <w:rFonts w:hint="eastAsia" w:ascii="宋体" w:hAnsi="宋体" w:cs="宋体"/>
          <w:b w:val="0"/>
          <w:bCs/>
          <w:color w:val="auto"/>
          <w:kern w:val="2"/>
          <w:sz w:val="24"/>
          <w:szCs w:val="24"/>
          <w:highlight w:val="none"/>
          <w:lang w:eastAsia="zh-CN"/>
        </w:rPr>
        <w:t>采购人</w:t>
      </w:r>
      <w:r>
        <w:rPr>
          <w:rFonts w:hint="eastAsia" w:ascii="宋体" w:hAnsi="宋体" w:eastAsia="宋体" w:cs="宋体"/>
          <w:b w:val="0"/>
          <w:bCs/>
          <w:color w:val="auto"/>
          <w:kern w:val="2"/>
          <w:sz w:val="24"/>
          <w:szCs w:val="24"/>
          <w:highlight w:val="none"/>
        </w:rPr>
        <w:t>指定账户；如采用银行保函，须为不可撤销的、无条件先行赔付保函，保函有效期12个月）。</w:t>
      </w:r>
      <w:r>
        <w:rPr>
          <w:rFonts w:hint="eastAsia" w:ascii="宋体" w:hAnsi="宋体" w:cs="宋体"/>
          <w:bCs/>
          <w:color w:val="auto"/>
          <w:szCs w:val="24"/>
          <w:highlight w:val="none"/>
        </w:rPr>
        <w:t>服务期满后且无违约问题后10个工作日内一次性无息返还。</w:t>
      </w:r>
    </w:p>
    <w:p w14:paraId="337F7B0A">
      <w:pPr>
        <w:pStyle w:val="15"/>
        <w:spacing w:line="360" w:lineRule="auto"/>
        <w:rPr>
          <w:rFonts w:hint="eastAsia" w:ascii="宋体" w:hAnsi="宋体" w:eastAsia="宋体" w:cs="宋体"/>
          <w:bCs/>
          <w:color w:val="auto"/>
          <w:kern w:val="2"/>
          <w:sz w:val="24"/>
          <w:szCs w:val="24"/>
          <w:highlight w:val="none"/>
        </w:rPr>
      </w:pPr>
      <w:r>
        <w:rPr>
          <w:rFonts w:hint="eastAsia" w:ascii="宋体" w:hAnsi="宋体" w:eastAsia="宋体" w:cs="宋体"/>
          <w:b/>
          <w:bCs w:val="0"/>
          <w:color w:val="auto"/>
          <w:kern w:val="2"/>
          <w:sz w:val="24"/>
          <w:szCs w:val="24"/>
          <w:highlight w:val="none"/>
        </w:rPr>
        <w:t>2</w:t>
      </w:r>
      <w:r>
        <w:rPr>
          <w:rFonts w:hint="eastAsia" w:ascii="宋体" w:hAnsi="宋体" w:cs="宋体"/>
          <w:b/>
          <w:bCs w:val="0"/>
          <w:color w:val="auto"/>
          <w:kern w:val="2"/>
          <w:sz w:val="24"/>
          <w:szCs w:val="24"/>
          <w:highlight w:val="none"/>
          <w:lang w:eastAsia="zh-CN"/>
        </w:rPr>
        <w:t>.</w:t>
      </w:r>
      <w:r>
        <w:rPr>
          <w:rFonts w:hint="eastAsia" w:ascii="宋体" w:hAnsi="宋体" w:eastAsia="宋体" w:cs="宋体"/>
          <w:b/>
          <w:bCs w:val="0"/>
          <w:color w:val="auto"/>
          <w:spacing w:val="0"/>
          <w:kern w:val="2"/>
          <w:sz w:val="24"/>
          <w:szCs w:val="24"/>
          <w:highlight w:val="none"/>
        </w:rPr>
        <w:t>付款方式：</w:t>
      </w:r>
      <w:r>
        <w:rPr>
          <w:rFonts w:hint="eastAsia" w:ascii="宋体" w:hAnsi="宋体" w:eastAsia="宋体" w:cs="宋体"/>
          <w:bCs/>
          <w:color w:val="auto"/>
          <w:spacing w:val="0"/>
          <w:kern w:val="2"/>
          <w:sz w:val="24"/>
          <w:szCs w:val="24"/>
          <w:highlight w:val="none"/>
          <w:lang w:eastAsia="zh-CN"/>
        </w:rPr>
        <w:t>合同生效且</w:t>
      </w:r>
      <w:r>
        <w:rPr>
          <w:rFonts w:hint="eastAsia" w:ascii="宋体" w:hAnsi="宋体" w:cs="宋体"/>
          <w:bCs/>
          <w:color w:val="auto"/>
          <w:spacing w:val="0"/>
          <w:kern w:val="2"/>
          <w:sz w:val="24"/>
          <w:szCs w:val="24"/>
          <w:highlight w:val="none"/>
          <w:lang w:eastAsia="zh-CN"/>
        </w:rPr>
        <w:t>中标人</w:t>
      </w:r>
      <w:r>
        <w:rPr>
          <w:rFonts w:hint="eastAsia" w:ascii="宋体" w:hAnsi="宋体" w:eastAsia="宋体" w:cs="宋体"/>
          <w:bCs/>
          <w:color w:val="auto"/>
          <w:spacing w:val="0"/>
          <w:kern w:val="2"/>
          <w:sz w:val="24"/>
          <w:szCs w:val="24"/>
          <w:highlight w:val="none"/>
          <w:lang w:eastAsia="zh-CN"/>
        </w:rPr>
        <w:t>进场履行管理义务后，次季度</w:t>
      </w:r>
      <w:r>
        <w:rPr>
          <w:rFonts w:hint="eastAsia" w:ascii="宋体" w:hAnsi="宋体" w:eastAsia="宋体" w:cs="宋体"/>
          <w:bCs/>
          <w:color w:val="auto"/>
          <w:spacing w:val="0"/>
          <w:kern w:val="2"/>
          <w:sz w:val="24"/>
          <w:szCs w:val="24"/>
          <w:highlight w:val="none"/>
          <w:lang w:val="en-US" w:eastAsia="zh-CN"/>
        </w:rPr>
        <w:t>15日前</w:t>
      </w:r>
      <w:r>
        <w:rPr>
          <w:rFonts w:hint="eastAsia" w:ascii="宋体" w:hAnsi="宋体" w:cs="宋体"/>
          <w:bCs/>
          <w:color w:val="auto"/>
          <w:spacing w:val="0"/>
          <w:kern w:val="2"/>
          <w:sz w:val="24"/>
          <w:szCs w:val="24"/>
          <w:highlight w:val="none"/>
          <w:lang w:val="en-US" w:eastAsia="zh-CN"/>
        </w:rPr>
        <w:t>甲方应</w:t>
      </w:r>
      <w:r>
        <w:rPr>
          <w:rFonts w:hint="eastAsia" w:ascii="宋体" w:hAnsi="宋体" w:eastAsia="宋体" w:cs="宋体"/>
          <w:bCs/>
          <w:color w:val="auto"/>
          <w:spacing w:val="0"/>
          <w:kern w:val="2"/>
          <w:sz w:val="24"/>
          <w:szCs w:val="24"/>
          <w:highlight w:val="none"/>
          <w:lang w:val="en-US" w:eastAsia="zh-CN"/>
        </w:rPr>
        <w:t>向</w:t>
      </w:r>
      <w:r>
        <w:rPr>
          <w:rFonts w:hint="eastAsia" w:ascii="宋体" w:hAnsi="宋体" w:cs="宋体"/>
          <w:bCs/>
          <w:color w:val="auto"/>
          <w:spacing w:val="0"/>
          <w:kern w:val="2"/>
          <w:sz w:val="24"/>
          <w:szCs w:val="24"/>
          <w:highlight w:val="none"/>
          <w:lang w:val="en-US" w:eastAsia="zh-CN"/>
        </w:rPr>
        <w:t>中标人</w:t>
      </w:r>
      <w:r>
        <w:rPr>
          <w:rFonts w:hint="eastAsia" w:ascii="宋体" w:hAnsi="宋体" w:eastAsia="宋体" w:cs="宋体"/>
          <w:bCs/>
          <w:color w:val="auto"/>
          <w:spacing w:val="0"/>
          <w:kern w:val="2"/>
          <w:sz w:val="24"/>
          <w:szCs w:val="24"/>
          <w:highlight w:val="none"/>
          <w:lang w:val="en-US" w:eastAsia="zh-CN"/>
        </w:rPr>
        <w:t>支付上季度物业服务费，第四季度服务费可以在季度最后一个月月末支付</w:t>
      </w:r>
      <w:r>
        <w:rPr>
          <w:rFonts w:hint="eastAsia" w:ascii="宋体" w:hAnsi="宋体" w:eastAsia="宋体" w:cs="宋体"/>
          <w:bCs/>
          <w:color w:val="auto"/>
          <w:spacing w:val="0"/>
          <w:kern w:val="2"/>
          <w:sz w:val="24"/>
          <w:szCs w:val="24"/>
          <w:highlight w:val="none"/>
        </w:rPr>
        <w:t>。</w:t>
      </w:r>
      <w:r>
        <w:rPr>
          <w:rFonts w:hint="eastAsia" w:ascii="宋体" w:hAnsi="宋体" w:cs="宋体"/>
          <w:bCs/>
          <w:color w:val="auto"/>
          <w:spacing w:val="0"/>
          <w:kern w:val="2"/>
          <w:sz w:val="24"/>
          <w:szCs w:val="24"/>
          <w:highlight w:val="none"/>
          <w:lang w:eastAsia="zh-CN"/>
        </w:rPr>
        <w:t>采购人</w:t>
      </w:r>
      <w:r>
        <w:rPr>
          <w:rFonts w:hint="eastAsia" w:ascii="宋体" w:hAnsi="宋体" w:eastAsia="宋体" w:cs="宋体"/>
          <w:bCs/>
          <w:color w:val="auto"/>
          <w:spacing w:val="0"/>
          <w:kern w:val="2"/>
          <w:sz w:val="24"/>
          <w:szCs w:val="24"/>
          <w:highlight w:val="none"/>
        </w:rPr>
        <w:t>向</w:t>
      </w:r>
      <w:r>
        <w:rPr>
          <w:rFonts w:hint="eastAsia" w:ascii="宋体" w:hAnsi="宋体" w:cs="宋体"/>
          <w:bCs/>
          <w:color w:val="auto"/>
          <w:spacing w:val="0"/>
          <w:kern w:val="2"/>
          <w:sz w:val="24"/>
          <w:szCs w:val="24"/>
          <w:highlight w:val="none"/>
          <w:lang w:eastAsia="zh-CN"/>
        </w:rPr>
        <w:t>中标人</w:t>
      </w:r>
      <w:r>
        <w:rPr>
          <w:rFonts w:hint="eastAsia" w:ascii="宋体" w:hAnsi="宋体" w:eastAsia="宋体" w:cs="宋体"/>
          <w:bCs/>
          <w:color w:val="auto"/>
          <w:spacing w:val="0"/>
          <w:kern w:val="2"/>
          <w:sz w:val="24"/>
          <w:szCs w:val="24"/>
          <w:highlight w:val="none"/>
        </w:rPr>
        <w:t>支付费用，</w:t>
      </w:r>
      <w:r>
        <w:rPr>
          <w:rFonts w:hint="eastAsia" w:ascii="宋体" w:hAnsi="宋体" w:cs="宋体"/>
          <w:bCs/>
          <w:color w:val="auto"/>
          <w:spacing w:val="0"/>
          <w:kern w:val="2"/>
          <w:sz w:val="24"/>
          <w:szCs w:val="24"/>
          <w:highlight w:val="none"/>
          <w:lang w:eastAsia="zh-CN"/>
        </w:rPr>
        <w:t>中标人</w:t>
      </w:r>
      <w:r>
        <w:rPr>
          <w:rFonts w:hint="eastAsia" w:ascii="宋体" w:hAnsi="宋体" w:eastAsia="宋体" w:cs="宋体"/>
          <w:bCs/>
          <w:color w:val="auto"/>
          <w:spacing w:val="0"/>
          <w:kern w:val="2"/>
          <w:sz w:val="24"/>
          <w:szCs w:val="24"/>
          <w:highlight w:val="none"/>
        </w:rPr>
        <w:t>应满足以下条件：</w:t>
      </w:r>
    </w:p>
    <w:p w14:paraId="6EF457B3">
      <w:pPr>
        <w:pStyle w:val="15"/>
        <w:spacing w:line="360" w:lineRule="auto"/>
        <w:rPr>
          <w:rFonts w:hint="eastAsia" w:ascii="宋体" w:hAnsi="宋体" w:eastAsia="宋体" w:cs="宋体"/>
          <w:bCs/>
          <w:color w:val="auto"/>
          <w:kern w:val="2"/>
          <w:sz w:val="24"/>
          <w:szCs w:val="24"/>
          <w:highlight w:val="none"/>
          <w:lang w:eastAsia="zh-CN"/>
        </w:rPr>
      </w:pPr>
      <w:r>
        <w:rPr>
          <w:rFonts w:hint="eastAsia" w:ascii="宋体" w:hAnsi="宋体" w:eastAsia="宋体" w:cs="宋体"/>
          <w:bCs/>
          <w:color w:val="auto"/>
          <w:kern w:val="2"/>
          <w:sz w:val="24"/>
          <w:szCs w:val="24"/>
          <w:highlight w:val="none"/>
        </w:rPr>
        <w:t>2.1服务期内投诉、损失赔偿以及其他违反合同等问题已经及时妥善解决</w:t>
      </w:r>
      <w:r>
        <w:rPr>
          <w:rFonts w:hint="eastAsia" w:ascii="宋体" w:hAnsi="宋体" w:eastAsia="宋体" w:cs="宋体"/>
          <w:bCs/>
          <w:color w:val="auto"/>
          <w:kern w:val="2"/>
          <w:sz w:val="24"/>
          <w:szCs w:val="24"/>
          <w:highlight w:val="none"/>
          <w:lang w:eastAsia="zh-CN"/>
        </w:rPr>
        <w:t>。</w:t>
      </w:r>
    </w:p>
    <w:p w14:paraId="7FBB21DB">
      <w:pPr>
        <w:pStyle w:val="15"/>
        <w:spacing w:line="360" w:lineRule="auto"/>
        <w:rPr>
          <w:rFonts w:hint="eastAsia" w:ascii="宋体" w:hAnsi="宋体" w:eastAsia="宋体" w:cs="宋体"/>
          <w:bCs/>
          <w:color w:val="auto"/>
          <w:spacing w:val="0"/>
          <w:kern w:val="2"/>
          <w:sz w:val="24"/>
          <w:szCs w:val="24"/>
          <w:highlight w:val="none"/>
        </w:rPr>
      </w:pPr>
      <w:r>
        <w:rPr>
          <w:rFonts w:hint="eastAsia" w:ascii="宋体" w:hAnsi="宋体" w:eastAsia="宋体" w:cs="宋体"/>
          <w:bCs/>
          <w:color w:val="auto"/>
          <w:spacing w:val="0"/>
          <w:kern w:val="2"/>
          <w:sz w:val="24"/>
          <w:szCs w:val="24"/>
          <w:highlight w:val="none"/>
        </w:rPr>
        <w:t>2.2</w:t>
      </w:r>
      <w:r>
        <w:rPr>
          <w:rFonts w:hint="eastAsia" w:ascii="宋体" w:hAnsi="宋体" w:cs="宋体"/>
          <w:bCs/>
          <w:color w:val="auto"/>
          <w:spacing w:val="0"/>
          <w:kern w:val="2"/>
          <w:sz w:val="24"/>
          <w:szCs w:val="24"/>
          <w:highlight w:val="none"/>
          <w:lang w:eastAsia="zh-CN"/>
        </w:rPr>
        <w:t>中标人</w:t>
      </w:r>
      <w:r>
        <w:rPr>
          <w:rFonts w:hint="eastAsia" w:ascii="宋体" w:hAnsi="宋体" w:eastAsia="宋体" w:cs="宋体"/>
          <w:bCs/>
          <w:color w:val="auto"/>
          <w:spacing w:val="0"/>
          <w:kern w:val="2"/>
          <w:sz w:val="24"/>
          <w:szCs w:val="24"/>
          <w:highlight w:val="none"/>
        </w:rPr>
        <w:t>开具正式发票并按</w:t>
      </w:r>
      <w:r>
        <w:rPr>
          <w:rFonts w:hint="eastAsia" w:ascii="宋体" w:hAnsi="宋体" w:cs="宋体"/>
          <w:bCs/>
          <w:color w:val="auto"/>
          <w:spacing w:val="0"/>
          <w:kern w:val="2"/>
          <w:sz w:val="24"/>
          <w:szCs w:val="24"/>
          <w:highlight w:val="none"/>
          <w:lang w:eastAsia="zh-CN"/>
        </w:rPr>
        <w:t>采购人</w:t>
      </w:r>
      <w:r>
        <w:rPr>
          <w:rFonts w:hint="eastAsia" w:ascii="宋体" w:hAnsi="宋体" w:eastAsia="宋体" w:cs="宋体"/>
          <w:bCs/>
          <w:color w:val="auto"/>
          <w:spacing w:val="0"/>
          <w:kern w:val="2"/>
          <w:sz w:val="24"/>
          <w:szCs w:val="24"/>
          <w:highlight w:val="none"/>
        </w:rPr>
        <w:t>财务规定办理费用支付手续。</w:t>
      </w:r>
    </w:p>
    <w:p w14:paraId="0CE40009">
      <w:pPr>
        <w:pStyle w:val="15"/>
        <w:spacing w:line="360" w:lineRule="auto"/>
        <w:rPr>
          <w:rFonts w:hint="eastAsia" w:ascii="宋体" w:hAnsi="宋体" w:eastAsia="宋体" w:cs="宋体"/>
          <w:bCs/>
          <w:color w:val="auto"/>
          <w:kern w:val="2"/>
          <w:sz w:val="24"/>
          <w:szCs w:val="24"/>
          <w:highlight w:val="none"/>
        </w:rPr>
      </w:pPr>
      <w:r>
        <w:rPr>
          <w:rFonts w:hint="eastAsia" w:ascii="宋体" w:hAnsi="宋体" w:eastAsia="宋体" w:cs="宋体"/>
          <w:bCs/>
          <w:color w:val="auto"/>
          <w:kern w:val="2"/>
          <w:sz w:val="24"/>
          <w:szCs w:val="24"/>
          <w:highlight w:val="none"/>
        </w:rPr>
        <w:t>2.3按实际交付之日起计费。</w:t>
      </w:r>
    </w:p>
    <w:p w14:paraId="4423C429">
      <w:pPr>
        <w:pStyle w:val="15"/>
        <w:spacing w:line="360" w:lineRule="auto"/>
        <w:rPr>
          <w:rFonts w:hint="eastAsia" w:ascii="宋体" w:hAnsi="宋体" w:eastAsia="宋体" w:cs="宋体"/>
          <w:bCs/>
          <w:color w:val="auto"/>
          <w:kern w:val="2"/>
          <w:sz w:val="24"/>
          <w:szCs w:val="24"/>
          <w:highlight w:val="none"/>
          <w:lang w:eastAsia="zh-CN"/>
        </w:rPr>
      </w:pPr>
      <w:r>
        <w:rPr>
          <w:rFonts w:hint="eastAsia" w:ascii="宋体" w:hAnsi="宋体" w:eastAsia="宋体" w:cs="宋体"/>
          <w:bCs/>
          <w:color w:val="auto"/>
          <w:spacing w:val="0"/>
          <w:kern w:val="2"/>
          <w:sz w:val="24"/>
          <w:szCs w:val="24"/>
          <w:highlight w:val="none"/>
        </w:rPr>
        <w:t>2.4服务工作接受</w:t>
      </w:r>
      <w:r>
        <w:rPr>
          <w:rFonts w:hint="eastAsia" w:ascii="宋体" w:hAnsi="宋体" w:cs="宋体"/>
          <w:bCs/>
          <w:color w:val="auto"/>
          <w:spacing w:val="0"/>
          <w:kern w:val="2"/>
          <w:sz w:val="24"/>
          <w:szCs w:val="24"/>
          <w:highlight w:val="none"/>
          <w:lang w:eastAsia="zh-CN"/>
        </w:rPr>
        <w:t>采购人</w:t>
      </w:r>
      <w:r>
        <w:rPr>
          <w:rFonts w:hint="eastAsia" w:ascii="宋体" w:hAnsi="宋体" w:eastAsia="宋体" w:cs="宋体"/>
          <w:bCs/>
          <w:color w:val="auto"/>
          <w:spacing w:val="0"/>
          <w:kern w:val="2"/>
          <w:sz w:val="24"/>
          <w:szCs w:val="24"/>
          <w:highlight w:val="none"/>
        </w:rPr>
        <w:t>统一指导和考核</w:t>
      </w:r>
      <w:r>
        <w:rPr>
          <w:rFonts w:hint="eastAsia" w:ascii="宋体" w:hAnsi="宋体" w:eastAsia="宋体" w:cs="宋体"/>
          <w:bCs/>
          <w:color w:val="auto"/>
          <w:spacing w:val="0"/>
          <w:kern w:val="2"/>
          <w:sz w:val="24"/>
          <w:szCs w:val="24"/>
          <w:highlight w:val="none"/>
          <w:lang w:eastAsia="zh-CN"/>
        </w:rPr>
        <w:t>，</w:t>
      </w:r>
      <w:r>
        <w:rPr>
          <w:rFonts w:hint="eastAsia" w:ascii="宋体" w:hAnsi="宋体" w:eastAsia="宋体" w:cs="宋体"/>
          <w:bCs/>
          <w:color w:val="auto"/>
          <w:spacing w:val="0"/>
          <w:kern w:val="2"/>
          <w:sz w:val="24"/>
          <w:szCs w:val="24"/>
          <w:highlight w:val="none"/>
        </w:rPr>
        <w:t>定期或不定期对</w:t>
      </w:r>
      <w:r>
        <w:rPr>
          <w:rFonts w:hint="eastAsia" w:ascii="宋体" w:hAnsi="宋体" w:cs="宋体"/>
          <w:bCs/>
          <w:color w:val="auto"/>
          <w:spacing w:val="0"/>
          <w:kern w:val="2"/>
          <w:sz w:val="24"/>
          <w:szCs w:val="24"/>
          <w:highlight w:val="none"/>
          <w:lang w:eastAsia="zh-CN"/>
        </w:rPr>
        <w:t>中标人</w:t>
      </w:r>
      <w:r>
        <w:rPr>
          <w:rFonts w:hint="eastAsia" w:ascii="宋体" w:hAnsi="宋体" w:eastAsia="宋体" w:cs="宋体"/>
          <w:bCs/>
          <w:color w:val="auto"/>
          <w:spacing w:val="0"/>
          <w:kern w:val="2"/>
          <w:sz w:val="24"/>
          <w:szCs w:val="24"/>
          <w:highlight w:val="none"/>
        </w:rPr>
        <w:t>的工作情况进行检查与考核。</w:t>
      </w:r>
      <w:r>
        <w:rPr>
          <w:rFonts w:hint="eastAsia" w:ascii="宋体" w:hAnsi="宋体" w:eastAsia="宋体" w:cs="宋体"/>
          <w:bCs/>
          <w:color w:val="auto"/>
          <w:spacing w:val="0"/>
          <w:kern w:val="2"/>
          <w:sz w:val="24"/>
          <w:szCs w:val="24"/>
          <w:highlight w:val="none"/>
          <w:lang w:eastAsia="zh-CN"/>
        </w:rPr>
        <w:t>支付物业服务费前，</w:t>
      </w:r>
      <w:r>
        <w:rPr>
          <w:rFonts w:hint="eastAsia" w:ascii="宋体" w:hAnsi="宋体" w:cs="宋体"/>
          <w:bCs/>
          <w:color w:val="auto"/>
          <w:spacing w:val="0"/>
          <w:kern w:val="2"/>
          <w:sz w:val="24"/>
          <w:szCs w:val="24"/>
          <w:highlight w:val="none"/>
          <w:lang w:eastAsia="zh-CN"/>
        </w:rPr>
        <w:t>中标人</w:t>
      </w:r>
      <w:r>
        <w:rPr>
          <w:rFonts w:hint="eastAsia" w:ascii="宋体" w:hAnsi="宋体" w:eastAsia="宋体" w:cs="宋体"/>
          <w:bCs/>
          <w:color w:val="auto"/>
          <w:spacing w:val="0"/>
          <w:kern w:val="2"/>
          <w:sz w:val="24"/>
          <w:szCs w:val="24"/>
          <w:highlight w:val="none"/>
          <w:lang w:eastAsia="zh-CN"/>
        </w:rPr>
        <w:t>与</w:t>
      </w:r>
      <w:r>
        <w:rPr>
          <w:rFonts w:hint="eastAsia" w:ascii="宋体" w:hAnsi="宋体" w:cs="宋体"/>
          <w:bCs/>
          <w:color w:val="auto"/>
          <w:spacing w:val="0"/>
          <w:kern w:val="2"/>
          <w:sz w:val="24"/>
          <w:szCs w:val="24"/>
          <w:highlight w:val="none"/>
          <w:lang w:eastAsia="zh-CN"/>
        </w:rPr>
        <w:t>采购人</w:t>
      </w:r>
      <w:r>
        <w:rPr>
          <w:rFonts w:hint="eastAsia" w:ascii="宋体" w:hAnsi="宋体" w:eastAsia="宋体" w:cs="宋体"/>
          <w:bCs/>
          <w:color w:val="auto"/>
          <w:spacing w:val="0"/>
          <w:kern w:val="2"/>
          <w:sz w:val="24"/>
          <w:szCs w:val="24"/>
          <w:highlight w:val="none"/>
          <w:lang w:eastAsia="zh-CN"/>
        </w:rPr>
        <w:t>核对物业管理考核情况，确认应付物业管理费。</w:t>
      </w:r>
      <w:r>
        <w:rPr>
          <w:rFonts w:hint="eastAsia" w:ascii="宋体" w:hAnsi="宋体" w:eastAsia="宋体" w:cs="宋体"/>
          <w:bCs/>
          <w:color w:val="auto"/>
          <w:kern w:val="2"/>
          <w:sz w:val="24"/>
          <w:szCs w:val="24"/>
          <w:highlight w:val="none"/>
        </w:rPr>
        <w:t>如在检查过程中发现管理工作不到位或日常管理过程中出现重大失误，</w:t>
      </w:r>
      <w:r>
        <w:rPr>
          <w:rFonts w:hint="eastAsia" w:ascii="宋体" w:hAnsi="宋体" w:cs="宋体"/>
          <w:bCs/>
          <w:color w:val="auto"/>
          <w:kern w:val="2"/>
          <w:sz w:val="24"/>
          <w:szCs w:val="24"/>
          <w:highlight w:val="none"/>
          <w:lang w:eastAsia="zh-CN"/>
        </w:rPr>
        <w:t>中标人</w:t>
      </w:r>
      <w:r>
        <w:rPr>
          <w:rFonts w:hint="eastAsia" w:ascii="宋体" w:hAnsi="宋体" w:eastAsia="宋体" w:cs="宋体"/>
          <w:bCs/>
          <w:color w:val="auto"/>
          <w:kern w:val="2"/>
          <w:sz w:val="24"/>
          <w:szCs w:val="24"/>
          <w:highlight w:val="none"/>
        </w:rPr>
        <w:t>应向</w:t>
      </w:r>
      <w:r>
        <w:rPr>
          <w:rFonts w:hint="eastAsia" w:ascii="宋体" w:hAnsi="宋体" w:cs="宋体"/>
          <w:bCs/>
          <w:color w:val="auto"/>
          <w:kern w:val="2"/>
          <w:sz w:val="24"/>
          <w:szCs w:val="24"/>
          <w:highlight w:val="none"/>
          <w:lang w:eastAsia="zh-CN"/>
        </w:rPr>
        <w:t>采购人</w:t>
      </w:r>
      <w:r>
        <w:rPr>
          <w:rFonts w:hint="eastAsia" w:ascii="宋体" w:hAnsi="宋体" w:eastAsia="宋体" w:cs="宋体"/>
          <w:bCs/>
          <w:color w:val="auto"/>
          <w:kern w:val="2"/>
          <w:sz w:val="24"/>
          <w:szCs w:val="24"/>
          <w:highlight w:val="none"/>
        </w:rPr>
        <w:t>承担当月服务费金额的违约金</w:t>
      </w:r>
      <w:r>
        <w:rPr>
          <w:rFonts w:hint="eastAsia" w:ascii="宋体" w:hAnsi="宋体" w:eastAsia="宋体" w:cs="宋体"/>
          <w:bCs/>
          <w:color w:val="auto"/>
          <w:kern w:val="2"/>
          <w:sz w:val="24"/>
          <w:szCs w:val="24"/>
          <w:highlight w:val="none"/>
          <w:lang w:eastAsia="zh-CN"/>
        </w:rPr>
        <w:t>。</w:t>
      </w:r>
    </w:p>
    <w:p w14:paraId="2F18DE24">
      <w:pPr>
        <w:pStyle w:val="15"/>
        <w:spacing w:line="360" w:lineRule="auto"/>
        <w:ind w:firstLine="482" w:firstLineChars="200"/>
        <w:rPr>
          <w:rFonts w:ascii="宋体" w:hAnsi="宋体" w:cs="宋体"/>
          <w:b/>
          <w:color w:val="auto"/>
          <w:szCs w:val="24"/>
          <w:highlight w:val="none"/>
        </w:rPr>
      </w:pPr>
      <w:r>
        <w:rPr>
          <w:rFonts w:hint="eastAsia" w:ascii="宋体" w:hAnsi="宋体" w:cs="宋体"/>
          <w:b/>
          <w:color w:val="auto"/>
          <w:szCs w:val="24"/>
          <w:highlight w:val="none"/>
        </w:rPr>
        <w:t>3.服务期限：</w:t>
      </w:r>
      <w:r>
        <w:rPr>
          <w:rFonts w:hint="eastAsia" w:ascii="宋体" w:hAnsi="宋体" w:cs="宋体"/>
          <w:bCs/>
          <w:color w:val="auto"/>
          <w:sz w:val="24"/>
          <w:szCs w:val="24"/>
          <w:highlight w:val="none"/>
        </w:rPr>
        <w:t>服务期为</w:t>
      </w:r>
      <w:r>
        <w:rPr>
          <w:rFonts w:ascii="宋体" w:hAnsi="宋体" w:cs="宋体"/>
          <w:bCs/>
          <w:color w:val="auto"/>
          <w:sz w:val="24"/>
          <w:szCs w:val="24"/>
          <w:highlight w:val="none"/>
        </w:rPr>
        <w:t>2025</w:t>
      </w:r>
      <w:r>
        <w:rPr>
          <w:rFonts w:hint="eastAsia" w:ascii="宋体" w:hAnsi="宋体" w:cs="宋体"/>
          <w:bCs/>
          <w:color w:val="auto"/>
          <w:sz w:val="24"/>
          <w:szCs w:val="24"/>
          <w:highlight w:val="none"/>
        </w:rPr>
        <w:t>年</w:t>
      </w:r>
      <w:r>
        <w:rPr>
          <w:rFonts w:ascii="宋体" w:hAnsi="宋体" w:cs="宋体"/>
          <w:bCs/>
          <w:color w:val="auto"/>
          <w:sz w:val="24"/>
          <w:szCs w:val="24"/>
          <w:highlight w:val="none"/>
        </w:rPr>
        <w:t>1</w:t>
      </w:r>
      <w:r>
        <w:rPr>
          <w:rFonts w:hint="eastAsia" w:ascii="宋体" w:hAnsi="宋体" w:cs="宋体"/>
          <w:bCs/>
          <w:color w:val="auto"/>
          <w:sz w:val="24"/>
          <w:szCs w:val="24"/>
          <w:highlight w:val="none"/>
        </w:rPr>
        <w:t>月</w:t>
      </w:r>
      <w:r>
        <w:rPr>
          <w:rFonts w:ascii="宋体" w:hAnsi="宋体" w:cs="宋体"/>
          <w:bCs/>
          <w:color w:val="auto"/>
          <w:sz w:val="24"/>
          <w:szCs w:val="24"/>
          <w:highlight w:val="none"/>
        </w:rPr>
        <w:t>1</w:t>
      </w:r>
      <w:r>
        <w:rPr>
          <w:rFonts w:hint="eastAsia" w:ascii="宋体" w:hAnsi="宋体" w:cs="宋体"/>
          <w:bCs/>
          <w:color w:val="auto"/>
          <w:sz w:val="24"/>
          <w:szCs w:val="24"/>
          <w:highlight w:val="none"/>
        </w:rPr>
        <w:t>日至</w:t>
      </w:r>
      <w:r>
        <w:rPr>
          <w:rFonts w:ascii="宋体" w:hAnsi="宋体" w:cs="宋体"/>
          <w:bCs/>
          <w:color w:val="auto"/>
          <w:sz w:val="24"/>
          <w:szCs w:val="24"/>
          <w:highlight w:val="none"/>
        </w:rPr>
        <w:t>2025</w:t>
      </w:r>
      <w:r>
        <w:rPr>
          <w:rFonts w:hint="eastAsia" w:ascii="宋体" w:hAnsi="宋体" w:cs="宋体"/>
          <w:bCs/>
          <w:color w:val="auto"/>
          <w:sz w:val="24"/>
          <w:szCs w:val="24"/>
          <w:highlight w:val="none"/>
        </w:rPr>
        <w:t>年</w:t>
      </w:r>
      <w:r>
        <w:rPr>
          <w:rFonts w:ascii="宋体" w:hAnsi="宋体" w:cs="宋体"/>
          <w:bCs/>
          <w:color w:val="auto"/>
          <w:sz w:val="24"/>
          <w:szCs w:val="24"/>
          <w:highlight w:val="none"/>
        </w:rPr>
        <w:t>12</w:t>
      </w:r>
      <w:r>
        <w:rPr>
          <w:rFonts w:hint="eastAsia" w:ascii="宋体" w:hAnsi="宋体" w:cs="宋体"/>
          <w:bCs/>
          <w:color w:val="auto"/>
          <w:sz w:val="24"/>
          <w:szCs w:val="24"/>
          <w:highlight w:val="none"/>
        </w:rPr>
        <w:t>月</w:t>
      </w:r>
      <w:r>
        <w:rPr>
          <w:rFonts w:ascii="宋体" w:hAnsi="宋体" w:cs="宋体"/>
          <w:bCs/>
          <w:color w:val="auto"/>
          <w:sz w:val="24"/>
          <w:szCs w:val="24"/>
          <w:highlight w:val="none"/>
        </w:rPr>
        <w:t>31</w:t>
      </w:r>
      <w:r>
        <w:rPr>
          <w:rFonts w:hint="eastAsia" w:ascii="宋体" w:hAnsi="宋体" w:cs="宋体"/>
          <w:bCs/>
          <w:color w:val="auto"/>
          <w:sz w:val="24"/>
          <w:szCs w:val="24"/>
          <w:highlight w:val="none"/>
        </w:rPr>
        <w:t>日，在年度预算有保障且经招标人质控考核合格前提下，通过一年一续签方式签订合同，累计总服务期最长不超过</w:t>
      </w:r>
      <w:r>
        <w:rPr>
          <w:rFonts w:ascii="宋体" w:hAnsi="宋体" w:cs="宋体"/>
          <w:bCs/>
          <w:color w:val="auto"/>
          <w:sz w:val="24"/>
          <w:szCs w:val="24"/>
          <w:highlight w:val="none"/>
        </w:rPr>
        <w:t>3</w:t>
      </w:r>
      <w:r>
        <w:rPr>
          <w:rFonts w:hint="eastAsia" w:ascii="宋体" w:hAnsi="宋体" w:cs="宋体"/>
          <w:bCs/>
          <w:color w:val="auto"/>
          <w:sz w:val="24"/>
          <w:szCs w:val="24"/>
          <w:highlight w:val="none"/>
        </w:rPr>
        <w:t>年。合同期满，招标人根据采购预算</w:t>
      </w:r>
      <w:r>
        <w:rPr>
          <w:rFonts w:hint="eastAsia" w:ascii="宋体" w:hAnsi="宋体" w:cs="宋体"/>
          <w:bCs/>
          <w:color w:val="auto"/>
          <w:sz w:val="24"/>
          <w:szCs w:val="24"/>
          <w:highlight w:val="none"/>
          <w:lang w:eastAsia="zh-CN"/>
        </w:rPr>
        <w:t>保障</w:t>
      </w:r>
      <w:r>
        <w:rPr>
          <w:rFonts w:hint="eastAsia" w:ascii="宋体" w:hAnsi="宋体" w:cs="宋体"/>
          <w:bCs/>
          <w:color w:val="auto"/>
          <w:sz w:val="24"/>
          <w:szCs w:val="24"/>
          <w:highlight w:val="none"/>
        </w:rPr>
        <w:t>和</w:t>
      </w:r>
      <w:r>
        <w:rPr>
          <w:rFonts w:hint="eastAsia" w:ascii="宋体" w:hAnsi="宋体" w:cs="宋体"/>
          <w:bCs/>
          <w:color w:val="auto"/>
          <w:sz w:val="24"/>
          <w:szCs w:val="24"/>
          <w:highlight w:val="none"/>
          <w:lang w:eastAsia="zh-CN"/>
        </w:rPr>
        <w:t>全年至少三个季度评估结果为优秀</w:t>
      </w:r>
      <w:r>
        <w:rPr>
          <w:rFonts w:hint="eastAsia" w:ascii="宋体" w:hAnsi="宋体" w:cs="宋体"/>
          <w:bCs/>
          <w:color w:val="auto"/>
          <w:sz w:val="21"/>
          <w:szCs w:val="21"/>
          <w:highlight w:val="none"/>
          <w:lang w:eastAsia="zh-CN"/>
        </w:rPr>
        <w:t>及月度考核结果均为良好以上</w:t>
      </w:r>
      <w:r>
        <w:rPr>
          <w:rFonts w:hint="eastAsia" w:ascii="宋体" w:hAnsi="宋体" w:cs="宋体"/>
          <w:bCs/>
          <w:color w:val="auto"/>
          <w:sz w:val="24"/>
          <w:szCs w:val="24"/>
          <w:highlight w:val="none"/>
          <w:lang w:eastAsia="zh-CN"/>
        </w:rPr>
        <w:t>的前提下</w:t>
      </w:r>
      <w:r>
        <w:rPr>
          <w:rFonts w:hint="eastAsia" w:ascii="宋体" w:hAnsi="宋体" w:cs="宋体"/>
          <w:bCs/>
          <w:color w:val="auto"/>
          <w:sz w:val="24"/>
          <w:szCs w:val="24"/>
          <w:highlight w:val="none"/>
        </w:rPr>
        <w:t>决定是否续签合同，续签主动权在招标人。</w:t>
      </w:r>
    </w:p>
    <w:p w14:paraId="20354B5F">
      <w:pPr>
        <w:pStyle w:val="15"/>
        <w:spacing w:line="360" w:lineRule="auto"/>
        <w:ind w:firstLine="480" w:firstLineChars="200"/>
        <w:rPr>
          <w:rFonts w:ascii="宋体" w:hAnsi="宋体" w:cs="宋体"/>
          <w:color w:val="auto"/>
          <w:szCs w:val="24"/>
          <w:highlight w:val="none"/>
        </w:rPr>
      </w:pPr>
      <w:r>
        <w:rPr>
          <w:rFonts w:hint="eastAsia" w:ascii="宋体" w:hAnsi="宋体" w:cs="宋体"/>
          <w:color w:val="auto"/>
          <w:szCs w:val="24"/>
          <w:highlight w:val="none"/>
        </w:rPr>
        <w:t>4.服务标准：符合国家相关标准、行业标准、地方标准等。</w:t>
      </w:r>
    </w:p>
    <w:p w14:paraId="4D8D34C5">
      <w:pPr>
        <w:pStyle w:val="15"/>
        <w:spacing w:line="360" w:lineRule="auto"/>
        <w:ind w:firstLine="482" w:firstLineChars="200"/>
        <w:rPr>
          <w:rFonts w:ascii="宋体" w:hAnsi="宋体" w:cs="宋体"/>
          <w:b/>
          <w:color w:val="auto"/>
          <w:szCs w:val="24"/>
          <w:highlight w:val="none"/>
        </w:rPr>
      </w:pPr>
      <w:r>
        <w:rPr>
          <w:rFonts w:hint="eastAsia" w:ascii="宋体" w:hAnsi="宋体" w:cs="宋体"/>
          <w:b/>
          <w:color w:val="auto"/>
          <w:szCs w:val="24"/>
          <w:highlight w:val="none"/>
        </w:rPr>
        <w:t>5.报价要求：</w:t>
      </w:r>
    </w:p>
    <w:p w14:paraId="6A1162FF">
      <w:pPr>
        <w:pStyle w:val="15"/>
        <w:spacing w:line="360" w:lineRule="auto"/>
        <w:ind w:firstLine="480" w:firstLineChars="200"/>
        <w:rPr>
          <w:rFonts w:ascii="宋体" w:hAnsi="宋体" w:cs="宋体"/>
          <w:color w:val="auto"/>
          <w:szCs w:val="24"/>
          <w:highlight w:val="none"/>
        </w:rPr>
      </w:pPr>
      <w:r>
        <w:rPr>
          <w:rFonts w:hint="eastAsia" w:ascii="宋体" w:hAnsi="宋体" w:cs="宋体"/>
          <w:color w:val="auto"/>
          <w:szCs w:val="24"/>
          <w:highlight w:val="none"/>
        </w:rPr>
        <w:t>5.1投标人应按照国家相关规定，结合自身服务水平和能力进行报价。投标报价应是投标人为提供本项目所要求的全部服务所发生的一切成本、税费和利润，包括但不限于人工（包括工资福利、社会保障、五险一金、加班工资</w:t>
      </w:r>
      <w:r>
        <w:rPr>
          <w:rFonts w:hint="eastAsia" w:ascii="宋体" w:hAnsi="宋体" w:cs="宋体"/>
          <w:color w:val="auto"/>
          <w:szCs w:val="24"/>
          <w:highlight w:val="none"/>
          <w:lang w:eastAsia="zh-CN"/>
        </w:rPr>
        <w:t>、</w:t>
      </w:r>
      <w:r>
        <w:rPr>
          <w:rFonts w:hint="eastAsia" w:ascii="宋体" w:hAnsi="宋体" w:cs="宋体"/>
          <w:color w:val="auto"/>
          <w:szCs w:val="24"/>
          <w:highlight w:val="none"/>
        </w:rPr>
        <w:t>工作</w:t>
      </w:r>
      <w:r>
        <w:rPr>
          <w:rFonts w:hint="eastAsia" w:ascii="宋体" w:hAnsi="宋体" w:cs="宋体"/>
          <w:color w:val="auto"/>
          <w:szCs w:val="24"/>
          <w:highlight w:val="none"/>
          <w:lang w:val="en-US" w:eastAsia="zh-CN"/>
        </w:rPr>
        <w:t>用</w:t>
      </w:r>
      <w:r>
        <w:rPr>
          <w:rFonts w:hint="eastAsia" w:ascii="宋体" w:hAnsi="宋体" w:cs="宋体"/>
          <w:color w:val="auto"/>
          <w:szCs w:val="24"/>
          <w:highlight w:val="none"/>
        </w:rPr>
        <w:t>餐</w:t>
      </w:r>
      <w:r>
        <w:rPr>
          <w:rFonts w:hint="eastAsia" w:ascii="宋体" w:hAnsi="宋体" w:cs="宋体"/>
          <w:color w:val="auto"/>
          <w:szCs w:val="24"/>
          <w:highlight w:val="none"/>
          <w:lang w:val="en-US" w:eastAsia="zh-CN"/>
        </w:rPr>
        <w:t>补贴</w:t>
      </w:r>
      <w:r>
        <w:rPr>
          <w:rFonts w:hint="eastAsia" w:ascii="宋体" w:hAnsi="宋体" w:cs="宋体"/>
          <w:color w:val="auto"/>
          <w:szCs w:val="24"/>
          <w:highlight w:val="none"/>
        </w:rPr>
        <w:t>等）、服装、培训、体检、管理、税费及利润等。投标报价应是履行合同的最终价格。</w:t>
      </w:r>
    </w:p>
    <w:p w14:paraId="55759BC1">
      <w:pPr>
        <w:pStyle w:val="15"/>
        <w:spacing w:line="360" w:lineRule="auto"/>
        <w:ind w:firstLine="480" w:firstLineChars="200"/>
        <w:rPr>
          <w:rFonts w:ascii="宋体" w:hAnsi="宋体" w:cs="宋体"/>
          <w:b/>
          <w:bCs/>
          <w:color w:val="auto"/>
          <w:szCs w:val="24"/>
          <w:highlight w:val="none"/>
        </w:rPr>
      </w:pPr>
      <w:r>
        <w:rPr>
          <w:rFonts w:hint="eastAsia" w:ascii="宋体" w:hAnsi="宋体" w:cs="宋体"/>
          <w:color w:val="auto"/>
          <w:szCs w:val="24"/>
          <w:highlight w:val="none"/>
        </w:rPr>
        <w:t>5.2</w:t>
      </w:r>
      <w:r>
        <w:rPr>
          <w:rFonts w:hint="eastAsia" w:ascii="宋体" w:hAnsi="宋体" w:cs="宋体"/>
          <w:b/>
          <w:bCs/>
          <w:color w:val="auto"/>
          <w:szCs w:val="24"/>
          <w:highlight w:val="none"/>
        </w:rPr>
        <w:t>本项目反对不正当竞争（恶意低价或哄抬高价及不平衡报价），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p w14:paraId="366D93FD">
      <w:pPr>
        <w:pStyle w:val="15"/>
        <w:spacing w:line="360" w:lineRule="auto"/>
        <w:ind w:firstLine="480" w:firstLineChars="200"/>
        <w:rPr>
          <w:rFonts w:ascii="宋体" w:hAnsi="宋体" w:cs="宋体"/>
          <w:color w:val="auto"/>
          <w:szCs w:val="24"/>
          <w:highlight w:val="none"/>
        </w:rPr>
      </w:pPr>
      <w:r>
        <w:rPr>
          <w:rFonts w:hint="eastAsia" w:ascii="宋体" w:hAnsi="宋体" w:cs="宋体"/>
          <w:color w:val="auto"/>
          <w:szCs w:val="24"/>
          <w:highlight w:val="none"/>
        </w:rPr>
        <w:t xml:space="preserve">5.3投标人需严格遵守和执行《中华人民共和国劳动法》、南昌市劳动用工和社会保险管理规定、南昌市最低工资标准等相关法律法规，合同期中发生的一切事故、纠纷由中标人承担，需求单位不承担任何责任。项目履约期间如遇国家政策调整则双方协商后补充合同作相应调整。         </w:t>
      </w:r>
    </w:p>
    <w:p w14:paraId="72905F6E">
      <w:pPr>
        <w:pStyle w:val="15"/>
        <w:spacing w:line="360" w:lineRule="auto"/>
        <w:ind w:firstLine="482" w:firstLineChars="200"/>
        <w:rPr>
          <w:rFonts w:ascii="宋体" w:hAnsi="宋体" w:cs="宋体"/>
          <w:b/>
          <w:color w:val="auto"/>
          <w:szCs w:val="24"/>
          <w:highlight w:val="none"/>
        </w:rPr>
      </w:pPr>
      <w:r>
        <w:rPr>
          <w:rFonts w:hint="eastAsia" w:ascii="宋体" w:hAnsi="宋体" w:cs="宋体"/>
          <w:b/>
          <w:color w:val="auto"/>
          <w:szCs w:val="24"/>
          <w:highlight w:val="none"/>
        </w:rPr>
        <w:t>6.服务地点：采购人指定地点。</w:t>
      </w:r>
    </w:p>
    <w:p w14:paraId="68B62813">
      <w:pPr>
        <w:pStyle w:val="15"/>
        <w:spacing w:line="360" w:lineRule="auto"/>
        <w:ind w:firstLine="482" w:firstLineChars="200"/>
        <w:rPr>
          <w:rFonts w:ascii="宋体" w:hAnsi="宋体" w:cs="宋体"/>
          <w:b/>
          <w:color w:val="auto"/>
          <w:szCs w:val="24"/>
          <w:highlight w:val="none"/>
        </w:rPr>
      </w:pPr>
      <w:r>
        <w:rPr>
          <w:rFonts w:hint="eastAsia" w:ascii="宋体" w:hAnsi="宋体" w:cs="宋体"/>
          <w:b/>
          <w:color w:val="auto"/>
          <w:szCs w:val="24"/>
          <w:highlight w:val="none"/>
        </w:rPr>
        <w:t>7.现场勘察</w:t>
      </w:r>
    </w:p>
    <w:p w14:paraId="456BC03C">
      <w:pPr>
        <w:pStyle w:val="15"/>
        <w:spacing w:line="360" w:lineRule="auto"/>
        <w:ind w:firstLine="480" w:firstLineChars="200"/>
        <w:rPr>
          <w:rFonts w:ascii="宋体" w:hAnsi="宋体" w:cs="宋体"/>
          <w:color w:val="auto"/>
          <w:szCs w:val="24"/>
          <w:highlight w:val="none"/>
        </w:rPr>
      </w:pPr>
      <w:r>
        <w:rPr>
          <w:rFonts w:hint="eastAsia" w:ascii="宋体" w:hAnsi="宋体" w:cs="宋体"/>
          <w:color w:val="auto"/>
          <w:szCs w:val="24"/>
          <w:highlight w:val="none"/>
        </w:rPr>
        <w:t>7.1投标人可自行向采购代理机构申请进行现场勘察。现场勘察时间、地点由采购机构另行通知。</w:t>
      </w:r>
    </w:p>
    <w:p w14:paraId="2B9EA6DC">
      <w:pPr>
        <w:pStyle w:val="15"/>
        <w:spacing w:line="360" w:lineRule="auto"/>
        <w:ind w:firstLine="480" w:firstLineChars="200"/>
        <w:rPr>
          <w:rFonts w:ascii="宋体" w:hAnsi="宋体" w:cs="宋体"/>
          <w:color w:val="auto"/>
          <w:szCs w:val="24"/>
          <w:highlight w:val="none"/>
        </w:rPr>
      </w:pPr>
      <w:r>
        <w:rPr>
          <w:rFonts w:hint="eastAsia" w:ascii="宋体" w:hAnsi="宋体" w:cs="宋体"/>
          <w:color w:val="auto"/>
          <w:szCs w:val="24"/>
          <w:highlight w:val="none"/>
        </w:rPr>
        <w:t>7.2投标人应按规定的时间、地点前往参加踏勘现场活动，期间所发生的费用自行承担。</w:t>
      </w:r>
    </w:p>
    <w:p w14:paraId="5B3041AC">
      <w:pPr>
        <w:pStyle w:val="15"/>
        <w:spacing w:line="360" w:lineRule="auto"/>
        <w:ind w:firstLine="480" w:firstLineChars="200"/>
        <w:rPr>
          <w:rFonts w:ascii="宋体" w:hAnsi="宋体" w:cs="宋体"/>
          <w:color w:val="auto"/>
          <w:szCs w:val="24"/>
          <w:highlight w:val="none"/>
        </w:rPr>
      </w:pPr>
      <w:r>
        <w:rPr>
          <w:rFonts w:hint="eastAsia" w:ascii="宋体" w:hAnsi="宋体" w:cs="宋体"/>
          <w:color w:val="auto"/>
          <w:szCs w:val="24"/>
          <w:highlight w:val="none"/>
        </w:rPr>
        <w:t>7.3投标人应结合现场实际情况进行报价，如因现场环境影响造成的费用，均由中标供应商承担。</w:t>
      </w:r>
    </w:p>
    <w:p w14:paraId="184CE236">
      <w:pPr>
        <w:pStyle w:val="15"/>
        <w:spacing w:line="360" w:lineRule="auto"/>
        <w:ind w:firstLine="482" w:firstLineChars="200"/>
        <w:rPr>
          <w:rFonts w:ascii="宋体" w:hAnsi="宋体" w:cs="宋体"/>
          <w:b/>
          <w:bCs/>
          <w:color w:val="auto"/>
          <w:szCs w:val="24"/>
          <w:highlight w:val="none"/>
        </w:rPr>
      </w:pPr>
      <w:r>
        <w:rPr>
          <w:rFonts w:hint="eastAsia" w:ascii="宋体" w:hAnsi="宋体" w:cs="宋体"/>
          <w:b/>
          <w:bCs/>
          <w:color w:val="auto"/>
          <w:szCs w:val="24"/>
          <w:highlight w:val="none"/>
        </w:rPr>
        <w:t>8.其他要求</w:t>
      </w:r>
    </w:p>
    <w:p w14:paraId="3951D896">
      <w:pPr>
        <w:spacing w:line="360" w:lineRule="auto"/>
        <w:ind w:firstLine="480" w:firstLineChars="200"/>
        <w:rPr>
          <w:rFonts w:ascii="宋体" w:hAnsi="宋体" w:cs="宋体"/>
          <w:color w:val="auto"/>
          <w:szCs w:val="24"/>
          <w:highlight w:val="none"/>
        </w:rPr>
      </w:pPr>
      <w:r>
        <w:rPr>
          <w:rFonts w:hint="eastAsia" w:ascii="宋体" w:hAnsi="宋体" w:cs="宋体"/>
          <w:color w:val="auto"/>
          <w:szCs w:val="24"/>
          <w:highlight w:val="none"/>
        </w:rPr>
        <w:t xml:space="preserve">8.1供应商应按要求给员工缴纳社会保险，支付给员工的工资不能低于南昌市最低工资标准（指员工到手工资，不含奖金、社会保险个人缴纳部分等费用），投标报价中人员工资报价应符合或略高于市场用工标准，通过较好的福利待遇能起到服务团队人员稳定的效果。 </w:t>
      </w:r>
    </w:p>
    <w:p w14:paraId="2BF5C279">
      <w:pPr>
        <w:spacing w:line="360" w:lineRule="auto"/>
        <w:ind w:firstLine="480" w:firstLineChars="200"/>
        <w:rPr>
          <w:rFonts w:ascii="宋体" w:hAnsi="宋体" w:cs="宋体"/>
          <w:color w:val="auto"/>
          <w:szCs w:val="24"/>
          <w:highlight w:val="none"/>
        </w:rPr>
      </w:pPr>
      <w:r>
        <w:rPr>
          <w:rFonts w:hint="eastAsia" w:ascii="宋体" w:hAnsi="宋体" w:cs="宋体"/>
          <w:color w:val="auto"/>
          <w:szCs w:val="24"/>
          <w:highlight w:val="none"/>
        </w:rPr>
        <w:t>8.2为体现服务人员的精神面貌，拟派本项目所有人员须全年着工装上班，其中安保形象岗、项目经理、客服、会务人员的工装参考航空服务人员服装效果。</w:t>
      </w:r>
    </w:p>
    <w:p w14:paraId="5A1C88A8">
      <w:pPr>
        <w:spacing w:line="360" w:lineRule="auto"/>
        <w:ind w:firstLine="480" w:firstLineChars="200"/>
        <w:rPr>
          <w:rFonts w:ascii="宋体" w:hAnsi="宋体" w:cs="宋体"/>
          <w:color w:val="auto"/>
          <w:szCs w:val="24"/>
          <w:highlight w:val="none"/>
        </w:rPr>
      </w:pPr>
      <w:r>
        <w:rPr>
          <w:rFonts w:hint="eastAsia" w:ascii="宋体" w:hAnsi="宋体" w:cs="宋体"/>
          <w:color w:val="auto"/>
          <w:szCs w:val="24"/>
          <w:highlight w:val="none"/>
        </w:rPr>
        <w:t>8.3本项目的保洁、办公及公共区域单价在800元以下的易损件的修复、更换等费用均包含在投标报价当中。</w:t>
      </w:r>
    </w:p>
    <w:p w14:paraId="645F6415">
      <w:pPr>
        <w:spacing w:line="360" w:lineRule="auto"/>
        <w:ind w:firstLine="480" w:firstLineChars="200"/>
        <w:rPr>
          <w:rFonts w:hint="eastAsia" w:ascii="宋体" w:hAnsi="宋体" w:cs="宋体"/>
          <w:color w:val="auto"/>
          <w:szCs w:val="24"/>
          <w:highlight w:val="none"/>
        </w:rPr>
      </w:pPr>
      <w:r>
        <w:rPr>
          <w:rFonts w:hint="eastAsia" w:ascii="宋体" w:hAnsi="宋体" w:cs="宋体"/>
          <w:color w:val="auto"/>
          <w:szCs w:val="24"/>
          <w:highlight w:val="none"/>
        </w:rPr>
        <w:t xml:space="preserve">8.4本项目的绿化养护、补种花草树木、病虫害防治、办公楼绿化（摆放鲜花绿植）等费用均包含在投标报价当中，此类费用约 20万元/年（供应商在报价时可予以参考）。 </w:t>
      </w:r>
    </w:p>
    <w:p w14:paraId="72FD1F6B">
      <w:pPr>
        <w:pStyle w:val="2"/>
        <w:rPr>
          <w:rFonts w:hint="default" w:eastAsia="宋体"/>
          <w:b/>
          <w:bCs/>
          <w:lang w:val="en-US" w:eastAsia="zh-CN"/>
        </w:rPr>
      </w:pPr>
      <w:r>
        <w:rPr>
          <w:rFonts w:hint="eastAsia" w:hAnsi="宋体" w:cs="宋体"/>
          <w:b/>
          <w:bCs/>
          <w:color w:val="auto"/>
          <w:szCs w:val="24"/>
          <w:highlight w:val="none"/>
          <w:lang w:val="en-US" w:eastAsia="zh-CN"/>
        </w:rPr>
        <w:t>8.5 投标人如不具有年检有效的食品经营许可证或餐饮服务许可证，须将本项目餐饮服务相关内容分包给具有上述资质的供应商实施，除餐饮服务相关内容外，其他采购内容不允许分包。</w:t>
      </w:r>
    </w:p>
    <w:p w14:paraId="2A9E8332">
      <w:pPr>
        <w:pStyle w:val="4"/>
        <w:rPr>
          <w:rFonts w:cs="宋体"/>
          <w:color w:val="auto"/>
          <w:sz w:val="28"/>
          <w:szCs w:val="28"/>
          <w:highlight w:val="none"/>
        </w:rPr>
      </w:pPr>
    </w:p>
    <w:p w14:paraId="7D66DDAD">
      <w:pPr>
        <w:pStyle w:val="15"/>
        <w:spacing w:line="360" w:lineRule="auto"/>
        <w:ind w:firstLine="0"/>
        <w:rPr>
          <w:rFonts w:ascii="宋体" w:hAnsi="宋体" w:cs="宋体"/>
          <w:b/>
          <w:bCs/>
          <w:color w:val="auto"/>
          <w:sz w:val="28"/>
          <w:szCs w:val="28"/>
          <w:highlight w:val="none"/>
        </w:rPr>
      </w:pPr>
      <w:r>
        <w:rPr>
          <w:rFonts w:hint="eastAsia" w:ascii="宋体" w:hAnsi="宋体" w:cs="宋体"/>
          <w:b/>
          <w:bCs/>
          <w:color w:val="auto"/>
          <w:sz w:val="28"/>
          <w:szCs w:val="28"/>
          <w:highlight w:val="none"/>
        </w:rPr>
        <w:t>注：以上商务</w:t>
      </w:r>
      <w:r>
        <w:rPr>
          <w:rFonts w:hint="eastAsia" w:ascii="宋体" w:hAnsi="宋体" w:cs="宋体"/>
          <w:b/>
          <w:bCs/>
          <w:color w:val="auto"/>
          <w:sz w:val="28"/>
          <w:szCs w:val="28"/>
          <w:highlight w:val="none"/>
          <w:lang w:val="en-US" w:eastAsia="zh-CN"/>
        </w:rPr>
        <w:t>条款</w:t>
      </w:r>
      <w:r>
        <w:rPr>
          <w:rFonts w:hint="eastAsia" w:ascii="宋体" w:hAnsi="宋体" w:cs="宋体"/>
          <w:b/>
          <w:bCs/>
          <w:color w:val="auto"/>
          <w:sz w:val="28"/>
          <w:szCs w:val="28"/>
          <w:highlight w:val="none"/>
        </w:rPr>
        <w:t>为基本要求，供应商必须完全满足或优于以上商务要求，否则视为无效响应。</w:t>
      </w:r>
    </w:p>
    <w:p w14:paraId="5EE07964">
      <w:pPr>
        <w:pStyle w:val="4"/>
        <w:rPr>
          <w:color w:val="auto"/>
          <w:highlight w:val="none"/>
        </w:rPr>
      </w:pPr>
    </w:p>
    <w:p w14:paraId="7FF3D181">
      <w:pPr>
        <w:rPr>
          <w:color w:val="auto"/>
          <w:highlight w:val="none"/>
        </w:rPr>
        <w:sectPr>
          <w:headerReference r:id="rId19" w:type="default"/>
          <w:footerReference r:id="rId20" w:type="default"/>
          <w:pgSz w:w="11906" w:h="16838"/>
          <w:pgMar w:top="1304" w:right="1474" w:bottom="1304" w:left="1474" w:header="851" w:footer="992" w:gutter="0"/>
          <w:pgNumType w:fmt="decimal"/>
          <w:cols w:space="720" w:num="1"/>
          <w:docGrid w:linePitch="326" w:charSpace="0"/>
        </w:sectPr>
      </w:pPr>
    </w:p>
    <w:p w14:paraId="341A9FA3">
      <w:pPr>
        <w:pStyle w:val="3"/>
        <w:spacing w:before="156" w:after="156"/>
        <w:rPr>
          <w:color w:val="auto"/>
          <w:sz w:val="30"/>
          <w:szCs w:val="30"/>
          <w:highlight w:val="none"/>
        </w:rPr>
      </w:pPr>
      <w:bookmarkStart w:id="38" w:name="_Toc135054606"/>
      <w:r>
        <w:rPr>
          <w:rFonts w:hint="eastAsia" w:cs="宋体"/>
          <w:color w:val="auto"/>
          <w:highlight w:val="none"/>
        </w:rPr>
        <w:t>第五章　</w:t>
      </w:r>
      <w:bookmarkEnd w:id="37"/>
      <w:bookmarkStart w:id="39" w:name="_Toc5153"/>
      <w:r>
        <w:rPr>
          <w:rFonts w:hint="eastAsia"/>
          <w:color w:val="auto"/>
          <w:sz w:val="30"/>
          <w:szCs w:val="30"/>
          <w:highlight w:val="none"/>
        </w:rPr>
        <w:t>合同条款及格式</w:t>
      </w:r>
      <w:bookmarkEnd w:id="38"/>
    </w:p>
    <w:p w14:paraId="3D3C0227">
      <w:pPr>
        <w:pStyle w:val="61"/>
        <w:ind w:firstLine="0" w:firstLineChars="0"/>
        <w:rPr>
          <w:b/>
          <w:bCs/>
          <w:color w:val="auto"/>
          <w:highlight w:val="none"/>
        </w:rPr>
      </w:pPr>
      <w:bookmarkStart w:id="40" w:name="_Toc103701321"/>
    </w:p>
    <w:p w14:paraId="7CBD860E">
      <w:pPr>
        <w:pStyle w:val="61"/>
        <w:ind w:firstLine="0" w:firstLineChars="0"/>
        <w:rPr>
          <w:rFonts w:asciiTheme="minorEastAsia" w:hAnsiTheme="minorEastAsia" w:eastAsiaTheme="minorEastAsia"/>
          <w:b/>
          <w:bCs/>
          <w:color w:val="auto"/>
          <w:highlight w:val="none"/>
        </w:rPr>
      </w:pPr>
    </w:p>
    <w:p w14:paraId="1D9C77E2">
      <w:pPr>
        <w:spacing w:line="480" w:lineRule="auto"/>
        <w:ind w:left="1928" w:hanging="2160" w:hangingChars="600"/>
        <w:jc w:val="center"/>
        <w:rPr>
          <w:rFonts w:hint="eastAsia" w:ascii="方正小标宋简体" w:hAnsi="方正小标宋简体" w:eastAsia="方正小标宋简体" w:cs="方正小标宋简体"/>
          <w:b w:val="0"/>
          <w:bCs w:val="0"/>
          <w:color w:val="auto"/>
          <w:sz w:val="36"/>
          <w:szCs w:val="36"/>
          <w:highlight w:val="none"/>
        </w:rPr>
      </w:pPr>
      <w:r>
        <w:rPr>
          <w:rFonts w:hint="eastAsia" w:ascii="方正小标宋简体" w:hAnsi="方正小标宋简体" w:eastAsia="方正小标宋简体" w:cs="方正小标宋简体"/>
          <w:b w:val="0"/>
          <w:bCs w:val="0"/>
          <w:color w:val="auto"/>
          <w:sz w:val="36"/>
          <w:szCs w:val="36"/>
          <w:highlight w:val="none"/>
        </w:rPr>
        <w:t>国家计算机网络与信息安全管理中心江西分中心</w:t>
      </w:r>
    </w:p>
    <w:p w14:paraId="3211CECC">
      <w:pPr>
        <w:spacing w:line="480" w:lineRule="auto"/>
        <w:ind w:left="1928" w:hanging="2160" w:hangingChars="600"/>
        <w:jc w:val="center"/>
        <w:rPr>
          <w:rFonts w:hint="eastAsia" w:ascii="方正小标宋简体" w:hAnsi="方正小标宋简体" w:eastAsia="方正小标宋简体" w:cs="方正小标宋简体"/>
          <w:b w:val="0"/>
          <w:bCs w:val="0"/>
          <w:color w:val="auto"/>
          <w:sz w:val="36"/>
          <w:szCs w:val="36"/>
          <w:highlight w:val="none"/>
          <w:lang w:eastAsia="zh-CN"/>
        </w:rPr>
      </w:pPr>
      <w:r>
        <w:rPr>
          <w:rFonts w:hint="eastAsia" w:ascii="方正小标宋简体" w:hAnsi="方正小标宋简体" w:eastAsia="方正小标宋简体" w:cs="方正小标宋简体"/>
          <w:b w:val="0"/>
          <w:bCs w:val="0"/>
          <w:color w:val="auto"/>
          <w:sz w:val="36"/>
          <w:szCs w:val="36"/>
          <w:highlight w:val="none"/>
        </w:rPr>
        <w:t>202</w:t>
      </w:r>
      <w:r>
        <w:rPr>
          <w:rFonts w:hint="eastAsia" w:ascii="方正小标宋简体" w:hAnsi="方正小标宋简体" w:eastAsia="方正小标宋简体" w:cs="方正小标宋简体"/>
          <w:b w:val="0"/>
          <w:bCs w:val="0"/>
          <w:color w:val="auto"/>
          <w:sz w:val="36"/>
          <w:szCs w:val="36"/>
          <w:highlight w:val="none"/>
          <w:lang w:val="en-US" w:eastAsia="zh-CN"/>
        </w:rPr>
        <w:t>5</w:t>
      </w:r>
      <w:r>
        <w:rPr>
          <w:rFonts w:hint="eastAsia" w:ascii="方正小标宋简体" w:hAnsi="方正小标宋简体" w:eastAsia="方正小标宋简体" w:cs="方正小标宋简体"/>
          <w:b w:val="0"/>
          <w:bCs w:val="0"/>
          <w:color w:val="auto"/>
          <w:sz w:val="36"/>
          <w:szCs w:val="36"/>
          <w:highlight w:val="none"/>
        </w:rPr>
        <w:t>年综合机房楼物业综合管理服务</w:t>
      </w:r>
      <w:r>
        <w:rPr>
          <w:rFonts w:hint="eastAsia" w:ascii="方正小标宋简体" w:hAnsi="方正小标宋简体" w:eastAsia="方正小标宋简体" w:cs="方正小标宋简体"/>
          <w:b w:val="0"/>
          <w:bCs w:val="0"/>
          <w:color w:val="auto"/>
          <w:sz w:val="36"/>
          <w:szCs w:val="36"/>
          <w:highlight w:val="none"/>
          <w:lang w:eastAsia="zh-CN"/>
        </w:rPr>
        <w:t>合同</w:t>
      </w:r>
    </w:p>
    <w:p w14:paraId="3122B8F5">
      <w:pPr>
        <w:pStyle w:val="4"/>
        <w:rPr>
          <w:rFonts w:hint="eastAsia"/>
          <w:color w:val="auto"/>
          <w:highlight w:val="none"/>
          <w:lang w:eastAsia="zh-CN"/>
        </w:rPr>
      </w:pPr>
    </w:p>
    <w:p w14:paraId="425338DE">
      <w:pPr>
        <w:rPr>
          <w:rFonts w:hint="eastAsia" w:ascii="仿宋_GB2312" w:hAnsi="仿宋_GB2312" w:eastAsia="仿宋_GB2312" w:cs="仿宋_GB2312"/>
          <w:color w:val="auto"/>
          <w:kern w:val="0"/>
          <w:sz w:val="24"/>
          <w:szCs w:val="24"/>
          <w:highlight w:val="none"/>
        </w:rPr>
      </w:pPr>
      <w:r>
        <w:rPr>
          <w:rFonts w:hint="eastAsia" w:ascii="仿宋_GB2312" w:hAnsi="仿宋_GB2312" w:eastAsia="仿宋_GB2312" w:cs="仿宋_GB2312"/>
          <w:color w:val="auto"/>
          <w:kern w:val="0"/>
          <w:sz w:val="24"/>
          <w:szCs w:val="24"/>
          <w:highlight w:val="none"/>
        </w:rPr>
        <w:t>甲方（采购</w:t>
      </w:r>
      <w:r>
        <w:rPr>
          <w:rFonts w:hint="eastAsia" w:ascii="仿宋_GB2312" w:hAnsi="仿宋_GB2312" w:eastAsia="仿宋_GB2312" w:cs="仿宋_GB2312"/>
          <w:color w:val="auto"/>
          <w:kern w:val="0"/>
          <w:sz w:val="24"/>
          <w:szCs w:val="24"/>
          <w:highlight w:val="none"/>
          <w:lang w:eastAsia="zh-CN"/>
        </w:rPr>
        <w:t>人</w:t>
      </w:r>
      <w:r>
        <w:rPr>
          <w:rFonts w:hint="eastAsia" w:ascii="仿宋_GB2312" w:hAnsi="仿宋_GB2312" w:eastAsia="仿宋_GB2312" w:cs="仿宋_GB2312"/>
          <w:color w:val="auto"/>
          <w:kern w:val="0"/>
          <w:sz w:val="24"/>
          <w:szCs w:val="24"/>
          <w:highlight w:val="none"/>
        </w:rPr>
        <w:t>）：</w:t>
      </w:r>
    </w:p>
    <w:p w14:paraId="55ECFEB1">
      <w:pPr>
        <w:pStyle w:val="2"/>
        <w:rPr>
          <w:rFonts w:hint="default" w:ascii="宋体" w:hAnsi="Times New Roman" w:eastAsia="宋体" w:cs="Times New Roman"/>
          <w:color w:val="auto"/>
          <w:kern w:val="0"/>
          <w:sz w:val="21"/>
          <w:szCs w:val="20"/>
          <w:highlight w:val="none"/>
        </w:rPr>
      </w:pPr>
    </w:p>
    <w:p w14:paraId="309E9C09">
      <w:pPr>
        <w:pStyle w:val="10"/>
        <w:jc w:val="both"/>
        <w:rPr>
          <w:rFonts w:hint="eastAsia" w:ascii="仿宋_GB2312" w:hAnsi="仿宋_GB2312" w:eastAsia="仿宋_GB2312" w:cs="仿宋_GB2312"/>
          <w:color w:val="auto"/>
          <w:kern w:val="0"/>
          <w:sz w:val="24"/>
          <w:szCs w:val="24"/>
          <w:highlight w:val="none"/>
        </w:rPr>
      </w:pPr>
      <w:r>
        <w:rPr>
          <w:rFonts w:hint="eastAsia" w:ascii="仿宋_GB2312" w:hAnsi="仿宋_GB2312" w:eastAsia="仿宋_GB2312" w:cs="仿宋_GB2312"/>
          <w:color w:val="auto"/>
          <w:kern w:val="0"/>
          <w:sz w:val="24"/>
          <w:szCs w:val="24"/>
          <w:highlight w:val="none"/>
        </w:rPr>
        <w:t>乙方（</w:t>
      </w:r>
      <w:r>
        <w:rPr>
          <w:rFonts w:hint="eastAsia" w:ascii="仿宋_GB2312" w:hAnsi="仿宋_GB2312" w:eastAsia="仿宋_GB2312" w:cs="仿宋_GB2312"/>
          <w:color w:val="auto"/>
          <w:kern w:val="0"/>
          <w:sz w:val="24"/>
          <w:szCs w:val="24"/>
          <w:highlight w:val="none"/>
          <w:lang w:eastAsia="zh-CN"/>
        </w:rPr>
        <w:t>成交供应商</w:t>
      </w:r>
      <w:r>
        <w:rPr>
          <w:rFonts w:hint="eastAsia" w:ascii="仿宋_GB2312" w:hAnsi="仿宋_GB2312" w:eastAsia="仿宋_GB2312" w:cs="仿宋_GB2312"/>
          <w:color w:val="auto"/>
          <w:kern w:val="0"/>
          <w:sz w:val="24"/>
          <w:szCs w:val="24"/>
          <w:highlight w:val="none"/>
        </w:rPr>
        <w:t>）：</w:t>
      </w:r>
    </w:p>
    <w:p w14:paraId="04FD7703">
      <w:pPr>
        <w:pStyle w:val="10"/>
        <w:rPr>
          <w:rFonts w:hint="eastAsia" w:ascii="仿宋_GB2312" w:hAnsi="仿宋_GB2312" w:eastAsia="仿宋_GB2312" w:cs="仿宋_GB2312"/>
          <w:color w:val="auto"/>
          <w:kern w:val="0"/>
          <w:sz w:val="24"/>
          <w:szCs w:val="24"/>
          <w:highlight w:val="none"/>
        </w:rPr>
      </w:pPr>
    </w:p>
    <w:p w14:paraId="604D99A8">
      <w:pPr>
        <w:adjustRightInd w:val="0"/>
        <w:snapToGrid w:val="0"/>
        <w:spacing w:line="360" w:lineRule="auto"/>
        <w:ind w:firstLine="480" w:firstLineChars="200"/>
        <w:jc w:val="left"/>
        <w:rPr>
          <w:rFonts w:hint="eastAsia" w:ascii="仿宋_GB2312" w:hAnsi="仿宋_GB2312" w:eastAsia="仿宋_GB2312" w:cs="仿宋_GB2312"/>
          <w:color w:val="auto"/>
          <w:kern w:val="0"/>
          <w:sz w:val="24"/>
          <w:szCs w:val="24"/>
          <w:highlight w:val="none"/>
        </w:rPr>
      </w:pPr>
      <w:r>
        <w:rPr>
          <w:rFonts w:hint="eastAsia" w:ascii="仿宋_GB2312" w:hAnsi="仿宋_GB2312" w:eastAsia="仿宋_GB2312" w:cs="仿宋_GB2312"/>
          <w:color w:val="auto"/>
          <w:sz w:val="24"/>
          <w:szCs w:val="24"/>
          <w:highlight w:val="none"/>
        </w:rPr>
        <w:t>根据</w:t>
      </w:r>
      <w:r>
        <w:rPr>
          <w:rFonts w:hint="eastAsia" w:ascii="仿宋_GB2312" w:hAnsi="仿宋_GB2312" w:eastAsia="仿宋_GB2312" w:cs="仿宋_GB2312"/>
          <w:color w:val="auto"/>
          <w:kern w:val="0"/>
          <w:sz w:val="24"/>
          <w:szCs w:val="24"/>
          <w:highlight w:val="none"/>
        </w:rPr>
        <w:t>《中华人民共和国民法典》《物业管理条例》等有关法律、法规的规定，</w:t>
      </w:r>
      <w:r>
        <w:rPr>
          <w:rFonts w:hint="eastAsia" w:ascii="仿宋_GB2312" w:hAnsi="仿宋_GB2312" w:eastAsia="仿宋_GB2312" w:cs="仿宋_GB2312"/>
          <w:color w:val="auto"/>
          <w:sz w:val="24"/>
          <w:szCs w:val="24"/>
          <w:highlight w:val="none"/>
        </w:rPr>
        <w:t>甲乙双方本着自愿、平等、诚信的原则，经友好协商，甲方将</w:t>
      </w:r>
      <w:r>
        <w:rPr>
          <w:rFonts w:hint="eastAsia" w:ascii="仿宋_GB2312" w:hAnsi="仿宋_GB2312" w:eastAsia="仿宋_GB2312" w:cs="仿宋_GB2312"/>
          <w:color w:val="auto"/>
          <w:kern w:val="0"/>
          <w:sz w:val="24"/>
          <w:szCs w:val="24"/>
          <w:highlight w:val="none"/>
        </w:rPr>
        <w:t>国家计算机网络与信息安全管理中心江西分中心综合机房楼相关物业委托给乙方实施物业</w:t>
      </w:r>
      <w:r>
        <w:rPr>
          <w:rFonts w:hint="eastAsia" w:ascii="仿宋_GB2312" w:hAnsi="仿宋_GB2312" w:eastAsia="仿宋_GB2312" w:cs="仿宋_GB2312"/>
          <w:color w:val="auto"/>
          <w:sz w:val="24"/>
          <w:szCs w:val="24"/>
          <w:highlight w:val="none"/>
        </w:rPr>
        <w:t>管理</w:t>
      </w:r>
      <w:r>
        <w:rPr>
          <w:rFonts w:hint="eastAsia" w:ascii="仿宋_GB2312" w:hAnsi="仿宋_GB2312" w:eastAsia="仿宋_GB2312" w:cs="仿宋_GB2312"/>
          <w:color w:val="auto"/>
          <w:kern w:val="0"/>
          <w:sz w:val="24"/>
          <w:szCs w:val="24"/>
          <w:highlight w:val="none"/>
        </w:rPr>
        <w:t>服务</w:t>
      </w:r>
      <w:r>
        <w:rPr>
          <w:rFonts w:hint="eastAsia" w:ascii="仿宋_GB2312" w:hAnsi="仿宋_GB2312" w:eastAsia="仿宋_GB2312" w:cs="仿宋_GB2312"/>
          <w:color w:val="auto"/>
          <w:sz w:val="24"/>
          <w:szCs w:val="24"/>
          <w:highlight w:val="none"/>
        </w:rPr>
        <w:t>，并签订本合同</w:t>
      </w:r>
      <w:r>
        <w:rPr>
          <w:rFonts w:hint="eastAsia" w:ascii="仿宋_GB2312" w:hAnsi="仿宋_GB2312" w:eastAsia="仿宋_GB2312" w:cs="仿宋_GB2312"/>
          <w:color w:val="auto"/>
          <w:sz w:val="24"/>
          <w:szCs w:val="24"/>
          <w:highlight w:val="none"/>
          <w:lang w:eastAsia="zh-CN"/>
        </w:rPr>
        <w:t>。</w:t>
      </w:r>
      <w:r>
        <w:rPr>
          <w:rFonts w:hint="eastAsia" w:ascii="仿宋_GB2312" w:hAnsi="仿宋_GB2312" w:eastAsia="仿宋_GB2312" w:cs="仿宋_GB2312"/>
          <w:color w:val="auto"/>
          <w:sz w:val="24"/>
          <w:szCs w:val="24"/>
          <w:highlight w:val="none"/>
        </w:rPr>
        <w:t>本项目的公开招标文件及响应文件均为本合同不可分割之一部分。</w:t>
      </w:r>
    </w:p>
    <w:p w14:paraId="32428B37">
      <w:pPr>
        <w:pStyle w:val="10"/>
        <w:numPr>
          <w:ilvl w:val="0"/>
          <w:numId w:val="11"/>
        </w:numPr>
        <w:jc w:val="left"/>
        <w:rPr>
          <w:rFonts w:hint="eastAsia" w:ascii="黑体" w:hAnsi="黑体" w:eastAsia="黑体" w:cs="黑体"/>
          <w:b w:val="0"/>
          <w:bCs w:val="0"/>
          <w:color w:val="auto"/>
          <w:kern w:val="0"/>
          <w:sz w:val="24"/>
          <w:szCs w:val="24"/>
          <w:highlight w:val="none"/>
        </w:rPr>
      </w:pPr>
      <w:r>
        <w:rPr>
          <w:rFonts w:hint="eastAsia" w:ascii="黑体" w:hAnsi="黑体" w:eastAsia="黑体" w:cs="黑体"/>
          <w:b w:val="0"/>
          <w:bCs w:val="0"/>
          <w:color w:val="auto"/>
          <w:kern w:val="0"/>
          <w:sz w:val="24"/>
          <w:szCs w:val="24"/>
          <w:highlight w:val="none"/>
        </w:rPr>
        <w:t xml:space="preserve"> 物业基本情况</w:t>
      </w:r>
    </w:p>
    <w:p w14:paraId="515BF7E8">
      <w:pPr>
        <w:spacing w:line="360" w:lineRule="auto"/>
        <w:ind w:firstLine="480" w:firstLineChars="200"/>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项目名称：国家计算机网络与信息安全管理中心江西分中心综合机房楼物业管理服务项目</w:t>
      </w:r>
    </w:p>
    <w:p w14:paraId="3A1BC668">
      <w:pPr>
        <w:spacing w:line="360" w:lineRule="auto"/>
        <w:ind w:firstLine="480" w:firstLineChars="200"/>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物业类型：办公楼</w:t>
      </w:r>
    </w:p>
    <w:p w14:paraId="3D9D7FE5">
      <w:pPr>
        <w:spacing w:line="360" w:lineRule="auto"/>
        <w:ind w:firstLine="480" w:firstLineChars="200"/>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坐落位置：江西省南昌市红谷滩区广昌路198号</w:t>
      </w:r>
    </w:p>
    <w:p w14:paraId="0DDF727C">
      <w:pPr>
        <w:spacing w:line="360" w:lineRule="auto"/>
        <w:ind w:firstLine="480" w:firstLineChars="200"/>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项目信息：综合机房楼物业管理范围共6层（地面4层、楼顶1层、地下1层），服务面积共计19608平方米，其中：室外园区面积7523平方米，建筑面积12085平方米。设有停车场、办公室、设备机房、大小会议室、多媒体报告厅、监控机房等专用场所，配有电梯（2部）、中央空调、高低压配电及发电机组、生活及消防泵房、消防、安防监控等一系列大型设备。</w:t>
      </w:r>
    </w:p>
    <w:p w14:paraId="509C8B7E">
      <w:pPr>
        <w:pStyle w:val="10"/>
        <w:numPr>
          <w:ilvl w:val="0"/>
          <w:numId w:val="11"/>
        </w:numPr>
        <w:jc w:val="left"/>
        <w:rPr>
          <w:rFonts w:hint="eastAsia" w:ascii="黑体" w:hAnsi="黑体" w:eastAsia="黑体" w:cs="黑体"/>
          <w:b w:val="0"/>
          <w:bCs w:val="0"/>
          <w:color w:val="auto"/>
          <w:kern w:val="0"/>
          <w:sz w:val="24"/>
          <w:szCs w:val="24"/>
          <w:highlight w:val="none"/>
        </w:rPr>
      </w:pPr>
      <w:r>
        <w:rPr>
          <w:rFonts w:hint="eastAsia" w:ascii="黑体" w:hAnsi="黑体" w:eastAsia="黑体" w:cs="黑体"/>
          <w:b w:val="0"/>
          <w:bCs w:val="0"/>
          <w:color w:val="auto"/>
          <w:kern w:val="0"/>
          <w:sz w:val="24"/>
          <w:szCs w:val="24"/>
          <w:highlight w:val="none"/>
        </w:rPr>
        <w:t xml:space="preserve"> 委托管理项目</w:t>
      </w:r>
    </w:p>
    <w:p w14:paraId="07FB7FD1">
      <w:pPr>
        <w:spacing w:line="360" w:lineRule="auto"/>
        <w:ind w:firstLine="480" w:firstLineChars="200"/>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1、房屋建筑本体公共部位的维修、养护和管理。</w:t>
      </w:r>
    </w:p>
    <w:p w14:paraId="05A6A107">
      <w:pPr>
        <w:spacing w:line="360" w:lineRule="auto"/>
        <w:ind w:firstLine="480" w:firstLineChars="200"/>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2、房屋建筑本体公用配套设施设备(如</w:t>
      </w:r>
      <w:r>
        <w:rPr>
          <w:rFonts w:hint="eastAsia" w:ascii="仿宋_GB2312" w:hAnsi="仿宋_GB2312" w:eastAsia="仿宋_GB2312" w:cs="仿宋_GB2312"/>
          <w:color w:val="auto"/>
          <w:sz w:val="24"/>
          <w:szCs w:val="24"/>
          <w:highlight w:val="none"/>
          <w:lang w:eastAsia="zh-CN"/>
        </w:rPr>
        <w:t>照明系统、</w:t>
      </w:r>
      <w:r>
        <w:rPr>
          <w:rFonts w:hint="eastAsia" w:ascii="仿宋_GB2312" w:hAnsi="仿宋_GB2312" w:eastAsia="仿宋_GB2312" w:cs="仿宋_GB2312"/>
          <w:color w:val="auto"/>
          <w:sz w:val="24"/>
          <w:szCs w:val="24"/>
          <w:highlight w:val="none"/>
        </w:rPr>
        <w:t>给排水系统、电梯系统、中央空调系统</w:t>
      </w:r>
      <w:r>
        <w:rPr>
          <w:rFonts w:hint="eastAsia" w:ascii="仿宋_GB2312" w:hAnsi="仿宋_GB2312" w:eastAsia="仿宋_GB2312" w:cs="仿宋_GB2312"/>
          <w:color w:val="auto"/>
          <w:sz w:val="24"/>
          <w:szCs w:val="24"/>
          <w:highlight w:val="none"/>
          <w:lang w:eastAsia="zh-CN"/>
        </w:rPr>
        <w:t>、</w:t>
      </w:r>
      <w:r>
        <w:rPr>
          <w:rFonts w:hint="eastAsia" w:ascii="仿宋_GB2312" w:hAnsi="仿宋_GB2312" w:eastAsia="仿宋_GB2312" w:cs="仿宋_GB2312"/>
          <w:color w:val="auto"/>
          <w:sz w:val="24"/>
          <w:szCs w:val="24"/>
          <w:highlight w:val="none"/>
        </w:rPr>
        <w:t>建筑消防系统等)的维修、养护、运行管理。</w:t>
      </w:r>
    </w:p>
    <w:p w14:paraId="4C7C8BD9">
      <w:pPr>
        <w:spacing w:line="360" w:lineRule="auto"/>
        <w:ind w:firstLine="480" w:firstLineChars="200"/>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3、智能化安防系统（主要包括门禁系统、道闸管理系统和监控系统）的运行、维护、维修管理。</w:t>
      </w:r>
    </w:p>
    <w:p w14:paraId="6B97A56D">
      <w:pPr>
        <w:spacing w:line="360" w:lineRule="auto"/>
        <w:ind w:firstLine="480" w:firstLineChars="200"/>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4、本物业范围内的共用设施(道路、沟渠、池、井、路灯、停车管理装置、办公家具、隔房玻璃、天面防腐木等)的维修、养护和管理。</w:t>
      </w:r>
    </w:p>
    <w:p w14:paraId="65BB50AD">
      <w:pPr>
        <w:spacing w:line="360" w:lineRule="auto"/>
        <w:ind w:firstLine="480" w:firstLineChars="200"/>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5、本物业范围内的卫生清洁、大理石养护、垃圾收集清运、厨房养护、油烟机清洗、异味清除及化粪池清掏等。病媒生物预防控制管理、定期清杀“四害”，预防及监测白蚁。</w:t>
      </w:r>
    </w:p>
    <w:p w14:paraId="45A2B931">
      <w:pPr>
        <w:spacing w:line="360" w:lineRule="auto"/>
        <w:ind w:firstLine="480" w:firstLineChars="200"/>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6、本物业范围内的绿化维护及</w:t>
      </w:r>
      <w:r>
        <w:rPr>
          <w:rFonts w:hint="eastAsia" w:ascii="仿宋_GB2312" w:hAnsi="仿宋_GB2312" w:eastAsia="仿宋_GB2312" w:cs="仿宋_GB2312"/>
          <w:color w:val="auto"/>
          <w:sz w:val="24"/>
          <w:szCs w:val="24"/>
          <w:highlight w:val="none"/>
          <w:lang w:eastAsia="zh-CN"/>
        </w:rPr>
        <w:t>补种</w:t>
      </w:r>
      <w:r>
        <w:rPr>
          <w:rFonts w:hint="eastAsia" w:ascii="仿宋_GB2312" w:hAnsi="仿宋_GB2312" w:eastAsia="仿宋_GB2312" w:cs="仿宋_GB2312"/>
          <w:color w:val="auto"/>
          <w:sz w:val="24"/>
          <w:szCs w:val="24"/>
          <w:highlight w:val="none"/>
        </w:rPr>
        <w:t>更换，日常四季绿植摆放和节假日绿植摆放、氛围营造管理。本条中所涉及的绿化实施过程中以完全满足甲方需求为执行标准。</w:t>
      </w:r>
    </w:p>
    <w:p w14:paraId="23717A05">
      <w:pPr>
        <w:spacing w:line="360" w:lineRule="auto"/>
        <w:ind w:firstLine="480" w:firstLineChars="200"/>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7、外墙玻璃及隔房玻璃每年清洗保养一次</w:t>
      </w:r>
      <w:r>
        <w:rPr>
          <w:rFonts w:hint="eastAsia" w:ascii="仿宋_GB2312" w:hAnsi="仿宋_GB2312" w:eastAsia="仿宋_GB2312" w:cs="仿宋_GB2312"/>
          <w:color w:val="auto"/>
          <w:sz w:val="24"/>
          <w:szCs w:val="24"/>
          <w:highlight w:val="none"/>
          <w:lang w:eastAsia="zh-CN"/>
        </w:rPr>
        <w:t>，</w:t>
      </w:r>
      <w:r>
        <w:rPr>
          <w:rFonts w:hint="eastAsia" w:ascii="仿宋_GB2312" w:hAnsi="仿宋_GB2312" w:eastAsia="仿宋_GB2312" w:cs="仿宋_GB2312"/>
          <w:color w:val="auto"/>
          <w:sz w:val="24"/>
          <w:szCs w:val="24"/>
          <w:highlight w:val="none"/>
        </w:rPr>
        <w:t>食堂油烟机全年清洗四次，五楼天台防腐木每年</w:t>
      </w:r>
      <w:r>
        <w:rPr>
          <w:rFonts w:hint="eastAsia" w:ascii="仿宋_GB2312" w:hAnsi="仿宋_GB2312" w:eastAsia="仿宋_GB2312" w:cs="仿宋_GB2312"/>
          <w:color w:val="auto"/>
          <w:sz w:val="24"/>
          <w:szCs w:val="24"/>
          <w:highlight w:val="none"/>
          <w:lang w:eastAsia="zh-CN"/>
        </w:rPr>
        <w:t>养护</w:t>
      </w:r>
      <w:r>
        <w:rPr>
          <w:rFonts w:hint="eastAsia" w:ascii="仿宋_GB2312" w:hAnsi="仿宋_GB2312" w:eastAsia="仿宋_GB2312" w:cs="仿宋_GB2312"/>
          <w:color w:val="auto"/>
          <w:sz w:val="24"/>
          <w:szCs w:val="24"/>
          <w:highlight w:val="none"/>
        </w:rPr>
        <w:t>刷新一次，空调</w:t>
      </w:r>
      <w:r>
        <w:rPr>
          <w:rFonts w:hint="eastAsia" w:ascii="仿宋_GB2312" w:hAnsi="仿宋_GB2312" w:eastAsia="仿宋_GB2312" w:cs="仿宋_GB2312"/>
          <w:color w:val="auto"/>
          <w:sz w:val="24"/>
          <w:szCs w:val="24"/>
          <w:highlight w:val="none"/>
          <w:lang w:eastAsia="zh-CN"/>
        </w:rPr>
        <w:t>主机（含滤网、</w:t>
      </w:r>
      <w:r>
        <w:rPr>
          <w:rFonts w:hint="eastAsia" w:ascii="仿宋_GB2312" w:hAnsi="仿宋_GB2312" w:eastAsia="仿宋_GB2312" w:cs="仿宋_GB2312"/>
          <w:color w:val="auto"/>
          <w:sz w:val="24"/>
          <w:szCs w:val="24"/>
          <w:highlight w:val="none"/>
        </w:rPr>
        <w:t>风机盘管</w:t>
      </w:r>
      <w:r>
        <w:rPr>
          <w:rFonts w:hint="eastAsia" w:ascii="仿宋_GB2312" w:hAnsi="仿宋_GB2312" w:eastAsia="仿宋_GB2312" w:cs="仿宋_GB2312"/>
          <w:color w:val="auto"/>
          <w:sz w:val="24"/>
          <w:szCs w:val="24"/>
          <w:highlight w:val="none"/>
          <w:lang w:eastAsia="zh-CN"/>
        </w:rPr>
        <w:t>）及室外机</w:t>
      </w:r>
      <w:r>
        <w:rPr>
          <w:rFonts w:hint="eastAsia" w:ascii="仿宋_GB2312" w:hAnsi="仿宋_GB2312" w:eastAsia="仿宋_GB2312" w:cs="仿宋_GB2312"/>
          <w:color w:val="auto"/>
          <w:sz w:val="24"/>
          <w:szCs w:val="24"/>
          <w:highlight w:val="none"/>
        </w:rPr>
        <w:t>一年清洗二次。</w:t>
      </w:r>
    </w:p>
    <w:p w14:paraId="2EFB5439">
      <w:pPr>
        <w:spacing w:line="360" w:lineRule="auto"/>
        <w:ind w:firstLine="480" w:firstLineChars="200"/>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8、本物业范围内</w:t>
      </w:r>
      <w:r>
        <w:rPr>
          <w:rFonts w:hint="eastAsia" w:ascii="仿宋_GB2312" w:hAnsi="仿宋_GB2312" w:eastAsia="仿宋_GB2312" w:cs="仿宋_GB2312"/>
          <w:color w:val="auto"/>
          <w:sz w:val="24"/>
          <w:szCs w:val="24"/>
          <w:highlight w:val="none"/>
          <w:lang w:eastAsia="zh-CN"/>
        </w:rPr>
        <w:t>的前台客服</w:t>
      </w:r>
      <w:r>
        <w:rPr>
          <w:rFonts w:hint="eastAsia" w:ascii="仿宋_GB2312" w:hAnsi="仿宋_GB2312" w:eastAsia="仿宋_GB2312" w:cs="仿宋_GB2312"/>
          <w:color w:val="auto"/>
          <w:sz w:val="24"/>
          <w:szCs w:val="24"/>
          <w:highlight w:val="none"/>
        </w:rPr>
        <w:t>接待和会</w:t>
      </w:r>
      <w:r>
        <w:rPr>
          <w:rFonts w:hint="eastAsia" w:ascii="仿宋_GB2312" w:hAnsi="仿宋_GB2312" w:eastAsia="仿宋_GB2312" w:cs="仿宋_GB2312"/>
          <w:color w:val="auto"/>
          <w:sz w:val="24"/>
          <w:szCs w:val="24"/>
          <w:highlight w:val="none"/>
          <w:lang w:eastAsia="zh-CN"/>
        </w:rPr>
        <w:t>务保障</w:t>
      </w:r>
      <w:r>
        <w:rPr>
          <w:rFonts w:hint="eastAsia" w:ascii="仿宋_GB2312" w:hAnsi="仿宋_GB2312" w:eastAsia="仿宋_GB2312" w:cs="仿宋_GB2312"/>
          <w:color w:val="auto"/>
          <w:sz w:val="24"/>
          <w:szCs w:val="24"/>
          <w:highlight w:val="none"/>
        </w:rPr>
        <w:t>服务。</w:t>
      </w:r>
    </w:p>
    <w:p w14:paraId="4961DC97">
      <w:pPr>
        <w:spacing w:line="360" w:lineRule="auto"/>
        <w:ind w:firstLine="480" w:firstLineChars="200"/>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9、本物业范围内的交通、车辆行驶、停泊管理和非机动车的管理等秩序维护服务。</w:t>
      </w:r>
    </w:p>
    <w:p w14:paraId="6393F2E3">
      <w:pPr>
        <w:spacing w:line="360" w:lineRule="auto"/>
        <w:ind w:firstLine="480" w:firstLineChars="200"/>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10、本物业范围内的</w:t>
      </w:r>
      <w:r>
        <w:rPr>
          <w:rFonts w:hint="eastAsia" w:ascii="仿宋_GB2312" w:hAnsi="仿宋_GB2312" w:eastAsia="仿宋_GB2312" w:cs="仿宋_GB2312"/>
          <w:color w:val="auto"/>
          <w:sz w:val="24"/>
          <w:szCs w:val="24"/>
          <w:highlight w:val="none"/>
          <w:lang w:eastAsia="zh-CN"/>
        </w:rPr>
        <w:t>出入管理、</w:t>
      </w:r>
      <w:r>
        <w:rPr>
          <w:rFonts w:hint="eastAsia" w:ascii="仿宋_GB2312" w:hAnsi="仿宋_GB2312" w:eastAsia="仿宋_GB2312" w:cs="仿宋_GB2312"/>
          <w:color w:val="auto"/>
          <w:sz w:val="24"/>
          <w:szCs w:val="24"/>
          <w:highlight w:val="none"/>
        </w:rPr>
        <w:t>安全监控、巡视</w:t>
      </w:r>
      <w:r>
        <w:rPr>
          <w:rFonts w:hint="eastAsia" w:ascii="仿宋_GB2312" w:hAnsi="仿宋_GB2312" w:eastAsia="仿宋_GB2312" w:cs="仿宋_GB2312"/>
          <w:color w:val="auto"/>
          <w:sz w:val="24"/>
          <w:szCs w:val="24"/>
          <w:highlight w:val="none"/>
          <w:lang w:eastAsia="zh-CN"/>
        </w:rPr>
        <w:t>巡检</w:t>
      </w:r>
      <w:r>
        <w:rPr>
          <w:rFonts w:hint="eastAsia" w:ascii="仿宋_GB2312" w:hAnsi="仿宋_GB2312" w:eastAsia="仿宋_GB2312" w:cs="仿宋_GB2312"/>
          <w:color w:val="auto"/>
          <w:sz w:val="24"/>
          <w:szCs w:val="24"/>
          <w:highlight w:val="none"/>
        </w:rPr>
        <w:t>、公共秩序管理等安保服务。</w:t>
      </w:r>
    </w:p>
    <w:p w14:paraId="1014DE83">
      <w:pPr>
        <w:spacing w:line="360" w:lineRule="auto"/>
        <w:ind w:firstLine="480" w:firstLineChars="200"/>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11、食堂餐饮及管理服务。</w:t>
      </w:r>
    </w:p>
    <w:p w14:paraId="6D60F1AF">
      <w:pPr>
        <w:spacing w:line="360" w:lineRule="auto"/>
        <w:ind w:firstLine="480" w:firstLineChars="200"/>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12、物业档案资料管理。</w:t>
      </w:r>
    </w:p>
    <w:p w14:paraId="7811A6B2">
      <w:pPr>
        <w:spacing w:line="360" w:lineRule="auto"/>
        <w:ind w:firstLine="480" w:firstLineChars="200"/>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13、法规和政策、公开招投标文件及双方协定由物业管理公司管理的其它事项。</w:t>
      </w:r>
    </w:p>
    <w:p w14:paraId="63B86D88">
      <w:pPr>
        <w:spacing w:line="360" w:lineRule="auto"/>
        <w:ind w:firstLine="0" w:firstLineChars="0"/>
        <w:rPr>
          <w:rFonts w:hint="eastAsia" w:ascii="黑体" w:hAnsi="黑体" w:eastAsia="黑体" w:cs="黑体"/>
          <w:b w:val="0"/>
          <w:bCs w:val="0"/>
          <w:color w:val="auto"/>
          <w:kern w:val="0"/>
          <w:sz w:val="24"/>
          <w:szCs w:val="24"/>
          <w:highlight w:val="none"/>
        </w:rPr>
      </w:pPr>
      <w:r>
        <w:rPr>
          <w:rFonts w:hint="eastAsia" w:ascii="黑体" w:hAnsi="黑体" w:eastAsia="黑体" w:cs="黑体"/>
          <w:b w:val="0"/>
          <w:bCs w:val="0"/>
          <w:color w:val="auto"/>
          <w:kern w:val="0"/>
          <w:sz w:val="24"/>
          <w:szCs w:val="24"/>
          <w:highlight w:val="none"/>
        </w:rPr>
        <w:t>第三条  物业服务基本要求及目标</w:t>
      </w:r>
    </w:p>
    <w:p w14:paraId="7FF643B5">
      <w:pPr>
        <w:spacing w:line="360" w:lineRule="auto"/>
        <w:ind w:firstLine="480" w:firstLineChars="200"/>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合同期限内，物业管理的总标准和服务计划按公开招投标文件要求完成，分项标准要求如下：</w:t>
      </w:r>
    </w:p>
    <w:p w14:paraId="4E3FA570">
      <w:pPr>
        <w:numPr>
          <w:ilvl w:val="0"/>
          <w:numId w:val="12"/>
        </w:numPr>
        <w:spacing w:line="360" w:lineRule="auto"/>
        <w:ind w:firstLine="480" w:firstLineChars="200"/>
        <w:jc w:val="left"/>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合同期内按照《全国物业管理示范大厦标准》实施物业服务；</w:t>
      </w:r>
    </w:p>
    <w:p w14:paraId="2A5CF1CB">
      <w:pPr>
        <w:spacing w:line="360" w:lineRule="auto"/>
        <w:ind w:firstLine="480" w:firstLineChars="200"/>
        <w:jc w:val="left"/>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2、物业人员统一制服，佩戴标志，行为规范，服务主动、热情；</w:t>
      </w:r>
    </w:p>
    <w:p w14:paraId="6BA60A63">
      <w:pPr>
        <w:spacing w:line="360" w:lineRule="auto"/>
        <w:ind w:firstLine="480" w:firstLineChars="200"/>
        <w:jc w:val="left"/>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3、制定物业管理发展规划，有计划、有检查，对物业部位、设施、设备进行认真查验，验收手续齐全，甲方职工满意率达98%以上；</w:t>
      </w:r>
    </w:p>
    <w:p w14:paraId="0508C90F">
      <w:pPr>
        <w:spacing w:line="360" w:lineRule="auto"/>
        <w:ind w:firstLine="480" w:firstLineChars="200"/>
        <w:jc w:val="left"/>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4、有效投诉率低于0.2%；</w:t>
      </w:r>
    </w:p>
    <w:p w14:paraId="73ABE8C0">
      <w:pPr>
        <w:spacing w:line="360" w:lineRule="auto"/>
        <w:ind w:firstLine="480" w:firstLineChars="200"/>
        <w:jc w:val="left"/>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5、有效投诉处理率达100%；</w:t>
      </w:r>
    </w:p>
    <w:p w14:paraId="18B1781D">
      <w:pPr>
        <w:spacing w:line="360" w:lineRule="auto"/>
        <w:ind w:firstLine="480" w:firstLineChars="200"/>
        <w:jc w:val="left"/>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6、公示24小时服务电话。急修、非急修率、维修及时率达100%，报修按双方约定时间到达现场，有报修、维修记录；</w:t>
      </w:r>
    </w:p>
    <w:p w14:paraId="6043A60C">
      <w:pPr>
        <w:spacing w:line="360" w:lineRule="auto"/>
        <w:ind w:firstLine="480" w:firstLineChars="200"/>
        <w:jc w:val="left"/>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7、房屋及公共配套设施、设备完好率98%以上；</w:t>
      </w:r>
    </w:p>
    <w:p w14:paraId="5CE184FB">
      <w:pPr>
        <w:spacing w:line="360" w:lineRule="auto"/>
        <w:ind w:firstLine="480" w:firstLineChars="200"/>
        <w:jc w:val="left"/>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8、主要设备（低压供电系统设备、供水系统设备、中央空调系统设备、门禁道闸监控系统等安防弱电设备、消防设系统设备、电梯系统设备等）运行正常率达98%；</w:t>
      </w:r>
    </w:p>
    <w:p w14:paraId="7E18A2D1">
      <w:pPr>
        <w:spacing w:line="360" w:lineRule="auto"/>
        <w:ind w:firstLine="480" w:firstLineChars="200"/>
        <w:jc w:val="left"/>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9、消防安全管理符合有关法律法规、技术标准的规定，服务范围内无火灾事故；</w:t>
      </w:r>
    </w:p>
    <w:p w14:paraId="6DBA98E6">
      <w:pPr>
        <w:spacing w:line="360" w:lineRule="auto"/>
        <w:ind w:firstLine="480" w:firstLineChars="200"/>
        <w:jc w:val="left"/>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10、环境卫生、病媒生物预防控制管理达标率100%；</w:t>
      </w:r>
    </w:p>
    <w:p w14:paraId="48FF5FCA">
      <w:pPr>
        <w:spacing w:line="360" w:lineRule="auto"/>
        <w:ind w:firstLine="480" w:firstLineChars="200"/>
        <w:jc w:val="left"/>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11、管理人员专业合格率100%；</w:t>
      </w:r>
    </w:p>
    <w:p w14:paraId="75261507">
      <w:pPr>
        <w:spacing w:line="360" w:lineRule="auto"/>
        <w:ind w:firstLine="480" w:firstLineChars="200"/>
        <w:jc w:val="left"/>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12、责任事故发生率为零，无任何重大事故发生；</w:t>
      </w:r>
    </w:p>
    <w:p w14:paraId="4C1F3499">
      <w:pPr>
        <w:spacing w:line="360" w:lineRule="auto"/>
        <w:ind w:firstLine="480" w:firstLineChars="200"/>
        <w:jc w:val="left"/>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13、有完善的物业管理方案，质量管理、财务管理、档案管理等制度健全，利用现代化管理模式对物业进行管理；</w:t>
      </w:r>
    </w:p>
    <w:p w14:paraId="475F6E3F">
      <w:pPr>
        <w:spacing w:line="360" w:lineRule="auto"/>
        <w:ind w:firstLine="480" w:firstLineChars="200"/>
        <w:jc w:val="left"/>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14、大楼节能效率明显；</w:t>
      </w:r>
    </w:p>
    <w:p w14:paraId="75CD4D02">
      <w:pPr>
        <w:spacing w:line="360" w:lineRule="auto"/>
        <w:ind w:firstLine="480" w:firstLineChars="200"/>
        <w:jc w:val="left"/>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15、按甲方要求定期提交工作报告，报告包括但不限于以下表格内容：</w:t>
      </w:r>
    </w:p>
    <w:p w14:paraId="3171BC5E">
      <w:pPr>
        <w:widowControl/>
        <w:adjustRightInd w:val="0"/>
        <w:snapToGrid w:val="0"/>
        <w:spacing w:line="360" w:lineRule="auto"/>
        <w:jc w:val="center"/>
        <w:rPr>
          <w:rFonts w:hint="eastAsia" w:ascii="仿宋_GB2312" w:hAnsi="仿宋_GB2312" w:eastAsia="仿宋_GB2312" w:cs="仿宋_GB2312"/>
          <w:b/>
          <w:color w:val="auto"/>
          <w:sz w:val="24"/>
          <w:szCs w:val="24"/>
          <w:highlight w:val="none"/>
        </w:rPr>
      </w:pPr>
      <w:r>
        <w:rPr>
          <w:rFonts w:hint="eastAsia" w:ascii="仿宋_GB2312" w:hAnsi="仿宋_GB2312" w:eastAsia="仿宋_GB2312" w:cs="仿宋_GB2312"/>
          <w:b/>
          <w:color w:val="auto"/>
          <w:sz w:val="24"/>
          <w:szCs w:val="24"/>
          <w:highlight w:val="none"/>
        </w:rPr>
        <w:t>管理服务文档要求</w:t>
      </w:r>
    </w:p>
    <w:tbl>
      <w:tblPr>
        <w:tblStyle w:val="27"/>
        <w:tblW w:w="904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94"/>
        <w:gridCol w:w="783"/>
        <w:gridCol w:w="419"/>
        <w:gridCol w:w="1697"/>
        <w:gridCol w:w="1887"/>
        <w:gridCol w:w="3662"/>
      </w:tblGrid>
      <w:tr w14:paraId="05DC5F6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3" w:hRule="atLeast"/>
          <w:jc w:val="center"/>
        </w:trPr>
        <w:tc>
          <w:tcPr>
            <w:tcW w:w="594" w:type="dxa"/>
            <w:noWrap/>
            <w:vAlign w:val="center"/>
          </w:tcPr>
          <w:p w14:paraId="147F8526">
            <w:pPr>
              <w:widowControl/>
              <w:adjustRightInd w:val="0"/>
              <w:snapToGrid w:val="0"/>
              <w:spacing w:line="360" w:lineRule="auto"/>
              <w:jc w:val="center"/>
              <w:rPr>
                <w:rFonts w:hint="eastAsia" w:ascii="仿宋_GB2312" w:hAnsi="仿宋_GB2312" w:eastAsia="仿宋_GB2312" w:cs="仿宋_GB2312"/>
                <w:b/>
                <w:color w:val="auto"/>
                <w:sz w:val="24"/>
                <w:szCs w:val="24"/>
                <w:highlight w:val="none"/>
              </w:rPr>
            </w:pPr>
            <w:r>
              <w:rPr>
                <w:rFonts w:hint="eastAsia" w:ascii="仿宋_GB2312" w:hAnsi="仿宋_GB2312" w:eastAsia="仿宋_GB2312" w:cs="仿宋_GB2312"/>
                <w:b/>
                <w:color w:val="auto"/>
                <w:sz w:val="24"/>
                <w:szCs w:val="24"/>
                <w:highlight w:val="none"/>
              </w:rPr>
              <w:t>序号</w:t>
            </w:r>
          </w:p>
        </w:tc>
        <w:tc>
          <w:tcPr>
            <w:tcW w:w="2899" w:type="dxa"/>
            <w:gridSpan w:val="3"/>
            <w:noWrap/>
            <w:vAlign w:val="center"/>
          </w:tcPr>
          <w:p w14:paraId="5FD8F812">
            <w:pPr>
              <w:widowControl/>
              <w:adjustRightInd w:val="0"/>
              <w:snapToGrid w:val="0"/>
              <w:spacing w:line="360" w:lineRule="auto"/>
              <w:jc w:val="center"/>
              <w:rPr>
                <w:rFonts w:hint="eastAsia" w:ascii="仿宋_GB2312" w:hAnsi="仿宋_GB2312" w:eastAsia="仿宋_GB2312" w:cs="仿宋_GB2312"/>
                <w:b/>
                <w:color w:val="auto"/>
                <w:sz w:val="24"/>
                <w:szCs w:val="24"/>
                <w:highlight w:val="none"/>
              </w:rPr>
            </w:pPr>
            <w:r>
              <w:rPr>
                <w:rFonts w:hint="eastAsia" w:ascii="仿宋_GB2312" w:hAnsi="仿宋_GB2312" w:eastAsia="仿宋_GB2312" w:cs="仿宋_GB2312"/>
                <w:b/>
                <w:color w:val="auto"/>
                <w:sz w:val="24"/>
                <w:szCs w:val="24"/>
                <w:highlight w:val="none"/>
              </w:rPr>
              <w:t>服务文档</w:t>
            </w:r>
          </w:p>
        </w:tc>
        <w:tc>
          <w:tcPr>
            <w:tcW w:w="1887" w:type="dxa"/>
            <w:noWrap/>
            <w:vAlign w:val="center"/>
          </w:tcPr>
          <w:p w14:paraId="72F71BDA">
            <w:pPr>
              <w:widowControl/>
              <w:adjustRightInd w:val="0"/>
              <w:snapToGrid w:val="0"/>
              <w:spacing w:line="360" w:lineRule="auto"/>
              <w:jc w:val="center"/>
              <w:rPr>
                <w:rFonts w:hint="eastAsia" w:ascii="仿宋_GB2312" w:hAnsi="仿宋_GB2312" w:eastAsia="仿宋_GB2312" w:cs="仿宋_GB2312"/>
                <w:b/>
                <w:color w:val="auto"/>
                <w:sz w:val="24"/>
                <w:szCs w:val="24"/>
                <w:highlight w:val="none"/>
              </w:rPr>
            </w:pPr>
            <w:r>
              <w:rPr>
                <w:rFonts w:hint="eastAsia" w:ascii="仿宋_GB2312" w:hAnsi="仿宋_GB2312" w:eastAsia="仿宋_GB2312" w:cs="仿宋_GB2312"/>
                <w:b/>
                <w:color w:val="auto"/>
                <w:sz w:val="24"/>
                <w:szCs w:val="24"/>
                <w:highlight w:val="none"/>
              </w:rPr>
              <w:t>提交时间</w:t>
            </w:r>
          </w:p>
        </w:tc>
        <w:tc>
          <w:tcPr>
            <w:tcW w:w="3662" w:type="dxa"/>
            <w:noWrap/>
          </w:tcPr>
          <w:p w14:paraId="0435B7B7">
            <w:pPr>
              <w:widowControl/>
              <w:adjustRightInd w:val="0"/>
              <w:snapToGrid w:val="0"/>
              <w:spacing w:line="360" w:lineRule="auto"/>
              <w:jc w:val="center"/>
              <w:rPr>
                <w:rFonts w:hint="eastAsia" w:ascii="仿宋_GB2312" w:hAnsi="仿宋_GB2312" w:eastAsia="仿宋_GB2312" w:cs="仿宋_GB2312"/>
                <w:b/>
                <w:color w:val="auto"/>
                <w:sz w:val="24"/>
                <w:szCs w:val="24"/>
                <w:highlight w:val="none"/>
              </w:rPr>
            </w:pPr>
            <w:r>
              <w:rPr>
                <w:rFonts w:hint="eastAsia" w:ascii="仿宋_GB2312" w:hAnsi="仿宋_GB2312" w:eastAsia="仿宋_GB2312" w:cs="仿宋_GB2312"/>
                <w:b/>
                <w:color w:val="auto"/>
                <w:sz w:val="24"/>
                <w:szCs w:val="24"/>
                <w:highlight w:val="none"/>
              </w:rPr>
              <w:t>要  求</w:t>
            </w:r>
          </w:p>
        </w:tc>
      </w:tr>
      <w:tr w14:paraId="6581979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64" w:hRule="atLeast"/>
          <w:jc w:val="center"/>
        </w:trPr>
        <w:tc>
          <w:tcPr>
            <w:tcW w:w="594" w:type="dxa"/>
            <w:vMerge w:val="restart"/>
            <w:noWrap/>
            <w:vAlign w:val="center"/>
          </w:tcPr>
          <w:p w14:paraId="3DFAB1EB">
            <w:pPr>
              <w:widowControl/>
              <w:adjustRightInd w:val="0"/>
              <w:snapToGrid w:val="0"/>
              <w:spacing w:line="360" w:lineRule="auto"/>
              <w:jc w:val="center"/>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1</w:t>
            </w:r>
          </w:p>
        </w:tc>
        <w:tc>
          <w:tcPr>
            <w:tcW w:w="783" w:type="dxa"/>
            <w:vMerge w:val="restart"/>
            <w:noWrap/>
            <w:vAlign w:val="center"/>
          </w:tcPr>
          <w:p w14:paraId="45AC6F4F">
            <w:pPr>
              <w:widowControl/>
              <w:adjustRightInd w:val="0"/>
              <w:snapToGrid w:val="0"/>
              <w:spacing w:line="360" w:lineRule="auto"/>
              <w:jc w:val="center"/>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例行报告</w:t>
            </w:r>
          </w:p>
        </w:tc>
        <w:tc>
          <w:tcPr>
            <w:tcW w:w="419" w:type="dxa"/>
            <w:tcBorders>
              <w:bottom w:val="single" w:color="auto" w:sz="4" w:space="0"/>
              <w:right w:val="single" w:color="auto" w:sz="4" w:space="0"/>
            </w:tcBorders>
            <w:noWrap/>
            <w:vAlign w:val="center"/>
          </w:tcPr>
          <w:p w14:paraId="0CBD2068">
            <w:pPr>
              <w:adjustRightInd w:val="0"/>
              <w:snapToGrid w:val="0"/>
              <w:spacing w:line="360" w:lineRule="auto"/>
              <w:jc w:val="center"/>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1</w:t>
            </w:r>
          </w:p>
        </w:tc>
        <w:tc>
          <w:tcPr>
            <w:tcW w:w="1697" w:type="dxa"/>
            <w:tcBorders>
              <w:left w:val="single" w:color="auto" w:sz="4" w:space="0"/>
              <w:bottom w:val="single" w:color="auto" w:sz="4" w:space="0"/>
            </w:tcBorders>
            <w:noWrap/>
            <w:vAlign w:val="center"/>
          </w:tcPr>
          <w:p w14:paraId="528C706C">
            <w:pPr>
              <w:adjustRightInd w:val="0"/>
              <w:snapToGrid w:val="0"/>
              <w:spacing w:line="360" w:lineRule="auto"/>
              <w:jc w:val="center"/>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月工作报告</w:t>
            </w:r>
          </w:p>
        </w:tc>
        <w:tc>
          <w:tcPr>
            <w:tcW w:w="1887" w:type="dxa"/>
            <w:tcBorders>
              <w:bottom w:val="single" w:color="auto" w:sz="4" w:space="0"/>
            </w:tcBorders>
            <w:noWrap/>
            <w:vAlign w:val="center"/>
          </w:tcPr>
          <w:p w14:paraId="09AEBD09">
            <w:pPr>
              <w:adjustRightInd w:val="0"/>
              <w:snapToGrid w:val="0"/>
              <w:spacing w:line="360" w:lineRule="auto"/>
              <w:jc w:val="center"/>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次月5日前提交</w:t>
            </w:r>
          </w:p>
        </w:tc>
        <w:tc>
          <w:tcPr>
            <w:tcW w:w="3662" w:type="dxa"/>
            <w:tcBorders>
              <w:bottom w:val="single" w:color="auto" w:sz="4" w:space="0"/>
            </w:tcBorders>
            <w:noWrap/>
            <w:vAlign w:val="center"/>
          </w:tcPr>
          <w:p w14:paraId="7DC3E71C">
            <w:pPr>
              <w:adjustRightInd w:val="0"/>
              <w:snapToGrid w:val="0"/>
              <w:spacing w:line="360" w:lineRule="auto"/>
              <w:jc w:val="left"/>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总结当月工作、提出次月计划。</w:t>
            </w:r>
          </w:p>
        </w:tc>
      </w:tr>
      <w:tr w14:paraId="7E98CFC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75" w:hRule="atLeast"/>
          <w:jc w:val="center"/>
        </w:trPr>
        <w:tc>
          <w:tcPr>
            <w:tcW w:w="594" w:type="dxa"/>
            <w:vMerge w:val="continue"/>
            <w:noWrap/>
            <w:vAlign w:val="center"/>
          </w:tcPr>
          <w:p w14:paraId="37F52B82">
            <w:pPr>
              <w:widowControl/>
              <w:adjustRightInd w:val="0"/>
              <w:snapToGrid w:val="0"/>
              <w:spacing w:line="360" w:lineRule="auto"/>
              <w:jc w:val="center"/>
              <w:rPr>
                <w:rFonts w:hint="eastAsia" w:ascii="仿宋_GB2312" w:hAnsi="仿宋_GB2312" w:eastAsia="仿宋_GB2312" w:cs="仿宋_GB2312"/>
                <w:color w:val="auto"/>
                <w:sz w:val="24"/>
                <w:szCs w:val="24"/>
                <w:highlight w:val="none"/>
              </w:rPr>
            </w:pPr>
          </w:p>
        </w:tc>
        <w:tc>
          <w:tcPr>
            <w:tcW w:w="783" w:type="dxa"/>
            <w:vMerge w:val="continue"/>
            <w:noWrap/>
            <w:vAlign w:val="center"/>
          </w:tcPr>
          <w:p w14:paraId="49BB9987">
            <w:pPr>
              <w:widowControl/>
              <w:adjustRightInd w:val="0"/>
              <w:snapToGrid w:val="0"/>
              <w:spacing w:line="360" w:lineRule="auto"/>
              <w:jc w:val="center"/>
              <w:rPr>
                <w:rFonts w:hint="eastAsia" w:ascii="仿宋_GB2312" w:hAnsi="仿宋_GB2312" w:eastAsia="仿宋_GB2312" w:cs="仿宋_GB2312"/>
                <w:color w:val="auto"/>
                <w:sz w:val="24"/>
                <w:szCs w:val="24"/>
                <w:highlight w:val="none"/>
              </w:rPr>
            </w:pPr>
          </w:p>
        </w:tc>
        <w:tc>
          <w:tcPr>
            <w:tcW w:w="419" w:type="dxa"/>
            <w:tcBorders>
              <w:top w:val="single" w:color="auto" w:sz="4" w:space="0"/>
              <w:right w:val="single" w:color="auto" w:sz="4" w:space="0"/>
            </w:tcBorders>
            <w:noWrap/>
            <w:vAlign w:val="center"/>
          </w:tcPr>
          <w:p w14:paraId="019AE642">
            <w:pPr>
              <w:adjustRightInd w:val="0"/>
              <w:snapToGrid w:val="0"/>
              <w:spacing w:line="360" w:lineRule="auto"/>
              <w:jc w:val="center"/>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2</w:t>
            </w:r>
          </w:p>
        </w:tc>
        <w:tc>
          <w:tcPr>
            <w:tcW w:w="1697" w:type="dxa"/>
            <w:tcBorders>
              <w:top w:val="single" w:color="auto" w:sz="4" w:space="0"/>
              <w:left w:val="single" w:color="auto" w:sz="4" w:space="0"/>
            </w:tcBorders>
            <w:noWrap/>
            <w:vAlign w:val="center"/>
          </w:tcPr>
          <w:p w14:paraId="61140AFA">
            <w:pPr>
              <w:adjustRightInd w:val="0"/>
              <w:snapToGrid w:val="0"/>
              <w:spacing w:line="360" w:lineRule="auto"/>
              <w:jc w:val="center"/>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半年工作报告</w:t>
            </w:r>
          </w:p>
        </w:tc>
        <w:tc>
          <w:tcPr>
            <w:tcW w:w="1887" w:type="dxa"/>
            <w:tcBorders>
              <w:top w:val="single" w:color="auto" w:sz="4" w:space="0"/>
            </w:tcBorders>
            <w:noWrap/>
            <w:vAlign w:val="center"/>
          </w:tcPr>
          <w:p w14:paraId="5ADDF378">
            <w:pPr>
              <w:adjustRightInd w:val="0"/>
              <w:snapToGrid w:val="0"/>
              <w:spacing w:line="360" w:lineRule="auto"/>
              <w:jc w:val="center"/>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半年度结束后5个工作日内</w:t>
            </w:r>
          </w:p>
        </w:tc>
        <w:tc>
          <w:tcPr>
            <w:tcW w:w="3662" w:type="dxa"/>
            <w:tcBorders>
              <w:top w:val="single" w:color="auto" w:sz="4" w:space="0"/>
            </w:tcBorders>
            <w:noWrap/>
            <w:vAlign w:val="center"/>
          </w:tcPr>
          <w:p w14:paraId="52BA7926">
            <w:pPr>
              <w:adjustRightInd w:val="0"/>
              <w:snapToGrid w:val="0"/>
              <w:spacing w:line="360" w:lineRule="auto"/>
              <w:jc w:val="left"/>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总结上半年工作、提出下半年计划。</w:t>
            </w:r>
          </w:p>
        </w:tc>
      </w:tr>
      <w:tr w14:paraId="20308F6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32" w:hRule="atLeast"/>
          <w:jc w:val="center"/>
        </w:trPr>
        <w:tc>
          <w:tcPr>
            <w:tcW w:w="594" w:type="dxa"/>
            <w:vMerge w:val="continue"/>
            <w:noWrap/>
            <w:vAlign w:val="center"/>
          </w:tcPr>
          <w:p w14:paraId="1B079FB9">
            <w:pPr>
              <w:widowControl/>
              <w:adjustRightInd w:val="0"/>
              <w:snapToGrid w:val="0"/>
              <w:spacing w:line="360" w:lineRule="auto"/>
              <w:jc w:val="center"/>
              <w:rPr>
                <w:rFonts w:hint="eastAsia" w:ascii="仿宋_GB2312" w:hAnsi="仿宋_GB2312" w:eastAsia="仿宋_GB2312" w:cs="仿宋_GB2312"/>
                <w:color w:val="auto"/>
                <w:sz w:val="24"/>
                <w:szCs w:val="24"/>
                <w:highlight w:val="none"/>
              </w:rPr>
            </w:pPr>
          </w:p>
        </w:tc>
        <w:tc>
          <w:tcPr>
            <w:tcW w:w="783" w:type="dxa"/>
            <w:vMerge w:val="continue"/>
            <w:noWrap/>
            <w:vAlign w:val="center"/>
          </w:tcPr>
          <w:p w14:paraId="0D7C23B4">
            <w:pPr>
              <w:widowControl/>
              <w:adjustRightInd w:val="0"/>
              <w:snapToGrid w:val="0"/>
              <w:spacing w:line="360" w:lineRule="auto"/>
              <w:jc w:val="center"/>
              <w:rPr>
                <w:rFonts w:hint="eastAsia" w:ascii="仿宋_GB2312" w:hAnsi="仿宋_GB2312" w:eastAsia="仿宋_GB2312" w:cs="仿宋_GB2312"/>
                <w:color w:val="auto"/>
                <w:sz w:val="24"/>
                <w:szCs w:val="24"/>
                <w:highlight w:val="none"/>
              </w:rPr>
            </w:pPr>
          </w:p>
        </w:tc>
        <w:tc>
          <w:tcPr>
            <w:tcW w:w="419" w:type="dxa"/>
            <w:tcBorders>
              <w:top w:val="single" w:color="auto" w:sz="4" w:space="0"/>
              <w:right w:val="single" w:color="auto" w:sz="4" w:space="0"/>
            </w:tcBorders>
            <w:noWrap/>
            <w:vAlign w:val="center"/>
          </w:tcPr>
          <w:p w14:paraId="154F08D1">
            <w:pPr>
              <w:widowControl/>
              <w:adjustRightInd w:val="0"/>
              <w:snapToGrid w:val="0"/>
              <w:spacing w:line="360" w:lineRule="auto"/>
              <w:jc w:val="center"/>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3</w:t>
            </w:r>
          </w:p>
        </w:tc>
        <w:tc>
          <w:tcPr>
            <w:tcW w:w="1697" w:type="dxa"/>
            <w:tcBorders>
              <w:top w:val="single" w:color="auto" w:sz="4" w:space="0"/>
              <w:left w:val="single" w:color="auto" w:sz="4" w:space="0"/>
            </w:tcBorders>
            <w:noWrap/>
            <w:vAlign w:val="center"/>
          </w:tcPr>
          <w:p w14:paraId="42870011">
            <w:pPr>
              <w:widowControl/>
              <w:adjustRightInd w:val="0"/>
              <w:snapToGrid w:val="0"/>
              <w:spacing w:line="360" w:lineRule="auto"/>
              <w:jc w:val="center"/>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年度工作报告</w:t>
            </w:r>
          </w:p>
        </w:tc>
        <w:tc>
          <w:tcPr>
            <w:tcW w:w="1887" w:type="dxa"/>
            <w:tcBorders>
              <w:top w:val="single" w:color="auto" w:sz="4" w:space="0"/>
            </w:tcBorders>
            <w:noWrap/>
            <w:vAlign w:val="center"/>
          </w:tcPr>
          <w:p w14:paraId="7CB38E09">
            <w:pPr>
              <w:widowControl/>
              <w:adjustRightInd w:val="0"/>
              <w:snapToGrid w:val="0"/>
              <w:spacing w:line="360" w:lineRule="auto"/>
              <w:jc w:val="center"/>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年度结束后5个工作日内</w:t>
            </w:r>
          </w:p>
        </w:tc>
        <w:tc>
          <w:tcPr>
            <w:tcW w:w="3662" w:type="dxa"/>
            <w:tcBorders>
              <w:top w:val="single" w:color="auto" w:sz="4" w:space="0"/>
            </w:tcBorders>
            <w:noWrap/>
            <w:vAlign w:val="center"/>
          </w:tcPr>
          <w:p w14:paraId="26A1E1F5">
            <w:pPr>
              <w:widowControl/>
              <w:adjustRightInd w:val="0"/>
              <w:snapToGrid w:val="0"/>
              <w:spacing w:line="360" w:lineRule="auto"/>
              <w:jc w:val="left"/>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总结全年工作、提出次年计划，全面剖析各设施设备、各系统运行状态等物业管理服务中存在的问题，提出改进措施和次年物业服务管理方案、主要招标计划等。</w:t>
            </w:r>
          </w:p>
        </w:tc>
      </w:tr>
      <w:tr w14:paraId="397E0AC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11" w:hRule="atLeast"/>
          <w:jc w:val="center"/>
        </w:trPr>
        <w:tc>
          <w:tcPr>
            <w:tcW w:w="594" w:type="dxa"/>
            <w:vMerge w:val="restart"/>
            <w:noWrap/>
            <w:vAlign w:val="center"/>
          </w:tcPr>
          <w:p w14:paraId="63521CEC">
            <w:pPr>
              <w:widowControl/>
              <w:adjustRightInd w:val="0"/>
              <w:snapToGrid w:val="0"/>
              <w:spacing w:line="360" w:lineRule="auto"/>
              <w:jc w:val="center"/>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2</w:t>
            </w:r>
          </w:p>
          <w:p w14:paraId="75B83E9F">
            <w:pPr>
              <w:widowControl/>
              <w:adjustRightInd w:val="0"/>
              <w:snapToGrid w:val="0"/>
              <w:spacing w:line="360" w:lineRule="auto"/>
              <w:jc w:val="center"/>
              <w:rPr>
                <w:rFonts w:hint="eastAsia" w:ascii="仿宋_GB2312" w:hAnsi="仿宋_GB2312" w:eastAsia="仿宋_GB2312" w:cs="仿宋_GB2312"/>
                <w:color w:val="auto"/>
                <w:sz w:val="24"/>
                <w:szCs w:val="24"/>
                <w:highlight w:val="none"/>
              </w:rPr>
            </w:pPr>
          </w:p>
        </w:tc>
        <w:tc>
          <w:tcPr>
            <w:tcW w:w="783" w:type="dxa"/>
            <w:vMerge w:val="restart"/>
            <w:tcBorders>
              <w:right w:val="single" w:color="auto" w:sz="4" w:space="0"/>
            </w:tcBorders>
            <w:noWrap/>
            <w:vAlign w:val="center"/>
          </w:tcPr>
          <w:p w14:paraId="535BCA9F">
            <w:pPr>
              <w:widowControl/>
              <w:adjustRightInd w:val="0"/>
              <w:snapToGrid w:val="0"/>
              <w:spacing w:line="360" w:lineRule="auto"/>
              <w:jc w:val="center"/>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专项服务报告</w:t>
            </w:r>
          </w:p>
        </w:tc>
        <w:tc>
          <w:tcPr>
            <w:tcW w:w="419" w:type="dxa"/>
            <w:tcBorders>
              <w:left w:val="single" w:color="auto" w:sz="4" w:space="0"/>
              <w:right w:val="single" w:color="auto" w:sz="4" w:space="0"/>
            </w:tcBorders>
            <w:noWrap/>
            <w:vAlign w:val="center"/>
          </w:tcPr>
          <w:p w14:paraId="5E41F39A">
            <w:pPr>
              <w:widowControl/>
              <w:adjustRightInd w:val="0"/>
              <w:snapToGrid w:val="0"/>
              <w:spacing w:line="360" w:lineRule="auto"/>
              <w:jc w:val="center"/>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4</w:t>
            </w:r>
          </w:p>
        </w:tc>
        <w:tc>
          <w:tcPr>
            <w:tcW w:w="1697" w:type="dxa"/>
            <w:tcBorders>
              <w:left w:val="single" w:color="auto" w:sz="4" w:space="0"/>
            </w:tcBorders>
            <w:noWrap/>
            <w:vAlign w:val="center"/>
          </w:tcPr>
          <w:p w14:paraId="7002A084">
            <w:pPr>
              <w:widowControl/>
              <w:adjustRightInd w:val="0"/>
              <w:snapToGrid w:val="0"/>
              <w:spacing w:line="360" w:lineRule="auto"/>
              <w:jc w:val="center"/>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检修或清洗服务报告</w:t>
            </w:r>
          </w:p>
        </w:tc>
        <w:tc>
          <w:tcPr>
            <w:tcW w:w="1887" w:type="dxa"/>
            <w:noWrap/>
            <w:vAlign w:val="center"/>
          </w:tcPr>
          <w:p w14:paraId="59AF2CA5">
            <w:pPr>
              <w:widowControl/>
              <w:adjustRightInd w:val="0"/>
              <w:snapToGrid w:val="0"/>
              <w:spacing w:line="360" w:lineRule="auto"/>
              <w:jc w:val="center"/>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实施前10个工作日内提出计划，于完成后5个工作日内提交报告</w:t>
            </w:r>
          </w:p>
        </w:tc>
        <w:tc>
          <w:tcPr>
            <w:tcW w:w="3662" w:type="dxa"/>
            <w:noWrap/>
            <w:vAlign w:val="center"/>
          </w:tcPr>
          <w:p w14:paraId="3507C6B6">
            <w:pPr>
              <w:widowControl/>
              <w:adjustRightInd w:val="0"/>
              <w:snapToGrid w:val="0"/>
              <w:spacing w:line="360" w:lineRule="auto"/>
              <w:jc w:val="left"/>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提出专项服务计划的实施目的，实施流程，实施建议等。获得甲方同意后，方可按计划实施，并于完成后5个工作日内向甲方提出书面报告。</w:t>
            </w:r>
          </w:p>
        </w:tc>
      </w:tr>
      <w:tr w14:paraId="00CEFB6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98" w:hRule="atLeast"/>
          <w:jc w:val="center"/>
        </w:trPr>
        <w:tc>
          <w:tcPr>
            <w:tcW w:w="594" w:type="dxa"/>
            <w:vMerge w:val="continue"/>
            <w:noWrap/>
            <w:vAlign w:val="center"/>
          </w:tcPr>
          <w:p w14:paraId="3B8C8546">
            <w:pPr>
              <w:widowControl/>
              <w:adjustRightInd w:val="0"/>
              <w:snapToGrid w:val="0"/>
              <w:spacing w:line="360" w:lineRule="auto"/>
              <w:jc w:val="center"/>
              <w:rPr>
                <w:rFonts w:hint="eastAsia" w:ascii="仿宋_GB2312" w:hAnsi="仿宋_GB2312" w:eastAsia="仿宋_GB2312" w:cs="仿宋_GB2312"/>
                <w:color w:val="auto"/>
                <w:sz w:val="24"/>
                <w:szCs w:val="24"/>
                <w:highlight w:val="none"/>
              </w:rPr>
            </w:pPr>
          </w:p>
        </w:tc>
        <w:tc>
          <w:tcPr>
            <w:tcW w:w="783" w:type="dxa"/>
            <w:vMerge w:val="continue"/>
            <w:tcBorders>
              <w:right w:val="single" w:color="auto" w:sz="4" w:space="0"/>
            </w:tcBorders>
            <w:noWrap/>
            <w:vAlign w:val="center"/>
          </w:tcPr>
          <w:p w14:paraId="0E1DF838">
            <w:pPr>
              <w:widowControl/>
              <w:adjustRightInd w:val="0"/>
              <w:snapToGrid w:val="0"/>
              <w:spacing w:line="360" w:lineRule="auto"/>
              <w:jc w:val="center"/>
              <w:rPr>
                <w:rFonts w:hint="eastAsia" w:ascii="仿宋_GB2312" w:hAnsi="仿宋_GB2312" w:eastAsia="仿宋_GB2312" w:cs="仿宋_GB2312"/>
                <w:color w:val="auto"/>
                <w:sz w:val="24"/>
                <w:szCs w:val="24"/>
                <w:highlight w:val="none"/>
              </w:rPr>
            </w:pPr>
          </w:p>
        </w:tc>
        <w:tc>
          <w:tcPr>
            <w:tcW w:w="419" w:type="dxa"/>
            <w:tcBorders>
              <w:left w:val="single" w:color="auto" w:sz="4" w:space="0"/>
              <w:right w:val="single" w:color="auto" w:sz="4" w:space="0"/>
            </w:tcBorders>
            <w:noWrap/>
            <w:vAlign w:val="center"/>
          </w:tcPr>
          <w:p w14:paraId="19CCF530">
            <w:pPr>
              <w:widowControl/>
              <w:adjustRightInd w:val="0"/>
              <w:snapToGrid w:val="0"/>
              <w:spacing w:line="360" w:lineRule="auto"/>
              <w:jc w:val="center"/>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5</w:t>
            </w:r>
          </w:p>
        </w:tc>
        <w:tc>
          <w:tcPr>
            <w:tcW w:w="1697" w:type="dxa"/>
            <w:tcBorders>
              <w:left w:val="single" w:color="auto" w:sz="4" w:space="0"/>
            </w:tcBorders>
            <w:noWrap/>
            <w:vAlign w:val="center"/>
          </w:tcPr>
          <w:p w14:paraId="193ABF80">
            <w:pPr>
              <w:widowControl/>
              <w:adjustRightInd w:val="0"/>
              <w:snapToGrid w:val="0"/>
              <w:spacing w:line="360" w:lineRule="auto"/>
              <w:jc w:val="center"/>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故障报告</w:t>
            </w:r>
          </w:p>
        </w:tc>
        <w:tc>
          <w:tcPr>
            <w:tcW w:w="1887" w:type="dxa"/>
            <w:noWrap/>
            <w:vAlign w:val="center"/>
          </w:tcPr>
          <w:p w14:paraId="00CCF68E">
            <w:pPr>
              <w:widowControl/>
              <w:adjustRightInd w:val="0"/>
              <w:snapToGrid w:val="0"/>
              <w:spacing w:line="360" w:lineRule="auto"/>
              <w:jc w:val="center"/>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故障发现后2个工作日内</w:t>
            </w:r>
          </w:p>
        </w:tc>
        <w:tc>
          <w:tcPr>
            <w:tcW w:w="3662" w:type="dxa"/>
            <w:noWrap/>
            <w:vAlign w:val="center"/>
          </w:tcPr>
          <w:p w14:paraId="7B27E368">
            <w:pPr>
              <w:widowControl/>
              <w:adjustRightInd w:val="0"/>
              <w:snapToGrid w:val="0"/>
              <w:spacing w:line="360" w:lineRule="auto"/>
              <w:jc w:val="left"/>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写明故障发现、处理具体过程，故障情况分析及建议等。</w:t>
            </w:r>
          </w:p>
        </w:tc>
      </w:tr>
      <w:tr w14:paraId="6BDF2A3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00" w:hRule="atLeast"/>
          <w:jc w:val="center"/>
        </w:trPr>
        <w:tc>
          <w:tcPr>
            <w:tcW w:w="594" w:type="dxa"/>
            <w:noWrap/>
            <w:vAlign w:val="center"/>
          </w:tcPr>
          <w:p w14:paraId="100C0F8D">
            <w:pPr>
              <w:widowControl/>
              <w:adjustRightInd w:val="0"/>
              <w:snapToGrid w:val="0"/>
              <w:spacing w:line="360" w:lineRule="auto"/>
              <w:jc w:val="center"/>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3</w:t>
            </w:r>
          </w:p>
        </w:tc>
        <w:tc>
          <w:tcPr>
            <w:tcW w:w="783" w:type="dxa"/>
            <w:tcBorders>
              <w:right w:val="single" w:color="auto" w:sz="4" w:space="0"/>
            </w:tcBorders>
            <w:noWrap/>
            <w:vAlign w:val="center"/>
          </w:tcPr>
          <w:p w14:paraId="21583099">
            <w:pPr>
              <w:widowControl/>
              <w:adjustRightInd w:val="0"/>
              <w:snapToGrid w:val="0"/>
              <w:spacing w:line="360" w:lineRule="auto"/>
              <w:jc w:val="center"/>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突发事件报告</w:t>
            </w:r>
          </w:p>
        </w:tc>
        <w:tc>
          <w:tcPr>
            <w:tcW w:w="419" w:type="dxa"/>
            <w:tcBorders>
              <w:left w:val="single" w:color="auto" w:sz="4" w:space="0"/>
              <w:right w:val="single" w:color="auto" w:sz="4" w:space="0"/>
            </w:tcBorders>
            <w:noWrap/>
            <w:vAlign w:val="center"/>
          </w:tcPr>
          <w:p w14:paraId="585D3958">
            <w:pPr>
              <w:widowControl/>
              <w:adjustRightInd w:val="0"/>
              <w:snapToGrid w:val="0"/>
              <w:spacing w:line="360" w:lineRule="auto"/>
              <w:jc w:val="center"/>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6</w:t>
            </w:r>
          </w:p>
        </w:tc>
        <w:tc>
          <w:tcPr>
            <w:tcW w:w="1697" w:type="dxa"/>
            <w:tcBorders>
              <w:left w:val="single" w:color="auto" w:sz="4" w:space="0"/>
            </w:tcBorders>
            <w:noWrap/>
            <w:vAlign w:val="center"/>
          </w:tcPr>
          <w:p w14:paraId="30B9911F">
            <w:pPr>
              <w:widowControl/>
              <w:adjustRightInd w:val="0"/>
              <w:snapToGrid w:val="0"/>
              <w:spacing w:line="360" w:lineRule="auto"/>
              <w:jc w:val="center"/>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事件报告</w:t>
            </w:r>
          </w:p>
        </w:tc>
        <w:tc>
          <w:tcPr>
            <w:tcW w:w="1887" w:type="dxa"/>
            <w:noWrap/>
            <w:vAlign w:val="center"/>
          </w:tcPr>
          <w:p w14:paraId="1AAA4C5A">
            <w:pPr>
              <w:widowControl/>
              <w:adjustRightInd w:val="0"/>
              <w:snapToGrid w:val="0"/>
              <w:spacing w:line="360" w:lineRule="auto"/>
              <w:jc w:val="center"/>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当日</w:t>
            </w:r>
          </w:p>
        </w:tc>
        <w:tc>
          <w:tcPr>
            <w:tcW w:w="3662" w:type="dxa"/>
            <w:noWrap/>
            <w:vAlign w:val="center"/>
          </w:tcPr>
          <w:p w14:paraId="12956A2F">
            <w:pPr>
              <w:widowControl/>
              <w:adjustRightInd w:val="0"/>
              <w:snapToGrid w:val="0"/>
              <w:spacing w:line="360" w:lineRule="auto"/>
              <w:jc w:val="left"/>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写明事件的简要经过、发生原因的初步分析；如有损失，需报告损失情况；事件发生后已采取的措施及效果；其他需要报告的事项。</w:t>
            </w:r>
          </w:p>
        </w:tc>
      </w:tr>
    </w:tbl>
    <w:p w14:paraId="49CAD537">
      <w:pPr>
        <w:spacing w:line="360" w:lineRule="auto"/>
        <w:ind w:firstLine="480" w:firstLineChars="200"/>
        <w:jc w:val="left"/>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 xml:space="preserve"> 16、配合甲方，做好对园区物业、属地社区及当地派出所的沟通协调等；</w:t>
      </w:r>
    </w:p>
    <w:p w14:paraId="405067F5">
      <w:pPr>
        <w:spacing w:line="360" w:lineRule="auto"/>
        <w:ind w:firstLine="480" w:firstLineChars="200"/>
        <w:jc w:val="left"/>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 xml:space="preserve"> 17、按甲方要求做好零星搬运服务；</w:t>
      </w:r>
    </w:p>
    <w:p w14:paraId="752ED4C4">
      <w:pPr>
        <w:spacing w:line="360" w:lineRule="auto"/>
        <w:ind w:firstLine="480" w:firstLineChars="200"/>
        <w:jc w:val="left"/>
        <w:rPr>
          <w:rFonts w:hint="eastAsia" w:ascii="仿宋_GB2312" w:hAnsi="仿宋_GB2312" w:eastAsia="仿宋_GB2312" w:cs="仿宋_GB2312"/>
          <w:b/>
          <w:bCs/>
          <w:color w:val="auto"/>
          <w:sz w:val="24"/>
          <w:szCs w:val="24"/>
          <w:highlight w:val="none"/>
        </w:rPr>
      </w:pPr>
      <w:r>
        <w:rPr>
          <w:rFonts w:hint="eastAsia" w:ascii="仿宋_GB2312" w:hAnsi="仿宋_GB2312" w:eastAsia="仿宋_GB2312" w:cs="仿宋_GB2312"/>
          <w:color w:val="auto"/>
          <w:sz w:val="24"/>
          <w:szCs w:val="24"/>
          <w:highlight w:val="none"/>
        </w:rPr>
        <w:t xml:space="preserve"> 18、根据甲方要求，配合完成一年一次的物业管理服务质量评估工作。</w:t>
      </w:r>
    </w:p>
    <w:p w14:paraId="5AEA34D5">
      <w:pPr>
        <w:rPr>
          <w:rFonts w:hint="eastAsia" w:ascii="黑体" w:hAnsi="黑体" w:eastAsia="黑体" w:cs="黑体"/>
          <w:b w:val="0"/>
          <w:bCs w:val="0"/>
          <w:color w:val="auto"/>
          <w:sz w:val="24"/>
          <w:szCs w:val="24"/>
          <w:highlight w:val="none"/>
        </w:rPr>
      </w:pPr>
      <w:r>
        <w:rPr>
          <w:rFonts w:hint="eastAsia" w:ascii="黑体" w:hAnsi="黑体" w:eastAsia="黑体" w:cs="黑体"/>
          <w:b w:val="0"/>
          <w:bCs w:val="0"/>
          <w:color w:val="auto"/>
          <w:sz w:val="24"/>
          <w:szCs w:val="24"/>
          <w:highlight w:val="none"/>
        </w:rPr>
        <w:t>第四条  双方权利及义务</w:t>
      </w:r>
    </w:p>
    <w:p w14:paraId="4B965322">
      <w:pPr>
        <w:spacing w:line="360" w:lineRule="auto"/>
        <w:ind w:firstLine="482" w:firstLineChars="200"/>
        <w:rPr>
          <w:rFonts w:hint="eastAsia" w:ascii="楷体_GB2312" w:hAnsi="楷体_GB2312" w:eastAsia="楷体_GB2312" w:cs="楷体_GB2312"/>
          <w:b/>
          <w:bCs/>
          <w:color w:val="auto"/>
          <w:kern w:val="0"/>
          <w:sz w:val="24"/>
          <w:szCs w:val="24"/>
          <w:highlight w:val="none"/>
        </w:rPr>
      </w:pPr>
      <w:r>
        <w:rPr>
          <w:rFonts w:hint="eastAsia" w:ascii="楷体_GB2312" w:hAnsi="楷体_GB2312" w:eastAsia="楷体_GB2312" w:cs="楷体_GB2312"/>
          <w:b/>
          <w:bCs/>
          <w:color w:val="auto"/>
          <w:kern w:val="0"/>
          <w:sz w:val="24"/>
          <w:szCs w:val="24"/>
          <w:highlight w:val="none"/>
        </w:rPr>
        <w:t>（一）甲方权利及义务</w:t>
      </w:r>
    </w:p>
    <w:p w14:paraId="1B52D1B6">
      <w:pPr>
        <w:spacing w:line="360" w:lineRule="auto"/>
        <w:ind w:firstLine="480" w:firstLineChars="200"/>
        <w:rPr>
          <w:rFonts w:hint="eastAsia" w:ascii="仿宋_GB2312" w:hAnsi="仿宋_GB2312" w:eastAsia="仿宋_GB2312" w:cs="仿宋_GB2312"/>
          <w:color w:val="auto"/>
          <w:kern w:val="0"/>
          <w:sz w:val="24"/>
          <w:szCs w:val="24"/>
          <w:highlight w:val="none"/>
        </w:rPr>
      </w:pPr>
      <w:r>
        <w:rPr>
          <w:rFonts w:hint="eastAsia" w:ascii="仿宋_GB2312" w:hAnsi="仿宋_GB2312" w:eastAsia="仿宋_GB2312" w:cs="仿宋_GB2312"/>
          <w:color w:val="auto"/>
          <w:kern w:val="0"/>
          <w:sz w:val="24"/>
          <w:szCs w:val="24"/>
          <w:highlight w:val="none"/>
        </w:rPr>
        <w:t>1、代表和维护产权人、使用人的合法权益。</w:t>
      </w:r>
    </w:p>
    <w:p w14:paraId="75AEC008">
      <w:pPr>
        <w:spacing w:line="360" w:lineRule="auto"/>
        <w:ind w:firstLine="480" w:firstLineChars="200"/>
        <w:rPr>
          <w:rFonts w:hint="eastAsia" w:ascii="仿宋_GB2312" w:hAnsi="仿宋_GB2312" w:eastAsia="仿宋_GB2312" w:cs="仿宋_GB2312"/>
          <w:color w:val="auto"/>
          <w:kern w:val="0"/>
          <w:sz w:val="24"/>
          <w:szCs w:val="24"/>
          <w:highlight w:val="none"/>
        </w:rPr>
      </w:pPr>
      <w:r>
        <w:rPr>
          <w:rFonts w:hint="eastAsia" w:ascii="仿宋_GB2312" w:hAnsi="仿宋_GB2312" w:eastAsia="仿宋_GB2312" w:cs="仿宋_GB2312"/>
          <w:color w:val="auto"/>
          <w:kern w:val="0"/>
          <w:sz w:val="24"/>
          <w:szCs w:val="24"/>
          <w:highlight w:val="none"/>
        </w:rPr>
        <w:t>2、审定乙方拟定的物业管理制度、年度计划、财务支出计划。</w:t>
      </w:r>
    </w:p>
    <w:p w14:paraId="37BC0D44">
      <w:pPr>
        <w:spacing w:line="360" w:lineRule="auto"/>
        <w:ind w:firstLine="480" w:firstLineChars="200"/>
        <w:rPr>
          <w:rFonts w:hint="eastAsia" w:ascii="仿宋_GB2312" w:hAnsi="仿宋_GB2312" w:eastAsia="仿宋_GB2312" w:cs="仿宋_GB2312"/>
          <w:color w:val="auto"/>
          <w:kern w:val="0"/>
          <w:sz w:val="24"/>
          <w:szCs w:val="24"/>
          <w:highlight w:val="none"/>
        </w:rPr>
      </w:pPr>
      <w:r>
        <w:rPr>
          <w:rFonts w:hint="eastAsia" w:ascii="仿宋_GB2312" w:hAnsi="仿宋_GB2312" w:eastAsia="仿宋_GB2312" w:cs="仿宋_GB2312"/>
          <w:color w:val="auto"/>
          <w:kern w:val="0"/>
          <w:sz w:val="24"/>
          <w:szCs w:val="24"/>
          <w:highlight w:val="none"/>
        </w:rPr>
        <w:t>3、检查监督乙方管理工作的实施及制度执行情况。有权要求乙方对违反服务承诺的事项进行限期整改，若乙方在最长不超过20天（特别重大事项可书面协商）时间内仍不能改进的，甲方有权利延付相应部分的物业管理费而不承担任何责任，直至问题解决；有权要求乙方采纳甲方提出的合理要求；有权对乙方不称职的人员提出及时撤换的建议。合同期内，如因乙方管理不善，造成重大经济损失或管理失误，甲方有权终止合同，并追索赔偿。甲方对乙方按照本合同附件1</w:t>
      </w:r>
      <w:r>
        <w:rPr>
          <w:rFonts w:hint="eastAsia" w:ascii="仿宋_GB2312" w:hAnsi="仿宋_GB2312" w:eastAsia="仿宋_GB2312" w:cs="仿宋_GB2312"/>
          <w:color w:val="auto"/>
          <w:sz w:val="24"/>
          <w:szCs w:val="24"/>
          <w:highlight w:val="none"/>
        </w:rPr>
        <w:t>服务内容、管理标准及要求</w:t>
      </w:r>
      <w:r>
        <w:rPr>
          <w:rFonts w:hint="eastAsia" w:ascii="仿宋_GB2312" w:hAnsi="仿宋_GB2312" w:eastAsia="仿宋_GB2312" w:cs="仿宋_GB2312"/>
          <w:color w:val="auto"/>
          <w:kern w:val="0"/>
          <w:sz w:val="24"/>
          <w:szCs w:val="24"/>
          <w:highlight w:val="none"/>
        </w:rPr>
        <w:t>每月进</w:t>
      </w:r>
      <w:r>
        <w:rPr>
          <w:rFonts w:hint="eastAsia" w:ascii="仿宋_GB2312" w:hAnsi="仿宋_GB2312" w:eastAsia="仿宋_GB2312" w:cs="仿宋_GB2312"/>
          <w:color w:val="auto"/>
          <w:kern w:val="0"/>
          <w:sz w:val="24"/>
          <w:szCs w:val="24"/>
          <w:highlight w:val="none"/>
          <w:lang w:eastAsia="zh-CN"/>
        </w:rPr>
        <w:t>行</w:t>
      </w:r>
      <w:r>
        <w:rPr>
          <w:rFonts w:hint="eastAsia" w:ascii="仿宋_GB2312" w:hAnsi="仿宋_GB2312" w:eastAsia="仿宋_GB2312" w:cs="仿宋_GB2312"/>
          <w:color w:val="auto"/>
          <w:kern w:val="0"/>
          <w:sz w:val="24"/>
          <w:szCs w:val="24"/>
          <w:highlight w:val="none"/>
        </w:rPr>
        <w:t>一次考核评定，</w:t>
      </w:r>
      <w:r>
        <w:rPr>
          <w:rFonts w:hint="eastAsia" w:ascii="仿宋_GB2312" w:hAnsi="仿宋_GB2312" w:eastAsia="仿宋_GB2312" w:cs="仿宋_GB2312"/>
          <w:color w:val="auto"/>
          <w:sz w:val="24"/>
          <w:szCs w:val="24"/>
          <w:highlight w:val="none"/>
        </w:rPr>
        <w:t>甲方</w:t>
      </w:r>
      <w:r>
        <w:rPr>
          <w:rFonts w:hint="eastAsia" w:ascii="仿宋_GB2312" w:hAnsi="仿宋_GB2312" w:eastAsia="仿宋_GB2312" w:cs="仿宋_GB2312"/>
          <w:color w:val="auto"/>
          <w:kern w:val="0"/>
          <w:sz w:val="24"/>
          <w:szCs w:val="24"/>
          <w:highlight w:val="none"/>
        </w:rPr>
        <w:t>可随时对乙方管理及服务进行检查，对项目现场乙方未达标事项包括但不限于电话通知、拍照通知、下发整改通知单等，物业公司未及时提交书面整改完成材料或情况甲方可并按照考核机制进行扣分，月度评定结果作为物业费支付依据。</w:t>
      </w:r>
    </w:p>
    <w:p w14:paraId="23A53621">
      <w:pPr>
        <w:spacing w:line="360" w:lineRule="auto"/>
        <w:ind w:firstLine="480" w:firstLineChars="200"/>
        <w:rPr>
          <w:rFonts w:hint="eastAsia" w:ascii="仿宋_GB2312" w:hAnsi="仿宋_GB2312" w:eastAsia="仿宋_GB2312" w:cs="仿宋_GB2312"/>
          <w:color w:val="auto"/>
          <w:kern w:val="0"/>
          <w:sz w:val="24"/>
          <w:szCs w:val="24"/>
          <w:highlight w:val="none"/>
        </w:rPr>
      </w:pPr>
      <w:r>
        <w:rPr>
          <w:rFonts w:hint="eastAsia" w:ascii="仿宋_GB2312" w:hAnsi="仿宋_GB2312" w:eastAsia="仿宋_GB2312" w:cs="仿宋_GB2312"/>
          <w:color w:val="auto"/>
          <w:kern w:val="0"/>
          <w:sz w:val="24"/>
          <w:szCs w:val="24"/>
          <w:highlight w:val="none"/>
        </w:rPr>
        <w:t>4、向乙方提供办公用房。</w:t>
      </w:r>
    </w:p>
    <w:p w14:paraId="097DBA43">
      <w:pPr>
        <w:spacing w:line="360" w:lineRule="auto"/>
        <w:ind w:firstLine="480" w:firstLineChars="200"/>
        <w:rPr>
          <w:rFonts w:hint="eastAsia" w:ascii="仿宋_GB2312" w:hAnsi="仿宋_GB2312" w:eastAsia="仿宋_GB2312" w:cs="仿宋_GB2312"/>
          <w:color w:val="auto"/>
          <w:kern w:val="0"/>
          <w:sz w:val="24"/>
          <w:szCs w:val="24"/>
          <w:highlight w:val="none"/>
        </w:rPr>
      </w:pPr>
      <w:r>
        <w:rPr>
          <w:rFonts w:hint="eastAsia" w:ascii="仿宋_GB2312" w:hAnsi="仿宋_GB2312" w:eastAsia="仿宋_GB2312" w:cs="仿宋_GB2312"/>
          <w:color w:val="auto"/>
          <w:kern w:val="0"/>
          <w:sz w:val="24"/>
          <w:szCs w:val="24"/>
          <w:highlight w:val="none"/>
        </w:rPr>
        <w:t>5、向乙方提供物业管理所需的图纸、档案、资料。</w:t>
      </w:r>
    </w:p>
    <w:p w14:paraId="53EC1F75">
      <w:pPr>
        <w:spacing w:line="360" w:lineRule="auto"/>
        <w:ind w:firstLine="480" w:firstLineChars="200"/>
        <w:rPr>
          <w:rFonts w:hint="eastAsia" w:ascii="仿宋_GB2312" w:hAnsi="仿宋_GB2312" w:eastAsia="仿宋_GB2312" w:cs="仿宋_GB2312"/>
          <w:color w:val="auto"/>
          <w:kern w:val="0"/>
          <w:sz w:val="24"/>
          <w:szCs w:val="24"/>
          <w:highlight w:val="none"/>
        </w:rPr>
      </w:pPr>
      <w:r>
        <w:rPr>
          <w:rFonts w:hint="eastAsia" w:ascii="仿宋_GB2312" w:hAnsi="仿宋_GB2312" w:eastAsia="仿宋_GB2312" w:cs="仿宋_GB2312"/>
          <w:color w:val="auto"/>
          <w:kern w:val="0"/>
          <w:sz w:val="24"/>
          <w:szCs w:val="24"/>
          <w:highlight w:val="none"/>
        </w:rPr>
        <w:t>6、负责保证按合同约定按时交纳物业管理费。</w:t>
      </w:r>
    </w:p>
    <w:p w14:paraId="5882635F">
      <w:pPr>
        <w:spacing w:line="360" w:lineRule="auto"/>
        <w:ind w:firstLine="480" w:firstLineChars="200"/>
        <w:rPr>
          <w:rFonts w:hint="eastAsia" w:ascii="仿宋_GB2312" w:hAnsi="仿宋_GB2312" w:eastAsia="仿宋_GB2312" w:cs="仿宋_GB2312"/>
          <w:color w:val="auto"/>
          <w:kern w:val="0"/>
          <w:sz w:val="24"/>
          <w:szCs w:val="24"/>
          <w:highlight w:val="none"/>
        </w:rPr>
      </w:pPr>
      <w:r>
        <w:rPr>
          <w:rFonts w:hint="eastAsia" w:ascii="仿宋_GB2312" w:hAnsi="仿宋_GB2312" w:eastAsia="仿宋_GB2312" w:cs="仿宋_GB2312"/>
          <w:color w:val="auto"/>
          <w:kern w:val="0"/>
          <w:sz w:val="24"/>
          <w:szCs w:val="24"/>
          <w:highlight w:val="none"/>
        </w:rPr>
        <w:t>7、协助处理本合同生效前发生的工程遗留问题。</w:t>
      </w:r>
    </w:p>
    <w:p w14:paraId="0A75A3CB">
      <w:pPr>
        <w:spacing w:line="360" w:lineRule="auto"/>
        <w:ind w:firstLine="480" w:firstLineChars="200"/>
        <w:rPr>
          <w:rFonts w:hint="eastAsia" w:ascii="仿宋_GB2312" w:hAnsi="仿宋_GB2312" w:eastAsia="仿宋_GB2312" w:cs="仿宋_GB2312"/>
          <w:color w:val="auto"/>
          <w:kern w:val="0"/>
          <w:sz w:val="24"/>
          <w:szCs w:val="24"/>
          <w:highlight w:val="none"/>
        </w:rPr>
      </w:pPr>
      <w:r>
        <w:rPr>
          <w:rFonts w:hint="eastAsia" w:ascii="仿宋_GB2312" w:hAnsi="仿宋_GB2312" w:eastAsia="仿宋_GB2312" w:cs="仿宋_GB2312"/>
          <w:color w:val="auto"/>
          <w:kern w:val="0"/>
          <w:sz w:val="24"/>
          <w:szCs w:val="24"/>
          <w:highlight w:val="none"/>
        </w:rPr>
        <w:t>8、协助乙方做好物业管理和宣传教育、文化活动、节能降耗工作。</w:t>
      </w:r>
    </w:p>
    <w:p w14:paraId="38C05851">
      <w:pPr>
        <w:spacing w:line="360" w:lineRule="auto"/>
        <w:ind w:firstLine="480" w:firstLineChars="200"/>
        <w:rPr>
          <w:rFonts w:hint="eastAsia" w:ascii="仿宋_GB2312" w:hAnsi="仿宋_GB2312" w:eastAsia="仿宋_GB2312" w:cs="仿宋_GB2312"/>
          <w:color w:val="auto"/>
          <w:kern w:val="0"/>
          <w:sz w:val="24"/>
          <w:szCs w:val="24"/>
          <w:highlight w:val="none"/>
        </w:rPr>
      </w:pPr>
      <w:r>
        <w:rPr>
          <w:rFonts w:hint="eastAsia" w:ascii="仿宋_GB2312" w:hAnsi="仿宋_GB2312" w:eastAsia="仿宋_GB2312" w:cs="仿宋_GB2312"/>
          <w:color w:val="auto"/>
          <w:kern w:val="0"/>
          <w:sz w:val="24"/>
          <w:szCs w:val="24"/>
          <w:highlight w:val="none"/>
        </w:rPr>
        <w:t>9、不得干涉乙方依法或依据本合同规定的内容所进行的管理活动。</w:t>
      </w:r>
    </w:p>
    <w:p w14:paraId="60E04477">
      <w:pPr>
        <w:spacing w:line="360" w:lineRule="auto"/>
        <w:ind w:firstLine="480" w:firstLineChars="200"/>
        <w:rPr>
          <w:rFonts w:hint="eastAsia" w:ascii="仿宋_GB2312" w:hAnsi="仿宋_GB2312" w:eastAsia="仿宋_GB2312" w:cs="仿宋_GB2312"/>
          <w:color w:val="auto"/>
          <w:kern w:val="0"/>
          <w:sz w:val="24"/>
          <w:szCs w:val="24"/>
          <w:highlight w:val="none"/>
        </w:rPr>
      </w:pPr>
      <w:r>
        <w:rPr>
          <w:rFonts w:hint="eastAsia" w:ascii="仿宋_GB2312" w:hAnsi="仿宋_GB2312" w:eastAsia="仿宋_GB2312" w:cs="仿宋_GB2312"/>
          <w:color w:val="auto"/>
          <w:kern w:val="0"/>
          <w:sz w:val="24"/>
          <w:szCs w:val="24"/>
          <w:highlight w:val="none"/>
        </w:rPr>
        <w:t>10、政策规定由甲方承担的其他责任。</w:t>
      </w:r>
    </w:p>
    <w:p w14:paraId="7D848E1D">
      <w:pPr>
        <w:spacing w:line="360" w:lineRule="auto"/>
        <w:ind w:firstLine="482" w:firstLineChars="200"/>
        <w:rPr>
          <w:rFonts w:hint="eastAsia" w:ascii="楷体_GB2312" w:hAnsi="楷体_GB2312" w:eastAsia="楷体_GB2312" w:cs="楷体_GB2312"/>
          <w:b/>
          <w:bCs/>
          <w:color w:val="auto"/>
          <w:kern w:val="0"/>
          <w:sz w:val="24"/>
          <w:szCs w:val="24"/>
          <w:highlight w:val="none"/>
        </w:rPr>
      </w:pPr>
      <w:r>
        <w:rPr>
          <w:rFonts w:hint="eastAsia" w:ascii="楷体_GB2312" w:hAnsi="楷体_GB2312" w:eastAsia="楷体_GB2312" w:cs="楷体_GB2312"/>
          <w:b/>
          <w:bCs/>
          <w:color w:val="auto"/>
          <w:kern w:val="0"/>
          <w:sz w:val="24"/>
          <w:szCs w:val="24"/>
          <w:highlight w:val="none"/>
        </w:rPr>
        <w:t>（二）乙方权利及义务</w:t>
      </w:r>
    </w:p>
    <w:p w14:paraId="4127B656">
      <w:pPr>
        <w:spacing w:line="360" w:lineRule="auto"/>
        <w:ind w:firstLine="480" w:firstLineChars="200"/>
        <w:rPr>
          <w:rFonts w:hint="eastAsia" w:ascii="仿宋_GB2312" w:hAnsi="仿宋_GB2312" w:eastAsia="仿宋_GB2312" w:cs="仿宋_GB2312"/>
          <w:color w:val="auto"/>
          <w:kern w:val="0"/>
          <w:sz w:val="24"/>
          <w:szCs w:val="24"/>
          <w:highlight w:val="none"/>
        </w:rPr>
      </w:pPr>
      <w:r>
        <w:rPr>
          <w:rFonts w:hint="eastAsia" w:ascii="仿宋_GB2312" w:hAnsi="仿宋_GB2312" w:eastAsia="仿宋_GB2312" w:cs="仿宋_GB2312"/>
          <w:color w:val="auto"/>
          <w:kern w:val="0"/>
          <w:sz w:val="24"/>
          <w:szCs w:val="24"/>
          <w:highlight w:val="none"/>
        </w:rPr>
        <w:t>1、根据有关法律、法规及本合同的约定，制定该物业的管理制度及实施细节，自主开展各项管理服务活动，但不得损害甲方的合法权益，获取不当利益。</w:t>
      </w:r>
    </w:p>
    <w:p w14:paraId="393F7616">
      <w:pPr>
        <w:spacing w:line="360" w:lineRule="auto"/>
        <w:ind w:firstLine="480" w:firstLineChars="200"/>
        <w:rPr>
          <w:rFonts w:hint="eastAsia" w:ascii="仿宋_GB2312" w:hAnsi="仿宋_GB2312" w:eastAsia="仿宋_GB2312" w:cs="仿宋_GB2312"/>
          <w:color w:val="auto"/>
          <w:kern w:val="0"/>
          <w:sz w:val="24"/>
          <w:szCs w:val="24"/>
          <w:highlight w:val="none"/>
        </w:rPr>
      </w:pPr>
      <w:r>
        <w:rPr>
          <w:rFonts w:hint="eastAsia" w:ascii="仿宋_GB2312" w:hAnsi="仿宋_GB2312" w:eastAsia="仿宋_GB2312" w:cs="仿宋_GB2312"/>
          <w:color w:val="auto"/>
          <w:kern w:val="0"/>
          <w:sz w:val="24"/>
          <w:szCs w:val="24"/>
          <w:highlight w:val="none"/>
        </w:rPr>
        <w:t>2、遵守各项管理法规和合同规定的责任要求，根据甲方授权对物业实施综合管理，确保实现各项管理目标和经济指标，并承担相应责任，自觉接受物业主管部门及有关政府部门和甲方检查监督。</w:t>
      </w:r>
    </w:p>
    <w:p w14:paraId="1A8CD3F5">
      <w:pPr>
        <w:spacing w:line="360" w:lineRule="auto"/>
        <w:ind w:firstLine="480" w:firstLineChars="200"/>
        <w:rPr>
          <w:rFonts w:hint="eastAsia" w:ascii="仿宋_GB2312" w:hAnsi="仿宋_GB2312" w:eastAsia="仿宋_GB2312" w:cs="仿宋_GB2312"/>
          <w:color w:val="auto"/>
          <w:kern w:val="0"/>
          <w:sz w:val="24"/>
          <w:szCs w:val="24"/>
          <w:highlight w:val="none"/>
        </w:rPr>
      </w:pPr>
      <w:r>
        <w:rPr>
          <w:rFonts w:hint="eastAsia" w:ascii="仿宋_GB2312" w:hAnsi="仿宋_GB2312" w:eastAsia="仿宋_GB2312" w:cs="仿宋_GB2312"/>
          <w:color w:val="auto"/>
          <w:kern w:val="0"/>
          <w:sz w:val="24"/>
          <w:szCs w:val="24"/>
          <w:highlight w:val="none"/>
        </w:rPr>
        <w:t>3、按照国家相关法律法规与派驻本项目的全体员工签订、履行劳动合同。</w:t>
      </w:r>
    </w:p>
    <w:p w14:paraId="2F38E4A3">
      <w:pPr>
        <w:spacing w:line="360" w:lineRule="auto"/>
        <w:ind w:firstLine="480" w:firstLineChars="200"/>
        <w:rPr>
          <w:rFonts w:hint="eastAsia" w:ascii="仿宋_GB2312" w:hAnsi="仿宋_GB2312" w:eastAsia="仿宋_GB2312" w:cs="仿宋_GB2312"/>
          <w:color w:val="auto"/>
          <w:kern w:val="0"/>
          <w:sz w:val="24"/>
          <w:szCs w:val="24"/>
          <w:highlight w:val="none"/>
        </w:rPr>
      </w:pPr>
      <w:r>
        <w:rPr>
          <w:rFonts w:hint="eastAsia" w:ascii="仿宋_GB2312" w:hAnsi="仿宋_GB2312" w:eastAsia="仿宋_GB2312" w:cs="仿宋_GB2312"/>
          <w:color w:val="auto"/>
          <w:kern w:val="0"/>
          <w:sz w:val="24"/>
          <w:szCs w:val="24"/>
          <w:highlight w:val="none"/>
        </w:rPr>
        <w:t>4、乙方员工应统一服装、佩戴工作证，加强职业道德和法律教育，做好保密工作。</w:t>
      </w:r>
    </w:p>
    <w:p w14:paraId="1691A8C8">
      <w:pPr>
        <w:spacing w:line="360" w:lineRule="auto"/>
        <w:ind w:firstLine="480" w:firstLineChars="200"/>
        <w:rPr>
          <w:rFonts w:hint="eastAsia" w:ascii="仿宋_GB2312" w:hAnsi="仿宋_GB2312" w:eastAsia="仿宋_GB2312" w:cs="仿宋_GB2312"/>
          <w:color w:val="auto"/>
          <w:kern w:val="0"/>
          <w:sz w:val="24"/>
          <w:szCs w:val="24"/>
          <w:highlight w:val="none"/>
        </w:rPr>
      </w:pPr>
      <w:r>
        <w:rPr>
          <w:rFonts w:hint="eastAsia" w:ascii="仿宋_GB2312" w:hAnsi="仿宋_GB2312" w:eastAsia="仿宋_GB2312" w:cs="仿宋_GB2312"/>
          <w:color w:val="auto"/>
          <w:kern w:val="0"/>
          <w:sz w:val="24"/>
          <w:szCs w:val="24"/>
          <w:highlight w:val="none"/>
        </w:rPr>
        <w:t>5、因乙方故意或过失行为而导致甲方物业内所指定的物业、设备及其他直接损失时，乙方应承担相应责任和相应赔偿。若因第三方行为导致甲方物业内所指定的物业、设备及其它直接损失时，乙方有义务协助甲方对第三方进行追责。</w:t>
      </w:r>
    </w:p>
    <w:p w14:paraId="13271220">
      <w:pPr>
        <w:spacing w:line="360" w:lineRule="auto"/>
        <w:ind w:firstLine="480" w:firstLineChars="200"/>
        <w:rPr>
          <w:rFonts w:hint="eastAsia" w:ascii="仿宋_GB2312" w:hAnsi="仿宋_GB2312" w:eastAsia="仿宋_GB2312" w:cs="仿宋_GB2312"/>
          <w:color w:val="auto"/>
          <w:kern w:val="0"/>
          <w:sz w:val="24"/>
          <w:szCs w:val="24"/>
          <w:highlight w:val="none"/>
        </w:rPr>
      </w:pPr>
      <w:r>
        <w:rPr>
          <w:rFonts w:hint="eastAsia" w:ascii="仿宋_GB2312" w:hAnsi="仿宋_GB2312" w:eastAsia="仿宋_GB2312" w:cs="仿宋_GB2312"/>
          <w:color w:val="auto"/>
          <w:kern w:val="0"/>
          <w:sz w:val="24"/>
          <w:szCs w:val="24"/>
          <w:highlight w:val="none"/>
        </w:rPr>
        <w:t>6、负责编制办公楼、附属建筑物、设施、设备等年度维修养护计划和维修方案，报甲方审议通过后由乙方组织实施。</w:t>
      </w:r>
    </w:p>
    <w:p w14:paraId="6DA4F2A3">
      <w:pPr>
        <w:spacing w:line="360" w:lineRule="auto"/>
        <w:ind w:firstLine="480" w:firstLineChars="200"/>
        <w:rPr>
          <w:rFonts w:hint="eastAsia" w:ascii="仿宋_GB2312" w:hAnsi="仿宋_GB2312" w:eastAsia="仿宋_GB2312" w:cs="仿宋_GB2312"/>
          <w:color w:val="auto"/>
          <w:kern w:val="0"/>
          <w:sz w:val="24"/>
          <w:szCs w:val="24"/>
          <w:highlight w:val="none"/>
        </w:rPr>
      </w:pPr>
      <w:r>
        <w:rPr>
          <w:rFonts w:hint="eastAsia" w:ascii="仿宋_GB2312" w:hAnsi="仿宋_GB2312" w:eastAsia="仿宋_GB2312" w:cs="仿宋_GB2312"/>
          <w:color w:val="auto"/>
          <w:kern w:val="0"/>
          <w:sz w:val="24"/>
          <w:szCs w:val="24"/>
          <w:highlight w:val="none"/>
        </w:rPr>
        <w:t>7、向甲方和物业使用人告知物业使用的有关规定，并负责监督。</w:t>
      </w:r>
    </w:p>
    <w:p w14:paraId="5C0FD202">
      <w:pPr>
        <w:spacing w:line="360" w:lineRule="auto"/>
        <w:ind w:firstLine="480" w:firstLineChars="200"/>
        <w:rPr>
          <w:rFonts w:hint="eastAsia" w:ascii="仿宋_GB2312" w:hAnsi="仿宋_GB2312" w:eastAsia="仿宋_GB2312" w:cs="仿宋_GB2312"/>
          <w:color w:val="auto"/>
          <w:kern w:val="0"/>
          <w:sz w:val="24"/>
          <w:szCs w:val="24"/>
          <w:highlight w:val="none"/>
        </w:rPr>
      </w:pPr>
      <w:r>
        <w:rPr>
          <w:rFonts w:hint="eastAsia" w:ascii="仿宋_GB2312" w:hAnsi="仿宋_GB2312" w:eastAsia="仿宋_GB2312" w:cs="仿宋_GB2312"/>
          <w:color w:val="auto"/>
          <w:kern w:val="0"/>
          <w:sz w:val="24"/>
          <w:szCs w:val="24"/>
          <w:highlight w:val="none"/>
        </w:rPr>
        <w:t>8、乙方不得将甲方物业服务项目整体转包或者分包给第三方。</w:t>
      </w:r>
      <w:r>
        <w:rPr>
          <w:rFonts w:hint="eastAsia" w:ascii="仿宋_GB2312" w:hAnsi="仿宋_GB2312" w:eastAsia="仿宋_GB2312" w:cs="仿宋_GB2312"/>
          <w:color w:val="auto"/>
          <w:kern w:val="0"/>
          <w:sz w:val="24"/>
          <w:szCs w:val="24"/>
          <w:highlight w:val="none"/>
          <w:lang w:eastAsia="zh-CN"/>
        </w:rPr>
        <w:t>经甲方同意，</w:t>
      </w:r>
      <w:r>
        <w:rPr>
          <w:rFonts w:hint="eastAsia" w:ascii="仿宋_GB2312" w:hAnsi="仿宋_GB2312" w:eastAsia="仿宋_GB2312" w:cs="仿宋_GB2312"/>
          <w:color w:val="auto"/>
          <w:kern w:val="0"/>
          <w:sz w:val="24"/>
          <w:szCs w:val="24"/>
          <w:highlight w:val="none"/>
        </w:rPr>
        <w:t>如乙方确需将餐饮服务项目分包，不得将本物业的管理责任转让给第三方。</w:t>
      </w:r>
    </w:p>
    <w:p w14:paraId="375DEAC4">
      <w:pPr>
        <w:spacing w:line="360" w:lineRule="auto"/>
        <w:ind w:firstLine="480" w:firstLineChars="200"/>
        <w:rPr>
          <w:rFonts w:hint="eastAsia" w:ascii="仿宋_GB2312" w:hAnsi="仿宋_GB2312" w:eastAsia="仿宋_GB2312" w:cs="仿宋_GB2312"/>
          <w:color w:val="auto"/>
          <w:kern w:val="0"/>
          <w:sz w:val="24"/>
          <w:szCs w:val="24"/>
          <w:highlight w:val="none"/>
        </w:rPr>
      </w:pPr>
      <w:r>
        <w:rPr>
          <w:rFonts w:hint="eastAsia" w:ascii="仿宋_GB2312" w:hAnsi="仿宋_GB2312" w:eastAsia="仿宋_GB2312" w:cs="仿宋_GB2312"/>
          <w:color w:val="auto"/>
          <w:kern w:val="0"/>
          <w:sz w:val="24"/>
          <w:szCs w:val="24"/>
          <w:highlight w:val="none"/>
        </w:rPr>
        <w:t>9、接受甲方对管理过程中财务账目的监督，并定期报告工作。</w:t>
      </w:r>
    </w:p>
    <w:p w14:paraId="38F4E984">
      <w:pPr>
        <w:spacing w:line="360" w:lineRule="auto"/>
        <w:ind w:firstLine="480" w:firstLineChars="200"/>
        <w:rPr>
          <w:rFonts w:hint="eastAsia" w:ascii="仿宋_GB2312" w:hAnsi="仿宋_GB2312" w:eastAsia="仿宋_GB2312" w:cs="仿宋_GB2312"/>
          <w:color w:val="auto"/>
          <w:kern w:val="0"/>
          <w:sz w:val="24"/>
          <w:szCs w:val="24"/>
          <w:highlight w:val="none"/>
        </w:rPr>
      </w:pPr>
      <w:r>
        <w:rPr>
          <w:rFonts w:hint="eastAsia" w:ascii="仿宋_GB2312" w:hAnsi="仿宋_GB2312" w:eastAsia="仿宋_GB2312" w:cs="仿宋_GB2312"/>
          <w:color w:val="auto"/>
          <w:kern w:val="0"/>
          <w:sz w:val="24"/>
          <w:szCs w:val="24"/>
          <w:highlight w:val="none"/>
        </w:rPr>
        <w:t>10、对甲方办公楼的设施、设备不得擅自占用和改变使用功能，如需在甲方办公楼内改、扩建建筑物或设备构造，须报甲方批准后方可实施。</w:t>
      </w:r>
    </w:p>
    <w:p w14:paraId="0B249BFD">
      <w:pPr>
        <w:spacing w:line="360" w:lineRule="auto"/>
        <w:ind w:firstLine="480" w:firstLineChars="200"/>
        <w:rPr>
          <w:rFonts w:hint="eastAsia" w:ascii="仿宋_GB2312" w:hAnsi="仿宋_GB2312" w:eastAsia="仿宋_GB2312" w:cs="仿宋_GB2312"/>
          <w:color w:val="auto"/>
          <w:kern w:val="0"/>
          <w:sz w:val="24"/>
          <w:szCs w:val="24"/>
          <w:highlight w:val="none"/>
        </w:rPr>
      </w:pPr>
      <w:r>
        <w:rPr>
          <w:rFonts w:hint="eastAsia" w:ascii="仿宋_GB2312" w:hAnsi="仿宋_GB2312" w:eastAsia="仿宋_GB2312" w:cs="仿宋_GB2312"/>
          <w:color w:val="auto"/>
          <w:kern w:val="0"/>
          <w:sz w:val="24"/>
          <w:szCs w:val="24"/>
          <w:highlight w:val="none"/>
        </w:rPr>
        <w:t>11、建立物业管理档案并负责及时记载有关变更情况。</w:t>
      </w:r>
    </w:p>
    <w:p w14:paraId="049B6BD3">
      <w:pPr>
        <w:spacing w:line="360" w:lineRule="auto"/>
        <w:ind w:firstLine="480" w:firstLineChars="200"/>
        <w:rPr>
          <w:rFonts w:hint="eastAsia" w:ascii="仿宋_GB2312" w:hAnsi="仿宋_GB2312" w:eastAsia="仿宋_GB2312" w:cs="仿宋_GB2312"/>
          <w:color w:val="auto"/>
          <w:kern w:val="0"/>
          <w:sz w:val="24"/>
          <w:szCs w:val="24"/>
          <w:highlight w:val="none"/>
        </w:rPr>
      </w:pPr>
      <w:r>
        <w:rPr>
          <w:rFonts w:hint="eastAsia" w:ascii="仿宋_GB2312" w:hAnsi="仿宋_GB2312" w:eastAsia="仿宋_GB2312" w:cs="仿宋_GB2312"/>
          <w:color w:val="auto"/>
          <w:kern w:val="0"/>
          <w:sz w:val="24"/>
          <w:szCs w:val="24"/>
          <w:highlight w:val="none"/>
        </w:rPr>
        <w:t>12、如开展经甲方同意的经营活动，负责测算管理区域服务收费标准并向甲方提供测算标准与依据，严格按标准收取费用。</w:t>
      </w:r>
    </w:p>
    <w:p w14:paraId="4BC9559C">
      <w:pPr>
        <w:spacing w:line="360" w:lineRule="auto"/>
        <w:ind w:firstLine="480" w:firstLineChars="200"/>
        <w:rPr>
          <w:rFonts w:hint="eastAsia" w:ascii="仿宋_GB2312" w:hAnsi="仿宋_GB2312" w:eastAsia="仿宋_GB2312" w:cs="仿宋_GB2312"/>
          <w:color w:val="auto"/>
          <w:kern w:val="0"/>
          <w:sz w:val="24"/>
          <w:szCs w:val="24"/>
          <w:highlight w:val="none"/>
        </w:rPr>
      </w:pPr>
      <w:r>
        <w:rPr>
          <w:rFonts w:hint="eastAsia" w:ascii="仿宋_GB2312" w:hAnsi="仿宋_GB2312" w:eastAsia="仿宋_GB2312" w:cs="仿宋_GB2312"/>
          <w:color w:val="auto"/>
          <w:kern w:val="0"/>
          <w:sz w:val="24"/>
          <w:szCs w:val="24"/>
          <w:highlight w:val="none"/>
        </w:rPr>
        <w:t>13、乙方有权对物业使用人违反法规、规章的行为进行处理。根据实际情况采取批评、规劝、警告、制止、提请有关部门处理等措施。</w:t>
      </w:r>
    </w:p>
    <w:p w14:paraId="63A68EBD">
      <w:pPr>
        <w:spacing w:line="360" w:lineRule="auto"/>
        <w:ind w:firstLine="480" w:firstLineChars="200"/>
        <w:rPr>
          <w:rFonts w:hint="eastAsia" w:ascii="仿宋_GB2312" w:hAnsi="仿宋_GB2312" w:eastAsia="仿宋_GB2312" w:cs="仿宋_GB2312"/>
          <w:color w:val="auto"/>
          <w:kern w:val="0"/>
          <w:sz w:val="24"/>
          <w:szCs w:val="24"/>
          <w:highlight w:val="none"/>
        </w:rPr>
      </w:pPr>
      <w:r>
        <w:rPr>
          <w:rFonts w:hint="eastAsia" w:ascii="仿宋_GB2312" w:hAnsi="仿宋_GB2312" w:eastAsia="仿宋_GB2312" w:cs="仿宋_GB2312"/>
          <w:color w:val="auto"/>
          <w:kern w:val="0"/>
          <w:sz w:val="24"/>
          <w:szCs w:val="24"/>
          <w:highlight w:val="none"/>
        </w:rPr>
        <w:t>14、负责编制物业年度管理计划和工作总结。</w:t>
      </w:r>
    </w:p>
    <w:p w14:paraId="6E4876A5">
      <w:pPr>
        <w:spacing w:line="360" w:lineRule="auto"/>
        <w:ind w:firstLine="480" w:firstLineChars="200"/>
        <w:rPr>
          <w:rFonts w:hint="eastAsia" w:ascii="仿宋_GB2312" w:hAnsi="仿宋_GB2312" w:eastAsia="仿宋_GB2312" w:cs="仿宋_GB2312"/>
          <w:color w:val="auto"/>
          <w:kern w:val="0"/>
          <w:sz w:val="24"/>
          <w:szCs w:val="24"/>
          <w:highlight w:val="none"/>
        </w:rPr>
      </w:pPr>
      <w:r>
        <w:rPr>
          <w:rFonts w:hint="eastAsia" w:ascii="仿宋_GB2312" w:hAnsi="仿宋_GB2312" w:eastAsia="仿宋_GB2312" w:cs="仿宋_GB2312"/>
          <w:color w:val="auto"/>
          <w:kern w:val="0"/>
          <w:sz w:val="24"/>
          <w:szCs w:val="24"/>
          <w:highlight w:val="none"/>
        </w:rPr>
        <w:t>15、本合同终止时，乙方必须从合同终止日起十天内向甲方移交原委托管理的全部专用房屋及有关财产、全部物业管理档案及有关资料。</w:t>
      </w:r>
    </w:p>
    <w:p w14:paraId="442CB90E">
      <w:pPr>
        <w:spacing w:line="360" w:lineRule="auto"/>
        <w:ind w:firstLine="480" w:firstLineChars="200"/>
        <w:rPr>
          <w:rFonts w:hint="eastAsia" w:ascii="仿宋_GB2312" w:hAnsi="仿宋_GB2312" w:eastAsia="仿宋_GB2312" w:cs="仿宋_GB2312"/>
          <w:color w:val="auto"/>
          <w:kern w:val="0"/>
          <w:sz w:val="24"/>
          <w:szCs w:val="24"/>
          <w:highlight w:val="none"/>
        </w:rPr>
      </w:pPr>
      <w:r>
        <w:rPr>
          <w:rFonts w:hint="eastAsia" w:ascii="仿宋_GB2312" w:hAnsi="仿宋_GB2312" w:eastAsia="仿宋_GB2312" w:cs="仿宋_GB2312"/>
          <w:color w:val="auto"/>
          <w:kern w:val="0"/>
          <w:sz w:val="24"/>
          <w:szCs w:val="24"/>
          <w:highlight w:val="none"/>
        </w:rPr>
        <w:t>16、法规政策规定由乙方承担的其他责任。</w:t>
      </w:r>
    </w:p>
    <w:p w14:paraId="21EEE1D9">
      <w:pPr>
        <w:spacing w:line="360" w:lineRule="auto"/>
        <w:ind w:firstLine="480" w:firstLineChars="200"/>
        <w:rPr>
          <w:rFonts w:hint="eastAsia" w:ascii="仿宋_GB2312" w:hAnsi="仿宋_GB2312" w:eastAsia="仿宋_GB2312" w:cs="仿宋_GB2312"/>
          <w:color w:val="auto"/>
          <w:kern w:val="0"/>
          <w:sz w:val="24"/>
          <w:szCs w:val="24"/>
          <w:highlight w:val="none"/>
        </w:rPr>
      </w:pPr>
      <w:r>
        <w:rPr>
          <w:rFonts w:hint="eastAsia" w:ascii="仿宋_GB2312" w:hAnsi="仿宋_GB2312" w:eastAsia="仿宋_GB2312" w:cs="仿宋_GB2312"/>
          <w:color w:val="auto"/>
          <w:kern w:val="0"/>
          <w:sz w:val="24"/>
          <w:szCs w:val="24"/>
          <w:highlight w:val="none"/>
        </w:rPr>
        <w:t>17、乙方在投标文件中承诺的其他事项。</w:t>
      </w:r>
    </w:p>
    <w:p w14:paraId="60D51EB6">
      <w:pPr>
        <w:spacing w:line="360" w:lineRule="auto"/>
        <w:ind w:firstLine="480" w:firstLineChars="200"/>
        <w:rPr>
          <w:rFonts w:hint="eastAsia" w:ascii="仿宋_GB2312" w:hAnsi="仿宋_GB2312" w:eastAsia="仿宋_GB2312" w:cs="仿宋_GB2312"/>
          <w:color w:val="auto"/>
          <w:kern w:val="0"/>
          <w:sz w:val="24"/>
          <w:szCs w:val="24"/>
          <w:highlight w:val="none"/>
        </w:rPr>
      </w:pPr>
      <w:r>
        <w:rPr>
          <w:rFonts w:hint="eastAsia" w:ascii="仿宋_GB2312" w:hAnsi="仿宋_GB2312" w:eastAsia="仿宋_GB2312" w:cs="仿宋_GB2312"/>
          <w:color w:val="auto"/>
          <w:kern w:val="0"/>
          <w:sz w:val="24"/>
          <w:szCs w:val="24"/>
          <w:highlight w:val="none"/>
        </w:rPr>
        <w:t>18、经协商，甲方认为应由乙方管理的其他事项。</w:t>
      </w:r>
    </w:p>
    <w:p w14:paraId="59C61F20">
      <w:pPr>
        <w:spacing w:line="360" w:lineRule="auto"/>
        <w:ind w:firstLine="0" w:firstLineChars="0"/>
        <w:rPr>
          <w:rFonts w:hint="eastAsia" w:ascii="黑体" w:hAnsi="黑体" w:eastAsia="黑体" w:cs="黑体"/>
          <w:b w:val="0"/>
          <w:bCs w:val="0"/>
          <w:color w:val="auto"/>
          <w:kern w:val="0"/>
          <w:sz w:val="24"/>
          <w:szCs w:val="24"/>
          <w:highlight w:val="none"/>
        </w:rPr>
      </w:pPr>
      <w:r>
        <w:rPr>
          <w:rFonts w:hint="eastAsia" w:ascii="黑体" w:hAnsi="黑体" w:eastAsia="黑体" w:cs="黑体"/>
          <w:b w:val="0"/>
          <w:bCs w:val="0"/>
          <w:color w:val="auto"/>
          <w:spacing w:val="0"/>
          <w:kern w:val="0"/>
          <w:sz w:val="24"/>
          <w:szCs w:val="24"/>
          <w:highlight w:val="none"/>
          <w:lang w:eastAsia="zh-CN"/>
        </w:rPr>
        <w:t>第五条</w:t>
      </w:r>
      <w:r>
        <w:rPr>
          <w:rFonts w:hint="eastAsia" w:ascii="黑体" w:hAnsi="黑体" w:eastAsia="黑体" w:cs="黑体"/>
          <w:b w:val="0"/>
          <w:bCs w:val="0"/>
          <w:color w:val="auto"/>
          <w:spacing w:val="0"/>
          <w:kern w:val="0"/>
          <w:sz w:val="24"/>
          <w:szCs w:val="24"/>
          <w:highlight w:val="none"/>
          <w:lang w:val="en-US" w:eastAsia="zh-CN"/>
        </w:rPr>
        <w:t xml:space="preserve">  </w:t>
      </w:r>
      <w:r>
        <w:rPr>
          <w:rFonts w:hint="eastAsia" w:ascii="黑体" w:hAnsi="黑体" w:eastAsia="黑体" w:cs="黑体"/>
          <w:b w:val="0"/>
          <w:bCs w:val="0"/>
          <w:color w:val="auto"/>
          <w:spacing w:val="0"/>
          <w:kern w:val="0"/>
          <w:sz w:val="24"/>
          <w:szCs w:val="24"/>
          <w:highlight w:val="none"/>
        </w:rPr>
        <w:t>合同履行期限</w:t>
      </w:r>
    </w:p>
    <w:p w14:paraId="3AD2F8A4">
      <w:pPr>
        <w:spacing w:line="360" w:lineRule="auto"/>
        <w:ind w:firstLine="480" w:firstLineChars="200"/>
        <w:rPr>
          <w:rFonts w:hint="eastAsia" w:ascii="仿宋_GB2312" w:hAnsi="仿宋_GB2312" w:eastAsia="仿宋_GB2312" w:cs="仿宋_GB2312"/>
          <w:color w:val="auto"/>
          <w:spacing w:val="0"/>
          <w:kern w:val="0"/>
          <w:sz w:val="24"/>
          <w:szCs w:val="24"/>
          <w:highlight w:val="none"/>
        </w:rPr>
      </w:pPr>
      <w:r>
        <w:rPr>
          <w:rFonts w:hint="eastAsia" w:ascii="仿宋_GB2312" w:hAnsi="仿宋_GB2312" w:eastAsia="仿宋_GB2312" w:cs="仿宋_GB2312"/>
          <w:color w:val="auto"/>
          <w:kern w:val="0"/>
          <w:sz w:val="24"/>
          <w:szCs w:val="24"/>
          <w:highlight w:val="none"/>
          <w:lang w:val="en-US" w:eastAsia="zh-CN"/>
        </w:rPr>
        <w:t>服务期限</w:t>
      </w:r>
      <w:r>
        <w:rPr>
          <w:rFonts w:hint="eastAsia" w:ascii="仿宋_GB2312" w:hAnsi="仿宋_GB2312" w:eastAsia="仿宋_GB2312" w:cs="仿宋_GB2312"/>
          <w:color w:val="auto"/>
          <w:kern w:val="0"/>
          <w:sz w:val="24"/>
          <w:szCs w:val="24"/>
          <w:highlight w:val="none"/>
        </w:rPr>
        <w:t>从202</w:t>
      </w:r>
      <w:r>
        <w:rPr>
          <w:rFonts w:hint="eastAsia" w:ascii="仿宋_GB2312" w:hAnsi="仿宋_GB2312" w:eastAsia="仿宋_GB2312" w:cs="仿宋_GB2312"/>
          <w:color w:val="auto"/>
          <w:kern w:val="0"/>
          <w:sz w:val="24"/>
          <w:szCs w:val="24"/>
          <w:highlight w:val="none"/>
          <w:lang w:val="en-US" w:eastAsia="zh-CN"/>
        </w:rPr>
        <w:t>5</w:t>
      </w:r>
      <w:r>
        <w:rPr>
          <w:rFonts w:hint="eastAsia" w:ascii="仿宋_GB2312" w:hAnsi="仿宋_GB2312" w:eastAsia="仿宋_GB2312" w:cs="仿宋_GB2312"/>
          <w:color w:val="auto"/>
          <w:kern w:val="0"/>
          <w:sz w:val="24"/>
          <w:szCs w:val="24"/>
          <w:highlight w:val="none"/>
        </w:rPr>
        <w:t>年</w:t>
      </w:r>
      <w:r>
        <w:rPr>
          <w:rFonts w:hint="eastAsia" w:ascii="仿宋_GB2312" w:hAnsi="仿宋_GB2312" w:eastAsia="仿宋_GB2312" w:cs="仿宋_GB2312"/>
          <w:color w:val="auto"/>
          <w:kern w:val="0"/>
          <w:sz w:val="24"/>
          <w:szCs w:val="24"/>
          <w:highlight w:val="none"/>
          <w:lang w:val="en-US" w:eastAsia="zh-CN"/>
        </w:rPr>
        <w:t>1</w:t>
      </w:r>
      <w:r>
        <w:rPr>
          <w:rFonts w:hint="eastAsia" w:ascii="仿宋_GB2312" w:hAnsi="仿宋_GB2312" w:eastAsia="仿宋_GB2312" w:cs="仿宋_GB2312"/>
          <w:color w:val="auto"/>
          <w:kern w:val="0"/>
          <w:sz w:val="24"/>
          <w:szCs w:val="24"/>
          <w:highlight w:val="none"/>
        </w:rPr>
        <w:t>月</w:t>
      </w:r>
      <w:r>
        <w:rPr>
          <w:rFonts w:hint="eastAsia" w:ascii="仿宋_GB2312" w:hAnsi="仿宋_GB2312" w:eastAsia="仿宋_GB2312" w:cs="仿宋_GB2312"/>
          <w:color w:val="auto"/>
          <w:kern w:val="0"/>
          <w:sz w:val="24"/>
          <w:szCs w:val="24"/>
          <w:highlight w:val="none"/>
          <w:lang w:val="en-US" w:eastAsia="zh-CN"/>
        </w:rPr>
        <w:t>1</w:t>
      </w:r>
      <w:r>
        <w:rPr>
          <w:rFonts w:hint="eastAsia" w:ascii="仿宋_GB2312" w:hAnsi="仿宋_GB2312" w:eastAsia="仿宋_GB2312" w:cs="仿宋_GB2312"/>
          <w:color w:val="auto"/>
          <w:kern w:val="0"/>
          <w:sz w:val="24"/>
          <w:szCs w:val="24"/>
          <w:highlight w:val="none"/>
        </w:rPr>
        <w:t>日起至202</w:t>
      </w:r>
      <w:r>
        <w:rPr>
          <w:rFonts w:hint="eastAsia" w:ascii="仿宋_GB2312" w:hAnsi="仿宋_GB2312" w:eastAsia="仿宋_GB2312" w:cs="仿宋_GB2312"/>
          <w:color w:val="auto"/>
          <w:kern w:val="0"/>
          <w:sz w:val="24"/>
          <w:szCs w:val="24"/>
          <w:highlight w:val="none"/>
          <w:lang w:val="en-US" w:eastAsia="zh-CN"/>
        </w:rPr>
        <w:t>5</w:t>
      </w:r>
      <w:r>
        <w:rPr>
          <w:rFonts w:hint="eastAsia" w:ascii="仿宋_GB2312" w:hAnsi="仿宋_GB2312" w:eastAsia="仿宋_GB2312" w:cs="仿宋_GB2312"/>
          <w:color w:val="auto"/>
          <w:kern w:val="0"/>
          <w:sz w:val="24"/>
          <w:szCs w:val="24"/>
          <w:highlight w:val="none"/>
        </w:rPr>
        <w:t>年</w:t>
      </w:r>
      <w:r>
        <w:rPr>
          <w:rFonts w:hint="eastAsia" w:ascii="仿宋_GB2312" w:hAnsi="仿宋_GB2312" w:eastAsia="仿宋_GB2312" w:cs="仿宋_GB2312"/>
          <w:color w:val="auto"/>
          <w:kern w:val="0"/>
          <w:sz w:val="24"/>
          <w:szCs w:val="24"/>
          <w:highlight w:val="none"/>
          <w:lang w:val="en-US" w:eastAsia="zh-CN"/>
        </w:rPr>
        <w:t>12</w:t>
      </w:r>
      <w:r>
        <w:rPr>
          <w:rFonts w:hint="eastAsia" w:ascii="仿宋_GB2312" w:hAnsi="仿宋_GB2312" w:eastAsia="仿宋_GB2312" w:cs="仿宋_GB2312"/>
          <w:color w:val="auto"/>
          <w:kern w:val="0"/>
          <w:sz w:val="24"/>
          <w:szCs w:val="24"/>
          <w:highlight w:val="none"/>
        </w:rPr>
        <w:t>月</w:t>
      </w:r>
      <w:r>
        <w:rPr>
          <w:rFonts w:hint="eastAsia" w:ascii="仿宋_GB2312" w:hAnsi="仿宋_GB2312" w:eastAsia="仿宋_GB2312" w:cs="仿宋_GB2312"/>
          <w:color w:val="auto"/>
          <w:kern w:val="0"/>
          <w:sz w:val="24"/>
          <w:szCs w:val="24"/>
          <w:highlight w:val="none"/>
          <w:lang w:val="en-US" w:eastAsia="zh-CN"/>
        </w:rPr>
        <w:t>31</w:t>
      </w:r>
      <w:r>
        <w:rPr>
          <w:rFonts w:hint="eastAsia" w:ascii="仿宋_GB2312" w:hAnsi="仿宋_GB2312" w:eastAsia="仿宋_GB2312" w:cs="仿宋_GB2312"/>
          <w:color w:val="auto"/>
          <w:kern w:val="0"/>
          <w:sz w:val="24"/>
          <w:szCs w:val="24"/>
          <w:highlight w:val="none"/>
        </w:rPr>
        <w:t>日止</w:t>
      </w:r>
      <w:r>
        <w:rPr>
          <w:rFonts w:hint="eastAsia" w:ascii="仿宋_GB2312" w:hAnsi="仿宋_GB2312" w:eastAsia="仿宋_GB2312" w:cs="仿宋_GB2312"/>
          <w:color w:val="auto"/>
          <w:spacing w:val="0"/>
          <w:kern w:val="0"/>
          <w:sz w:val="24"/>
          <w:szCs w:val="24"/>
          <w:highlight w:val="none"/>
        </w:rPr>
        <w:t>。在年度预算有保障且经</w:t>
      </w:r>
      <w:r>
        <w:rPr>
          <w:rFonts w:hint="eastAsia" w:ascii="仿宋_GB2312" w:hAnsi="仿宋_GB2312" w:eastAsia="仿宋_GB2312" w:cs="仿宋_GB2312"/>
          <w:color w:val="auto"/>
          <w:spacing w:val="0"/>
          <w:kern w:val="0"/>
          <w:sz w:val="24"/>
          <w:szCs w:val="24"/>
          <w:highlight w:val="none"/>
          <w:lang w:val="en-US" w:eastAsia="zh-CN"/>
        </w:rPr>
        <w:t>甲方</w:t>
      </w:r>
      <w:r>
        <w:rPr>
          <w:rFonts w:hint="eastAsia" w:ascii="仿宋_GB2312" w:hAnsi="仿宋_GB2312" w:eastAsia="仿宋_GB2312" w:cs="仿宋_GB2312"/>
          <w:color w:val="auto"/>
          <w:spacing w:val="0"/>
          <w:kern w:val="0"/>
          <w:sz w:val="24"/>
          <w:szCs w:val="24"/>
          <w:highlight w:val="none"/>
        </w:rPr>
        <w:t>质控考核合格前提下，通过一年一续签方式签订合同，累计总服务期最长不超过3年。合同期满，</w:t>
      </w:r>
      <w:r>
        <w:rPr>
          <w:rFonts w:hint="eastAsia" w:ascii="仿宋_GB2312" w:hAnsi="仿宋_GB2312" w:eastAsia="仿宋_GB2312" w:cs="仿宋_GB2312"/>
          <w:color w:val="auto"/>
          <w:spacing w:val="0"/>
          <w:kern w:val="0"/>
          <w:sz w:val="24"/>
          <w:szCs w:val="24"/>
          <w:highlight w:val="none"/>
          <w:lang w:val="en-US" w:eastAsia="zh-CN"/>
        </w:rPr>
        <w:t>甲方</w:t>
      </w:r>
      <w:r>
        <w:rPr>
          <w:rFonts w:hint="eastAsia" w:ascii="仿宋_GB2312" w:hAnsi="仿宋_GB2312" w:eastAsia="仿宋_GB2312" w:cs="仿宋_GB2312"/>
          <w:color w:val="auto"/>
          <w:spacing w:val="0"/>
          <w:kern w:val="0"/>
          <w:sz w:val="24"/>
          <w:szCs w:val="24"/>
          <w:highlight w:val="none"/>
        </w:rPr>
        <w:t>根据采购预算</w:t>
      </w:r>
      <w:r>
        <w:rPr>
          <w:rFonts w:hint="eastAsia" w:ascii="仿宋_GB2312" w:hAnsi="仿宋_GB2312" w:eastAsia="仿宋_GB2312" w:cs="仿宋_GB2312"/>
          <w:color w:val="auto"/>
          <w:spacing w:val="0"/>
          <w:kern w:val="0"/>
          <w:sz w:val="24"/>
          <w:szCs w:val="24"/>
          <w:highlight w:val="none"/>
          <w:lang w:eastAsia="zh-CN"/>
        </w:rPr>
        <w:t>保障</w:t>
      </w:r>
      <w:r>
        <w:rPr>
          <w:rFonts w:hint="eastAsia" w:ascii="仿宋_GB2312" w:hAnsi="仿宋_GB2312" w:eastAsia="仿宋_GB2312" w:cs="仿宋_GB2312"/>
          <w:color w:val="auto"/>
          <w:spacing w:val="0"/>
          <w:kern w:val="0"/>
          <w:sz w:val="24"/>
          <w:szCs w:val="24"/>
          <w:highlight w:val="none"/>
        </w:rPr>
        <w:t>和</w:t>
      </w:r>
      <w:r>
        <w:rPr>
          <w:rFonts w:hint="eastAsia" w:ascii="仿宋_GB2312" w:hAnsi="仿宋_GB2312" w:eastAsia="仿宋_GB2312" w:cs="仿宋_GB2312"/>
          <w:color w:val="auto"/>
          <w:spacing w:val="0"/>
          <w:kern w:val="0"/>
          <w:sz w:val="24"/>
          <w:szCs w:val="24"/>
          <w:highlight w:val="none"/>
          <w:lang w:eastAsia="zh-CN"/>
        </w:rPr>
        <w:t>全年至少三个季度评估结果为优秀</w:t>
      </w:r>
      <w:r>
        <w:rPr>
          <w:rFonts w:hint="eastAsia" w:ascii="宋体" w:hAnsi="宋体" w:cs="宋体"/>
          <w:bCs/>
          <w:color w:val="auto"/>
          <w:sz w:val="21"/>
          <w:szCs w:val="21"/>
          <w:highlight w:val="none"/>
          <w:lang w:eastAsia="zh-CN"/>
        </w:rPr>
        <w:t>及月度考核结果均为良好以上</w:t>
      </w:r>
      <w:r>
        <w:rPr>
          <w:rFonts w:hint="eastAsia" w:ascii="仿宋_GB2312" w:hAnsi="仿宋_GB2312" w:eastAsia="仿宋_GB2312" w:cs="仿宋_GB2312"/>
          <w:color w:val="auto"/>
          <w:spacing w:val="0"/>
          <w:kern w:val="0"/>
          <w:sz w:val="24"/>
          <w:szCs w:val="24"/>
          <w:highlight w:val="none"/>
          <w:lang w:eastAsia="zh-CN"/>
        </w:rPr>
        <w:t>的前提下</w:t>
      </w:r>
      <w:r>
        <w:rPr>
          <w:rFonts w:hint="eastAsia" w:ascii="仿宋_GB2312" w:hAnsi="仿宋_GB2312" w:eastAsia="仿宋_GB2312" w:cs="仿宋_GB2312"/>
          <w:color w:val="auto"/>
          <w:spacing w:val="0"/>
          <w:kern w:val="0"/>
          <w:sz w:val="24"/>
          <w:szCs w:val="24"/>
          <w:highlight w:val="none"/>
        </w:rPr>
        <w:t>决定是否续签合同，续签主动权在</w:t>
      </w:r>
      <w:r>
        <w:rPr>
          <w:rFonts w:hint="eastAsia" w:ascii="仿宋_GB2312" w:hAnsi="仿宋_GB2312" w:eastAsia="仿宋_GB2312" w:cs="仿宋_GB2312"/>
          <w:color w:val="auto"/>
          <w:spacing w:val="0"/>
          <w:kern w:val="0"/>
          <w:sz w:val="24"/>
          <w:szCs w:val="24"/>
          <w:highlight w:val="none"/>
          <w:lang w:val="en-US" w:eastAsia="zh-CN"/>
        </w:rPr>
        <w:t>甲方</w:t>
      </w:r>
      <w:r>
        <w:rPr>
          <w:rFonts w:hint="eastAsia" w:ascii="仿宋_GB2312" w:hAnsi="仿宋_GB2312" w:eastAsia="仿宋_GB2312" w:cs="仿宋_GB2312"/>
          <w:color w:val="auto"/>
          <w:spacing w:val="0"/>
          <w:kern w:val="0"/>
          <w:sz w:val="24"/>
          <w:szCs w:val="24"/>
          <w:highlight w:val="none"/>
        </w:rPr>
        <w:t>。</w:t>
      </w:r>
    </w:p>
    <w:p w14:paraId="4657ABD6">
      <w:pPr>
        <w:rPr>
          <w:rFonts w:hint="eastAsia" w:ascii="黑体" w:hAnsi="黑体" w:eastAsia="黑体" w:cs="黑体"/>
          <w:b w:val="0"/>
          <w:bCs w:val="0"/>
          <w:color w:val="auto"/>
          <w:sz w:val="24"/>
          <w:szCs w:val="24"/>
          <w:highlight w:val="none"/>
          <w:lang w:val="en-US" w:eastAsia="zh-CN"/>
        </w:rPr>
      </w:pPr>
      <w:r>
        <w:rPr>
          <w:rFonts w:hint="eastAsia" w:ascii="黑体" w:hAnsi="黑体" w:eastAsia="黑体" w:cs="黑体"/>
          <w:b w:val="0"/>
          <w:bCs w:val="0"/>
          <w:color w:val="auto"/>
          <w:sz w:val="24"/>
          <w:szCs w:val="24"/>
          <w:highlight w:val="none"/>
        </w:rPr>
        <w:t>第</w:t>
      </w:r>
      <w:r>
        <w:rPr>
          <w:rFonts w:hint="eastAsia" w:ascii="黑体" w:hAnsi="黑体" w:eastAsia="黑体" w:cs="黑体"/>
          <w:b w:val="0"/>
          <w:bCs w:val="0"/>
          <w:color w:val="auto"/>
          <w:sz w:val="24"/>
          <w:szCs w:val="24"/>
          <w:highlight w:val="none"/>
          <w:lang w:eastAsia="zh-CN"/>
        </w:rPr>
        <w:t>六</w:t>
      </w:r>
      <w:r>
        <w:rPr>
          <w:rFonts w:hint="eastAsia" w:ascii="黑体" w:hAnsi="黑体" w:eastAsia="黑体" w:cs="黑体"/>
          <w:b w:val="0"/>
          <w:bCs w:val="0"/>
          <w:color w:val="auto"/>
          <w:sz w:val="24"/>
          <w:szCs w:val="24"/>
          <w:highlight w:val="none"/>
        </w:rPr>
        <w:t>条 物业管理服务费支付方式</w:t>
      </w:r>
      <w:r>
        <w:rPr>
          <w:rFonts w:hint="eastAsia" w:ascii="黑体" w:hAnsi="黑体" w:eastAsia="黑体" w:cs="黑体"/>
          <w:b w:val="0"/>
          <w:bCs w:val="0"/>
          <w:color w:val="auto"/>
          <w:sz w:val="24"/>
          <w:szCs w:val="24"/>
          <w:highlight w:val="none"/>
          <w:lang w:eastAsia="zh-CN"/>
        </w:rPr>
        <w:t>、</w:t>
      </w:r>
      <w:r>
        <w:rPr>
          <w:rFonts w:hint="eastAsia" w:ascii="黑体" w:hAnsi="黑体" w:eastAsia="黑体" w:cs="黑体"/>
          <w:b w:val="0"/>
          <w:bCs w:val="0"/>
          <w:color w:val="auto"/>
          <w:sz w:val="24"/>
          <w:szCs w:val="24"/>
          <w:highlight w:val="none"/>
        </w:rPr>
        <w:t>账户信息</w:t>
      </w:r>
      <w:r>
        <w:rPr>
          <w:rFonts w:hint="eastAsia" w:ascii="黑体" w:hAnsi="黑体" w:eastAsia="黑体" w:cs="黑体"/>
          <w:b w:val="0"/>
          <w:bCs w:val="0"/>
          <w:color w:val="auto"/>
          <w:sz w:val="24"/>
          <w:szCs w:val="24"/>
          <w:highlight w:val="none"/>
          <w:lang w:val="en-US" w:eastAsia="zh-CN"/>
        </w:rPr>
        <w:t>及履约保证金</w:t>
      </w:r>
    </w:p>
    <w:p w14:paraId="6321E484">
      <w:pPr>
        <w:pStyle w:val="10"/>
        <w:spacing w:line="500" w:lineRule="exact"/>
        <w:ind w:left="0" w:leftChars="0" w:firstLine="480" w:firstLineChars="200"/>
        <w:jc w:val="left"/>
        <w:rPr>
          <w:rFonts w:hint="eastAsia" w:ascii="仿宋_GB2312" w:hAnsi="仿宋_GB2312" w:eastAsia="仿宋_GB2312" w:cs="仿宋_GB2312"/>
          <w:color w:val="auto"/>
          <w:kern w:val="0"/>
          <w:sz w:val="24"/>
          <w:szCs w:val="24"/>
          <w:highlight w:val="none"/>
        </w:rPr>
      </w:pPr>
      <w:r>
        <w:rPr>
          <w:rFonts w:hint="eastAsia" w:ascii="仿宋_GB2312" w:hAnsi="仿宋_GB2312" w:eastAsia="仿宋_GB2312" w:cs="仿宋_GB2312"/>
          <w:color w:val="auto"/>
          <w:kern w:val="0"/>
          <w:sz w:val="24"/>
          <w:szCs w:val="24"/>
          <w:highlight w:val="none"/>
        </w:rPr>
        <w:t>1、费用：</w:t>
      </w:r>
      <w:r>
        <w:rPr>
          <w:rFonts w:hint="eastAsia" w:ascii="仿宋_GB2312" w:hAnsi="仿宋_GB2312" w:eastAsia="仿宋_GB2312" w:cs="仿宋_GB2312"/>
          <w:color w:val="auto"/>
          <w:spacing w:val="0"/>
          <w:kern w:val="0"/>
          <w:sz w:val="24"/>
          <w:szCs w:val="24"/>
          <w:highlight w:val="none"/>
        </w:rPr>
        <w:t>本合同服务费</w:t>
      </w:r>
      <w:r>
        <w:rPr>
          <w:rFonts w:hint="eastAsia" w:ascii="仿宋_GB2312" w:hAnsi="仿宋_GB2312" w:eastAsia="仿宋_GB2312" w:cs="仿宋_GB2312"/>
          <w:color w:val="auto"/>
          <w:kern w:val="0"/>
          <w:sz w:val="24"/>
          <w:szCs w:val="24"/>
          <w:highlight w:val="none"/>
        </w:rPr>
        <w:t>（</w:t>
      </w:r>
      <w:r>
        <w:rPr>
          <w:rFonts w:hint="eastAsia" w:ascii="仿宋_GB2312" w:hAnsi="仿宋_GB2312" w:eastAsia="仿宋_GB2312" w:cs="仿宋_GB2312"/>
          <w:color w:val="auto"/>
          <w:spacing w:val="0"/>
          <w:kern w:val="0"/>
          <w:sz w:val="24"/>
          <w:szCs w:val="24"/>
          <w:highlight w:val="none"/>
        </w:rPr>
        <w:t xml:space="preserve"> 含税</w:t>
      </w:r>
      <w:r>
        <w:rPr>
          <w:rFonts w:hint="eastAsia" w:ascii="仿宋_GB2312" w:hAnsi="仿宋_GB2312" w:eastAsia="仿宋_GB2312" w:cs="仿宋_GB2312"/>
          <w:color w:val="auto"/>
          <w:kern w:val="0"/>
          <w:sz w:val="24"/>
          <w:szCs w:val="24"/>
          <w:highlight w:val="none"/>
        </w:rPr>
        <w:t>）</w:t>
      </w:r>
      <w:r>
        <w:rPr>
          <w:rFonts w:hint="eastAsia" w:ascii="仿宋_GB2312" w:hAnsi="仿宋_GB2312" w:eastAsia="仿宋_GB2312" w:cs="仿宋_GB2312"/>
          <w:color w:val="auto"/>
          <w:kern w:val="0"/>
          <w:sz w:val="24"/>
          <w:szCs w:val="24"/>
          <w:highlight w:val="none"/>
          <w:lang w:eastAsia="zh-CN"/>
        </w:rPr>
        <w:t>总共</w:t>
      </w:r>
      <w:r>
        <w:rPr>
          <w:rFonts w:hint="eastAsia" w:ascii="仿宋_GB2312" w:hAnsi="仿宋_GB2312" w:eastAsia="仿宋_GB2312" w:cs="仿宋_GB2312"/>
          <w:color w:val="auto"/>
          <w:kern w:val="0"/>
          <w:sz w:val="24"/>
          <w:szCs w:val="24"/>
          <w:highlight w:val="none"/>
          <w:lang w:val="en-US" w:eastAsia="zh-CN"/>
        </w:rPr>
        <w:t xml:space="preserve">    万元（大写：      ），其中：物业管理费为     万元（大写：     ），餐饮服务费为</w:t>
      </w:r>
      <w:r>
        <w:rPr>
          <w:rFonts w:hint="eastAsia" w:ascii="仿宋_GB2312" w:hAnsi="仿宋_GB2312" w:eastAsia="仿宋_GB2312" w:cs="仿宋_GB2312"/>
          <w:color w:val="auto"/>
          <w:spacing w:val="0"/>
          <w:kern w:val="0"/>
          <w:sz w:val="24"/>
          <w:szCs w:val="24"/>
          <w:highlight w:val="none"/>
        </w:rPr>
        <w:t xml:space="preserve"> </w:t>
      </w:r>
      <w:r>
        <w:rPr>
          <w:rFonts w:hint="eastAsia" w:ascii="仿宋_GB2312" w:hAnsi="仿宋_GB2312" w:eastAsia="仿宋_GB2312" w:cs="仿宋_GB2312"/>
          <w:color w:val="auto"/>
          <w:spacing w:val="0"/>
          <w:kern w:val="0"/>
          <w:sz w:val="24"/>
          <w:szCs w:val="24"/>
          <w:highlight w:val="none"/>
          <w:lang w:val="en-US" w:eastAsia="zh-CN"/>
        </w:rPr>
        <w:t xml:space="preserve">   万元（大写：     ）。</w:t>
      </w:r>
      <w:r>
        <w:rPr>
          <w:rFonts w:hint="eastAsia" w:ascii="仿宋_GB2312" w:hAnsi="仿宋_GB2312" w:eastAsia="仿宋_GB2312" w:cs="仿宋_GB2312"/>
          <w:color w:val="auto"/>
          <w:spacing w:val="0"/>
          <w:kern w:val="0"/>
          <w:sz w:val="24"/>
          <w:szCs w:val="24"/>
          <w:highlight w:val="none"/>
        </w:rPr>
        <w:t>每季度</w:t>
      </w:r>
      <w:r>
        <w:rPr>
          <w:rFonts w:hint="eastAsia" w:ascii="仿宋_GB2312" w:hAnsi="仿宋_GB2312" w:eastAsia="仿宋_GB2312" w:cs="仿宋_GB2312"/>
          <w:color w:val="auto"/>
          <w:kern w:val="0"/>
          <w:sz w:val="24"/>
          <w:szCs w:val="24"/>
          <w:highlight w:val="none"/>
        </w:rPr>
        <w:t xml:space="preserve">为    </w:t>
      </w:r>
      <w:r>
        <w:rPr>
          <w:rFonts w:hint="eastAsia" w:ascii="仿宋_GB2312" w:hAnsi="仿宋_GB2312" w:eastAsia="仿宋_GB2312" w:cs="仿宋_GB2312"/>
          <w:color w:val="auto"/>
          <w:spacing w:val="0"/>
          <w:kern w:val="0"/>
          <w:sz w:val="24"/>
          <w:szCs w:val="24"/>
          <w:highlight w:val="none"/>
        </w:rPr>
        <w:t>万</w:t>
      </w:r>
      <w:r>
        <w:rPr>
          <w:rFonts w:hint="eastAsia" w:ascii="仿宋_GB2312" w:hAnsi="仿宋_GB2312" w:eastAsia="仿宋_GB2312" w:cs="仿宋_GB2312"/>
          <w:color w:val="auto"/>
          <w:spacing w:val="0"/>
          <w:kern w:val="0"/>
          <w:sz w:val="24"/>
          <w:szCs w:val="24"/>
          <w:highlight w:val="none"/>
          <w:lang w:val="en-US" w:eastAsia="zh-CN"/>
        </w:rPr>
        <w:t>元</w:t>
      </w:r>
      <w:r>
        <w:rPr>
          <w:rFonts w:hint="eastAsia" w:ascii="仿宋_GB2312" w:hAnsi="仿宋_GB2312" w:eastAsia="仿宋_GB2312" w:cs="仿宋_GB2312"/>
          <w:color w:val="auto"/>
          <w:spacing w:val="0"/>
          <w:kern w:val="0"/>
          <w:sz w:val="24"/>
          <w:szCs w:val="24"/>
          <w:highlight w:val="none"/>
        </w:rPr>
        <w:t>人民币</w:t>
      </w:r>
      <w:r>
        <w:rPr>
          <w:rFonts w:hint="eastAsia" w:ascii="仿宋_GB2312" w:hAnsi="仿宋_GB2312" w:eastAsia="仿宋_GB2312" w:cs="仿宋_GB2312"/>
          <w:color w:val="auto"/>
          <w:kern w:val="0"/>
          <w:sz w:val="24"/>
          <w:szCs w:val="24"/>
          <w:highlight w:val="none"/>
        </w:rPr>
        <w:t>（</w:t>
      </w:r>
      <w:r>
        <w:rPr>
          <w:rFonts w:hint="eastAsia" w:ascii="仿宋_GB2312" w:hAnsi="仿宋_GB2312" w:eastAsia="仿宋_GB2312" w:cs="仿宋_GB2312"/>
          <w:color w:val="auto"/>
          <w:spacing w:val="0"/>
          <w:kern w:val="0"/>
          <w:sz w:val="24"/>
          <w:szCs w:val="24"/>
          <w:highlight w:val="none"/>
        </w:rPr>
        <w:t xml:space="preserve"> 大</w:t>
      </w:r>
      <w:r>
        <w:rPr>
          <w:rFonts w:hint="eastAsia" w:ascii="仿宋_GB2312" w:hAnsi="仿宋_GB2312" w:eastAsia="仿宋_GB2312" w:cs="仿宋_GB2312"/>
          <w:color w:val="auto"/>
          <w:kern w:val="0"/>
          <w:sz w:val="24"/>
          <w:szCs w:val="24"/>
          <w:highlight w:val="none"/>
        </w:rPr>
        <w:t xml:space="preserve">写：    </w:t>
      </w:r>
      <w:r>
        <w:rPr>
          <w:rFonts w:hint="eastAsia" w:ascii="仿宋_GB2312" w:hAnsi="仿宋_GB2312" w:eastAsia="仿宋_GB2312" w:cs="仿宋_GB2312"/>
          <w:color w:val="auto"/>
          <w:kern w:val="0"/>
          <w:sz w:val="24"/>
          <w:szCs w:val="24"/>
          <w:highlight w:val="none"/>
        </w:rPr>
        <w:tab/>
      </w:r>
      <w:r>
        <w:rPr>
          <w:rFonts w:hint="eastAsia" w:ascii="仿宋_GB2312" w:hAnsi="仿宋_GB2312" w:eastAsia="仿宋_GB2312" w:cs="仿宋_GB2312"/>
          <w:color w:val="auto"/>
          <w:kern w:val="0"/>
          <w:sz w:val="24"/>
          <w:szCs w:val="24"/>
          <w:highlight w:val="none"/>
        </w:rPr>
        <w:t>）</w:t>
      </w:r>
      <w:r>
        <w:rPr>
          <w:rFonts w:hint="eastAsia" w:ascii="仿宋_GB2312" w:hAnsi="仿宋_GB2312" w:eastAsia="仿宋_GB2312" w:cs="仿宋_GB2312"/>
          <w:color w:val="auto"/>
          <w:kern w:val="0"/>
          <w:sz w:val="24"/>
          <w:szCs w:val="24"/>
          <w:highlight w:val="none"/>
          <w:lang w:eastAsia="zh-CN"/>
        </w:rPr>
        <w:t>，</w:t>
      </w:r>
      <w:r>
        <w:rPr>
          <w:rFonts w:hint="eastAsia" w:ascii="仿宋_GB2312" w:hAnsi="仿宋_GB2312" w:eastAsia="仿宋_GB2312" w:cs="仿宋_GB2312"/>
          <w:color w:val="auto"/>
          <w:kern w:val="0"/>
          <w:sz w:val="24"/>
          <w:szCs w:val="24"/>
          <w:highlight w:val="none"/>
          <w:lang w:val="en-US" w:eastAsia="zh-CN"/>
        </w:rPr>
        <w:t>其中：物业管理费为     万元（大写：     ），餐饮服务费为</w:t>
      </w:r>
      <w:r>
        <w:rPr>
          <w:rFonts w:hint="eastAsia" w:ascii="仿宋_GB2312" w:hAnsi="仿宋_GB2312" w:eastAsia="仿宋_GB2312" w:cs="仿宋_GB2312"/>
          <w:color w:val="auto"/>
          <w:spacing w:val="0"/>
          <w:kern w:val="0"/>
          <w:sz w:val="24"/>
          <w:szCs w:val="24"/>
          <w:highlight w:val="none"/>
        </w:rPr>
        <w:t xml:space="preserve"> </w:t>
      </w:r>
      <w:r>
        <w:rPr>
          <w:rFonts w:hint="eastAsia" w:ascii="仿宋_GB2312" w:hAnsi="仿宋_GB2312" w:eastAsia="仿宋_GB2312" w:cs="仿宋_GB2312"/>
          <w:color w:val="auto"/>
          <w:spacing w:val="0"/>
          <w:kern w:val="0"/>
          <w:sz w:val="24"/>
          <w:szCs w:val="24"/>
          <w:highlight w:val="none"/>
          <w:lang w:val="en-US" w:eastAsia="zh-CN"/>
        </w:rPr>
        <w:t xml:space="preserve">   万元（大写：     ）。</w:t>
      </w:r>
    </w:p>
    <w:p w14:paraId="4F8EAD34">
      <w:pPr>
        <w:pStyle w:val="10"/>
        <w:spacing w:line="500" w:lineRule="exact"/>
        <w:ind w:left="0" w:leftChars="0" w:firstLine="480" w:firstLineChars="200"/>
        <w:jc w:val="left"/>
        <w:rPr>
          <w:rFonts w:hint="eastAsia" w:ascii="仿宋_GB2312" w:hAnsi="仿宋_GB2312" w:eastAsia="仿宋_GB2312" w:cs="仿宋_GB2312"/>
          <w:color w:val="auto"/>
          <w:kern w:val="0"/>
          <w:sz w:val="24"/>
          <w:szCs w:val="24"/>
          <w:highlight w:val="none"/>
        </w:rPr>
      </w:pPr>
      <w:r>
        <w:rPr>
          <w:rFonts w:hint="eastAsia" w:ascii="仿宋_GB2312" w:hAnsi="仿宋_GB2312" w:eastAsia="仿宋_GB2312" w:cs="仿宋_GB2312"/>
          <w:color w:val="auto"/>
          <w:kern w:val="0"/>
          <w:sz w:val="24"/>
          <w:szCs w:val="24"/>
          <w:highlight w:val="none"/>
        </w:rPr>
        <w:t>2</w:t>
      </w:r>
      <w:r>
        <w:rPr>
          <w:rFonts w:hint="eastAsia" w:ascii="仿宋_GB2312" w:hAnsi="仿宋_GB2312" w:eastAsia="仿宋_GB2312" w:cs="仿宋_GB2312"/>
          <w:color w:val="auto"/>
          <w:spacing w:val="0"/>
          <w:kern w:val="0"/>
          <w:sz w:val="24"/>
          <w:szCs w:val="24"/>
          <w:highlight w:val="none"/>
        </w:rPr>
        <w:t>、付款方式：</w:t>
      </w:r>
      <w:r>
        <w:rPr>
          <w:rFonts w:hint="eastAsia" w:ascii="仿宋_GB2312" w:hAnsi="仿宋_GB2312" w:eastAsia="仿宋_GB2312" w:cs="仿宋_GB2312"/>
          <w:color w:val="auto"/>
          <w:spacing w:val="0"/>
          <w:kern w:val="0"/>
          <w:sz w:val="24"/>
          <w:szCs w:val="24"/>
          <w:highlight w:val="none"/>
          <w:lang w:eastAsia="zh-CN"/>
        </w:rPr>
        <w:t>合同生效且乙方进场履行管理义务后，次季度</w:t>
      </w:r>
      <w:r>
        <w:rPr>
          <w:rFonts w:hint="eastAsia" w:ascii="仿宋_GB2312" w:hAnsi="仿宋_GB2312" w:eastAsia="仿宋_GB2312" w:cs="仿宋_GB2312"/>
          <w:color w:val="auto"/>
          <w:spacing w:val="0"/>
          <w:kern w:val="0"/>
          <w:sz w:val="24"/>
          <w:szCs w:val="24"/>
          <w:highlight w:val="none"/>
          <w:lang w:val="en-US" w:eastAsia="zh-CN"/>
        </w:rPr>
        <w:t>15日前向乙方支付上季度物业服务费，第四季度服务费可以在季度最后一个月月末支付</w:t>
      </w:r>
      <w:r>
        <w:rPr>
          <w:rFonts w:hint="eastAsia" w:ascii="仿宋_GB2312" w:hAnsi="仿宋_GB2312" w:eastAsia="仿宋_GB2312" w:cs="仿宋_GB2312"/>
          <w:color w:val="auto"/>
          <w:spacing w:val="0"/>
          <w:kern w:val="0"/>
          <w:sz w:val="24"/>
          <w:szCs w:val="24"/>
          <w:highlight w:val="none"/>
        </w:rPr>
        <w:t>。甲方向乙方支付费用，乙方应满足以下条件：</w:t>
      </w:r>
    </w:p>
    <w:p w14:paraId="238790E3">
      <w:pPr>
        <w:pStyle w:val="69"/>
        <w:tabs>
          <w:tab w:val="left" w:pos="1354"/>
        </w:tabs>
        <w:spacing w:line="500" w:lineRule="exact"/>
        <w:ind w:firstLine="480"/>
        <w:jc w:val="left"/>
        <w:rPr>
          <w:rFonts w:hint="eastAsia" w:ascii="仿宋_GB2312" w:hAnsi="仿宋_GB2312" w:eastAsia="仿宋_GB2312" w:cs="仿宋_GB2312"/>
          <w:color w:val="auto"/>
          <w:kern w:val="0"/>
          <w:sz w:val="24"/>
          <w:szCs w:val="24"/>
          <w:highlight w:val="none"/>
        </w:rPr>
      </w:pPr>
      <w:r>
        <w:rPr>
          <w:rFonts w:hint="eastAsia" w:ascii="仿宋_GB2312" w:hAnsi="仿宋_GB2312" w:eastAsia="仿宋_GB2312" w:cs="仿宋_GB2312"/>
          <w:color w:val="auto"/>
          <w:kern w:val="0"/>
          <w:sz w:val="24"/>
          <w:szCs w:val="24"/>
          <w:highlight w:val="none"/>
        </w:rPr>
        <w:t>2.1服务期内投诉、损失赔偿以及其他违反合同等问题已经及时妥善解决</w:t>
      </w:r>
      <w:r>
        <w:rPr>
          <w:rFonts w:hint="eastAsia" w:ascii="仿宋_GB2312" w:hAnsi="仿宋_GB2312" w:eastAsia="仿宋_GB2312" w:cs="仿宋_GB2312"/>
          <w:color w:val="auto"/>
          <w:kern w:val="0"/>
          <w:sz w:val="24"/>
          <w:szCs w:val="24"/>
          <w:highlight w:val="none"/>
          <w:lang w:eastAsia="zh-CN"/>
        </w:rPr>
        <w:t>。</w:t>
      </w:r>
    </w:p>
    <w:p w14:paraId="59886F9E">
      <w:pPr>
        <w:pStyle w:val="69"/>
        <w:tabs>
          <w:tab w:val="left" w:pos="1354"/>
        </w:tabs>
        <w:spacing w:line="500" w:lineRule="exact"/>
        <w:ind w:firstLine="476"/>
        <w:jc w:val="left"/>
        <w:rPr>
          <w:rFonts w:hint="eastAsia" w:ascii="仿宋_GB2312" w:hAnsi="仿宋_GB2312" w:eastAsia="仿宋_GB2312" w:cs="仿宋_GB2312"/>
          <w:color w:val="auto"/>
          <w:spacing w:val="0"/>
          <w:kern w:val="0"/>
          <w:sz w:val="24"/>
          <w:szCs w:val="24"/>
          <w:highlight w:val="none"/>
        </w:rPr>
      </w:pPr>
      <w:r>
        <w:rPr>
          <w:rFonts w:hint="eastAsia" w:ascii="仿宋_GB2312" w:hAnsi="仿宋_GB2312" w:eastAsia="仿宋_GB2312" w:cs="仿宋_GB2312"/>
          <w:color w:val="auto"/>
          <w:spacing w:val="0"/>
          <w:kern w:val="0"/>
          <w:sz w:val="24"/>
          <w:szCs w:val="24"/>
          <w:highlight w:val="none"/>
        </w:rPr>
        <w:t>2.2乙方开具正式发票并按甲方财务规定办理费用支付手续。</w:t>
      </w:r>
    </w:p>
    <w:p w14:paraId="509F1EC1">
      <w:pPr>
        <w:pStyle w:val="69"/>
        <w:tabs>
          <w:tab w:val="left" w:pos="1354"/>
        </w:tabs>
        <w:spacing w:line="500" w:lineRule="exact"/>
        <w:ind w:firstLine="480"/>
        <w:jc w:val="left"/>
        <w:rPr>
          <w:rFonts w:hint="eastAsia" w:ascii="仿宋_GB2312" w:hAnsi="仿宋_GB2312" w:eastAsia="仿宋_GB2312" w:cs="仿宋_GB2312"/>
          <w:color w:val="auto"/>
          <w:kern w:val="0"/>
          <w:sz w:val="24"/>
          <w:szCs w:val="24"/>
          <w:highlight w:val="none"/>
        </w:rPr>
      </w:pPr>
      <w:r>
        <w:rPr>
          <w:rFonts w:hint="eastAsia" w:ascii="仿宋_GB2312" w:hAnsi="仿宋_GB2312" w:eastAsia="仿宋_GB2312" w:cs="仿宋_GB2312"/>
          <w:color w:val="auto"/>
          <w:kern w:val="0"/>
          <w:sz w:val="24"/>
          <w:szCs w:val="24"/>
          <w:highlight w:val="none"/>
        </w:rPr>
        <w:t>2.3按实际交付之日起计费。</w:t>
      </w:r>
    </w:p>
    <w:p w14:paraId="18477D5C">
      <w:pPr>
        <w:pStyle w:val="10"/>
        <w:spacing w:line="500" w:lineRule="exact"/>
        <w:ind w:left="0" w:leftChars="0" w:firstLine="480" w:firstLineChars="200"/>
        <w:jc w:val="left"/>
        <w:rPr>
          <w:rFonts w:hint="eastAsia" w:ascii="仿宋_GB2312" w:hAnsi="仿宋_GB2312" w:eastAsia="仿宋_GB2312" w:cs="仿宋_GB2312"/>
          <w:color w:val="auto"/>
          <w:kern w:val="0"/>
          <w:sz w:val="24"/>
          <w:szCs w:val="24"/>
          <w:highlight w:val="none"/>
          <w:lang w:eastAsia="zh-CN"/>
        </w:rPr>
      </w:pPr>
      <w:r>
        <w:rPr>
          <w:rFonts w:hint="eastAsia" w:ascii="仿宋_GB2312" w:hAnsi="仿宋_GB2312" w:eastAsia="仿宋_GB2312" w:cs="仿宋_GB2312"/>
          <w:color w:val="auto"/>
          <w:spacing w:val="0"/>
          <w:kern w:val="0"/>
          <w:sz w:val="24"/>
          <w:szCs w:val="24"/>
          <w:highlight w:val="none"/>
        </w:rPr>
        <w:t>2.4服务工作接受甲方统一指导和考核</w:t>
      </w:r>
      <w:r>
        <w:rPr>
          <w:rFonts w:hint="eastAsia" w:ascii="仿宋_GB2312" w:hAnsi="仿宋_GB2312" w:eastAsia="仿宋_GB2312" w:cs="仿宋_GB2312"/>
          <w:color w:val="auto"/>
          <w:spacing w:val="0"/>
          <w:kern w:val="0"/>
          <w:sz w:val="24"/>
          <w:szCs w:val="24"/>
          <w:highlight w:val="none"/>
          <w:lang w:eastAsia="zh-CN"/>
        </w:rPr>
        <w:t>，</w:t>
      </w:r>
      <w:r>
        <w:rPr>
          <w:rFonts w:hint="eastAsia" w:ascii="仿宋_GB2312" w:hAnsi="仿宋_GB2312" w:eastAsia="仿宋_GB2312" w:cs="仿宋_GB2312"/>
          <w:color w:val="auto"/>
          <w:spacing w:val="0"/>
          <w:kern w:val="0"/>
          <w:sz w:val="24"/>
          <w:szCs w:val="24"/>
          <w:highlight w:val="none"/>
        </w:rPr>
        <w:t>定期或不定期对乙方的工作情况进行检查与考核。</w:t>
      </w:r>
      <w:r>
        <w:rPr>
          <w:rFonts w:hint="eastAsia" w:ascii="仿宋_GB2312" w:hAnsi="仿宋_GB2312" w:eastAsia="仿宋_GB2312" w:cs="仿宋_GB2312"/>
          <w:color w:val="auto"/>
          <w:spacing w:val="0"/>
          <w:kern w:val="0"/>
          <w:sz w:val="24"/>
          <w:szCs w:val="24"/>
          <w:highlight w:val="none"/>
          <w:lang w:eastAsia="zh-CN"/>
        </w:rPr>
        <w:t>支付物业服务费前，乙方与甲方核对物业管理考核情况，确认应付物业管理费。</w:t>
      </w:r>
      <w:r>
        <w:rPr>
          <w:rFonts w:hint="eastAsia" w:ascii="仿宋_GB2312" w:hAnsi="仿宋_GB2312" w:eastAsia="仿宋_GB2312" w:cs="仿宋_GB2312"/>
          <w:color w:val="auto"/>
          <w:kern w:val="0"/>
          <w:sz w:val="24"/>
          <w:szCs w:val="24"/>
          <w:highlight w:val="none"/>
        </w:rPr>
        <w:t>如在检查过程中发现管理工作不到位或日常管理过程中出现重大失误，乙方应向甲方承担当月服务费金额的违约金</w:t>
      </w:r>
      <w:r>
        <w:rPr>
          <w:rFonts w:hint="eastAsia" w:ascii="仿宋_GB2312" w:hAnsi="仿宋_GB2312" w:eastAsia="仿宋_GB2312" w:cs="仿宋_GB2312"/>
          <w:color w:val="auto"/>
          <w:kern w:val="0"/>
          <w:sz w:val="24"/>
          <w:szCs w:val="24"/>
          <w:highlight w:val="none"/>
          <w:lang w:eastAsia="zh-CN"/>
        </w:rPr>
        <w:t>。</w:t>
      </w:r>
    </w:p>
    <w:p w14:paraId="4289E8C0">
      <w:pPr>
        <w:spacing w:line="360" w:lineRule="auto"/>
        <w:ind w:firstLine="480" w:firstLineChars="200"/>
        <w:rPr>
          <w:rFonts w:hint="eastAsia" w:ascii="仿宋_GB2312" w:hAnsi="仿宋_GB2312" w:eastAsia="仿宋_GB2312" w:cs="仿宋_GB2312"/>
          <w:color w:val="auto"/>
          <w:kern w:val="0"/>
          <w:sz w:val="24"/>
          <w:szCs w:val="24"/>
          <w:highlight w:val="none"/>
        </w:rPr>
      </w:pPr>
      <w:r>
        <w:rPr>
          <w:rFonts w:hint="eastAsia" w:ascii="仿宋_GB2312" w:hAnsi="仿宋_GB2312" w:eastAsia="仿宋_GB2312" w:cs="仿宋_GB2312"/>
          <w:color w:val="auto"/>
          <w:kern w:val="0"/>
          <w:sz w:val="24"/>
          <w:szCs w:val="24"/>
          <w:highlight w:val="none"/>
        </w:rPr>
        <w:t>3、乙方账户信息：</w:t>
      </w:r>
    </w:p>
    <w:p w14:paraId="14DCBDB0">
      <w:pPr>
        <w:spacing w:line="360" w:lineRule="auto"/>
        <w:ind w:firstLine="480" w:firstLineChars="200"/>
        <w:rPr>
          <w:rFonts w:hint="eastAsia" w:ascii="仿宋_GB2312" w:hAnsi="仿宋_GB2312" w:eastAsia="仿宋_GB2312" w:cs="仿宋_GB2312"/>
          <w:color w:val="auto"/>
          <w:kern w:val="0"/>
          <w:sz w:val="24"/>
          <w:szCs w:val="24"/>
          <w:highlight w:val="none"/>
        </w:rPr>
      </w:pPr>
      <w:r>
        <w:rPr>
          <w:rFonts w:hint="eastAsia" w:ascii="仿宋_GB2312" w:hAnsi="仿宋_GB2312" w:eastAsia="仿宋_GB2312" w:cs="仿宋_GB2312"/>
          <w:color w:val="auto"/>
          <w:kern w:val="0"/>
          <w:sz w:val="24"/>
          <w:szCs w:val="24"/>
          <w:highlight w:val="none"/>
        </w:rPr>
        <w:t>户名：</w:t>
      </w:r>
    </w:p>
    <w:p w14:paraId="3E46DADA">
      <w:pPr>
        <w:spacing w:line="360" w:lineRule="auto"/>
        <w:ind w:firstLine="480" w:firstLineChars="200"/>
        <w:rPr>
          <w:rFonts w:hint="eastAsia" w:ascii="仿宋_GB2312" w:hAnsi="仿宋_GB2312" w:eastAsia="仿宋_GB2312" w:cs="仿宋_GB2312"/>
          <w:color w:val="auto"/>
          <w:kern w:val="0"/>
          <w:sz w:val="24"/>
          <w:szCs w:val="24"/>
          <w:highlight w:val="none"/>
        </w:rPr>
      </w:pPr>
      <w:r>
        <w:rPr>
          <w:rFonts w:hint="eastAsia" w:ascii="仿宋_GB2312" w:hAnsi="仿宋_GB2312" w:eastAsia="仿宋_GB2312" w:cs="仿宋_GB2312"/>
          <w:color w:val="auto"/>
          <w:kern w:val="0"/>
          <w:sz w:val="24"/>
          <w:szCs w:val="24"/>
          <w:highlight w:val="none"/>
        </w:rPr>
        <w:t>开户行：</w:t>
      </w:r>
    </w:p>
    <w:p w14:paraId="6215CCB0">
      <w:pPr>
        <w:spacing w:line="360" w:lineRule="auto"/>
        <w:ind w:firstLine="480" w:firstLineChars="200"/>
        <w:rPr>
          <w:rFonts w:hint="eastAsia" w:ascii="仿宋_GB2312" w:hAnsi="仿宋_GB2312" w:eastAsia="仿宋_GB2312" w:cs="仿宋_GB2312"/>
          <w:color w:val="auto"/>
          <w:kern w:val="0"/>
          <w:sz w:val="24"/>
          <w:szCs w:val="24"/>
          <w:highlight w:val="none"/>
        </w:rPr>
      </w:pPr>
      <w:r>
        <w:rPr>
          <w:rFonts w:hint="eastAsia" w:ascii="仿宋_GB2312" w:hAnsi="仿宋_GB2312" w:eastAsia="仿宋_GB2312" w:cs="仿宋_GB2312"/>
          <w:color w:val="auto"/>
          <w:kern w:val="0"/>
          <w:sz w:val="24"/>
          <w:szCs w:val="24"/>
          <w:highlight w:val="none"/>
        </w:rPr>
        <w:t>账号：</w:t>
      </w:r>
    </w:p>
    <w:p w14:paraId="2B307B17">
      <w:pPr>
        <w:pStyle w:val="4"/>
        <w:ind w:firstLine="480" w:firstLineChars="200"/>
        <w:jc w:val="left"/>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b w:val="0"/>
          <w:bCs w:val="0"/>
          <w:color w:val="auto"/>
          <w:kern w:val="0"/>
          <w:sz w:val="24"/>
          <w:szCs w:val="24"/>
          <w:highlight w:val="none"/>
          <w:lang w:val="en-US" w:eastAsia="zh-CN"/>
        </w:rPr>
        <w:t>4、</w:t>
      </w:r>
      <w:r>
        <w:rPr>
          <w:rFonts w:hint="eastAsia" w:ascii="仿宋_GB2312" w:hAnsi="仿宋_GB2312" w:eastAsia="仿宋_GB2312" w:cs="仿宋_GB2312"/>
          <w:b w:val="0"/>
          <w:bCs w:val="0"/>
          <w:color w:val="auto"/>
          <w:kern w:val="0"/>
          <w:sz w:val="24"/>
          <w:szCs w:val="24"/>
          <w:highlight w:val="none"/>
        </w:rPr>
        <w:t>履约保证金金额：合同签订时</w:t>
      </w:r>
      <w:r>
        <w:rPr>
          <w:rFonts w:hint="eastAsia" w:ascii="仿宋_GB2312" w:hAnsi="仿宋_GB2312" w:eastAsia="仿宋_GB2312" w:cs="仿宋_GB2312"/>
          <w:b w:val="0"/>
          <w:bCs w:val="0"/>
          <w:color w:val="auto"/>
          <w:kern w:val="0"/>
          <w:sz w:val="24"/>
          <w:szCs w:val="24"/>
          <w:highlight w:val="none"/>
          <w:lang w:val="en-US" w:eastAsia="zh-CN"/>
        </w:rPr>
        <w:t>乙方</w:t>
      </w:r>
      <w:r>
        <w:rPr>
          <w:rFonts w:hint="eastAsia" w:ascii="仿宋_GB2312" w:hAnsi="仿宋_GB2312" w:eastAsia="仿宋_GB2312" w:cs="仿宋_GB2312"/>
          <w:b w:val="0"/>
          <w:bCs w:val="0"/>
          <w:color w:val="auto"/>
          <w:kern w:val="0"/>
          <w:sz w:val="24"/>
          <w:szCs w:val="24"/>
          <w:highlight w:val="none"/>
        </w:rPr>
        <w:t>向</w:t>
      </w:r>
      <w:r>
        <w:rPr>
          <w:rFonts w:hint="eastAsia" w:ascii="仿宋_GB2312" w:hAnsi="仿宋_GB2312" w:eastAsia="仿宋_GB2312" w:cs="仿宋_GB2312"/>
          <w:b w:val="0"/>
          <w:bCs w:val="0"/>
          <w:color w:val="auto"/>
          <w:kern w:val="0"/>
          <w:sz w:val="24"/>
          <w:szCs w:val="24"/>
          <w:highlight w:val="none"/>
          <w:lang w:val="en-US" w:eastAsia="zh-CN"/>
        </w:rPr>
        <w:t>甲方</w:t>
      </w:r>
      <w:r>
        <w:rPr>
          <w:rFonts w:hint="eastAsia" w:ascii="仿宋_GB2312" w:hAnsi="仿宋_GB2312" w:eastAsia="仿宋_GB2312" w:cs="仿宋_GB2312"/>
          <w:b w:val="0"/>
          <w:bCs w:val="0"/>
          <w:color w:val="auto"/>
          <w:kern w:val="0"/>
          <w:sz w:val="24"/>
          <w:szCs w:val="24"/>
          <w:highlight w:val="none"/>
        </w:rPr>
        <w:t>支付合同总价款的10%作为履约保证金或履约担保（保险、支票、汇票、本票、网上银行支付或者金融机构、担保机构出具的保函、保险公司出具的保证保险等非现金形式交纳，如采用转账需缴纳至</w:t>
      </w:r>
      <w:r>
        <w:rPr>
          <w:rFonts w:hint="eastAsia" w:ascii="仿宋_GB2312" w:hAnsi="仿宋_GB2312" w:eastAsia="仿宋_GB2312" w:cs="仿宋_GB2312"/>
          <w:b w:val="0"/>
          <w:bCs w:val="0"/>
          <w:color w:val="auto"/>
          <w:kern w:val="0"/>
          <w:sz w:val="24"/>
          <w:szCs w:val="24"/>
          <w:highlight w:val="none"/>
          <w:lang w:eastAsia="zh-CN"/>
        </w:rPr>
        <w:t>甲方</w:t>
      </w:r>
      <w:r>
        <w:rPr>
          <w:rFonts w:hint="eastAsia" w:ascii="仿宋_GB2312" w:hAnsi="仿宋_GB2312" w:eastAsia="仿宋_GB2312" w:cs="仿宋_GB2312"/>
          <w:b w:val="0"/>
          <w:bCs w:val="0"/>
          <w:color w:val="auto"/>
          <w:kern w:val="0"/>
          <w:sz w:val="24"/>
          <w:szCs w:val="24"/>
          <w:highlight w:val="none"/>
        </w:rPr>
        <w:t>指定账户；如采用银行保函，须为不可撤销的、无条件先行赔付保函，保函有效期12个月）。</w:t>
      </w:r>
    </w:p>
    <w:p w14:paraId="6FB7B725">
      <w:pPr>
        <w:spacing w:line="360" w:lineRule="auto"/>
        <w:outlineLvl w:val="0"/>
        <w:rPr>
          <w:rFonts w:hint="eastAsia" w:ascii="黑体" w:hAnsi="黑体" w:eastAsia="黑体" w:cs="黑体"/>
          <w:color w:val="auto"/>
          <w:sz w:val="24"/>
          <w:szCs w:val="24"/>
          <w:highlight w:val="none"/>
        </w:rPr>
      </w:pPr>
      <w:r>
        <w:rPr>
          <w:rFonts w:hint="eastAsia" w:ascii="黑体" w:hAnsi="黑体" w:eastAsia="黑体" w:cs="黑体"/>
          <w:b w:val="0"/>
          <w:bCs w:val="0"/>
          <w:color w:val="auto"/>
          <w:sz w:val="24"/>
          <w:szCs w:val="24"/>
          <w:highlight w:val="none"/>
        </w:rPr>
        <w:t>第</w:t>
      </w:r>
      <w:r>
        <w:rPr>
          <w:rFonts w:hint="eastAsia" w:ascii="黑体" w:hAnsi="黑体" w:eastAsia="黑体" w:cs="黑体"/>
          <w:b w:val="0"/>
          <w:bCs w:val="0"/>
          <w:color w:val="auto"/>
          <w:sz w:val="24"/>
          <w:szCs w:val="24"/>
          <w:highlight w:val="none"/>
          <w:lang w:eastAsia="zh-CN"/>
        </w:rPr>
        <w:t>七</w:t>
      </w:r>
      <w:r>
        <w:rPr>
          <w:rFonts w:hint="eastAsia" w:ascii="黑体" w:hAnsi="黑体" w:eastAsia="黑体" w:cs="黑体"/>
          <w:b w:val="0"/>
          <w:bCs w:val="0"/>
          <w:color w:val="auto"/>
          <w:sz w:val="24"/>
          <w:szCs w:val="24"/>
          <w:highlight w:val="none"/>
        </w:rPr>
        <w:t>条  违约责任</w:t>
      </w:r>
    </w:p>
    <w:p w14:paraId="2C67B0CD">
      <w:pPr>
        <w:pStyle w:val="54"/>
        <w:spacing w:line="360" w:lineRule="auto"/>
        <w:ind w:firstLine="480" w:firstLineChars="200"/>
        <w:rPr>
          <w:rFonts w:hint="eastAsia" w:ascii="仿宋_GB2312" w:hAnsi="仿宋_GB2312" w:eastAsia="仿宋_GB2312" w:cs="仿宋_GB2312"/>
          <w:sz w:val="24"/>
          <w:szCs w:val="24"/>
        </w:rPr>
      </w:pPr>
      <w:r>
        <w:rPr>
          <w:rFonts w:hint="eastAsia" w:ascii="仿宋_GB2312" w:hAnsi="仿宋_GB2312" w:eastAsia="仿宋_GB2312" w:cs="仿宋_GB2312"/>
          <w:color w:val="auto"/>
          <w:sz w:val="24"/>
          <w:szCs w:val="24"/>
          <w:highlight w:val="none"/>
        </w:rPr>
        <w:t>1、</w:t>
      </w:r>
      <w:r>
        <w:rPr>
          <w:rFonts w:hint="eastAsia" w:ascii="仿宋_GB2312" w:hAnsi="仿宋_GB2312" w:eastAsia="仿宋_GB2312" w:cs="仿宋_GB2312"/>
          <w:sz w:val="24"/>
          <w:szCs w:val="24"/>
        </w:rPr>
        <w:t>如因乙方原因，造成不能完成管理目标或直接造成甲方经济损失的，乙方应给予甲方经济赔偿。甲方有权要求乙方限期整改，逾期未整改</w:t>
      </w:r>
      <w:r>
        <w:rPr>
          <w:rFonts w:hint="eastAsia" w:ascii="仿宋_GB2312" w:hAnsi="仿宋_GB2312" w:eastAsia="仿宋_GB2312" w:cs="仿宋_GB2312"/>
          <w:sz w:val="24"/>
          <w:szCs w:val="24"/>
          <w:lang w:val="en-US" w:eastAsia="zh-CN"/>
        </w:rPr>
        <w:t>或经甲方要求整改后仍不符合合同要求</w:t>
      </w:r>
      <w:r>
        <w:rPr>
          <w:rFonts w:hint="eastAsia" w:ascii="仿宋_GB2312" w:hAnsi="仿宋_GB2312" w:eastAsia="仿宋_GB2312" w:cs="仿宋_GB2312"/>
          <w:sz w:val="24"/>
          <w:szCs w:val="24"/>
        </w:rPr>
        <w:t>的，甲方有权终止合同</w:t>
      </w:r>
      <w:r>
        <w:rPr>
          <w:rFonts w:hint="eastAsia" w:ascii="仿宋_GB2312" w:hAnsi="仿宋_GB2312" w:eastAsia="仿宋_GB2312" w:cs="仿宋_GB2312"/>
          <w:sz w:val="24"/>
          <w:szCs w:val="24"/>
          <w:lang w:val="en-US" w:eastAsia="zh-CN"/>
        </w:rPr>
        <w:t>并要求乙方支付合同总金额30%的违约金</w:t>
      </w:r>
      <w:r>
        <w:rPr>
          <w:rFonts w:hint="eastAsia" w:ascii="仿宋_GB2312" w:hAnsi="仿宋_GB2312" w:eastAsia="仿宋_GB2312" w:cs="仿宋_GB2312"/>
          <w:sz w:val="24"/>
          <w:szCs w:val="24"/>
        </w:rPr>
        <w:t xml:space="preserve">。 </w:t>
      </w:r>
    </w:p>
    <w:p w14:paraId="085C7B70">
      <w:pPr>
        <w:pStyle w:val="54"/>
        <w:spacing w:line="360" w:lineRule="auto"/>
        <w:ind w:firstLine="480" w:firstLineChars="200"/>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2、</w:t>
      </w:r>
      <w:r>
        <w:rPr>
          <w:rFonts w:hint="eastAsia" w:ascii="仿宋_GB2312" w:hAnsi="仿宋_GB2312" w:eastAsia="仿宋_GB2312" w:cs="仿宋_GB2312"/>
          <w:sz w:val="24"/>
          <w:szCs w:val="24"/>
          <w:highlight w:val="none"/>
        </w:rPr>
        <w:t>乙方连续</w:t>
      </w:r>
      <w:r>
        <w:rPr>
          <w:rFonts w:hint="eastAsia" w:ascii="仿宋_GB2312" w:hAnsi="仿宋_GB2312" w:eastAsia="仿宋_GB2312" w:cs="仿宋_GB2312"/>
          <w:sz w:val="24"/>
          <w:szCs w:val="24"/>
          <w:highlight w:val="none"/>
          <w:lang w:val="en-US" w:eastAsia="zh-CN"/>
        </w:rPr>
        <w:t>3</w:t>
      </w:r>
      <w:r>
        <w:rPr>
          <w:rFonts w:hint="eastAsia" w:ascii="仿宋_GB2312" w:hAnsi="仿宋_GB2312" w:eastAsia="仿宋_GB2312" w:cs="仿宋_GB2312"/>
          <w:sz w:val="24"/>
          <w:szCs w:val="24"/>
          <w:highlight w:val="none"/>
        </w:rPr>
        <w:t>个</w:t>
      </w:r>
      <w:r>
        <w:rPr>
          <w:rFonts w:hint="eastAsia" w:ascii="仿宋_GB2312" w:hAnsi="仿宋_GB2312" w:eastAsia="仿宋_GB2312" w:cs="仿宋_GB2312"/>
          <w:sz w:val="24"/>
          <w:szCs w:val="24"/>
        </w:rPr>
        <w:t>月满意度考核在80分以下，甲方有权单方面终止合作合同，还可要求乙方向甲方支付所有已付物业服务费20%的违约金。</w:t>
      </w:r>
    </w:p>
    <w:p w14:paraId="4FC76D2B">
      <w:pPr>
        <w:pStyle w:val="54"/>
        <w:spacing w:line="360" w:lineRule="auto"/>
        <w:ind w:firstLine="480" w:firstLineChars="200"/>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sz w:val="24"/>
          <w:szCs w:val="24"/>
        </w:rPr>
        <w:t>3、乙方及乙方人员违反本合同保密义务和江西分中心保密制度，导致失泄密风险隐患的，甲方有权要求乙方支付合同总金额（包括已付物业服务费和合同期限内可能发生的物业费）</w:t>
      </w:r>
      <w:r>
        <w:rPr>
          <w:rFonts w:hint="eastAsia" w:ascii="仿宋_GB2312" w:hAnsi="仿宋_GB2312" w:eastAsia="仿宋_GB2312" w:cs="仿宋_GB2312"/>
          <w:sz w:val="24"/>
          <w:szCs w:val="24"/>
          <w:lang w:val="en-US" w:eastAsia="zh-CN"/>
        </w:rPr>
        <w:t>3</w:t>
      </w:r>
      <w:r>
        <w:rPr>
          <w:rFonts w:hint="eastAsia" w:ascii="仿宋_GB2312" w:hAnsi="仿宋_GB2312" w:eastAsia="仿宋_GB2312" w:cs="仿宋_GB2312"/>
          <w:sz w:val="24"/>
          <w:szCs w:val="24"/>
        </w:rPr>
        <w:t>0%的违约金，如甲方发生损失的，还应当承担甲方</w:t>
      </w:r>
      <w:r>
        <w:rPr>
          <w:rFonts w:hint="eastAsia" w:ascii="仿宋_GB2312" w:hAnsi="仿宋_GB2312" w:eastAsia="仿宋_GB2312" w:cs="仿宋_GB2312"/>
          <w:sz w:val="24"/>
          <w:szCs w:val="24"/>
          <w:lang w:val="en-US" w:eastAsia="zh-CN"/>
        </w:rPr>
        <w:t>全部</w:t>
      </w:r>
      <w:r>
        <w:rPr>
          <w:rFonts w:hint="eastAsia" w:ascii="仿宋_GB2312" w:hAnsi="仿宋_GB2312" w:eastAsia="仿宋_GB2312" w:cs="仿宋_GB2312"/>
          <w:sz w:val="24"/>
          <w:szCs w:val="24"/>
        </w:rPr>
        <w:t>损失。</w:t>
      </w:r>
      <w:r>
        <w:rPr>
          <w:rFonts w:hint="eastAsia" w:ascii="仿宋_GB2312" w:hAnsi="仿宋_GB2312" w:eastAsia="仿宋_GB2312" w:cs="仿宋_GB2312"/>
          <w:sz w:val="24"/>
          <w:szCs w:val="24"/>
          <w:lang w:eastAsia="zh-CN"/>
        </w:rPr>
        <w:t>（</w:t>
      </w:r>
      <w:r>
        <w:rPr>
          <w:rFonts w:hint="eastAsia" w:ascii="仿宋_GB2312" w:hAnsi="仿宋_GB2312" w:eastAsia="仿宋_GB2312" w:cs="仿宋_GB2312"/>
          <w:sz w:val="24"/>
          <w:szCs w:val="24"/>
          <w:lang w:val="en-US" w:eastAsia="zh-CN"/>
        </w:rPr>
        <w:t>损失包括但不限于因泄密给甲方造成的直接损失和甲方因采取措施防止资料进一步泄露所支出的费用</w:t>
      </w:r>
      <w:r>
        <w:rPr>
          <w:rFonts w:hint="eastAsia" w:ascii="仿宋_GB2312" w:hAnsi="仿宋_GB2312" w:eastAsia="仿宋_GB2312" w:cs="仿宋_GB2312"/>
          <w:sz w:val="24"/>
          <w:szCs w:val="24"/>
          <w:lang w:eastAsia="zh-CN"/>
        </w:rPr>
        <w:t>）</w:t>
      </w:r>
    </w:p>
    <w:p w14:paraId="4C9B171A">
      <w:pPr>
        <w:pStyle w:val="54"/>
        <w:spacing w:line="360" w:lineRule="auto"/>
        <w:ind w:firstLine="480" w:firstLineChars="200"/>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4、因乙方行为造成甲方物业安全问题或有安全隐患的，乙方应当向甲方支付当月物业服务费用30%的违约金，如甲方发生损失的，还应当承担甲方损失。</w:t>
      </w:r>
    </w:p>
    <w:p w14:paraId="2A133123">
      <w:pPr>
        <w:pStyle w:val="54"/>
        <w:spacing w:line="360" w:lineRule="auto"/>
        <w:ind w:firstLine="480" w:firstLineChars="200"/>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5、因甲方房屋建筑或设施设备质量或安装技术等原因，造成重大事故的，由甲方承担责任并负责善后处理。因乙方管理不善或操作不当等原因造成重大事故的，由乙方承担责任并负责善后处理（产生事故的直接原因，以政府有关部门的鉴定结论为准），乙方工作人员的人身安全由乙方自行负责。</w:t>
      </w:r>
    </w:p>
    <w:p w14:paraId="111388FF">
      <w:pPr>
        <w:pStyle w:val="54"/>
        <w:spacing w:line="360" w:lineRule="auto"/>
        <w:ind w:firstLine="480" w:firstLineChars="200"/>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 xml:space="preserve"> 6、甲、乙双方如有采取不正当竞争手段而取得管理权或致使对方失去管理权，或造成对方经济损失的，应当承担全部责任。  </w:t>
      </w:r>
    </w:p>
    <w:p w14:paraId="21C773C9">
      <w:pPr>
        <w:pStyle w:val="54"/>
        <w:spacing w:line="360" w:lineRule="auto"/>
        <w:ind w:firstLine="480" w:firstLineChars="200"/>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7、乙方食堂服务中的采购渠道需由甲方书面认可，若因采购产生纠纷的，乙方应全权处理；若甲方因此先行赔偿的，甲方有权全额向乙方追偿，该追偿款甲方有权直接在合同款中予以扣除。</w:t>
      </w:r>
    </w:p>
    <w:p w14:paraId="0EE275EE">
      <w:pPr>
        <w:pStyle w:val="54"/>
        <w:spacing w:line="360" w:lineRule="auto"/>
        <w:ind w:firstLine="480" w:firstLineChars="200"/>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8、乙方服务人员不符合甲方需求的，甲方有权要求乙方在3天内更换人员，若乙方未按约定更换或更换后人员仍不符合甲方需求，每发生一次，除按照本合同附件2中考核机制扣分外，甲方有权要求乙方支付20000元违约金。</w:t>
      </w:r>
    </w:p>
    <w:p w14:paraId="7B34D3A3">
      <w:pPr>
        <w:pStyle w:val="26"/>
        <w:spacing w:line="360" w:lineRule="auto"/>
        <w:ind w:left="0" w:leftChars="0" w:firstLine="480" w:firstLineChars="200"/>
        <w:outlineLvl w:val="0"/>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lang w:val="en-US" w:eastAsia="zh-CN" w:bidi="ar-SA"/>
        </w:rPr>
        <w:t>9、乙方违约造成甲方损失或按本合同约定乙方应支付甲方违约金的，甲方有权直接在未支付的合同款和履约保证金中扣除；若扣除履约保证金的，乙方应在3日内补足，否则甲方有权扣除乙方全部履约保证金。</w:t>
      </w:r>
    </w:p>
    <w:p w14:paraId="3B7A5631">
      <w:pPr>
        <w:pStyle w:val="26"/>
        <w:spacing w:line="360" w:lineRule="auto"/>
        <w:ind w:left="0" w:leftChars="0" w:firstLine="0" w:firstLineChars="0"/>
        <w:outlineLvl w:val="0"/>
        <w:rPr>
          <w:rFonts w:hint="eastAsia" w:ascii="黑体" w:hAnsi="黑体" w:eastAsia="黑体" w:cs="黑体"/>
          <w:b w:val="0"/>
          <w:bCs w:val="0"/>
          <w:color w:val="auto"/>
          <w:sz w:val="24"/>
          <w:szCs w:val="24"/>
          <w:highlight w:val="none"/>
        </w:rPr>
      </w:pPr>
      <w:r>
        <w:rPr>
          <w:rFonts w:hint="eastAsia" w:ascii="黑体" w:hAnsi="黑体" w:eastAsia="黑体" w:cs="黑体"/>
          <w:b w:val="0"/>
          <w:bCs w:val="0"/>
          <w:color w:val="auto"/>
          <w:sz w:val="24"/>
          <w:szCs w:val="24"/>
          <w:highlight w:val="none"/>
        </w:rPr>
        <w:t>第</w:t>
      </w:r>
      <w:r>
        <w:rPr>
          <w:rFonts w:hint="eastAsia" w:ascii="黑体" w:hAnsi="黑体" w:eastAsia="黑体" w:cs="黑体"/>
          <w:b w:val="0"/>
          <w:bCs w:val="0"/>
          <w:color w:val="auto"/>
          <w:sz w:val="24"/>
          <w:szCs w:val="24"/>
          <w:highlight w:val="none"/>
          <w:lang w:eastAsia="zh-CN"/>
        </w:rPr>
        <w:t>八</w:t>
      </w:r>
      <w:r>
        <w:rPr>
          <w:rFonts w:hint="eastAsia" w:ascii="黑体" w:hAnsi="黑体" w:eastAsia="黑体" w:cs="黑体"/>
          <w:b w:val="0"/>
          <w:bCs w:val="0"/>
          <w:color w:val="auto"/>
          <w:sz w:val="24"/>
          <w:szCs w:val="24"/>
          <w:highlight w:val="none"/>
        </w:rPr>
        <w:t>条  不可抗力</w:t>
      </w:r>
    </w:p>
    <w:p w14:paraId="0D299025">
      <w:pPr>
        <w:pStyle w:val="54"/>
        <w:spacing w:line="360" w:lineRule="auto"/>
        <w:ind w:firstLine="480" w:firstLineChars="200"/>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1、因不可抗力造成违约的，遭受不可抗力一方应及时向对方通报不能履行或不能完全履行的理由，并在随后取得有关主管机关证明后的15日内向另一方提供不可抗力发生以及持续期间的充分证据。基于以上行为，允许遭受不可抗力一方延期履行、部分履行或者不履行合同，并根据情况可部分或全部免于承担违约责任。</w:t>
      </w:r>
    </w:p>
    <w:p w14:paraId="4A33E19D">
      <w:pPr>
        <w:pStyle w:val="54"/>
        <w:spacing w:line="360" w:lineRule="auto"/>
        <w:ind w:firstLine="480" w:firstLineChars="200"/>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2、本合同中的不可抗力指不能预见、不能避免并不能克服的客观情况。包括但不限于：自然灾害如地震、台风、洪水、火灾；政府行为、法律规定</w:t>
      </w:r>
      <w:r>
        <w:rPr>
          <w:rFonts w:hint="eastAsia" w:ascii="仿宋_GB2312" w:hAnsi="仿宋_GB2312" w:eastAsia="仿宋_GB2312" w:cs="仿宋_GB2312"/>
          <w:color w:val="auto"/>
          <w:sz w:val="24"/>
          <w:szCs w:val="24"/>
          <w:highlight w:val="none"/>
          <w:lang w:eastAsia="zh-CN"/>
        </w:rPr>
        <w:t>、资金预算</w:t>
      </w:r>
      <w:r>
        <w:rPr>
          <w:rFonts w:hint="eastAsia" w:ascii="仿宋_GB2312" w:hAnsi="仿宋_GB2312" w:eastAsia="仿宋_GB2312" w:cs="仿宋_GB2312"/>
          <w:color w:val="auto"/>
          <w:sz w:val="24"/>
          <w:szCs w:val="24"/>
          <w:highlight w:val="none"/>
        </w:rPr>
        <w:t>或其适用的变化或者其他任何无法预见、避免或者控制的事件。</w:t>
      </w:r>
    </w:p>
    <w:p w14:paraId="081982F2">
      <w:pPr>
        <w:pStyle w:val="26"/>
        <w:spacing w:line="360" w:lineRule="auto"/>
        <w:ind w:left="0" w:leftChars="0" w:firstLine="0" w:firstLineChars="0"/>
        <w:outlineLvl w:val="0"/>
        <w:rPr>
          <w:rFonts w:hint="eastAsia" w:ascii="黑体" w:hAnsi="黑体" w:eastAsia="黑体" w:cs="黑体"/>
          <w:b w:val="0"/>
          <w:bCs w:val="0"/>
          <w:color w:val="auto"/>
          <w:sz w:val="24"/>
          <w:szCs w:val="24"/>
          <w:highlight w:val="none"/>
        </w:rPr>
      </w:pPr>
      <w:r>
        <w:rPr>
          <w:rFonts w:hint="eastAsia" w:ascii="黑体" w:hAnsi="黑体" w:eastAsia="黑体" w:cs="黑体"/>
          <w:b w:val="0"/>
          <w:bCs w:val="0"/>
          <w:color w:val="auto"/>
          <w:sz w:val="24"/>
          <w:szCs w:val="24"/>
          <w:highlight w:val="none"/>
        </w:rPr>
        <w:t>第</w:t>
      </w:r>
      <w:r>
        <w:rPr>
          <w:rFonts w:hint="eastAsia" w:ascii="黑体" w:hAnsi="黑体" w:eastAsia="黑体" w:cs="黑体"/>
          <w:b w:val="0"/>
          <w:bCs w:val="0"/>
          <w:color w:val="auto"/>
          <w:sz w:val="24"/>
          <w:szCs w:val="24"/>
          <w:highlight w:val="none"/>
          <w:lang w:eastAsia="zh-CN"/>
        </w:rPr>
        <w:t>九</w:t>
      </w:r>
      <w:r>
        <w:rPr>
          <w:rFonts w:hint="eastAsia" w:ascii="黑体" w:hAnsi="黑体" w:eastAsia="黑体" w:cs="黑体"/>
          <w:b w:val="0"/>
          <w:bCs w:val="0"/>
          <w:color w:val="auto"/>
          <w:sz w:val="24"/>
          <w:szCs w:val="24"/>
          <w:highlight w:val="none"/>
        </w:rPr>
        <w:t>条  其他约定事项</w:t>
      </w:r>
    </w:p>
    <w:p w14:paraId="08606E0D">
      <w:pPr>
        <w:pStyle w:val="54"/>
        <w:spacing w:line="360" w:lineRule="auto"/>
        <w:ind w:firstLine="480" w:firstLineChars="200"/>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 xml:space="preserve">1、双方可对本合同的条款进行修订更改或补充，以书面签订补充协议，补充协议与本合同具有同等效力。 </w:t>
      </w:r>
    </w:p>
    <w:p w14:paraId="5FAA987A">
      <w:pPr>
        <w:pStyle w:val="54"/>
        <w:spacing w:line="360" w:lineRule="auto"/>
        <w:ind w:firstLine="480" w:firstLineChars="200"/>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 xml:space="preserve">2、合同规定的管理期满，本合同自然终止。 </w:t>
      </w:r>
    </w:p>
    <w:p w14:paraId="597CC011">
      <w:pPr>
        <w:pStyle w:val="54"/>
        <w:spacing w:line="360" w:lineRule="auto"/>
        <w:ind w:firstLine="480" w:firstLineChars="200"/>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 xml:space="preserve">3、本合同执行期间，如遇不可抗力，致使合同无法履行时，双方按有关法规政策规定及时协商处理。 </w:t>
      </w:r>
    </w:p>
    <w:p w14:paraId="7ACF1A99">
      <w:pPr>
        <w:pStyle w:val="54"/>
        <w:spacing w:line="360" w:lineRule="auto"/>
        <w:ind w:firstLine="480" w:firstLineChars="200"/>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 xml:space="preserve">4、本合同在履行中如发生争议，双方应协商解决，协商不成时，提请物业管理主管部门调解，调解不成的，向甲方所在地人民法院提起诉讼。 </w:t>
      </w:r>
    </w:p>
    <w:p w14:paraId="4387FEEE">
      <w:pPr>
        <w:pStyle w:val="54"/>
        <w:spacing w:line="360" w:lineRule="auto"/>
        <w:ind w:firstLine="480" w:firstLineChars="200"/>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 xml:space="preserve">5、本合同及其附件和补充协议中未规定的事项，均遵照中华人民共和国有关法律、法规和政策执行。   </w:t>
      </w:r>
    </w:p>
    <w:p w14:paraId="0776C31A">
      <w:pPr>
        <w:pStyle w:val="54"/>
        <w:spacing w:line="360" w:lineRule="auto"/>
        <w:ind w:firstLine="480" w:firstLineChars="200"/>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6、本合同一式</w:t>
      </w:r>
      <w:r>
        <w:rPr>
          <w:rFonts w:hint="eastAsia" w:ascii="仿宋_GB2312" w:hAnsi="仿宋_GB2312" w:eastAsia="仿宋_GB2312" w:cs="仿宋_GB2312"/>
          <w:color w:val="auto"/>
          <w:sz w:val="24"/>
          <w:szCs w:val="24"/>
          <w:highlight w:val="none"/>
          <w:u w:val="single"/>
        </w:rPr>
        <w:t xml:space="preserve"> </w:t>
      </w:r>
      <w:r>
        <w:rPr>
          <w:rFonts w:hint="eastAsia" w:ascii="仿宋_GB2312" w:hAnsi="仿宋_GB2312" w:eastAsia="仿宋_GB2312" w:cs="仿宋_GB2312"/>
          <w:color w:val="auto"/>
          <w:sz w:val="24"/>
          <w:szCs w:val="24"/>
          <w:highlight w:val="none"/>
          <w:u w:val="single"/>
          <w:lang w:val="en-US" w:eastAsia="zh-CN"/>
        </w:rPr>
        <w:t>5</w:t>
      </w:r>
      <w:r>
        <w:rPr>
          <w:rFonts w:hint="eastAsia" w:ascii="仿宋_GB2312" w:hAnsi="仿宋_GB2312" w:eastAsia="仿宋_GB2312" w:cs="仿宋_GB2312"/>
          <w:color w:val="auto"/>
          <w:sz w:val="24"/>
          <w:szCs w:val="24"/>
          <w:highlight w:val="none"/>
          <w:u w:val="single"/>
        </w:rPr>
        <w:t xml:space="preserve"> </w:t>
      </w:r>
      <w:r>
        <w:rPr>
          <w:rFonts w:hint="eastAsia" w:ascii="仿宋_GB2312" w:hAnsi="仿宋_GB2312" w:eastAsia="仿宋_GB2312" w:cs="仿宋_GB2312"/>
          <w:color w:val="auto"/>
          <w:sz w:val="24"/>
          <w:szCs w:val="24"/>
          <w:highlight w:val="none"/>
        </w:rPr>
        <w:t>份，甲方执</w:t>
      </w:r>
      <w:r>
        <w:rPr>
          <w:rFonts w:hint="eastAsia" w:ascii="仿宋_GB2312" w:hAnsi="仿宋_GB2312" w:eastAsia="仿宋_GB2312" w:cs="仿宋_GB2312"/>
          <w:color w:val="auto"/>
          <w:sz w:val="24"/>
          <w:szCs w:val="24"/>
          <w:highlight w:val="none"/>
          <w:u w:val="single"/>
        </w:rPr>
        <w:t xml:space="preserve"> </w:t>
      </w:r>
      <w:r>
        <w:rPr>
          <w:rFonts w:hint="eastAsia" w:ascii="仿宋_GB2312" w:hAnsi="仿宋_GB2312" w:eastAsia="仿宋_GB2312" w:cs="仿宋_GB2312"/>
          <w:color w:val="auto"/>
          <w:sz w:val="24"/>
          <w:szCs w:val="24"/>
          <w:highlight w:val="none"/>
          <w:u w:val="single"/>
          <w:lang w:val="en-US" w:eastAsia="zh-CN"/>
        </w:rPr>
        <w:t>2</w:t>
      </w:r>
      <w:r>
        <w:rPr>
          <w:rFonts w:hint="eastAsia" w:ascii="仿宋_GB2312" w:hAnsi="仿宋_GB2312" w:eastAsia="仿宋_GB2312" w:cs="仿宋_GB2312"/>
          <w:color w:val="auto"/>
          <w:sz w:val="24"/>
          <w:szCs w:val="24"/>
          <w:highlight w:val="none"/>
          <w:u w:val="single"/>
        </w:rPr>
        <w:t xml:space="preserve"> </w:t>
      </w:r>
      <w:r>
        <w:rPr>
          <w:rFonts w:hint="eastAsia" w:ascii="仿宋_GB2312" w:hAnsi="仿宋_GB2312" w:eastAsia="仿宋_GB2312" w:cs="仿宋_GB2312"/>
          <w:color w:val="auto"/>
          <w:sz w:val="24"/>
          <w:szCs w:val="24"/>
          <w:highlight w:val="none"/>
        </w:rPr>
        <w:t>份，乙方执</w:t>
      </w:r>
      <w:r>
        <w:rPr>
          <w:rFonts w:hint="eastAsia" w:ascii="仿宋_GB2312" w:hAnsi="仿宋_GB2312" w:eastAsia="仿宋_GB2312" w:cs="仿宋_GB2312"/>
          <w:color w:val="auto"/>
          <w:sz w:val="24"/>
          <w:szCs w:val="24"/>
          <w:highlight w:val="none"/>
          <w:u w:val="single"/>
        </w:rPr>
        <w:t xml:space="preserve"> </w:t>
      </w:r>
      <w:r>
        <w:rPr>
          <w:rFonts w:hint="eastAsia" w:ascii="仿宋_GB2312" w:hAnsi="仿宋_GB2312" w:eastAsia="仿宋_GB2312" w:cs="仿宋_GB2312"/>
          <w:color w:val="auto"/>
          <w:sz w:val="24"/>
          <w:szCs w:val="24"/>
          <w:highlight w:val="none"/>
          <w:u w:val="single"/>
          <w:lang w:val="en-US" w:eastAsia="zh-CN"/>
        </w:rPr>
        <w:t>2</w:t>
      </w:r>
      <w:r>
        <w:rPr>
          <w:rFonts w:hint="eastAsia" w:ascii="仿宋_GB2312" w:hAnsi="仿宋_GB2312" w:eastAsia="仿宋_GB2312" w:cs="仿宋_GB2312"/>
          <w:color w:val="auto"/>
          <w:sz w:val="24"/>
          <w:szCs w:val="24"/>
          <w:highlight w:val="none"/>
          <w:u w:val="single"/>
        </w:rPr>
        <w:t xml:space="preserve"> </w:t>
      </w:r>
      <w:r>
        <w:rPr>
          <w:rFonts w:hint="eastAsia" w:ascii="仿宋_GB2312" w:hAnsi="仿宋_GB2312" w:eastAsia="仿宋_GB2312" w:cs="仿宋_GB2312"/>
          <w:color w:val="auto"/>
          <w:sz w:val="24"/>
          <w:szCs w:val="24"/>
          <w:highlight w:val="none"/>
        </w:rPr>
        <w:t>份，招标代理机构执</w:t>
      </w:r>
      <w:r>
        <w:rPr>
          <w:rFonts w:hint="eastAsia" w:ascii="仿宋_GB2312" w:hAnsi="仿宋_GB2312" w:eastAsia="仿宋_GB2312" w:cs="仿宋_GB2312"/>
          <w:color w:val="auto"/>
          <w:sz w:val="24"/>
          <w:szCs w:val="24"/>
          <w:highlight w:val="none"/>
          <w:u w:val="single"/>
        </w:rPr>
        <w:t>1</w:t>
      </w:r>
      <w:r>
        <w:rPr>
          <w:rFonts w:hint="eastAsia" w:ascii="仿宋_GB2312" w:hAnsi="仿宋_GB2312" w:eastAsia="仿宋_GB2312" w:cs="仿宋_GB2312"/>
          <w:color w:val="auto"/>
          <w:sz w:val="24"/>
          <w:szCs w:val="24"/>
          <w:highlight w:val="none"/>
        </w:rPr>
        <w:t>份，具有同等法律效力。</w:t>
      </w:r>
    </w:p>
    <w:p w14:paraId="5BF3BA46">
      <w:pPr>
        <w:pStyle w:val="54"/>
        <w:spacing w:line="360" w:lineRule="auto"/>
        <w:ind w:firstLine="480" w:firstLineChars="200"/>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7、</w:t>
      </w:r>
      <w:r>
        <w:rPr>
          <w:rFonts w:hint="eastAsia" w:ascii="仿宋_GB2312" w:hAnsi="仿宋_GB2312" w:eastAsia="仿宋_GB2312" w:cs="仿宋_GB2312"/>
          <w:sz w:val="24"/>
          <w:szCs w:val="24"/>
        </w:rPr>
        <w:t>本合同自</w:t>
      </w:r>
      <w:r>
        <w:rPr>
          <w:rFonts w:hint="eastAsia" w:ascii="仿宋_GB2312" w:hAnsi="仿宋_GB2312" w:eastAsia="仿宋_GB2312" w:cs="仿宋_GB2312"/>
          <w:sz w:val="24"/>
          <w:szCs w:val="24"/>
          <w:lang w:val="en-US" w:eastAsia="zh-CN"/>
        </w:rPr>
        <w:t>双方法定代表人</w:t>
      </w:r>
      <w:r>
        <w:rPr>
          <w:rFonts w:hint="eastAsia" w:ascii="仿宋_GB2312" w:hAnsi="仿宋_GB2312" w:eastAsia="仿宋_GB2312" w:cs="仿宋_GB2312"/>
          <w:sz w:val="24"/>
          <w:szCs w:val="24"/>
        </w:rPr>
        <w:t>签</w:t>
      </w:r>
      <w:r>
        <w:rPr>
          <w:rFonts w:hint="eastAsia" w:ascii="仿宋_GB2312" w:hAnsi="仿宋_GB2312" w:eastAsia="仿宋_GB2312" w:cs="仿宋_GB2312"/>
          <w:sz w:val="24"/>
          <w:szCs w:val="24"/>
          <w:lang w:val="en-US" w:eastAsia="zh-CN"/>
        </w:rPr>
        <w:t>名并加盖公章</w:t>
      </w:r>
      <w:r>
        <w:rPr>
          <w:rFonts w:hint="eastAsia" w:ascii="仿宋_GB2312" w:hAnsi="仿宋_GB2312" w:eastAsia="仿宋_GB2312" w:cs="仿宋_GB2312"/>
          <w:sz w:val="24"/>
          <w:szCs w:val="24"/>
        </w:rPr>
        <w:t>之日起生效。</w:t>
      </w:r>
    </w:p>
    <w:p w14:paraId="45D5D2FE">
      <w:pPr>
        <w:pStyle w:val="54"/>
        <w:spacing w:line="360" w:lineRule="auto"/>
        <w:ind w:firstLine="480" w:firstLineChars="200"/>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8、未尽事宜以招标文件为准。</w:t>
      </w:r>
    </w:p>
    <w:p w14:paraId="512196E8">
      <w:pPr>
        <w:pStyle w:val="54"/>
        <w:spacing w:line="360" w:lineRule="auto"/>
        <w:ind w:firstLine="480" w:firstLineChars="200"/>
        <w:rPr>
          <w:rFonts w:hint="eastAsia" w:ascii="仿宋_GB2312" w:hAnsi="仿宋_GB2312" w:eastAsia="仿宋_GB2312" w:cs="仿宋_GB2312"/>
          <w:color w:val="auto"/>
          <w:sz w:val="24"/>
          <w:szCs w:val="24"/>
          <w:highlight w:val="none"/>
        </w:rPr>
      </w:pPr>
    </w:p>
    <w:p w14:paraId="6FACAF5B">
      <w:pPr>
        <w:pStyle w:val="54"/>
        <w:spacing w:line="360" w:lineRule="auto"/>
        <w:rPr>
          <w:rFonts w:hint="eastAsia" w:ascii="仿宋_GB2312" w:hAnsi="仿宋_GB2312" w:eastAsia="仿宋_GB2312" w:cs="仿宋_GB2312"/>
          <w:color w:val="auto"/>
          <w:sz w:val="24"/>
          <w:szCs w:val="24"/>
          <w:highlight w:val="none"/>
        </w:rPr>
      </w:pPr>
    </w:p>
    <w:p w14:paraId="4AD9445E">
      <w:pPr>
        <w:pStyle w:val="15"/>
        <w:ind w:left="0" w:leftChars="0" w:firstLine="480" w:firstLineChars="200"/>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附件</w:t>
      </w:r>
      <w:r>
        <w:rPr>
          <w:rFonts w:hint="eastAsia" w:ascii="仿宋_GB2312" w:hAnsi="仿宋_GB2312" w:eastAsia="仿宋_GB2312" w:cs="仿宋_GB2312"/>
          <w:color w:val="auto"/>
          <w:sz w:val="24"/>
          <w:szCs w:val="24"/>
          <w:highlight w:val="none"/>
          <w:lang w:val="en-US" w:eastAsia="zh-CN"/>
        </w:rPr>
        <w:t>1</w:t>
      </w:r>
      <w:r>
        <w:rPr>
          <w:rFonts w:hint="eastAsia" w:ascii="仿宋_GB2312" w:hAnsi="仿宋_GB2312" w:eastAsia="仿宋_GB2312" w:cs="仿宋_GB2312"/>
          <w:color w:val="auto"/>
          <w:sz w:val="24"/>
          <w:szCs w:val="24"/>
          <w:highlight w:val="none"/>
        </w:rPr>
        <w:t>：服务内容</w:t>
      </w:r>
      <w:r>
        <w:rPr>
          <w:rFonts w:hint="eastAsia" w:ascii="仿宋_GB2312" w:hAnsi="仿宋_GB2312" w:eastAsia="仿宋_GB2312" w:cs="仿宋_GB2312"/>
          <w:color w:val="auto"/>
          <w:sz w:val="24"/>
          <w:szCs w:val="24"/>
          <w:highlight w:val="none"/>
          <w:lang w:eastAsia="zh-CN"/>
        </w:rPr>
        <w:t>及标准（见招标文件第四章采购需求中“品目一：物业管理服务</w:t>
      </w:r>
      <w:r>
        <w:rPr>
          <w:rFonts w:hint="eastAsia" w:ascii="仿宋_GB2312" w:hAnsi="仿宋_GB2312" w:eastAsia="仿宋_GB2312" w:cs="仿宋_GB2312"/>
          <w:b w:val="0"/>
          <w:bCs w:val="0"/>
          <w:color w:val="auto"/>
          <w:sz w:val="24"/>
          <w:szCs w:val="24"/>
          <w:highlight w:val="none"/>
        </w:rPr>
        <w:t>3.服务具体内容及服务标准</w:t>
      </w:r>
      <w:r>
        <w:rPr>
          <w:rFonts w:hint="eastAsia" w:ascii="仿宋_GB2312" w:hAnsi="仿宋_GB2312" w:eastAsia="仿宋_GB2312" w:cs="仿宋_GB2312"/>
          <w:b w:val="0"/>
          <w:bCs w:val="0"/>
          <w:color w:val="auto"/>
          <w:sz w:val="24"/>
          <w:szCs w:val="24"/>
          <w:highlight w:val="none"/>
          <w:lang w:eastAsia="zh-CN"/>
        </w:rPr>
        <w:t>”及“品目二：餐饮服务</w:t>
      </w:r>
      <w:r>
        <w:rPr>
          <w:rFonts w:hint="eastAsia" w:ascii="仿宋_GB2312" w:hAnsi="仿宋_GB2312" w:eastAsia="仿宋_GB2312" w:cs="仿宋_GB2312"/>
          <w:b w:val="0"/>
          <w:bCs w:val="0"/>
          <w:color w:val="auto"/>
          <w:sz w:val="24"/>
          <w:szCs w:val="24"/>
          <w:highlight w:val="none"/>
          <w:lang w:val="en-US" w:eastAsia="zh-CN"/>
        </w:rPr>
        <w:t>2.服务内容及标准”</w:t>
      </w:r>
      <w:r>
        <w:rPr>
          <w:rFonts w:hint="eastAsia" w:ascii="仿宋_GB2312" w:hAnsi="仿宋_GB2312" w:eastAsia="仿宋_GB2312" w:cs="仿宋_GB2312"/>
          <w:color w:val="auto"/>
          <w:sz w:val="24"/>
          <w:szCs w:val="24"/>
          <w:highlight w:val="none"/>
          <w:lang w:eastAsia="zh-CN"/>
        </w:rPr>
        <w:t>）</w:t>
      </w:r>
    </w:p>
    <w:p w14:paraId="26853BC0">
      <w:pPr>
        <w:pStyle w:val="54"/>
        <w:spacing w:line="360" w:lineRule="auto"/>
        <w:ind w:firstLine="480" w:firstLineChars="200"/>
        <w:rPr>
          <w:rFonts w:hint="eastAsia" w:ascii="仿宋_GB2312" w:hAnsi="仿宋_GB2312" w:eastAsia="仿宋_GB2312" w:cs="仿宋_GB2312"/>
          <w:color w:val="auto"/>
          <w:sz w:val="24"/>
          <w:szCs w:val="24"/>
          <w:highlight w:val="none"/>
          <w:lang w:eastAsia="zh-CN"/>
        </w:rPr>
      </w:pPr>
      <w:r>
        <w:rPr>
          <w:rFonts w:hint="eastAsia" w:ascii="仿宋_GB2312" w:hAnsi="仿宋_GB2312" w:eastAsia="仿宋_GB2312" w:cs="仿宋_GB2312"/>
          <w:color w:val="auto"/>
          <w:sz w:val="24"/>
          <w:szCs w:val="24"/>
          <w:highlight w:val="none"/>
        </w:rPr>
        <w:t>附件</w:t>
      </w:r>
      <w:r>
        <w:rPr>
          <w:rFonts w:hint="eastAsia" w:ascii="仿宋_GB2312" w:hAnsi="仿宋_GB2312" w:eastAsia="仿宋_GB2312" w:cs="仿宋_GB2312"/>
          <w:color w:val="auto"/>
          <w:sz w:val="24"/>
          <w:szCs w:val="24"/>
          <w:highlight w:val="none"/>
          <w:lang w:val="en-US" w:eastAsia="zh-CN"/>
        </w:rPr>
        <w:t>2</w:t>
      </w:r>
      <w:r>
        <w:rPr>
          <w:rFonts w:hint="eastAsia" w:ascii="仿宋_GB2312" w:hAnsi="仿宋_GB2312" w:eastAsia="仿宋_GB2312" w:cs="仿宋_GB2312"/>
          <w:color w:val="auto"/>
          <w:sz w:val="24"/>
          <w:szCs w:val="24"/>
          <w:highlight w:val="none"/>
        </w:rPr>
        <w:t>：</w:t>
      </w:r>
      <w:r>
        <w:rPr>
          <w:rFonts w:hint="eastAsia" w:ascii="仿宋_GB2312" w:hAnsi="仿宋_GB2312" w:eastAsia="仿宋_GB2312" w:cs="仿宋_GB2312"/>
          <w:color w:val="auto"/>
          <w:sz w:val="24"/>
          <w:szCs w:val="24"/>
          <w:highlight w:val="none"/>
          <w:lang w:eastAsia="zh-CN"/>
        </w:rPr>
        <w:t>考评管理办法（见招标文件第四章采购需求中“品目一：物业管理服务</w:t>
      </w:r>
      <w:r>
        <w:rPr>
          <w:rFonts w:hint="eastAsia" w:ascii="仿宋_GB2312" w:hAnsi="仿宋_GB2312" w:eastAsia="仿宋_GB2312" w:cs="仿宋_GB2312"/>
          <w:color w:val="auto"/>
          <w:sz w:val="24"/>
          <w:szCs w:val="24"/>
          <w:highlight w:val="none"/>
          <w:lang w:val="en-US" w:eastAsia="zh-CN"/>
        </w:rPr>
        <w:t>4</w:t>
      </w:r>
      <w:r>
        <w:rPr>
          <w:rFonts w:hint="eastAsia" w:ascii="仿宋_GB2312" w:hAnsi="仿宋_GB2312" w:eastAsia="仿宋_GB2312" w:cs="仿宋_GB2312"/>
          <w:b w:val="0"/>
          <w:bCs w:val="0"/>
          <w:color w:val="auto"/>
          <w:sz w:val="24"/>
          <w:szCs w:val="24"/>
          <w:highlight w:val="none"/>
        </w:rPr>
        <w:t>.</w:t>
      </w:r>
      <w:r>
        <w:rPr>
          <w:rFonts w:hint="eastAsia" w:ascii="仿宋_GB2312" w:hAnsi="仿宋_GB2312" w:eastAsia="仿宋_GB2312" w:cs="仿宋_GB2312"/>
          <w:b w:val="0"/>
          <w:bCs w:val="0"/>
          <w:color w:val="auto"/>
          <w:sz w:val="24"/>
          <w:szCs w:val="24"/>
          <w:highlight w:val="none"/>
          <w:lang w:eastAsia="zh-CN"/>
        </w:rPr>
        <w:t>考评管理办法”及“品目二：餐饮服务</w:t>
      </w:r>
      <w:r>
        <w:rPr>
          <w:rFonts w:hint="eastAsia" w:ascii="仿宋_GB2312" w:hAnsi="仿宋_GB2312" w:eastAsia="仿宋_GB2312" w:cs="仿宋_GB2312"/>
          <w:b w:val="0"/>
          <w:bCs w:val="0"/>
          <w:color w:val="auto"/>
          <w:sz w:val="24"/>
          <w:szCs w:val="24"/>
          <w:highlight w:val="none"/>
          <w:lang w:val="en-US" w:eastAsia="zh-CN"/>
        </w:rPr>
        <w:t>5.考评办法”</w:t>
      </w:r>
      <w:r>
        <w:rPr>
          <w:rFonts w:hint="eastAsia" w:ascii="仿宋_GB2312" w:hAnsi="仿宋_GB2312" w:eastAsia="仿宋_GB2312" w:cs="仿宋_GB2312"/>
          <w:color w:val="auto"/>
          <w:sz w:val="24"/>
          <w:szCs w:val="24"/>
          <w:highlight w:val="none"/>
          <w:lang w:eastAsia="zh-CN"/>
        </w:rPr>
        <w:t>）</w:t>
      </w:r>
    </w:p>
    <w:p w14:paraId="71728380">
      <w:pPr>
        <w:pStyle w:val="54"/>
        <w:spacing w:line="360" w:lineRule="auto"/>
        <w:ind w:firstLine="480" w:firstLineChars="200"/>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附件</w:t>
      </w:r>
      <w:r>
        <w:rPr>
          <w:rFonts w:hint="eastAsia" w:ascii="仿宋_GB2312" w:hAnsi="仿宋_GB2312" w:eastAsia="仿宋_GB2312" w:cs="仿宋_GB2312"/>
          <w:color w:val="auto"/>
          <w:sz w:val="24"/>
          <w:szCs w:val="24"/>
          <w:highlight w:val="none"/>
          <w:lang w:val="en-US" w:eastAsia="zh-CN"/>
        </w:rPr>
        <w:t>3</w:t>
      </w:r>
      <w:r>
        <w:rPr>
          <w:rFonts w:hint="eastAsia" w:ascii="仿宋_GB2312" w:hAnsi="仿宋_GB2312" w:eastAsia="仿宋_GB2312" w:cs="仿宋_GB2312"/>
          <w:color w:val="auto"/>
          <w:sz w:val="24"/>
          <w:szCs w:val="24"/>
          <w:highlight w:val="none"/>
        </w:rPr>
        <w:t>：保密协议</w:t>
      </w:r>
    </w:p>
    <w:p w14:paraId="253D6F99">
      <w:pPr>
        <w:pStyle w:val="26"/>
        <w:spacing w:line="360" w:lineRule="auto"/>
        <w:ind w:firstLine="480"/>
        <w:rPr>
          <w:rFonts w:hint="eastAsia" w:ascii="仿宋_GB2312" w:hAnsi="仿宋_GB2312" w:eastAsia="仿宋_GB2312" w:cs="仿宋_GB2312"/>
          <w:color w:val="auto"/>
          <w:sz w:val="24"/>
          <w:szCs w:val="24"/>
          <w:highlight w:val="none"/>
        </w:rPr>
      </w:pPr>
    </w:p>
    <w:p w14:paraId="4AD69F63">
      <w:pPr>
        <w:snapToGrid w:val="0"/>
        <w:spacing w:line="360" w:lineRule="auto"/>
        <w:rPr>
          <w:rFonts w:hint="eastAsia" w:ascii="仿宋_GB2312" w:hAnsi="仿宋_GB2312" w:eastAsia="仿宋_GB2312" w:cs="仿宋_GB2312"/>
          <w:color w:val="auto"/>
          <w:sz w:val="24"/>
          <w:szCs w:val="24"/>
          <w:highlight w:val="none"/>
        </w:rPr>
      </w:pPr>
    </w:p>
    <w:p w14:paraId="6FBCFDAF">
      <w:pPr>
        <w:snapToGrid w:val="0"/>
        <w:spacing w:line="360" w:lineRule="auto"/>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甲方（签章）：                       乙方（签章）：</w:t>
      </w:r>
    </w:p>
    <w:p w14:paraId="60AFC54F">
      <w:pPr>
        <w:snapToGrid w:val="0"/>
        <w:spacing w:line="360" w:lineRule="auto"/>
        <w:ind w:firstLine="570"/>
        <w:rPr>
          <w:rFonts w:hint="eastAsia" w:ascii="仿宋_GB2312" w:hAnsi="仿宋_GB2312" w:eastAsia="仿宋_GB2312" w:cs="仿宋_GB2312"/>
          <w:color w:val="auto"/>
          <w:sz w:val="24"/>
          <w:szCs w:val="24"/>
          <w:highlight w:val="none"/>
        </w:rPr>
      </w:pPr>
    </w:p>
    <w:p w14:paraId="6D852982">
      <w:pPr>
        <w:snapToGrid w:val="0"/>
        <w:spacing w:line="360" w:lineRule="auto"/>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法定代表人（签名）：                 法定代表人（签名）：</w:t>
      </w:r>
    </w:p>
    <w:p w14:paraId="18FD7DB8">
      <w:pPr>
        <w:snapToGrid w:val="0"/>
        <w:spacing w:line="360" w:lineRule="auto"/>
        <w:ind w:firstLine="570"/>
        <w:rPr>
          <w:rFonts w:hint="eastAsia" w:ascii="仿宋_GB2312" w:hAnsi="仿宋_GB2312" w:eastAsia="仿宋_GB2312" w:cs="仿宋_GB2312"/>
          <w:color w:val="auto"/>
          <w:sz w:val="24"/>
          <w:szCs w:val="24"/>
          <w:highlight w:val="none"/>
        </w:rPr>
      </w:pPr>
    </w:p>
    <w:p w14:paraId="52501E32">
      <w:pPr>
        <w:spacing w:line="360" w:lineRule="auto"/>
        <w:ind w:firstLine="0" w:firstLineChars="0"/>
        <w:jc w:val="left"/>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年   月   日                        年   月   日</w:t>
      </w:r>
    </w:p>
    <w:p w14:paraId="19A0D913">
      <w:pPr>
        <w:rPr>
          <w:rFonts w:hint="eastAsia" w:ascii="仿宋_GB2312" w:hAnsi="仿宋_GB2312" w:eastAsia="仿宋_GB2312" w:cs="仿宋_GB2312"/>
          <w:color w:val="auto"/>
          <w:sz w:val="24"/>
          <w:szCs w:val="24"/>
          <w:highlight w:val="none"/>
        </w:rPr>
      </w:pPr>
    </w:p>
    <w:p w14:paraId="77D86B57">
      <w:pPr>
        <w:pStyle w:val="10"/>
        <w:rPr>
          <w:rFonts w:hint="eastAsia" w:ascii="仿宋_GB2312" w:hAnsi="仿宋_GB2312" w:eastAsia="仿宋_GB2312" w:cs="仿宋_GB2312"/>
          <w:color w:val="auto"/>
          <w:sz w:val="24"/>
          <w:szCs w:val="24"/>
          <w:highlight w:val="none"/>
        </w:rPr>
      </w:pPr>
    </w:p>
    <w:p w14:paraId="2AF46532">
      <w:pPr>
        <w:pStyle w:val="54"/>
        <w:rPr>
          <w:rFonts w:ascii="仿宋" w:hAnsi="仿宋" w:eastAsia="仿宋" w:cs="仿宋"/>
          <w:color w:val="auto"/>
          <w:highlight w:val="none"/>
        </w:rPr>
      </w:pPr>
    </w:p>
    <w:p w14:paraId="25484695">
      <w:pPr>
        <w:pStyle w:val="54"/>
        <w:rPr>
          <w:rFonts w:ascii="仿宋" w:hAnsi="仿宋" w:eastAsia="仿宋" w:cs="仿宋"/>
          <w:color w:val="auto"/>
          <w:highlight w:val="none"/>
        </w:rPr>
      </w:pPr>
    </w:p>
    <w:p w14:paraId="6DD3FF9A">
      <w:pPr>
        <w:pStyle w:val="54"/>
        <w:rPr>
          <w:rFonts w:ascii="仿宋" w:hAnsi="仿宋" w:eastAsia="仿宋" w:cs="仿宋"/>
          <w:color w:val="auto"/>
          <w:highlight w:val="none"/>
        </w:rPr>
      </w:pPr>
    </w:p>
    <w:p w14:paraId="6C07AC7A">
      <w:pPr>
        <w:pStyle w:val="54"/>
        <w:rPr>
          <w:rFonts w:ascii="仿宋" w:hAnsi="仿宋" w:eastAsia="仿宋" w:cs="仿宋"/>
          <w:color w:val="auto"/>
          <w:highlight w:val="none"/>
        </w:rPr>
      </w:pPr>
    </w:p>
    <w:p w14:paraId="11CB9E91">
      <w:pPr>
        <w:jc w:val="center"/>
        <w:rPr>
          <w:rFonts w:hint="eastAsia" w:eastAsia="黑体"/>
          <w:color w:val="auto"/>
          <w:sz w:val="36"/>
          <w:highlight w:val="none"/>
        </w:rPr>
      </w:pPr>
    </w:p>
    <w:p w14:paraId="5A5568D5">
      <w:pPr>
        <w:jc w:val="center"/>
        <w:rPr>
          <w:rFonts w:hint="eastAsia" w:eastAsia="黑体"/>
          <w:color w:val="auto"/>
          <w:sz w:val="36"/>
          <w:highlight w:val="none"/>
        </w:rPr>
      </w:pPr>
    </w:p>
    <w:p w14:paraId="7A48C69A">
      <w:pPr>
        <w:jc w:val="center"/>
        <w:rPr>
          <w:rFonts w:hint="eastAsia" w:eastAsia="黑体"/>
          <w:color w:val="auto"/>
          <w:sz w:val="36"/>
          <w:highlight w:val="none"/>
        </w:rPr>
      </w:pPr>
    </w:p>
    <w:p w14:paraId="61EE79CA">
      <w:pPr>
        <w:jc w:val="center"/>
        <w:rPr>
          <w:rFonts w:hint="eastAsia" w:eastAsia="黑体"/>
          <w:color w:val="auto"/>
          <w:sz w:val="36"/>
          <w:highlight w:val="none"/>
        </w:rPr>
      </w:pPr>
    </w:p>
    <w:p w14:paraId="6AE1ACEE">
      <w:pPr>
        <w:jc w:val="center"/>
        <w:rPr>
          <w:rFonts w:hint="eastAsia" w:eastAsia="黑体"/>
          <w:color w:val="auto"/>
          <w:sz w:val="36"/>
          <w:highlight w:val="none"/>
        </w:rPr>
      </w:pPr>
    </w:p>
    <w:p w14:paraId="57E48FF2">
      <w:pPr>
        <w:jc w:val="center"/>
        <w:rPr>
          <w:rFonts w:hint="eastAsia" w:eastAsia="黑体"/>
          <w:color w:val="auto"/>
          <w:sz w:val="36"/>
          <w:highlight w:val="none"/>
        </w:rPr>
      </w:pPr>
    </w:p>
    <w:p w14:paraId="7027CCBC">
      <w:pPr>
        <w:jc w:val="both"/>
        <w:rPr>
          <w:rFonts w:hint="eastAsia" w:ascii="仿宋_GB2312" w:hAnsi="仿宋_GB2312" w:eastAsia="仿宋_GB2312" w:cs="仿宋_GB2312"/>
          <w:b/>
          <w:bCs/>
          <w:color w:val="auto"/>
          <w:sz w:val="32"/>
          <w:szCs w:val="32"/>
          <w:highlight w:val="none"/>
          <w:lang w:val="en-US" w:eastAsia="zh-CN"/>
        </w:rPr>
      </w:pPr>
    </w:p>
    <w:p w14:paraId="63C6E54D">
      <w:pPr>
        <w:jc w:val="both"/>
        <w:rPr>
          <w:rFonts w:hint="eastAsia" w:ascii="仿宋_GB2312" w:hAnsi="仿宋_GB2312" w:eastAsia="仿宋_GB2312" w:cs="仿宋_GB2312"/>
          <w:b/>
          <w:bCs/>
          <w:color w:val="auto"/>
          <w:sz w:val="32"/>
          <w:szCs w:val="32"/>
          <w:highlight w:val="none"/>
          <w:lang w:val="en-US" w:eastAsia="zh-CN"/>
        </w:rPr>
      </w:pPr>
    </w:p>
    <w:p w14:paraId="55A60EC0">
      <w:pPr>
        <w:jc w:val="both"/>
        <w:rPr>
          <w:rFonts w:hint="eastAsia" w:ascii="仿宋_GB2312" w:hAnsi="仿宋_GB2312" w:eastAsia="仿宋_GB2312" w:cs="仿宋_GB2312"/>
          <w:b/>
          <w:bCs/>
          <w:color w:val="auto"/>
          <w:sz w:val="32"/>
          <w:szCs w:val="32"/>
          <w:highlight w:val="none"/>
          <w:lang w:val="en-US" w:eastAsia="zh-CN"/>
        </w:rPr>
      </w:pPr>
    </w:p>
    <w:p w14:paraId="1135DEAE">
      <w:pPr>
        <w:pStyle w:val="2"/>
        <w:rPr>
          <w:rFonts w:hint="eastAsia" w:ascii="仿宋_GB2312" w:hAnsi="仿宋_GB2312" w:eastAsia="仿宋_GB2312" w:cs="仿宋_GB2312"/>
          <w:b/>
          <w:bCs/>
          <w:color w:val="auto"/>
          <w:sz w:val="32"/>
          <w:szCs w:val="32"/>
          <w:highlight w:val="none"/>
          <w:lang w:val="en-US" w:eastAsia="zh-CN"/>
        </w:rPr>
      </w:pPr>
    </w:p>
    <w:p w14:paraId="444970CC">
      <w:pPr>
        <w:pStyle w:val="2"/>
        <w:rPr>
          <w:rFonts w:hint="eastAsia" w:ascii="仿宋_GB2312" w:hAnsi="仿宋_GB2312" w:eastAsia="仿宋_GB2312" w:cs="仿宋_GB2312"/>
          <w:b/>
          <w:bCs/>
          <w:color w:val="auto"/>
          <w:sz w:val="32"/>
          <w:szCs w:val="32"/>
          <w:highlight w:val="none"/>
          <w:lang w:val="en-US" w:eastAsia="zh-CN"/>
        </w:rPr>
      </w:pPr>
    </w:p>
    <w:p w14:paraId="515107B7">
      <w:pPr>
        <w:jc w:val="left"/>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sz w:val="24"/>
          <w:szCs w:val="24"/>
          <w:highlight w:val="none"/>
          <w:lang w:eastAsia="zh-CN"/>
        </w:rPr>
        <w:t>附件</w:t>
      </w:r>
      <w:r>
        <w:rPr>
          <w:rFonts w:hint="eastAsia" w:ascii="仿宋_GB2312" w:hAnsi="仿宋_GB2312" w:eastAsia="仿宋_GB2312" w:cs="仿宋_GB2312"/>
          <w:color w:val="auto"/>
          <w:sz w:val="24"/>
          <w:szCs w:val="24"/>
          <w:highlight w:val="none"/>
          <w:lang w:val="en-US" w:eastAsia="zh-CN"/>
        </w:rPr>
        <w:t>3</w:t>
      </w:r>
    </w:p>
    <w:p w14:paraId="6A31E405">
      <w:pPr>
        <w:jc w:val="center"/>
        <w:rPr>
          <w:rFonts w:hint="eastAsia" w:ascii="方正小标宋简体" w:hAnsi="方正小标宋简体" w:eastAsia="方正小标宋简体" w:cs="方正小标宋简体"/>
          <w:color w:val="auto"/>
          <w:sz w:val="44"/>
          <w:szCs w:val="44"/>
          <w:highlight w:val="none"/>
        </w:rPr>
      </w:pPr>
      <w:r>
        <w:rPr>
          <w:rFonts w:hint="eastAsia" w:ascii="方正小标宋简体" w:hAnsi="方正小标宋简体" w:eastAsia="方正小标宋简体" w:cs="方正小标宋简体"/>
          <w:color w:val="auto"/>
          <w:sz w:val="44"/>
          <w:szCs w:val="44"/>
          <w:highlight w:val="none"/>
        </w:rPr>
        <w:t>保密协议</w:t>
      </w:r>
    </w:p>
    <w:p w14:paraId="1A474833">
      <w:pPr>
        <w:rPr>
          <w:rFonts w:hint="eastAsia" w:ascii="仿宋_GB2312" w:hAnsi="仿宋_GB2312" w:eastAsia="仿宋_GB2312" w:cs="仿宋_GB2312"/>
          <w:color w:val="auto"/>
          <w:sz w:val="24"/>
          <w:szCs w:val="24"/>
          <w:highlight w:val="none"/>
        </w:rPr>
      </w:pPr>
    </w:p>
    <w:p w14:paraId="7BFE7D24">
      <w:pPr>
        <w:ind w:firstLine="480" w:firstLineChars="200"/>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甲方：</w:t>
      </w:r>
    </w:p>
    <w:p w14:paraId="6DAB0F98">
      <w:pPr>
        <w:ind w:firstLine="570"/>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住址：</w:t>
      </w:r>
    </w:p>
    <w:p w14:paraId="55426F33">
      <w:pPr>
        <w:ind w:firstLine="570"/>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 xml:space="preserve">法定代表人： </w:t>
      </w:r>
    </w:p>
    <w:p w14:paraId="55F3F815">
      <w:pPr>
        <w:rPr>
          <w:rFonts w:hint="eastAsia" w:ascii="仿宋_GB2312" w:hAnsi="仿宋_GB2312" w:eastAsia="仿宋_GB2312" w:cs="仿宋_GB2312"/>
          <w:color w:val="auto"/>
          <w:sz w:val="24"/>
          <w:szCs w:val="24"/>
          <w:highlight w:val="none"/>
        </w:rPr>
      </w:pPr>
    </w:p>
    <w:p w14:paraId="385FCCD6">
      <w:pPr>
        <w:ind w:firstLine="570"/>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乙方：</w:t>
      </w:r>
    </w:p>
    <w:p w14:paraId="613CD0A5">
      <w:pPr>
        <w:ind w:firstLine="570"/>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住址：</w:t>
      </w:r>
    </w:p>
    <w:p w14:paraId="6BD1D24B">
      <w:pPr>
        <w:ind w:firstLine="570"/>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法定代表人 ：</w:t>
      </w:r>
    </w:p>
    <w:p w14:paraId="6EECB230">
      <w:pPr>
        <w:ind w:firstLine="480" w:firstLineChars="200"/>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根据《中华人民共和国</w:t>
      </w:r>
      <w:r>
        <w:rPr>
          <w:rFonts w:hint="eastAsia" w:ascii="仿宋_GB2312" w:hAnsi="仿宋_GB2312" w:eastAsia="仿宋_GB2312" w:cs="仿宋_GB2312"/>
          <w:color w:val="auto"/>
          <w:sz w:val="24"/>
          <w:szCs w:val="24"/>
          <w:highlight w:val="none"/>
          <w:lang w:eastAsia="zh-CN"/>
        </w:rPr>
        <w:t>民典</w:t>
      </w:r>
      <w:r>
        <w:rPr>
          <w:rFonts w:hint="eastAsia" w:ascii="仿宋_GB2312" w:hAnsi="仿宋_GB2312" w:eastAsia="仿宋_GB2312" w:cs="仿宋_GB2312"/>
          <w:color w:val="auto"/>
          <w:sz w:val="24"/>
          <w:szCs w:val="24"/>
          <w:highlight w:val="none"/>
        </w:rPr>
        <w:t>法》及相关规定，双方就</w:t>
      </w:r>
      <w:r>
        <w:rPr>
          <w:rFonts w:hint="eastAsia" w:ascii="仿宋_GB2312" w:hAnsi="仿宋_GB2312" w:eastAsia="仿宋_GB2312" w:cs="仿宋_GB2312"/>
          <w:color w:val="auto"/>
          <w:sz w:val="24"/>
          <w:szCs w:val="24"/>
          <w:highlight w:val="none"/>
          <w:u w:val="single"/>
        </w:rPr>
        <w:t xml:space="preserve"> 物业服务</w:t>
      </w:r>
      <w:r>
        <w:rPr>
          <w:rFonts w:hint="eastAsia" w:ascii="仿宋_GB2312" w:hAnsi="仿宋_GB2312" w:eastAsia="仿宋_GB2312" w:cs="仿宋_GB2312"/>
          <w:color w:val="auto"/>
          <w:sz w:val="24"/>
          <w:szCs w:val="24"/>
          <w:highlight w:val="none"/>
        </w:rPr>
        <w:t>项目（以下简称“本项目”）实施过程中所涉及的保密事宜，经协商一致达成以下协议，以资信守。</w:t>
      </w:r>
    </w:p>
    <w:p w14:paraId="1FE80832">
      <w:pPr>
        <w:numPr>
          <w:ilvl w:val="0"/>
          <w:numId w:val="13"/>
        </w:numPr>
        <w:tabs>
          <w:tab w:val="left" w:pos="1620"/>
        </w:tabs>
        <w:ind w:left="0" w:firstLine="540"/>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乙方对以下事项承担保密义务：甲方为项目实施的目的透露给乙方的，以及在本项目实施过程中产生或获悉的国家秘密、甲方内部工作秘密及其他甲方声明应当保密的信息（以下统称“保密信息”）。包括但不限于：</w:t>
      </w:r>
    </w:p>
    <w:p w14:paraId="271EAB5E">
      <w:pPr>
        <w:numPr>
          <w:ilvl w:val="0"/>
          <w:numId w:val="14"/>
        </w:numPr>
        <w:tabs>
          <w:tab w:val="clear" w:pos="927"/>
        </w:tabs>
        <w:ind w:left="0" w:firstLine="567"/>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本项目相关服务需求、文档资料、数据信息等；</w:t>
      </w:r>
    </w:p>
    <w:p w14:paraId="7F47D4C6">
      <w:pPr>
        <w:numPr>
          <w:ilvl w:val="0"/>
          <w:numId w:val="14"/>
        </w:numPr>
        <w:ind w:left="0" w:firstLine="480" w:firstLineChars="200"/>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双方在项目实施过程中签署的会议纪要、谈判记录、合同书、往来函件等其他信息；</w:t>
      </w:r>
    </w:p>
    <w:p w14:paraId="490B50EE">
      <w:pPr>
        <w:numPr>
          <w:ilvl w:val="0"/>
          <w:numId w:val="14"/>
        </w:numPr>
        <w:ind w:left="0" w:firstLine="480" w:firstLineChars="200"/>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乙方在项目过程中了解的甲方单位性质、工作秘密、技术手段等信息。</w:t>
      </w:r>
    </w:p>
    <w:p w14:paraId="3D83D64C">
      <w:pPr>
        <w:numPr>
          <w:ilvl w:val="0"/>
          <w:numId w:val="13"/>
        </w:numPr>
        <w:tabs>
          <w:tab w:val="left" w:pos="1620"/>
        </w:tabs>
        <w:ind w:left="0" w:firstLine="540"/>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乙方从甲方获得的与本项目有关或因本项目产生的任何技术、商业或其他性质的资料，无论以何种形式或载于何种载体，无论在披露时是否以口头、书面方式申明其具有秘密性，乙方均应承担保密义务。</w:t>
      </w:r>
    </w:p>
    <w:p w14:paraId="26665099">
      <w:pPr>
        <w:numPr>
          <w:ilvl w:val="0"/>
          <w:numId w:val="13"/>
        </w:numPr>
        <w:tabs>
          <w:tab w:val="left" w:pos="1620"/>
        </w:tabs>
        <w:ind w:left="0" w:firstLine="540"/>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乙方及其工作人员的保密义务</w:t>
      </w:r>
    </w:p>
    <w:p w14:paraId="158F0A47">
      <w:pPr>
        <w:numPr>
          <w:ilvl w:val="1"/>
          <w:numId w:val="13"/>
        </w:numPr>
        <w:tabs>
          <w:tab w:val="left" w:pos="900"/>
        </w:tabs>
        <w:ind w:left="0" w:firstLine="540"/>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乙方保证将采取所有必要的方法对本项目相关信息进行保护，保护程度不低于乙方保护自己的专有信息和涉密信息。保护方式包括但不限于执行适当的作业程序来避免非授权使用、仿造、复制、留存或披露给第三方。未经甲方书面授权许可，乙方不得将合同文本等保密信息非授权使用、仿造、复制、留存或以任何方式披露给指定或不特定的第三方。不得将合同文本等保密信息发布到互联网上。</w:t>
      </w:r>
    </w:p>
    <w:p w14:paraId="0F2BF8D8">
      <w:pPr>
        <w:numPr>
          <w:ilvl w:val="1"/>
          <w:numId w:val="13"/>
        </w:numPr>
        <w:tabs>
          <w:tab w:val="left" w:pos="900"/>
        </w:tabs>
        <w:ind w:left="0" w:firstLine="540"/>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乙方只能为本项目工作的目的使用甲方提供的项目资料，且仅限于项目管理人员及直接参与本项目工作的人员知悉，知悉程度仅限于为项目实施所必须的程度；未经甲方同意不得泄露给任何第三方或作与项目无关的使用。</w:t>
      </w:r>
    </w:p>
    <w:p w14:paraId="4E2A14C3">
      <w:pPr>
        <w:numPr>
          <w:ilvl w:val="1"/>
          <w:numId w:val="13"/>
        </w:numPr>
        <w:tabs>
          <w:tab w:val="left" w:pos="900"/>
        </w:tabs>
        <w:ind w:left="0" w:firstLine="540"/>
        <w:rPr>
          <w:rFonts w:hint="eastAsia" w:ascii="仿宋_GB2312" w:hAnsi="仿宋_GB2312" w:eastAsia="仿宋_GB2312" w:cs="仿宋_GB2312"/>
          <w:color w:val="auto"/>
          <w:kern w:val="0"/>
          <w:sz w:val="24"/>
          <w:szCs w:val="24"/>
          <w:highlight w:val="none"/>
        </w:rPr>
      </w:pPr>
      <w:r>
        <w:rPr>
          <w:rFonts w:hint="eastAsia" w:ascii="仿宋_GB2312" w:hAnsi="仿宋_GB2312" w:eastAsia="仿宋_GB2312" w:cs="仿宋_GB2312"/>
          <w:color w:val="auto"/>
          <w:kern w:val="0"/>
          <w:sz w:val="24"/>
          <w:szCs w:val="24"/>
          <w:highlight w:val="none"/>
        </w:rPr>
        <w:t>乙方在向其参与本项目的工作人员披露</w:t>
      </w:r>
      <w:r>
        <w:rPr>
          <w:rFonts w:hint="eastAsia" w:ascii="仿宋_GB2312" w:hAnsi="仿宋_GB2312" w:eastAsia="仿宋_GB2312" w:cs="仿宋_GB2312"/>
          <w:color w:val="auto"/>
          <w:sz w:val="24"/>
          <w:szCs w:val="24"/>
          <w:highlight w:val="none"/>
        </w:rPr>
        <w:t>任何保密信息</w:t>
      </w:r>
      <w:r>
        <w:rPr>
          <w:rFonts w:hint="eastAsia" w:ascii="仿宋_GB2312" w:hAnsi="仿宋_GB2312" w:eastAsia="仿宋_GB2312" w:cs="仿宋_GB2312"/>
          <w:color w:val="auto"/>
          <w:kern w:val="0"/>
          <w:sz w:val="24"/>
          <w:szCs w:val="24"/>
          <w:highlight w:val="none"/>
        </w:rPr>
        <w:t>之前，必须采取一切合理的预防措施，该等预防措施包括但不限于告知其工作人员将要披露信息的保密性质，以适当方式要求其工作人员遵守本协议约定，并对其进行有效管理，以确保本协议的履行。乙方应与其参与本项目的人员分别签订一份保密协议，该协议的实质内容与本协议内容充分相似。乙方工作人员（包括离职人员）违反本协议规定的，由乙方承担全部责任。</w:t>
      </w:r>
    </w:p>
    <w:p w14:paraId="0EE4FB11">
      <w:pPr>
        <w:numPr>
          <w:ilvl w:val="1"/>
          <w:numId w:val="13"/>
        </w:numPr>
        <w:tabs>
          <w:tab w:val="left" w:pos="900"/>
        </w:tabs>
        <w:ind w:left="0" w:firstLine="540"/>
        <w:rPr>
          <w:rFonts w:hint="eastAsia" w:ascii="仿宋_GB2312" w:hAnsi="仿宋_GB2312" w:eastAsia="仿宋_GB2312" w:cs="仿宋_GB2312"/>
          <w:color w:val="auto"/>
          <w:kern w:val="0"/>
          <w:sz w:val="24"/>
          <w:szCs w:val="24"/>
          <w:highlight w:val="none"/>
        </w:rPr>
      </w:pPr>
      <w:r>
        <w:rPr>
          <w:rFonts w:hint="eastAsia" w:ascii="仿宋_GB2312" w:hAnsi="仿宋_GB2312" w:eastAsia="仿宋_GB2312" w:cs="仿宋_GB2312"/>
          <w:color w:val="auto"/>
          <w:kern w:val="0"/>
          <w:sz w:val="24"/>
          <w:szCs w:val="24"/>
          <w:highlight w:val="none"/>
        </w:rPr>
        <w:t>如相关政府部门或监管机构要求乙方提供任何保密信息，乙方应立即将需披露的信息书面通知甲方，以便甲方采取必要的保护措施，且该等通知应在信息披露前做出。乙方应尽合理努力，确保所披露的信息获得有关政府机关或机构的保密待遇。</w:t>
      </w:r>
    </w:p>
    <w:p w14:paraId="3C3C31F6">
      <w:pPr>
        <w:numPr>
          <w:ilvl w:val="1"/>
          <w:numId w:val="13"/>
        </w:numPr>
        <w:tabs>
          <w:tab w:val="left" w:pos="900"/>
        </w:tabs>
        <w:ind w:left="0" w:firstLine="540"/>
        <w:rPr>
          <w:rFonts w:hint="eastAsia" w:ascii="仿宋_GB2312" w:hAnsi="仿宋_GB2312" w:eastAsia="仿宋_GB2312" w:cs="仿宋_GB2312"/>
          <w:color w:val="auto"/>
          <w:kern w:val="0"/>
          <w:sz w:val="24"/>
          <w:szCs w:val="24"/>
          <w:highlight w:val="none"/>
        </w:rPr>
      </w:pPr>
      <w:r>
        <w:rPr>
          <w:rFonts w:hint="eastAsia" w:ascii="仿宋_GB2312" w:hAnsi="仿宋_GB2312" w:eastAsia="仿宋_GB2312" w:cs="仿宋_GB2312"/>
          <w:color w:val="auto"/>
          <w:kern w:val="0"/>
          <w:sz w:val="24"/>
          <w:szCs w:val="24"/>
          <w:highlight w:val="none"/>
        </w:rPr>
        <w:t>如乙方的律师、会计师、承包商和顾问为提供专业协助而需要了解保密信息时，乙方应在向上述人员提供保密信息前要求其签订保密协议或按照有关职业道德标准履行保密义务。上述人员泄露保密信息的，乙方承担全部责任。</w:t>
      </w:r>
    </w:p>
    <w:p w14:paraId="41CEA215">
      <w:pPr>
        <w:numPr>
          <w:ilvl w:val="1"/>
          <w:numId w:val="13"/>
        </w:numPr>
        <w:tabs>
          <w:tab w:val="left" w:pos="900"/>
          <w:tab w:val="clear" w:pos="570"/>
        </w:tabs>
        <w:ind w:left="0" w:firstLine="540"/>
        <w:rPr>
          <w:rFonts w:hint="eastAsia" w:ascii="仿宋_GB2312" w:hAnsi="仿宋_GB2312" w:eastAsia="仿宋_GB2312" w:cs="仿宋_GB2312"/>
          <w:color w:val="auto"/>
          <w:kern w:val="0"/>
          <w:sz w:val="24"/>
          <w:szCs w:val="24"/>
          <w:highlight w:val="none"/>
        </w:rPr>
      </w:pPr>
      <w:r>
        <w:rPr>
          <w:rFonts w:hint="eastAsia" w:ascii="仿宋_GB2312" w:hAnsi="仿宋_GB2312" w:eastAsia="仿宋_GB2312" w:cs="仿宋_GB2312"/>
          <w:color w:val="auto"/>
          <w:kern w:val="0"/>
          <w:sz w:val="24"/>
          <w:szCs w:val="24"/>
          <w:highlight w:val="none"/>
        </w:rPr>
        <w:t>本项目完成后或在甲方要求的任何时间，乙方应立即停止使用甲方提供的保密信息，按甲方要求交回所有项目资料，并不得复制或以其他形式留存与项目有关的任何资料（包括电子文档、纸介质等一切形式的资料）。如确属不能归还的形式，经甲方同意后予以删除或销毁。</w:t>
      </w:r>
    </w:p>
    <w:p w14:paraId="02D7E762">
      <w:pPr>
        <w:numPr>
          <w:ilvl w:val="1"/>
          <w:numId w:val="13"/>
        </w:numPr>
        <w:tabs>
          <w:tab w:val="left" w:pos="900"/>
        </w:tabs>
        <w:ind w:left="0" w:firstLine="540"/>
        <w:rPr>
          <w:rFonts w:hint="eastAsia" w:ascii="仿宋_GB2312" w:hAnsi="仿宋_GB2312" w:eastAsia="仿宋_GB2312" w:cs="仿宋_GB2312"/>
          <w:color w:val="auto"/>
          <w:kern w:val="0"/>
          <w:sz w:val="24"/>
          <w:szCs w:val="24"/>
          <w:highlight w:val="none"/>
        </w:rPr>
      </w:pPr>
      <w:r>
        <w:rPr>
          <w:rFonts w:hint="eastAsia" w:ascii="仿宋_GB2312" w:hAnsi="仿宋_GB2312" w:eastAsia="仿宋_GB2312" w:cs="仿宋_GB2312"/>
          <w:color w:val="auto"/>
          <w:kern w:val="0"/>
          <w:sz w:val="24"/>
          <w:szCs w:val="24"/>
          <w:highlight w:val="none"/>
        </w:rPr>
        <w:t>乙方</w:t>
      </w:r>
      <w:r>
        <w:rPr>
          <w:rFonts w:hint="eastAsia" w:ascii="仿宋_GB2312" w:hAnsi="仿宋_GB2312" w:eastAsia="仿宋_GB2312" w:cs="仿宋_GB2312"/>
          <w:color w:val="auto"/>
          <w:sz w:val="24"/>
          <w:szCs w:val="24"/>
          <w:highlight w:val="none"/>
        </w:rPr>
        <w:t>参加本项目的人员要求提前解除工作关系的，乙方应立即将该情况通知甲方，并要求离职人员清理和移交本人保管的资料、文件、数据等含有本项目信息的载体，并签订离职保密承诺书。</w:t>
      </w:r>
    </w:p>
    <w:p w14:paraId="6613FDE5">
      <w:pPr>
        <w:numPr>
          <w:ilvl w:val="0"/>
          <w:numId w:val="13"/>
        </w:numPr>
        <w:tabs>
          <w:tab w:val="left" w:pos="1620"/>
        </w:tabs>
        <w:ind w:left="0" w:firstLine="540"/>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本协议关于乙方保密义务的约定自项目实施之日起永久持续有效。</w:t>
      </w:r>
    </w:p>
    <w:p w14:paraId="1A108081">
      <w:pPr>
        <w:numPr>
          <w:ilvl w:val="0"/>
          <w:numId w:val="13"/>
        </w:numPr>
        <w:tabs>
          <w:tab w:val="left" w:pos="1620"/>
        </w:tabs>
        <w:ind w:left="0" w:firstLine="540"/>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甲方应就本单位的保密制度、保密事项及范围、保密要求等向乙方履行合理告知义务，本协议约定的保密范围、保密期限等如有变更，应及时通知乙方。</w:t>
      </w:r>
    </w:p>
    <w:p w14:paraId="4DA5A125">
      <w:pPr>
        <w:numPr>
          <w:ilvl w:val="0"/>
          <w:numId w:val="13"/>
        </w:numPr>
        <w:tabs>
          <w:tab w:val="left" w:pos="1620"/>
        </w:tabs>
        <w:ind w:left="0" w:firstLine="540"/>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kern w:val="0"/>
          <w:sz w:val="24"/>
          <w:szCs w:val="24"/>
          <w:highlight w:val="none"/>
        </w:rPr>
        <w:t>双方交换项目资料时，应办理书面交接手续，并以双方可理解的方式予以标注。</w:t>
      </w:r>
    </w:p>
    <w:p w14:paraId="6420DD96">
      <w:pPr>
        <w:numPr>
          <w:ilvl w:val="0"/>
          <w:numId w:val="13"/>
        </w:numPr>
        <w:tabs>
          <w:tab w:val="left" w:pos="1620"/>
        </w:tabs>
        <w:ind w:left="0" w:firstLine="540"/>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为落实好本协议，双方各指定专人负责双方之间的保密工作联系，并随时就本项目涉及的保密事宜进行研究和落实。</w:t>
      </w:r>
    </w:p>
    <w:p w14:paraId="2AB90AA9">
      <w:pPr>
        <w:ind w:firstLine="480" w:firstLineChars="200"/>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 xml:space="preserve">甲方联系人：      </w:t>
      </w:r>
      <w:r>
        <w:rPr>
          <w:rFonts w:hint="eastAsia" w:ascii="仿宋_GB2312" w:hAnsi="仿宋_GB2312" w:eastAsia="仿宋_GB2312" w:cs="仿宋_GB2312"/>
          <w:color w:val="auto"/>
          <w:sz w:val="24"/>
          <w:szCs w:val="24"/>
          <w:highlight w:val="none"/>
          <w:lang w:val="en-US" w:eastAsia="zh-CN"/>
        </w:rPr>
        <w:t xml:space="preserve"> </w:t>
      </w:r>
      <w:r>
        <w:rPr>
          <w:rFonts w:hint="eastAsia" w:ascii="仿宋_GB2312" w:hAnsi="仿宋_GB2312" w:eastAsia="仿宋_GB2312" w:cs="仿宋_GB2312"/>
          <w:color w:val="auto"/>
          <w:sz w:val="24"/>
          <w:szCs w:val="24"/>
          <w:highlight w:val="none"/>
        </w:rPr>
        <w:t xml:space="preserve"> 电话：</w:t>
      </w:r>
      <w:r>
        <w:rPr>
          <w:rFonts w:hint="eastAsia" w:ascii="仿宋_GB2312" w:hAnsi="仿宋_GB2312" w:eastAsia="仿宋_GB2312" w:cs="仿宋_GB2312"/>
          <w:color w:val="auto"/>
          <w:sz w:val="24"/>
          <w:szCs w:val="24"/>
          <w:highlight w:val="none"/>
          <w:lang w:val="en-US" w:eastAsia="zh-CN"/>
        </w:rPr>
        <w:t xml:space="preserve">        </w:t>
      </w:r>
      <w:r>
        <w:rPr>
          <w:rFonts w:hint="eastAsia" w:ascii="仿宋_GB2312" w:hAnsi="仿宋_GB2312" w:eastAsia="仿宋_GB2312" w:cs="仿宋_GB2312"/>
          <w:color w:val="auto"/>
          <w:sz w:val="24"/>
          <w:szCs w:val="24"/>
          <w:highlight w:val="none"/>
        </w:rPr>
        <w:t>乙方联系人：</w:t>
      </w:r>
      <w:r>
        <w:rPr>
          <w:rFonts w:hint="eastAsia" w:ascii="仿宋_GB2312" w:hAnsi="仿宋_GB2312" w:eastAsia="仿宋_GB2312" w:cs="仿宋_GB2312"/>
          <w:color w:val="auto"/>
          <w:sz w:val="24"/>
          <w:szCs w:val="24"/>
          <w:highlight w:val="none"/>
          <w:lang w:val="en-US" w:eastAsia="zh-CN"/>
        </w:rPr>
        <w:t xml:space="preserve"> </w:t>
      </w:r>
      <w:r>
        <w:rPr>
          <w:rFonts w:hint="eastAsia" w:ascii="仿宋_GB2312" w:hAnsi="仿宋_GB2312" w:eastAsia="仿宋_GB2312" w:cs="仿宋_GB2312"/>
          <w:color w:val="auto"/>
          <w:sz w:val="24"/>
          <w:szCs w:val="24"/>
          <w:highlight w:val="none"/>
        </w:rPr>
        <w:t xml:space="preserve">       </w:t>
      </w:r>
      <w:r>
        <w:rPr>
          <w:rFonts w:hint="eastAsia" w:ascii="仿宋_GB2312" w:hAnsi="仿宋_GB2312" w:eastAsia="仿宋_GB2312" w:cs="仿宋_GB2312"/>
          <w:color w:val="auto"/>
          <w:sz w:val="24"/>
          <w:szCs w:val="24"/>
          <w:highlight w:val="none"/>
          <w:lang w:val="en-US" w:eastAsia="zh-CN"/>
        </w:rPr>
        <w:t xml:space="preserve">  </w:t>
      </w:r>
      <w:r>
        <w:rPr>
          <w:rFonts w:hint="eastAsia" w:ascii="仿宋_GB2312" w:hAnsi="仿宋_GB2312" w:eastAsia="仿宋_GB2312" w:cs="仿宋_GB2312"/>
          <w:color w:val="auto"/>
          <w:sz w:val="24"/>
          <w:szCs w:val="24"/>
          <w:highlight w:val="none"/>
        </w:rPr>
        <w:t>电话：</w:t>
      </w:r>
    </w:p>
    <w:p w14:paraId="56447DB6">
      <w:pPr>
        <w:numPr>
          <w:ilvl w:val="0"/>
          <w:numId w:val="13"/>
        </w:numPr>
        <w:tabs>
          <w:tab w:val="left" w:pos="1620"/>
        </w:tabs>
        <w:ind w:left="0" w:firstLine="540"/>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kern w:val="0"/>
          <w:sz w:val="24"/>
          <w:szCs w:val="24"/>
          <w:highlight w:val="none"/>
        </w:rPr>
        <w:t>在</w:t>
      </w:r>
      <w:r>
        <w:rPr>
          <w:rFonts w:hint="eastAsia" w:ascii="仿宋_GB2312" w:hAnsi="仿宋_GB2312" w:eastAsia="仿宋_GB2312" w:cs="仿宋_GB2312"/>
          <w:color w:val="auto"/>
          <w:sz w:val="24"/>
          <w:szCs w:val="24"/>
          <w:highlight w:val="none"/>
        </w:rPr>
        <w:t>本协议约定的保密期限内，任何一方如发现有关项目信息被泄露，应及时通知对方，并采取积极措施避免损失扩大。双方将密切协作，以尽快查明事件的起因、过程、后果等情况。乙方所有参与本项目的人员应保证履行本协议约定的各项义务（名单及签名见附表），附表须加盖单位公章方为有效。如有违约行为，由乙方依照本协议第九条的约定承担责任。</w:t>
      </w:r>
    </w:p>
    <w:p w14:paraId="1FD6B90B">
      <w:pPr>
        <w:numPr>
          <w:ilvl w:val="0"/>
          <w:numId w:val="13"/>
        </w:numPr>
        <w:tabs>
          <w:tab w:val="left" w:pos="1620"/>
        </w:tabs>
        <w:ind w:left="0" w:firstLine="540"/>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乙方或乙方人员违反本协议约定的保密义务，由乙方向甲方支付项目经费30%的违约金。乙方并应承担因违约给甲方造成的实际损失和增加的费用。乙方及其人员违反保密义务的，甲方有权单方解除项目合同，追回已经支付的项目经费及利息。</w:t>
      </w:r>
    </w:p>
    <w:p w14:paraId="54D5F756">
      <w:pPr>
        <w:numPr>
          <w:ilvl w:val="0"/>
          <w:numId w:val="13"/>
        </w:numPr>
        <w:tabs>
          <w:tab w:val="left" w:pos="1620"/>
        </w:tabs>
        <w:ind w:left="0" w:firstLine="540"/>
        <w:rPr>
          <w:rFonts w:hint="eastAsia" w:ascii="仿宋_GB2312" w:hAnsi="仿宋_GB2312" w:eastAsia="仿宋_GB2312" w:cs="仿宋_GB2312"/>
          <w:color w:val="auto"/>
          <w:kern w:val="0"/>
          <w:sz w:val="24"/>
          <w:szCs w:val="24"/>
          <w:highlight w:val="none"/>
        </w:rPr>
      </w:pPr>
      <w:r>
        <w:rPr>
          <w:rFonts w:hint="eastAsia" w:ascii="仿宋_GB2312" w:hAnsi="仿宋_GB2312" w:eastAsia="仿宋_GB2312" w:cs="仿宋_GB2312"/>
          <w:color w:val="auto"/>
          <w:sz w:val="24"/>
          <w:szCs w:val="24"/>
          <w:highlight w:val="none"/>
        </w:rPr>
        <w:t>因履行本协议引起的纠纷，双方可以协商解决；协商不成的，按照项目合同中约定的争议解决方式处理。</w:t>
      </w:r>
    </w:p>
    <w:p w14:paraId="62B8C2E3">
      <w:pPr>
        <w:numPr>
          <w:ilvl w:val="0"/>
          <w:numId w:val="13"/>
        </w:numPr>
        <w:tabs>
          <w:tab w:val="left" w:pos="1620"/>
        </w:tabs>
        <w:ind w:left="0" w:firstLine="540"/>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本协议自双方签字盖章后生效，在本项目实施期间自始有法律约束力。双方就本项目所签订的主合同变更、解除或提前终止的，本协议的效力不受影响。</w:t>
      </w:r>
    </w:p>
    <w:p w14:paraId="24755E1D">
      <w:pPr>
        <w:numPr>
          <w:ilvl w:val="0"/>
          <w:numId w:val="13"/>
        </w:numPr>
        <w:tabs>
          <w:tab w:val="left" w:pos="1620"/>
        </w:tabs>
        <w:ind w:left="0" w:firstLine="540"/>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关于协议签署：（1）签字页由双方加盖单位公章或合同专用章，由法定代表人或授权代理人签字并注明签署日期。授权代理人签字的，须出具法定代表人授权委托书并加盖单位公章。（2）合同文本由双方加盖骑缝章。</w:t>
      </w:r>
    </w:p>
    <w:p w14:paraId="36E6F0D4">
      <w:pPr>
        <w:numPr>
          <w:ilvl w:val="0"/>
          <w:numId w:val="13"/>
        </w:numPr>
        <w:tabs>
          <w:tab w:val="left" w:pos="1620"/>
        </w:tabs>
        <w:spacing w:line="360" w:lineRule="auto"/>
        <w:ind w:left="0" w:firstLine="540"/>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本协议一式四份，甲乙双方各持两份，附表为本协议不可分割的部分。</w:t>
      </w:r>
    </w:p>
    <w:p w14:paraId="0F62B61E">
      <w:pPr>
        <w:spacing w:line="360" w:lineRule="auto"/>
        <w:rPr>
          <w:rFonts w:hint="eastAsia" w:ascii="仿宋_GB2312" w:hAnsi="仿宋_GB2312" w:eastAsia="仿宋_GB2312" w:cs="仿宋_GB2312"/>
          <w:color w:val="auto"/>
          <w:sz w:val="24"/>
          <w:szCs w:val="24"/>
          <w:highlight w:val="none"/>
        </w:rPr>
      </w:pPr>
    </w:p>
    <w:p w14:paraId="038DB37A">
      <w:pPr>
        <w:pStyle w:val="2"/>
        <w:rPr>
          <w:rFonts w:hint="eastAsia" w:ascii="仿宋_GB2312" w:hAnsi="仿宋_GB2312" w:eastAsia="仿宋_GB2312" w:cs="仿宋_GB2312"/>
          <w:color w:val="auto"/>
          <w:sz w:val="24"/>
          <w:szCs w:val="24"/>
          <w:highlight w:val="none"/>
        </w:rPr>
      </w:pPr>
    </w:p>
    <w:p w14:paraId="6E1650F6">
      <w:pPr>
        <w:snapToGrid w:val="0"/>
        <w:spacing w:line="360" w:lineRule="auto"/>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甲方（签章）：                       乙方（签章）：</w:t>
      </w:r>
    </w:p>
    <w:p w14:paraId="14A4A95C">
      <w:pPr>
        <w:snapToGrid w:val="0"/>
        <w:spacing w:line="360" w:lineRule="auto"/>
        <w:ind w:firstLine="570"/>
        <w:rPr>
          <w:rFonts w:hint="eastAsia" w:ascii="仿宋_GB2312" w:hAnsi="仿宋_GB2312" w:eastAsia="仿宋_GB2312" w:cs="仿宋_GB2312"/>
          <w:color w:val="auto"/>
          <w:sz w:val="24"/>
          <w:szCs w:val="24"/>
          <w:highlight w:val="none"/>
        </w:rPr>
      </w:pPr>
    </w:p>
    <w:p w14:paraId="7271E855">
      <w:pPr>
        <w:snapToGrid w:val="0"/>
        <w:spacing w:line="360" w:lineRule="auto"/>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法定代表人（签名）：                 法定代表人（签名）：</w:t>
      </w:r>
    </w:p>
    <w:p w14:paraId="5E97BA58">
      <w:pPr>
        <w:snapToGrid w:val="0"/>
        <w:spacing w:line="360" w:lineRule="auto"/>
        <w:ind w:firstLine="570"/>
        <w:rPr>
          <w:rFonts w:hint="eastAsia" w:ascii="仿宋_GB2312" w:hAnsi="仿宋_GB2312" w:eastAsia="仿宋_GB2312" w:cs="仿宋_GB2312"/>
          <w:color w:val="auto"/>
          <w:sz w:val="24"/>
          <w:szCs w:val="24"/>
          <w:highlight w:val="none"/>
        </w:rPr>
      </w:pPr>
    </w:p>
    <w:p w14:paraId="4852B057">
      <w:pPr>
        <w:spacing w:line="360" w:lineRule="auto"/>
        <w:rPr>
          <w:color w:val="auto"/>
          <w:highlight w:val="none"/>
        </w:rPr>
      </w:pPr>
      <w:r>
        <w:rPr>
          <w:rFonts w:hint="eastAsia" w:ascii="仿宋_GB2312" w:hAnsi="仿宋_GB2312" w:eastAsia="仿宋_GB2312" w:cs="仿宋_GB2312"/>
          <w:color w:val="auto"/>
          <w:sz w:val="24"/>
          <w:szCs w:val="24"/>
          <w:highlight w:val="none"/>
        </w:rPr>
        <w:t>年   月   日                        年   月   日</w:t>
      </w:r>
    </w:p>
    <w:bookmarkEnd w:id="40"/>
    <w:p w14:paraId="0459AF1E">
      <w:pPr>
        <w:pStyle w:val="3"/>
        <w:spacing w:before="156" w:after="156"/>
        <w:rPr>
          <w:rFonts w:cs="宋体"/>
          <w:color w:val="auto"/>
          <w:highlight w:val="none"/>
        </w:rPr>
      </w:pPr>
      <w:bookmarkStart w:id="41" w:name="_Toc135054607"/>
      <w:r>
        <w:rPr>
          <w:rFonts w:hint="eastAsia" w:cs="宋体"/>
          <w:color w:val="auto"/>
          <w:highlight w:val="none"/>
        </w:rPr>
        <w:t>第六章　投标文件格式</w:t>
      </w:r>
      <w:bookmarkEnd w:id="39"/>
      <w:bookmarkEnd w:id="41"/>
    </w:p>
    <w:p w14:paraId="08B06451">
      <w:pPr>
        <w:rPr>
          <w:rFonts w:ascii="宋体" w:hAnsi="宋体" w:cs="宋体"/>
          <w:color w:val="auto"/>
          <w:sz w:val="84"/>
          <w:szCs w:val="84"/>
          <w:highlight w:val="none"/>
        </w:rPr>
      </w:pPr>
    </w:p>
    <w:p w14:paraId="29F14731">
      <w:pPr>
        <w:jc w:val="center"/>
        <w:rPr>
          <w:b/>
          <w:bCs/>
          <w:color w:val="auto"/>
          <w:sz w:val="36"/>
          <w:szCs w:val="24"/>
          <w:highlight w:val="none"/>
        </w:rPr>
      </w:pPr>
      <w:r>
        <w:rPr>
          <w:rFonts w:hint="eastAsia"/>
          <w:b/>
          <w:bCs/>
          <w:color w:val="auto"/>
          <w:sz w:val="36"/>
          <w:szCs w:val="24"/>
          <w:highlight w:val="none"/>
        </w:rPr>
        <w:t>1. 资格、资信证明文件</w:t>
      </w:r>
    </w:p>
    <w:p w14:paraId="7C804689">
      <w:pPr>
        <w:jc w:val="center"/>
        <w:rPr>
          <w:color w:val="auto"/>
          <w:highlight w:val="none"/>
        </w:rPr>
      </w:pPr>
      <w:r>
        <w:rPr>
          <w:rFonts w:hint="eastAsia"/>
          <w:color w:val="auto"/>
          <w:highlight w:val="none"/>
        </w:rPr>
        <w:t>（单独为一册）</w:t>
      </w:r>
    </w:p>
    <w:p w14:paraId="29B8F028">
      <w:pPr>
        <w:rPr>
          <w:b/>
          <w:color w:val="auto"/>
          <w:highlight w:val="none"/>
        </w:rPr>
      </w:pPr>
    </w:p>
    <w:p w14:paraId="6805897F">
      <w:pPr>
        <w:jc w:val="center"/>
        <w:rPr>
          <w:b/>
          <w:color w:val="auto"/>
          <w:highlight w:val="none"/>
        </w:rPr>
      </w:pPr>
      <w:r>
        <w:rPr>
          <w:rFonts w:hint="eastAsia"/>
          <w:b/>
          <w:color w:val="auto"/>
          <w:highlight w:val="none"/>
        </w:rPr>
        <w:t>目录</w:t>
      </w:r>
    </w:p>
    <w:p w14:paraId="34C1B26D">
      <w:pPr>
        <w:pStyle w:val="69"/>
        <w:numPr>
          <w:ilvl w:val="0"/>
          <w:numId w:val="15"/>
        </w:numPr>
        <w:ind w:left="709" w:firstLineChars="0"/>
        <w:rPr>
          <w:rFonts w:ascii="宋体" w:hAnsi="宋体" w:cs="宋体"/>
          <w:b/>
          <w:bCs/>
          <w:color w:val="auto"/>
          <w:kern w:val="0"/>
          <w:sz w:val="21"/>
          <w:szCs w:val="21"/>
          <w:highlight w:val="none"/>
        </w:rPr>
      </w:pPr>
      <w:r>
        <w:rPr>
          <w:rFonts w:hint="eastAsia" w:ascii="宋体" w:hAnsi="宋体" w:cs="宋体"/>
          <w:b/>
          <w:bCs/>
          <w:color w:val="auto"/>
          <w:kern w:val="0"/>
          <w:sz w:val="21"/>
          <w:szCs w:val="21"/>
          <w:highlight w:val="none"/>
        </w:rPr>
        <w:t>法定代表人授权书</w:t>
      </w:r>
    </w:p>
    <w:p w14:paraId="06CA6C2A">
      <w:pPr>
        <w:pStyle w:val="69"/>
        <w:ind w:left="709" w:firstLine="0" w:firstLineChars="0"/>
        <w:rPr>
          <w:rFonts w:ascii="宋体" w:hAnsi="宋体" w:cs="宋体"/>
          <w:b/>
          <w:bCs/>
          <w:color w:val="auto"/>
          <w:kern w:val="0"/>
          <w:sz w:val="21"/>
          <w:szCs w:val="21"/>
          <w:highlight w:val="none"/>
        </w:rPr>
      </w:pPr>
      <w:r>
        <w:rPr>
          <w:rFonts w:hint="eastAsia" w:ascii="宋体" w:hAnsi="宋体" w:cs="宋体"/>
          <w:b/>
          <w:bCs/>
          <w:color w:val="auto"/>
          <w:kern w:val="0"/>
          <w:sz w:val="21"/>
          <w:szCs w:val="21"/>
          <w:highlight w:val="none"/>
        </w:rPr>
        <w:t>法定代表人资格证明书</w:t>
      </w:r>
    </w:p>
    <w:p w14:paraId="6D3B7EBE">
      <w:pPr>
        <w:pStyle w:val="69"/>
        <w:ind w:left="709" w:firstLine="0" w:firstLineChars="0"/>
        <w:rPr>
          <w:rFonts w:ascii="宋体" w:hAnsi="宋体" w:cs="宋体"/>
          <w:b/>
          <w:bCs/>
          <w:color w:val="auto"/>
          <w:kern w:val="0"/>
          <w:sz w:val="21"/>
          <w:szCs w:val="21"/>
          <w:highlight w:val="none"/>
        </w:rPr>
      </w:pPr>
      <w:r>
        <w:rPr>
          <w:rFonts w:hint="eastAsia" w:ascii="宋体" w:hAnsi="宋体" w:cs="宋体"/>
          <w:b/>
          <w:bCs/>
          <w:color w:val="auto"/>
          <w:kern w:val="0"/>
          <w:sz w:val="21"/>
          <w:szCs w:val="21"/>
          <w:highlight w:val="none"/>
        </w:rPr>
        <w:t>法定代表人授权委托书（非法定代表人参与提供）</w:t>
      </w:r>
    </w:p>
    <w:p w14:paraId="78E04F15">
      <w:pPr>
        <w:pStyle w:val="69"/>
        <w:numPr>
          <w:ilvl w:val="0"/>
          <w:numId w:val="15"/>
        </w:numPr>
        <w:ind w:left="709" w:firstLineChars="0"/>
        <w:rPr>
          <w:rFonts w:ascii="宋体" w:hAnsi="宋体" w:cs="宋体"/>
          <w:b/>
          <w:bCs/>
          <w:color w:val="auto"/>
          <w:kern w:val="0"/>
          <w:sz w:val="21"/>
          <w:szCs w:val="21"/>
          <w:highlight w:val="none"/>
        </w:rPr>
      </w:pPr>
      <w:r>
        <w:rPr>
          <w:rFonts w:hint="eastAsia" w:ascii="宋体" w:hAnsi="宋体" w:cs="宋体"/>
          <w:b/>
          <w:bCs/>
          <w:color w:val="auto"/>
          <w:kern w:val="0"/>
          <w:sz w:val="21"/>
          <w:szCs w:val="21"/>
          <w:highlight w:val="none"/>
        </w:rPr>
        <w:t>投标人如为企业法人，须提供企业法人营业执照副本复印件；投标人如为事业单位或其他组织，须提供事业法人证书或登记证或组织机构代码证或其他有效证明文件复印件（须在有效期内）</w:t>
      </w:r>
    </w:p>
    <w:p w14:paraId="33EA7CA8">
      <w:pPr>
        <w:pStyle w:val="69"/>
        <w:numPr>
          <w:ilvl w:val="0"/>
          <w:numId w:val="15"/>
        </w:numPr>
        <w:ind w:left="709" w:firstLineChars="0"/>
        <w:rPr>
          <w:rFonts w:ascii="宋体" w:hAnsi="宋体" w:cs="宋体"/>
          <w:b/>
          <w:bCs/>
          <w:color w:val="auto"/>
          <w:kern w:val="0"/>
          <w:sz w:val="21"/>
          <w:szCs w:val="21"/>
          <w:highlight w:val="none"/>
        </w:rPr>
      </w:pPr>
      <w:r>
        <w:rPr>
          <w:rFonts w:hint="eastAsia" w:ascii="宋体" w:hAnsi="宋体" w:cs="宋体"/>
          <w:b/>
          <w:bCs/>
          <w:color w:val="auto"/>
          <w:kern w:val="0"/>
          <w:sz w:val="21"/>
          <w:szCs w:val="21"/>
          <w:highlight w:val="none"/>
        </w:rPr>
        <w:t>投标人提供供应商资格声明书</w:t>
      </w:r>
    </w:p>
    <w:p w14:paraId="33824689">
      <w:pPr>
        <w:spacing w:line="480" w:lineRule="auto"/>
        <w:ind w:firstLine="2100" w:firstLineChars="250"/>
        <w:rPr>
          <w:rFonts w:ascii="宋体" w:hAnsi="宋体" w:cs="宋体"/>
          <w:color w:val="auto"/>
          <w:sz w:val="84"/>
          <w:szCs w:val="84"/>
          <w:highlight w:val="none"/>
        </w:rPr>
        <w:sectPr>
          <w:footerReference r:id="rId21" w:type="default"/>
          <w:pgSz w:w="11906" w:h="16838"/>
          <w:pgMar w:top="1440" w:right="1440" w:bottom="1440" w:left="1440" w:header="851" w:footer="992" w:gutter="0"/>
          <w:pgNumType w:fmt="decimal"/>
          <w:cols w:space="720" w:num="1"/>
          <w:docGrid w:type="lines" w:linePitch="312" w:charSpace="0"/>
        </w:sectPr>
      </w:pPr>
    </w:p>
    <w:p w14:paraId="5B9AC565">
      <w:pPr>
        <w:jc w:val="center"/>
        <w:rPr>
          <w:rFonts w:cs="宋体"/>
          <w:b/>
          <w:bCs/>
          <w:color w:val="auto"/>
          <w:highlight w:val="none"/>
        </w:rPr>
      </w:pPr>
      <w:r>
        <w:rPr>
          <w:rFonts w:cs="宋体"/>
          <w:b/>
          <w:bCs/>
          <w:color w:val="auto"/>
          <w:highlight w:val="none"/>
        </w:rPr>
        <w:t>1</w:t>
      </w:r>
      <w:r>
        <w:rPr>
          <w:rFonts w:hint="eastAsia" w:cs="宋体"/>
          <w:b/>
          <w:bCs/>
          <w:color w:val="auto"/>
          <w:highlight w:val="none"/>
        </w:rPr>
        <w:t>-</w:t>
      </w:r>
      <w:r>
        <w:rPr>
          <w:rFonts w:cs="宋体"/>
          <w:b/>
          <w:bCs/>
          <w:color w:val="auto"/>
          <w:highlight w:val="none"/>
        </w:rPr>
        <w:t>1</w:t>
      </w:r>
      <w:r>
        <w:rPr>
          <w:rFonts w:hint="eastAsia" w:cs="宋体"/>
          <w:b/>
          <w:bCs/>
          <w:color w:val="auto"/>
          <w:highlight w:val="none"/>
        </w:rPr>
        <w:t>.法定代表人授权书（格式）</w:t>
      </w:r>
    </w:p>
    <w:p w14:paraId="65190567">
      <w:pPr>
        <w:jc w:val="center"/>
        <w:rPr>
          <w:rFonts w:ascii="宋体" w:hAnsi="宋体" w:cs="宋体"/>
          <w:b/>
          <w:color w:val="auto"/>
          <w:highlight w:val="none"/>
        </w:rPr>
      </w:pPr>
      <w:r>
        <w:rPr>
          <w:rFonts w:ascii="宋体" w:hAnsi="宋体" w:cs="宋体"/>
          <w:b/>
          <w:color w:val="auto"/>
          <w:highlight w:val="none"/>
        </w:rPr>
        <w:t>1</w:t>
      </w:r>
      <w:r>
        <w:rPr>
          <w:rFonts w:hint="eastAsia" w:ascii="宋体" w:hAnsi="宋体" w:cs="宋体"/>
          <w:b/>
          <w:color w:val="auto"/>
          <w:highlight w:val="none"/>
        </w:rPr>
        <w:t>-1-</w:t>
      </w:r>
      <w:r>
        <w:rPr>
          <w:rFonts w:ascii="宋体" w:hAnsi="宋体" w:cs="宋体"/>
          <w:b/>
          <w:color w:val="auto"/>
          <w:highlight w:val="none"/>
        </w:rPr>
        <w:t>1</w:t>
      </w:r>
      <w:r>
        <w:rPr>
          <w:rFonts w:hint="eastAsia" w:ascii="宋体" w:hAnsi="宋体" w:cs="宋体"/>
          <w:b/>
          <w:color w:val="auto"/>
          <w:highlight w:val="none"/>
        </w:rPr>
        <w:t>法定代表人资格证明书（格式）</w:t>
      </w:r>
    </w:p>
    <w:p w14:paraId="73E0E0FB">
      <w:pPr>
        <w:spacing w:line="460" w:lineRule="exact"/>
        <w:rPr>
          <w:rFonts w:ascii="宋体" w:hAnsi="宋体" w:cs="宋体"/>
          <w:color w:val="auto"/>
          <w:sz w:val="21"/>
          <w:szCs w:val="21"/>
          <w:highlight w:val="none"/>
        </w:rPr>
      </w:pPr>
    </w:p>
    <w:p w14:paraId="1D7E55B1">
      <w:pPr>
        <w:rPr>
          <w:rFonts w:ascii="宋体" w:hAnsi="宋体" w:cs="宋体"/>
          <w:color w:val="auto"/>
          <w:szCs w:val="24"/>
          <w:highlight w:val="none"/>
          <w:u w:val="single"/>
        </w:rPr>
      </w:pPr>
      <w:r>
        <w:rPr>
          <w:rFonts w:hint="eastAsia" w:ascii="宋体" w:hAnsi="宋体" w:cs="宋体"/>
          <w:color w:val="auto"/>
          <w:szCs w:val="24"/>
          <w:highlight w:val="none"/>
        </w:rPr>
        <w:t>投标人名称：</w:t>
      </w:r>
    </w:p>
    <w:p w14:paraId="10479FB5">
      <w:pPr>
        <w:rPr>
          <w:rFonts w:ascii="宋体" w:hAnsi="宋体" w:cs="宋体"/>
          <w:color w:val="auto"/>
          <w:szCs w:val="24"/>
          <w:highlight w:val="none"/>
          <w:u w:val="single"/>
        </w:rPr>
      </w:pPr>
      <w:r>
        <w:rPr>
          <w:rFonts w:hint="eastAsia" w:ascii="宋体" w:hAnsi="宋体" w:cs="宋体"/>
          <w:color w:val="auto"/>
          <w:szCs w:val="24"/>
          <w:highlight w:val="none"/>
        </w:rPr>
        <w:t>单位性质：</w:t>
      </w:r>
    </w:p>
    <w:p w14:paraId="19CFC4AB">
      <w:pPr>
        <w:rPr>
          <w:rFonts w:ascii="宋体" w:hAnsi="宋体" w:cs="宋体"/>
          <w:color w:val="auto"/>
          <w:szCs w:val="24"/>
          <w:highlight w:val="none"/>
        </w:rPr>
      </w:pPr>
      <w:r>
        <w:rPr>
          <w:rFonts w:hint="eastAsia" w:ascii="宋体" w:hAnsi="宋体" w:cs="宋体"/>
          <w:color w:val="auto"/>
          <w:szCs w:val="24"/>
          <w:highlight w:val="none"/>
        </w:rPr>
        <w:t>单位地址：</w:t>
      </w:r>
    </w:p>
    <w:p w14:paraId="2AB77A4F">
      <w:pPr>
        <w:rPr>
          <w:rFonts w:ascii="宋体" w:hAnsi="宋体" w:cs="宋体"/>
          <w:color w:val="auto"/>
          <w:szCs w:val="24"/>
          <w:highlight w:val="none"/>
        </w:rPr>
      </w:pPr>
      <w:r>
        <w:rPr>
          <w:rFonts w:hint="eastAsia" w:ascii="宋体" w:hAnsi="宋体" w:cs="宋体"/>
          <w:color w:val="auto"/>
          <w:szCs w:val="24"/>
          <w:highlight w:val="none"/>
        </w:rPr>
        <w:t>成立时间：年月日</w:t>
      </w:r>
    </w:p>
    <w:p w14:paraId="464EA0F6">
      <w:pPr>
        <w:rPr>
          <w:rFonts w:ascii="宋体" w:hAnsi="宋体" w:cs="宋体"/>
          <w:color w:val="auto"/>
          <w:szCs w:val="24"/>
          <w:highlight w:val="none"/>
        </w:rPr>
      </w:pPr>
      <w:r>
        <w:rPr>
          <w:rFonts w:hint="eastAsia" w:ascii="宋体" w:hAnsi="宋体" w:cs="宋体"/>
          <w:color w:val="auto"/>
          <w:szCs w:val="24"/>
          <w:highlight w:val="none"/>
        </w:rPr>
        <w:t>经营期限：</w:t>
      </w:r>
    </w:p>
    <w:p w14:paraId="47AA352A">
      <w:pPr>
        <w:rPr>
          <w:rFonts w:ascii="宋体" w:hAnsi="宋体" w:cs="宋体"/>
          <w:color w:val="auto"/>
          <w:szCs w:val="24"/>
          <w:highlight w:val="none"/>
        </w:rPr>
      </w:pPr>
      <w:r>
        <w:rPr>
          <w:rFonts w:hint="eastAsia" w:ascii="宋体" w:hAnsi="宋体" w:cs="宋体"/>
          <w:color w:val="auto"/>
          <w:szCs w:val="24"/>
          <w:highlight w:val="none"/>
        </w:rPr>
        <w:t>姓名：，性别：，年龄：，职务：。系</w:t>
      </w:r>
      <w:r>
        <w:rPr>
          <w:rFonts w:hint="eastAsia" w:ascii="宋体" w:hAnsi="宋体" w:cs="宋体"/>
          <w:i/>
          <w:color w:val="auto"/>
          <w:szCs w:val="24"/>
          <w:highlight w:val="none"/>
          <w:u w:val="single"/>
        </w:rPr>
        <w:t>（投标人名称）</w:t>
      </w:r>
      <w:r>
        <w:rPr>
          <w:rFonts w:hint="eastAsia" w:ascii="宋体" w:hAnsi="宋体" w:cs="宋体"/>
          <w:color w:val="auto"/>
          <w:szCs w:val="24"/>
          <w:highlight w:val="none"/>
        </w:rPr>
        <w:t>的法定代表人。</w:t>
      </w:r>
    </w:p>
    <w:p w14:paraId="3917952D">
      <w:pPr>
        <w:rPr>
          <w:rFonts w:ascii="宋体" w:hAnsi="宋体" w:cs="宋体"/>
          <w:color w:val="auto"/>
          <w:szCs w:val="24"/>
          <w:highlight w:val="none"/>
        </w:rPr>
      </w:pPr>
      <w:r>
        <w:rPr>
          <w:rFonts w:hint="eastAsia" w:ascii="宋体" w:hAnsi="宋体" w:cs="宋体"/>
          <w:color w:val="auto"/>
          <w:szCs w:val="24"/>
          <w:highlight w:val="none"/>
        </w:rPr>
        <w:t>特此证明。</w:t>
      </w:r>
    </w:p>
    <w:p w14:paraId="634E16F8">
      <w:pPr>
        <w:tabs>
          <w:tab w:val="right" w:pos="8306"/>
        </w:tabs>
        <w:rPr>
          <w:rFonts w:ascii="宋体" w:hAnsi="宋体" w:cs="宋体"/>
          <w:color w:val="auto"/>
          <w:szCs w:val="24"/>
          <w:highlight w:val="none"/>
        </w:rPr>
      </w:pPr>
    </w:p>
    <w:p w14:paraId="2F591FF7">
      <w:pPr>
        <w:tabs>
          <w:tab w:val="right" w:pos="8306"/>
        </w:tabs>
        <w:rPr>
          <w:rFonts w:ascii="宋体" w:hAnsi="宋体" w:cs="宋体"/>
          <w:color w:val="auto"/>
          <w:szCs w:val="24"/>
          <w:highlight w:val="none"/>
        </w:rPr>
      </w:pPr>
      <w:r>
        <w:rPr>
          <w:rFonts w:hint="eastAsia" w:ascii="宋体" w:hAnsi="宋体" w:cs="宋体"/>
          <w:color w:val="auto"/>
          <w:kern w:val="0"/>
          <w:szCs w:val="24"/>
          <w:highlight w:val="none"/>
        </w:rPr>
        <w:t>投标人盖章：</w:t>
      </w:r>
    </w:p>
    <w:p w14:paraId="39610BB9">
      <w:pPr>
        <w:tabs>
          <w:tab w:val="right" w:pos="8306"/>
        </w:tabs>
        <w:rPr>
          <w:rFonts w:ascii="宋体" w:hAnsi="宋体" w:cs="宋体"/>
          <w:color w:val="auto"/>
          <w:kern w:val="0"/>
          <w:szCs w:val="24"/>
          <w:highlight w:val="none"/>
        </w:rPr>
      </w:pPr>
      <w:r>
        <w:rPr>
          <w:rFonts w:hint="eastAsia" w:ascii="宋体" w:hAnsi="宋体" w:cs="宋体"/>
          <w:color w:val="auto"/>
          <w:kern w:val="0"/>
          <w:szCs w:val="24"/>
          <w:highlight w:val="none"/>
        </w:rPr>
        <w:t>日期：</w:t>
      </w:r>
    </w:p>
    <w:p w14:paraId="4D04AEC3">
      <w:pPr>
        <w:rPr>
          <w:rFonts w:ascii="宋体" w:hAnsi="宋体" w:cs="宋体"/>
          <w:b/>
          <w:color w:val="auto"/>
          <w:kern w:val="0"/>
          <w:szCs w:val="24"/>
          <w:highlight w:val="none"/>
        </w:rPr>
      </w:pPr>
    </w:p>
    <w:p w14:paraId="51F214AB">
      <w:pPr>
        <w:rPr>
          <w:rFonts w:ascii="宋体" w:hAnsi="宋体" w:cs="宋体"/>
          <w:b/>
          <w:color w:val="auto"/>
          <w:kern w:val="0"/>
          <w:szCs w:val="24"/>
          <w:highlight w:val="none"/>
        </w:rPr>
      </w:pPr>
      <w:r>
        <w:rPr>
          <w:rFonts w:hint="eastAsia" w:ascii="宋体" w:hAnsi="宋体" w:cs="宋体"/>
          <w:b/>
          <w:color w:val="auto"/>
          <w:kern w:val="0"/>
          <w:szCs w:val="24"/>
          <w:highlight w:val="none"/>
        </w:rPr>
        <w:t>附法定代表人身份证：</w:t>
      </w:r>
    </w:p>
    <w:tbl>
      <w:tblPr>
        <w:tblStyle w:val="27"/>
        <w:tblW w:w="937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376"/>
      </w:tblGrid>
      <w:tr w14:paraId="5EB7D0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82" w:hRule="atLeast"/>
        </w:trPr>
        <w:tc>
          <w:tcPr>
            <w:tcW w:w="9376" w:type="dxa"/>
            <w:vAlign w:val="center"/>
          </w:tcPr>
          <w:p w14:paraId="2040FAD7">
            <w:pPr>
              <w:jc w:val="center"/>
              <w:rPr>
                <w:rFonts w:ascii="宋体" w:hAnsi="宋体" w:cs="宋体"/>
                <w:color w:val="auto"/>
                <w:kern w:val="0"/>
                <w:szCs w:val="24"/>
                <w:highlight w:val="none"/>
              </w:rPr>
            </w:pPr>
            <w:r>
              <w:rPr>
                <w:rFonts w:hint="eastAsia" w:ascii="宋体" w:hAnsi="宋体" w:cs="宋体"/>
                <w:color w:val="auto"/>
                <w:kern w:val="0"/>
                <w:szCs w:val="24"/>
                <w:highlight w:val="none"/>
              </w:rPr>
              <w:t>法定代表人身份证正、反面粘贴处</w:t>
            </w:r>
          </w:p>
        </w:tc>
      </w:tr>
    </w:tbl>
    <w:p w14:paraId="59A3386A">
      <w:pPr>
        <w:rPr>
          <w:rFonts w:ascii="宋体" w:hAnsi="宋体" w:cs="宋体"/>
          <w:color w:val="auto"/>
          <w:highlight w:val="none"/>
        </w:rPr>
        <w:sectPr>
          <w:pgSz w:w="11906" w:h="16838"/>
          <w:pgMar w:top="1440" w:right="1440" w:bottom="1440" w:left="1440" w:header="851" w:footer="992" w:gutter="0"/>
          <w:pgNumType w:fmt="decimal"/>
          <w:cols w:space="720" w:num="1"/>
          <w:docGrid w:type="lines" w:linePitch="312" w:charSpace="0"/>
        </w:sectPr>
      </w:pPr>
    </w:p>
    <w:p w14:paraId="32E7252E">
      <w:pPr>
        <w:jc w:val="center"/>
        <w:rPr>
          <w:rFonts w:ascii="宋体" w:hAnsi="宋体" w:cs="宋体"/>
          <w:b/>
          <w:color w:val="auto"/>
          <w:highlight w:val="none"/>
        </w:rPr>
      </w:pPr>
      <w:r>
        <w:rPr>
          <w:rFonts w:ascii="宋体" w:hAnsi="宋体" w:cs="宋体"/>
          <w:b/>
          <w:color w:val="auto"/>
          <w:highlight w:val="none"/>
        </w:rPr>
        <w:t>1</w:t>
      </w:r>
      <w:r>
        <w:rPr>
          <w:rFonts w:hint="eastAsia" w:ascii="宋体" w:hAnsi="宋体" w:cs="宋体"/>
          <w:b/>
          <w:color w:val="auto"/>
          <w:highlight w:val="none"/>
        </w:rPr>
        <w:t>-</w:t>
      </w:r>
      <w:r>
        <w:rPr>
          <w:rFonts w:ascii="宋体" w:hAnsi="宋体" w:cs="宋体"/>
          <w:b/>
          <w:color w:val="auto"/>
          <w:highlight w:val="none"/>
        </w:rPr>
        <w:t>1</w:t>
      </w:r>
      <w:r>
        <w:rPr>
          <w:rFonts w:hint="eastAsia" w:ascii="宋体" w:hAnsi="宋体" w:cs="宋体"/>
          <w:b/>
          <w:color w:val="auto"/>
          <w:highlight w:val="none"/>
        </w:rPr>
        <w:t>-2 法定代表人授权委托书（如适用）</w:t>
      </w:r>
    </w:p>
    <w:p w14:paraId="30F9FEB8">
      <w:pPr>
        <w:spacing w:line="440" w:lineRule="exact"/>
        <w:ind w:left="566" w:leftChars="-1" w:hanging="568" w:hangingChars="237"/>
        <w:jc w:val="center"/>
        <w:rPr>
          <w:rFonts w:ascii="宋体" w:hAnsi="宋体" w:cs="宋体"/>
          <w:b/>
          <w:color w:val="auto"/>
          <w:szCs w:val="24"/>
          <w:highlight w:val="none"/>
        </w:rPr>
      </w:pPr>
      <w:r>
        <w:rPr>
          <w:rFonts w:hint="eastAsia" w:ascii="宋体" w:hAnsi="宋体" w:cs="宋体"/>
          <w:color w:val="auto"/>
          <w:szCs w:val="24"/>
          <w:highlight w:val="none"/>
        </w:rPr>
        <w:t>（注：法定代表人参与投标的无需提供）</w:t>
      </w:r>
    </w:p>
    <w:p w14:paraId="05A95190">
      <w:pPr>
        <w:autoSpaceDE w:val="0"/>
        <w:autoSpaceDN w:val="0"/>
        <w:adjustRightInd w:val="0"/>
        <w:ind w:firstLine="480" w:firstLineChars="200"/>
        <w:rPr>
          <w:rFonts w:ascii="宋体" w:hAnsi="宋体" w:cs="宋体"/>
          <w:color w:val="auto"/>
          <w:kern w:val="0"/>
          <w:szCs w:val="24"/>
          <w:highlight w:val="none"/>
        </w:rPr>
      </w:pPr>
    </w:p>
    <w:p w14:paraId="6D879DE4">
      <w:pPr>
        <w:autoSpaceDE w:val="0"/>
        <w:autoSpaceDN w:val="0"/>
        <w:adjustRightInd w:val="0"/>
        <w:ind w:firstLine="480" w:firstLineChars="200"/>
        <w:rPr>
          <w:rFonts w:ascii="宋体" w:hAnsi="宋体" w:cs="宋体"/>
          <w:color w:val="auto"/>
          <w:kern w:val="0"/>
          <w:szCs w:val="24"/>
          <w:highlight w:val="none"/>
        </w:rPr>
      </w:pPr>
      <w:r>
        <w:rPr>
          <w:rFonts w:hint="eastAsia" w:ascii="宋体" w:hAnsi="宋体" w:cs="宋体"/>
          <w:color w:val="auto"/>
          <w:kern w:val="0"/>
          <w:szCs w:val="24"/>
          <w:highlight w:val="none"/>
        </w:rPr>
        <w:t>本授权书声明：注册于</w:t>
      </w:r>
      <w:r>
        <w:rPr>
          <w:rFonts w:hint="eastAsia" w:ascii="宋体" w:hAnsi="宋体" w:cs="宋体"/>
          <w:color w:val="auto"/>
          <w:kern w:val="0"/>
          <w:szCs w:val="24"/>
          <w:highlight w:val="none"/>
          <w:u w:val="single"/>
        </w:rPr>
        <w:t>（</w:t>
      </w:r>
      <w:r>
        <w:rPr>
          <w:rFonts w:hint="eastAsia" w:ascii="宋体" w:hAnsi="宋体" w:cs="宋体"/>
          <w:b/>
          <w:i/>
          <w:color w:val="auto"/>
          <w:kern w:val="0"/>
          <w:szCs w:val="24"/>
          <w:highlight w:val="none"/>
          <w:u w:val="single"/>
        </w:rPr>
        <w:t>国家或地区的名称</w:t>
      </w:r>
      <w:r>
        <w:rPr>
          <w:rFonts w:hint="eastAsia" w:ascii="宋体" w:hAnsi="宋体" w:cs="宋体"/>
          <w:color w:val="auto"/>
          <w:kern w:val="0"/>
          <w:szCs w:val="24"/>
          <w:highlight w:val="none"/>
          <w:u w:val="single"/>
        </w:rPr>
        <w:t>）</w:t>
      </w:r>
      <w:r>
        <w:rPr>
          <w:rFonts w:hint="eastAsia" w:ascii="宋体" w:hAnsi="宋体" w:cs="宋体"/>
          <w:color w:val="auto"/>
          <w:kern w:val="0"/>
          <w:szCs w:val="24"/>
          <w:highlight w:val="none"/>
        </w:rPr>
        <w:t>的</w:t>
      </w:r>
      <w:r>
        <w:rPr>
          <w:rFonts w:hint="eastAsia" w:ascii="宋体" w:hAnsi="宋体" w:cs="宋体"/>
          <w:color w:val="auto"/>
          <w:kern w:val="0"/>
          <w:szCs w:val="24"/>
          <w:highlight w:val="none"/>
          <w:u w:val="single"/>
        </w:rPr>
        <w:t>（</w:t>
      </w:r>
      <w:r>
        <w:rPr>
          <w:rFonts w:hint="eastAsia" w:ascii="宋体" w:hAnsi="宋体" w:cs="宋体"/>
          <w:b/>
          <w:i/>
          <w:color w:val="auto"/>
          <w:kern w:val="0"/>
          <w:szCs w:val="24"/>
          <w:highlight w:val="none"/>
          <w:u w:val="single"/>
        </w:rPr>
        <w:t>投标人</w:t>
      </w:r>
      <w:r>
        <w:rPr>
          <w:rFonts w:hint="eastAsia" w:ascii="宋体" w:hAnsi="宋体" w:cs="宋体"/>
          <w:color w:val="auto"/>
          <w:kern w:val="0"/>
          <w:szCs w:val="24"/>
          <w:highlight w:val="none"/>
          <w:u w:val="single"/>
        </w:rPr>
        <w:t>）</w:t>
      </w:r>
      <w:r>
        <w:rPr>
          <w:rFonts w:hint="eastAsia" w:ascii="宋体" w:hAnsi="宋体" w:cs="宋体"/>
          <w:color w:val="auto"/>
          <w:kern w:val="0"/>
          <w:szCs w:val="24"/>
          <w:highlight w:val="none"/>
        </w:rPr>
        <w:t>的在下面签字的</w:t>
      </w:r>
      <w:r>
        <w:rPr>
          <w:rFonts w:hint="eastAsia" w:ascii="宋体" w:hAnsi="宋体" w:cs="宋体"/>
          <w:color w:val="auto"/>
          <w:kern w:val="0"/>
          <w:szCs w:val="24"/>
          <w:highlight w:val="none"/>
          <w:u w:val="single"/>
        </w:rPr>
        <w:t>（</w:t>
      </w:r>
      <w:r>
        <w:rPr>
          <w:rFonts w:hint="eastAsia" w:ascii="宋体" w:hAnsi="宋体" w:cs="宋体"/>
          <w:b/>
          <w:i/>
          <w:color w:val="auto"/>
          <w:kern w:val="0"/>
          <w:szCs w:val="24"/>
          <w:highlight w:val="none"/>
          <w:u w:val="single"/>
        </w:rPr>
        <w:t>法定代表人姓名、职</w:t>
      </w:r>
      <w:r>
        <w:rPr>
          <w:rFonts w:hint="eastAsia" w:ascii="宋体" w:hAnsi="宋体" w:cs="宋体"/>
          <w:b/>
          <w:color w:val="auto"/>
          <w:kern w:val="0"/>
          <w:szCs w:val="24"/>
          <w:highlight w:val="none"/>
          <w:u w:val="single"/>
        </w:rPr>
        <w:t>务</w:t>
      </w:r>
      <w:r>
        <w:rPr>
          <w:rFonts w:hint="eastAsia" w:ascii="宋体" w:hAnsi="宋体" w:cs="宋体"/>
          <w:color w:val="auto"/>
          <w:kern w:val="0"/>
          <w:szCs w:val="24"/>
          <w:highlight w:val="none"/>
          <w:u w:val="single"/>
        </w:rPr>
        <w:t>）</w:t>
      </w:r>
      <w:r>
        <w:rPr>
          <w:rFonts w:hint="eastAsia" w:ascii="宋体" w:hAnsi="宋体" w:cs="宋体"/>
          <w:color w:val="auto"/>
          <w:kern w:val="0"/>
          <w:szCs w:val="24"/>
          <w:highlight w:val="none"/>
        </w:rPr>
        <w:t>代表本公司授权</w:t>
      </w:r>
      <w:r>
        <w:rPr>
          <w:rFonts w:hint="eastAsia" w:ascii="宋体" w:hAnsi="宋体" w:cs="宋体"/>
          <w:color w:val="auto"/>
          <w:kern w:val="0"/>
          <w:szCs w:val="24"/>
          <w:highlight w:val="none"/>
          <w:u w:val="single"/>
        </w:rPr>
        <w:t>（</w:t>
      </w:r>
      <w:r>
        <w:rPr>
          <w:rFonts w:hint="eastAsia" w:ascii="宋体" w:hAnsi="宋体" w:cs="宋体"/>
          <w:b/>
          <w:i/>
          <w:color w:val="auto"/>
          <w:kern w:val="0"/>
          <w:szCs w:val="24"/>
          <w:highlight w:val="none"/>
          <w:u w:val="single"/>
        </w:rPr>
        <w:t>被授权人的姓名、职务</w:t>
      </w:r>
      <w:r>
        <w:rPr>
          <w:rFonts w:hint="eastAsia" w:ascii="宋体" w:hAnsi="宋体" w:cs="宋体"/>
          <w:color w:val="auto"/>
          <w:kern w:val="0"/>
          <w:szCs w:val="24"/>
          <w:highlight w:val="none"/>
          <w:u w:val="single"/>
        </w:rPr>
        <w:t>）</w:t>
      </w:r>
      <w:r>
        <w:rPr>
          <w:rFonts w:hint="eastAsia" w:ascii="宋体" w:hAnsi="宋体" w:cs="宋体"/>
          <w:color w:val="auto"/>
          <w:kern w:val="0"/>
          <w:szCs w:val="24"/>
          <w:highlight w:val="none"/>
        </w:rPr>
        <w:t>为本公司的合法代理人，就</w:t>
      </w:r>
      <w:r>
        <w:rPr>
          <w:rFonts w:hint="eastAsia" w:ascii="宋体" w:hAnsi="宋体" w:cs="宋体"/>
          <w:color w:val="auto"/>
          <w:kern w:val="0"/>
          <w:szCs w:val="24"/>
          <w:highlight w:val="none"/>
          <w:u w:val="single"/>
        </w:rPr>
        <w:t>（</w:t>
      </w:r>
      <w:r>
        <w:rPr>
          <w:rFonts w:hint="eastAsia" w:ascii="宋体" w:hAnsi="宋体" w:cs="宋体"/>
          <w:b/>
          <w:i/>
          <w:color w:val="auto"/>
          <w:kern w:val="0"/>
          <w:szCs w:val="24"/>
          <w:highlight w:val="none"/>
          <w:u w:val="single"/>
        </w:rPr>
        <w:t>项目名称，项目编号</w:t>
      </w:r>
      <w:r>
        <w:rPr>
          <w:rFonts w:hint="eastAsia" w:ascii="宋体" w:hAnsi="宋体" w:cs="宋体"/>
          <w:color w:val="auto"/>
          <w:kern w:val="0"/>
          <w:szCs w:val="24"/>
          <w:highlight w:val="none"/>
          <w:u w:val="single"/>
        </w:rPr>
        <w:t>）</w:t>
      </w:r>
      <w:r>
        <w:rPr>
          <w:rFonts w:hint="eastAsia" w:ascii="宋体" w:hAnsi="宋体" w:cs="宋体"/>
          <w:color w:val="auto"/>
          <w:kern w:val="0"/>
          <w:szCs w:val="24"/>
          <w:highlight w:val="none"/>
        </w:rPr>
        <w:t>参与投标，并以本公司名义处理一切与投标有关的事务。</w:t>
      </w:r>
    </w:p>
    <w:p w14:paraId="36C0A998">
      <w:pPr>
        <w:autoSpaceDE w:val="0"/>
        <w:autoSpaceDN w:val="0"/>
        <w:adjustRightInd w:val="0"/>
        <w:rPr>
          <w:rFonts w:ascii="宋体" w:hAnsi="宋体" w:cs="宋体"/>
          <w:color w:val="auto"/>
          <w:kern w:val="0"/>
          <w:szCs w:val="24"/>
          <w:highlight w:val="none"/>
        </w:rPr>
      </w:pPr>
      <w:r>
        <w:rPr>
          <w:rFonts w:hint="eastAsia" w:ascii="宋体" w:hAnsi="宋体" w:cs="宋体"/>
          <w:color w:val="auto"/>
          <w:kern w:val="0"/>
          <w:szCs w:val="24"/>
          <w:highlight w:val="none"/>
        </w:rPr>
        <w:t>本授权自签字之日起生效,特此声明。</w:t>
      </w:r>
    </w:p>
    <w:p w14:paraId="4FBD9911">
      <w:pPr>
        <w:autoSpaceDE w:val="0"/>
        <w:autoSpaceDN w:val="0"/>
        <w:adjustRightInd w:val="0"/>
        <w:rPr>
          <w:rFonts w:ascii="宋体" w:hAnsi="宋体" w:cs="宋体"/>
          <w:color w:val="auto"/>
          <w:kern w:val="0"/>
          <w:szCs w:val="24"/>
          <w:highlight w:val="none"/>
        </w:rPr>
      </w:pPr>
      <w:r>
        <w:rPr>
          <w:rFonts w:hint="eastAsia" w:ascii="宋体" w:hAnsi="宋体" w:cs="宋体"/>
          <w:color w:val="auto"/>
          <w:kern w:val="0"/>
          <w:szCs w:val="24"/>
          <w:highlight w:val="none"/>
        </w:rPr>
        <w:t>代理人无转委托权。</w:t>
      </w:r>
    </w:p>
    <w:p w14:paraId="4DBD5CCE">
      <w:pPr>
        <w:autoSpaceDE w:val="0"/>
        <w:autoSpaceDN w:val="0"/>
        <w:adjustRightInd w:val="0"/>
        <w:rPr>
          <w:rFonts w:ascii="宋体" w:hAnsi="宋体" w:cs="宋体"/>
          <w:color w:val="auto"/>
          <w:kern w:val="0"/>
          <w:szCs w:val="24"/>
          <w:highlight w:val="none"/>
        </w:rPr>
      </w:pPr>
    </w:p>
    <w:p w14:paraId="73983356">
      <w:pPr>
        <w:autoSpaceDE w:val="0"/>
        <w:autoSpaceDN w:val="0"/>
        <w:adjustRightInd w:val="0"/>
        <w:rPr>
          <w:rFonts w:ascii="宋体" w:hAnsi="宋体" w:cs="宋体"/>
          <w:color w:val="auto"/>
          <w:kern w:val="0"/>
          <w:szCs w:val="24"/>
          <w:highlight w:val="none"/>
        </w:rPr>
      </w:pPr>
      <w:r>
        <w:rPr>
          <w:rFonts w:hint="eastAsia" w:ascii="宋体" w:hAnsi="宋体" w:cs="宋体"/>
          <w:color w:val="auto"/>
          <w:kern w:val="0"/>
          <w:szCs w:val="24"/>
          <w:highlight w:val="none"/>
        </w:rPr>
        <w:t>法定代表人（签字或盖章）：</w:t>
      </w:r>
    </w:p>
    <w:p w14:paraId="6197820C">
      <w:pPr>
        <w:autoSpaceDE w:val="0"/>
        <w:autoSpaceDN w:val="0"/>
        <w:adjustRightInd w:val="0"/>
        <w:rPr>
          <w:rFonts w:ascii="宋体" w:hAnsi="宋体" w:cs="宋体"/>
          <w:color w:val="auto"/>
          <w:kern w:val="0"/>
          <w:szCs w:val="24"/>
          <w:highlight w:val="none"/>
        </w:rPr>
      </w:pPr>
      <w:r>
        <w:rPr>
          <w:rFonts w:hint="eastAsia" w:ascii="宋体" w:hAnsi="宋体" w:cs="宋体"/>
          <w:color w:val="auto"/>
          <w:kern w:val="0"/>
          <w:szCs w:val="24"/>
          <w:highlight w:val="none"/>
        </w:rPr>
        <w:t>授权代表（签字）：</w:t>
      </w:r>
    </w:p>
    <w:p w14:paraId="5EDCFEA7">
      <w:pPr>
        <w:autoSpaceDE w:val="0"/>
        <w:autoSpaceDN w:val="0"/>
        <w:adjustRightInd w:val="0"/>
        <w:rPr>
          <w:rFonts w:ascii="宋体" w:hAnsi="宋体" w:cs="宋体"/>
          <w:color w:val="auto"/>
          <w:kern w:val="0"/>
          <w:szCs w:val="24"/>
          <w:highlight w:val="none"/>
        </w:rPr>
      </w:pPr>
      <w:r>
        <w:rPr>
          <w:rFonts w:hint="eastAsia" w:ascii="宋体" w:hAnsi="宋体" w:cs="宋体"/>
          <w:color w:val="auto"/>
          <w:kern w:val="0"/>
          <w:szCs w:val="24"/>
          <w:highlight w:val="none"/>
        </w:rPr>
        <w:t>投标人盖章：</w:t>
      </w:r>
    </w:p>
    <w:p w14:paraId="225E74BC">
      <w:pPr>
        <w:autoSpaceDE w:val="0"/>
        <w:autoSpaceDN w:val="0"/>
        <w:adjustRightInd w:val="0"/>
        <w:rPr>
          <w:rFonts w:ascii="宋体" w:hAnsi="宋体" w:cs="宋体"/>
          <w:color w:val="auto"/>
          <w:kern w:val="0"/>
          <w:szCs w:val="24"/>
          <w:highlight w:val="none"/>
        </w:rPr>
      </w:pPr>
      <w:r>
        <w:rPr>
          <w:rFonts w:hint="eastAsia" w:ascii="宋体" w:hAnsi="宋体" w:cs="宋体"/>
          <w:color w:val="auto"/>
          <w:kern w:val="0"/>
          <w:szCs w:val="24"/>
          <w:highlight w:val="none"/>
        </w:rPr>
        <w:t>日期：</w:t>
      </w:r>
    </w:p>
    <w:p w14:paraId="73F96702">
      <w:pPr>
        <w:spacing w:line="460" w:lineRule="exact"/>
        <w:rPr>
          <w:rFonts w:ascii="宋体" w:hAnsi="宋体" w:cs="宋体"/>
          <w:b/>
          <w:color w:val="auto"/>
          <w:kern w:val="0"/>
          <w:szCs w:val="24"/>
          <w:highlight w:val="none"/>
        </w:rPr>
      </w:pPr>
    </w:p>
    <w:p w14:paraId="696E4738">
      <w:pPr>
        <w:spacing w:line="460" w:lineRule="exact"/>
        <w:rPr>
          <w:rFonts w:ascii="宋体" w:hAnsi="宋体" w:cs="宋体"/>
          <w:b/>
          <w:color w:val="auto"/>
          <w:kern w:val="0"/>
          <w:szCs w:val="24"/>
          <w:highlight w:val="none"/>
        </w:rPr>
      </w:pPr>
      <w:r>
        <w:rPr>
          <w:rFonts w:hint="eastAsia" w:ascii="宋体" w:hAnsi="宋体" w:cs="宋体"/>
          <w:b/>
          <w:color w:val="auto"/>
          <w:kern w:val="0"/>
          <w:szCs w:val="24"/>
          <w:highlight w:val="none"/>
        </w:rPr>
        <w:t>附授权代表身份证：</w:t>
      </w:r>
    </w:p>
    <w:tbl>
      <w:tblPr>
        <w:tblStyle w:val="27"/>
        <w:tblW w:w="900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001"/>
      </w:tblGrid>
      <w:tr w14:paraId="498F0C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83" w:hRule="atLeast"/>
        </w:trPr>
        <w:tc>
          <w:tcPr>
            <w:tcW w:w="9001" w:type="dxa"/>
            <w:vAlign w:val="center"/>
          </w:tcPr>
          <w:p w14:paraId="5F1BBB15">
            <w:pPr>
              <w:jc w:val="center"/>
              <w:rPr>
                <w:rFonts w:ascii="宋体" w:hAnsi="宋体" w:cs="宋体"/>
                <w:color w:val="auto"/>
                <w:kern w:val="0"/>
                <w:szCs w:val="24"/>
                <w:highlight w:val="none"/>
              </w:rPr>
            </w:pPr>
            <w:r>
              <w:rPr>
                <w:rFonts w:hint="eastAsia" w:ascii="宋体" w:hAnsi="宋体" w:cs="宋体"/>
                <w:color w:val="auto"/>
                <w:kern w:val="0"/>
                <w:szCs w:val="24"/>
                <w:highlight w:val="none"/>
              </w:rPr>
              <w:t>授权代表身份证正、反面粘贴处</w:t>
            </w:r>
          </w:p>
        </w:tc>
      </w:tr>
    </w:tbl>
    <w:p w14:paraId="47C1E081">
      <w:pPr>
        <w:rPr>
          <w:rFonts w:hAnsi="宋体" w:cs="宋体"/>
          <w:color w:val="auto"/>
          <w:szCs w:val="24"/>
          <w:highlight w:val="none"/>
        </w:rPr>
      </w:pPr>
    </w:p>
    <w:p w14:paraId="43676225">
      <w:pPr>
        <w:rPr>
          <w:rFonts w:hAnsi="宋体" w:cs="宋体"/>
          <w:color w:val="auto"/>
          <w:szCs w:val="24"/>
          <w:highlight w:val="none"/>
        </w:rPr>
      </w:pPr>
    </w:p>
    <w:p w14:paraId="3B23A03E">
      <w:pPr>
        <w:jc w:val="center"/>
        <w:rPr>
          <w:color w:val="auto"/>
          <w:highlight w:val="none"/>
        </w:rPr>
      </w:pPr>
      <w:r>
        <w:rPr>
          <w:b/>
          <w:color w:val="auto"/>
          <w:sz w:val="36"/>
          <w:szCs w:val="36"/>
          <w:highlight w:val="none"/>
        </w:rPr>
        <w:t>1</w:t>
      </w:r>
      <w:r>
        <w:rPr>
          <w:rFonts w:hint="eastAsia"/>
          <w:b/>
          <w:color w:val="auto"/>
          <w:sz w:val="36"/>
          <w:szCs w:val="36"/>
          <w:highlight w:val="none"/>
        </w:rPr>
        <w:t>-2</w:t>
      </w:r>
      <w:r>
        <w:rPr>
          <w:b/>
          <w:color w:val="auto"/>
          <w:sz w:val="36"/>
          <w:szCs w:val="36"/>
          <w:highlight w:val="none"/>
        </w:rPr>
        <w:t>.</w:t>
      </w:r>
      <w:r>
        <w:rPr>
          <w:rFonts w:hint="eastAsia"/>
          <w:b/>
          <w:color w:val="auto"/>
          <w:sz w:val="36"/>
          <w:szCs w:val="36"/>
          <w:highlight w:val="none"/>
        </w:rPr>
        <w:t>供应商资格声明书（格式）</w:t>
      </w:r>
    </w:p>
    <w:p w14:paraId="3E177B85">
      <w:pPr>
        <w:tabs>
          <w:tab w:val="left" w:pos="5580"/>
        </w:tabs>
        <w:spacing w:line="360" w:lineRule="auto"/>
        <w:rPr>
          <w:color w:val="auto"/>
          <w:sz w:val="22"/>
          <w:szCs w:val="18"/>
          <w:highlight w:val="none"/>
        </w:rPr>
      </w:pPr>
    </w:p>
    <w:p w14:paraId="7FBDBAC2">
      <w:pPr>
        <w:tabs>
          <w:tab w:val="left" w:pos="5580"/>
        </w:tabs>
        <w:spacing w:line="360" w:lineRule="auto"/>
        <w:rPr>
          <w:color w:val="auto"/>
          <w:sz w:val="22"/>
          <w:szCs w:val="18"/>
          <w:highlight w:val="none"/>
        </w:rPr>
      </w:pPr>
      <w:r>
        <w:rPr>
          <w:color w:val="auto"/>
          <w:sz w:val="22"/>
          <w:szCs w:val="18"/>
          <w:highlight w:val="none"/>
        </w:rPr>
        <w:t>致：</w:t>
      </w:r>
      <w:r>
        <w:rPr>
          <w:color w:val="auto"/>
          <w:sz w:val="22"/>
          <w:szCs w:val="18"/>
          <w:highlight w:val="none"/>
          <w:u w:val="single"/>
        </w:rPr>
        <w:t>采购人或采购代理机构</w:t>
      </w:r>
    </w:p>
    <w:p w14:paraId="631A74F6">
      <w:pPr>
        <w:spacing w:line="360" w:lineRule="auto"/>
        <w:ind w:firstLine="440" w:firstLineChars="200"/>
        <w:rPr>
          <w:color w:val="auto"/>
          <w:sz w:val="22"/>
          <w:szCs w:val="18"/>
          <w:highlight w:val="none"/>
        </w:rPr>
      </w:pPr>
      <w:r>
        <w:rPr>
          <w:color w:val="auto"/>
          <w:sz w:val="22"/>
          <w:szCs w:val="18"/>
          <w:highlight w:val="none"/>
        </w:rPr>
        <w:t>在参与本次项目</w:t>
      </w:r>
      <w:r>
        <w:rPr>
          <w:rFonts w:hint="eastAsia"/>
          <w:color w:val="auto"/>
          <w:sz w:val="22"/>
          <w:szCs w:val="18"/>
          <w:highlight w:val="none"/>
        </w:rPr>
        <w:t>投标</w:t>
      </w:r>
      <w:r>
        <w:rPr>
          <w:color w:val="auto"/>
          <w:sz w:val="22"/>
          <w:szCs w:val="18"/>
          <w:highlight w:val="none"/>
        </w:rPr>
        <w:t>中，我单位承诺：</w:t>
      </w:r>
    </w:p>
    <w:p w14:paraId="3767F8F0">
      <w:pPr>
        <w:numPr>
          <w:ilvl w:val="0"/>
          <w:numId w:val="16"/>
        </w:numPr>
        <w:adjustRightInd w:val="0"/>
        <w:spacing w:line="360" w:lineRule="auto"/>
        <w:ind w:left="1134"/>
        <w:jc w:val="both"/>
        <w:textAlignment w:val="baseline"/>
        <w:rPr>
          <w:color w:val="auto"/>
          <w:sz w:val="22"/>
          <w:szCs w:val="21"/>
          <w:highlight w:val="none"/>
        </w:rPr>
      </w:pPr>
      <w:r>
        <w:rPr>
          <w:color w:val="auto"/>
          <w:sz w:val="22"/>
          <w:szCs w:val="21"/>
          <w:highlight w:val="none"/>
        </w:rPr>
        <w:t>具有良好的商业信誉和健全的财务会计制度；</w:t>
      </w:r>
    </w:p>
    <w:p w14:paraId="2AAC8B14">
      <w:pPr>
        <w:numPr>
          <w:ilvl w:val="0"/>
          <w:numId w:val="16"/>
        </w:numPr>
        <w:adjustRightInd w:val="0"/>
        <w:spacing w:line="360" w:lineRule="auto"/>
        <w:ind w:left="1134"/>
        <w:jc w:val="both"/>
        <w:textAlignment w:val="baseline"/>
        <w:rPr>
          <w:color w:val="auto"/>
          <w:sz w:val="22"/>
          <w:szCs w:val="21"/>
          <w:highlight w:val="none"/>
        </w:rPr>
      </w:pPr>
      <w:r>
        <w:rPr>
          <w:color w:val="auto"/>
          <w:sz w:val="22"/>
          <w:szCs w:val="21"/>
          <w:highlight w:val="none"/>
        </w:rPr>
        <w:t>具有履行合同所必需的设备和专业技术能力；</w:t>
      </w:r>
    </w:p>
    <w:p w14:paraId="0C0148B3">
      <w:pPr>
        <w:numPr>
          <w:ilvl w:val="0"/>
          <w:numId w:val="16"/>
        </w:numPr>
        <w:adjustRightInd w:val="0"/>
        <w:spacing w:line="360" w:lineRule="auto"/>
        <w:ind w:left="1134"/>
        <w:jc w:val="both"/>
        <w:textAlignment w:val="baseline"/>
        <w:rPr>
          <w:color w:val="auto"/>
          <w:sz w:val="22"/>
          <w:szCs w:val="21"/>
          <w:highlight w:val="none"/>
        </w:rPr>
      </w:pPr>
      <w:r>
        <w:rPr>
          <w:color w:val="auto"/>
          <w:sz w:val="22"/>
          <w:szCs w:val="21"/>
          <w:highlight w:val="none"/>
        </w:rPr>
        <w:t>有依法缴纳税收和社会保障资金的良好记录；</w:t>
      </w:r>
    </w:p>
    <w:p w14:paraId="6994FDA0">
      <w:pPr>
        <w:numPr>
          <w:ilvl w:val="0"/>
          <w:numId w:val="16"/>
        </w:numPr>
        <w:adjustRightInd w:val="0"/>
        <w:spacing w:line="360" w:lineRule="auto"/>
        <w:ind w:left="1134"/>
        <w:jc w:val="both"/>
        <w:textAlignment w:val="baseline"/>
        <w:rPr>
          <w:color w:val="auto"/>
          <w:sz w:val="22"/>
          <w:szCs w:val="21"/>
          <w:highlight w:val="none"/>
        </w:rPr>
      </w:pPr>
      <w:r>
        <w:rPr>
          <w:color w:val="auto"/>
          <w:sz w:val="22"/>
          <w:szCs w:val="21"/>
          <w:highlight w:val="none"/>
        </w:rPr>
        <w:t>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w:t>
      </w:r>
    </w:p>
    <w:p w14:paraId="43CD07F4">
      <w:pPr>
        <w:numPr>
          <w:ilvl w:val="0"/>
          <w:numId w:val="16"/>
        </w:numPr>
        <w:adjustRightInd w:val="0"/>
        <w:spacing w:line="360" w:lineRule="auto"/>
        <w:ind w:left="1134"/>
        <w:jc w:val="both"/>
        <w:textAlignment w:val="baseline"/>
        <w:rPr>
          <w:color w:val="auto"/>
          <w:sz w:val="22"/>
          <w:szCs w:val="21"/>
          <w:highlight w:val="none"/>
        </w:rPr>
      </w:pPr>
      <w:r>
        <w:rPr>
          <w:color w:val="auto"/>
          <w:sz w:val="22"/>
          <w:szCs w:val="21"/>
          <w:highlight w:val="none"/>
        </w:rPr>
        <w:t>我单位不属于政府采购法律、行政法规规定的公益一类事业单位、或使用事业编制且由财政拨款保障的群团组织（仅适用于政府购买服务项目）；</w:t>
      </w:r>
    </w:p>
    <w:p w14:paraId="14C4BD9B">
      <w:pPr>
        <w:numPr>
          <w:ilvl w:val="0"/>
          <w:numId w:val="16"/>
        </w:numPr>
        <w:adjustRightInd w:val="0"/>
        <w:spacing w:line="360" w:lineRule="auto"/>
        <w:ind w:left="1134"/>
        <w:jc w:val="both"/>
        <w:textAlignment w:val="baseline"/>
        <w:rPr>
          <w:color w:val="auto"/>
          <w:sz w:val="22"/>
          <w:szCs w:val="21"/>
          <w:highlight w:val="none"/>
        </w:rPr>
      </w:pPr>
      <w:r>
        <w:rPr>
          <w:color w:val="auto"/>
          <w:sz w:val="22"/>
          <w:szCs w:val="21"/>
          <w:highlight w:val="none"/>
        </w:rPr>
        <w:t>我单位不存在为采购项目提供整体设计、规范编制或者项目管理、监理、检测等服务后，再参加该采购项目的其他采购活动的情形（单一来源采购项目除外）；</w:t>
      </w:r>
    </w:p>
    <w:p w14:paraId="39629A39">
      <w:pPr>
        <w:numPr>
          <w:ilvl w:val="0"/>
          <w:numId w:val="16"/>
        </w:numPr>
        <w:adjustRightInd w:val="0"/>
        <w:spacing w:line="360" w:lineRule="auto"/>
        <w:ind w:left="1134"/>
        <w:jc w:val="both"/>
        <w:textAlignment w:val="baseline"/>
        <w:rPr>
          <w:color w:val="auto"/>
          <w:sz w:val="22"/>
          <w:szCs w:val="21"/>
          <w:highlight w:val="none"/>
        </w:rPr>
      </w:pPr>
      <w:r>
        <w:rPr>
          <w:color w:val="auto"/>
          <w:sz w:val="22"/>
          <w:szCs w:val="21"/>
          <w:highlight w:val="none"/>
        </w:rPr>
        <w:t>与我单位存在“单位负责人为同一人或者存在直接控股、管理关系”的其他法人单位信息如下（如有，不论其是否参加同一合同项下的政府采购活动均须填写）：</w:t>
      </w:r>
    </w:p>
    <w:tbl>
      <w:tblPr>
        <w:tblStyle w:val="27"/>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950"/>
        <w:gridCol w:w="4574"/>
        <w:gridCol w:w="2976"/>
      </w:tblGrid>
      <w:tr w14:paraId="7696FE9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vAlign w:val="center"/>
          </w:tcPr>
          <w:p w14:paraId="1AC341E0">
            <w:pPr>
              <w:jc w:val="center"/>
              <w:rPr>
                <w:color w:val="auto"/>
                <w:sz w:val="22"/>
                <w:szCs w:val="18"/>
                <w:highlight w:val="none"/>
              </w:rPr>
            </w:pPr>
            <w:r>
              <w:rPr>
                <w:color w:val="auto"/>
                <w:sz w:val="22"/>
                <w:szCs w:val="18"/>
                <w:highlight w:val="none"/>
              </w:rPr>
              <w:t>序号</w:t>
            </w:r>
          </w:p>
        </w:tc>
        <w:tc>
          <w:tcPr>
            <w:tcW w:w="4574" w:type="dxa"/>
            <w:vAlign w:val="center"/>
          </w:tcPr>
          <w:p w14:paraId="057F0262">
            <w:pPr>
              <w:jc w:val="center"/>
              <w:rPr>
                <w:color w:val="auto"/>
                <w:sz w:val="22"/>
                <w:szCs w:val="18"/>
                <w:highlight w:val="none"/>
              </w:rPr>
            </w:pPr>
            <w:r>
              <w:rPr>
                <w:color w:val="auto"/>
                <w:sz w:val="22"/>
                <w:szCs w:val="18"/>
                <w:highlight w:val="none"/>
              </w:rPr>
              <w:t>单位名称</w:t>
            </w:r>
          </w:p>
        </w:tc>
        <w:tc>
          <w:tcPr>
            <w:tcW w:w="2976" w:type="dxa"/>
            <w:vAlign w:val="center"/>
          </w:tcPr>
          <w:p w14:paraId="78487EDE">
            <w:pPr>
              <w:jc w:val="center"/>
              <w:rPr>
                <w:color w:val="auto"/>
                <w:sz w:val="22"/>
                <w:szCs w:val="18"/>
                <w:highlight w:val="none"/>
              </w:rPr>
            </w:pPr>
            <w:r>
              <w:rPr>
                <w:color w:val="auto"/>
                <w:sz w:val="22"/>
                <w:szCs w:val="18"/>
                <w:highlight w:val="none"/>
              </w:rPr>
              <w:t>相互关系</w:t>
            </w:r>
          </w:p>
        </w:tc>
      </w:tr>
      <w:tr w14:paraId="7233722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vAlign w:val="center"/>
          </w:tcPr>
          <w:p w14:paraId="57619AA6">
            <w:pPr>
              <w:jc w:val="center"/>
              <w:rPr>
                <w:color w:val="auto"/>
                <w:sz w:val="22"/>
                <w:szCs w:val="18"/>
                <w:highlight w:val="none"/>
              </w:rPr>
            </w:pPr>
            <w:r>
              <w:rPr>
                <w:color w:val="auto"/>
                <w:sz w:val="22"/>
                <w:szCs w:val="18"/>
                <w:highlight w:val="none"/>
              </w:rPr>
              <w:t>1</w:t>
            </w:r>
          </w:p>
        </w:tc>
        <w:tc>
          <w:tcPr>
            <w:tcW w:w="4574" w:type="dxa"/>
            <w:vAlign w:val="center"/>
          </w:tcPr>
          <w:p w14:paraId="2D7EB5CB">
            <w:pPr>
              <w:jc w:val="center"/>
              <w:rPr>
                <w:color w:val="auto"/>
                <w:sz w:val="22"/>
                <w:szCs w:val="18"/>
                <w:highlight w:val="none"/>
              </w:rPr>
            </w:pPr>
          </w:p>
        </w:tc>
        <w:tc>
          <w:tcPr>
            <w:tcW w:w="2976" w:type="dxa"/>
            <w:vAlign w:val="center"/>
          </w:tcPr>
          <w:p w14:paraId="14DC6F8E">
            <w:pPr>
              <w:jc w:val="center"/>
              <w:rPr>
                <w:color w:val="auto"/>
                <w:sz w:val="22"/>
                <w:szCs w:val="18"/>
                <w:highlight w:val="none"/>
              </w:rPr>
            </w:pPr>
          </w:p>
        </w:tc>
      </w:tr>
      <w:tr w14:paraId="39237FA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vAlign w:val="center"/>
          </w:tcPr>
          <w:p w14:paraId="637EE016">
            <w:pPr>
              <w:jc w:val="center"/>
              <w:rPr>
                <w:color w:val="auto"/>
                <w:sz w:val="22"/>
                <w:szCs w:val="18"/>
                <w:highlight w:val="none"/>
              </w:rPr>
            </w:pPr>
            <w:r>
              <w:rPr>
                <w:color w:val="auto"/>
                <w:sz w:val="22"/>
                <w:szCs w:val="18"/>
                <w:highlight w:val="none"/>
              </w:rPr>
              <w:t>2</w:t>
            </w:r>
          </w:p>
        </w:tc>
        <w:tc>
          <w:tcPr>
            <w:tcW w:w="4574" w:type="dxa"/>
            <w:vAlign w:val="center"/>
          </w:tcPr>
          <w:p w14:paraId="646DAE0C">
            <w:pPr>
              <w:jc w:val="center"/>
              <w:rPr>
                <w:color w:val="auto"/>
                <w:sz w:val="22"/>
                <w:szCs w:val="18"/>
                <w:highlight w:val="none"/>
              </w:rPr>
            </w:pPr>
          </w:p>
        </w:tc>
        <w:tc>
          <w:tcPr>
            <w:tcW w:w="2976" w:type="dxa"/>
            <w:vAlign w:val="center"/>
          </w:tcPr>
          <w:p w14:paraId="23DB519F">
            <w:pPr>
              <w:jc w:val="center"/>
              <w:rPr>
                <w:color w:val="auto"/>
                <w:sz w:val="22"/>
                <w:szCs w:val="18"/>
                <w:highlight w:val="none"/>
              </w:rPr>
            </w:pPr>
          </w:p>
        </w:tc>
      </w:tr>
      <w:tr w14:paraId="14B63F2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vAlign w:val="center"/>
          </w:tcPr>
          <w:p w14:paraId="7845564B">
            <w:pPr>
              <w:jc w:val="center"/>
              <w:rPr>
                <w:color w:val="auto"/>
                <w:sz w:val="22"/>
                <w:szCs w:val="18"/>
                <w:highlight w:val="none"/>
              </w:rPr>
            </w:pPr>
            <w:r>
              <w:rPr>
                <w:color w:val="auto"/>
                <w:sz w:val="22"/>
                <w:szCs w:val="18"/>
                <w:highlight w:val="none"/>
              </w:rPr>
              <w:t>…</w:t>
            </w:r>
          </w:p>
        </w:tc>
        <w:tc>
          <w:tcPr>
            <w:tcW w:w="4574" w:type="dxa"/>
            <w:vAlign w:val="center"/>
          </w:tcPr>
          <w:p w14:paraId="0595055D">
            <w:pPr>
              <w:jc w:val="center"/>
              <w:rPr>
                <w:color w:val="auto"/>
                <w:sz w:val="22"/>
                <w:szCs w:val="18"/>
                <w:highlight w:val="none"/>
              </w:rPr>
            </w:pPr>
          </w:p>
        </w:tc>
        <w:tc>
          <w:tcPr>
            <w:tcW w:w="2976" w:type="dxa"/>
            <w:vAlign w:val="center"/>
          </w:tcPr>
          <w:p w14:paraId="4E5AABEC">
            <w:pPr>
              <w:jc w:val="center"/>
              <w:rPr>
                <w:color w:val="auto"/>
                <w:sz w:val="22"/>
                <w:szCs w:val="18"/>
                <w:highlight w:val="none"/>
              </w:rPr>
            </w:pPr>
          </w:p>
        </w:tc>
      </w:tr>
    </w:tbl>
    <w:p w14:paraId="2C70277B">
      <w:pPr>
        <w:numPr>
          <w:ilvl w:val="0"/>
          <w:numId w:val="16"/>
        </w:numPr>
        <w:adjustRightInd w:val="0"/>
        <w:spacing w:line="360" w:lineRule="auto"/>
        <w:ind w:left="1134"/>
        <w:jc w:val="both"/>
        <w:textAlignment w:val="baseline"/>
        <w:rPr>
          <w:color w:val="auto"/>
          <w:sz w:val="22"/>
          <w:szCs w:val="18"/>
          <w:highlight w:val="none"/>
        </w:rPr>
      </w:pPr>
      <w:r>
        <w:rPr>
          <w:rFonts w:hint="eastAsia"/>
          <w:color w:val="auto"/>
          <w:sz w:val="22"/>
          <w:szCs w:val="18"/>
          <w:highlight w:val="none"/>
        </w:rPr>
        <w:t>本项目未联合体投标，不转包和违法分包。</w:t>
      </w:r>
    </w:p>
    <w:p w14:paraId="0C5C5058">
      <w:pPr>
        <w:ind w:firstLine="440" w:firstLineChars="200"/>
        <w:rPr>
          <w:color w:val="auto"/>
          <w:sz w:val="22"/>
          <w:szCs w:val="21"/>
          <w:highlight w:val="none"/>
        </w:rPr>
      </w:pPr>
      <w:r>
        <w:rPr>
          <w:color w:val="auto"/>
          <w:sz w:val="22"/>
          <w:szCs w:val="18"/>
          <w:highlight w:val="none"/>
        </w:rPr>
        <w:t>上述声明真实有效，否则我方负全部责任。</w:t>
      </w:r>
    </w:p>
    <w:p w14:paraId="2F2DDAFF">
      <w:pPr>
        <w:spacing w:line="360" w:lineRule="auto"/>
        <w:rPr>
          <w:color w:val="auto"/>
          <w:sz w:val="22"/>
          <w:szCs w:val="18"/>
          <w:highlight w:val="none"/>
        </w:rPr>
      </w:pPr>
    </w:p>
    <w:p w14:paraId="730B3B8C">
      <w:pPr>
        <w:autoSpaceDE w:val="0"/>
        <w:autoSpaceDN w:val="0"/>
        <w:snapToGrid w:val="0"/>
        <w:spacing w:before="25" w:after="25" w:line="360" w:lineRule="auto"/>
        <w:ind w:right="360"/>
        <w:jc w:val="right"/>
        <w:rPr>
          <w:color w:val="auto"/>
          <w:sz w:val="22"/>
          <w:szCs w:val="18"/>
          <w:highlight w:val="none"/>
          <w:lang w:val="zh-CN"/>
        </w:rPr>
      </w:pPr>
      <w:r>
        <w:rPr>
          <w:color w:val="auto"/>
          <w:sz w:val="22"/>
          <w:szCs w:val="18"/>
          <w:highlight w:val="none"/>
        </w:rPr>
        <w:t>供应商名称（加盖公章）</w:t>
      </w:r>
      <w:r>
        <w:rPr>
          <w:color w:val="auto"/>
          <w:sz w:val="22"/>
          <w:szCs w:val="18"/>
          <w:highlight w:val="none"/>
          <w:lang w:val="zh-CN"/>
        </w:rPr>
        <w:t>：</w:t>
      </w:r>
      <w:r>
        <w:rPr>
          <w:color w:val="auto"/>
          <w:sz w:val="22"/>
          <w:szCs w:val="18"/>
          <w:highlight w:val="none"/>
        </w:rPr>
        <w:t>______</w:t>
      </w:r>
    </w:p>
    <w:p w14:paraId="72FDC0D4">
      <w:pPr>
        <w:spacing w:line="360" w:lineRule="auto"/>
        <w:ind w:right="360" w:firstLine="480"/>
        <w:jc w:val="right"/>
        <w:rPr>
          <w:color w:val="auto"/>
          <w:sz w:val="22"/>
          <w:szCs w:val="18"/>
          <w:highlight w:val="none"/>
        </w:rPr>
      </w:pPr>
      <w:r>
        <w:rPr>
          <w:color w:val="auto"/>
          <w:sz w:val="22"/>
          <w:szCs w:val="18"/>
          <w:highlight w:val="none"/>
        </w:rPr>
        <w:t>日期：____年____月____日</w:t>
      </w:r>
    </w:p>
    <w:p w14:paraId="3414A776">
      <w:pPr>
        <w:pStyle w:val="72"/>
        <w:ind w:firstLine="440"/>
        <w:rPr>
          <w:color w:val="auto"/>
          <w:sz w:val="22"/>
          <w:szCs w:val="22"/>
          <w:highlight w:val="none"/>
        </w:rPr>
      </w:pPr>
    </w:p>
    <w:p w14:paraId="0C0B69C6">
      <w:pPr>
        <w:pStyle w:val="72"/>
        <w:ind w:firstLine="440"/>
        <w:rPr>
          <w:b/>
          <w:bCs/>
          <w:color w:val="auto"/>
          <w:highlight w:val="none"/>
        </w:rPr>
      </w:pPr>
      <w:r>
        <w:rPr>
          <w:rFonts w:hint="eastAsia"/>
          <w:color w:val="auto"/>
          <w:sz w:val="22"/>
          <w:szCs w:val="22"/>
          <w:highlight w:val="none"/>
        </w:rPr>
        <w:t>说明：供应商承诺不实的，依据《政府采购法》第七十七条“提供虚假材料谋取中标、成交的”有关规定予以处理。</w:t>
      </w:r>
    </w:p>
    <w:p w14:paraId="751705F1">
      <w:pPr>
        <w:widowControl/>
        <w:spacing w:line="240" w:lineRule="auto"/>
        <w:rPr>
          <w:rFonts w:cs="宋体"/>
          <w:b/>
          <w:bCs/>
          <w:color w:val="auto"/>
          <w:highlight w:val="none"/>
        </w:rPr>
      </w:pPr>
      <w:r>
        <w:rPr>
          <w:rFonts w:cs="宋体"/>
          <w:b/>
          <w:bCs/>
          <w:color w:val="auto"/>
          <w:highlight w:val="none"/>
        </w:rPr>
        <w:br w:type="page"/>
      </w:r>
    </w:p>
    <w:p w14:paraId="56A367CB">
      <w:pPr>
        <w:jc w:val="center"/>
        <w:rPr>
          <w:b/>
          <w:bCs/>
          <w:color w:val="auto"/>
          <w:sz w:val="36"/>
          <w:szCs w:val="24"/>
          <w:highlight w:val="none"/>
        </w:rPr>
      </w:pPr>
      <w:bookmarkStart w:id="42" w:name="_Toc144974857"/>
      <w:bookmarkStart w:id="43" w:name="_Toc179632808"/>
      <w:bookmarkStart w:id="44" w:name="_Toc233102754"/>
      <w:bookmarkStart w:id="45" w:name="_Toc152045788"/>
      <w:bookmarkStart w:id="46" w:name="_Toc152042577"/>
      <w:bookmarkStart w:id="47" w:name="_Toc390940586"/>
      <w:bookmarkStart w:id="48" w:name="_Toc7429554"/>
      <w:bookmarkStart w:id="49" w:name="_Toc20581"/>
      <w:r>
        <w:rPr>
          <w:b/>
          <w:bCs/>
          <w:color w:val="auto"/>
          <w:sz w:val="36"/>
          <w:szCs w:val="24"/>
          <w:highlight w:val="none"/>
        </w:rPr>
        <w:t>2</w:t>
      </w:r>
      <w:r>
        <w:rPr>
          <w:rFonts w:hint="eastAsia"/>
          <w:b/>
          <w:bCs/>
          <w:color w:val="auto"/>
          <w:sz w:val="36"/>
          <w:szCs w:val="24"/>
          <w:highlight w:val="none"/>
        </w:rPr>
        <w:t>.</w:t>
      </w:r>
      <w:bookmarkEnd w:id="42"/>
      <w:bookmarkEnd w:id="43"/>
      <w:bookmarkEnd w:id="44"/>
      <w:bookmarkEnd w:id="45"/>
      <w:bookmarkEnd w:id="46"/>
      <w:r>
        <w:rPr>
          <w:rFonts w:hint="eastAsia"/>
          <w:b/>
          <w:bCs/>
          <w:color w:val="auto"/>
          <w:sz w:val="36"/>
          <w:szCs w:val="24"/>
          <w:highlight w:val="none"/>
        </w:rPr>
        <w:t>投标函（格式</w:t>
      </w:r>
      <w:bookmarkEnd w:id="47"/>
      <w:r>
        <w:rPr>
          <w:rFonts w:hint="eastAsia"/>
          <w:b/>
          <w:bCs/>
          <w:color w:val="auto"/>
          <w:sz w:val="36"/>
          <w:szCs w:val="24"/>
          <w:highlight w:val="none"/>
        </w:rPr>
        <w:t>）</w:t>
      </w:r>
      <w:bookmarkEnd w:id="48"/>
      <w:bookmarkEnd w:id="49"/>
    </w:p>
    <w:p w14:paraId="13E21038">
      <w:pPr>
        <w:spacing w:line="440" w:lineRule="exact"/>
        <w:rPr>
          <w:rFonts w:ascii="宋体" w:hAnsi="宋体" w:cs="宋体"/>
          <w:color w:val="auto"/>
          <w:szCs w:val="24"/>
          <w:highlight w:val="none"/>
        </w:rPr>
      </w:pPr>
      <w:bookmarkStart w:id="50" w:name="_Hlk132648594"/>
      <w:bookmarkStart w:id="51" w:name="_Toc5986"/>
      <w:bookmarkStart w:id="52" w:name="_Toc7429555"/>
      <w:r>
        <w:rPr>
          <w:rFonts w:hint="eastAsia" w:ascii="宋体" w:hAnsi="宋体" w:cs="宋体"/>
          <w:color w:val="auto"/>
          <w:highlight w:val="none"/>
        </w:rPr>
        <w:t>致</w:t>
      </w:r>
      <w:r>
        <w:rPr>
          <w:rFonts w:hint="eastAsia" w:ascii="宋体" w:hAnsi="宋体" w:cs="宋体"/>
          <w:color w:val="auto"/>
          <w:szCs w:val="24"/>
          <w:highlight w:val="none"/>
        </w:rPr>
        <w:t>：中招国际招标有限公司江西分公司</w:t>
      </w:r>
      <w:bookmarkEnd w:id="50"/>
    </w:p>
    <w:p w14:paraId="68E257CF">
      <w:pPr>
        <w:spacing w:line="440" w:lineRule="exact"/>
        <w:ind w:firstLine="480"/>
        <w:rPr>
          <w:rFonts w:ascii="宋体" w:hAnsi="宋体" w:cs="宋体"/>
          <w:color w:val="auto"/>
          <w:highlight w:val="none"/>
        </w:rPr>
      </w:pPr>
      <w:r>
        <w:rPr>
          <w:rFonts w:hint="eastAsia" w:ascii="宋体" w:hAnsi="宋体" w:cs="宋体"/>
          <w:color w:val="auto"/>
          <w:highlight w:val="none"/>
        </w:rPr>
        <w:t>根据贵方为(</w:t>
      </w:r>
      <w:r>
        <w:rPr>
          <w:rFonts w:hint="eastAsia" w:ascii="宋体" w:hAnsi="宋体" w:cs="宋体"/>
          <w:b/>
          <w:i/>
          <w:color w:val="auto"/>
          <w:highlight w:val="none"/>
          <w:u w:val="single"/>
        </w:rPr>
        <w:t>项目名称</w:t>
      </w:r>
      <w:r>
        <w:rPr>
          <w:rFonts w:hint="eastAsia" w:ascii="宋体" w:hAnsi="宋体" w:cs="宋体"/>
          <w:color w:val="auto"/>
          <w:highlight w:val="none"/>
        </w:rPr>
        <w:t>)项目(</w:t>
      </w:r>
      <w:r>
        <w:rPr>
          <w:rFonts w:hint="eastAsia" w:ascii="宋体" w:hAnsi="宋体" w:cs="宋体"/>
          <w:b/>
          <w:i/>
          <w:color w:val="auto"/>
          <w:highlight w:val="none"/>
          <w:u w:val="single"/>
        </w:rPr>
        <w:t>项目编号</w:t>
      </w:r>
      <w:r>
        <w:rPr>
          <w:rFonts w:hint="eastAsia" w:ascii="宋体" w:hAnsi="宋体" w:cs="宋体"/>
          <w:color w:val="auto"/>
          <w:highlight w:val="none"/>
        </w:rPr>
        <w:t>)招标服务的投标邀请， (</w:t>
      </w:r>
      <w:r>
        <w:rPr>
          <w:rFonts w:hint="eastAsia" w:ascii="宋体" w:hAnsi="宋体" w:cs="宋体"/>
          <w:b/>
          <w:i/>
          <w:color w:val="auto"/>
          <w:highlight w:val="none"/>
          <w:u w:val="single"/>
        </w:rPr>
        <w:t>姓名、职务</w:t>
      </w:r>
      <w:r>
        <w:rPr>
          <w:rFonts w:hint="eastAsia" w:ascii="宋体" w:hAnsi="宋体" w:cs="宋体"/>
          <w:color w:val="auto"/>
          <w:highlight w:val="none"/>
        </w:rPr>
        <w:t>)经正式授权并代表投标人</w:t>
      </w:r>
      <w:r>
        <w:rPr>
          <w:rFonts w:hint="eastAsia" w:ascii="宋体" w:hAnsi="宋体" w:cs="宋体"/>
          <w:color w:val="auto"/>
          <w:highlight w:val="none"/>
          <w:u w:val="single"/>
        </w:rPr>
        <w:t>(</w:t>
      </w:r>
      <w:r>
        <w:rPr>
          <w:rFonts w:hint="eastAsia" w:ascii="宋体" w:hAnsi="宋体" w:cs="宋体"/>
          <w:b/>
          <w:i/>
          <w:color w:val="auto"/>
          <w:highlight w:val="none"/>
          <w:u w:val="single"/>
        </w:rPr>
        <w:t>投标人名称、地址</w:t>
      </w:r>
      <w:r>
        <w:rPr>
          <w:rFonts w:hint="eastAsia" w:ascii="宋体" w:hAnsi="宋体" w:cs="宋体"/>
          <w:color w:val="auto"/>
          <w:highlight w:val="none"/>
          <w:u w:val="single"/>
        </w:rPr>
        <w:t>)</w:t>
      </w:r>
      <w:r>
        <w:rPr>
          <w:rFonts w:hint="eastAsia" w:ascii="宋体" w:hAnsi="宋体" w:cs="宋体"/>
          <w:color w:val="auto"/>
          <w:highlight w:val="none"/>
        </w:rPr>
        <w:t>提交下述文件（1正，4副，一份电子投标文件）:</w:t>
      </w:r>
    </w:p>
    <w:p w14:paraId="48C35E10">
      <w:pPr>
        <w:spacing w:line="440" w:lineRule="exact"/>
        <w:ind w:left="709" w:hanging="284"/>
        <w:rPr>
          <w:rFonts w:ascii="宋体" w:hAnsi="宋体" w:cs="宋体"/>
          <w:color w:val="auto"/>
          <w:szCs w:val="24"/>
          <w:highlight w:val="none"/>
        </w:rPr>
      </w:pPr>
      <w:r>
        <w:rPr>
          <w:rFonts w:hint="eastAsia" w:ascii="宋体" w:hAnsi="宋体" w:cs="宋体"/>
          <w:color w:val="auto"/>
          <w:szCs w:val="24"/>
          <w:highlight w:val="none"/>
        </w:rPr>
        <w:t>1.开标一览表；</w:t>
      </w:r>
    </w:p>
    <w:p w14:paraId="42298FA9">
      <w:pPr>
        <w:spacing w:line="440" w:lineRule="exact"/>
        <w:ind w:left="709" w:hanging="284"/>
        <w:rPr>
          <w:rFonts w:ascii="宋体" w:hAnsi="宋体" w:cs="宋体"/>
          <w:color w:val="auto"/>
          <w:szCs w:val="24"/>
          <w:highlight w:val="none"/>
        </w:rPr>
      </w:pPr>
      <w:r>
        <w:rPr>
          <w:rFonts w:hint="eastAsia" w:ascii="宋体" w:hAnsi="宋体" w:cs="宋体"/>
          <w:color w:val="auto"/>
          <w:szCs w:val="24"/>
          <w:highlight w:val="none"/>
        </w:rPr>
        <w:t>2.分项报价</w:t>
      </w:r>
      <w:r>
        <w:rPr>
          <w:rFonts w:hint="eastAsia" w:ascii="宋体" w:hAnsi="宋体" w:cs="宋体"/>
          <w:color w:val="auto"/>
          <w:szCs w:val="24"/>
          <w:highlight w:val="none"/>
          <w:lang w:eastAsia="zh-CN"/>
        </w:rPr>
        <w:t>明细</w:t>
      </w:r>
      <w:r>
        <w:rPr>
          <w:rFonts w:hint="eastAsia" w:ascii="宋体" w:hAnsi="宋体" w:cs="宋体"/>
          <w:color w:val="auto"/>
          <w:szCs w:val="24"/>
          <w:highlight w:val="none"/>
        </w:rPr>
        <w:t>表；</w:t>
      </w:r>
    </w:p>
    <w:p w14:paraId="38FD4D39">
      <w:pPr>
        <w:spacing w:line="440" w:lineRule="exact"/>
        <w:ind w:left="709" w:hanging="284"/>
        <w:rPr>
          <w:rFonts w:ascii="宋体" w:hAnsi="宋体" w:cs="宋体"/>
          <w:color w:val="auto"/>
          <w:szCs w:val="24"/>
          <w:highlight w:val="none"/>
        </w:rPr>
      </w:pPr>
      <w:r>
        <w:rPr>
          <w:rFonts w:hint="eastAsia" w:ascii="宋体" w:hAnsi="宋体" w:cs="宋体"/>
          <w:color w:val="auto"/>
          <w:szCs w:val="24"/>
          <w:highlight w:val="none"/>
        </w:rPr>
        <w:t>3.商务条款响应/偏离表；</w:t>
      </w:r>
    </w:p>
    <w:p w14:paraId="5269D29B">
      <w:pPr>
        <w:spacing w:line="440" w:lineRule="exact"/>
        <w:ind w:left="709" w:hanging="284"/>
        <w:rPr>
          <w:rFonts w:ascii="宋体" w:hAnsi="宋体" w:cs="宋体"/>
          <w:color w:val="auto"/>
          <w:szCs w:val="24"/>
          <w:highlight w:val="none"/>
        </w:rPr>
      </w:pPr>
      <w:r>
        <w:rPr>
          <w:rFonts w:hint="eastAsia" w:ascii="宋体" w:hAnsi="宋体" w:cs="宋体"/>
          <w:color w:val="auto"/>
          <w:szCs w:val="24"/>
          <w:highlight w:val="none"/>
        </w:rPr>
        <w:t>4.技术条款响应/偏离表；</w:t>
      </w:r>
    </w:p>
    <w:p w14:paraId="0B7239CF">
      <w:pPr>
        <w:spacing w:line="440" w:lineRule="exact"/>
        <w:ind w:left="709" w:hanging="284"/>
        <w:rPr>
          <w:rFonts w:ascii="宋体" w:hAnsi="宋体" w:cs="宋体"/>
          <w:color w:val="auto"/>
          <w:szCs w:val="24"/>
          <w:highlight w:val="none"/>
        </w:rPr>
      </w:pPr>
      <w:r>
        <w:rPr>
          <w:rFonts w:hint="eastAsia" w:ascii="宋体" w:hAnsi="宋体" w:cs="宋体"/>
          <w:color w:val="auto"/>
          <w:szCs w:val="24"/>
          <w:highlight w:val="none"/>
        </w:rPr>
        <w:t>5.详细技术响应</w:t>
      </w:r>
    </w:p>
    <w:p w14:paraId="48800AA3">
      <w:pPr>
        <w:spacing w:line="440" w:lineRule="exact"/>
        <w:ind w:left="709" w:hanging="284"/>
        <w:rPr>
          <w:rFonts w:ascii="宋体" w:hAnsi="宋体" w:cs="宋体"/>
          <w:color w:val="auto"/>
          <w:szCs w:val="24"/>
          <w:highlight w:val="none"/>
        </w:rPr>
      </w:pPr>
      <w:r>
        <w:rPr>
          <w:rFonts w:hint="eastAsia" w:ascii="宋体" w:hAnsi="宋体" w:cs="宋体"/>
          <w:color w:val="auto"/>
          <w:szCs w:val="24"/>
          <w:highlight w:val="none"/>
        </w:rPr>
        <w:t>6.其他商务、技术文件；</w:t>
      </w:r>
    </w:p>
    <w:p w14:paraId="285FA784">
      <w:pPr>
        <w:spacing w:line="440" w:lineRule="exact"/>
        <w:ind w:left="709" w:hanging="284"/>
        <w:rPr>
          <w:rFonts w:ascii="宋体" w:hAnsi="宋体" w:cs="宋体"/>
          <w:color w:val="auto"/>
          <w:szCs w:val="24"/>
          <w:highlight w:val="none"/>
        </w:rPr>
      </w:pPr>
      <w:r>
        <w:rPr>
          <w:rFonts w:hint="eastAsia" w:ascii="宋体" w:hAnsi="宋体" w:cs="宋体"/>
          <w:color w:val="auto"/>
          <w:szCs w:val="24"/>
          <w:highlight w:val="none"/>
        </w:rPr>
        <w:t>7.遵守国家有关法律、法规和规章，按招标文件中要求提供的有关文件；</w:t>
      </w:r>
    </w:p>
    <w:p w14:paraId="7B81CB26">
      <w:pPr>
        <w:spacing w:line="440" w:lineRule="exact"/>
        <w:ind w:left="707" w:hanging="283"/>
        <w:rPr>
          <w:rFonts w:ascii="宋体" w:hAnsi="宋体" w:cs="宋体"/>
          <w:color w:val="auto"/>
          <w:kern w:val="0"/>
          <w:szCs w:val="24"/>
          <w:highlight w:val="none"/>
        </w:rPr>
      </w:pPr>
      <w:r>
        <w:rPr>
          <w:rFonts w:hint="eastAsia" w:ascii="宋体" w:hAnsi="宋体" w:cs="宋体"/>
          <w:color w:val="auto"/>
          <w:szCs w:val="24"/>
          <w:highlight w:val="none"/>
        </w:rPr>
        <w:t>8.</w:t>
      </w:r>
      <w:r>
        <w:rPr>
          <w:rFonts w:hint="eastAsia" w:ascii="宋体" w:hAnsi="宋体" w:cs="宋体"/>
          <w:color w:val="auto"/>
          <w:kern w:val="0"/>
          <w:szCs w:val="24"/>
          <w:highlight w:val="none"/>
        </w:rPr>
        <w:t>以形式出具的金额为人民币元的投标保证金。</w:t>
      </w:r>
    </w:p>
    <w:p w14:paraId="170BEC15">
      <w:pPr>
        <w:spacing w:line="440" w:lineRule="exact"/>
        <w:ind w:left="707" w:hanging="283"/>
        <w:rPr>
          <w:rFonts w:ascii="宋体" w:hAnsi="宋体" w:cs="宋体"/>
          <w:color w:val="auto"/>
          <w:highlight w:val="none"/>
        </w:rPr>
      </w:pPr>
    </w:p>
    <w:p w14:paraId="1B0574C8">
      <w:pPr>
        <w:spacing w:line="440" w:lineRule="exact"/>
        <w:ind w:left="707" w:hanging="283"/>
        <w:rPr>
          <w:rFonts w:ascii="宋体" w:hAnsi="宋体" w:cs="宋体"/>
          <w:color w:val="auto"/>
          <w:highlight w:val="none"/>
        </w:rPr>
      </w:pPr>
      <w:r>
        <w:rPr>
          <w:rFonts w:hint="eastAsia" w:ascii="宋体" w:hAnsi="宋体" w:cs="宋体"/>
          <w:color w:val="auto"/>
          <w:highlight w:val="none"/>
        </w:rPr>
        <w:t>据此函,授权代表宣布同意如下:</w:t>
      </w:r>
    </w:p>
    <w:p w14:paraId="6CB4FC3B">
      <w:pPr>
        <w:spacing w:line="440" w:lineRule="exact"/>
        <w:ind w:left="720" w:leftChars="200" w:hanging="240" w:hangingChars="100"/>
        <w:rPr>
          <w:rFonts w:ascii="宋体" w:hAnsi="宋体" w:cs="宋体"/>
          <w:color w:val="auto"/>
          <w:highlight w:val="none"/>
        </w:rPr>
      </w:pPr>
      <w:r>
        <w:rPr>
          <w:rFonts w:hint="eastAsia" w:ascii="宋体" w:hAnsi="宋体" w:cs="宋体"/>
          <w:color w:val="auto"/>
          <w:highlight w:val="none"/>
        </w:rPr>
        <w:t>1.投标人承诺完全响应招标文件价格条件；</w:t>
      </w:r>
    </w:p>
    <w:p w14:paraId="53BEF635">
      <w:pPr>
        <w:spacing w:line="440" w:lineRule="exact"/>
        <w:ind w:left="120" w:leftChars="50" w:firstLine="360" w:firstLineChars="150"/>
        <w:rPr>
          <w:rFonts w:ascii="宋体" w:hAnsi="宋体" w:cs="宋体"/>
          <w:color w:val="auto"/>
          <w:highlight w:val="none"/>
        </w:rPr>
      </w:pPr>
      <w:r>
        <w:rPr>
          <w:rFonts w:hint="eastAsia" w:ascii="宋体" w:hAnsi="宋体" w:cs="宋体"/>
          <w:color w:val="auto"/>
          <w:highlight w:val="none"/>
        </w:rPr>
        <w:t>2.投标人将按招标文件的规定履行合同责任和义务；</w:t>
      </w:r>
    </w:p>
    <w:p w14:paraId="1A248D68">
      <w:pPr>
        <w:spacing w:line="440" w:lineRule="exact"/>
        <w:ind w:left="720" w:leftChars="200" w:hanging="240" w:hangingChars="100"/>
        <w:rPr>
          <w:rFonts w:ascii="宋体" w:hAnsi="宋体" w:cs="宋体"/>
          <w:color w:val="auto"/>
          <w:highlight w:val="none"/>
        </w:rPr>
      </w:pPr>
      <w:r>
        <w:rPr>
          <w:rFonts w:hint="eastAsia" w:ascii="宋体" w:hAnsi="宋体" w:cs="宋体"/>
          <w:color w:val="auto"/>
          <w:highlight w:val="none"/>
        </w:rPr>
        <w:t>3.投标人已详细审查全部招标文件，包括第</w:t>
      </w:r>
      <w:r>
        <w:rPr>
          <w:rFonts w:hint="eastAsia" w:ascii="宋体" w:hAnsi="宋体" w:cs="宋体"/>
          <w:color w:val="auto"/>
          <w:highlight w:val="none"/>
          <w:u w:val="single"/>
        </w:rPr>
        <w:t>(编号、补遗书)(如果有的话)。</w:t>
      </w:r>
      <w:r>
        <w:rPr>
          <w:rFonts w:hint="eastAsia" w:ascii="宋体" w:hAnsi="宋体" w:cs="宋体"/>
          <w:color w:val="auto"/>
          <w:highlight w:val="none"/>
        </w:rPr>
        <w:t>我们完全理解并同意放弃对这方面有不明及误解的权力；</w:t>
      </w:r>
    </w:p>
    <w:p w14:paraId="4AD4CE98">
      <w:pPr>
        <w:spacing w:line="440" w:lineRule="exact"/>
        <w:ind w:left="120" w:leftChars="50" w:firstLine="360" w:firstLineChars="150"/>
        <w:rPr>
          <w:rFonts w:ascii="宋体" w:hAnsi="宋体" w:cs="宋体"/>
          <w:color w:val="auto"/>
          <w:highlight w:val="none"/>
        </w:rPr>
      </w:pPr>
      <w:r>
        <w:rPr>
          <w:rFonts w:hint="eastAsia" w:ascii="宋体" w:hAnsi="宋体" w:cs="宋体"/>
          <w:color w:val="auto"/>
          <w:highlight w:val="none"/>
        </w:rPr>
        <w:t>4.本投标有效期为</w:t>
      </w:r>
      <w:r>
        <w:rPr>
          <w:rFonts w:hint="eastAsia" w:ascii="宋体" w:hAnsi="宋体" w:cs="宋体"/>
          <w:b/>
          <w:bCs/>
          <w:color w:val="auto"/>
          <w:highlight w:val="none"/>
        </w:rPr>
        <w:t>从投标文件提交截止之日起</w:t>
      </w:r>
      <w:r>
        <w:rPr>
          <w:rFonts w:hint="eastAsia" w:ascii="宋体" w:hAnsi="宋体" w:cs="宋体"/>
          <w:b/>
          <w:bCs/>
          <w:color w:val="auto"/>
          <w:highlight w:val="none"/>
          <w:u w:val="single"/>
        </w:rPr>
        <w:t xml:space="preserve">  90 </w:t>
      </w:r>
      <w:r>
        <w:rPr>
          <w:rFonts w:hint="eastAsia" w:ascii="宋体" w:hAnsi="宋体" w:cs="宋体"/>
          <w:b/>
          <w:bCs/>
          <w:color w:val="auto"/>
          <w:highlight w:val="none"/>
        </w:rPr>
        <w:t>天</w:t>
      </w:r>
      <w:r>
        <w:rPr>
          <w:rFonts w:hint="eastAsia" w:ascii="宋体" w:hAnsi="宋体" w:cs="宋体"/>
          <w:color w:val="auto"/>
          <w:highlight w:val="none"/>
        </w:rPr>
        <w:t>；</w:t>
      </w:r>
    </w:p>
    <w:p w14:paraId="7F07B876">
      <w:pPr>
        <w:spacing w:line="440" w:lineRule="exact"/>
        <w:ind w:left="840" w:leftChars="200" w:hanging="360" w:hangingChars="150"/>
        <w:rPr>
          <w:rFonts w:ascii="宋体" w:hAnsi="宋体" w:cs="宋体"/>
          <w:color w:val="auto"/>
          <w:highlight w:val="none"/>
        </w:rPr>
      </w:pPr>
      <w:r>
        <w:rPr>
          <w:rFonts w:hint="eastAsia" w:ascii="宋体" w:hAnsi="宋体" w:cs="宋体"/>
          <w:color w:val="auto"/>
          <w:highlight w:val="none"/>
        </w:rPr>
        <w:t>5.</w:t>
      </w:r>
      <w:r>
        <w:rPr>
          <w:rFonts w:hint="eastAsia" w:ascii="宋体" w:hAnsi="宋体" w:cs="宋体"/>
          <w:color w:val="auto"/>
          <w:kern w:val="0"/>
          <w:szCs w:val="24"/>
          <w:highlight w:val="none"/>
        </w:rPr>
        <w:t>在规</w:t>
      </w:r>
      <w:r>
        <w:rPr>
          <w:rFonts w:hint="eastAsia" w:ascii="宋体" w:hAnsi="宋体" w:cs="宋体"/>
          <w:color w:val="auto"/>
          <w:highlight w:val="none"/>
        </w:rPr>
        <w:t>定的开标时间后，投标人保证遵守招标文件中有关保证金的规定；</w:t>
      </w:r>
    </w:p>
    <w:p w14:paraId="3FC89ADF">
      <w:pPr>
        <w:spacing w:line="440" w:lineRule="exact"/>
        <w:ind w:left="708" w:leftChars="195" w:hanging="240" w:hangingChars="100"/>
        <w:rPr>
          <w:rFonts w:ascii="宋体" w:hAnsi="宋体" w:cs="宋体"/>
          <w:color w:val="auto"/>
          <w:highlight w:val="none"/>
        </w:rPr>
      </w:pPr>
      <w:r>
        <w:rPr>
          <w:rFonts w:hint="eastAsia" w:ascii="宋体" w:hAnsi="宋体" w:cs="宋体"/>
          <w:color w:val="auto"/>
          <w:highlight w:val="none"/>
        </w:rPr>
        <w:t>6.根据招标文件规定，投标人承诺，与招标人聘请的为此项目提供咨询服务的公司及任何附属机构均无关联，我方不是买方或招标人的附属机构；</w:t>
      </w:r>
    </w:p>
    <w:p w14:paraId="7424FB08">
      <w:pPr>
        <w:spacing w:line="440" w:lineRule="exact"/>
        <w:ind w:left="708" w:leftChars="195" w:hanging="240" w:hangingChars="100"/>
        <w:rPr>
          <w:rFonts w:ascii="宋体" w:hAnsi="宋体" w:cs="宋体"/>
          <w:color w:val="auto"/>
          <w:highlight w:val="none"/>
        </w:rPr>
      </w:pPr>
      <w:r>
        <w:rPr>
          <w:rFonts w:hint="eastAsia" w:ascii="宋体" w:hAnsi="宋体" w:cs="宋体"/>
          <w:color w:val="auto"/>
          <w:highlight w:val="none"/>
        </w:rPr>
        <w:t>7.投标人同意提供按照贵方可能要</w:t>
      </w:r>
      <w:r>
        <w:rPr>
          <w:rFonts w:hint="eastAsia" w:ascii="宋体" w:hAnsi="宋体" w:cs="宋体"/>
          <w:color w:val="auto"/>
          <w:kern w:val="0"/>
          <w:szCs w:val="24"/>
          <w:highlight w:val="none"/>
        </w:rPr>
        <w:t>求的与其投标有关的一切数据或资料</w:t>
      </w:r>
      <w:r>
        <w:rPr>
          <w:rFonts w:hint="eastAsia" w:ascii="宋体" w:hAnsi="宋体" w:cs="宋体"/>
          <w:color w:val="auto"/>
          <w:highlight w:val="none"/>
        </w:rPr>
        <w:t>，完全理解贵方不一定接受最低价的投标或收到的任何投标。</w:t>
      </w:r>
    </w:p>
    <w:p w14:paraId="66C3DA9B">
      <w:pPr>
        <w:spacing w:line="440" w:lineRule="exact"/>
        <w:ind w:left="708" w:leftChars="195" w:hanging="240" w:hangingChars="100"/>
        <w:rPr>
          <w:rFonts w:ascii="宋体" w:hAnsi="宋体" w:cs="宋体"/>
          <w:color w:val="auto"/>
          <w:highlight w:val="none"/>
        </w:rPr>
      </w:pPr>
      <w:r>
        <w:rPr>
          <w:rFonts w:hint="eastAsia" w:ascii="宋体" w:hAnsi="宋体" w:cs="宋体"/>
          <w:color w:val="auto"/>
          <w:highlight w:val="none"/>
        </w:rPr>
        <w:t>8.与本投标有关的一切正式往来信函请寄:</w:t>
      </w:r>
    </w:p>
    <w:p w14:paraId="69581E27">
      <w:pPr>
        <w:spacing w:line="440" w:lineRule="exact"/>
        <w:rPr>
          <w:rFonts w:ascii="宋体" w:hAnsi="宋体" w:cs="宋体"/>
          <w:color w:val="auto"/>
          <w:highlight w:val="none"/>
          <w:u w:val="single"/>
        </w:rPr>
      </w:pPr>
      <w:r>
        <w:rPr>
          <w:rFonts w:hint="eastAsia" w:ascii="宋体" w:hAnsi="宋体" w:cs="宋体"/>
          <w:color w:val="auto"/>
          <w:highlight w:val="none"/>
        </w:rPr>
        <w:t>地址：传真：</w:t>
      </w:r>
    </w:p>
    <w:p w14:paraId="26BA70ED">
      <w:pPr>
        <w:spacing w:line="440" w:lineRule="exact"/>
        <w:rPr>
          <w:rFonts w:ascii="宋体" w:hAnsi="宋体" w:cs="宋体"/>
          <w:color w:val="auto"/>
          <w:highlight w:val="none"/>
          <w:u w:val="single"/>
        </w:rPr>
      </w:pPr>
      <w:r>
        <w:rPr>
          <w:rFonts w:hint="eastAsia" w:ascii="宋体" w:hAnsi="宋体" w:cs="宋体"/>
          <w:color w:val="auto"/>
          <w:highlight w:val="none"/>
        </w:rPr>
        <w:t>电话：电子邮件：</w:t>
      </w:r>
    </w:p>
    <w:p w14:paraId="5F81AB8F">
      <w:pPr>
        <w:spacing w:line="440" w:lineRule="exact"/>
        <w:rPr>
          <w:rFonts w:ascii="宋体" w:hAnsi="宋体" w:cs="宋体"/>
          <w:color w:val="auto"/>
          <w:highlight w:val="none"/>
        </w:rPr>
      </w:pPr>
      <w:r>
        <w:rPr>
          <w:rFonts w:hint="eastAsia" w:ascii="宋体" w:hAnsi="宋体" w:cs="宋体"/>
          <w:color w:val="auto"/>
          <w:highlight w:val="none"/>
        </w:rPr>
        <w:t>投标人代表签字或签章：</w:t>
      </w:r>
    </w:p>
    <w:p w14:paraId="53B43D2F">
      <w:pPr>
        <w:spacing w:line="440" w:lineRule="exact"/>
        <w:rPr>
          <w:rFonts w:ascii="宋体" w:hAnsi="宋体" w:cs="宋体"/>
          <w:color w:val="auto"/>
          <w:highlight w:val="none"/>
          <w:u w:val="single"/>
        </w:rPr>
      </w:pPr>
      <w:r>
        <w:rPr>
          <w:rFonts w:hint="eastAsia" w:ascii="宋体" w:hAnsi="宋体" w:cs="宋体"/>
          <w:color w:val="auto"/>
          <w:highlight w:val="none"/>
        </w:rPr>
        <w:t>投标人签章：</w:t>
      </w:r>
    </w:p>
    <w:p w14:paraId="12EE22C2">
      <w:pPr>
        <w:spacing w:line="440" w:lineRule="exact"/>
        <w:rPr>
          <w:rFonts w:ascii="宋体" w:hAnsi="宋体" w:cs="宋体"/>
          <w:color w:val="auto"/>
          <w:highlight w:val="none"/>
          <w:u w:val="single"/>
        </w:rPr>
        <w:sectPr>
          <w:pgSz w:w="11906" w:h="16838"/>
          <w:pgMar w:top="1440" w:right="1440" w:bottom="1440" w:left="1440" w:header="851" w:footer="992" w:gutter="0"/>
          <w:pgNumType w:fmt="decimal"/>
          <w:cols w:space="425" w:num="1"/>
          <w:docGrid w:type="lines" w:linePitch="312" w:charSpace="0"/>
        </w:sectPr>
      </w:pPr>
      <w:r>
        <w:rPr>
          <w:rFonts w:hint="eastAsia" w:ascii="宋体" w:hAnsi="宋体" w:cs="宋体"/>
          <w:color w:val="auto"/>
          <w:highlight w:val="none"/>
        </w:rPr>
        <w:t>日期：</w:t>
      </w:r>
    </w:p>
    <w:p w14:paraId="227933B8">
      <w:pPr>
        <w:jc w:val="center"/>
        <w:rPr>
          <w:b/>
          <w:bCs/>
          <w:color w:val="auto"/>
          <w:sz w:val="36"/>
          <w:szCs w:val="24"/>
          <w:highlight w:val="none"/>
        </w:rPr>
      </w:pPr>
      <w:r>
        <w:rPr>
          <w:b/>
          <w:bCs/>
          <w:color w:val="auto"/>
          <w:sz w:val="36"/>
          <w:szCs w:val="24"/>
          <w:highlight w:val="none"/>
        </w:rPr>
        <w:t>3</w:t>
      </w:r>
      <w:r>
        <w:rPr>
          <w:rFonts w:hint="eastAsia"/>
          <w:b/>
          <w:bCs/>
          <w:color w:val="auto"/>
          <w:sz w:val="36"/>
          <w:szCs w:val="24"/>
          <w:highlight w:val="none"/>
        </w:rPr>
        <w:t>.开标一览表（格式）</w:t>
      </w:r>
      <w:bookmarkEnd w:id="51"/>
      <w:bookmarkEnd w:id="52"/>
    </w:p>
    <w:p w14:paraId="09128741">
      <w:pPr>
        <w:tabs>
          <w:tab w:val="left" w:pos="1800"/>
          <w:tab w:val="left" w:pos="5580"/>
        </w:tabs>
        <w:spacing w:line="360" w:lineRule="auto"/>
        <w:ind w:right="-991" w:rightChars="-413" w:firstLine="720" w:firstLineChars="300"/>
        <w:rPr>
          <w:rFonts w:ascii="宋体" w:hAnsi="宋体"/>
          <w:color w:val="auto"/>
          <w:highlight w:val="none"/>
        </w:rPr>
      </w:pPr>
      <w:bookmarkStart w:id="53" w:name="_Toc31163"/>
      <w:bookmarkStart w:id="54" w:name="_Toc7429556"/>
    </w:p>
    <w:p w14:paraId="3E6566F5">
      <w:pPr>
        <w:tabs>
          <w:tab w:val="left" w:pos="1800"/>
          <w:tab w:val="left" w:pos="5580"/>
        </w:tabs>
        <w:spacing w:line="360" w:lineRule="auto"/>
        <w:ind w:right="-991" w:rightChars="-413" w:firstLine="720" w:firstLineChars="300"/>
        <w:rPr>
          <w:rFonts w:ascii="宋体" w:hAnsi="宋体"/>
          <w:color w:val="auto"/>
          <w:highlight w:val="none"/>
        </w:rPr>
      </w:pPr>
      <w:r>
        <w:rPr>
          <w:rFonts w:hint="eastAsia" w:ascii="宋体" w:hAnsi="宋体"/>
          <w:color w:val="auto"/>
          <w:highlight w:val="none"/>
        </w:rPr>
        <w:t>项目名称：　</w:t>
      </w:r>
    </w:p>
    <w:p w14:paraId="332A0D60">
      <w:pPr>
        <w:tabs>
          <w:tab w:val="left" w:pos="1800"/>
          <w:tab w:val="left" w:pos="5580"/>
        </w:tabs>
        <w:spacing w:line="360" w:lineRule="auto"/>
        <w:ind w:right="-991" w:rightChars="-413" w:firstLine="720" w:firstLineChars="300"/>
        <w:rPr>
          <w:rFonts w:ascii="宋体" w:hAnsi="宋体"/>
          <w:color w:val="auto"/>
          <w:highlight w:val="none"/>
          <w:u w:val="single"/>
        </w:rPr>
      </w:pPr>
      <w:r>
        <w:rPr>
          <w:rFonts w:hint="eastAsia" w:ascii="宋体" w:hAnsi="宋体"/>
          <w:color w:val="auto"/>
          <w:highlight w:val="none"/>
        </w:rPr>
        <w:t>项目编号：</w:t>
      </w:r>
    </w:p>
    <w:p w14:paraId="09D343A2">
      <w:pPr>
        <w:tabs>
          <w:tab w:val="left" w:pos="1800"/>
          <w:tab w:val="left" w:pos="5580"/>
        </w:tabs>
        <w:spacing w:line="360" w:lineRule="auto"/>
        <w:ind w:left="1231" w:leftChars="513" w:right="-991" w:rightChars="-413" w:firstLine="7920" w:firstLineChars="3300"/>
        <w:rPr>
          <w:rFonts w:ascii="宋体" w:hAnsi="宋体"/>
          <w:color w:val="auto"/>
          <w:highlight w:val="none"/>
        </w:rPr>
      </w:pPr>
    </w:p>
    <w:tbl>
      <w:tblPr>
        <w:tblStyle w:val="27"/>
        <w:tblW w:w="1389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3028"/>
        <w:gridCol w:w="2267"/>
        <w:gridCol w:w="2164"/>
        <w:gridCol w:w="2250"/>
        <w:gridCol w:w="3060"/>
        <w:gridCol w:w="1122"/>
      </w:tblGrid>
      <w:tr w14:paraId="01F4F7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51" w:hRule="atLeast"/>
          <w:jc w:val="center"/>
        </w:trPr>
        <w:tc>
          <w:tcPr>
            <w:tcW w:w="3028" w:type="dxa"/>
            <w:vAlign w:val="center"/>
          </w:tcPr>
          <w:p w14:paraId="67ED22B0">
            <w:pPr>
              <w:tabs>
                <w:tab w:val="left" w:pos="5580"/>
              </w:tabs>
              <w:spacing w:line="360" w:lineRule="auto"/>
              <w:ind w:right="-199"/>
              <w:jc w:val="center"/>
              <w:rPr>
                <w:rFonts w:ascii="宋体" w:hAnsi="宋体"/>
                <w:color w:val="auto"/>
                <w:highlight w:val="none"/>
              </w:rPr>
            </w:pPr>
            <w:r>
              <w:rPr>
                <w:rFonts w:hint="eastAsia" w:ascii="宋体" w:hAnsi="宋体"/>
                <w:color w:val="auto"/>
                <w:highlight w:val="none"/>
              </w:rPr>
              <w:t>投标人名称</w:t>
            </w:r>
          </w:p>
        </w:tc>
        <w:tc>
          <w:tcPr>
            <w:tcW w:w="2267" w:type="dxa"/>
            <w:vAlign w:val="center"/>
          </w:tcPr>
          <w:p w14:paraId="1196B756">
            <w:pPr>
              <w:tabs>
                <w:tab w:val="left" w:pos="5580"/>
              </w:tabs>
              <w:spacing w:line="360" w:lineRule="auto"/>
              <w:ind w:right="-199"/>
              <w:jc w:val="center"/>
              <w:rPr>
                <w:rFonts w:ascii="宋体" w:hAnsi="宋体"/>
                <w:color w:val="auto"/>
                <w:highlight w:val="none"/>
              </w:rPr>
            </w:pPr>
            <w:r>
              <w:rPr>
                <w:rFonts w:hint="eastAsia" w:ascii="宋体" w:hAnsi="宋体"/>
                <w:color w:val="auto"/>
                <w:highlight w:val="none"/>
              </w:rPr>
              <w:t>物业服务</w:t>
            </w:r>
          </w:p>
          <w:p w14:paraId="214A8AF6">
            <w:pPr>
              <w:tabs>
                <w:tab w:val="left" w:pos="5580"/>
              </w:tabs>
              <w:spacing w:line="360" w:lineRule="auto"/>
              <w:ind w:right="-199"/>
              <w:jc w:val="center"/>
              <w:rPr>
                <w:rFonts w:ascii="宋体" w:hAnsi="宋体"/>
                <w:color w:val="auto"/>
                <w:highlight w:val="none"/>
              </w:rPr>
            </w:pPr>
            <w:r>
              <w:rPr>
                <w:rFonts w:hint="eastAsia" w:ascii="宋体" w:hAnsi="宋体"/>
                <w:color w:val="auto"/>
                <w:highlight w:val="none"/>
              </w:rPr>
              <w:t>报价（元）</w:t>
            </w:r>
          </w:p>
        </w:tc>
        <w:tc>
          <w:tcPr>
            <w:tcW w:w="2164" w:type="dxa"/>
            <w:vAlign w:val="center"/>
          </w:tcPr>
          <w:p w14:paraId="5B9769EA">
            <w:pPr>
              <w:tabs>
                <w:tab w:val="left" w:pos="5580"/>
              </w:tabs>
              <w:spacing w:line="360" w:lineRule="auto"/>
              <w:ind w:right="-199"/>
              <w:jc w:val="center"/>
              <w:rPr>
                <w:rFonts w:ascii="宋体" w:hAnsi="宋体"/>
                <w:color w:val="auto"/>
                <w:highlight w:val="none"/>
              </w:rPr>
            </w:pPr>
            <w:r>
              <w:rPr>
                <w:rFonts w:hint="eastAsia" w:ascii="宋体" w:hAnsi="宋体"/>
                <w:color w:val="auto"/>
                <w:highlight w:val="none"/>
              </w:rPr>
              <w:t>餐饮服务</w:t>
            </w:r>
          </w:p>
          <w:p w14:paraId="56CA2B84">
            <w:pPr>
              <w:tabs>
                <w:tab w:val="left" w:pos="5580"/>
              </w:tabs>
              <w:spacing w:line="360" w:lineRule="auto"/>
              <w:ind w:right="-199"/>
              <w:jc w:val="center"/>
              <w:rPr>
                <w:rFonts w:ascii="宋体" w:hAnsi="宋体"/>
                <w:color w:val="auto"/>
                <w:highlight w:val="none"/>
              </w:rPr>
            </w:pPr>
            <w:r>
              <w:rPr>
                <w:rFonts w:hint="eastAsia" w:ascii="宋体" w:hAnsi="宋体"/>
                <w:color w:val="auto"/>
                <w:highlight w:val="none"/>
              </w:rPr>
              <w:t>报价（元）</w:t>
            </w:r>
          </w:p>
        </w:tc>
        <w:tc>
          <w:tcPr>
            <w:tcW w:w="2250" w:type="dxa"/>
            <w:vAlign w:val="center"/>
          </w:tcPr>
          <w:p w14:paraId="699D16E6">
            <w:pPr>
              <w:tabs>
                <w:tab w:val="left" w:pos="5580"/>
              </w:tabs>
              <w:spacing w:line="360" w:lineRule="auto"/>
              <w:ind w:right="-199"/>
              <w:jc w:val="center"/>
              <w:rPr>
                <w:rFonts w:ascii="宋体" w:hAnsi="宋体"/>
                <w:color w:val="auto"/>
                <w:highlight w:val="none"/>
              </w:rPr>
            </w:pPr>
            <w:r>
              <w:rPr>
                <w:rFonts w:hint="eastAsia" w:ascii="宋体" w:hAnsi="宋体"/>
                <w:color w:val="auto"/>
                <w:highlight w:val="none"/>
              </w:rPr>
              <w:t>投标总价（元）</w:t>
            </w:r>
          </w:p>
        </w:tc>
        <w:tc>
          <w:tcPr>
            <w:tcW w:w="3060" w:type="dxa"/>
            <w:vAlign w:val="center"/>
          </w:tcPr>
          <w:p w14:paraId="1538AA78">
            <w:pPr>
              <w:tabs>
                <w:tab w:val="left" w:pos="5580"/>
              </w:tabs>
              <w:spacing w:line="360" w:lineRule="auto"/>
              <w:jc w:val="center"/>
              <w:rPr>
                <w:rFonts w:ascii="宋体" w:hAnsi="宋体"/>
                <w:color w:val="auto"/>
                <w:highlight w:val="none"/>
              </w:rPr>
            </w:pPr>
            <w:r>
              <w:rPr>
                <w:rFonts w:hint="eastAsia" w:ascii="宋体" w:hAnsi="宋体"/>
                <w:color w:val="auto"/>
                <w:highlight w:val="none"/>
              </w:rPr>
              <w:t>合同履行期限</w:t>
            </w:r>
          </w:p>
        </w:tc>
        <w:tc>
          <w:tcPr>
            <w:tcW w:w="1122" w:type="dxa"/>
            <w:vAlign w:val="center"/>
          </w:tcPr>
          <w:p w14:paraId="524A8AB0">
            <w:pPr>
              <w:tabs>
                <w:tab w:val="left" w:pos="5580"/>
              </w:tabs>
              <w:spacing w:line="360" w:lineRule="auto"/>
              <w:jc w:val="center"/>
              <w:rPr>
                <w:rFonts w:ascii="宋体" w:hAnsi="宋体"/>
                <w:color w:val="auto"/>
                <w:highlight w:val="none"/>
              </w:rPr>
            </w:pPr>
            <w:r>
              <w:rPr>
                <w:rFonts w:hint="eastAsia" w:ascii="宋体" w:hAnsi="宋体"/>
                <w:color w:val="auto"/>
                <w:highlight w:val="none"/>
              </w:rPr>
              <w:t>备注</w:t>
            </w:r>
          </w:p>
        </w:tc>
      </w:tr>
      <w:tr w14:paraId="0F4EFC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531" w:hRule="atLeast"/>
          <w:jc w:val="center"/>
        </w:trPr>
        <w:tc>
          <w:tcPr>
            <w:tcW w:w="3028" w:type="dxa"/>
          </w:tcPr>
          <w:p w14:paraId="5ECF5A06">
            <w:pPr>
              <w:tabs>
                <w:tab w:val="left" w:pos="5580"/>
              </w:tabs>
              <w:spacing w:line="360" w:lineRule="auto"/>
              <w:ind w:right="-199" w:firstLine="240" w:firstLineChars="100"/>
              <w:rPr>
                <w:rFonts w:ascii="宋体" w:hAnsi="宋体"/>
                <w:color w:val="auto"/>
                <w:highlight w:val="none"/>
              </w:rPr>
            </w:pPr>
          </w:p>
        </w:tc>
        <w:tc>
          <w:tcPr>
            <w:tcW w:w="2267" w:type="dxa"/>
            <w:vAlign w:val="center"/>
          </w:tcPr>
          <w:p w14:paraId="4F84A4B7">
            <w:pPr>
              <w:tabs>
                <w:tab w:val="left" w:pos="5580"/>
              </w:tabs>
              <w:spacing w:line="360" w:lineRule="auto"/>
              <w:ind w:right="-199" w:firstLine="240" w:firstLineChars="100"/>
              <w:rPr>
                <w:rFonts w:ascii="宋体" w:hAnsi="宋体"/>
                <w:color w:val="auto"/>
                <w:highlight w:val="none"/>
              </w:rPr>
            </w:pPr>
          </w:p>
        </w:tc>
        <w:tc>
          <w:tcPr>
            <w:tcW w:w="2164" w:type="dxa"/>
            <w:vAlign w:val="center"/>
          </w:tcPr>
          <w:p w14:paraId="7E483282">
            <w:pPr>
              <w:tabs>
                <w:tab w:val="left" w:pos="5580"/>
              </w:tabs>
              <w:spacing w:line="360" w:lineRule="auto"/>
              <w:ind w:right="-199" w:firstLine="240" w:firstLineChars="100"/>
              <w:rPr>
                <w:rFonts w:ascii="宋体" w:hAnsi="宋体"/>
                <w:color w:val="auto"/>
                <w:highlight w:val="none"/>
              </w:rPr>
            </w:pPr>
          </w:p>
        </w:tc>
        <w:tc>
          <w:tcPr>
            <w:tcW w:w="2250" w:type="dxa"/>
            <w:vAlign w:val="center"/>
          </w:tcPr>
          <w:p w14:paraId="3486951B">
            <w:pPr>
              <w:tabs>
                <w:tab w:val="left" w:pos="5580"/>
              </w:tabs>
              <w:spacing w:line="360" w:lineRule="auto"/>
              <w:ind w:right="-199" w:firstLine="240" w:firstLineChars="100"/>
              <w:rPr>
                <w:rFonts w:ascii="宋体" w:hAnsi="宋体"/>
                <w:color w:val="auto"/>
                <w:highlight w:val="none"/>
              </w:rPr>
            </w:pPr>
          </w:p>
        </w:tc>
        <w:tc>
          <w:tcPr>
            <w:tcW w:w="3060" w:type="dxa"/>
            <w:vAlign w:val="center"/>
          </w:tcPr>
          <w:p w14:paraId="67A575C0">
            <w:pPr>
              <w:tabs>
                <w:tab w:val="left" w:pos="5580"/>
              </w:tabs>
              <w:spacing w:line="240" w:lineRule="auto"/>
              <w:ind w:right="-199"/>
              <w:rPr>
                <w:rFonts w:ascii="宋体" w:hAnsi="宋体"/>
                <w:color w:val="auto"/>
                <w:highlight w:val="none"/>
              </w:rPr>
            </w:pPr>
            <w:r>
              <w:rPr>
                <w:rFonts w:hint="eastAsia" w:ascii="宋体" w:hAnsi="宋体" w:cs="宋体"/>
                <w:bCs/>
                <w:color w:val="auto"/>
                <w:sz w:val="21"/>
                <w:szCs w:val="21"/>
                <w:highlight w:val="none"/>
              </w:rPr>
              <w:t>服务期为2025年1月1日至2025年12月31日，在年度预算有保障且经招标人质控考核合格前提下，通过一年一续签方式签订合同，累计总服务期最长不超过3年。合同期满，招标人根据采购预算</w:t>
            </w:r>
            <w:r>
              <w:rPr>
                <w:rFonts w:hint="eastAsia" w:ascii="宋体" w:hAnsi="宋体" w:cs="宋体"/>
                <w:bCs/>
                <w:color w:val="auto"/>
                <w:sz w:val="21"/>
                <w:szCs w:val="21"/>
                <w:highlight w:val="none"/>
                <w:lang w:eastAsia="zh-CN"/>
              </w:rPr>
              <w:t>保障</w:t>
            </w:r>
            <w:r>
              <w:rPr>
                <w:rFonts w:hint="eastAsia" w:ascii="宋体" w:hAnsi="宋体" w:cs="宋体"/>
                <w:bCs/>
                <w:color w:val="auto"/>
                <w:sz w:val="21"/>
                <w:szCs w:val="21"/>
                <w:highlight w:val="none"/>
              </w:rPr>
              <w:t>和</w:t>
            </w:r>
            <w:r>
              <w:rPr>
                <w:rFonts w:hint="eastAsia" w:ascii="宋体" w:hAnsi="宋体" w:cs="宋体"/>
                <w:bCs/>
                <w:color w:val="auto"/>
                <w:sz w:val="21"/>
                <w:szCs w:val="21"/>
                <w:highlight w:val="none"/>
                <w:lang w:eastAsia="zh-CN"/>
              </w:rPr>
              <w:t>全年至少三个季度评估结果为优秀及月度考核结果均为良好以上的前提下</w:t>
            </w:r>
            <w:r>
              <w:rPr>
                <w:rFonts w:hint="eastAsia" w:ascii="宋体" w:hAnsi="宋体" w:cs="宋体"/>
                <w:bCs/>
                <w:color w:val="auto"/>
                <w:sz w:val="21"/>
                <w:szCs w:val="21"/>
                <w:highlight w:val="none"/>
              </w:rPr>
              <w:t>决定是否续签合同，续签主动权在招标人。</w:t>
            </w:r>
          </w:p>
        </w:tc>
        <w:tc>
          <w:tcPr>
            <w:tcW w:w="1122" w:type="dxa"/>
          </w:tcPr>
          <w:p w14:paraId="11659E3A">
            <w:pPr>
              <w:tabs>
                <w:tab w:val="left" w:pos="5580"/>
              </w:tabs>
              <w:spacing w:line="360" w:lineRule="auto"/>
              <w:ind w:right="-199"/>
              <w:jc w:val="center"/>
              <w:rPr>
                <w:rFonts w:ascii="宋体" w:hAnsi="宋体"/>
                <w:color w:val="auto"/>
                <w:highlight w:val="none"/>
              </w:rPr>
            </w:pPr>
          </w:p>
        </w:tc>
      </w:tr>
    </w:tbl>
    <w:p w14:paraId="202519DD">
      <w:pPr>
        <w:pStyle w:val="13"/>
        <w:tabs>
          <w:tab w:val="left" w:pos="5580"/>
        </w:tabs>
        <w:spacing w:line="360" w:lineRule="auto"/>
        <w:ind w:left="1156" w:leftChars="257" w:hanging="540"/>
        <w:rPr>
          <w:rFonts w:hAnsi="Calibri" w:cs="宋体"/>
          <w:b/>
          <w:color w:val="auto"/>
          <w:kern w:val="0"/>
          <w:sz w:val="21"/>
          <w:szCs w:val="21"/>
          <w:highlight w:val="none"/>
        </w:rPr>
      </w:pPr>
      <w:r>
        <w:rPr>
          <w:rFonts w:hint="eastAsia" w:hAnsi="Calibri" w:cs="宋体"/>
          <w:b/>
          <w:color w:val="auto"/>
          <w:kern w:val="0"/>
          <w:sz w:val="21"/>
          <w:szCs w:val="21"/>
          <w:highlight w:val="none"/>
          <w:lang w:val="zh-CN"/>
        </w:rPr>
        <w:t>注：</w:t>
      </w:r>
      <w:r>
        <w:rPr>
          <w:rFonts w:hint="eastAsia" w:hAnsi="Calibri" w:cs="宋体"/>
          <w:b/>
          <w:color w:val="auto"/>
          <w:kern w:val="0"/>
          <w:sz w:val="21"/>
          <w:szCs w:val="21"/>
          <w:highlight w:val="none"/>
        </w:rPr>
        <w:t>1.物业服务控制价为183</w:t>
      </w:r>
      <w:r>
        <w:rPr>
          <w:rFonts w:hint="eastAsia" w:hAnsi="Calibri" w:cs="宋体"/>
          <w:b/>
          <w:color w:val="auto"/>
          <w:kern w:val="0"/>
          <w:sz w:val="21"/>
          <w:szCs w:val="21"/>
          <w:highlight w:val="none"/>
          <w:lang w:val="en-US" w:eastAsia="zh-CN"/>
        </w:rPr>
        <w:t>.</w:t>
      </w:r>
      <w:r>
        <w:rPr>
          <w:rFonts w:hint="eastAsia" w:hAnsi="Calibri" w:cs="宋体"/>
          <w:b/>
          <w:color w:val="auto"/>
          <w:kern w:val="0"/>
          <w:sz w:val="21"/>
          <w:szCs w:val="21"/>
          <w:highlight w:val="none"/>
        </w:rPr>
        <w:t>35</w:t>
      </w:r>
      <w:r>
        <w:rPr>
          <w:rFonts w:hint="eastAsia" w:hAnsi="Calibri" w:cs="宋体"/>
          <w:b/>
          <w:color w:val="auto"/>
          <w:kern w:val="0"/>
          <w:sz w:val="21"/>
          <w:szCs w:val="21"/>
          <w:highlight w:val="none"/>
          <w:lang w:val="en-US" w:eastAsia="zh-CN"/>
        </w:rPr>
        <w:t>万</w:t>
      </w:r>
      <w:r>
        <w:rPr>
          <w:rFonts w:hint="eastAsia" w:hAnsi="Calibri" w:cs="宋体"/>
          <w:b/>
          <w:color w:val="auto"/>
          <w:kern w:val="0"/>
          <w:sz w:val="21"/>
          <w:szCs w:val="21"/>
          <w:highlight w:val="none"/>
        </w:rPr>
        <w:t>元，餐饮服务控制价为66</w:t>
      </w:r>
      <w:r>
        <w:rPr>
          <w:rFonts w:hint="eastAsia" w:hAnsi="Calibri" w:cs="宋体"/>
          <w:b/>
          <w:color w:val="auto"/>
          <w:kern w:val="0"/>
          <w:sz w:val="21"/>
          <w:szCs w:val="21"/>
          <w:highlight w:val="none"/>
          <w:lang w:val="en-US" w:eastAsia="zh-CN"/>
        </w:rPr>
        <w:t>万</w:t>
      </w:r>
      <w:r>
        <w:rPr>
          <w:rFonts w:hint="eastAsia" w:hAnsi="Calibri" w:cs="宋体"/>
          <w:b/>
          <w:color w:val="auto"/>
          <w:kern w:val="0"/>
          <w:sz w:val="21"/>
          <w:szCs w:val="21"/>
          <w:highlight w:val="none"/>
        </w:rPr>
        <w:t>元。投标人报价超过各项控制价的，作无效投标处理。</w:t>
      </w:r>
    </w:p>
    <w:p w14:paraId="24C9D8CD">
      <w:pPr>
        <w:pStyle w:val="13"/>
        <w:tabs>
          <w:tab w:val="left" w:pos="5580"/>
        </w:tabs>
        <w:spacing w:line="360" w:lineRule="auto"/>
        <w:ind w:left="1156" w:leftChars="257" w:hanging="540"/>
        <w:rPr>
          <w:rFonts w:hAnsi="宋体"/>
          <w:b/>
          <w:color w:val="auto"/>
          <w:sz w:val="21"/>
          <w:szCs w:val="21"/>
          <w:highlight w:val="none"/>
        </w:rPr>
      </w:pPr>
      <w:r>
        <w:rPr>
          <w:rFonts w:hint="eastAsia" w:hAnsi="Calibri" w:cs="宋体"/>
          <w:b/>
          <w:color w:val="auto"/>
          <w:kern w:val="0"/>
          <w:sz w:val="21"/>
          <w:szCs w:val="21"/>
          <w:highlight w:val="none"/>
        </w:rPr>
        <w:t>2.</w:t>
      </w:r>
      <w:r>
        <w:rPr>
          <w:rFonts w:hint="eastAsia" w:hAnsi="Calibri" w:cs="宋体"/>
          <w:b/>
          <w:color w:val="auto"/>
          <w:kern w:val="0"/>
          <w:sz w:val="21"/>
          <w:szCs w:val="21"/>
          <w:highlight w:val="none"/>
          <w:lang w:val="zh-CN"/>
        </w:rPr>
        <w:t>此表应按“投标人须知”</w:t>
      </w:r>
      <w:r>
        <w:rPr>
          <w:rFonts w:hAnsi="Calibri" w:cs="宋体"/>
          <w:b/>
          <w:color w:val="auto"/>
          <w:kern w:val="0"/>
          <w:sz w:val="21"/>
          <w:szCs w:val="21"/>
          <w:highlight w:val="none"/>
          <w:lang w:val="zh-CN"/>
        </w:rPr>
        <w:t>19.2</w:t>
      </w:r>
      <w:r>
        <w:rPr>
          <w:rFonts w:hint="eastAsia" w:hAnsi="Calibri" w:cs="宋体"/>
          <w:b/>
          <w:color w:val="auto"/>
          <w:kern w:val="0"/>
          <w:sz w:val="21"/>
          <w:szCs w:val="21"/>
          <w:highlight w:val="none"/>
          <w:lang w:val="zh-CN"/>
        </w:rPr>
        <w:t>条的规定单独密封</w:t>
      </w:r>
      <w:r>
        <w:rPr>
          <w:rFonts w:hAnsi="Calibri" w:cs="宋体"/>
          <w:b/>
          <w:color w:val="auto"/>
          <w:kern w:val="0"/>
          <w:sz w:val="21"/>
          <w:szCs w:val="21"/>
          <w:highlight w:val="none"/>
          <w:lang w:val="zh-CN"/>
        </w:rPr>
        <w:t>,</w:t>
      </w:r>
      <w:r>
        <w:rPr>
          <w:rFonts w:hint="eastAsia" w:hAnsi="Calibri" w:cs="宋体"/>
          <w:b/>
          <w:color w:val="auto"/>
          <w:kern w:val="0"/>
          <w:sz w:val="21"/>
          <w:szCs w:val="21"/>
          <w:highlight w:val="none"/>
          <w:lang w:val="zh-CN"/>
        </w:rPr>
        <w:t>且在投标文件中也应附有该表。</w:t>
      </w:r>
    </w:p>
    <w:p w14:paraId="476D29E4">
      <w:pPr>
        <w:pStyle w:val="13"/>
        <w:tabs>
          <w:tab w:val="left" w:pos="5580"/>
        </w:tabs>
        <w:spacing w:line="360" w:lineRule="auto"/>
        <w:ind w:left="1156" w:leftChars="257" w:hanging="540"/>
        <w:rPr>
          <w:rFonts w:hAnsi="宋体"/>
          <w:color w:val="auto"/>
          <w:szCs w:val="24"/>
          <w:highlight w:val="none"/>
        </w:rPr>
      </w:pPr>
    </w:p>
    <w:p w14:paraId="4D51BA0E">
      <w:pPr>
        <w:pStyle w:val="13"/>
        <w:tabs>
          <w:tab w:val="left" w:pos="5580"/>
        </w:tabs>
        <w:spacing w:line="360" w:lineRule="auto"/>
        <w:ind w:left="1156" w:leftChars="257" w:hanging="540"/>
        <w:rPr>
          <w:rFonts w:hAnsi="宋体"/>
          <w:color w:val="auto"/>
          <w:szCs w:val="24"/>
          <w:highlight w:val="none"/>
        </w:rPr>
      </w:pPr>
      <w:r>
        <w:rPr>
          <w:rFonts w:hint="eastAsia" w:hAnsi="宋体"/>
          <w:color w:val="auto"/>
          <w:szCs w:val="24"/>
          <w:highlight w:val="none"/>
        </w:rPr>
        <w:t>投标人名称（盖章）：</w:t>
      </w:r>
    </w:p>
    <w:p w14:paraId="4081916E">
      <w:pPr>
        <w:pStyle w:val="13"/>
        <w:tabs>
          <w:tab w:val="left" w:pos="5580"/>
        </w:tabs>
        <w:spacing w:line="360" w:lineRule="auto"/>
        <w:ind w:left="1156" w:leftChars="257" w:hanging="540"/>
        <w:rPr>
          <w:rFonts w:hAnsi="宋体"/>
          <w:color w:val="auto"/>
          <w:szCs w:val="24"/>
          <w:highlight w:val="none"/>
          <w:u w:val="single"/>
        </w:rPr>
      </w:pPr>
      <w:r>
        <w:rPr>
          <w:rFonts w:hint="eastAsia" w:hAnsi="宋体"/>
          <w:color w:val="auto"/>
          <w:szCs w:val="24"/>
          <w:highlight w:val="none"/>
        </w:rPr>
        <w:t>投标人授权代表（签字）:</w:t>
      </w:r>
      <w:r>
        <w:rPr>
          <w:rFonts w:hAnsi="宋体"/>
          <w:color w:val="auto"/>
          <w:szCs w:val="24"/>
          <w:highlight w:val="none"/>
          <w:u w:val="single"/>
        </w:rPr>
        <w:tab/>
      </w:r>
    </w:p>
    <w:p w14:paraId="1D9EBED0">
      <w:pPr>
        <w:rPr>
          <w:rFonts w:ascii="宋体" w:hAnsi="宋体" w:cs="宋体"/>
          <w:color w:val="auto"/>
          <w:highlight w:val="none"/>
        </w:rPr>
        <w:sectPr>
          <w:pgSz w:w="16838" w:h="11906" w:orient="landscape"/>
          <w:pgMar w:top="1440" w:right="1440" w:bottom="1440" w:left="1440" w:header="851" w:footer="992" w:gutter="0"/>
          <w:pgNumType w:fmt="decimal"/>
          <w:cols w:space="425" w:num="1"/>
          <w:docGrid w:type="linesAndChars" w:linePitch="312" w:charSpace="0"/>
        </w:sectPr>
      </w:pPr>
    </w:p>
    <w:p w14:paraId="295D2C11">
      <w:pPr>
        <w:jc w:val="center"/>
        <w:rPr>
          <w:b/>
          <w:bCs/>
          <w:color w:val="auto"/>
          <w:sz w:val="36"/>
          <w:szCs w:val="24"/>
          <w:highlight w:val="none"/>
        </w:rPr>
      </w:pPr>
      <w:r>
        <w:rPr>
          <w:b/>
          <w:bCs/>
          <w:color w:val="auto"/>
          <w:sz w:val="36"/>
          <w:szCs w:val="24"/>
          <w:highlight w:val="none"/>
        </w:rPr>
        <w:t>4</w:t>
      </w:r>
      <w:r>
        <w:rPr>
          <w:rFonts w:hint="eastAsia"/>
          <w:b/>
          <w:bCs/>
          <w:color w:val="auto"/>
          <w:sz w:val="36"/>
          <w:szCs w:val="24"/>
          <w:highlight w:val="none"/>
        </w:rPr>
        <w:t>.</w:t>
      </w:r>
      <w:bookmarkEnd w:id="53"/>
      <w:bookmarkEnd w:id="54"/>
      <w:r>
        <w:rPr>
          <w:rFonts w:hint="eastAsia"/>
          <w:b/>
          <w:bCs/>
          <w:color w:val="auto"/>
          <w:sz w:val="36"/>
          <w:szCs w:val="24"/>
          <w:highlight w:val="none"/>
        </w:rPr>
        <w:t>分项报价</w:t>
      </w:r>
      <w:r>
        <w:rPr>
          <w:rFonts w:hint="eastAsia"/>
          <w:b/>
          <w:bCs/>
          <w:color w:val="auto"/>
          <w:sz w:val="36"/>
          <w:szCs w:val="24"/>
          <w:highlight w:val="none"/>
          <w:lang w:eastAsia="zh-CN"/>
        </w:rPr>
        <w:t>明细</w:t>
      </w:r>
      <w:r>
        <w:rPr>
          <w:rFonts w:hint="eastAsia"/>
          <w:b/>
          <w:bCs/>
          <w:color w:val="auto"/>
          <w:sz w:val="36"/>
          <w:szCs w:val="24"/>
          <w:highlight w:val="none"/>
        </w:rPr>
        <w:t>表（格式）</w:t>
      </w:r>
    </w:p>
    <w:p w14:paraId="346BBBFB">
      <w:pPr>
        <w:spacing w:line="400" w:lineRule="exact"/>
        <w:rPr>
          <w:rFonts w:ascii="宋体" w:hAnsi="宋体" w:cs="宋体"/>
          <w:color w:val="auto"/>
          <w:sz w:val="21"/>
          <w:szCs w:val="21"/>
          <w:highlight w:val="none"/>
        </w:rPr>
      </w:pPr>
      <w:r>
        <w:rPr>
          <w:rFonts w:hint="eastAsia" w:ascii="宋体" w:hAnsi="宋体" w:cs="宋体"/>
          <w:color w:val="auto"/>
          <w:sz w:val="21"/>
          <w:szCs w:val="21"/>
          <w:highlight w:val="none"/>
        </w:rPr>
        <w:t>投标人名称：项目编号：</w:t>
      </w:r>
    </w:p>
    <w:tbl>
      <w:tblPr>
        <w:tblStyle w:val="27"/>
        <w:tblW w:w="13672" w:type="dxa"/>
        <w:tblInd w:w="20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870"/>
        <w:gridCol w:w="2582"/>
        <w:gridCol w:w="4522"/>
        <w:gridCol w:w="930"/>
        <w:gridCol w:w="1457"/>
        <w:gridCol w:w="3311"/>
      </w:tblGrid>
      <w:tr w14:paraId="2822E7C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121" w:hRule="exact"/>
        </w:trPr>
        <w:tc>
          <w:tcPr>
            <w:tcW w:w="870" w:type="dxa"/>
            <w:vAlign w:val="center"/>
          </w:tcPr>
          <w:p w14:paraId="2EE5DBAF">
            <w:pPr>
              <w:spacing w:line="400" w:lineRule="exact"/>
              <w:jc w:val="center"/>
              <w:rPr>
                <w:rFonts w:ascii="宋体" w:hAnsi="宋体" w:cs="宋体"/>
                <w:b/>
                <w:color w:val="auto"/>
                <w:sz w:val="21"/>
                <w:szCs w:val="21"/>
                <w:highlight w:val="none"/>
              </w:rPr>
            </w:pPr>
            <w:r>
              <w:rPr>
                <w:rFonts w:hint="eastAsia" w:ascii="宋体" w:hAnsi="宋体" w:cs="宋体"/>
                <w:b/>
                <w:color w:val="auto"/>
                <w:sz w:val="21"/>
                <w:szCs w:val="21"/>
                <w:highlight w:val="none"/>
              </w:rPr>
              <w:t>序号</w:t>
            </w:r>
          </w:p>
        </w:tc>
        <w:tc>
          <w:tcPr>
            <w:tcW w:w="2582" w:type="dxa"/>
            <w:vAlign w:val="center"/>
          </w:tcPr>
          <w:p w14:paraId="6954EE26">
            <w:pPr>
              <w:spacing w:line="400" w:lineRule="exact"/>
              <w:jc w:val="center"/>
              <w:rPr>
                <w:rFonts w:ascii="宋体" w:hAnsi="宋体" w:cs="宋体"/>
                <w:b/>
                <w:color w:val="auto"/>
                <w:sz w:val="21"/>
                <w:szCs w:val="21"/>
                <w:highlight w:val="none"/>
              </w:rPr>
            </w:pPr>
            <w:r>
              <w:rPr>
                <w:rFonts w:hint="eastAsia" w:ascii="宋体" w:hAnsi="宋体" w:cs="宋体"/>
                <w:b/>
                <w:color w:val="auto"/>
                <w:sz w:val="21"/>
                <w:szCs w:val="21"/>
                <w:highlight w:val="none"/>
              </w:rPr>
              <w:t>名称</w:t>
            </w:r>
          </w:p>
        </w:tc>
        <w:tc>
          <w:tcPr>
            <w:tcW w:w="4522" w:type="dxa"/>
            <w:vAlign w:val="center"/>
          </w:tcPr>
          <w:p w14:paraId="2F5EB8E3">
            <w:pPr>
              <w:spacing w:line="400" w:lineRule="exact"/>
              <w:jc w:val="center"/>
              <w:rPr>
                <w:rFonts w:ascii="宋体" w:hAnsi="宋体" w:cs="宋体"/>
                <w:b/>
                <w:color w:val="auto"/>
                <w:sz w:val="21"/>
                <w:szCs w:val="21"/>
                <w:highlight w:val="none"/>
              </w:rPr>
            </w:pPr>
          </w:p>
          <w:p w14:paraId="414B1E03">
            <w:pPr>
              <w:spacing w:line="400" w:lineRule="exact"/>
              <w:jc w:val="center"/>
              <w:rPr>
                <w:rFonts w:ascii="宋体" w:hAnsi="宋体" w:cs="宋体"/>
                <w:b/>
                <w:color w:val="auto"/>
                <w:sz w:val="21"/>
                <w:szCs w:val="21"/>
                <w:highlight w:val="none"/>
              </w:rPr>
            </w:pPr>
            <w:r>
              <w:rPr>
                <w:rFonts w:hint="eastAsia" w:ascii="宋体" w:hAnsi="宋体" w:cs="宋体"/>
                <w:b/>
                <w:color w:val="auto"/>
                <w:sz w:val="21"/>
                <w:szCs w:val="21"/>
                <w:highlight w:val="none"/>
              </w:rPr>
              <w:t>相关信息</w:t>
            </w:r>
          </w:p>
          <w:p w14:paraId="7BCBA805">
            <w:pPr>
              <w:spacing w:line="400" w:lineRule="exact"/>
              <w:jc w:val="both"/>
              <w:rPr>
                <w:rFonts w:ascii="宋体" w:hAnsi="宋体" w:cs="宋体"/>
                <w:b/>
                <w:color w:val="auto"/>
                <w:sz w:val="21"/>
                <w:szCs w:val="21"/>
                <w:highlight w:val="none"/>
              </w:rPr>
            </w:pPr>
          </w:p>
        </w:tc>
        <w:tc>
          <w:tcPr>
            <w:tcW w:w="930" w:type="dxa"/>
            <w:vAlign w:val="center"/>
          </w:tcPr>
          <w:p w14:paraId="7AF6B13D">
            <w:pPr>
              <w:spacing w:line="400" w:lineRule="exact"/>
              <w:jc w:val="center"/>
              <w:rPr>
                <w:rFonts w:ascii="宋体" w:hAnsi="宋体" w:cs="宋体"/>
                <w:b/>
                <w:color w:val="auto"/>
                <w:sz w:val="21"/>
                <w:szCs w:val="21"/>
                <w:highlight w:val="none"/>
              </w:rPr>
            </w:pPr>
            <w:r>
              <w:rPr>
                <w:rFonts w:hint="eastAsia" w:ascii="宋体" w:hAnsi="宋体" w:cs="宋体"/>
                <w:b/>
                <w:color w:val="auto"/>
                <w:sz w:val="21"/>
                <w:szCs w:val="21"/>
                <w:highlight w:val="none"/>
              </w:rPr>
              <w:t>数量</w:t>
            </w:r>
          </w:p>
        </w:tc>
        <w:tc>
          <w:tcPr>
            <w:tcW w:w="1457" w:type="dxa"/>
            <w:vAlign w:val="center"/>
          </w:tcPr>
          <w:p w14:paraId="41F3CD1F">
            <w:pPr>
              <w:spacing w:line="400" w:lineRule="exact"/>
              <w:jc w:val="center"/>
              <w:rPr>
                <w:rFonts w:ascii="宋体" w:hAnsi="宋体" w:cs="宋体"/>
                <w:b/>
                <w:color w:val="auto"/>
                <w:sz w:val="21"/>
                <w:szCs w:val="21"/>
                <w:highlight w:val="none"/>
              </w:rPr>
            </w:pPr>
            <w:r>
              <w:rPr>
                <w:rFonts w:hint="eastAsia" w:ascii="宋体" w:hAnsi="宋体" w:cs="宋体"/>
                <w:b/>
                <w:color w:val="auto"/>
                <w:sz w:val="21"/>
                <w:szCs w:val="21"/>
                <w:highlight w:val="none"/>
              </w:rPr>
              <w:t>单价（元）</w:t>
            </w:r>
          </w:p>
        </w:tc>
        <w:tc>
          <w:tcPr>
            <w:tcW w:w="3311" w:type="dxa"/>
            <w:vAlign w:val="center"/>
          </w:tcPr>
          <w:p w14:paraId="425EC9A6">
            <w:pPr>
              <w:spacing w:line="400" w:lineRule="exact"/>
              <w:jc w:val="center"/>
              <w:rPr>
                <w:rFonts w:ascii="宋体" w:hAnsi="宋体" w:cs="宋体"/>
                <w:b/>
                <w:color w:val="auto"/>
                <w:sz w:val="21"/>
                <w:szCs w:val="21"/>
                <w:highlight w:val="none"/>
              </w:rPr>
            </w:pPr>
            <w:r>
              <w:rPr>
                <w:rFonts w:hint="eastAsia" w:ascii="宋体" w:hAnsi="宋体" w:cs="宋体"/>
                <w:b/>
                <w:color w:val="auto"/>
                <w:sz w:val="21"/>
                <w:szCs w:val="21"/>
                <w:highlight w:val="none"/>
              </w:rPr>
              <w:t>总价（元）</w:t>
            </w:r>
          </w:p>
          <w:p w14:paraId="3F454C0C">
            <w:pPr>
              <w:spacing w:line="360" w:lineRule="exact"/>
              <w:jc w:val="center"/>
              <w:rPr>
                <w:rFonts w:ascii="宋体" w:hAnsi="宋体" w:cs="宋体"/>
                <w:b/>
                <w:color w:val="auto"/>
                <w:sz w:val="21"/>
                <w:szCs w:val="21"/>
                <w:highlight w:val="none"/>
              </w:rPr>
            </w:pPr>
          </w:p>
        </w:tc>
      </w:tr>
      <w:tr w14:paraId="26ADFDB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7" w:hRule="exact"/>
        </w:trPr>
        <w:tc>
          <w:tcPr>
            <w:tcW w:w="870" w:type="dxa"/>
            <w:vAlign w:val="center"/>
          </w:tcPr>
          <w:p w14:paraId="5CCA97EF">
            <w:pPr>
              <w:spacing w:line="400" w:lineRule="exact"/>
              <w:jc w:val="center"/>
              <w:rPr>
                <w:rFonts w:ascii="宋体" w:hAnsi="宋体" w:cs="宋体"/>
                <w:b/>
                <w:color w:val="auto"/>
                <w:sz w:val="21"/>
                <w:szCs w:val="21"/>
                <w:highlight w:val="none"/>
              </w:rPr>
            </w:pPr>
            <w:r>
              <w:rPr>
                <w:rFonts w:hint="eastAsia" w:ascii="宋体" w:hAnsi="宋体" w:cs="宋体"/>
                <w:b/>
                <w:color w:val="auto"/>
                <w:sz w:val="21"/>
                <w:szCs w:val="21"/>
                <w:highlight w:val="none"/>
              </w:rPr>
              <w:t>1</w:t>
            </w:r>
          </w:p>
        </w:tc>
        <w:tc>
          <w:tcPr>
            <w:tcW w:w="2582" w:type="dxa"/>
            <w:vAlign w:val="center"/>
          </w:tcPr>
          <w:p w14:paraId="24B553D9">
            <w:pPr>
              <w:spacing w:line="400" w:lineRule="exact"/>
              <w:jc w:val="center"/>
              <w:rPr>
                <w:rFonts w:ascii="宋体" w:hAnsi="宋体" w:cs="宋体"/>
                <w:color w:val="auto"/>
                <w:sz w:val="21"/>
                <w:szCs w:val="21"/>
                <w:highlight w:val="none"/>
              </w:rPr>
            </w:pPr>
          </w:p>
        </w:tc>
        <w:tc>
          <w:tcPr>
            <w:tcW w:w="4522" w:type="dxa"/>
            <w:vAlign w:val="center"/>
          </w:tcPr>
          <w:p w14:paraId="49D13B0F">
            <w:pPr>
              <w:spacing w:line="400" w:lineRule="exact"/>
              <w:jc w:val="center"/>
              <w:rPr>
                <w:rFonts w:ascii="宋体" w:hAnsi="宋体" w:cs="宋体"/>
                <w:color w:val="auto"/>
                <w:sz w:val="21"/>
                <w:szCs w:val="21"/>
                <w:highlight w:val="none"/>
              </w:rPr>
            </w:pPr>
          </w:p>
        </w:tc>
        <w:tc>
          <w:tcPr>
            <w:tcW w:w="930" w:type="dxa"/>
            <w:vAlign w:val="center"/>
          </w:tcPr>
          <w:p w14:paraId="1C22E1AA">
            <w:pPr>
              <w:spacing w:line="400" w:lineRule="exact"/>
              <w:jc w:val="center"/>
              <w:rPr>
                <w:rFonts w:ascii="宋体" w:hAnsi="宋体" w:cs="宋体"/>
                <w:color w:val="auto"/>
                <w:sz w:val="21"/>
                <w:szCs w:val="21"/>
                <w:highlight w:val="none"/>
              </w:rPr>
            </w:pPr>
          </w:p>
        </w:tc>
        <w:tc>
          <w:tcPr>
            <w:tcW w:w="1457" w:type="dxa"/>
            <w:vAlign w:val="center"/>
          </w:tcPr>
          <w:p w14:paraId="6F0EBA50">
            <w:pPr>
              <w:spacing w:line="400" w:lineRule="exact"/>
              <w:jc w:val="center"/>
              <w:rPr>
                <w:rFonts w:ascii="宋体" w:hAnsi="宋体" w:cs="宋体"/>
                <w:color w:val="auto"/>
                <w:sz w:val="21"/>
                <w:szCs w:val="21"/>
                <w:highlight w:val="none"/>
              </w:rPr>
            </w:pPr>
          </w:p>
        </w:tc>
        <w:tc>
          <w:tcPr>
            <w:tcW w:w="3311" w:type="dxa"/>
            <w:vAlign w:val="center"/>
          </w:tcPr>
          <w:p w14:paraId="4A781F08">
            <w:pPr>
              <w:spacing w:line="400" w:lineRule="exact"/>
              <w:jc w:val="center"/>
              <w:rPr>
                <w:rFonts w:ascii="宋体" w:hAnsi="宋体" w:cs="宋体"/>
                <w:color w:val="auto"/>
                <w:sz w:val="21"/>
                <w:szCs w:val="21"/>
                <w:highlight w:val="none"/>
              </w:rPr>
            </w:pPr>
          </w:p>
        </w:tc>
      </w:tr>
      <w:tr w14:paraId="3CF2B17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7" w:hRule="exact"/>
        </w:trPr>
        <w:tc>
          <w:tcPr>
            <w:tcW w:w="870" w:type="dxa"/>
            <w:vAlign w:val="center"/>
          </w:tcPr>
          <w:p w14:paraId="204B83D9">
            <w:pPr>
              <w:spacing w:line="400" w:lineRule="exact"/>
              <w:jc w:val="center"/>
              <w:rPr>
                <w:rFonts w:ascii="宋体" w:hAnsi="宋体" w:cs="宋体"/>
                <w:b/>
                <w:color w:val="auto"/>
                <w:sz w:val="21"/>
                <w:szCs w:val="21"/>
                <w:highlight w:val="none"/>
              </w:rPr>
            </w:pPr>
            <w:r>
              <w:rPr>
                <w:rFonts w:hint="eastAsia" w:ascii="宋体" w:hAnsi="宋体" w:cs="宋体"/>
                <w:b/>
                <w:color w:val="auto"/>
                <w:sz w:val="21"/>
                <w:szCs w:val="21"/>
                <w:highlight w:val="none"/>
              </w:rPr>
              <w:t>2</w:t>
            </w:r>
          </w:p>
        </w:tc>
        <w:tc>
          <w:tcPr>
            <w:tcW w:w="2582" w:type="dxa"/>
            <w:vAlign w:val="center"/>
          </w:tcPr>
          <w:p w14:paraId="4935AAF3">
            <w:pPr>
              <w:spacing w:line="400" w:lineRule="exact"/>
              <w:jc w:val="center"/>
              <w:rPr>
                <w:rFonts w:ascii="宋体" w:hAnsi="宋体" w:cs="宋体"/>
                <w:color w:val="auto"/>
                <w:sz w:val="21"/>
                <w:szCs w:val="21"/>
                <w:highlight w:val="none"/>
              </w:rPr>
            </w:pPr>
          </w:p>
        </w:tc>
        <w:tc>
          <w:tcPr>
            <w:tcW w:w="4522" w:type="dxa"/>
            <w:vAlign w:val="center"/>
          </w:tcPr>
          <w:p w14:paraId="64C129B1">
            <w:pPr>
              <w:spacing w:line="400" w:lineRule="exact"/>
              <w:jc w:val="center"/>
              <w:rPr>
                <w:rFonts w:ascii="宋体" w:hAnsi="宋体" w:cs="宋体"/>
                <w:color w:val="auto"/>
                <w:sz w:val="21"/>
                <w:szCs w:val="21"/>
                <w:highlight w:val="none"/>
              </w:rPr>
            </w:pPr>
          </w:p>
        </w:tc>
        <w:tc>
          <w:tcPr>
            <w:tcW w:w="930" w:type="dxa"/>
            <w:vAlign w:val="center"/>
          </w:tcPr>
          <w:p w14:paraId="192048CD">
            <w:pPr>
              <w:spacing w:line="400" w:lineRule="exact"/>
              <w:jc w:val="center"/>
              <w:rPr>
                <w:rFonts w:ascii="宋体" w:hAnsi="宋体" w:cs="宋体"/>
                <w:color w:val="auto"/>
                <w:sz w:val="21"/>
                <w:szCs w:val="21"/>
                <w:highlight w:val="none"/>
              </w:rPr>
            </w:pPr>
          </w:p>
        </w:tc>
        <w:tc>
          <w:tcPr>
            <w:tcW w:w="1457" w:type="dxa"/>
            <w:vAlign w:val="center"/>
          </w:tcPr>
          <w:p w14:paraId="73EBA47F">
            <w:pPr>
              <w:spacing w:line="400" w:lineRule="exact"/>
              <w:jc w:val="center"/>
              <w:rPr>
                <w:rFonts w:ascii="宋体" w:hAnsi="宋体" w:cs="宋体"/>
                <w:color w:val="auto"/>
                <w:sz w:val="21"/>
                <w:szCs w:val="21"/>
                <w:highlight w:val="none"/>
              </w:rPr>
            </w:pPr>
          </w:p>
        </w:tc>
        <w:tc>
          <w:tcPr>
            <w:tcW w:w="3311" w:type="dxa"/>
            <w:vAlign w:val="center"/>
          </w:tcPr>
          <w:p w14:paraId="35467B7C">
            <w:pPr>
              <w:spacing w:line="400" w:lineRule="exact"/>
              <w:jc w:val="center"/>
              <w:rPr>
                <w:rFonts w:ascii="宋体" w:hAnsi="宋体" w:cs="宋体"/>
                <w:color w:val="auto"/>
                <w:sz w:val="21"/>
                <w:szCs w:val="21"/>
                <w:highlight w:val="none"/>
              </w:rPr>
            </w:pPr>
          </w:p>
        </w:tc>
      </w:tr>
      <w:tr w14:paraId="2918185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7" w:hRule="exact"/>
        </w:trPr>
        <w:tc>
          <w:tcPr>
            <w:tcW w:w="870" w:type="dxa"/>
            <w:vAlign w:val="center"/>
          </w:tcPr>
          <w:p w14:paraId="16050970">
            <w:pPr>
              <w:spacing w:line="400" w:lineRule="exact"/>
              <w:jc w:val="center"/>
              <w:rPr>
                <w:rFonts w:ascii="宋体" w:hAnsi="宋体" w:cs="宋体"/>
                <w:b/>
                <w:color w:val="auto"/>
                <w:sz w:val="21"/>
                <w:szCs w:val="21"/>
                <w:highlight w:val="none"/>
              </w:rPr>
            </w:pPr>
            <w:r>
              <w:rPr>
                <w:rFonts w:hint="eastAsia" w:ascii="宋体" w:hAnsi="宋体" w:cs="宋体"/>
                <w:b/>
                <w:color w:val="auto"/>
                <w:sz w:val="21"/>
                <w:szCs w:val="21"/>
                <w:highlight w:val="none"/>
              </w:rPr>
              <w:t>3</w:t>
            </w:r>
          </w:p>
        </w:tc>
        <w:tc>
          <w:tcPr>
            <w:tcW w:w="2582" w:type="dxa"/>
            <w:vAlign w:val="center"/>
          </w:tcPr>
          <w:p w14:paraId="6392F3FE">
            <w:pPr>
              <w:spacing w:line="400" w:lineRule="exact"/>
              <w:jc w:val="center"/>
              <w:rPr>
                <w:rFonts w:ascii="宋体" w:hAnsi="宋体" w:cs="宋体"/>
                <w:color w:val="auto"/>
                <w:sz w:val="21"/>
                <w:szCs w:val="21"/>
                <w:highlight w:val="none"/>
              </w:rPr>
            </w:pPr>
          </w:p>
        </w:tc>
        <w:tc>
          <w:tcPr>
            <w:tcW w:w="4522" w:type="dxa"/>
            <w:vAlign w:val="center"/>
          </w:tcPr>
          <w:p w14:paraId="5D439BB3">
            <w:pPr>
              <w:spacing w:line="400" w:lineRule="exact"/>
              <w:jc w:val="center"/>
              <w:rPr>
                <w:rFonts w:ascii="宋体" w:hAnsi="宋体" w:cs="宋体"/>
                <w:color w:val="auto"/>
                <w:sz w:val="21"/>
                <w:szCs w:val="21"/>
                <w:highlight w:val="none"/>
              </w:rPr>
            </w:pPr>
          </w:p>
        </w:tc>
        <w:tc>
          <w:tcPr>
            <w:tcW w:w="930" w:type="dxa"/>
            <w:vAlign w:val="center"/>
          </w:tcPr>
          <w:p w14:paraId="6CD5766B">
            <w:pPr>
              <w:spacing w:line="400" w:lineRule="exact"/>
              <w:jc w:val="center"/>
              <w:rPr>
                <w:rFonts w:ascii="宋体" w:hAnsi="宋体" w:cs="宋体"/>
                <w:color w:val="auto"/>
                <w:sz w:val="21"/>
                <w:szCs w:val="21"/>
                <w:highlight w:val="none"/>
              </w:rPr>
            </w:pPr>
          </w:p>
        </w:tc>
        <w:tc>
          <w:tcPr>
            <w:tcW w:w="1457" w:type="dxa"/>
            <w:vAlign w:val="center"/>
          </w:tcPr>
          <w:p w14:paraId="67CD9B8D">
            <w:pPr>
              <w:spacing w:line="400" w:lineRule="exact"/>
              <w:jc w:val="center"/>
              <w:rPr>
                <w:rFonts w:ascii="宋体" w:hAnsi="宋体" w:cs="宋体"/>
                <w:color w:val="auto"/>
                <w:sz w:val="21"/>
                <w:szCs w:val="21"/>
                <w:highlight w:val="none"/>
              </w:rPr>
            </w:pPr>
          </w:p>
        </w:tc>
        <w:tc>
          <w:tcPr>
            <w:tcW w:w="3311" w:type="dxa"/>
            <w:vAlign w:val="center"/>
          </w:tcPr>
          <w:p w14:paraId="4B74106C">
            <w:pPr>
              <w:spacing w:line="400" w:lineRule="exact"/>
              <w:jc w:val="center"/>
              <w:rPr>
                <w:rFonts w:ascii="宋体" w:hAnsi="宋体" w:cs="宋体"/>
                <w:color w:val="auto"/>
                <w:sz w:val="21"/>
                <w:szCs w:val="21"/>
                <w:highlight w:val="none"/>
              </w:rPr>
            </w:pPr>
          </w:p>
        </w:tc>
      </w:tr>
      <w:tr w14:paraId="687ECE2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7" w:hRule="exact"/>
        </w:trPr>
        <w:tc>
          <w:tcPr>
            <w:tcW w:w="870" w:type="dxa"/>
            <w:vAlign w:val="center"/>
          </w:tcPr>
          <w:p w14:paraId="2526FCF0">
            <w:pPr>
              <w:spacing w:line="400" w:lineRule="exact"/>
              <w:jc w:val="center"/>
              <w:rPr>
                <w:rFonts w:ascii="宋体" w:hAnsi="宋体" w:cs="宋体"/>
                <w:color w:val="auto"/>
                <w:sz w:val="21"/>
                <w:szCs w:val="21"/>
                <w:highlight w:val="none"/>
              </w:rPr>
            </w:pPr>
            <w:r>
              <w:rPr>
                <w:rFonts w:hint="eastAsia" w:ascii="宋体" w:hAnsi="宋体" w:cs="宋体"/>
                <w:b/>
                <w:color w:val="auto"/>
                <w:sz w:val="21"/>
                <w:szCs w:val="21"/>
                <w:highlight w:val="none"/>
              </w:rPr>
              <w:t>…</w:t>
            </w:r>
          </w:p>
        </w:tc>
        <w:tc>
          <w:tcPr>
            <w:tcW w:w="2582" w:type="dxa"/>
            <w:vAlign w:val="center"/>
          </w:tcPr>
          <w:p w14:paraId="66A1A7ED">
            <w:pPr>
              <w:spacing w:line="400" w:lineRule="exact"/>
              <w:jc w:val="center"/>
              <w:rPr>
                <w:rFonts w:ascii="宋体" w:hAnsi="宋体" w:cs="宋体"/>
                <w:color w:val="auto"/>
                <w:sz w:val="21"/>
                <w:szCs w:val="21"/>
                <w:highlight w:val="none"/>
              </w:rPr>
            </w:pPr>
          </w:p>
        </w:tc>
        <w:tc>
          <w:tcPr>
            <w:tcW w:w="4522" w:type="dxa"/>
            <w:vAlign w:val="center"/>
          </w:tcPr>
          <w:p w14:paraId="785C74E2">
            <w:pPr>
              <w:spacing w:line="400" w:lineRule="exact"/>
              <w:jc w:val="center"/>
              <w:rPr>
                <w:rFonts w:ascii="宋体" w:hAnsi="宋体" w:cs="宋体"/>
                <w:color w:val="auto"/>
                <w:sz w:val="21"/>
                <w:szCs w:val="21"/>
                <w:highlight w:val="none"/>
              </w:rPr>
            </w:pPr>
          </w:p>
        </w:tc>
        <w:tc>
          <w:tcPr>
            <w:tcW w:w="930" w:type="dxa"/>
            <w:vAlign w:val="center"/>
          </w:tcPr>
          <w:p w14:paraId="121043EB">
            <w:pPr>
              <w:spacing w:line="400" w:lineRule="exact"/>
              <w:jc w:val="center"/>
              <w:rPr>
                <w:rFonts w:ascii="宋体" w:hAnsi="宋体" w:cs="宋体"/>
                <w:color w:val="auto"/>
                <w:sz w:val="21"/>
                <w:szCs w:val="21"/>
                <w:highlight w:val="none"/>
              </w:rPr>
            </w:pPr>
          </w:p>
        </w:tc>
        <w:tc>
          <w:tcPr>
            <w:tcW w:w="1457" w:type="dxa"/>
            <w:vAlign w:val="center"/>
          </w:tcPr>
          <w:p w14:paraId="02E8B4C9">
            <w:pPr>
              <w:spacing w:line="400" w:lineRule="exact"/>
              <w:jc w:val="center"/>
              <w:rPr>
                <w:rFonts w:ascii="宋体" w:hAnsi="宋体" w:cs="宋体"/>
                <w:color w:val="auto"/>
                <w:sz w:val="21"/>
                <w:szCs w:val="21"/>
                <w:highlight w:val="none"/>
              </w:rPr>
            </w:pPr>
          </w:p>
        </w:tc>
        <w:tc>
          <w:tcPr>
            <w:tcW w:w="3311" w:type="dxa"/>
            <w:vAlign w:val="center"/>
          </w:tcPr>
          <w:p w14:paraId="786B8AB2">
            <w:pPr>
              <w:spacing w:line="400" w:lineRule="exact"/>
              <w:jc w:val="center"/>
              <w:rPr>
                <w:rFonts w:ascii="宋体" w:hAnsi="宋体" w:cs="宋体"/>
                <w:color w:val="auto"/>
                <w:sz w:val="21"/>
                <w:szCs w:val="21"/>
                <w:highlight w:val="none"/>
              </w:rPr>
            </w:pPr>
          </w:p>
        </w:tc>
      </w:tr>
      <w:tr w14:paraId="18DF2E1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7" w:hRule="exact"/>
        </w:trPr>
        <w:tc>
          <w:tcPr>
            <w:tcW w:w="10361" w:type="dxa"/>
            <w:gridSpan w:val="5"/>
            <w:vAlign w:val="center"/>
          </w:tcPr>
          <w:p w14:paraId="45DA4ABD">
            <w:pPr>
              <w:spacing w:line="400" w:lineRule="exact"/>
              <w:rPr>
                <w:rFonts w:ascii="宋体" w:hAnsi="宋体" w:cs="宋体"/>
                <w:b/>
                <w:color w:val="auto"/>
                <w:sz w:val="21"/>
                <w:szCs w:val="21"/>
                <w:highlight w:val="none"/>
              </w:rPr>
            </w:pPr>
            <w:r>
              <w:rPr>
                <w:rFonts w:hint="eastAsia" w:ascii="宋体" w:hAnsi="宋体" w:cs="宋体"/>
                <w:b/>
                <w:color w:val="auto"/>
                <w:sz w:val="21"/>
                <w:szCs w:val="21"/>
                <w:highlight w:val="none"/>
              </w:rPr>
              <w:t>以上所有报价合计：（大写）</w:t>
            </w:r>
          </w:p>
        </w:tc>
        <w:tc>
          <w:tcPr>
            <w:tcW w:w="3311" w:type="dxa"/>
            <w:vAlign w:val="center"/>
          </w:tcPr>
          <w:p w14:paraId="5E1A1EF9">
            <w:pPr>
              <w:spacing w:line="400" w:lineRule="exact"/>
              <w:rPr>
                <w:rFonts w:ascii="宋体" w:hAnsi="宋体" w:cs="宋体"/>
                <w:b/>
                <w:color w:val="auto"/>
                <w:sz w:val="21"/>
                <w:szCs w:val="21"/>
                <w:highlight w:val="none"/>
              </w:rPr>
            </w:pPr>
            <w:r>
              <w:rPr>
                <w:rFonts w:hint="eastAsia" w:ascii="宋体" w:hAnsi="宋体" w:cs="宋体"/>
                <w:b/>
                <w:color w:val="auto"/>
                <w:sz w:val="21"/>
                <w:szCs w:val="21"/>
                <w:highlight w:val="none"/>
              </w:rPr>
              <w:t>￥：（小写）</w:t>
            </w:r>
          </w:p>
        </w:tc>
      </w:tr>
      <w:tr w14:paraId="5105984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231" w:hRule="exact"/>
        </w:trPr>
        <w:tc>
          <w:tcPr>
            <w:tcW w:w="13672" w:type="dxa"/>
            <w:gridSpan w:val="6"/>
          </w:tcPr>
          <w:p w14:paraId="51630C9E">
            <w:pPr>
              <w:spacing w:line="400" w:lineRule="exact"/>
              <w:jc w:val="both"/>
              <w:rPr>
                <w:rFonts w:ascii="宋体" w:hAnsi="宋体" w:cs="宋体"/>
                <w:b/>
                <w:color w:val="auto"/>
                <w:sz w:val="21"/>
                <w:szCs w:val="21"/>
                <w:highlight w:val="none"/>
              </w:rPr>
            </w:pPr>
            <w:r>
              <w:rPr>
                <w:rFonts w:hint="eastAsia" w:ascii="宋体" w:hAnsi="宋体" w:cs="宋体"/>
                <w:b/>
                <w:color w:val="auto"/>
                <w:sz w:val="21"/>
                <w:szCs w:val="21"/>
                <w:highlight w:val="none"/>
              </w:rPr>
              <w:t>备注：此表需根据招标文件第四章采购需求中所列内容做分项报价格。</w:t>
            </w:r>
          </w:p>
          <w:p w14:paraId="3C428756">
            <w:pPr>
              <w:spacing w:line="400" w:lineRule="exact"/>
              <w:jc w:val="both"/>
              <w:rPr>
                <w:rFonts w:ascii="宋体" w:hAnsi="宋体" w:cs="宋体"/>
                <w:color w:val="auto"/>
                <w:sz w:val="21"/>
                <w:szCs w:val="21"/>
                <w:highlight w:val="none"/>
              </w:rPr>
            </w:pPr>
          </w:p>
        </w:tc>
      </w:tr>
    </w:tbl>
    <w:p w14:paraId="765B1613">
      <w:pPr>
        <w:spacing w:line="432" w:lineRule="auto"/>
        <w:rPr>
          <w:rFonts w:ascii="宋体" w:hAnsi="宋体" w:cs="宋体"/>
          <w:b/>
          <w:color w:val="auto"/>
          <w:sz w:val="21"/>
          <w:szCs w:val="21"/>
          <w:highlight w:val="none"/>
        </w:rPr>
      </w:pPr>
    </w:p>
    <w:p w14:paraId="6AEFDE71">
      <w:pPr>
        <w:spacing w:afterLines="50" w:line="360" w:lineRule="auto"/>
        <w:rPr>
          <w:rFonts w:ascii="宋体" w:hAnsi="宋体" w:cs="宋体"/>
          <w:b/>
          <w:color w:val="auto"/>
          <w:szCs w:val="24"/>
          <w:highlight w:val="none"/>
        </w:rPr>
      </w:pPr>
      <w:r>
        <w:rPr>
          <w:rFonts w:hint="eastAsia" w:ascii="宋体" w:hAnsi="宋体" w:cs="宋体"/>
          <w:b/>
          <w:color w:val="auto"/>
          <w:highlight w:val="none"/>
        </w:rPr>
        <w:t>投标人代表签字或签章</w:t>
      </w:r>
      <w:r>
        <w:rPr>
          <w:rFonts w:hint="eastAsia" w:ascii="宋体" w:hAnsi="宋体" w:cs="宋体"/>
          <w:b/>
          <w:color w:val="auto"/>
          <w:szCs w:val="24"/>
          <w:highlight w:val="none"/>
        </w:rPr>
        <w:t>：________________</w:t>
      </w:r>
    </w:p>
    <w:p w14:paraId="3AF284C8">
      <w:pPr>
        <w:rPr>
          <w:rFonts w:ascii="宋体" w:hAnsi="宋体" w:cs="宋体"/>
          <w:color w:val="auto"/>
          <w:highlight w:val="none"/>
        </w:rPr>
      </w:pPr>
      <w:r>
        <w:rPr>
          <w:rFonts w:hint="eastAsia" w:ascii="宋体" w:hAnsi="宋体" w:cs="宋体"/>
          <w:b/>
          <w:color w:val="auto"/>
          <w:highlight w:val="none"/>
        </w:rPr>
        <w:t>投标人（签章）：</w:t>
      </w:r>
      <w:r>
        <w:rPr>
          <w:rFonts w:hint="eastAsia" w:ascii="宋体" w:hAnsi="宋体" w:cs="宋体"/>
          <w:b/>
          <w:color w:val="auto"/>
          <w:szCs w:val="24"/>
          <w:highlight w:val="none"/>
        </w:rPr>
        <w:t>________________</w:t>
      </w:r>
    </w:p>
    <w:p w14:paraId="5D5075E9">
      <w:pPr>
        <w:rPr>
          <w:rFonts w:ascii="宋体" w:hAnsi="宋体" w:cs="宋体"/>
          <w:color w:val="auto"/>
          <w:highlight w:val="none"/>
        </w:rPr>
      </w:pPr>
    </w:p>
    <w:p w14:paraId="5EE69B39">
      <w:pPr>
        <w:pStyle w:val="4"/>
        <w:rPr>
          <w:color w:val="auto"/>
          <w:highlight w:val="none"/>
        </w:rPr>
        <w:sectPr>
          <w:pgSz w:w="16838" w:h="11906" w:orient="landscape"/>
          <w:pgMar w:top="1440" w:right="1440" w:bottom="1440" w:left="1440" w:header="851" w:footer="992" w:gutter="0"/>
          <w:pgNumType w:fmt="decimal"/>
          <w:cols w:space="720" w:num="1"/>
          <w:docGrid w:type="linesAndChars" w:linePitch="312" w:charSpace="0"/>
        </w:sectPr>
      </w:pPr>
    </w:p>
    <w:p w14:paraId="5B479C83">
      <w:pPr>
        <w:jc w:val="center"/>
        <w:rPr>
          <w:b/>
          <w:bCs/>
          <w:color w:val="auto"/>
          <w:sz w:val="36"/>
          <w:szCs w:val="24"/>
          <w:highlight w:val="none"/>
        </w:rPr>
      </w:pPr>
      <w:bookmarkStart w:id="55" w:name="_Toc7429559"/>
      <w:bookmarkStart w:id="56" w:name="_Toc25374"/>
      <w:r>
        <w:rPr>
          <w:b/>
          <w:bCs/>
          <w:color w:val="auto"/>
          <w:sz w:val="36"/>
          <w:szCs w:val="24"/>
          <w:highlight w:val="none"/>
        </w:rPr>
        <w:t>5</w:t>
      </w:r>
      <w:r>
        <w:rPr>
          <w:rFonts w:hint="eastAsia"/>
          <w:b/>
          <w:bCs/>
          <w:color w:val="auto"/>
          <w:sz w:val="36"/>
          <w:szCs w:val="24"/>
          <w:highlight w:val="none"/>
        </w:rPr>
        <w:t>.商务</w:t>
      </w:r>
      <w:bookmarkStart w:id="57" w:name="_Hlk132899869"/>
      <w:r>
        <w:rPr>
          <w:rFonts w:hint="eastAsia"/>
          <w:b/>
          <w:bCs/>
          <w:color w:val="auto"/>
          <w:sz w:val="36"/>
          <w:szCs w:val="24"/>
          <w:highlight w:val="none"/>
        </w:rPr>
        <w:t>条款</w:t>
      </w:r>
      <w:bookmarkEnd w:id="57"/>
      <w:r>
        <w:rPr>
          <w:rFonts w:hint="eastAsia"/>
          <w:b/>
          <w:bCs/>
          <w:color w:val="auto"/>
          <w:sz w:val="36"/>
          <w:szCs w:val="24"/>
          <w:highlight w:val="none"/>
        </w:rPr>
        <w:t>响应/偏离表（格式）</w:t>
      </w:r>
      <w:bookmarkEnd w:id="55"/>
      <w:bookmarkEnd w:id="56"/>
    </w:p>
    <w:p w14:paraId="1EBA19F4">
      <w:pPr>
        <w:spacing w:line="400" w:lineRule="exact"/>
        <w:rPr>
          <w:rFonts w:ascii="宋体" w:hAnsi="宋体" w:cs="宋体"/>
          <w:color w:val="auto"/>
          <w:highlight w:val="none"/>
        </w:rPr>
      </w:pPr>
      <w:r>
        <w:rPr>
          <w:rFonts w:hint="eastAsia" w:ascii="宋体" w:hAnsi="宋体" w:cs="宋体"/>
          <w:color w:val="auto"/>
          <w:highlight w:val="none"/>
        </w:rPr>
        <w:t>投标人名称：</w:t>
      </w:r>
    </w:p>
    <w:p w14:paraId="17020789">
      <w:pPr>
        <w:spacing w:line="400" w:lineRule="exact"/>
        <w:rPr>
          <w:rFonts w:ascii="宋体" w:hAnsi="宋体" w:cs="宋体"/>
          <w:color w:val="auto"/>
          <w:highlight w:val="none"/>
          <w:u w:val="single"/>
        </w:rPr>
      </w:pPr>
      <w:r>
        <w:rPr>
          <w:rFonts w:hint="eastAsia" w:ascii="宋体" w:hAnsi="宋体" w:cs="宋体"/>
          <w:color w:val="auto"/>
          <w:highlight w:val="none"/>
        </w:rPr>
        <w:t>项目编号：</w:t>
      </w:r>
    </w:p>
    <w:tbl>
      <w:tblPr>
        <w:tblStyle w:val="27"/>
        <w:tblW w:w="924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3"/>
        <w:gridCol w:w="1978"/>
        <w:gridCol w:w="2394"/>
        <w:gridCol w:w="2399"/>
        <w:gridCol w:w="823"/>
        <w:gridCol w:w="835"/>
      </w:tblGrid>
      <w:tr w14:paraId="62C455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82" w:hRule="atLeast"/>
        </w:trPr>
        <w:tc>
          <w:tcPr>
            <w:tcW w:w="813" w:type="dxa"/>
            <w:vAlign w:val="center"/>
          </w:tcPr>
          <w:p w14:paraId="0E135BE3">
            <w:pPr>
              <w:spacing w:line="400" w:lineRule="exact"/>
              <w:jc w:val="center"/>
              <w:rPr>
                <w:rFonts w:ascii="宋体" w:hAnsi="宋体" w:cs="宋体"/>
                <w:color w:val="auto"/>
                <w:highlight w:val="none"/>
              </w:rPr>
            </w:pPr>
            <w:r>
              <w:rPr>
                <w:rFonts w:hint="eastAsia" w:ascii="宋体" w:hAnsi="宋体" w:cs="宋体"/>
                <w:color w:val="auto"/>
                <w:highlight w:val="none"/>
              </w:rPr>
              <w:t>序号</w:t>
            </w:r>
          </w:p>
        </w:tc>
        <w:tc>
          <w:tcPr>
            <w:tcW w:w="1978" w:type="dxa"/>
            <w:vAlign w:val="center"/>
          </w:tcPr>
          <w:p w14:paraId="7344771B">
            <w:pPr>
              <w:spacing w:line="400" w:lineRule="exact"/>
              <w:jc w:val="center"/>
              <w:rPr>
                <w:rFonts w:ascii="宋体" w:hAnsi="宋体" w:cs="宋体"/>
                <w:color w:val="auto"/>
                <w:highlight w:val="none"/>
              </w:rPr>
            </w:pPr>
            <w:r>
              <w:rPr>
                <w:rFonts w:hint="eastAsia" w:ascii="宋体" w:hAnsi="宋体" w:cs="宋体"/>
                <w:color w:val="auto"/>
                <w:highlight w:val="none"/>
              </w:rPr>
              <w:t>招标文件条目号</w:t>
            </w:r>
          </w:p>
        </w:tc>
        <w:tc>
          <w:tcPr>
            <w:tcW w:w="2394" w:type="dxa"/>
            <w:vAlign w:val="center"/>
          </w:tcPr>
          <w:p w14:paraId="3B6CC988">
            <w:pPr>
              <w:spacing w:line="400" w:lineRule="exact"/>
              <w:jc w:val="center"/>
              <w:rPr>
                <w:rFonts w:ascii="宋体" w:hAnsi="宋体" w:cs="宋体"/>
                <w:color w:val="auto"/>
                <w:highlight w:val="none"/>
              </w:rPr>
            </w:pPr>
            <w:r>
              <w:rPr>
                <w:rFonts w:hint="eastAsia" w:ascii="宋体" w:hAnsi="宋体" w:cs="宋体"/>
                <w:color w:val="auto"/>
                <w:highlight w:val="none"/>
              </w:rPr>
              <w:t>招标文件的商务条款</w:t>
            </w:r>
          </w:p>
        </w:tc>
        <w:tc>
          <w:tcPr>
            <w:tcW w:w="2399" w:type="dxa"/>
            <w:vAlign w:val="center"/>
          </w:tcPr>
          <w:p w14:paraId="30ECCDF3">
            <w:pPr>
              <w:spacing w:line="400" w:lineRule="exact"/>
              <w:jc w:val="center"/>
              <w:rPr>
                <w:rFonts w:ascii="宋体" w:hAnsi="宋体" w:cs="宋体"/>
                <w:color w:val="auto"/>
                <w:highlight w:val="none"/>
              </w:rPr>
            </w:pPr>
            <w:r>
              <w:rPr>
                <w:rFonts w:hint="eastAsia" w:ascii="宋体" w:hAnsi="宋体" w:cs="宋体"/>
                <w:color w:val="auto"/>
                <w:highlight w:val="none"/>
              </w:rPr>
              <w:t>投标文件的应答</w:t>
            </w:r>
          </w:p>
        </w:tc>
        <w:tc>
          <w:tcPr>
            <w:tcW w:w="823" w:type="dxa"/>
            <w:vAlign w:val="center"/>
          </w:tcPr>
          <w:p w14:paraId="7BB1734F">
            <w:pPr>
              <w:spacing w:line="400" w:lineRule="exact"/>
              <w:jc w:val="center"/>
              <w:rPr>
                <w:rFonts w:ascii="宋体" w:hAnsi="宋体" w:cs="宋体"/>
                <w:color w:val="auto"/>
                <w:highlight w:val="none"/>
              </w:rPr>
            </w:pPr>
            <w:r>
              <w:rPr>
                <w:rFonts w:hint="eastAsia" w:ascii="宋体" w:hAnsi="宋体" w:cs="宋体"/>
                <w:color w:val="auto"/>
                <w:highlight w:val="none"/>
              </w:rPr>
              <w:t>响应/偏离</w:t>
            </w:r>
          </w:p>
        </w:tc>
        <w:tc>
          <w:tcPr>
            <w:tcW w:w="835" w:type="dxa"/>
            <w:vAlign w:val="center"/>
          </w:tcPr>
          <w:p w14:paraId="6AEF1AD2">
            <w:pPr>
              <w:spacing w:line="400" w:lineRule="exact"/>
              <w:jc w:val="center"/>
              <w:rPr>
                <w:rFonts w:ascii="宋体" w:hAnsi="宋体" w:cs="宋体"/>
                <w:color w:val="auto"/>
                <w:highlight w:val="none"/>
              </w:rPr>
            </w:pPr>
            <w:r>
              <w:rPr>
                <w:rFonts w:hint="eastAsia" w:ascii="宋体" w:hAnsi="宋体" w:cs="宋体"/>
                <w:color w:val="auto"/>
                <w:highlight w:val="none"/>
              </w:rPr>
              <w:t>说明</w:t>
            </w:r>
          </w:p>
        </w:tc>
      </w:tr>
      <w:tr w14:paraId="6BCF51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5" w:hRule="atLeast"/>
        </w:trPr>
        <w:tc>
          <w:tcPr>
            <w:tcW w:w="813" w:type="dxa"/>
          </w:tcPr>
          <w:p w14:paraId="520B4341">
            <w:pPr>
              <w:spacing w:line="400" w:lineRule="exact"/>
              <w:rPr>
                <w:rFonts w:ascii="宋体" w:hAnsi="宋体" w:cs="宋体"/>
                <w:color w:val="auto"/>
                <w:highlight w:val="none"/>
              </w:rPr>
            </w:pPr>
          </w:p>
        </w:tc>
        <w:tc>
          <w:tcPr>
            <w:tcW w:w="1978" w:type="dxa"/>
          </w:tcPr>
          <w:p w14:paraId="2B64E29B">
            <w:pPr>
              <w:spacing w:line="400" w:lineRule="exact"/>
              <w:rPr>
                <w:rFonts w:ascii="宋体" w:hAnsi="宋体" w:cs="宋体"/>
                <w:color w:val="auto"/>
                <w:highlight w:val="none"/>
              </w:rPr>
            </w:pPr>
          </w:p>
        </w:tc>
        <w:tc>
          <w:tcPr>
            <w:tcW w:w="2394" w:type="dxa"/>
          </w:tcPr>
          <w:p w14:paraId="5A971FB6">
            <w:pPr>
              <w:spacing w:line="400" w:lineRule="exact"/>
              <w:rPr>
                <w:rFonts w:ascii="宋体" w:hAnsi="宋体" w:cs="宋体"/>
                <w:color w:val="auto"/>
                <w:highlight w:val="none"/>
              </w:rPr>
            </w:pPr>
          </w:p>
        </w:tc>
        <w:tc>
          <w:tcPr>
            <w:tcW w:w="2399" w:type="dxa"/>
          </w:tcPr>
          <w:p w14:paraId="178C7DD8">
            <w:pPr>
              <w:spacing w:line="400" w:lineRule="exact"/>
              <w:rPr>
                <w:rFonts w:ascii="宋体" w:hAnsi="宋体" w:cs="宋体"/>
                <w:color w:val="auto"/>
                <w:highlight w:val="none"/>
              </w:rPr>
            </w:pPr>
          </w:p>
        </w:tc>
        <w:tc>
          <w:tcPr>
            <w:tcW w:w="823" w:type="dxa"/>
          </w:tcPr>
          <w:p w14:paraId="7A490F7A">
            <w:pPr>
              <w:spacing w:line="400" w:lineRule="exact"/>
              <w:rPr>
                <w:rFonts w:ascii="宋体" w:hAnsi="宋体" w:cs="宋体"/>
                <w:color w:val="auto"/>
                <w:highlight w:val="none"/>
              </w:rPr>
            </w:pPr>
          </w:p>
        </w:tc>
        <w:tc>
          <w:tcPr>
            <w:tcW w:w="835" w:type="dxa"/>
          </w:tcPr>
          <w:p w14:paraId="7A44B5EB">
            <w:pPr>
              <w:spacing w:line="400" w:lineRule="exact"/>
              <w:rPr>
                <w:rFonts w:ascii="宋体" w:hAnsi="宋体" w:cs="宋体"/>
                <w:color w:val="auto"/>
                <w:highlight w:val="none"/>
              </w:rPr>
            </w:pPr>
          </w:p>
        </w:tc>
      </w:tr>
      <w:tr w14:paraId="29FAC2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7" w:hRule="atLeast"/>
        </w:trPr>
        <w:tc>
          <w:tcPr>
            <w:tcW w:w="813" w:type="dxa"/>
          </w:tcPr>
          <w:p w14:paraId="7C0F73AE">
            <w:pPr>
              <w:spacing w:line="400" w:lineRule="exact"/>
              <w:rPr>
                <w:rFonts w:ascii="宋体" w:hAnsi="宋体" w:cs="宋体"/>
                <w:color w:val="auto"/>
                <w:highlight w:val="none"/>
              </w:rPr>
            </w:pPr>
          </w:p>
        </w:tc>
        <w:tc>
          <w:tcPr>
            <w:tcW w:w="1978" w:type="dxa"/>
          </w:tcPr>
          <w:p w14:paraId="32BD4208">
            <w:pPr>
              <w:spacing w:line="400" w:lineRule="exact"/>
              <w:rPr>
                <w:rFonts w:ascii="宋体" w:hAnsi="宋体" w:cs="宋体"/>
                <w:color w:val="auto"/>
                <w:highlight w:val="none"/>
              </w:rPr>
            </w:pPr>
          </w:p>
        </w:tc>
        <w:tc>
          <w:tcPr>
            <w:tcW w:w="2394" w:type="dxa"/>
          </w:tcPr>
          <w:p w14:paraId="3A81F751">
            <w:pPr>
              <w:spacing w:line="400" w:lineRule="exact"/>
              <w:rPr>
                <w:rFonts w:ascii="宋体" w:hAnsi="宋体" w:cs="宋体"/>
                <w:color w:val="auto"/>
                <w:highlight w:val="none"/>
              </w:rPr>
            </w:pPr>
          </w:p>
        </w:tc>
        <w:tc>
          <w:tcPr>
            <w:tcW w:w="2399" w:type="dxa"/>
          </w:tcPr>
          <w:p w14:paraId="78A355FB">
            <w:pPr>
              <w:spacing w:line="400" w:lineRule="exact"/>
              <w:rPr>
                <w:rFonts w:ascii="宋体" w:hAnsi="宋体" w:cs="宋体"/>
                <w:color w:val="auto"/>
                <w:highlight w:val="none"/>
              </w:rPr>
            </w:pPr>
          </w:p>
        </w:tc>
        <w:tc>
          <w:tcPr>
            <w:tcW w:w="823" w:type="dxa"/>
          </w:tcPr>
          <w:p w14:paraId="0DD52C08">
            <w:pPr>
              <w:spacing w:line="400" w:lineRule="exact"/>
              <w:rPr>
                <w:rFonts w:ascii="宋体" w:hAnsi="宋体" w:cs="宋体"/>
                <w:color w:val="auto"/>
                <w:highlight w:val="none"/>
              </w:rPr>
            </w:pPr>
          </w:p>
        </w:tc>
        <w:tc>
          <w:tcPr>
            <w:tcW w:w="835" w:type="dxa"/>
          </w:tcPr>
          <w:p w14:paraId="1BDA3A98">
            <w:pPr>
              <w:spacing w:line="400" w:lineRule="exact"/>
              <w:rPr>
                <w:rFonts w:ascii="宋体" w:hAnsi="宋体" w:cs="宋体"/>
                <w:color w:val="auto"/>
                <w:highlight w:val="none"/>
              </w:rPr>
            </w:pPr>
          </w:p>
        </w:tc>
      </w:tr>
      <w:tr w14:paraId="7E68B7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7" w:hRule="atLeast"/>
        </w:trPr>
        <w:tc>
          <w:tcPr>
            <w:tcW w:w="813" w:type="dxa"/>
          </w:tcPr>
          <w:p w14:paraId="2378028C">
            <w:pPr>
              <w:spacing w:line="400" w:lineRule="exact"/>
              <w:rPr>
                <w:rFonts w:ascii="宋体" w:hAnsi="宋体" w:cs="宋体"/>
                <w:color w:val="auto"/>
                <w:highlight w:val="none"/>
              </w:rPr>
            </w:pPr>
          </w:p>
        </w:tc>
        <w:tc>
          <w:tcPr>
            <w:tcW w:w="1978" w:type="dxa"/>
          </w:tcPr>
          <w:p w14:paraId="02D4016F">
            <w:pPr>
              <w:spacing w:line="400" w:lineRule="exact"/>
              <w:rPr>
                <w:rFonts w:ascii="宋体" w:hAnsi="宋体" w:cs="宋体"/>
                <w:color w:val="auto"/>
                <w:highlight w:val="none"/>
              </w:rPr>
            </w:pPr>
          </w:p>
        </w:tc>
        <w:tc>
          <w:tcPr>
            <w:tcW w:w="2394" w:type="dxa"/>
          </w:tcPr>
          <w:p w14:paraId="4663374F">
            <w:pPr>
              <w:spacing w:line="400" w:lineRule="exact"/>
              <w:rPr>
                <w:rFonts w:ascii="宋体" w:hAnsi="宋体" w:cs="宋体"/>
                <w:color w:val="auto"/>
                <w:highlight w:val="none"/>
              </w:rPr>
            </w:pPr>
          </w:p>
        </w:tc>
        <w:tc>
          <w:tcPr>
            <w:tcW w:w="2399" w:type="dxa"/>
          </w:tcPr>
          <w:p w14:paraId="7C13FEC2">
            <w:pPr>
              <w:spacing w:line="400" w:lineRule="exact"/>
              <w:rPr>
                <w:rFonts w:ascii="宋体" w:hAnsi="宋体" w:cs="宋体"/>
                <w:color w:val="auto"/>
                <w:highlight w:val="none"/>
              </w:rPr>
            </w:pPr>
          </w:p>
        </w:tc>
        <w:tc>
          <w:tcPr>
            <w:tcW w:w="823" w:type="dxa"/>
          </w:tcPr>
          <w:p w14:paraId="65B25CA3">
            <w:pPr>
              <w:spacing w:line="400" w:lineRule="exact"/>
              <w:rPr>
                <w:rFonts w:ascii="宋体" w:hAnsi="宋体" w:cs="宋体"/>
                <w:color w:val="auto"/>
                <w:highlight w:val="none"/>
              </w:rPr>
            </w:pPr>
          </w:p>
        </w:tc>
        <w:tc>
          <w:tcPr>
            <w:tcW w:w="835" w:type="dxa"/>
          </w:tcPr>
          <w:p w14:paraId="7142DC31">
            <w:pPr>
              <w:spacing w:line="400" w:lineRule="exact"/>
              <w:rPr>
                <w:rFonts w:ascii="宋体" w:hAnsi="宋体" w:cs="宋体"/>
                <w:color w:val="auto"/>
                <w:highlight w:val="none"/>
              </w:rPr>
            </w:pPr>
          </w:p>
        </w:tc>
      </w:tr>
      <w:tr w14:paraId="0E7581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7" w:hRule="atLeast"/>
        </w:trPr>
        <w:tc>
          <w:tcPr>
            <w:tcW w:w="813" w:type="dxa"/>
          </w:tcPr>
          <w:p w14:paraId="21C3C33F">
            <w:pPr>
              <w:spacing w:line="400" w:lineRule="exact"/>
              <w:rPr>
                <w:rFonts w:ascii="宋体" w:hAnsi="宋体" w:cs="宋体"/>
                <w:color w:val="auto"/>
                <w:highlight w:val="none"/>
              </w:rPr>
            </w:pPr>
          </w:p>
        </w:tc>
        <w:tc>
          <w:tcPr>
            <w:tcW w:w="1978" w:type="dxa"/>
          </w:tcPr>
          <w:p w14:paraId="308F119E">
            <w:pPr>
              <w:spacing w:line="400" w:lineRule="exact"/>
              <w:rPr>
                <w:rFonts w:ascii="宋体" w:hAnsi="宋体" w:cs="宋体"/>
                <w:color w:val="auto"/>
                <w:highlight w:val="none"/>
              </w:rPr>
            </w:pPr>
          </w:p>
        </w:tc>
        <w:tc>
          <w:tcPr>
            <w:tcW w:w="2394" w:type="dxa"/>
          </w:tcPr>
          <w:p w14:paraId="2B175F12">
            <w:pPr>
              <w:spacing w:line="400" w:lineRule="exact"/>
              <w:rPr>
                <w:rFonts w:ascii="宋体" w:hAnsi="宋体" w:cs="宋体"/>
                <w:color w:val="auto"/>
                <w:highlight w:val="none"/>
              </w:rPr>
            </w:pPr>
          </w:p>
        </w:tc>
        <w:tc>
          <w:tcPr>
            <w:tcW w:w="2399" w:type="dxa"/>
          </w:tcPr>
          <w:p w14:paraId="0FE9D0EC">
            <w:pPr>
              <w:spacing w:line="400" w:lineRule="exact"/>
              <w:rPr>
                <w:rFonts w:ascii="宋体" w:hAnsi="宋体" w:cs="宋体"/>
                <w:color w:val="auto"/>
                <w:highlight w:val="none"/>
              </w:rPr>
            </w:pPr>
          </w:p>
        </w:tc>
        <w:tc>
          <w:tcPr>
            <w:tcW w:w="823" w:type="dxa"/>
          </w:tcPr>
          <w:p w14:paraId="47F23F26">
            <w:pPr>
              <w:spacing w:line="400" w:lineRule="exact"/>
              <w:rPr>
                <w:rFonts w:ascii="宋体" w:hAnsi="宋体" w:cs="宋体"/>
                <w:color w:val="auto"/>
                <w:highlight w:val="none"/>
              </w:rPr>
            </w:pPr>
          </w:p>
        </w:tc>
        <w:tc>
          <w:tcPr>
            <w:tcW w:w="835" w:type="dxa"/>
          </w:tcPr>
          <w:p w14:paraId="4D69498E">
            <w:pPr>
              <w:spacing w:line="400" w:lineRule="exact"/>
              <w:rPr>
                <w:rFonts w:ascii="宋体" w:hAnsi="宋体" w:cs="宋体"/>
                <w:color w:val="auto"/>
                <w:highlight w:val="none"/>
              </w:rPr>
            </w:pPr>
          </w:p>
        </w:tc>
      </w:tr>
      <w:tr w14:paraId="2BFC73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5" w:hRule="atLeast"/>
        </w:trPr>
        <w:tc>
          <w:tcPr>
            <w:tcW w:w="813" w:type="dxa"/>
          </w:tcPr>
          <w:p w14:paraId="2E3E1815">
            <w:pPr>
              <w:spacing w:line="400" w:lineRule="exact"/>
              <w:rPr>
                <w:rFonts w:ascii="宋体" w:hAnsi="宋体" w:cs="宋体"/>
                <w:color w:val="auto"/>
                <w:highlight w:val="none"/>
              </w:rPr>
            </w:pPr>
          </w:p>
        </w:tc>
        <w:tc>
          <w:tcPr>
            <w:tcW w:w="1978" w:type="dxa"/>
          </w:tcPr>
          <w:p w14:paraId="3C3EC610">
            <w:pPr>
              <w:spacing w:line="400" w:lineRule="exact"/>
              <w:rPr>
                <w:rFonts w:ascii="宋体" w:hAnsi="宋体" w:cs="宋体"/>
                <w:color w:val="auto"/>
                <w:highlight w:val="none"/>
              </w:rPr>
            </w:pPr>
          </w:p>
        </w:tc>
        <w:tc>
          <w:tcPr>
            <w:tcW w:w="2394" w:type="dxa"/>
          </w:tcPr>
          <w:p w14:paraId="1376AA40">
            <w:pPr>
              <w:spacing w:line="400" w:lineRule="exact"/>
              <w:rPr>
                <w:rFonts w:ascii="宋体" w:hAnsi="宋体" w:cs="宋体"/>
                <w:color w:val="auto"/>
                <w:highlight w:val="none"/>
              </w:rPr>
            </w:pPr>
          </w:p>
        </w:tc>
        <w:tc>
          <w:tcPr>
            <w:tcW w:w="2399" w:type="dxa"/>
          </w:tcPr>
          <w:p w14:paraId="1EEA6461">
            <w:pPr>
              <w:spacing w:line="400" w:lineRule="exact"/>
              <w:rPr>
                <w:rFonts w:ascii="宋体" w:hAnsi="宋体" w:cs="宋体"/>
                <w:color w:val="auto"/>
                <w:highlight w:val="none"/>
              </w:rPr>
            </w:pPr>
          </w:p>
        </w:tc>
        <w:tc>
          <w:tcPr>
            <w:tcW w:w="823" w:type="dxa"/>
          </w:tcPr>
          <w:p w14:paraId="61415077">
            <w:pPr>
              <w:spacing w:line="400" w:lineRule="exact"/>
              <w:rPr>
                <w:rFonts w:ascii="宋体" w:hAnsi="宋体" w:cs="宋体"/>
                <w:color w:val="auto"/>
                <w:highlight w:val="none"/>
              </w:rPr>
            </w:pPr>
          </w:p>
        </w:tc>
        <w:tc>
          <w:tcPr>
            <w:tcW w:w="835" w:type="dxa"/>
          </w:tcPr>
          <w:p w14:paraId="309FD9A1">
            <w:pPr>
              <w:spacing w:line="400" w:lineRule="exact"/>
              <w:rPr>
                <w:rFonts w:ascii="宋体" w:hAnsi="宋体" w:cs="宋体"/>
                <w:color w:val="auto"/>
                <w:highlight w:val="none"/>
              </w:rPr>
            </w:pPr>
          </w:p>
        </w:tc>
      </w:tr>
      <w:tr w14:paraId="17056E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7" w:hRule="atLeast"/>
        </w:trPr>
        <w:tc>
          <w:tcPr>
            <w:tcW w:w="813" w:type="dxa"/>
          </w:tcPr>
          <w:p w14:paraId="2DAA4FB8">
            <w:pPr>
              <w:spacing w:line="400" w:lineRule="exact"/>
              <w:rPr>
                <w:rFonts w:ascii="宋体" w:hAnsi="宋体" w:cs="宋体"/>
                <w:color w:val="auto"/>
                <w:highlight w:val="none"/>
              </w:rPr>
            </w:pPr>
          </w:p>
        </w:tc>
        <w:tc>
          <w:tcPr>
            <w:tcW w:w="1978" w:type="dxa"/>
          </w:tcPr>
          <w:p w14:paraId="59570E85">
            <w:pPr>
              <w:spacing w:line="400" w:lineRule="exact"/>
              <w:rPr>
                <w:rFonts w:ascii="宋体" w:hAnsi="宋体" w:cs="宋体"/>
                <w:color w:val="auto"/>
                <w:highlight w:val="none"/>
              </w:rPr>
            </w:pPr>
          </w:p>
        </w:tc>
        <w:tc>
          <w:tcPr>
            <w:tcW w:w="2394" w:type="dxa"/>
          </w:tcPr>
          <w:p w14:paraId="2D85B231">
            <w:pPr>
              <w:spacing w:line="400" w:lineRule="exact"/>
              <w:rPr>
                <w:rFonts w:ascii="宋体" w:hAnsi="宋体" w:cs="宋体"/>
                <w:color w:val="auto"/>
                <w:highlight w:val="none"/>
              </w:rPr>
            </w:pPr>
          </w:p>
        </w:tc>
        <w:tc>
          <w:tcPr>
            <w:tcW w:w="2399" w:type="dxa"/>
          </w:tcPr>
          <w:p w14:paraId="0EC827D8">
            <w:pPr>
              <w:spacing w:line="400" w:lineRule="exact"/>
              <w:rPr>
                <w:rFonts w:ascii="宋体" w:hAnsi="宋体" w:cs="宋体"/>
                <w:color w:val="auto"/>
                <w:highlight w:val="none"/>
              </w:rPr>
            </w:pPr>
          </w:p>
        </w:tc>
        <w:tc>
          <w:tcPr>
            <w:tcW w:w="823" w:type="dxa"/>
          </w:tcPr>
          <w:p w14:paraId="7B1D1B54">
            <w:pPr>
              <w:spacing w:line="400" w:lineRule="exact"/>
              <w:rPr>
                <w:rFonts w:ascii="宋体" w:hAnsi="宋体" w:cs="宋体"/>
                <w:color w:val="auto"/>
                <w:highlight w:val="none"/>
              </w:rPr>
            </w:pPr>
          </w:p>
        </w:tc>
        <w:tc>
          <w:tcPr>
            <w:tcW w:w="835" w:type="dxa"/>
          </w:tcPr>
          <w:p w14:paraId="10585AAF">
            <w:pPr>
              <w:spacing w:line="400" w:lineRule="exact"/>
              <w:rPr>
                <w:rFonts w:ascii="宋体" w:hAnsi="宋体" w:cs="宋体"/>
                <w:color w:val="auto"/>
                <w:highlight w:val="none"/>
              </w:rPr>
            </w:pPr>
          </w:p>
        </w:tc>
      </w:tr>
    </w:tbl>
    <w:p w14:paraId="68C30F57">
      <w:pPr>
        <w:autoSpaceDE w:val="0"/>
        <w:autoSpaceDN w:val="0"/>
        <w:adjustRightInd w:val="0"/>
        <w:snapToGrid w:val="0"/>
        <w:spacing w:line="360" w:lineRule="auto"/>
        <w:ind w:right="893"/>
        <w:textAlignment w:val="bottom"/>
        <w:rPr>
          <w:color w:val="auto"/>
          <w:highlight w:val="none"/>
        </w:rPr>
      </w:pPr>
      <w:r>
        <w:rPr>
          <w:rFonts w:hint="eastAsia"/>
          <w:color w:val="auto"/>
          <w:highlight w:val="none"/>
        </w:rPr>
        <w:t>注：</w:t>
      </w:r>
    </w:p>
    <w:p w14:paraId="03C565E6">
      <w:pPr>
        <w:autoSpaceDE w:val="0"/>
        <w:autoSpaceDN w:val="0"/>
        <w:adjustRightInd w:val="0"/>
        <w:snapToGrid w:val="0"/>
        <w:spacing w:line="360" w:lineRule="auto"/>
        <w:textAlignment w:val="bottom"/>
        <w:rPr>
          <w:color w:val="auto"/>
          <w:highlight w:val="none"/>
        </w:rPr>
      </w:pPr>
      <w:r>
        <w:rPr>
          <w:rFonts w:hint="eastAsia"/>
          <w:color w:val="auto"/>
          <w:highlight w:val="none"/>
        </w:rPr>
        <w:t>1、投标人须认真阅读招标文件中的投标人须知、合同条款、采购需求（如有商务条款），如在应答时有偏离，须按照此表要求明确填写，并注明“正偏离”或“负偏离”。</w:t>
      </w:r>
    </w:p>
    <w:p w14:paraId="1108B399">
      <w:pPr>
        <w:autoSpaceDE w:val="0"/>
        <w:autoSpaceDN w:val="0"/>
        <w:adjustRightInd w:val="0"/>
        <w:snapToGrid w:val="0"/>
        <w:spacing w:line="360" w:lineRule="auto"/>
        <w:ind w:right="-1"/>
        <w:textAlignment w:val="bottom"/>
        <w:rPr>
          <w:color w:val="auto"/>
          <w:highlight w:val="none"/>
        </w:rPr>
      </w:pPr>
      <w:r>
        <w:rPr>
          <w:rFonts w:hint="eastAsia"/>
          <w:color w:val="auto"/>
          <w:highlight w:val="none"/>
        </w:rPr>
        <w:t>2、投标人须如实填写“商务条款应答”，若无偏离，应当在上表中明确标注“无商务偏离”。</w:t>
      </w:r>
    </w:p>
    <w:p w14:paraId="4E411520">
      <w:pPr>
        <w:autoSpaceDE w:val="0"/>
        <w:autoSpaceDN w:val="0"/>
        <w:adjustRightInd w:val="0"/>
        <w:snapToGrid w:val="0"/>
        <w:spacing w:line="360" w:lineRule="auto"/>
        <w:ind w:right="-1"/>
        <w:textAlignment w:val="bottom"/>
        <w:rPr>
          <w:rFonts w:ascii="宋体" w:hAnsi="宋体" w:cs="宋体"/>
          <w:color w:val="auto"/>
          <w:highlight w:val="none"/>
        </w:rPr>
      </w:pPr>
      <w:r>
        <w:rPr>
          <w:rFonts w:hint="eastAsia"/>
          <w:color w:val="auto"/>
          <w:highlight w:val="none"/>
        </w:rPr>
        <w:t>3、投标人若未填写此表或或注明，将被认为响应招标文件全部商务条款。</w:t>
      </w:r>
    </w:p>
    <w:p w14:paraId="009D6544">
      <w:pPr>
        <w:spacing w:afterLines="50" w:line="360" w:lineRule="auto"/>
        <w:ind w:firstLine="480" w:firstLineChars="200"/>
        <w:rPr>
          <w:rFonts w:ascii="宋体" w:hAnsi="宋体" w:cs="宋体"/>
          <w:color w:val="auto"/>
          <w:highlight w:val="none"/>
        </w:rPr>
      </w:pPr>
    </w:p>
    <w:p w14:paraId="5C8F3662">
      <w:pPr>
        <w:spacing w:afterLines="50" w:line="360" w:lineRule="auto"/>
        <w:ind w:firstLine="482" w:firstLineChars="200"/>
        <w:rPr>
          <w:rFonts w:ascii="宋体" w:hAnsi="宋体" w:cs="宋体"/>
          <w:b/>
          <w:color w:val="auto"/>
          <w:szCs w:val="24"/>
          <w:highlight w:val="none"/>
        </w:rPr>
      </w:pPr>
      <w:r>
        <w:rPr>
          <w:rFonts w:hint="eastAsia" w:ascii="宋体" w:hAnsi="宋体" w:cs="宋体"/>
          <w:b/>
          <w:color w:val="auto"/>
          <w:highlight w:val="none"/>
        </w:rPr>
        <w:t>投标人代表签字或签章</w:t>
      </w:r>
      <w:r>
        <w:rPr>
          <w:rFonts w:hint="eastAsia" w:ascii="宋体" w:hAnsi="宋体" w:cs="宋体"/>
          <w:b/>
          <w:color w:val="auto"/>
          <w:szCs w:val="24"/>
          <w:highlight w:val="none"/>
        </w:rPr>
        <w:t>：________________</w:t>
      </w:r>
    </w:p>
    <w:p w14:paraId="719BDCDF">
      <w:pPr>
        <w:spacing w:afterLines="50" w:line="360" w:lineRule="auto"/>
        <w:ind w:firstLine="482" w:firstLineChars="200"/>
        <w:rPr>
          <w:rFonts w:ascii="宋体" w:hAnsi="宋体" w:cs="宋体"/>
          <w:b/>
          <w:color w:val="auto"/>
          <w:szCs w:val="24"/>
          <w:highlight w:val="none"/>
        </w:rPr>
        <w:sectPr>
          <w:pgSz w:w="11906" w:h="16838"/>
          <w:pgMar w:top="1440" w:right="1440" w:bottom="1440" w:left="1440" w:header="851" w:footer="992" w:gutter="0"/>
          <w:pgNumType w:fmt="decimal"/>
          <w:cols w:space="720" w:num="1"/>
          <w:docGrid w:type="lines" w:linePitch="312" w:charSpace="0"/>
        </w:sectPr>
      </w:pPr>
      <w:r>
        <w:rPr>
          <w:rFonts w:hint="eastAsia" w:ascii="宋体" w:hAnsi="宋体" w:cs="宋体"/>
          <w:b/>
          <w:color w:val="auto"/>
          <w:highlight w:val="none"/>
        </w:rPr>
        <w:t>投标人（签章）：</w:t>
      </w:r>
    </w:p>
    <w:p w14:paraId="516C1D4A">
      <w:pPr>
        <w:jc w:val="center"/>
        <w:rPr>
          <w:b/>
          <w:bCs/>
          <w:color w:val="auto"/>
          <w:sz w:val="36"/>
          <w:szCs w:val="24"/>
          <w:highlight w:val="none"/>
        </w:rPr>
      </w:pPr>
      <w:bookmarkStart w:id="58" w:name="_Toc7429558"/>
      <w:bookmarkStart w:id="59" w:name="_Toc17911"/>
      <w:bookmarkStart w:id="60" w:name="_Toc508976621"/>
      <w:bookmarkStart w:id="61" w:name="_Toc4730"/>
      <w:bookmarkStart w:id="62" w:name="_Toc7429560"/>
      <w:r>
        <w:rPr>
          <w:b/>
          <w:bCs/>
          <w:color w:val="auto"/>
          <w:sz w:val="36"/>
          <w:szCs w:val="24"/>
          <w:highlight w:val="none"/>
        </w:rPr>
        <w:t>6</w:t>
      </w:r>
      <w:r>
        <w:rPr>
          <w:rFonts w:hint="eastAsia"/>
          <w:b/>
          <w:bCs/>
          <w:color w:val="auto"/>
          <w:sz w:val="36"/>
          <w:szCs w:val="24"/>
          <w:highlight w:val="none"/>
        </w:rPr>
        <w:t>.技术条款响应/偏离表（格式）</w:t>
      </w:r>
      <w:bookmarkEnd w:id="58"/>
      <w:bookmarkEnd w:id="59"/>
    </w:p>
    <w:p w14:paraId="363B9BC7">
      <w:pPr>
        <w:spacing w:line="400" w:lineRule="exact"/>
        <w:rPr>
          <w:rFonts w:ascii="宋体" w:hAnsi="宋体" w:cs="宋体"/>
          <w:color w:val="auto"/>
          <w:highlight w:val="none"/>
        </w:rPr>
      </w:pPr>
      <w:r>
        <w:rPr>
          <w:rFonts w:hint="eastAsia" w:ascii="宋体" w:hAnsi="宋体" w:cs="宋体"/>
          <w:color w:val="auto"/>
          <w:highlight w:val="none"/>
        </w:rPr>
        <w:t>投标人名称：</w:t>
      </w:r>
    </w:p>
    <w:p w14:paraId="3796663B">
      <w:pPr>
        <w:spacing w:line="400" w:lineRule="exact"/>
        <w:rPr>
          <w:rFonts w:ascii="宋体" w:hAnsi="宋体" w:cs="宋体"/>
          <w:color w:val="auto"/>
          <w:highlight w:val="none"/>
          <w:u w:val="single"/>
        </w:rPr>
      </w:pPr>
      <w:r>
        <w:rPr>
          <w:rFonts w:hint="eastAsia" w:ascii="宋体" w:hAnsi="宋体" w:cs="宋体"/>
          <w:color w:val="auto"/>
          <w:highlight w:val="none"/>
        </w:rPr>
        <w:t>项目编号：</w:t>
      </w:r>
    </w:p>
    <w:tbl>
      <w:tblPr>
        <w:tblStyle w:val="27"/>
        <w:tblW w:w="925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38"/>
        <w:gridCol w:w="1482"/>
        <w:gridCol w:w="2010"/>
        <w:gridCol w:w="2107"/>
        <w:gridCol w:w="1169"/>
        <w:gridCol w:w="1553"/>
      </w:tblGrid>
      <w:tr w14:paraId="3DA5F4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1" w:hRule="atLeast"/>
        </w:trPr>
        <w:tc>
          <w:tcPr>
            <w:tcW w:w="938" w:type="dxa"/>
            <w:vAlign w:val="center"/>
          </w:tcPr>
          <w:p w14:paraId="4798405B">
            <w:pPr>
              <w:spacing w:line="400" w:lineRule="exact"/>
              <w:jc w:val="center"/>
              <w:rPr>
                <w:rFonts w:ascii="宋体" w:hAnsi="宋体" w:cs="宋体"/>
                <w:color w:val="auto"/>
                <w:highlight w:val="none"/>
              </w:rPr>
            </w:pPr>
            <w:r>
              <w:rPr>
                <w:rFonts w:hint="eastAsia" w:ascii="宋体" w:hAnsi="宋体" w:cs="宋体"/>
                <w:color w:val="auto"/>
                <w:highlight w:val="none"/>
              </w:rPr>
              <w:t>序号</w:t>
            </w:r>
          </w:p>
        </w:tc>
        <w:tc>
          <w:tcPr>
            <w:tcW w:w="1482" w:type="dxa"/>
            <w:vAlign w:val="center"/>
          </w:tcPr>
          <w:p w14:paraId="3EF483B3">
            <w:pPr>
              <w:spacing w:line="400" w:lineRule="exact"/>
              <w:jc w:val="center"/>
              <w:rPr>
                <w:rFonts w:ascii="宋体" w:hAnsi="宋体" w:cs="宋体"/>
                <w:color w:val="auto"/>
                <w:highlight w:val="none"/>
              </w:rPr>
            </w:pPr>
            <w:r>
              <w:rPr>
                <w:rFonts w:hint="eastAsia" w:ascii="宋体" w:hAnsi="宋体" w:cs="宋体"/>
                <w:color w:val="auto"/>
                <w:highlight w:val="none"/>
              </w:rPr>
              <w:t>招标文件条目号</w:t>
            </w:r>
          </w:p>
        </w:tc>
        <w:tc>
          <w:tcPr>
            <w:tcW w:w="2010" w:type="dxa"/>
            <w:vAlign w:val="center"/>
          </w:tcPr>
          <w:p w14:paraId="350656A7">
            <w:pPr>
              <w:spacing w:line="400" w:lineRule="exact"/>
              <w:jc w:val="center"/>
              <w:rPr>
                <w:rFonts w:ascii="宋体" w:hAnsi="宋体" w:cs="宋体"/>
                <w:color w:val="auto"/>
                <w:highlight w:val="none"/>
              </w:rPr>
            </w:pPr>
            <w:r>
              <w:rPr>
                <w:rFonts w:hint="eastAsia" w:ascii="宋体" w:hAnsi="宋体" w:cs="宋体"/>
                <w:color w:val="auto"/>
                <w:highlight w:val="none"/>
              </w:rPr>
              <w:t>招标文件的技术条款</w:t>
            </w:r>
          </w:p>
        </w:tc>
        <w:tc>
          <w:tcPr>
            <w:tcW w:w="2107" w:type="dxa"/>
            <w:vAlign w:val="center"/>
          </w:tcPr>
          <w:p w14:paraId="7F3153F1">
            <w:pPr>
              <w:spacing w:line="400" w:lineRule="exact"/>
              <w:jc w:val="center"/>
              <w:rPr>
                <w:rFonts w:ascii="宋体" w:hAnsi="宋体" w:cs="宋体"/>
                <w:color w:val="auto"/>
                <w:highlight w:val="none"/>
              </w:rPr>
            </w:pPr>
            <w:r>
              <w:rPr>
                <w:rFonts w:hint="eastAsia" w:ascii="宋体" w:hAnsi="宋体" w:cs="宋体"/>
                <w:color w:val="auto"/>
                <w:highlight w:val="none"/>
              </w:rPr>
              <w:t>投标文件的应答</w:t>
            </w:r>
          </w:p>
        </w:tc>
        <w:tc>
          <w:tcPr>
            <w:tcW w:w="1169" w:type="dxa"/>
            <w:vAlign w:val="center"/>
          </w:tcPr>
          <w:p w14:paraId="67931643">
            <w:pPr>
              <w:spacing w:line="400" w:lineRule="exact"/>
              <w:jc w:val="center"/>
              <w:rPr>
                <w:rFonts w:ascii="宋体" w:hAnsi="宋体" w:cs="宋体"/>
                <w:color w:val="auto"/>
                <w:highlight w:val="none"/>
              </w:rPr>
            </w:pPr>
            <w:r>
              <w:rPr>
                <w:rFonts w:hint="eastAsia" w:ascii="宋体" w:hAnsi="宋体" w:cs="宋体"/>
                <w:color w:val="auto"/>
                <w:highlight w:val="none"/>
              </w:rPr>
              <w:t>响应/偏离</w:t>
            </w:r>
          </w:p>
        </w:tc>
        <w:tc>
          <w:tcPr>
            <w:tcW w:w="1553" w:type="dxa"/>
            <w:vAlign w:val="center"/>
          </w:tcPr>
          <w:p w14:paraId="40464E95">
            <w:pPr>
              <w:spacing w:line="400" w:lineRule="exact"/>
              <w:jc w:val="center"/>
              <w:rPr>
                <w:rFonts w:ascii="宋体" w:hAnsi="宋体" w:cs="宋体"/>
                <w:color w:val="auto"/>
                <w:highlight w:val="none"/>
              </w:rPr>
            </w:pPr>
            <w:r>
              <w:rPr>
                <w:rFonts w:hint="eastAsia" w:ascii="宋体" w:hAnsi="宋体" w:cs="宋体"/>
                <w:color w:val="auto"/>
                <w:highlight w:val="none"/>
              </w:rPr>
              <w:t>说明</w:t>
            </w:r>
          </w:p>
        </w:tc>
      </w:tr>
      <w:tr w14:paraId="1BF656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9" w:hRule="atLeast"/>
        </w:trPr>
        <w:tc>
          <w:tcPr>
            <w:tcW w:w="938" w:type="dxa"/>
            <w:vAlign w:val="center"/>
          </w:tcPr>
          <w:p w14:paraId="70C5D536">
            <w:pPr>
              <w:spacing w:line="400" w:lineRule="exact"/>
              <w:jc w:val="center"/>
              <w:rPr>
                <w:rFonts w:ascii="宋体" w:hAnsi="宋体" w:cs="宋体"/>
                <w:color w:val="auto"/>
                <w:highlight w:val="none"/>
              </w:rPr>
            </w:pPr>
          </w:p>
        </w:tc>
        <w:tc>
          <w:tcPr>
            <w:tcW w:w="1482" w:type="dxa"/>
            <w:vAlign w:val="center"/>
          </w:tcPr>
          <w:p w14:paraId="73C0F25C">
            <w:pPr>
              <w:spacing w:line="400" w:lineRule="exact"/>
              <w:jc w:val="center"/>
              <w:rPr>
                <w:rFonts w:ascii="宋体" w:hAnsi="宋体" w:cs="宋体"/>
                <w:color w:val="auto"/>
                <w:highlight w:val="none"/>
              </w:rPr>
            </w:pPr>
          </w:p>
        </w:tc>
        <w:tc>
          <w:tcPr>
            <w:tcW w:w="2010" w:type="dxa"/>
            <w:vAlign w:val="center"/>
          </w:tcPr>
          <w:p w14:paraId="3FDAEB54">
            <w:pPr>
              <w:spacing w:line="400" w:lineRule="exact"/>
              <w:jc w:val="center"/>
              <w:rPr>
                <w:rFonts w:ascii="宋体" w:hAnsi="宋体" w:cs="宋体"/>
                <w:color w:val="auto"/>
                <w:highlight w:val="none"/>
              </w:rPr>
            </w:pPr>
          </w:p>
        </w:tc>
        <w:tc>
          <w:tcPr>
            <w:tcW w:w="2107" w:type="dxa"/>
            <w:vAlign w:val="center"/>
          </w:tcPr>
          <w:p w14:paraId="380ADA87">
            <w:pPr>
              <w:spacing w:line="400" w:lineRule="exact"/>
              <w:jc w:val="center"/>
              <w:rPr>
                <w:rFonts w:ascii="宋体" w:hAnsi="宋体" w:cs="宋体"/>
                <w:color w:val="auto"/>
                <w:highlight w:val="none"/>
              </w:rPr>
            </w:pPr>
          </w:p>
        </w:tc>
        <w:tc>
          <w:tcPr>
            <w:tcW w:w="1169" w:type="dxa"/>
            <w:vAlign w:val="center"/>
          </w:tcPr>
          <w:p w14:paraId="5AEA9AA6">
            <w:pPr>
              <w:spacing w:line="400" w:lineRule="exact"/>
              <w:jc w:val="center"/>
              <w:rPr>
                <w:rFonts w:ascii="宋体" w:hAnsi="宋体" w:cs="宋体"/>
                <w:color w:val="auto"/>
                <w:highlight w:val="none"/>
              </w:rPr>
            </w:pPr>
          </w:p>
        </w:tc>
        <w:tc>
          <w:tcPr>
            <w:tcW w:w="1553" w:type="dxa"/>
            <w:vAlign w:val="center"/>
          </w:tcPr>
          <w:p w14:paraId="600DCF59">
            <w:pPr>
              <w:spacing w:line="400" w:lineRule="exact"/>
              <w:jc w:val="center"/>
              <w:rPr>
                <w:rFonts w:ascii="宋体" w:hAnsi="宋体" w:cs="宋体"/>
                <w:color w:val="auto"/>
                <w:highlight w:val="none"/>
              </w:rPr>
            </w:pPr>
          </w:p>
        </w:tc>
      </w:tr>
      <w:tr w14:paraId="11B2CF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2" w:hRule="atLeast"/>
        </w:trPr>
        <w:tc>
          <w:tcPr>
            <w:tcW w:w="938" w:type="dxa"/>
            <w:vAlign w:val="center"/>
          </w:tcPr>
          <w:p w14:paraId="67D85D66">
            <w:pPr>
              <w:spacing w:line="400" w:lineRule="exact"/>
              <w:jc w:val="center"/>
              <w:rPr>
                <w:rFonts w:ascii="宋体" w:hAnsi="宋体" w:cs="宋体"/>
                <w:color w:val="auto"/>
                <w:highlight w:val="none"/>
              </w:rPr>
            </w:pPr>
          </w:p>
        </w:tc>
        <w:tc>
          <w:tcPr>
            <w:tcW w:w="1482" w:type="dxa"/>
            <w:vAlign w:val="center"/>
          </w:tcPr>
          <w:p w14:paraId="745951F5">
            <w:pPr>
              <w:spacing w:line="400" w:lineRule="exact"/>
              <w:jc w:val="center"/>
              <w:rPr>
                <w:rFonts w:ascii="宋体" w:hAnsi="宋体" w:cs="宋体"/>
                <w:color w:val="auto"/>
                <w:highlight w:val="none"/>
              </w:rPr>
            </w:pPr>
          </w:p>
        </w:tc>
        <w:tc>
          <w:tcPr>
            <w:tcW w:w="2010" w:type="dxa"/>
            <w:vAlign w:val="center"/>
          </w:tcPr>
          <w:p w14:paraId="761FB052">
            <w:pPr>
              <w:spacing w:line="400" w:lineRule="exact"/>
              <w:jc w:val="center"/>
              <w:rPr>
                <w:rFonts w:ascii="宋体" w:hAnsi="宋体" w:cs="宋体"/>
                <w:color w:val="auto"/>
                <w:highlight w:val="none"/>
              </w:rPr>
            </w:pPr>
          </w:p>
        </w:tc>
        <w:tc>
          <w:tcPr>
            <w:tcW w:w="2107" w:type="dxa"/>
            <w:vAlign w:val="center"/>
          </w:tcPr>
          <w:p w14:paraId="7EF5B633">
            <w:pPr>
              <w:spacing w:line="400" w:lineRule="exact"/>
              <w:jc w:val="center"/>
              <w:rPr>
                <w:rFonts w:ascii="宋体" w:hAnsi="宋体" w:cs="宋体"/>
                <w:color w:val="auto"/>
                <w:highlight w:val="none"/>
              </w:rPr>
            </w:pPr>
          </w:p>
        </w:tc>
        <w:tc>
          <w:tcPr>
            <w:tcW w:w="1169" w:type="dxa"/>
            <w:vAlign w:val="center"/>
          </w:tcPr>
          <w:p w14:paraId="0B7C3031">
            <w:pPr>
              <w:spacing w:line="400" w:lineRule="exact"/>
              <w:jc w:val="center"/>
              <w:rPr>
                <w:rFonts w:ascii="宋体" w:hAnsi="宋体" w:cs="宋体"/>
                <w:color w:val="auto"/>
                <w:highlight w:val="none"/>
              </w:rPr>
            </w:pPr>
          </w:p>
        </w:tc>
        <w:tc>
          <w:tcPr>
            <w:tcW w:w="1553" w:type="dxa"/>
            <w:vAlign w:val="center"/>
          </w:tcPr>
          <w:p w14:paraId="3F169D40">
            <w:pPr>
              <w:spacing w:line="400" w:lineRule="exact"/>
              <w:jc w:val="center"/>
              <w:rPr>
                <w:rFonts w:ascii="宋体" w:hAnsi="宋体" w:cs="宋体"/>
                <w:color w:val="auto"/>
                <w:highlight w:val="none"/>
              </w:rPr>
            </w:pPr>
          </w:p>
        </w:tc>
      </w:tr>
      <w:tr w14:paraId="321695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2" w:hRule="atLeast"/>
        </w:trPr>
        <w:tc>
          <w:tcPr>
            <w:tcW w:w="938" w:type="dxa"/>
            <w:vAlign w:val="center"/>
          </w:tcPr>
          <w:p w14:paraId="4F73B78E">
            <w:pPr>
              <w:spacing w:line="400" w:lineRule="exact"/>
              <w:jc w:val="center"/>
              <w:rPr>
                <w:rFonts w:ascii="宋体" w:hAnsi="宋体" w:cs="宋体"/>
                <w:color w:val="auto"/>
                <w:highlight w:val="none"/>
              </w:rPr>
            </w:pPr>
          </w:p>
        </w:tc>
        <w:tc>
          <w:tcPr>
            <w:tcW w:w="1482" w:type="dxa"/>
            <w:vAlign w:val="center"/>
          </w:tcPr>
          <w:p w14:paraId="55848256">
            <w:pPr>
              <w:spacing w:line="400" w:lineRule="exact"/>
              <w:jc w:val="center"/>
              <w:rPr>
                <w:rFonts w:ascii="宋体" w:hAnsi="宋体" w:cs="宋体"/>
                <w:color w:val="auto"/>
                <w:highlight w:val="none"/>
              </w:rPr>
            </w:pPr>
          </w:p>
        </w:tc>
        <w:tc>
          <w:tcPr>
            <w:tcW w:w="2010" w:type="dxa"/>
            <w:vAlign w:val="center"/>
          </w:tcPr>
          <w:p w14:paraId="09FA7F52">
            <w:pPr>
              <w:spacing w:line="400" w:lineRule="exact"/>
              <w:jc w:val="center"/>
              <w:rPr>
                <w:rFonts w:ascii="宋体" w:hAnsi="宋体" w:cs="宋体"/>
                <w:color w:val="auto"/>
                <w:highlight w:val="none"/>
              </w:rPr>
            </w:pPr>
          </w:p>
        </w:tc>
        <w:tc>
          <w:tcPr>
            <w:tcW w:w="2107" w:type="dxa"/>
            <w:vAlign w:val="center"/>
          </w:tcPr>
          <w:p w14:paraId="209708F4">
            <w:pPr>
              <w:spacing w:line="400" w:lineRule="exact"/>
              <w:jc w:val="center"/>
              <w:rPr>
                <w:rFonts w:ascii="宋体" w:hAnsi="宋体" w:cs="宋体"/>
                <w:color w:val="auto"/>
                <w:highlight w:val="none"/>
              </w:rPr>
            </w:pPr>
          </w:p>
        </w:tc>
        <w:tc>
          <w:tcPr>
            <w:tcW w:w="1169" w:type="dxa"/>
            <w:vAlign w:val="center"/>
          </w:tcPr>
          <w:p w14:paraId="65030022">
            <w:pPr>
              <w:spacing w:line="400" w:lineRule="exact"/>
              <w:jc w:val="center"/>
              <w:rPr>
                <w:rFonts w:ascii="宋体" w:hAnsi="宋体" w:cs="宋体"/>
                <w:color w:val="auto"/>
                <w:highlight w:val="none"/>
              </w:rPr>
            </w:pPr>
          </w:p>
        </w:tc>
        <w:tc>
          <w:tcPr>
            <w:tcW w:w="1553" w:type="dxa"/>
            <w:vAlign w:val="center"/>
          </w:tcPr>
          <w:p w14:paraId="14A721A8">
            <w:pPr>
              <w:spacing w:line="400" w:lineRule="exact"/>
              <w:jc w:val="center"/>
              <w:rPr>
                <w:rFonts w:ascii="宋体" w:hAnsi="宋体" w:cs="宋体"/>
                <w:color w:val="auto"/>
                <w:highlight w:val="none"/>
              </w:rPr>
            </w:pPr>
          </w:p>
        </w:tc>
      </w:tr>
      <w:tr w14:paraId="650F70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2" w:hRule="atLeast"/>
        </w:trPr>
        <w:tc>
          <w:tcPr>
            <w:tcW w:w="938" w:type="dxa"/>
            <w:vAlign w:val="center"/>
          </w:tcPr>
          <w:p w14:paraId="512776AC">
            <w:pPr>
              <w:spacing w:line="400" w:lineRule="exact"/>
              <w:jc w:val="center"/>
              <w:rPr>
                <w:rFonts w:ascii="宋体" w:hAnsi="宋体" w:cs="宋体"/>
                <w:color w:val="auto"/>
                <w:highlight w:val="none"/>
              </w:rPr>
            </w:pPr>
          </w:p>
        </w:tc>
        <w:tc>
          <w:tcPr>
            <w:tcW w:w="1482" w:type="dxa"/>
            <w:vAlign w:val="center"/>
          </w:tcPr>
          <w:p w14:paraId="0D8A2867">
            <w:pPr>
              <w:spacing w:line="400" w:lineRule="exact"/>
              <w:jc w:val="center"/>
              <w:rPr>
                <w:rFonts w:ascii="宋体" w:hAnsi="宋体" w:cs="宋体"/>
                <w:color w:val="auto"/>
                <w:highlight w:val="none"/>
              </w:rPr>
            </w:pPr>
          </w:p>
        </w:tc>
        <w:tc>
          <w:tcPr>
            <w:tcW w:w="2010" w:type="dxa"/>
            <w:vAlign w:val="center"/>
          </w:tcPr>
          <w:p w14:paraId="02E4080C">
            <w:pPr>
              <w:spacing w:line="400" w:lineRule="exact"/>
              <w:jc w:val="center"/>
              <w:rPr>
                <w:rFonts w:ascii="宋体" w:hAnsi="宋体" w:cs="宋体"/>
                <w:color w:val="auto"/>
                <w:highlight w:val="none"/>
              </w:rPr>
            </w:pPr>
          </w:p>
        </w:tc>
        <w:tc>
          <w:tcPr>
            <w:tcW w:w="2107" w:type="dxa"/>
            <w:vAlign w:val="center"/>
          </w:tcPr>
          <w:p w14:paraId="12D6C4DD">
            <w:pPr>
              <w:spacing w:line="400" w:lineRule="exact"/>
              <w:jc w:val="center"/>
              <w:rPr>
                <w:rFonts w:ascii="宋体" w:hAnsi="宋体" w:cs="宋体"/>
                <w:color w:val="auto"/>
                <w:highlight w:val="none"/>
              </w:rPr>
            </w:pPr>
          </w:p>
        </w:tc>
        <w:tc>
          <w:tcPr>
            <w:tcW w:w="1169" w:type="dxa"/>
            <w:vAlign w:val="center"/>
          </w:tcPr>
          <w:p w14:paraId="3A5D9A8C">
            <w:pPr>
              <w:spacing w:line="400" w:lineRule="exact"/>
              <w:jc w:val="center"/>
              <w:rPr>
                <w:rFonts w:ascii="宋体" w:hAnsi="宋体" w:cs="宋体"/>
                <w:color w:val="auto"/>
                <w:highlight w:val="none"/>
              </w:rPr>
            </w:pPr>
          </w:p>
        </w:tc>
        <w:tc>
          <w:tcPr>
            <w:tcW w:w="1553" w:type="dxa"/>
            <w:vAlign w:val="center"/>
          </w:tcPr>
          <w:p w14:paraId="66037489">
            <w:pPr>
              <w:spacing w:line="400" w:lineRule="exact"/>
              <w:jc w:val="center"/>
              <w:rPr>
                <w:rFonts w:ascii="宋体" w:hAnsi="宋体" w:cs="宋体"/>
                <w:color w:val="auto"/>
                <w:highlight w:val="none"/>
              </w:rPr>
            </w:pPr>
          </w:p>
        </w:tc>
      </w:tr>
      <w:tr w14:paraId="6A6D16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9" w:hRule="atLeast"/>
        </w:trPr>
        <w:tc>
          <w:tcPr>
            <w:tcW w:w="938" w:type="dxa"/>
            <w:vAlign w:val="center"/>
          </w:tcPr>
          <w:p w14:paraId="03B31C8D">
            <w:pPr>
              <w:spacing w:line="400" w:lineRule="exact"/>
              <w:jc w:val="center"/>
              <w:rPr>
                <w:rFonts w:ascii="宋体" w:hAnsi="宋体" w:cs="宋体"/>
                <w:color w:val="auto"/>
                <w:highlight w:val="none"/>
              </w:rPr>
            </w:pPr>
          </w:p>
        </w:tc>
        <w:tc>
          <w:tcPr>
            <w:tcW w:w="1482" w:type="dxa"/>
            <w:vAlign w:val="center"/>
          </w:tcPr>
          <w:p w14:paraId="203F125B">
            <w:pPr>
              <w:spacing w:line="400" w:lineRule="exact"/>
              <w:jc w:val="center"/>
              <w:rPr>
                <w:rFonts w:ascii="宋体" w:hAnsi="宋体" w:cs="宋体"/>
                <w:color w:val="auto"/>
                <w:highlight w:val="none"/>
              </w:rPr>
            </w:pPr>
          </w:p>
        </w:tc>
        <w:tc>
          <w:tcPr>
            <w:tcW w:w="2010" w:type="dxa"/>
            <w:vAlign w:val="center"/>
          </w:tcPr>
          <w:p w14:paraId="7CE001EA">
            <w:pPr>
              <w:spacing w:line="400" w:lineRule="exact"/>
              <w:jc w:val="center"/>
              <w:rPr>
                <w:rFonts w:ascii="宋体" w:hAnsi="宋体" w:cs="宋体"/>
                <w:color w:val="auto"/>
                <w:highlight w:val="none"/>
              </w:rPr>
            </w:pPr>
          </w:p>
        </w:tc>
        <w:tc>
          <w:tcPr>
            <w:tcW w:w="2107" w:type="dxa"/>
            <w:vAlign w:val="center"/>
          </w:tcPr>
          <w:p w14:paraId="6FFB1E49">
            <w:pPr>
              <w:spacing w:line="400" w:lineRule="exact"/>
              <w:jc w:val="center"/>
              <w:rPr>
                <w:rFonts w:ascii="宋体" w:hAnsi="宋体" w:cs="宋体"/>
                <w:color w:val="auto"/>
                <w:highlight w:val="none"/>
              </w:rPr>
            </w:pPr>
          </w:p>
        </w:tc>
        <w:tc>
          <w:tcPr>
            <w:tcW w:w="1169" w:type="dxa"/>
            <w:vAlign w:val="center"/>
          </w:tcPr>
          <w:p w14:paraId="190DE6F9">
            <w:pPr>
              <w:spacing w:line="400" w:lineRule="exact"/>
              <w:jc w:val="center"/>
              <w:rPr>
                <w:rFonts w:ascii="宋体" w:hAnsi="宋体" w:cs="宋体"/>
                <w:color w:val="auto"/>
                <w:highlight w:val="none"/>
              </w:rPr>
            </w:pPr>
          </w:p>
        </w:tc>
        <w:tc>
          <w:tcPr>
            <w:tcW w:w="1553" w:type="dxa"/>
            <w:vAlign w:val="center"/>
          </w:tcPr>
          <w:p w14:paraId="6F92723C">
            <w:pPr>
              <w:spacing w:line="400" w:lineRule="exact"/>
              <w:jc w:val="center"/>
              <w:rPr>
                <w:rFonts w:ascii="宋体" w:hAnsi="宋体" w:cs="宋体"/>
                <w:color w:val="auto"/>
                <w:highlight w:val="none"/>
              </w:rPr>
            </w:pPr>
          </w:p>
        </w:tc>
      </w:tr>
      <w:tr w14:paraId="42B9C3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2" w:hRule="atLeast"/>
        </w:trPr>
        <w:tc>
          <w:tcPr>
            <w:tcW w:w="938" w:type="dxa"/>
            <w:vAlign w:val="center"/>
          </w:tcPr>
          <w:p w14:paraId="2B12B40F">
            <w:pPr>
              <w:spacing w:line="400" w:lineRule="exact"/>
              <w:jc w:val="center"/>
              <w:rPr>
                <w:rFonts w:ascii="宋体" w:hAnsi="宋体" w:cs="宋体"/>
                <w:color w:val="auto"/>
                <w:highlight w:val="none"/>
              </w:rPr>
            </w:pPr>
          </w:p>
        </w:tc>
        <w:tc>
          <w:tcPr>
            <w:tcW w:w="1482" w:type="dxa"/>
            <w:vAlign w:val="center"/>
          </w:tcPr>
          <w:p w14:paraId="439261A5">
            <w:pPr>
              <w:spacing w:line="400" w:lineRule="exact"/>
              <w:jc w:val="center"/>
              <w:rPr>
                <w:rFonts w:ascii="宋体" w:hAnsi="宋体" w:cs="宋体"/>
                <w:color w:val="auto"/>
                <w:highlight w:val="none"/>
              </w:rPr>
            </w:pPr>
          </w:p>
        </w:tc>
        <w:tc>
          <w:tcPr>
            <w:tcW w:w="2010" w:type="dxa"/>
            <w:vAlign w:val="center"/>
          </w:tcPr>
          <w:p w14:paraId="612F90D3">
            <w:pPr>
              <w:spacing w:line="400" w:lineRule="exact"/>
              <w:jc w:val="center"/>
              <w:rPr>
                <w:rFonts w:ascii="宋体" w:hAnsi="宋体" w:cs="宋体"/>
                <w:color w:val="auto"/>
                <w:highlight w:val="none"/>
              </w:rPr>
            </w:pPr>
          </w:p>
        </w:tc>
        <w:tc>
          <w:tcPr>
            <w:tcW w:w="2107" w:type="dxa"/>
            <w:vAlign w:val="center"/>
          </w:tcPr>
          <w:p w14:paraId="02825B42">
            <w:pPr>
              <w:spacing w:line="400" w:lineRule="exact"/>
              <w:jc w:val="center"/>
              <w:rPr>
                <w:rFonts w:ascii="宋体" w:hAnsi="宋体" w:cs="宋体"/>
                <w:color w:val="auto"/>
                <w:highlight w:val="none"/>
              </w:rPr>
            </w:pPr>
          </w:p>
        </w:tc>
        <w:tc>
          <w:tcPr>
            <w:tcW w:w="1169" w:type="dxa"/>
            <w:vAlign w:val="center"/>
          </w:tcPr>
          <w:p w14:paraId="03B1A5FB">
            <w:pPr>
              <w:spacing w:line="400" w:lineRule="exact"/>
              <w:jc w:val="center"/>
              <w:rPr>
                <w:rFonts w:ascii="宋体" w:hAnsi="宋体" w:cs="宋体"/>
                <w:color w:val="auto"/>
                <w:highlight w:val="none"/>
              </w:rPr>
            </w:pPr>
          </w:p>
        </w:tc>
        <w:tc>
          <w:tcPr>
            <w:tcW w:w="1553" w:type="dxa"/>
            <w:vAlign w:val="center"/>
          </w:tcPr>
          <w:p w14:paraId="6D3CC8DB">
            <w:pPr>
              <w:spacing w:line="400" w:lineRule="exact"/>
              <w:jc w:val="center"/>
              <w:rPr>
                <w:rFonts w:ascii="宋体" w:hAnsi="宋体" w:cs="宋体"/>
                <w:color w:val="auto"/>
                <w:highlight w:val="none"/>
              </w:rPr>
            </w:pPr>
          </w:p>
        </w:tc>
      </w:tr>
      <w:tr w14:paraId="2FA440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2" w:hRule="atLeast"/>
        </w:trPr>
        <w:tc>
          <w:tcPr>
            <w:tcW w:w="938" w:type="dxa"/>
            <w:vAlign w:val="center"/>
          </w:tcPr>
          <w:p w14:paraId="4D101AF7">
            <w:pPr>
              <w:spacing w:line="400" w:lineRule="exact"/>
              <w:jc w:val="center"/>
              <w:rPr>
                <w:rFonts w:ascii="宋体" w:hAnsi="宋体" w:cs="宋体"/>
                <w:color w:val="auto"/>
                <w:highlight w:val="none"/>
              </w:rPr>
            </w:pPr>
          </w:p>
        </w:tc>
        <w:tc>
          <w:tcPr>
            <w:tcW w:w="1482" w:type="dxa"/>
            <w:vAlign w:val="center"/>
          </w:tcPr>
          <w:p w14:paraId="61DF22AC">
            <w:pPr>
              <w:spacing w:line="400" w:lineRule="exact"/>
              <w:jc w:val="center"/>
              <w:rPr>
                <w:rFonts w:ascii="宋体" w:hAnsi="宋体" w:cs="宋体"/>
                <w:color w:val="auto"/>
                <w:highlight w:val="none"/>
              </w:rPr>
            </w:pPr>
          </w:p>
        </w:tc>
        <w:tc>
          <w:tcPr>
            <w:tcW w:w="2010" w:type="dxa"/>
            <w:vAlign w:val="center"/>
          </w:tcPr>
          <w:p w14:paraId="4389A2EF">
            <w:pPr>
              <w:spacing w:line="400" w:lineRule="exact"/>
              <w:jc w:val="center"/>
              <w:rPr>
                <w:rFonts w:ascii="宋体" w:hAnsi="宋体" w:cs="宋体"/>
                <w:color w:val="auto"/>
                <w:highlight w:val="none"/>
              </w:rPr>
            </w:pPr>
          </w:p>
        </w:tc>
        <w:tc>
          <w:tcPr>
            <w:tcW w:w="2107" w:type="dxa"/>
            <w:vAlign w:val="center"/>
          </w:tcPr>
          <w:p w14:paraId="55C9A77A">
            <w:pPr>
              <w:spacing w:line="400" w:lineRule="exact"/>
              <w:jc w:val="center"/>
              <w:rPr>
                <w:rFonts w:ascii="宋体" w:hAnsi="宋体" w:cs="宋体"/>
                <w:color w:val="auto"/>
                <w:highlight w:val="none"/>
              </w:rPr>
            </w:pPr>
          </w:p>
        </w:tc>
        <w:tc>
          <w:tcPr>
            <w:tcW w:w="1169" w:type="dxa"/>
            <w:vAlign w:val="center"/>
          </w:tcPr>
          <w:p w14:paraId="3DD3C9BE">
            <w:pPr>
              <w:spacing w:line="400" w:lineRule="exact"/>
              <w:jc w:val="center"/>
              <w:rPr>
                <w:rFonts w:ascii="宋体" w:hAnsi="宋体" w:cs="宋体"/>
                <w:color w:val="auto"/>
                <w:highlight w:val="none"/>
              </w:rPr>
            </w:pPr>
          </w:p>
        </w:tc>
        <w:tc>
          <w:tcPr>
            <w:tcW w:w="1553" w:type="dxa"/>
            <w:vAlign w:val="center"/>
          </w:tcPr>
          <w:p w14:paraId="51507F15">
            <w:pPr>
              <w:spacing w:line="400" w:lineRule="exact"/>
              <w:jc w:val="center"/>
              <w:rPr>
                <w:rFonts w:ascii="宋体" w:hAnsi="宋体" w:cs="宋体"/>
                <w:color w:val="auto"/>
                <w:highlight w:val="none"/>
              </w:rPr>
            </w:pPr>
          </w:p>
        </w:tc>
      </w:tr>
    </w:tbl>
    <w:p w14:paraId="7CC8F0B0">
      <w:pPr>
        <w:spacing w:line="360" w:lineRule="auto"/>
        <w:ind w:left="690" w:leftChars="200" w:hanging="210" w:hangingChars="100"/>
        <w:rPr>
          <w:rFonts w:ascii="宋体" w:hAnsi="宋体" w:cs="宋体"/>
          <w:color w:val="auto"/>
          <w:sz w:val="21"/>
          <w:szCs w:val="21"/>
          <w:highlight w:val="none"/>
        </w:rPr>
      </w:pPr>
    </w:p>
    <w:p w14:paraId="17A2FE7C">
      <w:pPr>
        <w:spacing w:afterLines="50" w:line="360" w:lineRule="auto"/>
        <w:ind w:firstLine="480" w:firstLineChars="200"/>
        <w:rPr>
          <w:rFonts w:ascii="宋体" w:hAnsi="宋体" w:cs="宋体"/>
          <w:color w:val="auto"/>
          <w:highlight w:val="none"/>
        </w:rPr>
      </w:pPr>
      <w:r>
        <w:rPr>
          <w:rFonts w:hint="eastAsia" w:ascii="宋体" w:hAnsi="宋体" w:cs="宋体"/>
          <w:color w:val="auto"/>
          <w:highlight w:val="none"/>
        </w:rPr>
        <w:t>注：(1)对照招标文件第四章“采购需求”中所列的技术</w:t>
      </w:r>
      <w:r>
        <w:rPr>
          <w:rFonts w:hint="eastAsia" w:ascii="宋体" w:hAnsi="宋体" w:cs="宋体"/>
          <w:color w:val="auto"/>
          <w:highlight w:val="none"/>
          <w:lang w:eastAsia="zh-CN"/>
        </w:rPr>
        <w:t>（</w:t>
      </w:r>
      <w:r>
        <w:rPr>
          <w:rFonts w:hint="eastAsia" w:ascii="宋体" w:hAnsi="宋体" w:cs="宋体"/>
          <w:color w:val="auto"/>
          <w:highlight w:val="none"/>
          <w:lang w:val="en-US" w:eastAsia="zh-CN"/>
        </w:rPr>
        <w:t>服务）</w:t>
      </w:r>
      <w:r>
        <w:rPr>
          <w:rFonts w:hint="eastAsia" w:ascii="宋体" w:hAnsi="宋体" w:cs="宋体"/>
          <w:color w:val="auto"/>
          <w:highlight w:val="none"/>
        </w:rPr>
        <w:t>要求逐一应答，对不满足要求项需列出偏差。如果仅注明“符合”、“满足”或不填写，将视为该项不符合。</w:t>
      </w:r>
    </w:p>
    <w:p w14:paraId="5CC027AB">
      <w:pPr>
        <w:spacing w:afterLines="50" w:line="360" w:lineRule="auto"/>
        <w:ind w:firstLine="480" w:firstLineChars="200"/>
        <w:rPr>
          <w:rFonts w:ascii="宋体" w:hAnsi="宋体" w:cs="宋体"/>
          <w:color w:val="auto"/>
          <w:highlight w:val="none"/>
        </w:rPr>
      </w:pPr>
      <w:r>
        <w:rPr>
          <w:rFonts w:hint="eastAsia" w:ascii="宋体" w:hAnsi="宋体" w:cs="宋体"/>
          <w:color w:val="auto"/>
          <w:highlight w:val="none"/>
        </w:rPr>
        <w:t>（2）此表为格式表，各投标人可根据情况调整。</w:t>
      </w:r>
    </w:p>
    <w:p w14:paraId="2FD05E10">
      <w:pPr>
        <w:spacing w:afterLines="50" w:line="360" w:lineRule="auto"/>
        <w:ind w:firstLine="480" w:firstLineChars="200"/>
        <w:rPr>
          <w:rFonts w:ascii="宋体" w:hAnsi="宋体" w:cs="宋体"/>
          <w:color w:val="auto"/>
          <w:highlight w:val="none"/>
        </w:rPr>
      </w:pPr>
    </w:p>
    <w:p w14:paraId="3FE8CB8D">
      <w:pPr>
        <w:spacing w:afterLines="50" w:line="360" w:lineRule="auto"/>
        <w:ind w:firstLine="482" w:firstLineChars="200"/>
        <w:rPr>
          <w:rFonts w:ascii="宋体" w:hAnsi="宋体" w:cs="宋体"/>
          <w:b/>
          <w:color w:val="auto"/>
          <w:szCs w:val="24"/>
          <w:highlight w:val="none"/>
        </w:rPr>
      </w:pPr>
      <w:r>
        <w:rPr>
          <w:rFonts w:hint="eastAsia" w:ascii="宋体" w:hAnsi="宋体" w:cs="宋体"/>
          <w:b/>
          <w:color w:val="auto"/>
          <w:highlight w:val="none"/>
        </w:rPr>
        <w:t>投标人代表签字或签章</w:t>
      </w:r>
      <w:r>
        <w:rPr>
          <w:rFonts w:hint="eastAsia" w:ascii="宋体" w:hAnsi="宋体" w:cs="宋体"/>
          <w:b/>
          <w:color w:val="auto"/>
          <w:szCs w:val="24"/>
          <w:highlight w:val="none"/>
        </w:rPr>
        <w:t>：________________</w:t>
      </w:r>
    </w:p>
    <w:p w14:paraId="46FDBF80">
      <w:pPr>
        <w:ind w:firstLine="482" w:firstLineChars="200"/>
        <w:rPr>
          <w:rFonts w:cs="宋体"/>
          <w:b/>
          <w:bCs/>
          <w:color w:val="auto"/>
          <w:highlight w:val="none"/>
        </w:rPr>
      </w:pPr>
      <w:r>
        <w:rPr>
          <w:rFonts w:hint="eastAsia" w:ascii="宋体" w:hAnsi="宋体" w:cs="宋体"/>
          <w:b/>
          <w:color w:val="auto"/>
          <w:highlight w:val="none"/>
        </w:rPr>
        <w:t>投标人（签章）：</w:t>
      </w:r>
    </w:p>
    <w:p w14:paraId="4174A5F6">
      <w:pPr>
        <w:widowControl/>
        <w:spacing w:line="240" w:lineRule="auto"/>
        <w:rPr>
          <w:rFonts w:cs="宋体"/>
          <w:b/>
          <w:bCs/>
          <w:color w:val="auto"/>
          <w:highlight w:val="none"/>
        </w:rPr>
      </w:pPr>
      <w:r>
        <w:rPr>
          <w:rFonts w:cs="宋体"/>
          <w:b/>
          <w:bCs/>
          <w:color w:val="auto"/>
          <w:highlight w:val="none"/>
        </w:rPr>
        <w:br w:type="page"/>
      </w:r>
    </w:p>
    <w:bookmarkEnd w:id="60"/>
    <w:bookmarkEnd w:id="61"/>
    <w:bookmarkEnd w:id="62"/>
    <w:p w14:paraId="69F863C9">
      <w:pPr>
        <w:rPr>
          <w:rFonts w:ascii="宋体" w:hAnsi="宋体" w:cs="宋体"/>
          <w:color w:val="auto"/>
          <w:highlight w:val="none"/>
        </w:rPr>
        <w:sectPr>
          <w:pgSz w:w="11906" w:h="16838"/>
          <w:pgMar w:top="1440" w:right="1440" w:bottom="1440" w:left="1440" w:header="851" w:footer="992" w:gutter="0"/>
          <w:pgNumType w:fmt="decimal"/>
          <w:cols w:space="720" w:num="1"/>
          <w:docGrid w:type="lines" w:linePitch="312" w:charSpace="0"/>
        </w:sectPr>
      </w:pPr>
    </w:p>
    <w:p w14:paraId="42E6DE34">
      <w:pPr>
        <w:jc w:val="center"/>
        <w:rPr>
          <w:b/>
          <w:bCs/>
          <w:color w:val="auto"/>
          <w:sz w:val="36"/>
          <w:szCs w:val="24"/>
          <w:highlight w:val="none"/>
        </w:rPr>
      </w:pPr>
      <w:bookmarkStart w:id="63" w:name="_Toc7429563"/>
      <w:bookmarkStart w:id="64" w:name="_Toc17635"/>
      <w:bookmarkStart w:id="65" w:name="_Toc508976623"/>
      <w:bookmarkStart w:id="66" w:name="_Toc7429562"/>
      <w:bookmarkStart w:id="67" w:name="_Toc32114"/>
      <w:r>
        <w:rPr>
          <w:rFonts w:hint="eastAsia"/>
          <w:b/>
          <w:bCs/>
          <w:color w:val="auto"/>
          <w:sz w:val="36"/>
          <w:szCs w:val="24"/>
          <w:highlight w:val="none"/>
        </w:rPr>
        <w:t>7</w:t>
      </w:r>
      <w:r>
        <w:rPr>
          <w:b/>
          <w:bCs/>
          <w:color w:val="auto"/>
          <w:sz w:val="36"/>
          <w:szCs w:val="24"/>
          <w:highlight w:val="none"/>
        </w:rPr>
        <w:t>.</w:t>
      </w:r>
      <w:r>
        <w:rPr>
          <w:rFonts w:hint="eastAsia"/>
          <w:b/>
          <w:bCs/>
          <w:color w:val="auto"/>
          <w:sz w:val="36"/>
          <w:szCs w:val="24"/>
          <w:highlight w:val="none"/>
        </w:rPr>
        <w:t>中小企业声明函（如适用）</w:t>
      </w:r>
    </w:p>
    <w:p w14:paraId="79B5AF95">
      <w:pPr>
        <w:wordWrap w:val="0"/>
        <w:snapToGrid w:val="0"/>
        <w:spacing w:line="240" w:lineRule="auto"/>
        <w:jc w:val="center"/>
        <w:textAlignment w:val="baseline"/>
        <w:rPr>
          <w:rFonts w:ascii="宋体" w:hAnsi="宋体" w:cs="宋体"/>
          <w:color w:val="auto"/>
          <w:szCs w:val="24"/>
          <w:highlight w:val="none"/>
        </w:rPr>
      </w:pPr>
      <w:r>
        <w:rPr>
          <w:rFonts w:hint="eastAsia" w:ascii="宋体" w:hAnsi="宋体" w:cs="宋体"/>
          <w:color w:val="auto"/>
          <w:szCs w:val="24"/>
          <w:highlight w:val="none"/>
        </w:rPr>
        <w:t>（不符合小型、微型企业条件的不需提供，中小企业划型标准规定“工信部联企业〔2011〕300号”详见网址http://www.ccgp.gov.cn/zcfg/mof/201310/t20131029_3587674.htm），如适用，</w:t>
      </w:r>
      <w:r>
        <w:rPr>
          <w:rFonts w:hint="eastAsia" w:ascii="宋体" w:hAnsi="宋体" w:cs="宋体"/>
          <w:b/>
          <w:bCs/>
          <w:color w:val="auto"/>
          <w:szCs w:val="24"/>
          <w:highlight w:val="none"/>
        </w:rPr>
        <w:t>提供与项目属性同类的格式</w:t>
      </w:r>
      <w:r>
        <w:rPr>
          <w:rFonts w:hint="eastAsia" w:ascii="宋体" w:hAnsi="宋体" w:cs="宋体"/>
          <w:color w:val="auto"/>
          <w:szCs w:val="24"/>
          <w:highlight w:val="none"/>
        </w:rPr>
        <w:t>。</w:t>
      </w:r>
    </w:p>
    <w:p w14:paraId="3961F055">
      <w:pPr>
        <w:ind w:firstLine="283" w:firstLineChars="118"/>
        <w:rPr>
          <w:rFonts w:ascii="宋体" w:hAnsi="宋体" w:cs="宋体"/>
          <w:color w:val="auto"/>
          <w:highlight w:val="none"/>
        </w:rPr>
      </w:pPr>
    </w:p>
    <w:p w14:paraId="1FC3B3C7">
      <w:pPr>
        <w:spacing w:line="480" w:lineRule="exact"/>
        <w:jc w:val="center"/>
        <w:rPr>
          <w:rFonts w:cs="宋体"/>
          <w:b/>
          <w:bCs/>
          <w:color w:val="auto"/>
          <w:szCs w:val="24"/>
          <w:highlight w:val="none"/>
        </w:rPr>
      </w:pPr>
      <w:r>
        <w:rPr>
          <w:rFonts w:hint="eastAsia" w:ascii="宋体" w:hAnsi="宋体" w:cs="宋体"/>
          <w:b/>
          <w:bCs/>
          <w:color w:val="auto"/>
          <w:szCs w:val="24"/>
          <w:highlight w:val="none"/>
        </w:rPr>
        <w:br w:type="page"/>
      </w:r>
      <w:bookmarkStart w:id="68" w:name="_Toc11498"/>
      <w:r>
        <w:rPr>
          <w:rFonts w:hint="eastAsia" w:cs="宋体"/>
          <w:b/>
          <w:bCs/>
          <w:color w:val="auto"/>
          <w:szCs w:val="24"/>
          <w:highlight w:val="none"/>
        </w:rPr>
        <w:t>中小企业声明函（工程、服务）</w:t>
      </w:r>
    </w:p>
    <w:p w14:paraId="4E412E0E">
      <w:pPr>
        <w:tabs>
          <w:tab w:val="left" w:pos="7230"/>
          <w:tab w:val="left" w:pos="7513"/>
        </w:tabs>
        <w:spacing w:line="480" w:lineRule="exact"/>
        <w:ind w:firstLine="480" w:firstLineChars="200"/>
        <w:rPr>
          <w:rFonts w:cs="宋体"/>
          <w:color w:val="auto"/>
          <w:szCs w:val="24"/>
          <w:highlight w:val="none"/>
        </w:rPr>
      </w:pPr>
      <w:r>
        <w:rPr>
          <w:rFonts w:hint="eastAsia" w:cs="宋体"/>
          <w:color w:val="auto"/>
          <w:szCs w:val="24"/>
          <w:highlight w:val="none"/>
        </w:rPr>
        <w:t>本公司（联合体）郑重声明，根据《政府采购促进中小企业发展管理办法》（财库﹝</w:t>
      </w:r>
      <w:r>
        <w:rPr>
          <w:rFonts w:cs="宋体"/>
          <w:color w:val="auto"/>
          <w:szCs w:val="24"/>
          <w:highlight w:val="none"/>
        </w:rPr>
        <w:t>2020</w:t>
      </w:r>
      <w:r>
        <w:rPr>
          <w:rFonts w:hint="eastAsia" w:cs="宋体"/>
          <w:color w:val="auto"/>
          <w:szCs w:val="24"/>
          <w:highlight w:val="none"/>
        </w:rPr>
        <w:t>﹞</w:t>
      </w:r>
      <w:r>
        <w:rPr>
          <w:rFonts w:cs="宋体"/>
          <w:color w:val="auto"/>
          <w:szCs w:val="24"/>
          <w:highlight w:val="none"/>
        </w:rPr>
        <w:t xml:space="preserve">46 </w:t>
      </w:r>
      <w:r>
        <w:rPr>
          <w:rFonts w:hint="eastAsia" w:cs="宋体"/>
          <w:color w:val="auto"/>
          <w:szCs w:val="24"/>
          <w:highlight w:val="none"/>
        </w:rPr>
        <w:t>号）的规定，本公司（联合体）参加</w:t>
      </w:r>
      <w:r>
        <w:rPr>
          <w:rFonts w:hint="eastAsia" w:cs="宋体"/>
          <w:color w:val="auto"/>
          <w:szCs w:val="24"/>
          <w:highlight w:val="none"/>
          <w:u w:val="single"/>
        </w:rPr>
        <w:t>（单位名称）</w:t>
      </w:r>
      <w:r>
        <w:rPr>
          <w:rFonts w:hint="eastAsia" w:cs="宋体"/>
          <w:color w:val="auto"/>
          <w:szCs w:val="24"/>
          <w:highlight w:val="none"/>
        </w:rPr>
        <w:t>的</w:t>
      </w:r>
      <w:r>
        <w:rPr>
          <w:rFonts w:hint="eastAsia" w:cs="宋体"/>
          <w:color w:val="auto"/>
          <w:szCs w:val="24"/>
          <w:highlight w:val="none"/>
          <w:u w:val="single"/>
        </w:rPr>
        <w:t>（项目名称）</w:t>
      </w:r>
      <w:r>
        <w:rPr>
          <w:rFonts w:hint="eastAsia" w:cs="宋体"/>
          <w:color w:val="auto"/>
          <w:szCs w:val="24"/>
          <w:highlight w:val="none"/>
        </w:rPr>
        <w:t>采购活动，工程的施工单位全部为符合政策要求的中小企业（或者：服务全部由符合政策要求的中小企业承接）。相关企业（含联合体中的中小企业、签订分包意向协议的中小企业）的具体情况如下：</w:t>
      </w:r>
    </w:p>
    <w:p w14:paraId="292F7063">
      <w:pPr>
        <w:tabs>
          <w:tab w:val="left" w:pos="7513"/>
        </w:tabs>
        <w:spacing w:line="480" w:lineRule="exact"/>
        <w:rPr>
          <w:rFonts w:cs="宋体"/>
          <w:color w:val="auto"/>
          <w:szCs w:val="24"/>
          <w:highlight w:val="none"/>
        </w:rPr>
      </w:pPr>
      <w:r>
        <w:rPr>
          <w:rFonts w:cs="宋体"/>
          <w:color w:val="auto"/>
          <w:szCs w:val="24"/>
          <w:highlight w:val="none"/>
        </w:rPr>
        <w:t xml:space="preserve">1. </w:t>
      </w:r>
      <w:r>
        <w:rPr>
          <w:rFonts w:hint="eastAsia" w:cs="宋体"/>
          <w:color w:val="auto"/>
          <w:szCs w:val="24"/>
          <w:highlight w:val="none"/>
          <w:u w:val="single"/>
        </w:rPr>
        <w:t>（标的名称）</w:t>
      </w:r>
      <w:r>
        <w:rPr>
          <w:rFonts w:hint="eastAsia" w:cs="宋体"/>
          <w:color w:val="auto"/>
          <w:szCs w:val="24"/>
          <w:highlight w:val="none"/>
        </w:rPr>
        <w:t>，属于</w:t>
      </w:r>
      <w:r>
        <w:rPr>
          <w:rFonts w:hint="eastAsia" w:cs="宋体"/>
          <w:color w:val="auto"/>
          <w:szCs w:val="24"/>
          <w:highlight w:val="none"/>
          <w:u w:val="single"/>
        </w:rPr>
        <w:t>（采购文件中明确的所属行业）</w:t>
      </w:r>
      <w:r>
        <w:rPr>
          <w:rFonts w:hint="eastAsia" w:cs="宋体"/>
          <w:color w:val="auto"/>
          <w:szCs w:val="24"/>
          <w:highlight w:val="none"/>
        </w:rPr>
        <w:t>；承建（承接）企业为</w:t>
      </w:r>
      <w:r>
        <w:rPr>
          <w:rFonts w:hint="eastAsia" w:cs="宋体"/>
          <w:color w:val="auto"/>
          <w:szCs w:val="24"/>
          <w:highlight w:val="none"/>
          <w:u w:val="single"/>
        </w:rPr>
        <w:t>（企业名称）</w:t>
      </w:r>
      <w:r>
        <w:rPr>
          <w:rFonts w:hint="eastAsia" w:cs="宋体"/>
          <w:color w:val="auto"/>
          <w:szCs w:val="24"/>
          <w:highlight w:val="none"/>
        </w:rPr>
        <w:t>，从业人员人，营业收入为万元，资产总额为万元</w:t>
      </w:r>
      <w:r>
        <w:rPr>
          <w:rFonts w:cs="宋体"/>
          <w:color w:val="auto"/>
          <w:szCs w:val="24"/>
          <w:highlight w:val="none"/>
          <w:vertAlign w:val="superscript"/>
        </w:rPr>
        <w:t>1</w:t>
      </w:r>
      <w:r>
        <w:rPr>
          <w:rFonts w:hint="eastAsia" w:cs="宋体"/>
          <w:color w:val="auto"/>
          <w:szCs w:val="24"/>
          <w:highlight w:val="none"/>
        </w:rPr>
        <w:t>，属于</w:t>
      </w:r>
      <w:r>
        <w:rPr>
          <w:rFonts w:hint="eastAsia" w:cs="宋体"/>
          <w:color w:val="auto"/>
          <w:szCs w:val="24"/>
          <w:highlight w:val="none"/>
          <w:u w:val="single"/>
        </w:rPr>
        <w:t>（中型企业、小型企业、微型企业）</w:t>
      </w:r>
      <w:r>
        <w:rPr>
          <w:rFonts w:hint="eastAsia" w:cs="宋体"/>
          <w:color w:val="auto"/>
          <w:szCs w:val="24"/>
          <w:highlight w:val="none"/>
        </w:rPr>
        <w:t>；</w:t>
      </w:r>
    </w:p>
    <w:p w14:paraId="307360C0">
      <w:pPr>
        <w:tabs>
          <w:tab w:val="left" w:pos="7513"/>
        </w:tabs>
        <w:spacing w:line="480" w:lineRule="exact"/>
        <w:rPr>
          <w:rFonts w:cs="宋体"/>
          <w:color w:val="auto"/>
          <w:szCs w:val="24"/>
          <w:highlight w:val="none"/>
        </w:rPr>
      </w:pPr>
      <w:r>
        <w:rPr>
          <w:rFonts w:cs="宋体"/>
          <w:color w:val="auto"/>
          <w:szCs w:val="24"/>
          <w:highlight w:val="none"/>
        </w:rPr>
        <w:t xml:space="preserve">2. </w:t>
      </w:r>
      <w:r>
        <w:rPr>
          <w:rFonts w:hint="eastAsia" w:cs="宋体"/>
          <w:color w:val="auto"/>
          <w:szCs w:val="24"/>
          <w:highlight w:val="none"/>
          <w:u w:val="single"/>
        </w:rPr>
        <w:t>（标的名称）</w:t>
      </w:r>
      <w:r>
        <w:rPr>
          <w:rFonts w:hint="eastAsia" w:cs="宋体"/>
          <w:color w:val="auto"/>
          <w:szCs w:val="24"/>
          <w:highlight w:val="none"/>
        </w:rPr>
        <w:t>，属于</w:t>
      </w:r>
      <w:r>
        <w:rPr>
          <w:rFonts w:hint="eastAsia" w:cs="宋体"/>
          <w:color w:val="auto"/>
          <w:szCs w:val="24"/>
          <w:highlight w:val="none"/>
          <w:u w:val="single"/>
        </w:rPr>
        <w:t>（采购文件中明确的所属行业）</w:t>
      </w:r>
      <w:r>
        <w:rPr>
          <w:rFonts w:hint="eastAsia" w:cs="宋体"/>
          <w:color w:val="auto"/>
          <w:szCs w:val="24"/>
          <w:highlight w:val="none"/>
        </w:rPr>
        <w:t>；承建（承接）企业为</w:t>
      </w:r>
      <w:r>
        <w:rPr>
          <w:rFonts w:hint="eastAsia" w:cs="宋体"/>
          <w:color w:val="auto"/>
          <w:szCs w:val="24"/>
          <w:highlight w:val="none"/>
          <w:u w:val="single"/>
        </w:rPr>
        <w:t>（企业名称）</w:t>
      </w:r>
      <w:r>
        <w:rPr>
          <w:rFonts w:hint="eastAsia" w:cs="宋体"/>
          <w:color w:val="auto"/>
          <w:szCs w:val="24"/>
          <w:highlight w:val="none"/>
        </w:rPr>
        <w:t>，从业人员人，营业收入为万元，资产总额为万元，属于</w:t>
      </w:r>
      <w:r>
        <w:rPr>
          <w:rFonts w:hint="eastAsia" w:cs="宋体"/>
          <w:color w:val="auto"/>
          <w:szCs w:val="24"/>
          <w:highlight w:val="none"/>
          <w:u w:val="single"/>
        </w:rPr>
        <w:t>（中型企业、小型企业、微型企业）</w:t>
      </w:r>
      <w:r>
        <w:rPr>
          <w:rFonts w:hint="eastAsia" w:cs="宋体"/>
          <w:color w:val="auto"/>
          <w:szCs w:val="24"/>
          <w:highlight w:val="none"/>
        </w:rPr>
        <w:t>；</w:t>
      </w:r>
    </w:p>
    <w:p w14:paraId="4517299C">
      <w:pPr>
        <w:tabs>
          <w:tab w:val="left" w:pos="7513"/>
        </w:tabs>
        <w:spacing w:line="480" w:lineRule="exact"/>
        <w:rPr>
          <w:rFonts w:cs="宋体"/>
          <w:color w:val="auto"/>
          <w:szCs w:val="24"/>
          <w:highlight w:val="none"/>
        </w:rPr>
      </w:pPr>
      <w:r>
        <w:rPr>
          <w:rFonts w:hint="eastAsia" w:cs="宋体"/>
          <w:color w:val="auto"/>
          <w:szCs w:val="24"/>
          <w:highlight w:val="none"/>
        </w:rPr>
        <w:t>……</w:t>
      </w:r>
    </w:p>
    <w:p w14:paraId="3B7CBD85">
      <w:pPr>
        <w:tabs>
          <w:tab w:val="left" w:pos="7513"/>
        </w:tabs>
        <w:spacing w:line="480" w:lineRule="exact"/>
        <w:ind w:firstLine="480" w:firstLineChars="200"/>
        <w:rPr>
          <w:rFonts w:cs="宋体"/>
          <w:color w:val="auto"/>
          <w:szCs w:val="24"/>
          <w:highlight w:val="none"/>
        </w:rPr>
      </w:pPr>
      <w:r>
        <w:rPr>
          <w:rFonts w:hint="eastAsia" w:cs="宋体"/>
          <w:color w:val="auto"/>
          <w:szCs w:val="24"/>
          <w:highlight w:val="none"/>
        </w:rPr>
        <w:t>以上企业，不属于大企业的分支机构，不存在控股股东为大企业的情形，也不存在与大企业的负责人为同一人的情形。</w:t>
      </w:r>
    </w:p>
    <w:p w14:paraId="5BECBDD6">
      <w:pPr>
        <w:tabs>
          <w:tab w:val="left" w:pos="7513"/>
        </w:tabs>
        <w:spacing w:line="480" w:lineRule="exact"/>
        <w:ind w:firstLine="480" w:firstLineChars="200"/>
        <w:rPr>
          <w:rFonts w:cs="宋体"/>
          <w:color w:val="auto"/>
          <w:szCs w:val="24"/>
          <w:highlight w:val="none"/>
        </w:rPr>
      </w:pPr>
      <w:r>
        <w:rPr>
          <w:rFonts w:hint="eastAsia" w:cs="宋体"/>
          <w:color w:val="auto"/>
          <w:szCs w:val="24"/>
          <w:highlight w:val="none"/>
        </w:rPr>
        <w:t>本企业对上述声明内容的真实性负责。如有虚假，将依法承担相应责任。</w:t>
      </w:r>
    </w:p>
    <w:p w14:paraId="01E7F161">
      <w:pPr>
        <w:tabs>
          <w:tab w:val="left" w:pos="7513"/>
        </w:tabs>
        <w:spacing w:line="480" w:lineRule="exact"/>
        <w:ind w:firstLine="4320" w:firstLineChars="1800"/>
        <w:rPr>
          <w:rFonts w:cs="宋体"/>
          <w:color w:val="auto"/>
          <w:szCs w:val="24"/>
          <w:highlight w:val="none"/>
        </w:rPr>
      </w:pPr>
    </w:p>
    <w:p w14:paraId="29F3B00E">
      <w:pPr>
        <w:tabs>
          <w:tab w:val="left" w:pos="7513"/>
        </w:tabs>
        <w:spacing w:line="480" w:lineRule="exact"/>
        <w:ind w:firstLine="4800" w:firstLineChars="2000"/>
        <w:rPr>
          <w:rFonts w:cs="宋体"/>
          <w:color w:val="auto"/>
          <w:szCs w:val="24"/>
          <w:highlight w:val="none"/>
        </w:rPr>
      </w:pPr>
      <w:r>
        <w:rPr>
          <w:rFonts w:hint="eastAsia" w:cs="宋体"/>
          <w:color w:val="auto"/>
          <w:szCs w:val="24"/>
          <w:highlight w:val="none"/>
        </w:rPr>
        <w:t>企业名称（盖章）：</w:t>
      </w:r>
    </w:p>
    <w:p w14:paraId="6280D412">
      <w:pPr>
        <w:tabs>
          <w:tab w:val="left" w:pos="7513"/>
        </w:tabs>
        <w:spacing w:line="480" w:lineRule="exact"/>
        <w:ind w:firstLine="4800" w:firstLineChars="2000"/>
        <w:rPr>
          <w:rFonts w:cs="宋体"/>
          <w:color w:val="auto"/>
          <w:szCs w:val="24"/>
          <w:highlight w:val="none"/>
        </w:rPr>
      </w:pPr>
      <w:r>
        <w:rPr>
          <w:rFonts w:hint="eastAsia" w:cs="宋体"/>
          <w:color w:val="auto"/>
          <w:szCs w:val="24"/>
          <w:highlight w:val="none"/>
        </w:rPr>
        <w:t>日期：</w:t>
      </w:r>
    </w:p>
    <w:p w14:paraId="40C95E3F">
      <w:pPr>
        <w:tabs>
          <w:tab w:val="left" w:pos="7513"/>
        </w:tabs>
        <w:spacing w:line="480" w:lineRule="exact"/>
        <w:ind w:firstLine="480" w:firstLineChars="200"/>
        <w:rPr>
          <w:rFonts w:cs="宋体"/>
          <w:color w:val="auto"/>
          <w:szCs w:val="24"/>
          <w:highlight w:val="none"/>
        </w:rPr>
      </w:pPr>
    </w:p>
    <w:p w14:paraId="5BEB2501">
      <w:pPr>
        <w:jc w:val="both"/>
        <w:rPr>
          <w:rFonts w:ascii="宋体" w:hAnsi="宋体" w:cs="宋体"/>
          <w:color w:val="auto"/>
          <w:kern w:val="0"/>
          <w:szCs w:val="24"/>
          <w:highlight w:val="none"/>
        </w:rPr>
      </w:pPr>
      <w:r>
        <w:rPr>
          <w:rFonts w:hint="eastAsia" w:ascii="宋体" w:hAnsi="宋体" w:cs="宋体"/>
          <w:b/>
          <w:color w:val="auto"/>
          <w:szCs w:val="24"/>
          <w:highlight w:val="none"/>
        </w:rPr>
        <w:t>注：以上从业人员、营业收入、资产总额填报上一年度数据，无上一年度数据的新成立企业可不填报。</w:t>
      </w:r>
    </w:p>
    <w:p w14:paraId="673D5EEA">
      <w:pPr>
        <w:tabs>
          <w:tab w:val="left" w:pos="7513"/>
        </w:tabs>
        <w:spacing w:line="480" w:lineRule="exact"/>
        <w:ind w:firstLine="480" w:firstLineChars="200"/>
        <w:rPr>
          <w:rFonts w:cs="宋体"/>
          <w:color w:val="auto"/>
          <w:szCs w:val="24"/>
          <w:highlight w:val="none"/>
        </w:rPr>
      </w:pPr>
    </w:p>
    <w:p w14:paraId="06D6744C">
      <w:pPr>
        <w:tabs>
          <w:tab w:val="left" w:pos="7513"/>
        </w:tabs>
        <w:spacing w:line="480" w:lineRule="exact"/>
        <w:ind w:firstLine="480" w:firstLineChars="200"/>
        <w:rPr>
          <w:rFonts w:cs="宋体"/>
          <w:color w:val="auto"/>
          <w:szCs w:val="24"/>
          <w:highlight w:val="none"/>
        </w:rPr>
      </w:pPr>
      <w:r>
        <w:rPr>
          <w:rFonts w:cs="宋体"/>
          <w:color w:val="auto"/>
          <w:szCs w:val="24"/>
          <w:highlight w:val="none"/>
        </w:rPr>
        <w:br w:type="page"/>
      </w:r>
    </w:p>
    <w:p w14:paraId="10E8701E">
      <w:pPr>
        <w:rPr>
          <w:color w:val="auto"/>
          <w:highlight w:val="none"/>
        </w:rPr>
      </w:pPr>
    </w:p>
    <w:p w14:paraId="78E3DB9D">
      <w:pPr>
        <w:jc w:val="center"/>
        <w:rPr>
          <w:rFonts w:ascii="宋体" w:hAnsi="宋体" w:cs="宋体"/>
          <w:b/>
          <w:bCs/>
          <w:color w:val="auto"/>
          <w:szCs w:val="24"/>
          <w:highlight w:val="none"/>
        </w:rPr>
      </w:pPr>
      <w:r>
        <w:rPr>
          <w:rFonts w:hint="eastAsia" w:ascii="宋体" w:hAnsi="宋体" w:cs="宋体"/>
          <w:b/>
          <w:bCs/>
          <w:color w:val="auto"/>
          <w:szCs w:val="24"/>
          <w:highlight w:val="none"/>
        </w:rPr>
        <w:t>行业划型标准依据《中小企业划型标准规定》（工信部联企业[2011]300号），参照下表：</w:t>
      </w:r>
      <w:bookmarkEnd w:id="68"/>
    </w:p>
    <w:tbl>
      <w:tblPr>
        <w:tblStyle w:val="27"/>
        <w:tblW w:w="93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91"/>
        <w:gridCol w:w="1276"/>
        <w:gridCol w:w="709"/>
        <w:gridCol w:w="1276"/>
        <w:gridCol w:w="1701"/>
        <w:gridCol w:w="1559"/>
        <w:gridCol w:w="1276"/>
      </w:tblGrid>
      <w:tr w14:paraId="0CB212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91" w:type="dxa"/>
            <w:vAlign w:val="center"/>
          </w:tcPr>
          <w:p w14:paraId="62C63FBD">
            <w:pPr>
              <w:widowControl/>
              <w:spacing w:line="360" w:lineRule="exact"/>
              <w:ind w:firstLine="284" w:firstLineChars="118"/>
              <w:jc w:val="center"/>
              <w:rPr>
                <w:rFonts w:ascii="宋体" w:hAnsi="宋体" w:cs="宋体"/>
                <w:b/>
                <w:bCs/>
                <w:color w:val="auto"/>
                <w:kern w:val="0"/>
                <w:szCs w:val="24"/>
                <w:highlight w:val="none"/>
              </w:rPr>
            </w:pPr>
            <w:r>
              <w:rPr>
                <w:rFonts w:hint="eastAsia" w:ascii="宋体" w:hAnsi="宋体" w:cs="宋体"/>
                <w:b/>
                <w:bCs/>
                <w:color w:val="auto"/>
                <w:kern w:val="0"/>
                <w:szCs w:val="24"/>
                <w:highlight w:val="none"/>
              </w:rPr>
              <w:t>行业名称</w:t>
            </w:r>
          </w:p>
        </w:tc>
        <w:tc>
          <w:tcPr>
            <w:tcW w:w="1276" w:type="dxa"/>
            <w:vAlign w:val="center"/>
          </w:tcPr>
          <w:p w14:paraId="0AE41D18">
            <w:pPr>
              <w:widowControl/>
              <w:spacing w:line="360" w:lineRule="exact"/>
              <w:jc w:val="both"/>
              <w:rPr>
                <w:rFonts w:ascii="宋体" w:hAnsi="宋体" w:cs="宋体"/>
                <w:b/>
                <w:bCs/>
                <w:color w:val="auto"/>
                <w:kern w:val="0"/>
                <w:szCs w:val="24"/>
                <w:highlight w:val="none"/>
              </w:rPr>
            </w:pPr>
            <w:r>
              <w:rPr>
                <w:rFonts w:hint="eastAsia" w:ascii="宋体" w:hAnsi="宋体" w:cs="宋体"/>
                <w:b/>
                <w:bCs/>
                <w:color w:val="auto"/>
                <w:kern w:val="0"/>
                <w:szCs w:val="24"/>
                <w:highlight w:val="none"/>
              </w:rPr>
              <w:t>指标名称</w:t>
            </w:r>
          </w:p>
        </w:tc>
        <w:tc>
          <w:tcPr>
            <w:tcW w:w="709" w:type="dxa"/>
            <w:vAlign w:val="center"/>
          </w:tcPr>
          <w:p w14:paraId="32903190">
            <w:pPr>
              <w:widowControl/>
              <w:spacing w:line="360" w:lineRule="exact"/>
              <w:jc w:val="center"/>
              <w:rPr>
                <w:rFonts w:ascii="宋体" w:hAnsi="宋体" w:cs="宋体"/>
                <w:b/>
                <w:bCs/>
                <w:color w:val="auto"/>
                <w:kern w:val="0"/>
                <w:szCs w:val="24"/>
                <w:highlight w:val="none"/>
              </w:rPr>
            </w:pPr>
            <w:r>
              <w:rPr>
                <w:rFonts w:hint="eastAsia" w:ascii="宋体" w:hAnsi="宋体" w:cs="宋体"/>
                <w:b/>
                <w:bCs/>
                <w:color w:val="auto"/>
                <w:kern w:val="0"/>
                <w:szCs w:val="24"/>
                <w:highlight w:val="none"/>
              </w:rPr>
              <w:t>计量</w:t>
            </w:r>
            <w:r>
              <w:rPr>
                <w:rFonts w:hint="eastAsia" w:ascii="宋体" w:hAnsi="宋体" w:cs="宋体"/>
                <w:b/>
                <w:bCs/>
                <w:color w:val="auto"/>
                <w:kern w:val="0"/>
                <w:szCs w:val="24"/>
                <w:highlight w:val="none"/>
              </w:rPr>
              <w:br w:type="textWrapping"/>
            </w:r>
            <w:r>
              <w:rPr>
                <w:rFonts w:hint="eastAsia" w:ascii="宋体" w:hAnsi="宋体" w:cs="宋体"/>
                <w:b/>
                <w:bCs/>
                <w:color w:val="auto"/>
                <w:kern w:val="0"/>
                <w:szCs w:val="24"/>
                <w:highlight w:val="none"/>
              </w:rPr>
              <w:t>单位</w:t>
            </w:r>
          </w:p>
        </w:tc>
        <w:tc>
          <w:tcPr>
            <w:tcW w:w="1276" w:type="dxa"/>
            <w:vAlign w:val="center"/>
          </w:tcPr>
          <w:p w14:paraId="7B4C40F0">
            <w:pPr>
              <w:widowControl/>
              <w:spacing w:line="360" w:lineRule="exact"/>
              <w:ind w:firstLine="284" w:firstLineChars="118"/>
              <w:rPr>
                <w:rFonts w:ascii="宋体" w:hAnsi="宋体" w:cs="宋体"/>
                <w:b/>
                <w:bCs/>
                <w:color w:val="auto"/>
                <w:kern w:val="0"/>
                <w:szCs w:val="24"/>
                <w:highlight w:val="none"/>
              </w:rPr>
            </w:pPr>
            <w:r>
              <w:rPr>
                <w:rFonts w:hint="eastAsia" w:ascii="宋体" w:hAnsi="宋体" w:cs="宋体"/>
                <w:b/>
                <w:bCs/>
                <w:color w:val="auto"/>
                <w:kern w:val="0"/>
                <w:szCs w:val="24"/>
                <w:highlight w:val="none"/>
              </w:rPr>
              <w:t>大型</w:t>
            </w:r>
          </w:p>
        </w:tc>
        <w:tc>
          <w:tcPr>
            <w:tcW w:w="1701" w:type="dxa"/>
            <w:vAlign w:val="center"/>
          </w:tcPr>
          <w:p w14:paraId="00FB8160">
            <w:pPr>
              <w:widowControl/>
              <w:spacing w:line="360" w:lineRule="exact"/>
              <w:ind w:firstLine="284" w:firstLineChars="118"/>
              <w:rPr>
                <w:rFonts w:ascii="宋体" w:hAnsi="宋体" w:cs="宋体"/>
                <w:b/>
                <w:bCs/>
                <w:color w:val="auto"/>
                <w:kern w:val="0"/>
                <w:szCs w:val="24"/>
                <w:highlight w:val="none"/>
              </w:rPr>
            </w:pPr>
            <w:r>
              <w:rPr>
                <w:rFonts w:hint="eastAsia" w:ascii="宋体" w:hAnsi="宋体" w:cs="宋体"/>
                <w:b/>
                <w:bCs/>
                <w:color w:val="auto"/>
                <w:kern w:val="0"/>
                <w:szCs w:val="24"/>
                <w:highlight w:val="none"/>
              </w:rPr>
              <w:t>中型</w:t>
            </w:r>
          </w:p>
        </w:tc>
        <w:tc>
          <w:tcPr>
            <w:tcW w:w="1559" w:type="dxa"/>
            <w:vAlign w:val="center"/>
          </w:tcPr>
          <w:p w14:paraId="5D068375">
            <w:pPr>
              <w:widowControl/>
              <w:spacing w:line="360" w:lineRule="exact"/>
              <w:ind w:firstLine="284" w:firstLineChars="118"/>
              <w:rPr>
                <w:rFonts w:ascii="宋体" w:hAnsi="宋体" w:cs="宋体"/>
                <w:b/>
                <w:bCs/>
                <w:color w:val="auto"/>
                <w:kern w:val="0"/>
                <w:szCs w:val="24"/>
                <w:highlight w:val="none"/>
              </w:rPr>
            </w:pPr>
            <w:r>
              <w:rPr>
                <w:rFonts w:hint="eastAsia" w:ascii="宋体" w:hAnsi="宋体" w:cs="宋体"/>
                <w:b/>
                <w:bCs/>
                <w:color w:val="auto"/>
                <w:kern w:val="0"/>
                <w:szCs w:val="24"/>
                <w:highlight w:val="none"/>
              </w:rPr>
              <w:t>小型</w:t>
            </w:r>
          </w:p>
        </w:tc>
        <w:tc>
          <w:tcPr>
            <w:tcW w:w="1276" w:type="dxa"/>
            <w:vAlign w:val="center"/>
          </w:tcPr>
          <w:p w14:paraId="558C689D">
            <w:pPr>
              <w:widowControl/>
              <w:spacing w:line="360" w:lineRule="exact"/>
              <w:ind w:firstLine="284" w:firstLineChars="118"/>
              <w:rPr>
                <w:rFonts w:ascii="宋体" w:hAnsi="宋体" w:cs="宋体"/>
                <w:b/>
                <w:bCs/>
                <w:color w:val="auto"/>
                <w:kern w:val="0"/>
                <w:szCs w:val="24"/>
                <w:highlight w:val="none"/>
              </w:rPr>
            </w:pPr>
            <w:r>
              <w:rPr>
                <w:rFonts w:hint="eastAsia" w:ascii="宋体" w:hAnsi="宋体" w:cs="宋体"/>
                <w:b/>
                <w:bCs/>
                <w:color w:val="auto"/>
                <w:kern w:val="0"/>
                <w:szCs w:val="24"/>
                <w:highlight w:val="none"/>
              </w:rPr>
              <w:t>微型</w:t>
            </w:r>
          </w:p>
        </w:tc>
      </w:tr>
      <w:tr w14:paraId="5E66DE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91" w:type="dxa"/>
            <w:vAlign w:val="center"/>
          </w:tcPr>
          <w:p w14:paraId="19225AC0">
            <w:pPr>
              <w:widowControl/>
              <w:spacing w:line="360" w:lineRule="exact"/>
              <w:jc w:val="center"/>
              <w:rPr>
                <w:rFonts w:ascii="宋体" w:hAnsi="宋体" w:cs="宋体"/>
                <w:color w:val="auto"/>
                <w:kern w:val="0"/>
                <w:szCs w:val="24"/>
                <w:highlight w:val="none"/>
              </w:rPr>
            </w:pPr>
            <w:r>
              <w:rPr>
                <w:rFonts w:hint="eastAsia" w:ascii="宋体" w:hAnsi="宋体" w:cs="宋体"/>
                <w:color w:val="auto"/>
                <w:kern w:val="0"/>
                <w:szCs w:val="24"/>
                <w:highlight w:val="none"/>
              </w:rPr>
              <w:t>农、林、牧、渔业</w:t>
            </w:r>
          </w:p>
        </w:tc>
        <w:tc>
          <w:tcPr>
            <w:tcW w:w="1276" w:type="dxa"/>
            <w:vAlign w:val="center"/>
          </w:tcPr>
          <w:p w14:paraId="7F627D29">
            <w:pPr>
              <w:widowControl/>
              <w:spacing w:line="360" w:lineRule="exact"/>
              <w:jc w:val="both"/>
              <w:rPr>
                <w:rFonts w:ascii="宋体" w:hAnsi="宋体" w:cs="宋体"/>
                <w:color w:val="auto"/>
                <w:kern w:val="0"/>
                <w:szCs w:val="24"/>
                <w:highlight w:val="none"/>
              </w:rPr>
            </w:pPr>
            <w:r>
              <w:rPr>
                <w:rFonts w:hint="eastAsia" w:ascii="宋体" w:hAnsi="宋体" w:cs="宋体"/>
                <w:color w:val="auto"/>
                <w:kern w:val="0"/>
                <w:szCs w:val="24"/>
                <w:highlight w:val="none"/>
              </w:rPr>
              <w:t>营业收入(Y)</w:t>
            </w:r>
          </w:p>
        </w:tc>
        <w:tc>
          <w:tcPr>
            <w:tcW w:w="709" w:type="dxa"/>
            <w:vAlign w:val="center"/>
          </w:tcPr>
          <w:p w14:paraId="05380559">
            <w:pPr>
              <w:widowControl/>
              <w:spacing w:line="360" w:lineRule="exact"/>
              <w:jc w:val="center"/>
              <w:rPr>
                <w:rFonts w:ascii="宋体" w:hAnsi="宋体" w:cs="宋体"/>
                <w:color w:val="auto"/>
                <w:kern w:val="0"/>
                <w:szCs w:val="24"/>
                <w:highlight w:val="none"/>
              </w:rPr>
            </w:pPr>
            <w:r>
              <w:rPr>
                <w:rFonts w:hint="eastAsia" w:ascii="宋体" w:hAnsi="宋体" w:cs="宋体"/>
                <w:color w:val="auto"/>
                <w:kern w:val="0"/>
                <w:szCs w:val="24"/>
                <w:highlight w:val="none"/>
              </w:rPr>
              <w:t>万元</w:t>
            </w:r>
          </w:p>
        </w:tc>
        <w:tc>
          <w:tcPr>
            <w:tcW w:w="1276" w:type="dxa"/>
            <w:vAlign w:val="center"/>
          </w:tcPr>
          <w:p w14:paraId="6F1580FB">
            <w:pPr>
              <w:widowControl/>
              <w:spacing w:line="360" w:lineRule="exact"/>
              <w:rPr>
                <w:rFonts w:ascii="宋体" w:hAnsi="宋体" w:cs="宋体"/>
                <w:color w:val="auto"/>
                <w:kern w:val="0"/>
                <w:szCs w:val="24"/>
                <w:highlight w:val="none"/>
              </w:rPr>
            </w:pPr>
            <w:r>
              <w:rPr>
                <w:rFonts w:hint="eastAsia" w:ascii="宋体" w:hAnsi="宋体" w:cs="宋体"/>
                <w:color w:val="auto"/>
                <w:kern w:val="0"/>
                <w:szCs w:val="24"/>
                <w:highlight w:val="none"/>
              </w:rPr>
              <w:t>Y≥20000</w:t>
            </w:r>
          </w:p>
        </w:tc>
        <w:tc>
          <w:tcPr>
            <w:tcW w:w="1701" w:type="dxa"/>
            <w:vAlign w:val="center"/>
          </w:tcPr>
          <w:p w14:paraId="3E3170C3">
            <w:pPr>
              <w:widowControl/>
              <w:spacing w:line="360" w:lineRule="exact"/>
              <w:rPr>
                <w:rFonts w:ascii="宋体" w:hAnsi="宋体" w:cs="宋体"/>
                <w:color w:val="auto"/>
                <w:kern w:val="0"/>
                <w:szCs w:val="24"/>
                <w:highlight w:val="none"/>
              </w:rPr>
            </w:pPr>
            <w:r>
              <w:rPr>
                <w:rFonts w:hint="eastAsia" w:ascii="宋体" w:hAnsi="宋体" w:cs="宋体"/>
                <w:color w:val="auto"/>
                <w:kern w:val="0"/>
                <w:szCs w:val="24"/>
                <w:highlight w:val="none"/>
              </w:rPr>
              <w:t>500≤Y＜20000</w:t>
            </w:r>
          </w:p>
        </w:tc>
        <w:tc>
          <w:tcPr>
            <w:tcW w:w="1559" w:type="dxa"/>
            <w:vAlign w:val="center"/>
          </w:tcPr>
          <w:p w14:paraId="3D6A4F57">
            <w:pPr>
              <w:widowControl/>
              <w:spacing w:line="360" w:lineRule="exact"/>
              <w:rPr>
                <w:rFonts w:ascii="宋体" w:hAnsi="宋体" w:cs="宋体"/>
                <w:color w:val="auto"/>
                <w:kern w:val="0"/>
                <w:szCs w:val="24"/>
                <w:highlight w:val="none"/>
              </w:rPr>
            </w:pPr>
            <w:r>
              <w:rPr>
                <w:rFonts w:hint="eastAsia" w:ascii="宋体" w:hAnsi="宋体" w:cs="宋体"/>
                <w:color w:val="auto"/>
                <w:kern w:val="0"/>
                <w:szCs w:val="24"/>
                <w:highlight w:val="none"/>
              </w:rPr>
              <w:t>50≤Y＜500</w:t>
            </w:r>
          </w:p>
        </w:tc>
        <w:tc>
          <w:tcPr>
            <w:tcW w:w="1276" w:type="dxa"/>
            <w:vAlign w:val="center"/>
          </w:tcPr>
          <w:p w14:paraId="1E076162">
            <w:pPr>
              <w:widowControl/>
              <w:spacing w:line="360" w:lineRule="exact"/>
              <w:rPr>
                <w:rFonts w:ascii="宋体" w:hAnsi="宋体" w:cs="宋体"/>
                <w:color w:val="auto"/>
                <w:kern w:val="0"/>
                <w:szCs w:val="24"/>
                <w:highlight w:val="none"/>
              </w:rPr>
            </w:pPr>
            <w:r>
              <w:rPr>
                <w:rFonts w:hint="eastAsia" w:ascii="宋体" w:hAnsi="宋体" w:cs="宋体"/>
                <w:color w:val="auto"/>
                <w:kern w:val="0"/>
                <w:szCs w:val="24"/>
                <w:highlight w:val="none"/>
              </w:rPr>
              <w:t>Y＜50</w:t>
            </w:r>
          </w:p>
        </w:tc>
      </w:tr>
      <w:tr w14:paraId="3E45D1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91" w:type="dxa"/>
            <w:vMerge w:val="restart"/>
            <w:vAlign w:val="center"/>
          </w:tcPr>
          <w:p w14:paraId="5D687234">
            <w:pPr>
              <w:widowControl/>
              <w:spacing w:line="360" w:lineRule="exact"/>
              <w:jc w:val="center"/>
              <w:rPr>
                <w:rFonts w:ascii="宋体" w:hAnsi="宋体" w:cs="宋体"/>
                <w:color w:val="auto"/>
                <w:kern w:val="0"/>
                <w:szCs w:val="24"/>
                <w:highlight w:val="none"/>
              </w:rPr>
            </w:pPr>
            <w:r>
              <w:rPr>
                <w:rFonts w:hint="eastAsia" w:ascii="宋体" w:hAnsi="宋体" w:cs="宋体"/>
                <w:color w:val="auto"/>
                <w:kern w:val="0"/>
                <w:szCs w:val="24"/>
                <w:highlight w:val="none"/>
              </w:rPr>
              <w:t>工业</w:t>
            </w:r>
          </w:p>
        </w:tc>
        <w:tc>
          <w:tcPr>
            <w:tcW w:w="1276" w:type="dxa"/>
            <w:vAlign w:val="center"/>
          </w:tcPr>
          <w:p w14:paraId="15C827E0">
            <w:pPr>
              <w:widowControl/>
              <w:spacing w:line="360" w:lineRule="exact"/>
              <w:jc w:val="both"/>
              <w:rPr>
                <w:rFonts w:ascii="宋体" w:hAnsi="宋体" w:cs="宋体"/>
                <w:color w:val="auto"/>
                <w:kern w:val="0"/>
                <w:szCs w:val="24"/>
                <w:highlight w:val="none"/>
              </w:rPr>
            </w:pPr>
            <w:r>
              <w:rPr>
                <w:rFonts w:hint="eastAsia" w:ascii="宋体" w:hAnsi="宋体" w:cs="宋体"/>
                <w:color w:val="auto"/>
                <w:kern w:val="0"/>
                <w:szCs w:val="24"/>
                <w:highlight w:val="none"/>
              </w:rPr>
              <w:t>从业人员(X)</w:t>
            </w:r>
          </w:p>
        </w:tc>
        <w:tc>
          <w:tcPr>
            <w:tcW w:w="709" w:type="dxa"/>
            <w:vAlign w:val="center"/>
          </w:tcPr>
          <w:p w14:paraId="2F44F3BD">
            <w:pPr>
              <w:widowControl/>
              <w:spacing w:line="360" w:lineRule="exact"/>
              <w:jc w:val="center"/>
              <w:rPr>
                <w:rFonts w:ascii="宋体" w:hAnsi="宋体" w:cs="宋体"/>
                <w:color w:val="auto"/>
                <w:kern w:val="0"/>
                <w:szCs w:val="24"/>
                <w:highlight w:val="none"/>
              </w:rPr>
            </w:pPr>
            <w:r>
              <w:rPr>
                <w:rFonts w:hint="eastAsia" w:ascii="宋体" w:hAnsi="宋体" w:cs="宋体"/>
                <w:color w:val="auto"/>
                <w:kern w:val="0"/>
                <w:szCs w:val="24"/>
                <w:highlight w:val="none"/>
              </w:rPr>
              <w:t>人</w:t>
            </w:r>
          </w:p>
        </w:tc>
        <w:tc>
          <w:tcPr>
            <w:tcW w:w="1276" w:type="dxa"/>
            <w:vAlign w:val="center"/>
          </w:tcPr>
          <w:p w14:paraId="318F28B2">
            <w:pPr>
              <w:widowControl/>
              <w:spacing w:line="360" w:lineRule="exact"/>
              <w:rPr>
                <w:rFonts w:ascii="宋体" w:hAnsi="宋体" w:cs="宋体"/>
                <w:color w:val="auto"/>
                <w:kern w:val="0"/>
                <w:szCs w:val="24"/>
                <w:highlight w:val="none"/>
              </w:rPr>
            </w:pPr>
            <w:r>
              <w:rPr>
                <w:rFonts w:hint="eastAsia" w:ascii="宋体" w:hAnsi="宋体" w:cs="宋体"/>
                <w:color w:val="auto"/>
                <w:kern w:val="0"/>
                <w:szCs w:val="24"/>
                <w:highlight w:val="none"/>
              </w:rPr>
              <w:t>X≥1000</w:t>
            </w:r>
          </w:p>
        </w:tc>
        <w:tc>
          <w:tcPr>
            <w:tcW w:w="1701" w:type="dxa"/>
            <w:vAlign w:val="center"/>
          </w:tcPr>
          <w:p w14:paraId="58379E61">
            <w:pPr>
              <w:widowControl/>
              <w:spacing w:line="360" w:lineRule="exact"/>
              <w:rPr>
                <w:rFonts w:ascii="宋体" w:hAnsi="宋体" w:cs="宋体"/>
                <w:color w:val="auto"/>
                <w:kern w:val="0"/>
                <w:szCs w:val="24"/>
                <w:highlight w:val="none"/>
              </w:rPr>
            </w:pPr>
            <w:r>
              <w:rPr>
                <w:rFonts w:hint="eastAsia" w:ascii="宋体" w:hAnsi="宋体" w:cs="宋体"/>
                <w:color w:val="auto"/>
                <w:kern w:val="0"/>
                <w:szCs w:val="24"/>
                <w:highlight w:val="none"/>
              </w:rPr>
              <w:t>300≤X＜1000</w:t>
            </w:r>
          </w:p>
        </w:tc>
        <w:tc>
          <w:tcPr>
            <w:tcW w:w="1559" w:type="dxa"/>
            <w:vAlign w:val="center"/>
          </w:tcPr>
          <w:p w14:paraId="542976E4">
            <w:pPr>
              <w:widowControl/>
              <w:spacing w:line="360" w:lineRule="exact"/>
              <w:rPr>
                <w:rFonts w:ascii="宋体" w:hAnsi="宋体" w:cs="宋体"/>
                <w:color w:val="auto"/>
                <w:kern w:val="0"/>
                <w:szCs w:val="24"/>
                <w:highlight w:val="none"/>
              </w:rPr>
            </w:pPr>
            <w:r>
              <w:rPr>
                <w:rFonts w:hint="eastAsia" w:ascii="宋体" w:hAnsi="宋体" w:cs="宋体"/>
                <w:color w:val="auto"/>
                <w:kern w:val="0"/>
                <w:szCs w:val="24"/>
                <w:highlight w:val="none"/>
              </w:rPr>
              <w:t>20≤X＜300</w:t>
            </w:r>
          </w:p>
        </w:tc>
        <w:tc>
          <w:tcPr>
            <w:tcW w:w="1276" w:type="dxa"/>
            <w:vAlign w:val="center"/>
          </w:tcPr>
          <w:p w14:paraId="23C7E557">
            <w:pPr>
              <w:widowControl/>
              <w:spacing w:line="360" w:lineRule="exact"/>
              <w:rPr>
                <w:rFonts w:ascii="宋体" w:hAnsi="宋体" w:cs="宋体"/>
                <w:color w:val="auto"/>
                <w:kern w:val="0"/>
                <w:szCs w:val="24"/>
                <w:highlight w:val="none"/>
              </w:rPr>
            </w:pPr>
            <w:r>
              <w:rPr>
                <w:rFonts w:hint="eastAsia" w:ascii="宋体" w:hAnsi="宋体" w:cs="宋体"/>
                <w:color w:val="auto"/>
                <w:kern w:val="0"/>
                <w:szCs w:val="24"/>
                <w:highlight w:val="none"/>
              </w:rPr>
              <w:t>X＜20</w:t>
            </w:r>
          </w:p>
        </w:tc>
      </w:tr>
      <w:tr w14:paraId="487C92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91" w:type="dxa"/>
            <w:vMerge w:val="continue"/>
            <w:vAlign w:val="center"/>
          </w:tcPr>
          <w:p w14:paraId="36CFF6D6">
            <w:pPr>
              <w:widowControl/>
              <w:spacing w:line="360" w:lineRule="exact"/>
              <w:jc w:val="center"/>
              <w:rPr>
                <w:rFonts w:ascii="宋体" w:hAnsi="宋体" w:cs="宋体"/>
                <w:color w:val="auto"/>
                <w:kern w:val="0"/>
                <w:szCs w:val="24"/>
                <w:highlight w:val="none"/>
              </w:rPr>
            </w:pPr>
          </w:p>
        </w:tc>
        <w:tc>
          <w:tcPr>
            <w:tcW w:w="1276" w:type="dxa"/>
            <w:vAlign w:val="center"/>
          </w:tcPr>
          <w:p w14:paraId="34CD9C70">
            <w:pPr>
              <w:widowControl/>
              <w:spacing w:line="360" w:lineRule="exact"/>
              <w:jc w:val="both"/>
              <w:rPr>
                <w:rFonts w:ascii="宋体" w:hAnsi="宋体" w:cs="宋体"/>
                <w:color w:val="auto"/>
                <w:kern w:val="0"/>
                <w:szCs w:val="24"/>
                <w:highlight w:val="none"/>
              </w:rPr>
            </w:pPr>
            <w:r>
              <w:rPr>
                <w:rFonts w:hint="eastAsia" w:ascii="宋体" w:hAnsi="宋体" w:cs="宋体"/>
                <w:color w:val="auto"/>
                <w:kern w:val="0"/>
                <w:szCs w:val="24"/>
                <w:highlight w:val="none"/>
              </w:rPr>
              <w:t>营业收入(Y)</w:t>
            </w:r>
          </w:p>
        </w:tc>
        <w:tc>
          <w:tcPr>
            <w:tcW w:w="709" w:type="dxa"/>
            <w:vAlign w:val="center"/>
          </w:tcPr>
          <w:p w14:paraId="25A691FA">
            <w:pPr>
              <w:widowControl/>
              <w:spacing w:line="360" w:lineRule="exact"/>
              <w:jc w:val="center"/>
              <w:rPr>
                <w:rFonts w:ascii="宋体" w:hAnsi="宋体" w:cs="宋体"/>
                <w:color w:val="auto"/>
                <w:kern w:val="0"/>
                <w:szCs w:val="24"/>
                <w:highlight w:val="none"/>
              </w:rPr>
            </w:pPr>
            <w:r>
              <w:rPr>
                <w:rFonts w:hint="eastAsia" w:ascii="宋体" w:hAnsi="宋体" w:cs="宋体"/>
                <w:color w:val="auto"/>
                <w:kern w:val="0"/>
                <w:szCs w:val="24"/>
                <w:highlight w:val="none"/>
              </w:rPr>
              <w:t>万元</w:t>
            </w:r>
          </w:p>
        </w:tc>
        <w:tc>
          <w:tcPr>
            <w:tcW w:w="1276" w:type="dxa"/>
            <w:vAlign w:val="center"/>
          </w:tcPr>
          <w:p w14:paraId="6DE4EA26">
            <w:pPr>
              <w:widowControl/>
              <w:spacing w:line="360" w:lineRule="exact"/>
              <w:rPr>
                <w:rFonts w:ascii="宋体" w:hAnsi="宋体" w:cs="宋体"/>
                <w:color w:val="auto"/>
                <w:kern w:val="0"/>
                <w:szCs w:val="24"/>
                <w:highlight w:val="none"/>
              </w:rPr>
            </w:pPr>
            <w:r>
              <w:rPr>
                <w:rFonts w:hint="eastAsia" w:ascii="宋体" w:hAnsi="宋体" w:cs="宋体"/>
                <w:color w:val="auto"/>
                <w:kern w:val="0"/>
                <w:szCs w:val="24"/>
                <w:highlight w:val="none"/>
              </w:rPr>
              <w:t>Y≥40000</w:t>
            </w:r>
          </w:p>
        </w:tc>
        <w:tc>
          <w:tcPr>
            <w:tcW w:w="1701" w:type="dxa"/>
            <w:vAlign w:val="center"/>
          </w:tcPr>
          <w:p w14:paraId="5BEC1A37">
            <w:pPr>
              <w:widowControl/>
              <w:spacing w:line="360" w:lineRule="exact"/>
              <w:rPr>
                <w:rFonts w:ascii="宋体" w:hAnsi="宋体" w:cs="宋体"/>
                <w:color w:val="auto"/>
                <w:kern w:val="0"/>
                <w:szCs w:val="24"/>
                <w:highlight w:val="none"/>
              </w:rPr>
            </w:pPr>
            <w:r>
              <w:rPr>
                <w:rFonts w:hint="eastAsia" w:ascii="宋体" w:hAnsi="宋体" w:cs="宋体"/>
                <w:color w:val="auto"/>
                <w:kern w:val="0"/>
                <w:szCs w:val="24"/>
                <w:highlight w:val="none"/>
              </w:rPr>
              <w:t>2000≤Y＜40000</w:t>
            </w:r>
          </w:p>
        </w:tc>
        <w:tc>
          <w:tcPr>
            <w:tcW w:w="1559" w:type="dxa"/>
            <w:vAlign w:val="center"/>
          </w:tcPr>
          <w:p w14:paraId="048CAE54">
            <w:pPr>
              <w:widowControl/>
              <w:spacing w:line="360" w:lineRule="exact"/>
              <w:rPr>
                <w:rFonts w:ascii="宋体" w:hAnsi="宋体" w:cs="宋体"/>
                <w:color w:val="auto"/>
                <w:kern w:val="0"/>
                <w:szCs w:val="24"/>
                <w:highlight w:val="none"/>
              </w:rPr>
            </w:pPr>
            <w:r>
              <w:rPr>
                <w:rFonts w:hint="eastAsia" w:ascii="宋体" w:hAnsi="宋体" w:cs="宋体"/>
                <w:color w:val="auto"/>
                <w:kern w:val="0"/>
                <w:szCs w:val="24"/>
                <w:highlight w:val="none"/>
              </w:rPr>
              <w:t>300≤Y＜2000</w:t>
            </w:r>
          </w:p>
        </w:tc>
        <w:tc>
          <w:tcPr>
            <w:tcW w:w="1276" w:type="dxa"/>
            <w:vAlign w:val="center"/>
          </w:tcPr>
          <w:p w14:paraId="5CEA286E">
            <w:pPr>
              <w:widowControl/>
              <w:spacing w:line="360" w:lineRule="exact"/>
              <w:rPr>
                <w:rFonts w:ascii="宋体" w:hAnsi="宋体" w:cs="宋体"/>
                <w:color w:val="auto"/>
                <w:kern w:val="0"/>
                <w:szCs w:val="24"/>
                <w:highlight w:val="none"/>
              </w:rPr>
            </w:pPr>
            <w:r>
              <w:rPr>
                <w:rFonts w:hint="eastAsia" w:ascii="宋体" w:hAnsi="宋体" w:cs="宋体"/>
                <w:color w:val="auto"/>
                <w:kern w:val="0"/>
                <w:szCs w:val="24"/>
                <w:highlight w:val="none"/>
              </w:rPr>
              <w:t>Y＜300</w:t>
            </w:r>
          </w:p>
        </w:tc>
      </w:tr>
      <w:tr w14:paraId="581945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91" w:type="dxa"/>
            <w:vMerge w:val="restart"/>
            <w:vAlign w:val="center"/>
          </w:tcPr>
          <w:p w14:paraId="01994E90">
            <w:pPr>
              <w:widowControl/>
              <w:spacing w:line="360" w:lineRule="exact"/>
              <w:jc w:val="center"/>
              <w:rPr>
                <w:rFonts w:ascii="宋体" w:hAnsi="宋体" w:cs="宋体"/>
                <w:color w:val="auto"/>
                <w:kern w:val="0"/>
                <w:szCs w:val="24"/>
                <w:highlight w:val="none"/>
              </w:rPr>
            </w:pPr>
            <w:r>
              <w:rPr>
                <w:rFonts w:hint="eastAsia" w:ascii="宋体" w:hAnsi="宋体" w:cs="宋体"/>
                <w:color w:val="auto"/>
                <w:kern w:val="0"/>
                <w:szCs w:val="24"/>
                <w:highlight w:val="none"/>
              </w:rPr>
              <w:t>建筑业</w:t>
            </w:r>
          </w:p>
        </w:tc>
        <w:tc>
          <w:tcPr>
            <w:tcW w:w="1276" w:type="dxa"/>
            <w:vAlign w:val="center"/>
          </w:tcPr>
          <w:p w14:paraId="071E0AE8">
            <w:pPr>
              <w:widowControl/>
              <w:spacing w:line="360" w:lineRule="exact"/>
              <w:jc w:val="both"/>
              <w:rPr>
                <w:rFonts w:ascii="宋体" w:hAnsi="宋体" w:cs="宋体"/>
                <w:color w:val="auto"/>
                <w:kern w:val="0"/>
                <w:szCs w:val="24"/>
                <w:highlight w:val="none"/>
              </w:rPr>
            </w:pPr>
            <w:r>
              <w:rPr>
                <w:rFonts w:hint="eastAsia" w:ascii="宋体" w:hAnsi="宋体" w:cs="宋体"/>
                <w:color w:val="auto"/>
                <w:kern w:val="0"/>
                <w:szCs w:val="24"/>
                <w:highlight w:val="none"/>
              </w:rPr>
              <w:t>营业收入(Y)</w:t>
            </w:r>
          </w:p>
        </w:tc>
        <w:tc>
          <w:tcPr>
            <w:tcW w:w="709" w:type="dxa"/>
            <w:vAlign w:val="center"/>
          </w:tcPr>
          <w:p w14:paraId="6E77490A">
            <w:pPr>
              <w:widowControl/>
              <w:spacing w:line="360" w:lineRule="exact"/>
              <w:jc w:val="center"/>
              <w:rPr>
                <w:rFonts w:ascii="宋体" w:hAnsi="宋体" w:cs="宋体"/>
                <w:color w:val="auto"/>
                <w:kern w:val="0"/>
                <w:szCs w:val="24"/>
                <w:highlight w:val="none"/>
              </w:rPr>
            </w:pPr>
            <w:r>
              <w:rPr>
                <w:rFonts w:hint="eastAsia" w:ascii="宋体" w:hAnsi="宋体" w:cs="宋体"/>
                <w:color w:val="auto"/>
                <w:kern w:val="0"/>
                <w:szCs w:val="24"/>
                <w:highlight w:val="none"/>
              </w:rPr>
              <w:t>万元</w:t>
            </w:r>
          </w:p>
        </w:tc>
        <w:tc>
          <w:tcPr>
            <w:tcW w:w="1276" w:type="dxa"/>
            <w:vAlign w:val="center"/>
          </w:tcPr>
          <w:p w14:paraId="01F66EA5">
            <w:pPr>
              <w:widowControl/>
              <w:spacing w:line="360" w:lineRule="exact"/>
              <w:rPr>
                <w:rFonts w:ascii="宋体" w:hAnsi="宋体" w:cs="宋体"/>
                <w:color w:val="auto"/>
                <w:kern w:val="0"/>
                <w:szCs w:val="24"/>
                <w:highlight w:val="none"/>
              </w:rPr>
            </w:pPr>
            <w:r>
              <w:rPr>
                <w:rFonts w:hint="eastAsia" w:ascii="宋体" w:hAnsi="宋体" w:cs="宋体"/>
                <w:color w:val="auto"/>
                <w:kern w:val="0"/>
                <w:szCs w:val="24"/>
                <w:highlight w:val="none"/>
              </w:rPr>
              <w:t>Y≥80000</w:t>
            </w:r>
          </w:p>
        </w:tc>
        <w:tc>
          <w:tcPr>
            <w:tcW w:w="1701" w:type="dxa"/>
            <w:vAlign w:val="center"/>
          </w:tcPr>
          <w:p w14:paraId="1DF612D3">
            <w:pPr>
              <w:widowControl/>
              <w:spacing w:line="360" w:lineRule="exact"/>
              <w:rPr>
                <w:rFonts w:ascii="宋体" w:hAnsi="宋体" w:cs="宋体"/>
                <w:color w:val="auto"/>
                <w:kern w:val="0"/>
                <w:szCs w:val="24"/>
                <w:highlight w:val="none"/>
              </w:rPr>
            </w:pPr>
            <w:r>
              <w:rPr>
                <w:rFonts w:hint="eastAsia" w:ascii="宋体" w:hAnsi="宋体" w:cs="宋体"/>
                <w:color w:val="auto"/>
                <w:kern w:val="0"/>
                <w:szCs w:val="24"/>
                <w:highlight w:val="none"/>
              </w:rPr>
              <w:t>6000≤Y＜80000</w:t>
            </w:r>
          </w:p>
        </w:tc>
        <w:tc>
          <w:tcPr>
            <w:tcW w:w="1559" w:type="dxa"/>
            <w:vAlign w:val="center"/>
          </w:tcPr>
          <w:p w14:paraId="6C2550E2">
            <w:pPr>
              <w:widowControl/>
              <w:spacing w:line="360" w:lineRule="exact"/>
              <w:rPr>
                <w:rFonts w:ascii="宋体" w:hAnsi="宋体" w:cs="宋体"/>
                <w:color w:val="auto"/>
                <w:kern w:val="0"/>
                <w:szCs w:val="24"/>
                <w:highlight w:val="none"/>
              </w:rPr>
            </w:pPr>
            <w:r>
              <w:rPr>
                <w:rFonts w:hint="eastAsia" w:ascii="宋体" w:hAnsi="宋体" w:cs="宋体"/>
                <w:color w:val="auto"/>
                <w:kern w:val="0"/>
                <w:szCs w:val="24"/>
                <w:highlight w:val="none"/>
              </w:rPr>
              <w:t>300≤Y＜6000</w:t>
            </w:r>
          </w:p>
        </w:tc>
        <w:tc>
          <w:tcPr>
            <w:tcW w:w="1276" w:type="dxa"/>
            <w:vAlign w:val="center"/>
          </w:tcPr>
          <w:p w14:paraId="79F7F8BE">
            <w:pPr>
              <w:widowControl/>
              <w:spacing w:line="360" w:lineRule="exact"/>
              <w:rPr>
                <w:rFonts w:ascii="宋体" w:hAnsi="宋体" w:cs="宋体"/>
                <w:color w:val="auto"/>
                <w:kern w:val="0"/>
                <w:szCs w:val="24"/>
                <w:highlight w:val="none"/>
              </w:rPr>
            </w:pPr>
            <w:r>
              <w:rPr>
                <w:rFonts w:hint="eastAsia" w:ascii="宋体" w:hAnsi="宋体" w:cs="宋体"/>
                <w:color w:val="auto"/>
                <w:kern w:val="0"/>
                <w:szCs w:val="24"/>
                <w:highlight w:val="none"/>
              </w:rPr>
              <w:t>Y＜300</w:t>
            </w:r>
          </w:p>
        </w:tc>
      </w:tr>
      <w:tr w14:paraId="651812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91" w:type="dxa"/>
            <w:vMerge w:val="continue"/>
            <w:vAlign w:val="center"/>
          </w:tcPr>
          <w:p w14:paraId="5884E011">
            <w:pPr>
              <w:widowControl/>
              <w:spacing w:line="360" w:lineRule="exact"/>
              <w:jc w:val="center"/>
              <w:rPr>
                <w:rFonts w:ascii="宋体" w:hAnsi="宋体" w:cs="宋体"/>
                <w:color w:val="auto"/>
                <w:kern w:val="0"/>
                <w:szCs w:val="24"/>
                <w:highlight w:val="none"/>
              </w:rPr>
            </w:pPr>
          </w:p>
        </w:tc>
        <w:tc>
          <w:tcPr>
            <w:tcW w:w="1276" w:type="dxa"/>
            <w:vAlign w:val="center"/>
          </w:tcPr>
          <w:p w14:paraId="72C821C6">
            <w:pPr>
              <w:widowControl/>
              <w:spacing w:line="360" w:lineRule="exact"/>
              <w:jc w:val="both"/>
              <w:rPr>
                <w:rFonts w:ascii="宋体" w:hAnsi="宋体" w:cs="宋体"/>
                <w:color w:val="auto"/>
                <w:kern w:val="0"/>
                <w:szCs w:val="24"/>
                <w:highlight w:val="none"/>
              </w:rPr>
            </w:pPr>
            <w:r>
              <w:rPr>
                <w:rFonts w:hint="eastAsia" w:ascii="宋体" w:hAnsi="宋体" w:cs="宋体"/>
                <w:color w:val="auto"/>
                <w:kern w:val="0"/>
                <w:szCs w:val="24"/>
                <w:highlight w:val="none"/>
              </w:rPr>
              <w:t>资产总额(Z)</w:t>
            </w:r>
          </w:p>
        </w:tc>
        <w:tc>
          <w:tcPr>
            <w:tcW w:w="709" w:type="dxa"/>
            <w:vAlign w:val="center"/>
          </w:tcPr>
          <w:p w14:paraId="721720E7">
            <w:pPr>
              <w:widowControl/>
              <w:spacing w:line="360" w:lineRule="exact"/>
              <w:jc w:val="center"/>
              <w:rPr>
                <w:rFonts w:ascii="宋体" w:hAnsi="宋体" w:cs="宋体"/>
                <w:color w:val="auto"/>
                <w:kern w:val="0"/>
                <w:szCs w:val="24"/>
                <w:highlight w:val="none"/>
              </w:rPr>
            </w:pPr>
            <w:r>
              <w:rPr>
                <w:rFonts w:hint="eastAsia" w:ascii="宋体" w:hAnsi="宋体" w:cs="宋体"/>
                <w:color w:val="auto"/>
                <w:kern w:val="0"/>
                <w:szCs w:val="24"/>
                <w:highlight w:val="none"/>
              </w:rPr>
              <w:t>万元</w:t>
            </w:r>
          </w:p>
        </w:tc>
        <w:tc>
          <w:tcPr>
            <w:tcW w:w="1276" w:type="dxa"/>
            <w:vAlign w:val="center"/>
          </w:tcPr>
          <w:p w14:paraId="79401EAC">
            <w:pPr>
              <w:widowControl/>
              <w:spacing w:line="360" w:lineRule="exact"/>
              <w:rPr>
                <w:rFonts w:ascii="宋体" w:hAnsi="宋体" w:cs="宋体"/>
                <w:color w:val="auto"/>
                <w:kern w:val="0"/>
                <w:szCs w:val="24"/>
                <w:highlight w:val="none"/>
              </w:rPr>
            </w:pPr>
            <w:r>
              <w:rPr>
                <w:rFonts w:hint="eastAsia" w:ascii="宋体" w:hAnsi="宋体" w:cs="宋体"/>
                <w:color w:val="auto"/>
                <w:kern w:val="0"/>
                <w:szCs w:val="24"/>
                <w:highlight w:val="none"/>
              </w:rPr>
              <w:t>Z≥80000</w:t>
            </w:r>
          </w:p>
        </w:tc>
        <w:tc>
          <w:tcPr>
            <w:tcW w:w="1701" w:type="dxa"/>
            <w:vAlign w:val="center"/>
          </w:tcPr>
          <w:p w14:paraId="12C12C01">
            <w:pPr>
              <w:widowControl/>
              <w:spacing w:line="360" w:lineRule="exact"/>
              <w:rPr>
                <w:rFonts w:ascii="宋体" w:hAnsi="宋体" w:cs="宋体"/>
                <w:color w:val="auto"/>
                <w:kern w:val="0"/>
                <w:szCs w:val="24"/>
                <w:highlight w:val="none"/>
              </w:rPr>
            </w:pPr>
            <w:r>
              <w:rPr>
                <w:rFonts w:hint="eastAsia" w:ascii="宋体" w:hAnsi="宋体" w:cs="宋体"/>
                <w:color w:val="auto"/>
                <w:kern w:val="0"/>
                <w:szCs w:val="24"/>
                <w:highlight w:val="none"/>
              </w:rPr>
              <w:t>5000≤Z＜80000</w:t>
            </w:r>
          </w:p>
        </w:tc>
        <w:tc>
          <w:tcPr>
            <w:tcW w:w="1559" w:type="dxa"/>
            <w:vAlign w:val="center"/>
          </w:tcPr>
          <w:p w14:paraId="426B80D7">
            <w:pPr>
              <w:widowControl/>
              <w:spacing w:line="360" w:lineRule="exact"/>
              <w:rPr>
                <w:rFonts w:ascii="宋体" w:hAnsi="宋体" w:cs="宋体"/>
                <w:color w:val="auto"/>
                <w:kern w:val="0"/>
                <w:szCs w:val="24"/>
                <w:highlight w:val="none"/>
              </w:rPr>
            </w:pPr>
            <w:r>
              <w:rPr>
                <w:rFonts w:hint="eastAsia" w:ascii="宋体" w:hAnsi="宋体" w:cs="宋体"/>
                <w:color w:val="auto"/>
                <w:kern w:val="0"/>
                <w:szCs w:val="24"/>
                <w:highlight w:val="none"/>
              </w:rPr>
              <w:t>300≤Z＜5000</w:t>
            </w:r>
          </w:p>
        </w:tc>
        <w:tc>
          <w:tcPr>
            <w:tcW w:w="1276" w:type="dxa"/>
            <w:vAlign w:val="center"/>
          </w:tcPr>
          <w:p w14:paraId="7694FBAD">
            <w:pPr>
              <w:widowControl/>
              <w:spacing w:line="360" w:lineRule="exact"/>
              <w:rPr>
                <w:rFonts w:ascii="宋体" w:hAnsi="宋体" w:cs="宋体"/>
                <w:color w:val="auto"/>
                <w:kern w:val="0"/>
                <w:szCs w:val="24"/>
                <w:highlight w:val="none"/>
              </w:rPr>
            </w:pPr>
            <w:r>
              <w:rPr>
                <w:rFonts w:hint="eastAsia" w:ascii="宋体" w:hAnsi="宋体" w:cs="宋体"/>
                <w:color w:val="auto"/>
                <w:kern w:val="0"/>
                <w:szCs w:val="24"/>
                <w:highlight w:val="none"/>
              </w:rPr>
              <w:t>Z＜300</w:t>
            </w:r>
          </w:p>
        </w:tc>
      </w:tr>
      <w:tr w14:paraId="75E7E0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91" w:type="dxa"/>
            <w:vMerge w:val="restart"/>
            <w:vAlign w:val="center"/>
          </w:tcPr>
          <w:p w14:paraId="1DEA4A7C">
            <w:pPr>
              <w:widowControl/>
              <w:spacing w:line="360" w:lineRule="exact"/>
              <w:jc w:val="center"/>
              <w:rPr>
                <w:rFonts w:ascii="宋体" w:hAnsi="宋体" w:cs="宋体"/>
                <w:color w:val="auto"/>
                <w:kern w:val="0"/>
                <w:szCs w:val="24"/>
                <w:highlight w:val="none"/>
              </w:rPr>
            </w:pPr>
            <w:r>
              <w:rPr>
                <w:rFonts w:hint="eastAsia" w:ascii="宋体" w:hAnsi="宋体" w:cs="宋体"/>
                <w:color w:val="auto"/>
                <w:kern w:val="0"/>
                <w:szCs w:val="24"/>
                <w:highlight w:val="none"/>
              </w:rPr>
              <w:t>批发业</w:t>
            </w:r>
          </w:p>
        </w:tc>
        <w:tc>
          <w:tcPr>
            <w:tcW w:w="1276" w:type="dxa"/>
            <w:vAlign w:val="center"/>
          </w:tcPr>
          <w:p w14:paraId="3BFA4527">
            <w:pPr>
              <w:widowControl/>
              <w:spacing w:line="360" w:lineRule="exact"/>
              <w:jc w:val="both"/>
              <w:rPr>
                <w:rFonts w:ascii="宋体" w:hAnsi="宋体" w:cs="宋体"/>
                <w:color w:val="auto"/>
                <w:kern w:val="0"/>
                <w:szCs w:val="24"/>
                <w:highlight w:val="none"/>
              </w:rPr>
            </w:pPr>
            <w:r>
              <w:rPr>
                <w:rFonts w:hint="eastAsia" w:ascii="宋体" w:hAnsi="宋体" w:cs="宋体"/>
                <w:color w:val="auto"/>
                <w:kern w:val="0"/>
                <w:szCs w:val="24"/>
                <w:highlight w:val="none"/>
              </w:rPr>
              <w:t>从业人员(X)</w:t>
            </w:r>
          </w:p>
        </w:tc>
        <w:tc>
          <w:tcPr>
            <w:tcW w:w="709" w:type="dxa"/>
            <w:vAlign w:val="center"/>
          </w:tcPr>
          <w:p w14:paraId="7C8A2290">
            <w:pPr>
              <w:widowControl/>
              <w:spacing w:line="360" w:lineRule="exact"/>
              <w:jc w:val="center"/>
              <w:rPr>
                <w:rFonts w:ascii="宋体" w:hAnsi="宋体" w:cs="宋体"/>
                <w:color w:val="auto"/>
                <w:kern w:val="0"/>
                <w:szCs w:val="24"/>
                <w:highlight w:val="none"/>
              </w:rPr>
            </w:pPr>
            <w:r>
              <w:rPr>
                <w:rFonts w:hint="eastAsia" w:ascii="宋体" w:hAnsi="宋体" w:cs="宋体"/>
                <w:color w:val="auto"/>
                <w:kern w:val="0"/>
                <w:szCs w:val="24"/>
                <w:highlight w:val="none"/>
              </w:rPr>
              <w:t>人</w:t>
            </w:r>
          </w:p>
        </w:tc>
        <w:tc>
          <w:tcPr>
            <w:tcW w:w="1276" w:type="dxa"/>
            <w:vAlign w:val="center"/>
          </w:tcPr>
          <w:p w14:paraId="2609D3DE">
            <w:pPr>
              <w:widowControl/>
              <w:spacing w:line="360" w:lineRule="exact"/>
              <w:rPr>
                <w:rFonts w:ascii="宋体" w:hAnsi="宋体" w:cs="宋体"/>
                <w:color w:val="auto"/>
                <w:kern w:val="0"/>
                <w:szCs w:val="24"/>
                <w:highlight w:val="none"/>
              </w:rPr>
            </w:pPr>
            <w:r>
              <w:rPr>
                <w:rFonts w:hint="eastAsia" w:ascii="宋体" w:hAnsi="宋体" w:cs="宋体"/>
                <w:color w:val="auto"/>
                <w:kern w:val="0"/>
                <w:szCs w:val="24"/>
                <w:highlight w:val="none"/>
              </w:rPr>
              <w:t>X≥200</w:t>
            </w:r>
          </w:p>
        </w:tc>
        <w:tc>
          <w:tcPr>
            <w:tcW w:w="1701" w:type="dxa"/>
            <w:vAlign w:val="center"/>
          </w:tcPr>
          <w:p w14:paraId="1D93BECA">
            <w:pPr>
              <w:widowControl/>
              <w:spacing w:line="360" w:lineRule="exact"/>
              <w:rPr>
                <w:rFonts w:ascii="宋体" w:hAnsi="宋体" w:cs="宋体"/>
                <w:color w:val="auto"/>
                <w:kern w:val="0"/>
                <w:szCs w:val="24"/>
                <w:highlight w:val="none"/>
              </w:rPr>
            </w:pPr>
            <w:r>
              <w:rPr>
                <w:rFonts w:hint="eastAsia" w:ascii="宋体" w:hAnsi="宋体" w:cs="宋体"/>
                <w:color w:val="auto"/>
                <w:kern w:val="0"/>
                <w:szCs w:val="24"/>
                <w:highlight w:val="none"/>
              </w:rPr>
              <w:t>20≤X＜200</w:t>
            </w:r>
          </w:p>
        </w:tc>
        <w:tc>
          <w:tcPr>
            <w:tcW w:w="1559" w:type="dxa"/>
            <w:vAlign w:val="center"/>
          </w:tcPr>
          <w:p w14:paraId="7563E6D6">
            <w:pPr>
              <w:widowControl/>
              <w:spacing w:line="360" w:lineRule="exact"/>
              <w:rPr>
                <w:rFonts w:ascii="宋体" w:hAnsi="宋体" w:cs="宋体"/>
                <w:color w:val="auto"/>
                <w:kern w:val="0"/>
                <w:szCs w:val="24"/>
                <w:highlight w:val="none"/>
              </w:rPr>
            </w:pPr>
            <w:r>
              <w:rPr>
                <w:rFonts w:hint="eastAsia" w:ascii="宋体" w:hAnsi="宋体" w:cs="宋体"/>
                <w:color w:val="auto"/>
                <w:kern w:val="0"/>
                <w:szCs w:val="24"/>
                <w:highlight w:val="none"/>
              </w:rPr>
              <w:t>5≤X＜20</w:t>
            </w:r>
          </w:p>
        </w:tc>
        <w:tc>
          <w:tcPr>
            <w:tcW w:w="1276" w:type="dxa"/>
            <w:vAlign w:val="center"/>
          </w:tcPr>
          <w:p w14:paraId="120B8F8F">
            <w:pPr>
              <w:widowControl/>
              <w:spacing w:line="360" w:lineRule="exact"/>
              <w:rPr>
                <w:rFonts w:ascii="宋体" w:hAnsi="宋体" w:cs="宋体"/>
                <w:color w:val="auto"/>
                <w:kern w:val="0"/>
                <w:szCs w:val="24"/>
                <w:highlight w:val="none"/>
              </w:rPr>
            </w:pPr>
            <w:r>
              <w:rPr>
                <w:rFonts w:hint="eastAsia" w:ascii="宋体" w:hAnsi="宋体" w:cs="宋体"/>
                <w:color w:val="auto"/>
                <w:kern w:val="0"/>
                <w:szCs w:val="24"/>
                <w:highlight w:val="none"/>
              </w:rPr>
              <w:t>X＜5</w:t>
            </w:r>
          </w:p>
        </w:tc>
      </w:tr>
      <w:tr w14:paraId="096C4A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91" w:type="dxa"/>
            <w:vMerge w:val="continue"/>
            <w:vAlign w:val="center"/>
          </w:tcPr>
          <w:p w14:paraId="38D40249">
            <w:pPr>
              <w:widowControl/>
              <w:spacing w:line="360" w:lineRule="exact"/>
              <w:jc w:val="center"/>
              <w:rPr>
                <w:rFonts w:ascii="宋体" w:hAnsi="宋体" w:cs="宋体"/>
                <w:color w:val="auto"/>
                <w:kern w:val="0"/>
                <w:szCs w:val="24"/>
                <w:highlight w:val="none"/>
              </w:rPr>
            </w:pPr>
          </w:p>
        </w:tc>
        <w:tc>
          <w:tcPr>
            <w:tcW w:w="1276" w:type="dxa"/>
            <w:vAlign w:val="center"/>
          </w:tcPr>
          <w:p w14:paraId="7D2FBFB8">
            <w:pPr>
              <w:widowControl/>
              <w:spacing w:line="360" w:lineRule="exact"/>
              <w:jc w:val="both"/>
              <w:rPr>
                <w:rFonts w:ascii="宋体" w:hAnsi="宋体" w:cs="宋体"/>
                <w:color w:val="auto"/>
                <w:kern w:val="0"/>
                <w:szCs w:val="24"/>
                <w:highlight w:val="none"/>
              </w:rPr>
            </w:pPr>
            <w:r>
              <w:rPr>
                <w:rFonts w:hint="eastAsia" w:ascii="宋体" w:hAnsi="宋体" w:cs="宋体"/>
                <w:color w:val="auto"/>
                <w:kern w:val="0"/>
                <w:szCs w:val="24"/>
                <w:highlight w:val="none"/>
              </w:rPr>
              <w:t>营业收入(Y)</w:t>
            </w:r>
          </w:p>
        </w:tc>
        <w:tc>
          <w:tcPr>
            <w:tcW w:w="709" w:type="dxa"/>
            <w:vAlign w:val="center"/>
          </w:tcPr>
          <w:p w14:paraId="6319CCEF">
            <w:pPr>
              <w:widowControl/>
              <w:spacing w:line="360" w:lineRule="exact"/>
              <w:jc w:val="center"/>
              <w:rPr>
                <w:rFonts w:ascii="宋体" w:hAnsi="宋体" w:cs="宋体"/>
                <w:color w:val="auto"/>
                <w:kern w:val="0"/>
                <w:szCs w:val="24"/>
                <w:highlight w:val="none"/>
              </w:rPr>
            </w:pPr>
            <w:r>
              <w:rPr>
                <w:rFonts w:hint="eastAsia" w:ascii="宋体" w:hAnsi="宋体" w:cs="宋体"/>
                <w:color w:val="auto"/>
                <w:kern w:val="0"/>
                <w:szCs w:val="24"/>
                <w:highlight w:val="none"/>
              </w:rPr>
              <w:t>万元</w:t>
            </w:r>
          </w:p>
        </w:tc>
        <w:tc>
          <w:tcPr>
            <w:tcW w:w="1276" w:type="dxa"/>
            <w:vAlign w:val="center"/>
          </w:tcPr>
          <w:p w14:paraId="37ED3569">
            <w:pPr>
              <w:widowControl/>
              <w:spacing w:line="360" w:lineRule="exact"/>
              <w:rPr>
                <w:rFonts w:ascii="宋体" w:hAnsi="宋体" w:cs="宋体"/>
                <w:color w:val="auto"/>
                <w:kern w:val="0"/>
                <w:szCs w:val="24"/>
                <w:highlight w:val="none"/>
              </w:rPr>
            </w:pPr>
            <w:r>
              <w:rPr>
                <w:rFonts w:hint="eastAsia" w:ascii="宋体" w:hAnsi="宋体" w:cs="宋体"/>
                <w:color w:val="auto"/>
                <w:kern w:val="0"/>
                <w:szCs w:val="24"/>
                <w:highlight w:val="none"/>
              </w:rPr>
              <w:t>Y≥40000</w:t>
            </w:r>
          </w:p>
        </w:tc>
        <w:tc>
          <w:tcPr>
            <w:tcW w:w="1701" w:type="dxa"/>
            <w:vAlign w:val="center"/>
          </w:tcPr>
          <w:p w14:paraId="5002FEF4">
            <w:pPr>
              <w:widowControl/>
              <w:spacing w:line="360" w:lineRule="exact"/>
              <w:rPr>
                <w:rFonts w:ascii="宋体" w:hAnsi="宋体" w:cs="宋体"/>
                <w:color w:val="auto"/>
                <w:kern w:val="0"/>
                <w:szCs w:val="24"/>
                <w:highlight w:val="none"/>
              </w:rPr>
            </w:pPr>
            <w:r>
              <w:rPr>
                <w:rFonts w:hint="eastAsia" w:ascii="宋体" w:hAnsi="宋体" w:cs="宋体"/>
                <w:color w:val="auto"/>
                <w:kern w:val="0"/>
                <w:szCs w:val="24"/>
                <w:highlight w:val="none"/>
              </w:rPr>
              <w:t>5000≤Y＜40000</w:t>
            </w:r>
          </w:p>
        </w:tc>
        <w:tc>
          <w:tcPr>
            <w:tcW w:w="1559" w:type="dxa"/>
            <w:vAlign w:val="center"/>
          </w:tcPr>
          <w:p w14:paraId="121C11D5">
            <w:pPr>
              <w:widowControl/>
              <w:spacing w:line="360" w:lineRule="exact"/>
              <w:ind w:left="-2" w:leftChars="-1"/>
              <w:rPr>
                <w:rFonts w:ascii="宋体" w:hAnsi="宋体" w:cs="宋体"/>
                <w:color w:val="auto"/>
                <w:kern w:val="0"/>
                <w:szCs w:val="24"/>
                <w:highlight w:val="none"/>
              </w:rPr>
            </w:pPr>
            <w:r>
              <w:rPr>
                <w:rFonts w:hint="eastAsia" w:ascii="宋体" w:hAnsi="宋体" w:cs="宋体"/>
                <w:color w:val="auto"/>
                <w:kern w:val="0"/>
                <w:szCs w:val="24"/>
                <w:highlight w:val="none"/>
              </w:rPr>
              <w:t>1000≤Y＜5000</w:t>
            </w:r>
          </w:p>
        </w:tc>
        <w:tc>
          <w:tcPr>
            <w:tcW w:w="1276" w:type="dxa"/>
            <w:vAlign w:val="center"/>
          </w:tcPr>
          <w:p w14:paraId="1DDDAB26">
            <w:pPr>
              <w:widowControl/>
              <w:spacing w:line="360" w:lineRule="exact"/>
              <w:rPr>
                <w:rFonts w:ascii="宋体" w:hAnsi="宋体" w:cs="宋体"/>
                <w:color w:val="auto"/>
                <w:kern w:val="0"/>
                <w:szCs w:val="24"/>
                <w:highlight w:val="none"/>
              </w:rPr>
            </w:pPr>
            <w:r>
              <w:rPr>
                <w:rFonts w:hint="eastAsia" w:ascii="宋体" w:hAnsi="宋体" w:cs="宋体"/>
                <w:color w:val="auto"/>
                <w:kern w:val="0"/>
                <w:szCs w:val="24"/>
                <w:highlight w:val="none"/>
              </w:rPr>
              <w:t>Y＜1000</w:t>
            </w:r>
          </w:p>
        </w:tc>
      </w:tr>
      <w:tr w14:paraId="7E2019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91" w:type="dxa"/>
            <w:vMerge w:val="restart"/>
            <w:vAlign w:val="center"/>
          </w:tcPr>
          <w:p w14:paraId="3A14D799">
            <w:pPr>
              <w:widowControl/>
              <w:spacing w:line="360" w:lineRule="exact"/>
              <w:jc w:val="center"/>
              <w:rPr>
                <w:rFonts w:ascii="宋体" w:hAnsi="宋体" w:cs="宋体"/>
                <w:color w:val="auto"/>
                <w:kern w:val="0"/>
                <w:szCs w:val="24"/>
                <w:highlight w:val="none"/>
              </w:rPr>
            </w:pPr>
            <w:r>
              <w:rPr>
                <w:rFonts w:hint="eastAsia" w:ascii="宋体" w:hAnsi="宋体" w:cs="宋体"/>
                <w:color w:val="auto"/>
                <w:kern w:val="0"/>
                <w:szCs w:val="24"/>
                <w:highlight w:val="none"/>
              </w:rPr>
              <w:t>零售业</w:t>
            </w:r>
          </w:p>
        </w:tc>
        <w:tc>
          <w:tcPr>
            <w:tcW w:w="1276" w:type="dxa"/>
            <w:vAlign w:val="center"/>
          </w:tcPr>
          <w:p w14:paraId="3D4DE8E9">
            <w:pPr>
              <w:widowControl/>
              <w:spacing w:line="360" w:lineRule="exact"/>
              <w:jc w:val="both"/>
              <w:rPr>
                <w:rFonts w:ascii="宋体" w:hAnsi="宋体" w:cs="宋体"/>
                <w:color w:val="auto"/>
                <w:kern w:val="0"/>
                <w:szCs w:val="24"/>
                <w:highlight w:val="none"/>
              </w:rPr>
            </w:pPr>
            <w:r>
              <w:rPr>
                <w:rFonts w:hint="eastAsia" w:ascii="宋体" w:hAnsi="宋体" w:cs="宋体"/>
                <w:color w:val="auto"/>
                <w:kern w:val="0"/>
                <w:szCs w:val="24"/>
                <w:highlight w:val="none"/>
              </w:rPr>
              <w:t>从业人员(X)</w:t>
            </w:r>
          </w:p>
        </w:tc>
        <w:tc>
          <w:tcPr>
            <w:tcW w:w="709" w:type="dxa"/>
            <w:vAlign w:val="center"/>
          </w:tcPr>
          <w:p w14:paraId="5A7E7A3E">
            <w:pPr>
              <w:widowControl/>
              <w:spacing w:line="360" w:lineRule="exact"/>
              <w:jc w:val="center"/>
              <w:rPr>
                <w:rFonts w:ascii="宋体" w:hAnsi="宋体" w:cs="宋体"/>
                <w:color w:val="auto"/>
                <w:kern w:val="0"/>
                <w:szCs w:val="24"/>
                <w:highlight w:val="none"/>
              </w:rPr>
            </w:pPr>
            <w:r>
              <w:rPr>
                <w:rFonts w:hint="eastAsia" w:ascii="宋体" w:hAnsi="宋体" w:cs="宋体"/>
                <w:color w:val="auto"/>
                <w:kern w:val="0"/>
                <w:szCs w:val="24"/>
                <w:highlight w:val="none"/>
              </w:rPr>
              <w:t>人</w:t>
            </w:r>
          </w:p>
        </w:tc>
        <w:tc>
          <w:tcPr>
            <w:tcW w:w="1276" w:type="dxa"/>
            <w:vAlign w:val="center"/>
          </w:tcPr>
          <w:p w14:paraId="35AC0588">
            <w:pPr>
              <w:widowControl/>
              <w:spacing w:line="360" w:lineRule="exact"/>
              <w:rPr>
                <w:rFonts w:ascii="宋体" w:hAnsi="宋体" w:cs="宋体"/>
                <w:color w:val="auto"/>
                <w:kern w:val="0"/>
                <w:szCs w:val="24"/>
                <w:highlight w:val="none"/>
              </w:rPr>
            </w:pPr>
            <w:r>
              <w:rPr>
                <w:rFonts w:hint="eastAsia" w:ascii="宋体" w:hAnsi="宋体" w:cs="宋体"/>
                <w:color w:val="auto"/>
                <w:kern w:val="0"/>
                <w:szCs w:val="24"/>
                <w:highlight w:val="none"/>
              </w:rPr>
              <w:t>X≥300</w:t>
            </w:r>
          </w:p>
        </w:tc>
        <w:tc>
          <w:tcPr>
            <w:tcW w:w="1701" w:type="dxa"/>
            <w:vAlign w:val="center"/>
          </w:tcPr>
          <w:p w14:paraId="6F02B78C">
            <w:pPr>
              <w:widowControl/>
              <w:spacing w:line="360" w:lineRule="exact"/>
              <w:rPr>
                <w:rFonts w:ascii="宋体" w:hAnsi="宋体" w:cs="宋体"/>
                <w:color w:val="auto"/>
                <w:kern w:val="0"/>
                <w:szCs w:val="24"/>
                <w:highlight w:val="none"/>
              </w:rPr>
            </w:pPr>
            <w:r>
              <w:rPr>
                <w:rFonts w:hint="eastAsia" w:ascii="宋体" w:hAnsi="宋体" w:cs="宋体"/>
                <w:color w:val="auto"/>
                <w:kern w:val="0"/>
                <w:szCs w:val="24"/>
                <w:highlight w:val="none"/>
              </w:rPr>
              <w:t>50≤X＜300</w:t>
            </w:r>
          </w:p>
        </w:tc>
        <w:tc>
          <w:tcPr>
            <w:tcW w:w="1559" w:type="dxa"/>
            <w:vAlign w:val="center"/>
          </w:tcPr>
          <w:p w14:paraId="3787A09E">
            <w:pPr>
              <w:widowControl/>
              <w:spacing w:line="360" w:lineRule="exact"/>
              <w:ind w:left="-2" w:leftChars="-1"/>
              <w:rPr>
                <w:rFonts w:ascii="宋体" w:hAnsi="宋体" w:cs="宋体"/>
                <w:color w:val="auto"/>
                <w:kern w:val="0"/>
                <w:szCs w:val="24"/>
                <w:highlight w:val="none"/>
              </w:rPr>
            </w:pPr>
            <w:r>
              <w:rPr>
                <w:rFonts w:hint="eastAsia" w:ascii="宋体" w:hAnsi="宋体" w:cs="宋体"/>
                <w:color w:val="auto"/>
                <w:kern w:val="0"/>
                <w:szCs w:val="24"/>
                <w:highlight w:val="none"/>
              </w:rPr>
              <w:t>10≤X＜50</w:t>
            </w:r>
          </w:p>
        </w:tc>
        <w:tc>
          <w:tcPr>
            <w:tcW w:w="1276" w:type="dxa"/>
            <w:vAlign w:val="center"/>
          </w:tcPr>
          <w:p w14:paraId="3DFCA2BC">
            <w:pPr>
              <w:widowControl/>
              <w:spacing w:line="360" w:lineRule="exact"/>
              <w:rPr>
                <w:rFonts w:ascii="宋体" w:hAnsi="宋体" w:cs="宋体"/>
                <w:color w:val="auto"/>
                <w:kern w:val="0"/>
                <w:szCs w:val="24"/>
                <w:highlight w:val="none"/>
              </w:rPr>
            </w:pPr>
            <w:r>
              <w:rPr>
                <w:rFonts w:hint="eastAsia" w:ascii="宋体" w:hAnsi="宋体" w:cs="宋体"/>
                <w:color w:val="auto"/>
                <w:kern w:val="0"/>
                <w:szCs w:val="24"/>
                <w:highlight w:val="none"/>
              </w:rPr>
              <w:t>X＜10</w:t>
            </w:r>
          </w:p>
        </w:tc>
      </w:tr>
      <w:tr w14:paraId="330162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91" w:type="dxa"/>
            <w:vMerge w:val="continue"/>
            <w:vAlign w:val="center"/>
          </w:tcPr>
          <w:p w14:paraId="18F6E66D">
            <w:pPr>
              <w:widowControl/>
              <w:spacing w:line="360" w:lineRule="exact"/>
              <w:jc w:val="center"/>
              <w:rPr>
                <w:rFonts w:ascii="宋体" w:hAnsi="宋体" w:cs="宋体"/>
                <w:color w:val="auto"/>
                <w:kern w:val="0"/>
                <w:szCs w:val="24"/>
                <w:highlight w:val="none"/>
              </w:rPr>
            </w:pPr>
          </w:p>
        </w:tc>
        <w:tc>
          <w:tcPr>
            <w:tcW w:w="1276" w:type="dxa"/>
            <w:vAlign w:val="center"/>
          </w:tcPr>
          <w:p w14:paraId="63074334">
            <w:pPr>
              <w:widowControl/>
              <w:spacing w:line="360" w:lineRule="exact"/>
              <w:jc w:val="both"/>
              <w:rPr>
                <w:rFonts w:ascii="宋体" w:hAnsi="宋体" w:cs="宋体"/>
                <w:color w:val="auto"/>
                <w:kern w:val="0"/>
                <w:szCs w:val="24"/>
                <w:highlight w:val="none"/>
              </w:rPr>
            </w:pPr>
            <w:r>
              <w:rPr>
                <w:rFonts w:hint="eastAsia" w:ascii="宋体" w:hAnsi="宋体" w:cs="宋体"/>
                <w:color w:val="auto"/>
                <w:kern w:val="0"/>
                <w:szCs w:val="24"/>
                <w:highlight w:val="none"/>
              </w:rPr>
              <w:t>营业收入(Y)</w:t>
            </w:r>
          </w:p>
        </w:tc>
        <w:tc>
          <w:tcPr>
            <w:tcW w:w="709" w:type="dxa"/>
            <w:vAlign w:val="center"/>
          </w:tcPr>
          <w:p w14:paraId="545CDD0E">
            <w:pPr>
              <w:widowControl/>
              <w:spacing w:line="360" w:lineRule="exact"/>
              <w:jc w:val="center"/>
              <w:rPr>
                <w:rFonts w:ascii="宋体" w:hAnsi="宋体" w:cs="宋体"/>
                <w:color w:val="auto"/>
                <w:kern w:val="0"/>
                <w:szCs w:val="24"/>
                <w:highlight w:val="none"/>
              </w:rPr>
            </w:pPr>
            <w:r>
              <w:rPr>
                <w:rFonts w:hint="eastAsia" w:ascii="宋体" w:hAnsi="宋体" w:cs="宋体"/>
                <w:color w:val="auto"/>
                <w:kern w:val="0"/>
                <w:szCs w:val="24"/>
                <w:highlight w:val="none"/>
              </w:rPr>
              <w:t>万元</w:t>
            </w:r>
          </w:p>
        </w:tc>
        <w:tc>
          <w:tcPr>
            <w:tcW w:w="1276" w:type="dxa"/>
            <w:vAlign w:val="center"/>
          </w:tcPr>
          <w:p w14:paraId="30E78365">
            <w:pPr>
              <w:widowControl/>
              <w:spacing w:line="360" w:lineRule="exact"/>
              <w:rPr>
                <w:rFonts w:ascii="宋体" w:hAnsi="宋体" w:cs="宋体"/>
                <w:color w:val="auto"/>
                <w:kern w:val="0"/>
                <w:szCs w:val="24"/>
                <w:highlight w:val="none"/>
              </w:rPr>
            </w:pPr>
            <w:r>
              <w:rPr>
                <w:rFonts w:hint="eastAsia" w:ascii="宋体" w:hAnsi="宋体" w:cs="宋体"/>
                <w:color w:val="auto"/>
                <w:kern w:val="0"/>
                <w:szCs w:val="24"/>
                <w:highlight w:val="none"/>
              </w:rPr>
              <w:t>Y≥20000</w:t>
            </w:r>
          </w:p>
        </w:tc>
        <w:tc>
          <w:tcPr>
            <w:tcW w:w="1701" w:type="dxa"/>
            <w:vAlign w:val="center"/>
          </w:tcPr>
          <w:p w14:paraId="0739341B">
            <w:pPr>
              <w:widowControl/>
              <w:spacing w:line="360" w:lineRule="exact"/>
              <w:rPr>
                <w:rFonts w:ascii="宋体" w:hAnsi="宋体" w:cs="宋体"/>
                <w:color w:val="auto"/>
                <w:kern w:val="0"/>
                <w:szCs w:val="24"/>
                <w:highlight w:val="none"/>
              </w:rPr>
            </w:pPr>
            <w:r>
              <w:rPr>
                <w:rFonts w:hint="eastAsia" w:ascii="宋体" w:hAnsi="宋体" w:cs="宋体"/>
                <w:color w:val="auto"/>
                <w:kern w:val="0"/>
                <w:szCs w:val="24"/>
                <w:highlight w:val="none"/>
              </w:rPr>
              <w:t>500≤Y＜20000</w:t>
            </w:r>
          </w:p>
        </w:tc>
        <w:tc>
          <w:tcPr>
            <w:tcW w:w="1559" w:type="dxa"/>
            <w:vAlign w:val="center"/>
          </w:tcPr>
          <w:p w14:paraId="5670ABC7">
            <w:pPr>
              <w:widowControl/>
              <w:spacing w:line="360" w:lineRule="exact"/>
              <w:ind w:left="-2" w:leftChars="-1"/>
              <w:rPr>
                <w:rFonts w:ascii="宋体" w:hAnsi="宋体" w:cs="宋体"/>
                <w:color w:val="auto"/>
                <w:kern w:val="0"/>
                <w:szCs w:val="24"/>
                <w:highlight w:val="none"/>
              </w:rPr>
            </w:pPr>
            <w:r>
              <w:rPr>
                <w:rFonts w:hint="eastAsia" w:ascii="宋体" w:hAnsi="宋体" w:cs="宋体"/>
                <w:color w:val="auto"/>
                <w:kern w:val="0"/>
                <w:szCs w:val="24"/>
                <w:highlight w:val="none"/>
              </w:rPr>
              <w:t>100≤Y＜500</w:t>
            </w:r>
          </w:p>
        </w:tc>
        <w:tc>
          <w:tcPr>
            <w:tcW w:w="1276" w:type="dxa"/>
            <w:vAlign w:val="center"/>
          </w:tcPr>
          <w:p w14:paraId="61C89708">
            <w:pPr>
              <w:widowControl/>
              <w:spacing w:line="360" w:lineRule="exact"/>
              <w:rPr>
                <w:rFonts w:ascii="宋体" w:hAnsi="宋体" w:cs="宋体"/>
                <w:color w:val="auto"/>
                <w:kern w:val="0"/>
                <w:szCs w:val="24"/>
                <w:highlight w:val="none"/>
              </w:rPr>
            </w:pPr>
            <w:r>
              <w:rPr>
                <w:rFonts w:hint="eastAsia" w:ascii="宋体" w:hAnsi="宋体" w:cs="宋体"/>
                <w:color w:val="auto"/>
                <w:kern w:val="0"/>
                <w:szCs w:val="24"/>
                <w:highlight w:val="none"/>
              </w:rPr>
              <w:t>Y＜100</w:t>
            </w:r>
          </w:p>
        </w:tc>
      </w:tr>
      <w:tr w14:paraId="20CF05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91" w:type="dxa"/>
            <w:vMerge w:val="restart"/>
            <w:vAlign w:val="center"/>
          </w:tcPr>
          <w:p w14:paraId="04BC0F9C">
            <w:pPr>
              <w:widowControl/>
              <w:spacing w:line="360" w:lineRule="exact"/>
              <w:jc w:val="center"/>
              <w:rPr>
                <w:rFonts w:ascii="宋体" w:hAnsi="宋体" w:cs="宋体"/>
                <w:color w:val="auto"/>
                <w:kern w:val="0"/>
                <w:szCs w:val="24"/>
                <w:highlight w:val="none"/>
              </w:rPr>
            </w:pPr>
            <w:r>
              <w:rPr>
                <w:rFonts w:hint="eastAsia" w:ascii="宋体" w:hAnsi="宋体" w:cs="宋体"/>
                <w:color w:val="auto"/>
                <w:kern w:val="0"/>
                <w:szCs w:val="24"/>
                <w:highlight w:val="none"/>
              </w:rPr>
              <w:t>交通运输业</w:t>
            </w:r>
          </w:p>
        </w:tc>
        <w:tc>
          <w:tcPr>
            <w:tcW w:w="1276" w:type="dxa"/>
            <w:vAlign w:val="center"/>
          </w:tcPr>
          <w:p w14:paraId="2D4F9F31">
            <w:pPr>
              <w:widowControl/>
              <w:spacing w:line="360" w:lineRule="exact"/>
              <w:jc w:val="both"/>
              <w:rPr>
                <w:rFonts w:ascii="宋体" w:hAnsi="宋体" w:cs="宋体"/>
                <w:color w:val="auto"/>
                <w:kern w:val="0"/>
                <w:szCs w:val="24"/>
                <w:highlight w:val="none"/>
              </w:rPr>
            </w:pPr>
            <w:r>
              <w:rPr>
                <w:rFonts w:hint="eastAsia" w:ascii="宋体" w:hAnsi="宋体" w:cs="宋体"/>
                <w:color w:val="auto"/>
                <w:kern w:val="0"/>
                <w:szCs w:val="24"/>
                <w:highlight w:val="none"/>
              </w:rPr>
              <w:t>从业人员(X)</w:t>
            </w:r>
          </w:p>
        </w:tc>
        <w:tc>
          <w:tcPr>
            <w:tcW w:w="709" w:type="dxa"/>
            <w:vAlign w:val="center"/>
          </w:tcPr>
          <w:p w14:paraId="00160915">
            <w:pPr>
              <w:widowControl/>
              <w:spacing w:line="360" w:lineRule="exact"/>
              <w:jc w:val="center"/>
              <w:rPr>
                <w:rFonts w:ascii="宋体" w:hAnsi="宋体" w:cs="宋体"/>
                <w:color w:val="auto"/>
                <w:kern w:val="0"/>
                <w:szCs w:val="24"/>
                <w:highlight w:val="none"/>
              </w:rPr>
            </w:pPr>
            <w:r>
              <w:rPr>
                <w:rFonts w:hint="eastAsia" w:ascii="宋体" w:hAnsi="宋体" w:cs="宋体"/>
                <w:color w:val="auto"/>
                <w:kern w:val="0"/>
                <w:szCs w:val="24"/>
                <w:highlight w:val="none"/>
              </w:rPr>
              <w:t>人</w:t>
            </w:r>
          </w:p>
        </w:tc>
        <w:tc>
          <w:tcPr>
            <w:tcW w:w="1276" w:type="dxa"/>
            <w:vAlign w:val="center"/>
          </w:tcPr>
          <w:p w14:paraId="5CB340ED">
            <w:pPr>
              <w:widowControl/>
              <w:spacing w:line="360" w:lineRule="exact"/>
              <w:rPr>
                <w:rFonts w:ascii="宋体" w:hAnsi="宋体" w:cs="宋体"/>
                <w:color w:val="auto"/>
                <w:kern w:val="0"/>
                <w:szCs w:val="24"/>
                <w:highlight w:val="none"/>
              </w:rPr>
            </w:pPr>
            <w:r>
              <w:rPr>
                <w:rFonts w:hint="eastAsia" w:ascii="宋体" w:hAnsi="宋体" w:cs="宋体"/>
                <w:color w:val="auto"/>
                <w:kern w:val="0"/>
                <w:szCs w:val="24"/>
                <w:highlight w:val="none"/>
              </w:rPr>
              <w:t>X≥1000</w:t>
            </w:r>
          </w:p>
        </w:tc>
        <w:tc>
          <w:tcPr>
            <w:tcW w:w="1701" w:type="dxa"/>
            <w:vAlign w:val="center"/>
          </w:tcPr>
          <w:p w14:paraId="5F194D59">
            <w:pPr>
              <w:widowControl/>
              <w:spacing w:line="360" w:lineRule="exact"/>
              <w:rPr>
                <w:rFonts w:ascii="宋体" w:hAnsi="宋体" w:cs="宋体"/>
                <w:color w:val="auto"/>
                <w:kern w:val="0"/>
                <w:szCs w:val="24"/>
                <w:highlight w:val="none"/>
              </w:rPr>
            </w:pPr>
            <w:r>
              <w:rPr>
                <w:rFonts w:hint="eastAsia" w:ascii="宋体" w:hAnsi="宋体" w:cs="宋体"/>
                <w:color w:val="auto"/>
                <w:kern w:val="0"/>
                <w:szCs w:val="24"/>
                <w:highlight w:val="none"/>
              </w:rPr>
              <w:t>300≤X＜1000</w:t>
            </w:r>
          </w:p>
        </w:tc>
        <w:tc>
          <w:tcPr>
            <w:tcW w:w="1559" w:type="dxa"/>
            <w:vAlign w:val="center"/>
          </w:tcPr>
          <w:p w14:paraId="259ABD57">
            <w:pPr>
              <w:widowControl/>
              <w:spacing w:line="360" w:lineRule="exact"/>
              <w:rPr>
                <w:rFonts w:ascii="宋体" w:hAnsi="宋体" w:cs="宋体"/>
                <w:color w:val="auto"/>
                <w:kern w:val="0"/>
                <w:szCs w:val="24"/>
                <w:highlight w:val="none"/>
              </w:rPr>
            </w:pPr>
            <w:r>
              <w:rPr>
                <w:rFonts w:hint="eastAsia" w:ascii="宋体" w:hAnsi="宋体" w:cs="宋体"/>
                <w:color w:val="auto"/>
                <w:kern w:val="0"/>
                <w:szCs w:val="24"/>
                <w:highlight w:val="none"/>
              </w:rPr>
              <w:t>20≤X＜300</w:t>
            </w:r>
          </w:p>
        </w:tc>
        <w:tc>
          <w:tcPr>
            <w:tcW w:w="1276" w:type="dxa"/>
            <w:vAlign w:val="center"/>
          </w:tcPr>
          <w:p w14:paraId="4D912376">
            <w:pPr>
              <w:widowControl/>
              <w:spacing w:line="360" w:lineRule="exact"/>
              <w:rPr>
                <w:rFonts w:ascii="宋体" w:hAnsi="宋体" w:cs="宋体"/>
                <w:color w:val="auto"/>
                <w:kern w:val="0"/>
                <w:szCs w:val="24"/>
                <w:highlight w:val="none"/>
              </w:rPr>
            </w:pPr>
            <w:r>
              <w:rPr>
                <w:rFonts w:hint="eastAsia" w:ascii="宋体" w:hAnsi="宋体" w:cs="宋体"/>
                <w:color w:val="auto"/>
                <w:kern w:val="0"/>
                <w:szCs w:val="24"/>
                <w:highlight w:val="none"/>
              </w:rPr>
              <w:t>X＜20</w:t>
            </w:r>
          </w:p>
        </w:tc>
      </w:tr>
      <w:tr w14:paraId="5BEAF8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91" w:type="dxa"/>
            <w:vMerge w:val="continue"/>
            <w:vAlign w:val="center"/>
          </w:tcPr>
          <w:p w14:paraId="0AD1593C">
            <w:pPr>
              <w:widowControl/>
              <w:spacing w:line="360" w:lineRule="exact"/>
              <w:jc w:val="center"/>
              <w:rPr>
                <w:rFonts w:ascii="宋体" w:hAnsi="宋体" w:cs="宋体"/>
                <w:color w:val="auto"/>
                <w:kern w:val="0"/>
                <w:szCs w:val="24"/>
                <w:highlight w:val="none"/>
              </w:rPr>
            </w:pPr>
          </w:p>
        </w:tc>
        <w:tc>
          <w:tcPr>
            <w:tcW w:w="1276" w:type="dxa"/>
            <w:vAlign w:val="center"/>
          </w:tcPr>
          <w:p w14:paraId="57923F71">
            <w:pPr>
              <w:widowControl/>
              <w:spacing w:line="360" w:lineRule="exact"/>
              <w:jc w:val="both"/>
              <w:rPr>
                <w:rFonts w:ascii="宋体" w:hAnsi="宋体" w:cs="宋体"/>
                <w:color w:val="auto"/>
                <w:kern w:val="0"/>
                <w:szCs w:val="24"/>
                <w:highlight w:val="none"/>
              </w:rPr>
            </w:pPr>
            <w:r>
              <w:rPr>
                <w:rFonts w:hint="eastAsia" w:ascii="宋体" w:hAnsi="宋体" w:cs="宋体"/>
                <w:color w:val="auto"/>
                <w:kern w:val="0"/>
                <w:szCs w:val="24"/>
                <w:highlight w:val="none"/>
              </w:rPr>
              <w:t>营业收入(Y)</w:t>
            </w:r>
          </w:p>
        </w:tc>
        <w:tc>
          <w:tcPr>
            <w:tcW w:w="709" w:type="dxa"/>
            <w:vAlign w:val="center"/>
          </w:tcPr>
          <w:p w14:paraId="2FA28008">
            <w:pPr>
              <w:widowControl/>
              <w:spacing w:line="360" w:lineRule="exact"/>
              <w:jc w:val="center"/>
              <w:rPr>
                <w:rFonts w:ascii="宋体" w:hAnsi="宋体" w:cs="宋体"/>
                <w:color w:val="auto"/>
                <w:kern w:val="0"/>
                <w:szCs w:val="24"/>
                <w:highlight w:val="none"/>
              </w:rPr>
            </w:pPr>
            <w:r>
              <w:rPr>
                <w:rFonts w:hint="eastAsia" w:ascii="宋体" w:hAnsi="宋体" w:cs="宋体"/>
                <w:color w:val="auto"/>
                <w:kern w:val="0"/>
                <w:szCs w:val="24"/>
                <w:highlight w:val="none"/>
              </w:rPr>
              <w:t>万元</w:t>
            </w:r>
          </w:p>
        </w:tc>
        <w:tc>
          <w:tcPr>
            <w:tcW w:w="1276" w:type="dxa"/>
            <w:vAlign w:val="center"/>
          </w:tcPr>
          <w:p w14:paraId="6684C877">
            <w:pPr>
              <w:widowControl/>
              <w:spacing w:line="360" w:lineRule="exact"/>
              <w:rPr>
                <w:rFonts w:ascii="宋体" w:hAnsi="宋体" w:cs="宋体"/>
                <w:color w:val="auto"/>
                <w:kern w:val="0"/>
                <w:szCs w:val="24"/>
                <w:highlight w:val="none"/>
              </w:rPr>
            </w:pPr>
            <w:r>
              <w:rPr>
                <w:rFonts w:hint="eastAsia" w:ascii="宋体" w:hAnsi="宋体" w:cs="宋体"/>
                <w:color w:val="auto"/>
                <w:kern w:val="0"/>
                <w:szCs w:val="24"/>
                <w:highlight w:val="none"/>
              </w:rPr>
              <w:t>Y≥30000</w:t>
            </w:r>
          </w:p>
        </w:tc>
        <w:tc>
          <w:tcPr>
            <w:tcW w:w="1701" w:type="dxa"/>
            <w:vAlign w:val="center"/>
          </w:tcPr>
          <w:p w14:paraId="09EFCD22">
            <w:pPr>
              <w:widowControl/>
              <w:spacing w:line="360" w:lineRule="exact"/>
              <w:rPr>
                <w:rFonts w:ascii="宋体" w:hAnsi="宋体" w:cs="宋体"/>
                <w:color w:val="auto"/>
                <w:kern w:val="0"/>
                <w:szCs w:val="24"/>
                <w:highlight w:val="none"/>
              </w:rPr>
            </w:pPr>
            <w:r>
              <w:rPr>
                <w:rFonts w:hint="eastAsia" w:ascii="宋体" w:hAnsi="宋体" w:cs="宋体"/>
                <w:color w:val="auto"/>
                <w:kern w:val="0"/>
                <w:szCs w:val="24"/>
                <w:highlight w:val="none"/>
              </w:rPr>
              <w:t>3000≤Y＜30000</w:t>
            </w:r>
          </w:p>
        </w:tc>
        <w:tc>
          <w:tcPr>
            <w:tcW w:w="1559" w:type="dxa"/>
            <w:vAlign w:val="center"/>
          </w:tcPr>
          <w:p w14:paraId="0881567A">
            <w:pPr>
              <w:widowControl/>
              <w:spacing w:line="360" w:lineRule="exact"/>
              <w:rPr>
                <w:rFonts w:ascii="宋体" w:hAnsi="宋体" w:cs="宋体"/>
                <w:color w:val="auto"/>
                <w:kern w:val="0"/>
                <w:szCs w:val="24"/>
                <w:highlight w:val="none"/>
              </w:rPr>
            </w:pPr>
            <w:r>
              <w:rPr>
                <w:rFonts w:hint="eastAsia" w:ascii="宋体" w:hAnsi="宋体" w:cs="宋体"/>
                <w:color w:val="auto"/>
                <w:kern w:val="0"/>
                <w:szCs w:val="24"/>
                <w:highlight w:val="none"/>
              </w:rPr>
              <w:t>200≤Y＜3000</w:t>
            </w:r>
          </w:p>
        </w:tc>
        <w:tc>
          <w:tcPr>
            <w:tcW w:w="1276" w:type="dxa"/>
            <w:vAlign w:val="center"/>
          </w:tcPr>
          <w:p w14:paraId="410C1056">
            <w:pPr>
              <w:widowControl/>
              <w:spacing w:line="360" w:lineRule="exact"/>
              <w:rPr>
                <w:rFonts w:ascii="宋体" w:hAnsi="宋体" w:cs="宋体"/>
                <w:color w:val="auto"/>
                <w:kern w:val="0"/>
                <w:szCs w:val="24"/>
                <w:highlight w:val="none"/>
              </w:rPr>
            </w:pPr>
            <w:r>
              <w:rPr>
                <w:rFonts w:hint="eastAsia" w:ascii="宋体" w:hAnsi="宋体" w:cs="宋体"/>
                <w:color w:val="auto"/>
                <w:kern w:val="0"/>
                <w:szCs w:val="24"/>
                <w:highlight w:val="none"/>
              </w:rPr>
              <w:t>Y＜200</w:t>
            </w:r>
          </w:p>
        </w:tc>
      </w:tr>
      <w:tr w14:paraId="6AC41D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91" w:type="dxa"/>
            <w:vMerge w:val="restart"/>
            <w:vAlign w:val="center"/>
          </w:tcPr>
          <w:p w14:paraId="3E406E07">
            <w:pPr>
              <w:widowControl/>
              <w:spacing w:line="360" w:lineRule="exact"/>
              <w:jc w:val="center"/>
              <w:rPr>
                <w:rFonts w:ascii="宋体" w:hAnsi="宋体" w:cs="宋体"/>
                <w:color w:val="auto"/>
                <w:kern w:val="0"/>
                <w:szCs w:val="24"/>
                <w:highlight w:val="none"/>
              </w:rPr>
            </w:pPr>
            <w:r>
              <w:rPr>
                <w:rFonts w:hint="eastAsia" w:ascii="宋体" w:hAnsi="宋体" w:cs="宋体"/>
                <w:color w:val="auto"/>
                <w:kern w:val="0"/>
                <w:szCs w:val="24"/>
                <w:highlight w:val="none"/>
              </w:rPr>
              <w:t>仓储业</w:t>
            </w:r>
          </w:p>
        </w:tc>
        <w:tc>
          <w:tcPr>
            <w:tcW w:w="1276" w:type="dxa"/>
            <w:vAlign w:val="center"/>
          </w:tcPr>
          <w:p w14:paraId="16EAA59D">
            <w:pPr>
              <w:widowControl/>
              <w:spacing w:line="360" w:lineRule="exact"/>
              <w:jc w:val="both"/>
              <w:rPr>
                <w:rFonts w:ascii="宋体" w:hAnsi="宋体" w:cs="宋体"/>
                <w:color w:val="auto"/>
                <w:kern w:val="0"/>
                <w:szCs w:val="24"/>
                <w:highlight w:val="none"/>
              </w:rPr>
            </w:pPr>
            <w:r>
              <w:rPr>
                <w:rFonts w:hint="eastAsia" w:ascii="宋体" w:hAnsi="宋体" w:cs="宋体"/>
                <w:color w:val="auto"/>
                <w:kern w:val="0"/>
                <w:szCs w:val="24"/>
                <w:highlight w:val="none"/>
              </w:rPr>
              <w:t>从业人员(X)</w:t>
            </w:r>
          </w:p>
        </w:tc>
        <w:tc>
          <w:tcPr>
            <w:tcW w:w="709" w:type="dxa"/>
            <w:vAlign w:val="center"/>
          </w:tcPr>
          <w:p w14:paraId="73D3D941">
            <w:pPr>
              <w:widowControl/>
              <w:spacing w:line="360" w:lineRule="exact"/>
              <w:jc w:val="center"/>
              <w:rPr>
                <w:rFonts w:ascii="宋体" w:hAnsi="宋体" w:cs="宋体"/>
                <w:color w:val="auto"/>
                <w:kern w:val="0"/>
                <w:szCs w:val="24"/>
                <w:highlight w:val="none"/>
              </w:rPr>
            </w:pPr>
            <w:r>
              <w:rPr>
                <w:rFonts w:hint="eastAsia" w:ascii="宋体" w:hAnsi="宋体" w:cs="宋体"/>
                <w:color w:val="auto"/>
                <w:kern w:val="0"/>
                <w:szCs w:val="24"/>
                <w:highlight w:val="none"/>
              </w:rPr>
              <w:t>人</w:t>
            </w:r>
          </w:p>
        </w:tc>
        <w:tc>
          <w:tcPr>
            <w:tcW w:w="1276" w:type="dxa"/>
            <w:vAlign w:val="center"/>
          </w:tcPr>
          <w:p w14:paraId="5754BA32">
            <w:pPr>
              <w:widowControl/>
              <w:spacing w:line="360" w:lineRule="exact"/>
              <w:rPr>
                <w:rFonts w:ascii="宋体" w:hAnsi="宋体" w:cs="宋体"/>
                <w:color w:val="auto"/>
                <w:kern w:val="0"/>
                <w:szCs w:val="24"/>
                <w:highlight w:val="none"/>
              </w:rPr>
            </w:pPr>
            <w:r>
              <w:rPr>
                <w:rFonts w:hint="eastAsia" w:ascii="宋体" w:hAnsi="宋体" w:cs="宋体"/>
                <w:color w:val="auto"/>
                <w:kern w:val="0"/>
                <w:szCs w:val="24"/>
                <w:highlight w:val="none"/>
              </w:rPr>
              <w:t>X≥200</w:t>
            </w:r>
          </w:p>
        </w:tc>
        <w:tc>
          <w:tcPr>
            <w:tcW w:w="1701" w:type="dxa"/>
            <w:vAlign w:val="center"/>
          </w:tcPr>
          <w:p w14:paraId="215ECD74">
            <w:pPr>
              <w:widowControl/>
              <w:spacing w:line="360" w:lineRule="exact"/>
              <w:ind w:left="-122" w:leftChars="-51"/>
              <w:rPr>
                <w:rFonts w:ascii="宋体" w:hAnsi="宋体" w:cs="宋体"/>
                <w:color w:val="auto"/>
                <w:kern w:val="0"/>
                <w:szCs w:val="24"/>
                <w:highlight w:val="none"/>
              </w:rPr>
            </w:pPr>
            <w:r>
              <w:rPr>
                <w:rFonts w:hint="eastAsia" w:ascii="宋体" w:hAnsi="宋体" w:cs="宋体"/>
                <w:color w:val="auto"/>
                <w:kern w:val="0"/>
                <w:szCs w:val="24"/>
                <w:highlight w:val="none"/>
              </w:rPr>
              <w:t>100≤X＜200</w:t>
            </w:r>
          </w:p>
        </w:tc>
        <w:tc>
          <w:tcPr>
            <w:tcW w:w="1559" w:type="dxa"/>
            <w:vAlign w:val="center"/>
          </w:tcPr>
          <w:p w14:paraId="3AC0AAE2">
            <w:pPr>
              <w:widowControl/>
              <w:spacing w:line="360" w:lineRule="exact"/>
              <w:rPr>
                <w:rFonts w:ascii="宋体" w:hAnsi="宋体" w:cs="宋体"/>
                <w:color w:val="auto"/>
                <w:kern w:val="0"/>
                <w:szCs w:val="24"/>
                <w:highlight w:val="none"/>
              </w:rPr>
            </w:pPr>
            <w:r>
              <w:rPr>
                <w:rFonts w:hint="eastAsia" w:ascii="宋体" w:hAnsi="宋体" w:cs="宋体"/>
                <w:color w:val="auto"/>
                <w:kern w:val="0"/>
                <w:szCs w:val="24"/>
                <w:highlight w:val="none"/>
              </w:rPr>
              <w:t>20≤X＜100</w:t>
            </w:r>
          </w:p>
        </w:tc>
        <w:tc>
          <w:tcPr>
            <w:tcW w:w="1276" w:type="dxa"/>
            <w:vAlign w:val="center"/>
          </w:tcPr>
          <w:p w14:paraId="69FB468D">
            <w:pPr>
              <w:widowControl/>
              <w:spacing w:line="360" w:lineRule="exact"/>
              <w:rPr>
                <w:rFonts w:ascii="宋体" w:hAnsi="宋体" w:cs="宋体"/>
                <w:color w:val="auto"/>
                <w:kern w:val="0"/>
                <w:szCs w:val="24"/>
                <w:highlight w:val="none"/>
              </w:rPr>
            </w:pPr>
            <w:r>
              <w:rPr>
                <w:rFonts w:hint="eastAsia" w:ascii="宋体" w:hAnsi="宋体" w:cs="宋体"/>
                <w:color w:val="auto"/>
                <w:kern w:val="0"/>
                <w:szCs w:val="24"/>
                <w:highlight w:val="none"/>
              </w:rPr>
              <w:t>X＜20</w:t>
            </w:r>
          </w:p>
        </w:tc>
      </w:tr>
      <w:tr w14:paraId="56B9BD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91" w:type="dxa"/>
            <w:vMerge w:val="continue"/>
            <w:vAlign w:val="center"/>
          </w:tcPr>
          <w:p w14:paraId="1C98B3B5">
            <w:pPr>
              <w:widowControl/>
              <w:spacing w:line="360" w:lineRule="exact"/>
              <w:jc w:val="center"/>
              <w:rPr>
                <w:rFonts w:ascii="宋体" w:hAnsi="宋体" w:cs="宋体"/>
                <w:color w:val="auto"/>
                <w:kern w:val="0"/>
                <w:szCs w:val="24"/>
                <w:highlight w:val="none"/>
              </w:rPr>
            </w:pPr>
          </w:p>
        </w:tc>
        <w:tc>
          <w:tcPr>
            <w:tcW w:w="1276" w:type="dxa"/>
            <w:vAlign w:val="center"/>
          </w:tcPr>
          <w:p w14:paraId="44239FFE">
            <w:pPr>
              <w:widowControl/>
              <w:spacing w:line="360" w:lineRule="exact"/>
              <w:jc w:val="both"/>
              <w:rPr>
                <w:rFonts w:ascii="宋体" w:hAnsi="宋体" w:cs="宋体"/>
                <w:color w:val="auto"/>
                <w:kern w:val="0"/>
                <w:szCs w:val="24"/>
                <w:highlight w:val="none"/>
              </w:rPr>
            </w:pPr>
            <w:r>
              <w:rPr>
                <w:rFonts w:hint="eastAsia" w:ascii="宋体" w:hAnsi="宋体" w:cs="宋体"/>
                <w:color w:val="auto"/>
                <w:kern w:val="0"/>
                <w:szCs w:val="24"/>
                <w:highlight w:val="none"/>
              </w:rPr>
              <w:t>营业收入(Y)</w:t>
            </w:r>
          </w:p>
        </w:tc>
        <w:tc>
          <w:tcPr>
            <w:tcW w:w="709" w:type="dxa"/>
            <w:vAlign w:val="center"/>
          </w:tcPr>
          <w:p w14:paraId="627133AE">
            <w:pPr>
              <w:widowControl/>
              <w:spacing w:line="360" w:lineRule="exact"/>
              <w:jc w:val="center"/>
              <w:rPr>
                <w:rFonts w:ascii="宋体" w:hAnsi="宋体" w:cs="宋体"/>
                <w:color w:val="auto"/>
                <w:kern w:val="0"/>
                <w:szCs w:val="24"/>
                <w:highlight w:val="none"/>
              </w:rPr>
            </w:pPr>
            <w:r>
              <w:rPr>
                <w:rFonts w:hint="eastAsia" w:ascii="宋体" w:hAnsi="宋体" w:cs="宋体"/>
                <w:color w:val="auto"/>
                <w:kern w:val="0"/>
                <w:szCs w:val="24"/>
                <w:highlight w:val="none"/>
              </w:rPr>
              <w:t>万元</w:t>
            </w:r>
          </w:p>
        </w:tc>
        <w:tc>
          <w:tcPr>
            <w:tcW w:w="1276" w:type="dxa"/>
            <w:vAlign w:val="center"/>
          </w:tcPr>
          <w:p w14:paraId="793AC73D">
            <w:pPr>
              <w:widowControl/>
              <w:spacing w:line="360" w:lineRule="exact"/>
              <w:rPr>
                <w:rFonts w:ascii="宋体" w:hAnsi="宋体" w:cs="宋体"/>
                <w:color w:val="auto"/>
                <w:kern w:val="0"/>
                <w:szCs w:val="24"/>
                <w:highlight w:val="none"/>
              </w:rPr>
            </w:pPr>
            <w:r>
              <w:rPr>
                <w:rFonts w:hint="eastAsia" w:ascii="宋体" w:hAnsi="宋体" w:cs="宋体"/>
                <w:color w:val="auto"/>
                <w:kern w:val="0"/>
                <w:szCs w:val="24"/>
                <w:highlight w:val="none"/>
              </w:rPr>
              <w:t>Y≥30000</w:t>
            </w:r>
          </w:p>
        </w:tc>
        <w:tc>
          <w:tcPr>
            <w:tcW w:w="1701" w:type="dxa"/>
            <w:vAlign w:val="center"/>
          </w:tcPr>
          <w:p w14:paraId="0896283D">
            <w:pPr>
              <w:widowControl/>
              <w:spacing w:line="360" w:lineRule="exact"/>
              <w:rPr>
                <w:rFonts w:ascii="宋体" w:hAnsi="宋体" w:cs="宋体"/>
                <w:color w:val="auto"/>
                <w:kern w:val="0"/>
                <w:szCs w:val="24"/>
                <w:highlight w:val="none"/>
              </w:rPr>
            </w:pPr>
            <w:r>
              <w:rPr>
                <w:rFonts w:hint="eastAsia" w:ascii="宋体" w:hAnsi="宋体" w:cs="宋体"/>
                <w:color w:val="auto"/>
                <w:kern w:val="0"/>
                <w:szCs w:val="24"/>
                <w:highlight w:val="none"/>
              </w:rPr>
              <w:t>1000≤Y＜30000</w:t>
            </w:r>
          </w:p>
        </w:tc>
        <w:tc>
          <w:tcPr>
            <w:tcW w:w="1559" w:type="dxa"/>
            <w:vAlign w:val="center"/>
          </w:tcPr>
          <w:p w14:paraId="7CD2B52B">
            <w:pPr>
              <w:widowControl/>
              <w:spacing w:line="360" w:lineRule="exact"/>
              <w:rPr>
                <w:rFonts w:ascii="宋体" w:hAnsi="宋体" w:cs="宋体"/>
                <w:color w:val="auto"/>
                <w:kern w:val="0"/>
                <w:szCs w:val="24"/>
                <w:highlight w:val="none"/>
              </w:rPr>
            </w:pPr>
            <w:r>
              <w:rPr>
                <w:rFonts w:hint="eastAsia" w:ascii="宋体" w:hAnsi="宋体" w:cs="宋体"/>
                <w:color w:val="auto"/>
                <w:kern w:val="0"/>
                <w:szCs w:val="24"/>
                <w:highlight w:val="none"/>
              </w:rPr>
              <w:t>100≤Y＜1000</w:t>
            </w:r>
          </w:p>
        </w:tc>
        <w:tc>
          <w:tcPr>
            <w:tcW w:w="1276" w:type="dxa"/>
            <w:vAlign w:val="center"/>
          </w:tcPr>
          <w:p w14:paraId="3BE7B190">
            <w:pPr>
              <w:widowControl/>
              <w:spacing w:line="360" w:lineRule="exact"/>
              <w:rPr>
                <w:rFonts w:ascii="宋体" w:hAnsi="宋体" w:cs="宋体"/>
                <w:color w:val="auto"/>
                <w:kern w:val="0"/>
                <w:szCs w:val="24"/>
                <w:highlight w:val="none"/>
              </w:rPr>
            </w:pPr>
            <w:r>
              <w:rPr>
                <w:rFonts w:hint="eastAsia" w:ascii="宋体" w:hAnsi="宋体" w:cs="宋体"/>
                <w:color w:val="auto"/>
                <w:kern w:val="0"/>
                <w:szCs w:val="24"/>
                <w:highlight w:val="none"/>
              </w:rPr>
              <w:t>Y＜100</w:t>
            </w:r>
          </w:p>
        </w:tc>
      </w:tr>
      <w:tr w14:paraId="2BDA65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91" w:type="dxa"/>
            <w:vMerge w:val="restart"/>
            <w:vAlign w:val="center"/>
          </w:tcPr>
          <w:p w14:paraId="50CC809D">
            <w:pPr>
              <w:widowControl/>
              <w:spacing w:line="360" w:lineRule="exact"/>
              <w:jc w:val="center"/>
              <w:rPr>
                <w:rFonts w:ascii="宋体" w:hAnsi="宋体" w:cs="宋体"/>
                <w:color w:val="auto"/>
                <w:kern w:val="0"/>
                <w:szCs w:val="24"/>
                <w:highlight w:val="none"/>
              </w:rPr>
            </w:pPr>
            <w:r>
              <w:rPr>
                <w:rFonts w:hint="eastAsia" w:ascii="宋体" w:hAnsi="宋体" w:cs="宋体"/>
                <w:color w:val="auto"/>
                <w:kern w:val="0"/>
                <w:szCs w:val="24"/>
                <w:highlight w:val="none"/>
              </w:rPr>
              <w:t>邮政业</w:t>
            </w:r>
          </w:p>
        </w:tc>
        <w:tc>
          <w:tcPr>
            <w:tcW w:w="1276" w:type="dxa"/>
            <w:vAlign w:val="center"/>
          </w:tcPr>
          <w:p w14:paraId="76DE4A34">
            <w:pPr>
              <w:widowControl/>
              <w:spacing w:line="360" w:lineRule="exact"/>
              <w:jc w:val="both"/>
              <w:rPr>
                <w:rFonts w:ascii="宋体" w:hAnsi="宋体" w:cs="宋体"/>
                <w:color w:val="auto"/>
                <w:kern w:val="0"/>
                <w:szCs w:val="24"/>
                <w:highlight w:val="none"/>
              </w:rPr>
            </w:pPr>
            <w:r>
              <w:rPr>
                <w:rFonts w:hint="eastAsia" w:ascii="宋体" w:hAnsi="宋体" w:cs="宋体"/>
                <w:color w:val="auto"/>
                <w:kern w:val="0"/>
                <w:szCs w:val="24"/>
                <w:highlight w:val="none"/>
              </w:rPr>
              <w:t>从业人员(X)</w:t>
            </w:r>
          </w:p>
        </w:tc>
        <w:tc>
          <w:tcPr>
            <w:tcW w:w="709" w:type="dxa"/>
            <w:vAlign w:val="center"/>
          </w:tcPr>
          <w:p w14:paraId="672B8CC1">
            <w:pPr>
              <w:widowControl/>
              <w:spacing w:line="360" w:lineRule="exact"/>
              <w:jc w:val="center"/>
              <w:rPr>
                <w:rFonts w:ascii="宋体" w:hAnsi="宋体" w:cs="宋体"/>
                <w:color w:val="auto"/>
                <w:kern w:val="0"/>
                <w:szCs w:val="24"/>
                <w:highlight w:val="none"/>
              </w:rPr>
            </w:pPr>
            <w:r>
              <w:rPr>
                <w:rFonts w:hint="eastAsia" w:ascii="宋体" w:hAnsi="宋体" w:cs="宋体"/>
                <w:color w:val="auto"/>
                <w:kern w:val="0"/>
                <w:szCs w:val="24"/>
                <w:highlight w:val="none"/>
              </w:rPr>
              <w:t>人</w:t>
            </w:r>
          </w:p>
        </w:tc>
        <w:tc>
          <w:tcPr>
            <w:tcW w:w="1276" w:type="dxa"/>
            <w:vAlign w:val="center"/>
          </w:tcPr>
          <w:p w14:paraId="026EFB48">
            <w:pPr>
              <w:widowControl/>
              <w:spacing w:line="360" w:lineRule="exact"/>
              <w:rPr>
                <w:rFonts w:ascii="宋体" w:hAnsi="宋体" w:cs="宋体"/>
                <w:color w:val="auto"/>
                <w:kern w:val="0"/>
                <w:szCs w:val="24"/>
                <w:highlight w:val="none"/>
              </w:rPr>
            </w:pPr>
            <w:r>
              <w:rPr>
                <w:rFonts w:hint="eastAsia" w:ascii="宋体" w:hAnsi="宋体" w:cs="宋体"/>
                <w:color w:val="auto"/>
                <w:kern w:val="0"/>
                <w:szCs w:val="24"/>
                <w:highlight w:val="none"/>
              </w:rPr>
              <w:t>X≥1000</w:t>
            </w:r>
          </w:p>
        </w:tc>
        <w:tc>
          <w:tcPr>
            <w:tcW w:w="1701" w:type="dxa"/>
            <w:vAlign w:val="center"/>
          </w:tcPr>
          <w:p w14:paraId="05EF8839">
            <w:pPr>
              <w:widowControl/>
              <w:spacing w:line="360" w:lineRule="exact"/>
              <w:rPr>
                <w:rFonts w:ascii="宋体" w:hAnsi="宋体" w:cs="宋体"/>
                <w:color w:val="auto"/>
                <w:kern w:val="0"/>
                <w:szCs w:val="24"/>
                <w:highlight w:val="none"/>
              </w:rPr>
            </w:pPr>
            <w:r>
              <w:rPr>
                <w:rFonts w:hint="eastAsia" w:ascii="宋体" w:hAnsi="宋体" w:cs="宋体"/>
                <w:color w:val="auto"/>
                <w:kern w:val="0"/>
                <w:szCs w:val="24"/>
                <w:highlight w:val="none"/>
              </w:rPr>
              <w:t>300≤X＜1000</w:t>
            </w:r>
          </w:p>
        </w:tc>
        <w:tc>
          <w:tcPr>
            <w:tcW w:w="1559" w:type="dxa"/>
            <w:vAlign w:val="center"/>
          </w:tcPr>
          <w:p w14:paraId="28014F6E">
            <w:pPr>
              <w:widowControl/>
              <w:spacing w:line="360" w:lineRule="exact"/>
              <w:rPr>
                <w:rFonts w:ascii="宋体" w:hAnsi="宋体" w:cs="宋体"/>
                <w:color w:val="auto"/>
                <w:kern w:val="0"/>
                <w:szCs w:val="24"/>
                <w:highlight w:val="none"/>
              </w:rPr>
            </w:pPr>
            <w:r>
              <w:rPr>
                <w:rFonts w:hint="eastAsia" w:ascii="宋体" w:hAnsi="宋体" w:cs="宋体"/>
                <w:color w:val="auto"/>
                <w:kern w:val="0"/>
                <w:szCs w:val="24"/>
                <w:highlight w:val="none"/>
              </w:rPr>
              <w:t>20≤X＜300</w:t>
            </w:r>
          </w:p>
        </w:tc>
        <w:tc>
          <w:tcPr>
            <w:tcW w:w="1276" w:type="dxa"/>
            <w:vAlign w:val="center"/>
          </w:tcPr>
          <w:p w14:paraId="7BE0B4E2">
            <w:pPr>
              <w:widowControl/>
              <w:spacing w:line="360" w:lineRule="exact"/>
              <w:rPr>
                <w:rFonts w:ascii="宋体" w:hAnsi="宋体" w:cs="宋体"/>
                <w:color w:val="auto"/>
                <w:kern w:val="0"/>
                <w:szCs w:val="24"/>
                <w:highlight w:val="none"/>
              </w:rPr>
            </w:pPr>
            <w:r>
              <w:rPr>
                <w:rFonts w:hint="eastAsia" w:ascii="宋体" w:hAnsi="宋体" w:cs="宋体"/>
                <w:color w:val="auto"/>
                <w:kern w:val="0"/>
                <w:szCs w:val="24"/>
                <w:highlight w:val="none"/>
              </w:rPr>
              <w:t>X＜20</w:t>
            </w:r>
          </w:p>
        </w:tc>
      </w:tr>
      <w:tr w14:paraId="2D6F23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91" w:type="dxa"/>
            <w:vMerge w:val="continue"/>
            <w:vAlign w:val="center"/>
          </w:tcPr>
          <w:p w14:paraId="77F09FA5">
            <w:pPr>
              <w:widowControl/>
              <w:spacing w:line="360" w:lineRule="exact"/>
              <w:jc w:val="center"/>
              <w:rPr>
                <w:rFonts w:ascii="宋体" w:hAnsi="宋体" w:cs="宋体"/>
                <w:color w:val="auto"/>
                <w:kern w:val="0"/>
                <w:szCs w:val="24"/>
                <w:highlight w:val="none"/>
              </w:rPr>
            </w:pPr>
          </w:p>
        </w:tc>
        <w:tc>
          <w:tcPr>
            <w:tcW w:w="1276" w:type="dxa"/>
            <w:vAlign w:val="center"/>
          </w:tcPr>
          <w:p w14:paraId="1406E416">
            <w:pPr>
              <w:widowControl/>
              <w:spacing w:line="360" w:lineRule="exact"/>
              <w:jc w:val="both"/>
              <w:rPr>
                <w:rFonts w:ascii="宋体" w:hAnsi="宋体" w:cs="宋体"/>
                <w:color w:val="auto"/>
                <w:kern w:val="0"/>
                <w:szCs w:val="24"/>
                <w:highlight w:val="none"/>
              </w:rPr>
            </w:pPr>
            <w:r>
              <w:rPr>
                <w:rFonts w:hint="eastAsia" w:ascii="宋体" w:hAnsi="宋体" w:cs="宋体"/>
                <w:color w:val="auto"/>
                <w:kern w:val="0"/>
                <w:szCs w:val="24"/>
                <w:highlight w:val="none"/>
              </w:rPr>
              <w:t>营业收入(Y)</w:t>
            </w:r>
          </w:p>
        </w:tc>
        <w:tc>
          <w:tcPr>
            <w:tcW w:w="709" w:type="dxa"/>
            <w:vAlign w:val="center"/>
          </w:tcPr>
          <w:p w14:paraId="6C8488AE">
            <w:pPr>
              <w:widowControl/>
              <w:spacing w:line="360" w:lineRule="exact"/>
              <w:jc w:val="center"/>
              <w:rPr>
                <w:rFonts w:ascii="宋体" w:hAnsi="宋体" w:cs="宋体"/>
                <w:color w:val="auto"/>
                <w:kern w:val="0"/>
                <w:szCs w:val="24"/>
                <w:highlight w:val="none"/>
              </w:rPr>
            </w:pPr>
            <w:r>
              <w:rPr>
                <w:rFonts w:hint="eastAsia" w:ascii="宋体" w:hAnsi="宋体" w:cs="宋体"/>
                <w:color w:val="auto"/>
                <w:kern w:val="0"/>
                <w:szCs w:val="24"/>
                <w:highlight w:val="none"/>
              </w:rPr>
              <w:t>万元</w:t>
            </w:r>
          </w:p>
        </w:tc>
        <w:tc>
          <w:tcPr>
            <w:tcW w:w="1276" w:type="dxa"/>
            <w:vAlign w:val="center"/>
          </w:tcPr>
          <w:p w14:paraId="3F7FE6D4">
            <w:pPr>
              <w:widowControl/>
              <w:spacing w:line="360" w:lineRule="exact"/>
              <w:rPr>
                <w:rFonts w:ascii="宋体" w:hAnsi="宋体" w:cs="宋体"/>
                <w:color w:val="auto"/>
                <w:kern w:val="0"/>
                <w:szCs w:val="24"/>
                <w:highlight w:val="none"/>
              </w:rPr>
            </w:pPr>
            <w:r>
              <w:rPr>
                <w:rFonts w:hint="eastAsia" w:ascii="宋体" w:hAnsi="宋体" w:cs="宋体"/>
                <w:color w:val="auto"/>
                <w:kern w:val="0"/>
                <w:szCs w:val="24"/>
                <w:highlight w:val="none"/>
              </w:rPr>
              <w:t>Y≥30000</w:t>
            </w:r>
          </w:p>
        </w:tc>
        <w:tc>
          <w:tcPr>
            <w:tcW w:w="1701" w:type="dxa"/>
            <w:vAlign w:val="center"/>
          </w:tcPr>
          <w:p w14:paraId="75BEBC3A">
            <w:pPr>
              <w:widowControl/>
              <w:spacing w:line="360" w:lineRule="exact"/>
              <w:rPr>
                <w:rFonts w:ascii="宋体" w:hAnsi="宋体" w:cs="宋体"/>
                <w:color w:val="auto"/>
                <w:kern w:val="0"/>
                <w:szCs w:val="24"/>
                <w:highlight w:val="none"/>
              </w:rPr>
            </w:pPr>
            <w:r>
              <w:rPr>
                <w:rFonts w:hint="eastAsia" w:ascii="宋体" w:hAnsi="宋体" w:cs="宋体"/>
                <w:color w:val="auto"/>
                <w:kern w:val="0"/>
                <w:szCs w:val="24"/>
                <w:highlight w:val="none"/>
              </w:rPr>
              <w:t>2000≤Y＜30000</w:t>
            </w:r>
          </w:p>
        </w:tc>
        <w:tc>
          <w:tcPr>
            <w:tcW w:w="1559" w:type="dxa"/>
            <w:vAlign w:val="center"/>
          </w:tcPr>
          <w:p w14:paraId="62DBB3DC">
            <w:pPr>
              <w:widowControl/>
              <w:spacing w:line="360" w:lineRule="exact"/>
              <w:rPr>
                <w:rFonts w:ascii="宋体" w:hAnsi="宋体" w:cs="宋体"/>
                <w:color w:val="auto"/>
                <w:kern w:val="0"/>
                <w:szCs w:val="24"/>
                <w:highlight w:val="none"/>
              </w:rPr>
            </w:pPr>
            <w:r>
              <w:rPr>
                <w:rFonts w:hint="eastAsia" w:ascii="宋体" w:hAnsi="宋体" w:cs="宋体"/>
                <w:color w:val="auto"/>
                <w:kern w:val="0"/>
                <w:szCs w:val="24"/>
                <w:highlight w:val="none"/>
              </w:rPr>
              <w:t>100≤Y＜2000</w:t>
            </w:r>
          </w:p>
        </w:tc>
        <w:tc>
          <w:tcPr>
            <w:tcW w:w="1276" w:type="dxa"/>
            <w:vAlign w:val="center"/>
          </w:tcPr>
          <w:p w14:paraId="77A9DC15">
            <w:pPr>
              <w:widowControl/>
              <w:spacing w:line="360" w:lineRule="exact"/>
              <w:rPr>
                <w:rFonts w:ascii="宋体" w:hAnsi="宋体" w:cs="宋体"/>
                <w:color w:val="auto"/>
                <w:kern w:val="0"/>
                <w:szCs w:val="24"/>
                <w:highlight w:val="none"/>
              </w:rPr>
            </w:pPr>
            <w:r>
              <w:rPr>
                <w:rFonts w:hint="eastAsia" w:ascii="宋体" w:hAnsi="宋体" w:cs="宋体"/>
                <w:color w:val="auto"/>
                <w:kern w:val="0"/>
                <w:szCs w:val="24"/>
                <w:highlight w:val="none"/>
              </w:rPr>
              <w:t>Y＜100</w:t>
            </w:r>
          </w:p>
        </w:tc>
      </w:tr>
      <w:tr w14:paraId="545E5E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91" w:type="dxa"/>
            <w:vMerge w:val="restart"/>
            <w:vAlign w:val="center"/>
          </w:tcPr>
          <w:p w14:paraId="7C836497">
            <w:pPr>
              <w:widowControl/>
              <w:spacing w:line="360" w:lineRule="exact"/>
              <w:jc w:val="center"/>
              <w:rPr>
                <w:rFonts w:ascii="宋体" w:hAnsi="宋体" w:cs="宋体"/>
                <w:color w:val="auto"/>
                <w:kern w:val="0"/>
                <w:szCs w:val="24"/>
                <w:highlight w:val="none"/>
              </w:rPr>
            </w:pPr>
            <w:r>
              <w:rPr>
                <w:rFonts w:hint="eastAsia" w:ascii="宋体" w:hAnsi="宋体" w:cs="宋体"/>
                <w:color w:val="auto"/>
                <w:kern w:val="0"/>
                <w:szCs w:val="24"/>
                <w:highlight w:val="none"/>
              </w:rPr>
              <w:t>住宿业</w:t>
            </w:r>
          </w:p>
        </w:tc>
        <w:tc>
          <w:tcPr>
            <w:tcW w:w="1276" w:type="dxa"/>
            <w:vAlign w:val="center"/>
          </w:tcPr>
          <w:p w14:paraId="00383CCE">
            <w:pPr>
              <w:widowControl/>
              <w:spacing w:line="360" w:lineRule="exact"/>
              <w:jc w:val="both"/>
              <w:rPr>
                <w:rFonts w:ascii="宋体" w:hAnsi="宋体" w:cs="宋体"/>
                <w:color w:val="auto"/>
                <w:kern w:val="0"/>
                <w:szCs w:val="24"/>
                <w:highlight w:val="none"/>
              </w:rPr>
            </w:pPr>
            <w:r>
              <w:rPr>
                <w:rFonts w:hint="eastAsia" w:ascii="宋体" w:hAnsi="宋体" w:cs="宋体"/>
                <w:color w:val="auto"/>
                <w:kern w:val="0"/>
                <w:szCs w:val="24"/>
                <w:highlight w:val="none"/>
              </w:rPr>
              <w:t>从业人员(X)</w:t>
            </w:r>
          </w:p>
        </w:tc>
        <w:tc>
          <w:tcPr>
            <w:tcW w:w="709" w:type="dxa"/>
            <w:vAlign w:val="center"/>
          </w:tcPr>
          <w:p w14:paraId="4E553D67">
            <w:pPr>
              <w:widowControl/>
              <w:spacing w:line="360" w:lineRule="exact"/>
              <w:jc w:val="center"/>
              <w:rPr>
                <w:rFonts w:ascii="宋体" w:hAnsi="宋体" w:cs="宋体"/>
                <w:color w:val="auto"/>
                <w:kern w:val="0"/>
                <w:szCs w:val="24"/>
                <w:highlight w:val="none"/>
              </w:rPr>
            </w:pPr>
            <w:r>
              <w:rPr>
                <w:rFonts w:hint="eastAsia" w:ascii="宋体" w:hAnsi="宋体" w:cs="宋体"/>
                <w:color w:val="auto"/>
                <w:kern w:val="0"/>
                <w:szCs w:val="24"/>
                <w:highlight w:val="none"/>
              </w:rPr>
              <w:t>人</w:t>
            </w:r>
          </w:p>
        </w:tc>
        <w:tc>
          <w:tcPr>
            <w:tcW w:w="1276" w:type="dxa"/>
            <w:vAlign w:val="center"/>
          </w:tcPr>
          <w:p w14:paraId="44321B25">
            <w:pPr>
              <w:widowControl/>
              <w:spacing w:line="360" w:lineRule="exact"/>
              <w:rPr>
                <w:rFonts w:ascii="宋体" w:hAnsi="宋体" w:cs="宋体"/>
                <w:color w:val="auto"/>
                <w:kern w:val="0"/>
                <w:szCs w:val="24"/>
                <w:highlight w:val="none"/>
              </w:rPr>
            </w:pPr>
            <w:r>
              <w:rPr>
                <w:rFonts w:hint="eastAsia" w:ascii="宋体" w:hAnsi="宋体" w:cs="宋体"/>
                <w:color w:val="auto"/>
                <w:kern w:val="0"/>
                <w:szCs w:val="24"/>
                <w:highlight w:val="none"/>
              </w:rPr>
              <w:t>X≥300</w:t>
            </w:r>
          </w:p>
        </w:tc>
        <w:tc>
          <w:tcPr>
            <w:tcW w:w="1701" w:type="dxa"/>
            <w:vAlign w:val="center"/>
          </w:tcPr>
          <w:p w14:paraId="10A015B9">
            <w:pPr>
              <w:widowControl/>
              <w:spacing w:line="360" w:lineRule="exact"/>
              <w:ind w:left="-122" w:leftChars="-51"/>
              <w:rPr>
                <w:rFonts w:ascii="宋体" w:hAnsi="宋体" w:cs="宋体"/>
                <w:color w:val="auto"/>
                <w:kern w:val="0"/>
                <w:szCs w:val="24"/>
                <w:highlight w:val="none"/>
              </w:rPr>
            </w:pPr>
            <w:r>
              <w:rPr>
                <w:rFonts w:hint="eastAsia" w:ascii="宋体" w:hAnsi="宋体" w:cs="宋体"/>
                <w:color w:val="auto"/>
                <w:kern w:val="0"/>
                <w:szCs w:val="24"/>
                <w:highlight w:val="none"/>
              </w:rPr>
              <w:t>100≤X＜300</w:t>
            </w:r>
          </w:p>
        </w:tc>
        <w:tc>
          <w:tcPr>
            <w:tcW w:w="1559" w:type="dxa"/>
            <w:vAlign w:val="center"/>
          </w:tcPr>
          <w:p w14:paraId="6D2E571B">
            <w:pPr>
              <w:widowControl/>
              <w:spacing w:line="360" w:lineRule="exact"/>
              <w:rPr>
                <w:rFonts w:ascii="宋体" w:hAnsi="宋体" w:cs="宋体"/>
                <w:color w:val="auto"/>
                <w:kern w:val="0"/>
                <w:szCs w:val="24"/>
                <w:highlight w:val="none"/>
              </w:rPr>
            </w:pPr>
            <w:r>
              <w:rPr>
                <w:rFonts w:hint="eastAsia" w:ascii="宋体" w:hAnsi="宋体" w:cs="宋体"/>
                <w:color w:val="auto"/>
                <w:kern w:val="0"/>
                <w:szCs w:val="24"/>
                <w:highlight w:val="none"/>
              </w:rPr>
              <w:t>10≤X＜100</w:t>
            </w:r>
          </w:p>
        </w:tc>
        <w:tc>
          <w:tcPr>
            <w:tcW w:w="1276" w:type="dxa"/>
            <w:vAlign w:val="center"/>
          </w:tcPr>
          <w:p w14:paraId="7DC886C4">
            <w:pPr>
              <w:widowControl/>
              <w:spacing w:line="360" w:lineRule="exact"/>
              <w:rPr>
                <w:rFonts w:ascii="宋体" w:hAnsi="宋体" w:cs="宋体"/>
                <w:color w:val="auto"/>
                <w:kern w:val="0"/>
                <w:szCs w:val="24"/>
                <w:highlight w:val="none"/>
              </w:rPr>
            </w:pPr>
            <w:r>
              <w:rPr>
                <w:rFonts w:hint="eastAsia" w:ascii="宋体" w:hAnsi="宋体" w:cs="宋体"/>
                <w:color w:val="auto"/>
                <w:kern w:val="0"/>
                <w:szCs w:val="24"/>
                <w:highlight w:val="none"/>
              </w:rPr>
              <w:t>X＜10</w:t>
            </w:r>
          </w:p>
        </w:tc>
      </w:tr>
      <w:tr w14:paraId="4DD39C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91" w:type="dxa"/>
            <w:vMerge w:val="continue"/>
            <w:vAlign w:val="center"/>
          </w:tcPr>
          <w:p w14:paraId="064AFC1B">
            <w:pPr>
              <w:widowControl/>
              <w:spacing w:line="360" w:lineRule="exact"/>
              <w:jc w:val="center"/>
              <w:rPr>
                <w:rFonts w:ascii="宋体" w:hAnsi="宋体" w:cs="宋体"/>
                <w:color w:val="auto"/>
                <w:kern w:val="0"/>
                <w:szCs w:val="24"/>
                <w:highlight w:val="none"/>
              </w:rPr>
            </w:pPr>
          </w:p>
        </w:tc>
        <w:tc>
          <w:tcPr>
            <w:tcW w:w="1276" w:type="dxa"/>
            <w:vAlign w:val="center"/>
          </w:tcPr>
          <w:p w14:paraId="1829E120">
            <w:pPr>
              <w:widowControl/>
              <w:spacing w:line="360" w:lineRule="exact"/>
              <w:jc w:val="both"/>
              <w:rPr>
                <w:rFonts w:ascii="宋体" w:hAnsi="宋体" w:cs="宋体"/>
                <w:color w:val="auto"/>
                <w:kern w:val="0"/>
                <w:szCs w:val="24"/>
                <w:highlight w:val="none"/>
              </w:rPr>
            </w:pPr>
            <w:r>
              <w:rPr>
                <w:rFonts w:hint="eastAsia" w:ascii="宋体" w:hAnsi="宋体" w:cs="宋体"/>
                <w:color w:val="auto"/>
                <w:kern w:val="0"/>
                <w:szCs w:val="24"/>
                <w:highlight w:val="none"/>
              </w:rPr>
              <w:t>营业收入(Y)</w:t>
            </w:r>
          </w:p>
        </w:tc>
        <w:tc>
          <w:tcPr>
            <w:tcW w:w="709" w:type="dxa"/>
            <w:vAlign w:val="center"/>
          </w:tcPr>
          <w:p w14:paraId="7CA08C23">
            <w:pPr>
              <w:widowControl/>
              <w:spacing w:line="360" w:lineRule="exact"/>
              <w:jc w:val="center"/>
              <w:rPr>
                <w:rFonts w:ascii="宋体" w:hAnsi="宋体" w:cs="宋体"/>
                <w:color w:val="auto"/>
                <w:kern w:val="0"/>
                <w:szCs w:val="24"/>
                <w:highlight w:val="none"/>
              </w:rPr>
            </w:pPr>
            <w:r>
              <w:rPr>
                <w:rFonts w:hint="eastAsia" w:ascii="宋体" w:hAnsi="宋体" w:cs="宋体"/>
                <w:color w:val="auto"/>
                <w:kern w:val="0"/>
                <w:szCs w:val="24"/>
                <w:highlight w:val="none"/>
              </w:rPr>
              <w:t>万元</w:t>
            </w:r>
          </w:p>
        </w:tc>
        <w:tc>
          <w:tcPr>
            <w:tcW w:w="1276" w:type="dxa"/>
            <w:vAlign w:val="center"/>
          </w:tcPr>
          <w:p w14:paraId="04CEA298">
            <w:pPr>
              <w:widowControl/>
              <w:spacing w:line="360" w:lineRule="exact"/>
              <w:rPr>
                <w:rFonts w:ascii="宋体" w:hAnsi="宋体" w:cs="宋体"/>
                <w:color w:val="auto"/>
                <w:kern w:val="0"/>
                <w:szCs w:val="24"/>
                <w:highlight w:val="none"/>
              </w:rPr>
            </w:pPr>
            <w:r>
              <w:rPr>
                <w:rFonts w:hint="eastAsia" w:ascii="宋体" w:hAnsi="宋体" w:cs="宋体"/>
                <w:color w:val="auto"/>
                <w:kern w:val="0"/>
                <w:szCs w:val="24"/>
                <w:highlight w:val="none"/>
              </w:rPr>
              <w:t>Y≥10000</w:t>
            </w:r>
          </w:p>
        </w:tc>
        <w:tc>
          <w:tcPr>
            <w:tcW w:w="1701" w:type="dxa"/>
            <w:vAlign w:val="center"/>
          </w:tcPr>
          <w:p w14:paraId="6CF09780">
            <w:pPr>
              <w:widowControl/>
              <w:spacing w:line="360" w:lineRule="exact"/>
              <w:rPr>
                <w:rFonts w:ascii="宋体" w:hAnsi="宋体" w:cs="宋体"/>
                <w:color w:val="auto"/>
                <w:kern w:val="0"/>
                <w:szCs w:val="24"/>
                <w:highlight w:val="none"/>
              </w:rPr>
            </w:pPr>
            <w:r>
              <w:rPr>
                <w:rFonts w:hint="eastAsia" w:ascii="宋体" w:hAnsi="宋体" w:cs="宋体"/>
                <w:color w:val="auto"/>
                <w:kern w:val="0"/>
                <w:szCs w:val="24"/>
                <w:highlight w:val="none"/>
              </w:rPr>
              <w:t>2000≤Y＜10000</w:t>
            </w:r>
          </w:p>
        </w:tc>
        <w:tc>
          <w:tcPr>
            <w:tcW w:w="1559" w:type="dxa"/>
            <w:vAlign w:val="center"/>
          </w:tcPr>
          <w:p w14:paraId="565C95F9">
            <w:pPr>
              <w:widowControl/>
              <w:spacing w:line="360" w:lineRule="exact"/>
              <w:rPr>
                <w:rFonts w:ascii="宋体" w:hAnsi="宋体" w:cs="宋体"/>
                <w:color w:val="auto"/>
                <w:kern w:val="0"/>
                <w:szCs w:val="24"/>
                <w:highlight w:val="none"/>
              </w:rPr>
            </w:pPr>
            <w:r>
              <w:rPr>
                <w:rFonts w:hint="eastAsia" w:ascii="宋体" w:hAnsi="宋体" w:cs="宋体"/>
                <w:color w:val="auto"/>
                <w:kern w:val="0"/>
                <w:szCs w:val="24"/>
                <w:highlight w:val="none"/>
              </w:rPr>
              <w:t>100≤Y＜2000</w:t>
            </w:r>
          </w:p>
        </w:tc>
        <w:tc>
          <w:tcPr>
            <w:tcW w:w="1276" w:type="dxa"/>
            <w:vAlign w:val="center"/>
          </w:tcPr>
          <w:p w14:paraId="567ACD8C">
            <w:pPr>
              <w:widowControl/>
              <w:spacing w:line="360" w:lineRule="exact"/>
              <w:rPr>
                <w:rFonts w:ascii="宋体" w:hAnsi="宋体" w:cs="宋体"/>
                <w:color w:val="auto"/>
                <w:kern w:val="0"/>
                <w:szCs w:val="24"/>
                <w:highlight w:val="none"/>
              </w:rPr>
            </w:pPr>
            <w:r>
              <w:rPr>
                <w:rFonts w:hint="eastAsia" w:ascii="宋体" w:hAnsi="宋体" w:cs="宋体"/>
                <w:color w:val="auto"/>
                <w:kern w:val="0"/>
                <w:szCs w:val="24"/>
                <w:highlight w:val="none"/>
              </w:rPr>
              <w:t>Y＜100</w:t>
            </w:r>
          </w:p>
        </w:tc>
      </w:tr>
      <w:tr w14:paraId="67D1E5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91" w:type="dxa"/>
            <w:vMerge w:val="restart"/>
            <w:vAlign w:val="center"/>
          </w:tcPr>
          <w:p w14:paraId="3BB23D6D">
            <w:pPr>
              <w:widowControl/>
              <w:spacing w:line="360" w:lineRule="exact"/>
              <w:jc w:val="center"/>
              <w:rPr>
                <w:rFonts w:ascii="宋体" w:hAnsi="宋体" w:cs="宋体"/>
                <w:color w:val="auto"/>
                <w:kern w:val="0"/>
                <w:szCs w:val="24"/>
                <w:highlight w:val="none"/>
              </w:rPr>
            </w:pPr>
            <w:r>
              <w:rPr>
                <w:rFonts w:hint="eastAsia" w:ascii="宋体" w:hAnsi="宋体" w:cs="宋体"/>
                <w:color w:val="auto"/>
                <w:kern w:val="0"/>
                <w:szCs w:val="24"/>
                <w:highlight w:val="none"/>
              </w:rPr>
              <w:t>餐饮业</w:t>
            </w:r>
          </w:p>
        </w:tc>
        <w:tc>
          <w:tcPr>
            <w:tcW w:w="1276" w:type="dxa"/>
            <w:vAlign w:val="center"/>
          </w:tcPr>
          <w:p w14:paraId="3DF3B439">
            <w:pPr>
              <w:widowControl/>
              <w:spacing w:line="360" w:lineRule="exact"/>
              <w:jc w:val="both"/>
              <w:rPr>
                <w:rFonts w:ascii="宋体" w:hAnsi="宋体" w:cs="宋体"/>
                <w:color w:val="auto"/>
                <w:kern w:val="0"/>
                <w:szCs w:val="24"/>
                <w:highlight w:val="none"/>
              </w:rPr>
            </w:pPr>
            <w:r>
              <w:rPr>
                <w:rFonts w:hint="eastAsia" w:ascii="宋体" w:hAnsi="宋体" w:cs="宋体"/>
                <w:color w:val="auto"/>
                <w:kern w:val="0"/>
                <w:szCs w:val="24"/>
                <w:highlight w:val="none"/>
              </w:rPr>
              <w:t>从业人员(X)</w:t>
            </w:r>
          </w:p>
        </w:tc>
        <w:tc>
          <w:tcPr>
            <w:tcW w:w="709" w:type="dxa"/>
            <w:vAlign w:val="center"/>
          </w:tcPr>
          <w:p w14:paraId="400ECD41">
            <w:pPr>
              <w:widowControl/>
              <w:spacing w:line="360" w:lineRule="exact"/>
              <w:jc w:val="center"/>
              <w:rPr>
                <w:rFonts w:ascii="宋体" w:hAnsi="宋体" w:cs="宋体"/>
                <w:color w:val="auto"/>
                <w:kern w:val="0"/>
                <w:szCs w:val="24"/>
                <w:highlight w:val="none"/>
              </w:rPr>
            </w:pPr>
            <w:r>
              <w:rPr>
                <w:rFonts w:hint="eastAsia" w:ascii="宋体" w:hAnsi="宋体" w:cs="宋体"/>
                <w:color w:val="auto"/>
                <w:kern w:val="0"/>
                <w:szCs w:val="24"/>
                <w:highlight w:val="none"/>
              </w:rPr>
              <w:t>人</w:t>
            </w:r>
          </w:p>
        </w:tc>
        <w:tc>
          <w:tcPr>
            <w:tcW w:w="1276" w:type="dxa"/>
            <w:vAlign w:val="center"/>
          </w:tcPr>
          <w:p w14:paraId="2A9238A3">
            <w:pPr>
              <w:widowControl/>
              <w:spacing w:line="360" w:lineRule="exact"/>
              <w:rPr>
                <w:rFonts w:ascii="宋体" w:hAnsi="宋体" w:cs="宋体"/>
                <w:color w:val="auto"/>
                <w:kern w:val="0"/>
                <w:szCs w:val="24"/>
                <w:highlight w:val="none"/>
              </w:rPr>
            </w:pPr>
            <w:r>
              <w:rPr>
                <w:rFonts w:hint="eastAsia" w:ascii="宋体" w:hAnsi="宋体" w:cs="宋体"/>
                <w:color w:val="auto"/>
                <w:kern w:val="0"/>
                <w:szCs w:val="24"/>
                <w:highlight w:val="none"/>
              </w:rPr>
              <w:t>X≥300</w:t>
            </w:r>
          </w:p>
        </w:tc>
        <w:tc>
          <w:tcPr>
            <w:tcW w:w="1701" w:type="dxa"/>
            <w:vAlign w:val="center"/>
          </w:tcPr>
          <w:p w14:paraId="3169F14B">
            <w:pPr>
              <w:widowControl/>
              <w:spacing w:line="360" w:lineRule="exact"/>
              <w:ind w:left="-122" w:leftChars="-51"/>
              <w:rPr>
                <w:rFonts w:ascii="宋体" w:hAnsi="宋体" w:cs="宋体"/>
                <w:color w:val="auto"/>
                <w:kern w:val="0"/>
                <w:szCs w:val="24"/>
                <w:highlight w:val="none"/>
              </w:rPr>
            </w:pPr>
            <w:r>
              <w:rPr>
                <w:rFonts w:hint="eastAsia" w:ascii="宋体" w:hAnsi="宋体" w:cs="宋体"/>
                <w:color w:val="auto"/>
                <w:kern w:val="0"/>
                <w:szCs w:val="24"/>
                <w:highlight w:val="none"/>
              </w:rPr>
              <w:t>100≤X＜300</w:t>
            </w:r>
          </w:p>
        </w:tc>
        <w:tc>
          <w:tcPr>
            <w:tcW w:w="1559" w:type="dxa"/>
            <w:vAlign w:val="center"/>
          </w:tcPr>
          <w:p w14:paraId="550E526F">
            <w:pPr>
              <w:widowControl/>
              <w:spacing w:line="360" w:lineRule="exact"/>
              <w:rPr>
                <w:rFonts w:ascii="宋体" w:hAnsi="宋体" w:cs="宋体"/>
                <w:color w:val="auto"/>
                <w:kern w:val="0"/>
                <w:szCs w:val="24"/>
                <w:highlight w:val="none"/>
              </w:rPr>
            </w:pPr>
            <w:r>
              <w:rPr>
                <w:rFonts w:hint="eastAsia" w:ascii="宋体" w:hAnsi="宋体" w:cs="宋体"/>
                <w:color w:val="auto"/>
                <w:kern w:val="0"/>
                <w:szCs w:val="24"/>
                <w:highlight w:val="none"/>
              </w:rPr>
              <w:t>10≤X＜100</w:t>
            </w:r>
          </w:p>
        </w:tc>
        <w:tc>
          <w:tcPr>
            <w:tcW w:w="1276" w:type="dxa"/>
            <w:vAlign w:val="center"/>
          </w:tcPr>
          <w:p w14:paraId="64BA9DD0">
            <w:pPr>
              <w:widowControl/>
              <w:spacing w:line="360" w:lineRule="exact"/>
              <w:rPr>
                <w:rFonts w:ascii="宋体" w:hAnsi="宋体" w:cs="宋体"/>
                <w:color w:val="auto"/>
                <w:kern w:val="0"/>
                <w:szCs w:val="24"/>
                <w:highlight w:val="none"/>
              </w:rPr>
            </w:pPr>
            <w:r>
              <w:rPr>
                <w:rFonts w:hint="eastAsia" w:ascii="宋体" w:hAnsi="宋体" w:cs="宋体"/>
                <w:color w:val="auto"/>
                <w:kern w:val="0"/>
                <w:szCs w:val="24"/>
                <w:highlight w:val="none"/>
              </w:rPr>
              <w:t>X＜10</w:t>
            </w:r>
          </w:p>
        </w:tc>
      </w:tr>
      <w:tr w14:paraId="3BF928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91" w:type="dxa"/>
            <w:vMerge w:val="continue"/>
            <w:vAlign w:val="center"/>
          </w:tcPr>
          <w:p w14:paraId="7D6590FC">
            <w:pPr>
              <w:widowControl/>
              <w:spacing w:line="360" w:lineRule="exact"/>
              <w:jc w:val="center"/>
              <w:rPr>
                <w:rFonts w:ascii="宋体" w:hAnsi="宋体" w:cs="宋体"/>
                <w:color w:val="auto"/>
                <w:kern w:val="0"/>
                <w:szCs w:val="24"/>
                <w:highlight w:val="none"/>
              </w:rPr>
            </w:pPr>
          </w:p>
        </w:tc>
        <w:tc>
          <w:tcPr>
            <w:tcW w:w="1276" w:type="dxa"/>
            <w:vAlign w:val="center"/>
          </w:tcPr>
          <w:p w14:paraId="31EB85AD">
            <w:pPr>
              <w:widowControl/>
              <w:spacing w:line="360" w:lineRule="exact"/>
              <w:jc w:val="both"/>
              <w:rPr>
                <w:rFonts w:ascii="宋体" w:hAnsi="宋体" w:cs="宋体"/>
                <w:color w:val="auto"/>
                <w:kern w:val="0"/>
                <w:szCs w:val="24"/>
                <w:highlight w:val="none"/>
              </w:rPr>
            </w:pPr>
            <w:r>
              <w:rPr>
                <w:rFonts w:hint="eastAsia" w:ascii="宋体" w:hAnsi="宋体" w:cs="宋体"/>
                <w:color w:val="auto"/>
                <w:kern w:val="0"/>
                <w:szCs w:val="24"/>
                <w:highlight w:val="none"/>
              </w:rPr>
              <w:t>营业收入(Y)</w:t>
            </w:r>
          </w:p>
        </w:tc>
        <w:tc>
          <w:tcPr>
            <w:tcW w:w="709" w:type="dxa"/>
            <w:vAlign w:val="center"/>
          </w:tcPr>
          <w:p w14:paraId="36324431">
            <w:pPr>
              <w:widowControl/>
              <w:spacing w:line="360" w:lineRule="exact"/>
              <w:jc w:val="center"/>
              <w:rPr>
                <w:rFonts w:ascii="宋体" w:hAnsi="宋体" w:cs="宋体"/>
                <w:color w:val="auto"/>
                <w:kern w:val="0"/>
                <w:szCs w:val="24"/>
                <w:highlight w:val="none"/>
              </w:rPr>
            </w:pPr>
            <w:r>
              <w:rPr>
                <w:rFonts w:hint="eastAsia" w:ascii="宋体" w:hAnsi="宋体" w:cs="宋体"/>
                <w:color w:val="auto"/>
                <w:kern w:val="0"/>
                <w:szCs w:val="24"/>
                <w:highlight w:val="none"/>
              </w:rPr>
              <w:t>万元</w:t>
            </w:r>
          </w:p>
        </w:tc>
        <w:tc>
          <w:tcPr>
            <w:tcW w:w="1276" w:type="dxa"/>
            <w:vAlign w:val="center"/>
          </w:tcPr>
          <w:p w14:paraId="55D2788F">
            <w:pPr>
              <w:widowControl/>
              <w:spacing w:line="360" w:lineRule="exact"/>
              <w:rPr>
                <w:rFonts w:ascii="宋体" w:hAnsi="宋体" w:cs="宋体"/>
                <w:color w:val="auto"/>
                <w:kern w:val="0"/>
                <w:szCs w:val="24"/>
                <w:highlight w:val="none"/>
              </w:rPr>
            </w:pPr>
            <w:r>
              <w:rPr>
                <w:rFonts w:hint="eastAsia" w:ascii="宋体" w:hAnsi="宋体" w:cs="宋体"/>
                <w:color w:val="auto"/>
                <w:kern w:val="0"/>
                <w:szCs w:val="24"/>
                <w:highlight w:val="none"/>
              </w:rPr>
              <w:t>Y≥10000</w:t>
            </w:r>
          </w:p>
        </w:tc>
        <w:tc>
          <w:tcPr>
            <w:tcW w:w="1701" w:type="dxa"/>
            <w:vAlign w:val="center"/>
          </w:tcPr>
          <w:p w14:paraId="0476FCD4">
            <w:pPr>
              <w:widowControl/>
              <w:spacing w:line="360" w:lineRule="exact"/>
              <w:rPr>
                <w:rFonts w:ascii="宋体" w:hAnsi="宋体" w:cs="宋体"/>
                <w:color w:val="auto"/>
                <w:kern w:val="0"/>
                <w:szCs w:val="24"/>
                <w:highlight w:val="none"/>
              </w:rPr>
            </w:pPr>
            <w:r>
              <w:rPr>
                <w:rFonts w:hint="eastAsia" w:ascii="宋体" w:hAnsi="宋体" w:cs="宋体"/>
                <w:color w:val="auto"/>
                <w:kern w:val="0"/>
                <w:szCs w:val="24"/>
                <w:highlight w:val="none"/>
              </w:rPr>
              <w:t>2000≤Y＜10000</w:t>
            </w:r>
          </w:p>
        </w:tc>
        <w:tc>
          <w:tcPr>
            <w:tcW w:w="1559" w:type="dxa"/>
            <w:vAlign w:val="center"/>
          </w:tcPr>
          <w:p w14:paraId="22A50881">
            <w:pPr>
              <w:widowControl/>
              <w:spacing w:line="360" w:lineRule="exact"/>
              <w:rPr>
                <w:rFonts w:ascii="宋体" w:hAnsi="宋体" w:cs="宋体"/>
                <w:color w:val="auto"/>
                <w:kern w:val="0"/>
                <w:szCs w:val="24"/>
                <w:highlight w:val="none"/>
              </w:rPr>
            </w:pPr>
            <w:r>
              <w:rPr>
                <w:rFonts w:hint="eastAsia" w:ascii="宋体" w:hAnsi="宋体" w:cs="宋体"/>
                <w:color w:val="auto"/>
                <w:kern w:val="0"/>
                <w:szCs w:val="24"/>
                <w:highlight w:val="none"/>
              </w:rPr>
              <w:t>100≤Y＜2000</w:t>
            </w:r>
          </w:p>
        </w:tc>
        <w:tc>
          <w:tcPr>
            <w:tcW w:w="1276" w:type="dxa"/>
            <w:vAlign w:val="center"/>
          </w:tcPr>
          <w:p w14:paraId="7587CE40">
            <w:pPr>
              <w:widowControl/>
              <w:spacing w:line="360" w:lineRule="exact"/>
              <w:rPr>
                <w:rFonts w:ascii="宋体" w:hAnsi="宋体" w:cs="宋体"/>
                <w:color w:val="auto"/>
                <w:kern w:val="0"/>
                <w:szCs w:val="24"/>
                <w:highlight w:val="none"/>
              </w:rPr>
            </w:pPr>
            <w:r>
              <w:rPr>
                <w:rFonts w:hint="eastAsia" w:ascii="宋体" w:hAnsi="宋体" w:cs="宋体"/>
                <w:color w:val="auto"/>
                <w:kern w:val="0"/>
                <w:szCs w:val="24"/>
                <w:highlight w:val="none"/>
              </w:rPr>
              <w:t>Y＜100</w:t>
            </w:r>
          </w:p>
        </w:tc>
      </w:tr>
      <w:tr w14:paraId="68C625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91" w:type="dxa"/>
            <w:vMerge w:val="restart"/>
            <w:vAlign w:val="center"/>
          </w:tcPr>
          <w:p w14:paraId="746C2CD0">
            <w:pPr>
              <w:widowControl/>
              <w:spacing w:line="360" w:lineRule="exact"/>
              <w:jc w:val="center"/>
              <w:rPr>
                <w:rFonts w:ascii="宋体" w:hAnsi="宋体" w:cs="宋体"/>
                <w:color w:val="auto"/>
                <w:kern w:val="0"/>
                <w:szCs w:val="24"/>
                <w:highlight w:val="none"/>
              </w:rPr>
            </w:pPr>
            <w:r>
              <w:rPr>
                <w:rFonts w:hint="eastAsia" w:ascii="宋体" w:hAnsi="宋体" w:cs="宋体"/>
                <w:color w:val="auto"/>
                <w:kern w:val="0"/>
                <w:szCs w:val="24"/>
                <w:highlight w:val="none"/>
              </w:rPr>
              <w:t>信息传输业</w:t>
            </w:r>
          </w:p>
        </w:tc>
        <w:tc>
          <w:tcPr>
            <w:tcW w:w="1276" w:type="dxa"/>
            <w:vAlign w:val="center"/>
          </w:tcPr>
          <w:p w14:paraId="70349BF2">
            <w:pPr>
              <w:widowControl/>
              <w:spacing w:line="360" w:lineRule="exact"/>
              <w:jc w:val="both"/>
              <w:rPr>
                <w:rFonts w:ascii="宋体" w:hAnsi="宋体" w:cs="宋体"/>
                <w:color w:val="auto"/>
                <w:kern w:val="0"/>
                <w:szCs w:val="24"/>
                <w:highlight w:val="none"/>
              </w:rPr>
            </w:pPr>
            <w:r>
              <w:rPr>
                <w:rFonts w:hint="eastAsia" w:ascii="宋体" w:hAnsi="宋体" w:cs="宋体"/>
                <w:color w:val="auto"/>
                <w:kern w:val="0"/>
                <w:szCs w:val="24"/>
                <w:highlight w:val="none"/>
              </w:rPr>
              <w:t>从业人员(X)</w:t>
            </w:r>
          </w:p>
        </w:tc>
        <w:tc>
          <w:tcPr>
            <w:tcW w:w="709" w:type="dxa"/>
            <w:vAlign w:val="center"/>
          </w:tcPr>
          <w:p w14:paraId="21BDE61C">
            <w:pPr>
              <w:widowControl/>
              <w:spacing w:line="360" w:lineRule="exact"/>
              <w:jc w:val="center"/>
              <w:rPr>
                <w:rFonts w:ascii="宋体" w:hAnsi="宋体" w:cs="宋体"/>
                <w:color w:val="auto"/>
                <w:kern w:val="0"/>
                <w:szCs w:val="24"/>
                <w:highlight w:val="none"/>
              </w:rPr>
            </w:pPr>
            <w:r>
              <w:rPr>
                <w:rFonts w:hint="eastAsia" w:ascii="宋体" w:hAnsi="宋体" w:cs="宋体"/>
                <w:color w:val="auto"/>
                <w:kern w:val="0"/>
                <w:szCs w:val="24"/>
                <w:highlight w:val="none"/>
              </w:rPr>
              <w:t>人</w:t>
            </w:r>
          </w:p>
        </w:tc>
        <w:tc>
          <w:tcPr>
            <w:tcW w:w="1276" w:type="dxa"/>
            <w:vAlign w:val="center"/>
          </w:tcPr>
          <w:p w14:paraId="67545615">
            <w:pPr>
              <w:widowControl/>
              <w:spacing w:line="360" w:lineRule="exact"/>
              <w:rPr>
                <w:rFonts w:ascii="宋体" w:hAnsi="宋体" w:cs="宋体"/>
                <w:color w:val="auto"/>
                <w:kern w:val="0"/>
                <w:szCs w:val="24"/>
                <w:highlight w:val="none"/>
              </w:rPr>
            </w:pPr>
            <w:r>
              <w:rPr>
                <w:rFonts w:hint="eastAsia" w:ascii="宋体" w:hAnsi="宋体" w:cs="宋体"/>
                <w:color w:val="auto"/>
                <w:kern w:val="0"/>
                <w:szCs w:val="24"/>
                <w:highlight w:val="none"/>
              </w:rPr>
              <w:t>X≥2000</w:t>
            </w:r>
          </w:p>
        </w:tc>
        <w:tc>
          <w:tcPr>
            <w:tcW w:w="1701" w:type="dxa"/>
            <w:vAlign w:val="center"/>
          </w:tcPr>
          <w:p w14:paraId="27817BD5">
            <w:pPr>
              <w:widowControl/>
              <w:spacing w:line="360" w:lineRule="exact"/>
              <w:rPr>
                <w:rFonts w:ascii="宋体" w:hAnsi="宋体" w:cs="宋体"/>
                <w:color w:val="auto"/>
                <w:kern w:val="0"/>
                <w:szCs w:val="24"/>
                <w:highlight w:val="none"/>
              </w:rPr>
            </w:pPr>
            <w:r>
              <w:rPr>
                <w:rFonts w:hint="eastAsia" w:ascii="宋体" w:hAnsi="宋体" w:cs="宋体"/>
                <w:color w:val="auto"/>
                <w:kern w:val="0"/>
                <w:szCs w:val="24"/>
                <w:highlight w:val="none"/>
              </w:rPr>
              <w:t>100≤X＜2000</w:t>
            </w:r>
          </w:p>
        </w:tc>
        <w:tc>
          <w:tcPr>
            <w:tcW w:w="1559" w:type="dxa"/>
            <w:vAlign w:val="center"/>
          </w:tcPr>
          <w:p w14:paraId="59B4582D">
            <w:pPr>
              <w:widowControl/>
              <w:spacing w:line="360" w:lineRule="exact"/>
              <w:rPr>
                <w:rFonts w:ascii="宋体" w:hAnsi="宋体" w:cs="宋体"/>
                <w:color w:val="auto"/>
                <w:kern w:val="0"/>
                <w:szCs w:val="24"/>
                <w:highlight w:val="none"/>
              </w:rPr>
            </w:pPr>
            <w:r>
              <w:rPr>
                <w:rFonts w:hint="eastAsia" w:ascii="宋体" w:hAnsi="宋体" w:cs="宋体"/>
                <w:color w:val="auto"/>
                <w:kern w:val="0"/>
                <w:szCs w:val="24"/>
                <w:highlight w:val="none"/>
              </w:rPr>
              <w:t>10≤X＜100</w:t>
            </w:r>
          </w:p>
        </w:tc>
        <w:tc>
          <w:tcPr>
            <w:tcW w:w="1276" w:type="dxa"/>
            <w:vAlign w:val="center"/>
          </w:tcPr>
          <w:p w14:paraId="6602EF8F">
            <w:pPr>
              <w:widowControl/>
              <w:spacing w:line="360" w:lineRule="exact"/>
              <w:rPr>
                <w:rFonts w:ascii="宋体" w:hAnsi="宋体" w:cs="宋体"/>
                <w:color w:val="auto"/>
                <w:kern w:val="0"/>
                <w:szCs w:val="24"/>
                <w:highlight w:val="none"/>
              </w:rPr>
            </w:pPr>
            <w:r>
              <w:rPr>
                <w:rFonts w:hint="eastAsia" w:ascii="宋体" w:hAnsi="宋体" w:cs="宋体"/>
                <w:color w:val="auto"/>
                <w:kern w:val="0"/>
                <w:szCs w:val="24"/>
                <w:highlight w:val="none"/>
              </w:rPr>
              <w:t>X＜10</w:t>
            </w:r>
          </w:p>
        </w:tc>
      </w:tr>
      <w:tr w14:paraId="32C6E2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91" w:type="dxa"/>
            <w:vMerge w:val="continue"/>
            <w:vAlign w:val="center"/>
          </w:tcPr>
          <w:p w14:paraId="4A419822">
            <w:pPr>
              <w:widowControl/>
              <w:spacing w:line="360" w:lineRule="exact"/>
              <w:jc w:val="center"/>
              <w:rPr>
                <w:rFonts w:ascii="宋体" w:hAnsi="宋体" w:cs="宋体"/>
                <w:color w:val="auto"/>
                <w:kern w:val="0"/>
                <w:szCs w:val="24"/>
                <w:highlight w:val="none"/>
              </w:rPr>
            </w:pPr>
          </w:p>
        </w:tc>
        <w:tc>
          <w:tcPr>
            <w:tcW w:w="1276" w:type="dxa"/>
            <w:vAlign w:val="center"/>
          </w:tcPr>
          <w:p w14:paraId="38512460">
            <w:pPr>
              <w:widowControl/>
              <w:spacing w:line="360" w:lineRule="exact"/>
              <w:jc w:val="both"/>
              <w:rPr>
                <w:rFonts w:ascii="宋体" w:hAnsi="宋体" w:cs="宋体"/>
                <w:color w:val="auto"/>
                <w:kern w:val="0"/>
                <w:szCs w:val="24"/>
                <w:highlight w:val="none"/>
              </w:rPr>
            </w:pPr>
            <w:r>
              <w:rPr>
                <w:rFonts w:hint="eastAsia" w:ascii="宋体" w:hAnsi="宋体" w:cs="宋体"/>
                <w:color w:val="auto"/>
                <w:kern w:val="0"/>
                <w:szCs w:val="24"/>
                <w:highlight w:val="none"/>
              </w:rPr>
              <w:t>营业收入(Y)</w:t>
            </w:r>
          </w:p>
        </w:tc>
        <w:tc>
          <w:tcPr>
            <w:tcW w:w="709" w:type="dxa"/>
            <w:vAlign w:val="center"/>
          </w:tcPr>
          <w:p w14:paraId="041D6D16">
            <w:pPr>
              <w:widowControl/>
              <w:spacing w:line="360" w:lineRule="exact"/>
              <w:jc w:val="center"/>
              <w:rPr>
                <w:rFonts w:ascii="宋体" w:hAnsi="宋体" w:cs="宋体"/>
                <w:color w:val="auto"/>
                <w:kern w:val="0"/>
                <w:szCs w:val="24"/>
                <w:highlight w:val="none"/>
              </w:rPr>
            </w:pPr>
            <w:r>
              <w:rPr>
                <w:rFonts w:hint="eastAsia" w:ascii="宋体" w:hAnsi="宋体" w:cs="宋体"/>
                <w:color w:val="auto"/>
                <w:kern w:val="0"/>
                <w:szCs w:val="24"/>
                <w:highlight w:val="none"/>
              </w:rPr>
              <w:t>万元</w:t>
            </w:r>
          </w:p>
        </w:tc>
        <w:tc>
          <w:tcPr>
            <w:tcW w:w="1276" w:type="dxa"/>
            <w:vAlign w:val="center"/>
          </w:tcPr>
          <w:p w14:paraId="7EF812C3">
            <w:pPr>
              <w:widowControl/>
              <w:spacing w:line="360" w:lineRule="exact"/>
              <w:rPr>
                <w:rFonts w:ascii="宋体" w:hAnsi="宋体" w:cs="宋体"/>
                <w:color w:val="auto"/>
                <w:kern w:val="0"/>
                <w:szCs w:val="24"/>
                <w:highlight w:val="none"/>
              </w:rPr>
            </w:pPr>
            <w:r>
              <w:rPr>
                <w:rFonts w:hint="eastAsia" w:ascii="宋体" w:hAnsi="宋体" w:cs="宋体"/>
                <w:color w:val="auto"/>
                <w:kern w:val="0"/>
                <w:szCs w:val="24"/>
                <w:highlight w:val="none"/>
              </w:rPr>
              <w:t>Y≥100000</w:t>
            </w:r>
          </w:p>
        </w:tc>
        <w:tc>
          <w:tcPr>
            <w:tcW w:w="1701" w:type="dxa"/>
            <w:vAlign w:val="center"/>
          </w:tcPr>
          <w:p w14:paraId="6A1663CC">
            <w:pPr>
              <w:widowControl/>
              <w:spacing w:line="360" w:lineRule="exact"/>
              <w:rPr>
                <w:rFonts w:ascii="宋体" w:hAnsi="宋体" w:cs="宋体"/>
                <w:color w:val="auto"/>
                <w:kern w:val="0"/>
                <w:szCs w:val="24"/>
                <w:highlight w:val="none"/>
              </w:rPr>
            </w:pPr>
            <w:r>
              <w:rPr>
                <w:rFonts w:hint="eastAsia" w:ascii="宋体" w:hAnsi="宋体" w:cs="宋体"/>
                <w:color w:val="auto"/>
                <w:kern w:val="0"/>
                <w:szCs w:val="24"/>
                <w:highlight w:val="none"/>
              </w:rPr>
              <w:t>1000≤Y＜100000</w:t>
            </w:r>
          </w:p>
        </w:tc>
        <w:tc>
          <w:tcPr>
            <w:tcW w:w="1559" w:type="dxa"/>
            <w:vAlign w:val="center"/>
          </w:tcPr>
          <w:p w14:paraId="20990541">
            <w:pPr>
              <w:widowControl/>
              <w:spacing w:line="360" w:lineRule="exact"/>
              <w:rPr>
                <w:rFonts w:ascii="宋体" w:hAnsi="宋体" w:cs="宋体"/>
                <w:color w:val="auto"/>
                <w:kern w:val="0"/>
                <w:szCs w:val="24"/>
                <w:highlight w:val="none"/>
              </w:rPr>
            </w:pPr>
            <w:r>
              <w:rPr>
                <w:rFonts w:hint="eastAsia" w:ascii="宋体" w:hAnsi="宋体" w:cs="宋体"/>
                <w:color w:val="auto"/>
                <w:kern w:val="0"/>
                <w:szCs w:val="24"/>
                <w:highlight w:val="none"/>
              </w:rPr>
              <w:t>100≤Y＜1000</w:t>
            </w:r>
          </w:p>
        </w:tc>
        <w:tc>
          <w:tcPr>
            <w:tcW w:w="1276" w:type="dxa"/>
            <w:vAlign w:val="center"/>
          </w:tcPr>
          <w:p w14:paraId="75618C0D">
            <w:pPr>
              <w:widowControl/>
              <w:spacing w:line="360" w:lineRule="exact"/>
              <w:rPr>
                <w:rFonts w:ascii="宋体" w:hAnsi="宋体" w:cs="宋体"/>
                <w:color w:val="auto"/>
                <w:kern w:val="0"/>
                <w:szCs w:val="24"/>
                <w:highlight w:val="none"/>
              </w:rPr>
            </w:pPr>
            <w:r>
              <w:rPr>
                <w:rFonts w:hint="eastAsia" w:ascii="宋体" w:hAnsi="宋体" w:cs="宋体"/>
                <w:color w:val="auto"/>
                <w:kern w:val="0"/>
                <w:szCs w:val="24"/>
                <w:highlight w:val="none"/>
              </w:rPr>
              <w:t>Y＜100</w:t>
            </w:r>
          </w:p>
        </w:tc>
      </w:tr>
      <w:tr w14:paraId="378818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91" w:type="dxa"/>
            <w:vMerge w:val="restart"/>
            <w:vAlign w:val="center"/>
          </w:tcPr>
          <w:p w14:paraId="038BD63C">
            <w:pPr>
              <w:widowControl/>
              <w:spacing w:line="360" w:lineRule="exact"/>
              <w:jc w:val="center"/>
              <w:rPr>
                <w:rFonts w:ascii="宋体" w:hAnsi="宋体" w:cs="宋体"/>
                <w:color w:val="auto"/>
                <w:kern w:val="0"/>
                <w:szCs w:val="24"/>
                <w:highlight w:val="none"/>
              </w:rPr>
            </w:pPr>
            <w:r>
              <w:rPr>
                <w:rFonts w:hint="eastAsia" w:ascii="宋体" w:hAnsi="宋体" w:cs="宋体"/>
                <w:color w:val="auto"/>
                <w:kern w:val="0"/>
                <w:szCs w:val="24"/>
                <w:highlight w:val="none"/>
              </w:rPr>
              <w:t>软件和信息技术服务业</w:t>
            </w:r>
          </w:p>
        </w:tc>
        <w:tc>
          <w:tcPr>
            <w:tcW w:w="1276" w:type="dxa"/>
            <w:vAlign w:val="center"/>
          </w:tcPr>
          <w:p w14:paraId="07A72A43">
            <w:pPr>
              <w:widowControl/>
              <w:spacing w:line="360" w:lineRule="exact"/>
              <w:jc w:val="both"/>
              <w:rPr>
                <w:rFonts w:ascii="宋体" w:hAnsi="宋体" w:cs="宋体"/>
                <w:color w:val="auto"/>
                <w:kern w:val="0"/>
                <w:szCs w:val="24"/>
                <w:highlight w:val="none"/>
              </w:rPr>
            </w:pPr>
            <w:r>
              <w:rPr>
                <w:rFonts w:hint="eastAsia" w:ascii="宋体" w:hAnsi="宋体" w:cs="宋体"/>
                <w:color w:val="auto"/>
                <w:kern w:val="0"/>
                <w:szCs w:val="24"/>
                <w:highlight w:val="none"/>
              </w:rPr>
              <w:t>从业人员(X)</w:t>
            </w:r>
          </w:p>
        </w:tc>
        <w:tc>
          <w:tcPr>
            <w:tcW w:w="709" w:type="dxa"/>
            <w:vAlign w:val="center"/>
          </w:tcPr>
          <w:p w14:paraId="0FE95490">
            <w:pPr>
              <w:widowControl/>
              <w:spacing w:line="360" w:lineRule="exact"/>
              <w:jc w:val="center"/>
              <w:rPr>
                <w:rFonts w:ascii="宋体" w:hAnsi="宋体" w:cs="宋体"/>
                <w:color w:val="auto"/>
                <w:kern w:val="0"/>
                <w:szCs w:val="24"/>
                <w:highlight w:val="none"/>
              </w:rPr>
            </w:pPr>
            <w:r>
              <w:rPr>
                <w:rFonts w:hint="eastAsia" w:ascii="宋体" w:hAnsi="宋体" w:cs="宋体"/>
                <w:color w:val="auto"/>
                <w:kern w:val="0"/>
                <w:szCs w:val="24"/>
                <w:highlight w:val="none"/>
              </w:rPr>
              <w:t>人</w:t>
            </w:r>
          </w:p>
        </w:tc>
        <w:tc>
          <w:tcPr>
            <w:tcW w:w="1276" w:type="dxa"/>
            <w:vAlign w:val="center"/>
          </w:tcPr>
          <w:p w14:paraId="0C9BCAFB">
            <w:pPr>
              <w:widowControl/>
              <w:spacing w:line="360" w:lineRule="exact"/>
              <w:rPr>
                <w:rFonts w:ascii="宋体" w:hAnsi="宋体" w:cs="宋体"/>
                <w:color w:val="auto"/>
                <w:kern w:val="0"/>
                <w:szCs w:val="24"/>
                <w:highlight w:val="none"/>
              </w:rPr>
            </w:pPr>
            <w:r>
              <w:rPr>
                <w:rFonts w:hint="eastAsia" w:ascii="宋体" w:hAnsi="宋体" w:cs="宋体"/>
                <w:color w:val="auto"/>
                <w:kern w:val="0"/>
                <w:szCs w:val="24"/>
                <w:highlight w:val="none"/>
              </w:rPr>
              <w:t>X≥300</w:t>
            </w:r>
          </w:p>
        </w:tc>
        <w:tc>
          <w:tcPr>
            <w:tcW w:w="1701" w:type="dxa"/>
            <w:vAlign w:val="center"/>
          </w:tcPr>
          <w:p w14:paraId="37C71956">
            <w:pPr>
              <w:widowControl/>
              <w:spacing w:line="360" w:lineRule="exact"/>
              <w:ind w:left="-122" w:leftChars="-51"/>
              <w:rPr>
                <w:rFonts w:ascii="宋体" w:hAnsi="宋体" w:cs="宋体"/>
                <w:color w:val="auto"/>
                <w:kern w:val="0"/>
                <w:szCs w:val="24"/>
                <w:highlight w:val="none"/>
              </w:rPr>
            </w:pPr>
            <w:r>
              <w:rPr>
                <w:rFonts w:hint="eastAsia" w:ascii="宋体" w:hAnsi="宋体" w:cs="宋体"/>
                <w:color w:val="auto"/>
                <w:kern w:val="0"/>
                <w:szCs w:val="24"/>
                <w:highlight w:val="none"/>
              </w:rPr>
              <w:t>100≤X＜300</w:t>
            </w:r>
          </w:p>
        </w:tc>
        <w:tc>
          <w:tcPr>
            <w:tcW w:w="1559" w:type="dxa"/>
            <w:vAlign w:val="center"/>
          </w:tcPr>
          <w:p w14:paraId="0E26A398">
            <w:pPr>
              <w:widowControl/>
              <w:spacing w:line="360" w:lineRule="exact"/>
              <w:rPr>
                <w:rFonts w:ascii="宋体" w:hAnsi="宋体" w:cs="宋体"/>
                <w:color w:val="auto"/>
                <w:kern w:val="0"/>
                <w:szCs w:val="24"/>
                <w:highlight w:val="none"/>
              </w:rPr>
            </w:pPr>
            <w:r>
              <w:rPr>
                <w:rFonts w:hint="eastAsia" w:ascii="宋体" w:hAnsi="宋体" w:cs="宋体"/>
                <w:color w:val="auto"/>
                <w:kern w:val="0"/>
                <w:szCs w:val="24"/>
                <w:highlight w:val="none"/>
              </w:rPr>
              <w:t>10≤X＜100</w:t>
            </w:r>
          </w:p>
        </w:tc>
        <w:tc>
          <w:tcPr>
            <w:tcW w:w="1276" w:type="dxa"/>
            <w:vAlign w:val="center"/>
          </w:tcPr>
          <w:p w14:paraId="3D120E0F">
            <w:pPr>
              <w:widowControl/>
              <w:spacing w:line="360" w:lineRule="exact"/>
              <w:rPr>
                <w:rFonts w:ascii="宋体" w:hAnsi="宋体" w:cs="宋体"/>
                <w:color w:val="auto"/>
                <w:kern w:val="0"/>
                <w:szCs w:val="24"/>
                <w:highlight w:val="none"/>
              </w:rPr>
            </w:pPr>
            <w:r>
              <w:rPr>
                <w:rFonts w:hint="eastAsia" w:ascii="宋体" w:hAnsi="宋体" w:cs="宋体"/>
                <w:color w:val="auto"/>
                <w:kern w:val="0"/>
                <w:szCs w:val="24"/>
                <w:highlight w:val="none"/>
              </w:rPr>
              <w:t>X＜10</w:t>
            </w:r>
          </w:p>
        </w:tc>
      </w:tr>
      <w:tr w14:paraId="1BB272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91" w:type="dxa"/>
            <w:vMerge w:val="continue"/>
            <w:vAlign w:val="center"/>
          </w:tcPr>
          <w:p w14:paraId="6DAD427D">
            <w:pPr>
              <w:widowControl/>
              <w:spacing w:line="360" w:lineRule="exact"/>
              <w:jc w:val="center"/>
              <w:rPr>
                <w:rFonts w:ascii="宋体" w:hAnsi="宋体" w:cs="宋体"/>
                <w:color w:val="auto"/>
                <w:kern w:val="0"/>
                <w:szCs w:val="24"/>
                <w:highlight w:val="none"/>
              </w:rPr>
            </w:pPr>
          </w:p>
        </w:tc>
        <w:tc>
          <w:tcPr>
            <w:tcW w:w="1276" w:type="dxa"/>
            <w:vAlign w:val="center"/>
          </w:tcPr>
          <w:p w14:paraId="307A6110">
            <w:pPr>
              <w:widowControl/>
              <w:spacing w:line="360" w:lineRule="exact"/>
              <w:jc w:val="both"/>
              <w:rPr>
                <w:rFonts w:ascii="宋体" w:hAnsi="宋体" w:cs="宋体"/>
                <w:color w:val="auto"/>
                <w:kern w:val="0"/>
                <w:szCs w:val="24"/>
                <w:highlight w:val="none"/>
              </w:rPr>
            </w:pPr>
            <w:r>
              <w:rPr>
                <w:rFonts w:hint="eastAsia" w:ascii="宋体" w:hAnsi="宋体" w:cs="宋体"/>
                <w:color w:val="auto"/>
                <w:kern w:val="0"/>
                <w:szCs w:val="24"/>
                <w:highlight w:val="none"/>
              </w:rPr>
              <w:t>营业收入(Y)</w:t>
            </w:r>
          </w:p>
        </w:tc>
        <w:tc>
          <w:tcPr>
            <w:tcW w:w="709" w:type="dxa"/>
            <w:vAlign w:val="center"/>
          </w:tcPr>
          <w:p w14:paraId="5AA20C6D">
            <w:pPr>
              <w:widowControl/>
              <w:spacing w:line="360" w:lineRule="exact"/>
              <w:jc w:val="center"/>
              <w:rPr>
                <w:rFonts w:ascii="宋体" w:hAnsi="宋体" w:cs="宋体"/>
                <w:color w:val="auto"/>
                <w:kern w:val="0"/>
                <w:szCs w:val="24"/>
                <w:highlight w:val="none"/>
              </w:rPr>
            </w:pPr>
            <w:r>
              <w:rPr>
                <w:rFonts w:hint="eastAsia" w:ascii="宋体" w:hAnsi="宋体" w:cs="宋体"/>
                <w:color w:val="auto"/>
                <w:kern w:val="0"/>
                <w:szCs w:val="24"/>
                <w:highlight w:val="none"/>
              </w:rPr>
              <w:t>万元</w:t>
            </w:r>
          </w:p>
        </w:tc>
        <w:tc>
          <w:tcPr>
            <w:tcW w:w="1276" w:type="dxa"/>
            <w:vAlign w:val="center"/>
          </w:tcPr>
          <w:p w14:paraId="42413584">
            <w:pPr>
              <w:widowControl/>
              <w:spacing w:line="360" w:lineRule="exact"/>
              <w:rPr>
                <w:rFonts w:ascii="宋体" w:hAnsi="宋体" w:cs="宋体"/>
                <w:color w:val="auto"/>
                <w:kern w:val="0"/>
                <w:szCs w:val="24"/>
                <w:highlight w:val="none"/>
              </w:rPr>
            </w:pPr>
            <w:r>
              <w:rPr>
                <w:rFonts w:hint="eastAsia" w:ascii="宋体" w:hAnsi="宋体" w:cs="宋体"/>
                <w:color w:val="auto"/>
                <w:kern w:val="0"/>
                <w:szCs w:val="24"/>
                <w:highlight w:val="none"/>
              </w:rPr>
              <w:t>Y≥10000</w:t>
            </w:r>
          </w:p>
        </w:tc>
        <w:tc>
          <w:tcPr>
            <w:tcW w:w="1701" w:type="dxa"/>
            <w:vAlign w:val="center"/>
          </w:tcPr>
          <w:p w14:paraId="587DF7BD">
            <w:pPr>
              <w:widowControl/>
              <w:spacing w:line="360" w:lineRule="exact"/>
              <w:rPr>
                <w:rFonts w:ascii="宋体" w:hAnsi="宋体" w:cs="宋体"/>
                <w:color w:val="auto"/>
                <w:kern w:val="0"/>
                <w:szCs w:val="24"/>
                <w:highlight w:val="none"/>
              </w:rPr>
            </w:pPr>
            <w:r>
              <w:rPr>
                <w:rFonts w:hint="eastAsia" w:ascii="宋体" w:hAnsi="宋体" w:cs="宋体"/>
                <w:color w:val="auto"/>
                <w:kern w:val="0"/>
                <w:szCs w:val="24"/>
                <w:highlight w:val="none"/>
              </w:rPr>
              <w:t>1000≤Y＜10000</w:t>
            </w:r>
          </w:p>
        </w:tc>
        <w:tc>
          <w:tcPr>
            <w:tcW w:w="1559" w:type="dxa"/>
            <w:vAlign w:val="center"/>
          </w:tcPr>
          <w:p w14:paraId="485B2403">
            <w:pPr>
              <w:widowControl/>
              <w:spacing w:line="360" w:lineRule="exact"/>
              <w:rPr>
                <w:rFonts w:ascii="宋体" w:hAnsi="宋体" w:cs="宋体"/>
                <w:color w:val="auto"/>
                <w:kern w:val="0"/>
                <w:szCs w:val="24"/>
                <w:highlight w:val="none"/>
              </w:rPr>
            </w:pPr>
            <w:r>
              <w:rPr>
                <w:rFonts w:hint="eastAsia" w:ascii="宋体" w:hAnsi="宋体" w:cs="宋体"/>
                <w:color w:val="auto"/>
                <w:kern w:val="0"/>
                <w:szCs w:val="24"/>
                <w:highlight w:val="none"/>
              </w:rPr>
              <w:t>50≤Y＜1000</w:t>
            </w:r>
          </w:p>
        </w:tc>
        <w:tc>
          <w:tcPr>
            <w:tcW w:w="1276" w:type="dxa"/>
            <w:vAlign w:val="center"/>
          </w:tcPr>
          <w:p w14:paraId="75338AF7">
            <w:pPr>
              <w:widowControl/>
              <w:spacing w:line="360" w:lineRule="exact"/>
              <w:rPr>
                <w:rFonts w:ascii="宋体" w:hAnsi="宋体" w:cs="宋体"/>
                <w:color w:val="auto"/>
                <w:kern w:val="0"/>
                <w:szCs w:val="24"/>
                <w:highlight w:val="none"/>
              </w:rPr>
            </w:pPr>
            <w:r>
              <w:rPr>
                <w:rFonts w:hint="eastAsia" w:ascii="宋体" w:hAnsi="宋体" w:cs="宋体"/>
                <w:color w:val="auto"/>
                <w:kern w:val="0"/>
                <w:szCs w:val="24"/>
                <w:highlight w:val="none"/>
              </w:rPr>
              <w:t>Y＜50</w:t>
            </w:r>
          </w:p>
        </w:tc>
      </w:tr>
      <w:tr w14:paraId="5DE0E1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91" w:type="dxa"/>
            <w:vMerge w:val="restart"/>
            <w:vAlign w:val="center"/>
          </w:tcPr>
          <w:p w14:paraId="31EB4166">
            <w:pPr>
              <w:widowControl/>
              <w:spacing w:line="360" w:lineRule="exact"/>
              <w:jc w:val="center"/>
              <w:rPr>
                <w:rFonts w:ascii="宋体" w:hAnsi="宋体" w:cs="宋体"/>
                <w:color w:val="auto"/>
                <w:kern w:val="0"/>
                <w:szCs w:val="24"/>
                <w:highlight w:val="none"/>
              </w:rPr>
            </w:pPr>
            <w:r>
              <w:rPr>
                <w:rFonts w:hint="eastAsia" w:ascii="宋体" w:hAnsi="宋体" w:cs="宋体"/>
                <w:color w:val="auto"/>
                <w:kern w:val="0"/>
                <w:szCs w:val="24"/>
                <w:highlight w:val="none"/>
              </w:rPr>
              <w:t>房地产开发经营</w:t>
            </w:r>
          </w:p>
        </w:tc>
        <w:tc>
          <w:tcPr>
            <w:tcW w:w="1276" w:type="dxa"/>
            <w:vAlign w:val="center"/>
          </w:tcPr>
          <w:p w14:paraId="1C7D28E6">
            <w:pPr>
              <w:widowControl/>
              <w:spacing w:line="360" w:lineRule="exact"/>
              <w:jc w:val="both"/>
              <w:rPr>
                <w:rFonts w:ascii="宋体" w:hAnsi="宋体" w:cs="宋体"/>
                <w:color w:val="auto"/>
                <w:kern w:val="0"/>
                <w:szCs w:val="24"/>
                <w:highlight w:val="none"/>
              </w:rPr>
            </w:pPr>
            <w:r>
              <w:rPr>
                <w:rFonts w:hint="eastAsia" w:ascii="宋体" w:hAnsi="宋体" w:cs="宋体"/>
                <w:color w:val="auto"/>
                <w:kern w:val="0"/>
                <w:szCs w:val="24"/>
                <w:highlight w:val="none"/>
              </w:rPr>
              <w:t>营业收入(Y)</w:t>
            </w:r>
          </w:p>
        </w:tc>
        <w:tc>
          <w:tcPr>
            <w:tcW w:w="709" w:type="dxa"/>
            <w:vAlign w:val="center"/>
          </w:tcPr>
          <w:p w14:paraId="084E1F81">
            <w:pPr>
              <w:widowControl/>
              <w:spacing w:line="360" w:lineRule="exact"/>
              <w:jc w:val="center"/>
              <w:rPr>
                <w:rFonts w:ascii="宋体" w:hAnsi="宋体" w:cs="宋体"/>
                <w:color w:val="auto"/>
                <w:kern w:val="0"/>
                <w:szCs w:val="24"/>
                <w:highlight w:val="none"/>
              </w:rPr>
            </w:pPr>
            <w:r>
              <w:rPr>
                <w:rFonts w:hint="eastAsia" w:ascii="宋体" w:hAnsi="宋体" w:cs="宋体"/>
                <w:color w:val="auto"/>
                <w:kern w:val="0"/>
                <w:szCs w:val="24"/>
                <w:highlight w:val="none"/>
              </w:rPr>
              <w:t>万元</w:t>
            </w:r>
          </w:p>
        </w:tc>
        <w:tc>
          <w:tcPr>
            <w:tcW w:w="1276" w:type="dxa"/>
            <w:vAlign w:val="center"/>
          </w:tcPr>
          <w:p w14:paraId="3599A5B1">
            <w:pPr>
              <w:widowControl/>
              <w:spacing w:line="360" w:lineRule="exact"/>
              <w:rPr>
                <w:rFonts w:ascii="宋体" w:hAnsi="宋体" w:cs="宋体"/>
                <w:color w:val="auto"/>
                <w:kern w:val="0"/>
                <w:szCs w:val="24"/>
                <w:highlight w:val="none"/>
              </w:rPr>
            </w:pPr>
            <w:r>
              <w:rPr>
                <w:rFonts w:hint="eastAsia" w:ascii="宋体" w:hAnsi="宋体" w:cs="宋体"/>
                <w:color w:val="auto"/>
                <w:kern w:val="0"/>
                <w:szCs w:val="24"/>
                <w:highlight w:val="none"/>
              </w:rPr>
              <w:t>Y≥200000</w:t>
            </w:r>
          </w:p>
        </w:tc>
        <w:tc>
          <w:tcPr>
            <w:tcW w:w="1701" w:type="dxa"/>
            <w:vAlign w:val="center"/>
          </w:tcPr>
          <w:p w14:paraId="1DC4EED9">
            <w:pPr>
              <w:widowControl/>
              <w:spacing w:line="360" w:lineRule="exact"/>
              <w:rPr>
                <w:rFonts w:ascii="宋体" w:hAnsi="宋体" w:cs="宋体"/>
                <w:color w:val="auto"/>
                <w:kern w:val="0"/>
                <w:szCs w:val="24"/>
                <w:highlight w:val="none"/>
              </w:rPr>
            </w:pPr>
            <w:r>
              <w:rPr>
                <w:rFonts w:hint="eastAsia" w:ascii="宋体" w:hAnsi="宋体" w:cs="宋体"/>
                <w:color w:val="auto"/>
                <w:kern w:val="0"/>
                <w:szCs w:val="24"/>
                <w:highlight w:val="none"/>
              </w:rPr>
              <w:t>1000≤Y＜200000</w:t>
            </w:r>
          </w:p>
        </w:tc>
        <w:tc>
          <w:tcPr>
            <w:tcW w:w="1559" w:type="dxa"/>
            <w:vAlign w:val="center"/>
          </w:tcPr>
          <w:p w14:paraId="0E92BB15">
            <w:pPr>
              <w:widowControl/>
              <w:spacing w:line="360" w:lineRule="exact"/>
              <w:rPr>
                <w:rFonts w:ascii="宋体" w:hAnsi="宋体" w:cs="宋体"/>
                <w:color w:val="auto"/>
                <w:kern w:val="0"/>
                <w:szCs w:val="24"/>
                <w:highlight w:val="none"/>
              </w:rPr>
            </w:pPr>
            <w:r>
              <w:rPr>
                <w:rFonts w:hint="eastAsia" w:ascii="宋体" w:hAnsi="宋体" w:cs="宋体"/>
                <w:color w:val="auto"/>
                <w:kern w:val="0"/>
                <w:szCs w:val="24"/>
                <w:highlight w:val="none"/>
              </w:rPr>
              <w:t>100≤Y＜1000</w:t>
            </w:r>
          </w:p>
        </w:tc>
        <w:tc>
          <w:tcPr>
            <w:tcW w:w="1276" w:type="dxa"/>
            <w:vAlign w:val="center"/>
          </w:tcPr>
          <w:p w14:paraId="38DAABDC">
            <w:pPr>
              <w:widowControl/>
              <w:spacing w:line="360" w:lineRule="exact"/>
              <w:rPr>
                <w:rFonts w:ascii="宋体" w:hAnsi="宋体" w:cs="宋体"/>
                <w:color w:val="auto"/>
                <w:kern w:val="0"/>
                <w:szCs w:val="24"/>
                <w:highlight w:val="none"/>
              </w:rPr>
            </w:pPr>
            <w:r>
              <w:rPr>
                <w:rFonts w:hint="eastAsia" w:ascii="宋体" w:hAnsi="宋体" w:cs="宋体"/>
                <w:color w:val="auto"/>
                <w:kern w:val="0"/>
                <w:szCs w:val="24"/>
                <w:highlight w:val="none"/>
              </w:rPr>
              <w:t>Y＜100</w:t>
            </w:r>
          </w:p>
        </w:tc>
      </w:tr>
      <w:tr w14:paraId="1B56DE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91" w:type="dxa"/>
            <w:vMerge w:val="continue"/>
            <w:vAlign w:val="center"/>
          </w:tcPr>
          <w:p w14:paraId="26BF226F">
            <w:pPr>
              <w:widowControl/>
              <w:spacing w:line="360" w:lineRule="exact"/>
              <w:ind w:firstLine="283" w:firstLineChars="118"/>
              <w:jc w:val="center"/>
              <w:rPr>
                <w:rFonts w:ascii="宋体" w:hAnsi="宋体" w:cs="宋体"/>
                <w:color w:val="auto"/>
                <w:kern w:val="0"/>
                <w:szCs w:val="24"/>
                <w:highlight w:val="none"/>
              </w:rPr>
            </w:pPr>
          </w:p>
        </w:tc>
        <w:tc>
          <w:tcPr>
            <w:tcW w:w="1276" w:type="dxa"/>
            <w:vAlign w:val="center"/>
          </w:tcPr>
          <w:p w14:paraId="145CA092">
            <w:pPr>
              <w:widowControl/>
              <w:spacing w:line="360" w:lineRule="exact"/>
              <w:jc w:val="both"/>
              <w:rPr>
                <w:rFonts w:ascii="宋体" w:hAnsi="宋体" w:cs="宋体"/>
                <w:color w:val="auto"/>
                <w:kern w:val="0"/>
                <w:szCs w:val="24"/>
                <w:highlight w:val="none"/>
              </w:rPr>
            </w:pPr>
            <w:r>
              <w:rPr>
                <w:rFonts w:hint="eastAsia" w:ascii="宋体" w:hAnsi="宋体" w:cs="宋体"/>
                <w:color w:val="auto"/>
                <w:kern w:val="0"/>
                <w:szCs w:val="24"/>
                <w:highlight w:val="none"/>
              </w:rPr>
              <w:t>资产总额(Z)</w:t>
            </w:r>
          </w:p>
        </w:tc>
        <w:tc>
          <w:tcPr>
            <w:tcW w:w="709" w:type="dxa"/>
            <w:vAlign w:val="center"/>
          </w:tcPr>
          <w:p w14:paraId="366F33CA">
            <w:pPr>
              <w:widowControl/>
              <w:spacing w:line="360" w:lineRule="exact"/>
              <w:jc w:val="center"/>
              <w:rPr>
                <w:rFonts w:ascii="宋体" w:hAnsi="宋体" w:cs="宋体"/>
                <w:color w:val="auto"/>
                <w:kern w:val="0"/>
                <w:szCs w:val="24"/>
                <w:highlight w:val="none"/>
              </w:rPr>
            </w:pPr>
            <w:r>
              <w:rPr>
                <w:rFonts w:hint="eastAsia" w:ascii="宋体" w:hAnsi="宋体" w:cs="宋体"/>
                <w:color w:val="auto"/>
                <w:kern w:val="0"/>
                <w:szCs w:val="24"/>
                <w:highlight w:val="none"/>
              </w:rPr>
              <w:t>万元</w:t>
            </w:r>
          </w:p>
        </w:tc>
        <w:tc>
          <w:tcPr>
            <w:tcW w:w="1276" w:type="dxa"/>
            <w:vAlign w:val="center"/>
          </w:tcPr>
          <w:p w14:paraId="00CA6839">
            <w:pPr>
              <w:widowControl/>
              <w:spacing w:line="360" w:lineRule="exact"/>
              <w:rPr>
                <w:rFonts w:ascii="宋体" w:hAnsi="宋体" w:cs="宋体"/>
                <w:color w:val="auto"/>
                <w:kern w:val="0"/>
                <w:szCs w:val="24"/>
                <w:highlight w:val="none"/>
              </w:rPr>
            </w:pPr>
            <w:r>
              <w:rPr>
                <w:rFonts w:hint="eastAsia" w:ascii="宋体" w:hAnsi="宋体" w:cs="宋体"/>
                <w:color w:val="auto"/>
                <w:kern w:val="0"/>
                <w:szCs w:val="24"/>
                <w:highlight w:val="none"/>
              </w:rPr>
              <w:t>Z≥10000</w:t>
            </w:r>
          </w:p>
        </w:tc>
        <w:tc>
          <w:tcPr>
            <w:tcW w:w="1701" w:type="dxa"/>
            <w:vAlign w:val="center"/>
          </w:tcPr>
          <w:p w14:paraId="4D46A024">
            <w:pPr>
              <w:widowControl/>
              <w:spacing w:line="360" w:lineRule="exact"/>
              <w:rPr>
                <w:rFonts w:ascii="宋体" w:hAnsi="宋体" w:cs="宋体"/>
                <w:color w:val="auto"/>
                <w:kern w:val="0"/>
                <w:szCs w:val="24"/>
                <w:highlight w:val="none"/>
              </w:rPr>
            </w:pPr>
            <w:r>
              <w:rPr>
                <w:rFonts w:hint="eastAsia" w:ascii="宋体" w:hAnsi="宋体" w:cs="宋体"/>
                <w:color w:val="auto"/>
                <w:kern w:val="0"/>
                <w:szCs w:val="24"/>
                <w:highlight w:val="none"/>
              </w:rPr>
              <w:t>5000≤Z＜10000</w:t>
            </w:r>
          </w:p>
        </w:tc>
        <w:tc>
          <w:tcPr>
            <w:tcW w:w="1559" w:type="dxa"/>
            <w:vAlign w:val="center"/>
          </w:tcPr>
          <w:p w14:paraId="5A0726F2">
            <w:pPr>
              <w:widowControl/>
              <w:spacing w:line="360" w:lineRule="exact"/>
              <w:rPr>
                <w:rFonts w:ascii="宋体" w:hAnsi="宋体" w:cs="宋体"/>
                <w:color w:val="auto"/>
                <w:kern w:val="0"/>
                <w:szCs w:val="24"/>
                <w:highlight w:val="none"/>
              </w:rPr>
            </w:pPr>
            <w:r>
              <w:rPr>
                <w:rFonts w:hint="eastAsia" w:ascii="宋体" w:hAnsi="宋体" w:cs="宋体"/>
                <w:color w:val="auto"/>
                <w:kern w:val="0"/>
                <w:szCs w:val="24"/>
                <w:highlight w:val="none"/>
              </w:rPr>
              <w:t>2000≤Z＜5000</w:t>
            </w:r>
          </w:p>
        </w:tc>
        <w:tc>
          <w:tcPr>
            <w:tcW w:w="1276" w:type="dxa"/>
            <w:vAlign w:val="center"/>
          </w:tcPr>
          <w:p w14:paraId="66DADA38">
            <w:pPr>
              <w:widowControl/>
              <w:spacing w:line="360" w:lineRule="exact"/>
              <w:rPr>
                <w:rFonts w:ascii="宋体" w:hAnsi="宋体" w:cs="宋体"/>
                <w:color w:val="auto"/>
                <w:kern w:val="0"/>
                <w:szCs w:val="24"/>
                <w:highlight w:val="none"/>
              </w:rPr>
            </w:pPr>
            <w:r>
              <w:rPr>
                <w:rFonts w:hint="eastAsia" w:ascii="宋体" w:hAnsi="宋体" w:cs="宋体"/>
                <w:color w:val="auto"/>
                <w:kern w:val="0"/>
                <w:szCs w:val="24"/>
                <w:highlight w:val="none"/>
              </w:rPr>
              <w:t>Z＜2000</w:t>
            </w:r>
          </w:p>
        </w:tc>
      </w:tr>
      <w:tr w14:paraId="7FDCBF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91" w:type="dxa"/>
            <w:vMerge w:val="restart"/>
            <w:vAlign w:val="center"/>
          </w:tcPr>
          <w:p w14:paraId="24D96594">
            <w:pPr>
              <w:widowControl/>
              <w:spacing w:line="360" w:lineRule="exact"/>
              <w:jc w:val="center"/>
              <w:rPr>
                <w:rFonts w:ascii="宋体" w:hAnsi="宋体" w:cs="宋体"/>
                <w:color w:val="auto"/>
                <w:kern w:val="0"/>
                <w:szCs w:val="24"/>
                <w:highlight w:val="none"/>
              </w:rPr>
            </w:pPr>
            <w:r>
              <w:rPr>
                <w:rFonts w:hint="eastAsia" w:ascii="宋体" w:hAnsi="宋体" w:cs="宋体"/>
                <w:color w:val="auto"/>
                <w:kern w:val="0"/>
                <w:szCs w:val="24"/>
                <w:highlight w:val="none"/>
              </w:rPr>
              <w:t>物业管理</w:t>
            </w:r>
          </w:p>
        </w:tc>
        <w:tc>
          <w:tcPr>
            <w:tcW w:w="1276" w:type="dxa"/>
            <w:vAlign w:val="center"/>
          </w:tcPr>
          <w:p w14:paraId="0256E279">
            <w:pPr>
              <w:widowControl/>
              <w:spacing w:line="360" w:lineRule="exact"/>
              <w:jc w:val="both"/>
              <w:rPr>
                <w:rFonts w:ascii="宋体" w:hAnsi="宋体" w:cs="宋体"/>
                <w:color w:val="auto"/>
                <w:kern w:val="0"/>
                <w:szCs w:val="24"/>
                <w:highlight w:val="none"/>
              </w:rPr>
            </w:pPr>
            <w:r>
              <w:rPr>
                <w:rFonts w:hint="eastAsia" w:ascii="宋体" w:hAnsi="宋体" w:cs="宋体"/>
                <w:color w:val="auto"/>
                <w:kern w:val="0"/>
                <w:szCs w:val="24"/>
                <w:highlight w:val="none"/>
              </w:rPr>
              <w:t>从业人员(X)</w:t>
            </w:r>
          </w:p>
        </w:tc>
        <w:tc>
          <w:tcPr>
            <w:tcW w:w="709" w:type="dxa"/>
            <w:vAlign w:val="center"/>
          </w:tcPr>
          <w:p w14:paraId="5ECB2495">
            <w:pPr>
              <w:widowControl/>
              <w:spacing w:line="360" w:lineRule="exact"/>
              <w:jc w:val="center"/>
              <w:rPr>
                <w:rFonts w:ascii="宋体" w:hAnsi="宋体" w:cs="宋体"/>
                <w:color w:val="auto"/>
                <w:kern w:val="0"/>
                <w:szCs w:val="24"/>
                <w:highlight w:val="none"/>
              </w:rPr>
            </w:pPr>
            <w:r>
              <w:rPr>
                <w:rFonts w:hint="eastAsia" w:ascii="宋体" w:hAnsi="宋体" w:cs="宋体"/>
                <w:color w:val="auto"/>
                <w:kern w:val="0"/>
                <w:szCs w:val="24"/>
                <w:highlight w:val="none"/>
              </w:rPr>
              <w:t>人</w:t>
            </w:r>
          </w:p>
        </w:tc>
        <w:tc>
          <w:tcPr>
            <w:tcW w:w="1276" w:type="dxa"/>
            <w:vAlign w:val="center"/>
          </w:tcPr>
          <w:p w14:paraId="439A6C61">
            <w:pPr>
              <w:widowControl/>
              <w:spacing w:line="360" w:lineRule="exact"/>
              <w:rPr>
                <w:rFonts w:ascii="宋体" w:hAnsi="宋体" w:cs="宋体"/>
                <w:color w:val="auto"/>
                <w:kern w:val="0"/>
                <w:szCs w:val="24"/>
                <w:highlight w:val="none"/>
              </w:rPr>
            </w:pPr>
            <w:r>
              <w:rPr>
                <w:rFonts w:hint="eastAsia" w:ascii="宋体" w:hAnsi="宋体" w:cs="宋体"/>
                <w:color w:val="auto"/>
                <w:kern w:val="0"/>
                <w:szCs w:val="24"/>
                <w:highlight w:val="none"/>
              </w:rPr>
              <w:t>X≥1000</w:t>
            </w:r>
          </w:p>
        </w:tc>
        <w:tc>
          <w:tcPr>
            <w:tcW w:w="1701" w:type="dxa"/>
            <w:vAlign w:val="center"/>
          </w:tcPr>
          <w:p w14:paraId="514958F0">
            <w:pPr>
              <w:widowControl/>
              <w:spacing w:line="360" w:lineRule="exact"/>
              <w:rPr>
                <w:rFonts w:ascii="宋体" w:hAnsi="宋体" w:cs="宋体"/>
                <w:color w:val="auto"/>
                <w:kern w:val="0"/>
                <w:szCs w:val="24"/>
                <w:highlight w:val="none"/>
              </w:rPr>
            </w:pPr>
            <w:r>
              <w:rPr>
                <w:rFonts w:hint="eastAsia" w:ascii="宋体" w:hAnsi="宋体" w:cs="宋体"/>
                <w:color w:val="auto"/>
                <w:kern w:val="0"/>
                <w:szCs w:val="24"/>
                <w:highlight w:val="none"/>
              </w:rPr>
              <w:t>300≤X＜1000</w:t>
            </w:r>
          </w:p>
        </w:tc>
        <w:tc>
          <w:tcPr>
            <w:tcW w:w="1559" w:type="dxa"/>
            <w:vAlign w:val="center"/>
          </w:tcPr>
          <w:p w14:paraId="7EA3C91F">
            <w:pPr>
              <w:widowControl/>
              <w:spacing w:line="360" w:lineRule="exact"/>
              <w:rPr>
                <w:rFonts w:ascii="宋体" w:hAnsi="宋体" w:cs="宋体"/>
                <w:color w:val="auto"/>
                <w:kern w:val="0"/>
                <w:szCs w:val="24"/>
                <w:highlight w:val="none"/>
              </w:rPr>
            </w:pPr>
            <w:r>
              <w:rPr>
                <w:rFonts w:hint="eastAsia" w:ascii="宋体" w:hAnsi="宋体" w:cs="宋体"/>
                <w:color w:val="auto"/>
                <w:kern w:val="0"/>
                <w:szCs w:val="24"/>
                <w:highlight w:val="none"/>
              </w:rPr>
              <w:t>100≤X＜300</w:t>
            </w:r>
          </w:p>
        </w:tc>
        <w:tc>
          <w:tcPr>
            <w:tcW w:w="1276" w:type="dxa"/>
            <w:vAlign w:val="center"/>
          </w:tcPr>
          <w:p w14:paraId="717D535B">
            <w:pPr>
              <w:widowControl/>
              <w:spacing w:line="360" w:lineRule="exact"/>
              <w:rPr>
                <w:rFonts w:ascii="宋体" w:hAnsi="宋体" w:cs="宋体"/>
                <w:color w:val="auto"/>
                <w:kern w:val="0"/>
                <w:szCs w:val="24"/>
                <w:highlight w:val="none"/>
              </w:rPr>
            </w:pPr>
            <w:r>
              <w:rPr>
                <w:rFonts w:hint="eastAsia" w:ascii="宋体" w:hAnsi="宋体" w:cs="宋体"/>
                <w:color w:val="auto"/>
                <w:kern w:val="0"/>
                <w:szCs w:val="24"/>
                <w:highlight w:val="none"/>
              </w:rPr>
              <w:t>X＜100</w:t>
            </w:r>
          </w:p>
        </w:tc>
      </w:tr>
      <w:tr w14:paraId="0A0034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91" w:type="dxa"/>
            <w:vMerge w:val="continue"/>
            <w:vAlign w:val="center"/>
          </w:tcPr>
          <w:p w14:paraId="14E6662D">
            <w:pPr>
              <w:widowControl/>
              <w:spacing w:line="360" w:lineRule="exact"/>
              <w:jc w:val="center"/>
              <w:rPr>
                <w:rFonts w:ascii="宋体" w:hAnsi="宋体" w:cs="宋体"/>
                <w:color w:val="auto"/>
                <w:kern w:val="0"/>
                <w:szCs w:val="24"/>
                <w:highlight w:val="none"/>
              </w:rPr>
            </w:pPr>
          </w:p>
        </w:tc>
        <w:tc>
          <w:tcPr>
            <w:tcW w:w="1276" w:type="dxa"/>
            <w:vAlign w:val="center"/>
          </w:tcPr>
          <w:p w14:paraId="71D89EED">
            <w:pPr>
              <w:widowControl/>
              <w:spacing w:line="360" w:lineRule="exact"/>
              <w:jc w:val="both"/>
              <w:rPr>
                <w:rFonts w:ascii="宋体" w:hAnsi="宋体" w:cs="宋体"/>
                <w:color w:val="auto"/>
                <w:kern w:val="0"/>
                <w:szCs w:val="24"/>
                <w:highlight w:val="none"/>
              </w:rPr>
            </w:pPr>
            <w:r>
              <w:rPr>
                <w:rFonts w:hint="eastAsia" w:ascii="宋体" w:hAnsi="宋体" w:cs="宋体"/>
                <w:color w:val="auto"/>
                <w:kern w:val="0"/>
                <w:szCs w:val="24"/>
                <w:highlight w:val="none"/>
              </w:rPr>
              <w:t>营业收入(Y)</w:t>
            </w:r>
          </w:p>
        </w:tc>
        <w:tc>
          <w:tcPr>
            <w:tcW w:w="709" w:type="dxa"/>
            <w:vAlign w:val="center"/>
          </w:tcPr>
          <w:p w14:paraId="7623A7C5">
            <w:pPr>
              <w:widowControl/>
              <w:spacing w:line="360" w:lineRule="exact"/>
              <w:jc w:val="center"/>
              <w:rPr>
                <w:rFonts w:ascii="宋体" w:hAnsi="宋体" w:cs="宋体"/>
                <w:color w:val="auto"/>
                <w:kern w:val="0"/>
                <w:szCs w:val="24"/>
                <w:highlight w:val="none"/>
              </w:rPr>
            </w:pPr>
            <w:r>
              <w:rPr>
                <w:rFonts w:hint="eastAsia" w:ascii="宋体" w:hAnsi="宋体" w:cs="宋体"/>
                <w:color w:val="auto"/>
                <w:kern w:val="0"/>
                <w:szCs w:val="24"/>
                <w:highlight w:val="none"/>
              </w:rPr>
              <w:t>万元</w:t>
            </w:r>
          </w:p>
        </w:tc>
        <w:tc>
          <w:tcPr>
            <w:tcW w:w="1276" w:type="dxa"/>
            <w:vAlign w:val="center"/>
          </w:tcPr>
          <w:p w14:paraId="7FAF45D1">
            <w:pPr>
              <w:widowControl/>
              <w:spacing w:line="360" w:lineRule="exact"/>
              <w:rPr>
                <w:rFonts w:ascii="宋体" w:hAnsi="宋体" w:cs="宋体"/>
                <w:color w:val="auto"/>
                <w:kern w:val="0"/>
                <w:szCs w:val="24"/>
                <w:highlight w:val="none"/>
              </w:rPr>
            </w:pPr>
            <w:r>
              <w:rPr>
                <w:rFonts w:hint="eastAsia" w:ascii="宋体" w:hAnsi="宋体" w:cs="宋体"/>
                <w:color w:val="auto"/>
                <w:kern w:val="0"/>
                <w:szCs w:val="24"/>
                <w:highlight w:val="none"/>
              </w:rPr>
              <w:t>Y≥5000</w:t>
            </w:r>
          </w:p>
        </w:tc>
        <w:tc>
          <w:tcPr>
            <w:tcW w:w="1701" w:type="dxa"/>
            <w:vAlign w:val="center"/>
          </w:tcPr>
          <w:p w14:paraId="1A8865C8">
            <w:pPr>
              <w:widowControl/>
              <w:spacing w:line="360" w:lineRule="exact"/>
              <w:ind w:left="-122" w:leftChars="-51"/>
              <w:rPr>
                <w:rFonts w:ascii="宋体" w:hAnsi="宋体" w:cs="宋体"/>
                <w:color w:val="auto"/>
                <w:kern w:val="0"/>
                <w:szCs w:val="24"/>
                <w:highlight w:val="none"/>
              </w:rPr>
            </w:pPr>
            <w:r>
              <w:rPr>
                <w:rFonts w:hint="eastAsia" w:ascii="宋体" w:hAnsi="宋体" w:cs="宋体"/>
                <w:color w:val="auto"/>
                <w:kern w:val="0"/>
                <w:szCs w:val="24"/>
                <w:highlight w:val="none"/>
              </w:rPr>
              <w:t>1000≤Y＜5000</w:t>
            </w:r>
          </w:p>
        </w:tc>
        <w:tc>
          <w:tcPr>
            <w:tcW w:w="1559" w:type="dxa"/>
            <w:vAlign w:val="center"/>
          </w:tcPr>
          <w:p w14:paraId="082189A8">
            <w:pPr>
              <w:widowControl/>
              <w:spacing w:line="360" w:lineRule="exact"/>
              <w:rPr>
                <w:rFonts w:ascii="宋体" w:hAnsi="宋体" w:cs="宋体"/>
                <w:color w:val="auto"/>
                <w:kern w:val="0"/>
                <w:szCs w:val="24"/>
                <w:highlight w:val="none"/>
              </w:rPr>
            </w:pPr>
            <w:r>
              <w:rPr>
                <w:rFonts w:hint="eastAsia" w:ascii="宋体" w:hAnsi="宋体" w:cs="宋体"/>
                <w:color w:val="auto"/>
                <w:kern w:val="0"/>
                <w:szCs w:val="24"/>
                <w:highlight w:val="none"/>
              </w:rPr>
              <w:t>500≤Y＜1000</w:t>
            </w:r>
          </w:p>
        </w:tc>
        <w:tc>
          <w:tcPr>
            <w:tcW w:w="1276" w:type="dxa"/>
            <w:vAlign w:val="center"/>
          </w:tcPr>
          <w:p w14:paraId="612E4B31">
            <w:pPr>
              <w:widowControl/>
              <w:spacing w:line="360" w:lineRule="exact"/>
              <w:rPr>
                <w:rFonts w:ascii="宋体" w:hAnsi="宋体" w:cs="宋体"/>
                <w:color w:val="auto"/>
                <w:kern w:val="0"/>
                <w:szCs w:val="24"/>
                <w:highlight w:val="none"/>
              </w:rPr>
            </w:pPr>
            <w:r>
              <w:rPr>
                <w:rFonts w:hint="eastAsia" w:ascii="宋体" w:hAnsi="宋体" w:cs="宋体"/>
                <w:color w:val="auto"/>
                <w:kern w:val="0"/>
                <w:szCs w:val="24"/>
                <w:highlight w:val="none"/>
              </w:rPr>
              <w:t>Y＜500</w:t>
            </w:r>
          </w:p>
        </w:tc>
      </w:tr>
      <w:tr w14:paraId="28E70E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91" w:type="dxa"/>
            <w:vMerge w:val="restart"/>
            <w:vAlign w:val="center"/>
          </w:tcPr>
          <w:p w14:paraId="56BF9093">
            <w:pPr>
              <w:widowControl/>
              <w:spacing w:line="360" w:lineRule="exact"/>
              <w:jc w:val="center"/>
              <w:rPr>
                <w:rFonts w:ascii="宋体" w:hAnsi="宋体" w:cs="宋体"/>
                <w:color w:val="auto"/>
                <w:kern w:val="0"/>
                <w:szCs w:val="24"/>
                <w:highlight w:val="none"/>
              </w:rPr>
            </w:pPr>
            <w:r>
              <w:rPr>
                <w:rFonts w:hint="eastAsia" w:ascii="宋体" w:hAnsi="宋体" w:cs="宋体"/>
                <w:color w:val="auto"/>
                <w:kern w:val="0"/>
                <w:szCs w:val="24"/>
                <w:highlight w:val="none"/>
              </w:rPr>
              <w:t>租赁和商务服务业</w:t>
            </w:r>
          </w:p>
        </w:tc>
        <w:tc>
          <w:tcPr>
            <w:tcW w:w="1276" w:type="dxa"/>
            <w:vAlign w:val="center"/>
          </w:tcPr>
          <w:p w14:paraId="273D650D">
            <w:pPr>
              <w:widowControl/>
              <w:spacing w:line="360" w:lineRule="exact"/>
              <w:jc w:val="both"/>
              <w:rPr>
                <w:rFonts w:ascii="宋体" w:hAnsi="宋体" w:cs="宋体"/>
                <w:color w:val="auto"/>
                <w:kern w:val="0"/>
                <w:szCs w:val="24"/>
                <w:highlight w:val="none"/>
              </w:rPr>
            </w:pPr>
            <w:r>
              <w:rPr>
                <w:rFonts w:hint="eastAsia" w:ascii="宋体" w:hAnsi="宋体" w:cs="宋体"/>
                <w:color w:val="auto"/>
                <w:kern w:val="0"/>
                <w:szCs w:val="24"/>
                <w:highlight w:val="none"/>
              </w:rPr>
              <w:t>从业人员(X)</w:t>
            </w:r>
          </w:p>
        </w:tc>
        <w:tc>
          <w:tcPr>
            <w:tcW w:w="709" w:type="dxa"/>
            <w:vAlign w:val="center"/>
          </w:tcPr>
          <w:p w14:paraId="726FB930">
            <w:pPr>
              <w:widowControl/>
              <w:spacing w:line="360" w:lineRule="exact"/>
              <w:jc w:val="center"/>
              <w:rPr>
                <w:rFonts w:ascii="宋体" w:hAnsi="宋体" w:cs="宋体"/>
                <w:color w:val="auto"/>
                <w:kern w:val="0"/>
                <w:szCs w:val="24"/>
                <w:highlight w:val="none"/>
              </w:rPr>
            </w:pPr>
            <w:r>
              <w:rPr>
                <w:rFonts w:hint="eastAsia" w:ascii="宋体" w:hAnsi="宋体" w:cs="宋体"/>
                <w:color w:val="auto"/>
                <w:kern w:val="0"/>
                <w:szCs w:val="24"/>
                <w:highlight w:val="none"/>
              </w:rPr>
              <w:t>人</w:t>
            </w:r>
          </w:p>
        </w:tc>
        <w:tc>
          <w:tcPr>
            <w:tcW w:w="1276" w:type="dxa"/>
            <w:vAlign w:val="center"/>
          </w:tcPr>
          <w:p w14:paraId="236FD72C">
            <w:pPr>
              <w:widowControl/>
              <w:spacing w:line="360" w:lineRule="exact"/>
              <w:rPr>
                <w:rFonts w:ascii="宋体" w:hAnsi="宋体" w:cs="宋体"/>
                <w:color w:val="auto"/>
                <w:kern w:val="0"/>
                <w:szCs w:val="24"/>
                <w:highlight w:val="none"/>
              </w:rPr>
            </w:pPr>
            <w:r>
              <w:rPr>
                <w:rFonts w:hint="eastAsia" w:ascii="宋体" w:hAnsi="宋体" w:cs="宋体"/>
                <w:color w:val="auto"/>
                <w:kern w:val="0"/>
                <w:szCs w:val="24"/>
                <w:highlight w:val="none"/>
              </w:rPr>
              <w:t>X≥300</w:t>
            </w:r>
          </w:p>
        </w:tc>
        <w:tc>
          <w:tcPr>
            <w:tcW w:w="1701" w:type="dxa"/>
            <w:vAlign w:val="center"/>
          </w:tcPr>
          <w:p w14:paraId="0600B6D4">
            <w:pPr>
              <w:widowControl/>
              <w:spacing w:line="360" w:lineRule="exact"/>
              <w:ind w:left="-122" w:leftChars="-51"/>
              <w:rPr>
                <w:rFonts w:ascii="宋体" w:hAnsi="宋体" w:cs="宋体"/>
                <w:color w:val="auto"/>
                <w:kern w:val="0"/>
                <w:szCs w:val="24"/>
                <w:highlight w:val="none"/>
              </w:rPr>
            </w:pPr>
            <w:r>
              <w:rPr>
                <w:rFonts w:hint="eastAsia" w:ascii="宋体" w:hAnsi="宋体" w:cs="宋体"/>
                <w:color w:val="auto"/>
                <w:kern w:val="0"/>
                <w:szCs w:val="24"/>
                <w:highlight w:val="none"/>
              </w:rPr>
              <w:t>100≤X＜300</w:t>
            </w:r>
          </w:p>
        </w:tc>
        <w:tc>
          <w:tcPr>
            <w:tcW w:w="1559" w:type="dxa"/>
            <w:vAlign w:val="center"/>
          </w:tcPr>
          <w:p w14:paraId="6C210C19">
            <w:pPr>
              <w:widowControl/>
              <w:spacing w:line="360" w:lineRule="exact"/>
              <w:rPr>
                <w:rFonts w:ascii="宋体" w:hAnsi="宋体" w:cs="宋体"/>
                <w:color w:val="auto"/>
                <w:kern w:val="0"/>
                <w:szCs w:val="24"/>
                <w:highlight w:val="none"/>
              </w:rPr>
            </w:pPr>
            <w:r>
              <w:rPr>
                <w:rFonts w:hint="eastAsia" w:ascii="宋体" w:hAnsi="宋体" w:cs="宋体"/>
                <w:color w:val="auto"/>
                <w:kern w:val="0"/>
                <w:szCs w:val="24"/>
                <w:highlight w:val="none"/>
              </w:rPr>
              <w:t>10≤X＜100</w:t>
            </w:r>
          </w:p>
        </w:tc>
        <w:tc>
          <w:tcPr>
            <w:tcW w:w="1276" w:type="dxa"/>
            <w:vAlign w:val="center"/>
          </w:tcPr>
          <w:p w14:paraId="6CF2EF45">
            <w:pPr>
              <w:widowControl/>
              <w:spacing w:line="360" w:lineRule="exact"/>
              <w:rPr>
                <w:rFonts w:ascii="宋体" w:hAnsi="宋体" w:cs="宋体"/>
                <w:color w:val="auto"/>
                <w:kern w:val="0"/>
                <w:szCs w:val="24"/>
                <w:highlight w:val="none"/>
              </w:rPr>
            </w:pPr>
            <w:r>
              <w:rPr>
                <w:rFonts w:hint="eastAsia" w:ascii="宋体" w:hAnsi="宋体" w:cs="宋体"/>
                <w:color w:val="auto"/>
                <w:kern w:val="0"/>
                <w:szCs w:val="24"/>
                <w:highlight w:val="none"/>
              </w:rPr>
              <w:t>X＜10</w:t>
            </w:r>
          </w:p>
        </w:tc>
      </w:tr>
      <w:tr w14:paraId="3B3748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91" w:type="dxa"/>
            <w:vMerge w:val="continue"/>
            <w:vAlign w:val="center"/>
          </w:tcPr>
          <w:p w14:paraId="64FC5CE0">
            <w:pPr>
              <w:widowControl/>
              <w:spacing w:line="360" w:lineRule="exact"/>
              <w:jc w:val="center"/>
              <w:rPr>
                <w:rFonts w:ascii="宋体" w:hAnsi="宋体" w:cs="宋体"/>
                <w:color w:val="auto"/>
                <w:kern w:val="0"/>
                <w:szCs w:val="24"/>
                <w:highlight w:val="none"/>
              </w:rPr>
            </w:pPr>
          </w:p>
        </w:tc>
        <w:tc>
          <w:tcPr>
            <w:tcW w:w="1276" w:type="dxa"/>
            <w:vAlign w:val="center"/>
          </w:tcPr>
          <w:p w14:paraId="59A99FD5">
            <w:pPr>
              <w:widowControl/>
              <w:spacing w:line="360" w:lineRule="exact"/>
              <w:jc w:val="both"/>
              <w:rPr>
                <w:rFonts w:ascii="宋体" w:hAnsi="宋体" w:cs="宋体"/>
                <w:color w:val="auto"/>
                <w:kern w:val="0"/>
                <w:szCs w:val="24"/>
                <w:highlight w:val="none"/>
              </w:rPr>
            </w:pPr>
            <w:r>
              <w:rPr>
                <w:rFonts w:hint="eastAsia" w:ascii="宋体" w:hAnsi="宋体" w:cs="宋体"/>
                <w:color w:val="auto"/>
                <w:kern w:val="0"/>
                <w:szCs w:val="24"/>
                <w:highlight w:val="none"/>
              </w:rPr>
              <w:t>资产总额(Z)</w:t>
            </w:r>
          </w:p>
        </w:tc>
        <w:tc>
          <w:tcPr>
            <w:tcW w:w="709" w:type="dxa"/>
            <w:vAlign w:val="center"/>
          </w:tcPr>
          <w:p w14:paraId="1C59DEC4">
            <w:pPr>
              <w:widowControl/>
              <w:spacing w:line="360" w:lineRule="exact"/>
              <w:jc w:val="center"/>
              <w:rPr>
                <w:rFonts w:ascii="宋体" w:hAnsi="宋体" w:cs="宋体"/>
                <w:color w:val="auto"/>
                <w:kern w:val="0"/>
                <w:szCs w:val="24"/>
                <w:highlight w:val="none"/>
              </w:rPr>
            </w:pPr>
            <w:r>
              <w:rPr>
                <w:rFonts w:hint="eastAsia" w:ascii="宋体" w:hAnsi="宋体" w:cs="宋体"/>
                <w:color w:val="auto"/>
                <w:kern w:val="0"/>
                <w:szCs w:val="24"/>
                <w:highlight w:val="none"/>
              </w:rPr>
              <w:t>万元</w:t>
            </w:r>
          </w:p>
        </w:tc>
        <w:tc>
          <w:tcPr>
            <w:tcW w:w="1276" w:type="dxa"/>
            <w:vAlign w:val="center"/>
          </w:tcPr>
          <w:p w14:paraId="63A791D9">
            <w:pPr>
              <w:widowControl/>
              <w:spacing w:line="360" w:lineRule="exact"/>
              <w:rPr>
                <w:rFonts w:ascii="宋体" w:hAnsi="宋体" w:cs="宋体"/>
                <w:color w:val="auto"/>
                <w:kern w:val="0"/>
                <w:szCs w:val="24"/>
                <w:highlight w:val="none"/>
              </w:rPr>
            </w:pPr>
            <w:r>
              <w:rPr>
                <w:rFonts w:hint="eastAsia" w:ascii="宋体" w:hAnsi="宋体" w:cs="宋体"/>
                <w:color w:val="auto"/>
                <w:kern w:val="0"/>
                <w:szCs w:val="24"/>
                <w:highlight w:val="none"/>
              </w:rPr>
              <w:t>Z≥120000</w:t>
            </w:r>
          </w:p>
        </w:tc>
        <w:tc>
          <w:tcPr>
            <w:tcW w:w="1701" w:type="dxa"/>
            <w:vAlign w:val="center"/>
          </w:tcPr>
          <w:p w14:paraId="7B76FDDD">
            <w:pPr>
              <w:widowControl/>
              <w:spacing w:line="360" w:lineRule="exact"/>
              <w:rPr>
                <w:rFonts w:ascii="宋体" w:hAnsi="宋体" w:cs="宋体"/>
                <w:color w:val="auto"/>
                <w:kern w:val="0"/>
                <w:szCs w:val="24"/>
                <w:highlight w:val="none"/>
              </w:rPr>
            </w:pPr>
            <w:r>
              <w:rPr>
                <w:rFonts w:hint="eastAsia" w:ascii="宋体" w:hAnsi="宋体" w:cs="宋体"/>
                <w:color w:val="auto"/>
                <w:kern w:val="0"/>
                <w:szCs w:val="24"/>
                <w:highlight w:val="none"/>
              </w:rPr>
              <w:t>8000≤Z＜120000</w:t>
            </w:r>
          </w:p>
        </w:tc>
        <w:tc>
          <w:tcPr>
            <w:tcW w:w="1559" w:type="dxa"/>
            <w:vAlign w:val="center"/>
          </w:tcPr>
          <w:p w14:paraId="023AF78B">
            <w:pPr>
              <w:widowControl/>
              <w:spacing w:line="360" w:lineRule="exact"/>
              <w:rPr>
                <w:rFonts w:ascii="宋体" w:hAnsi="宋体" w:cs="宋体"/>
                <w:color w:val="auto"/>
                <w:kern w:val="0"/>
                <w:szCs w:val="24"/>
                <w:highlight w:val="none"/>
              </w:rPr>
            </w:pPr>
            <w:r>
              <w:rPr>
                <w:rFonts w:hint="eastAsia" w:ascii="宋体" w:hAnsi="宋体" w:cs="宋体"/>
                <w:color w:val="auto"/>
                <w:kern w:val="0"/>
                <w:szCs w:val="24"/>
                <w:highlight w:val="none"/>
              </w:rPr>
              <w:t>100≤Z＜8000</w:t>
            </w:r>
          </w:p>
        </w:tc>
        <w:tc>
          <w:tcPr>
            <w:tcW w:w="1276" w:type="dxa"/>
            <w:vAlign w:val="center"/>
          </w:tcPr>
          <w:p w14:paraId="3F509F3C">
            <w:pPr>
              <w:widowControl/>
              <w:spacing w:line="360" w:lineRule="exact"/>
              <w:rPr>
                <w:rFonts w:ascii="宋体" w:hAnsi="宋体" w:cs="宋体"/>
                <w:color w:val="auto"/>
                <w:kern w:val="0"/>
                <w:szCs w:val="24"/>
                <w:highlight w:val="none"/>
              </w:rPr>
            </w:pPr>
            <w:r>
              <w:rPr>
                <w:rFonts w:hint="eastAsia" w:ascii="宋体" w:hAnsi="宋体" w:cs="宋体"/>
                <w:color w:val="auto"/>
                <w:kern w:val="0"/>
                <w:szCs w:val="24"/>
                <w:highlight w:val="none"/>
              </w:rPr>
              <w:t>Z＜100</w:t>
            </w:r>
          </w:p>
        </w:tc>
      </w:tr>
      <w:tr w14:paraId="44AF34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91" w:type="dxa"/>
            <w:vAlign w:val="center"/>
          </w:tcPr>
          <w:p w14:paraId="1DE9BC37">
            <w:pPr>
              <w:widowControl/>
              <w:spacing w:line="360" w:lineRule="exact"/>
              <w:jc w:val="center"/>
              <w:rPr>
                <w:rFonts w:ascii="宋体" w:hAnsi="宋体" w:cs="宋体"/>
                <w:color w:val="auto"/>
                <w:kern w:val="0"/>
                <w:szCs w:val="24"/>
                <w:highlight w:val="none"/>
              </w:rPr>
            </w:pPr>
            <w:r>
              <w:rPr>
                <w:rFonts w:hint="eastAsia" w:ascii="宋体" w:hAnsi="宋体" w:cs="宋体"/>
                <w:color w:val="auto"/>
                <w:kern w:val="0"/>
                <w:szCs w:val="24"/>
                <w:highlight w:val="none"/>
              </w:rPr>
              <w:t>其他未列明行业</w:t>
            </w:r>
          </w:p>
        </w:tc>
        <w:tc>
          <w:tcPr>
            <w:tcW w:w="1276" w:type="dxa"/>
            <w:vAlign w:val="center"/>
          </w:tcPr>
          <w:p w14:paraId="42A0D80B">
            <w:pPr>
              <w:widowControl/>
              <w:spacing w:line="360" w:lineRule="exact"/>
              <w:jc w:val="both"/>
              <w:rPr>
                <w:rFonts w:ascii="宋体" w:hAnsi="宋体" w:cs="宋体"/>
                <w:color w:val="auto"/>
                <w:kern w:val="0"/>
                <w:szCs w:val="24"/>
                <w:highlight w:val="none"/>
              </w:rPr>
            </w:pPr>
            <w:r>
              <w:rPr>
                <w:rFonts w:hint="eastAsia" w:ascii="宋体" w:hAnsi="宋体" w:cs="宋体"/>
                <w:color w:val="auto"/>
                <w:kern w:val="0"/>
                <w:szCs w:val="24"/>
                <w:highlight w:val="none"/>
              </w:rPr>
              <w:t>从业人员(X)</w:t>
            </w:r>
          </w:p>
        </w:tc>
        <w:tc>
          <w:tcPr>
            <w:tcW w:w="709" w:type="dxa"/>
            <w:vAlign w:val="center"/>
          </w:tcPr>
          <w:p w14:paraId="365A1EBD">
            <w:pPr>
              <w:widowControl/>
              <w:spacing w:line="360" w:lineRule="exact"/>
              <w:jc w:val="center"/>
              <w:rPr>
                <w:rFonts w:ascii="宋体" w:hAnsi="宋体" w:cs="宋体"/>
                <w:color w:val="auto"/>
                <w:kern w:val="0"/>
                <w:szCs w:val="24"/>
                <w:highlight w:val="none"/>
              </w:rPr>
            </w:pPr>
            <w:r>
              <w:rPr>
                <w:rFonts w:hint="eastAsia" w:ascii="宋体" w:hAnsi="宋体" w:cs="宋体"/>
                <w:color w:val="auto"/>
                <w:kern w:val="0"/>
                <w:szCs w:val="24"/>
                <w:highlight w:val="none"/>
              </w:rPr>
              <w:t>人</w:t>
            </w:r>
          </w:p>
        </w:tc>
        <w:tc>
          <w:tcPr>
            <w:tcW w:w="1276" w:type="dxa"/>
            <w:vAlign w:val="center"/>
          </w:tcPr>
          <w:p w14:paraId="28390E9B">
            <w:pPr>
              <w:widowControl/>
              <w:spacing w:line="360" w:lineRule="exact"/>
              <w:rPr>
                <w:rFonts w:ascii="宋体" w:hAnsi="宋体" w:cs="宋体"/>
                <w:color w:val="auto"/>
                <w:kern w:val="0"/>
                <w:szCs w:val="24"/>
                <w:highlight w:val="none"/>
              </w:rPr>
            </w:pPr>
            <w:r>
              <w:rPr>
                <w:rFonts w:hint="eastAsia" w:ascii="宋体" w:hAnsi="宋体" w:cs="宋体"/>
                <w:color w:val="auto"/>
                <w:kern w:val="0"/>
                <w:szCs w:val="24"/>
                <w:highlight w:val="none"/>
              </w:rPr>
              <w:t>X≥300</w:t>
            </w:r>
          </w:p>
        </w:tc>
        <w:tc>
          <w:tcPr>
            <w:tcW w:w="1701" w:type="dxa"/>
            <w:vAlign w:val="center"/>
          </w:tcPr>
          <w:p w14:paraId="3520D836">
            <w:pPr>
              <w:widowControl/>
              <w:spacing w:line="360" w:lineRule="exact"/>
              <w:ind w:left="-122" w:leftChars="-51"/>
              <w:rPr>
                <w:rFonts w:ascii="宋体" w:hAnsi="宋体" w:cs="宋体"/>
                <w:color w:val="auto"/>
                <w:kern w:val="0"/>
                <w:szCs w:val="24"/>
                <w:highlight w:val="none"/>
              </w:rPr>
            </w:pPr>
            <w:r>
              <w:rPr>
                <w:rFonts w:hint="eastAsia" w:ascii="宋体" w:hAnsi="宋体" w:cs="宋体"/>
                <w:color w:val="auto"/>
                <w:kern w:val="0"/>
                <w:szCs w:val="24"/>
                <w:highlight w:val="none"/>
              </w:rPr>
              <w:t>100≤X＜300</w:t>
            </w:r>
          </w:p>
        </w:tc>
        <w:tc>
          <w:tcPr>
            <w:tcW w:w="1559" w:type="dxa"/>
            <w:vAlign w:val="center"/>
          </w:tcPr>
          <w:p w14:paraId="3C271A7B">
            <w:pPr>
              <w:widowControl/>
              <w:spacing w:line="360" w:lineRule="exact"/>
              <w:rPr>
                <w:rFonts w:ascii="宋体" w:hAnsi="宋体" w:cs="宋体"/>
                <w:color w:val="auto"/>
                <w:kern w:val="0"/>
                <w:szCs w:val="24"/>
                <w:highlight w:val="none"/>
              </w:rPr>
            </w:pPr>
            <w:r>
              <w:rPr>
                <w:rFonts w:hint="eastAsia" w:ascii="宋体" w:hAnsi="宋体" w:cs="宋体"/>
                <w:color w:val="auto"/>
                <w:kern w:val="0"/>
                <w:szCs w:val="24"/>
                <w:highlight w:val="none"/>
              </w:rPr>
              <w:t>10≤X＜100</w:t>
            </w:r>
          </w:p>
        </w:tc>
        <w:tc>
          <w:tcPr>
            <w:tcW w:w="1276" w:type="dxa"/>
            <w:vAlign w:val="center"/>
          </w:tcPr>
          <w:p w14:paraId="05B7BC31">
            <w:pPr>
              <w:widowControl/>
              <w:spacing w:line="360" w:lineRule="exact"/>
              <w:rPr>
                <w:rFonts w:ascii="宋体" w:hAnsi="宋体" w:cs="宋体"/>
                <w:color w:val="auto"/>
                <w:kern w:val="0"/>
                <w:szCs w:val="24"/>
                <w:highlight w:val="none"/>
              </w:rPr>
            </w:pPr>
            <w:r>
              <w:rPr>
                <w:rFonts w:hint="eastAsia" w:ascii="宋体" w:hAnsi="宋体" w:cs="宋体"/>
                <w:color w:val="auto"/>
                <w:kern w:val="0"/>
                <w:szCs w:val="24"/>
                <w:highlight w:val="none"/>
              </w:rPr>
              <w:t>X＜10</w:t>
            </w:r>
          </w:p>
        </w:tc>
      </w:tr>
    </w:tbl>
    <w:p w14:paraId="49DA778B">
      <w:pPr>
        <w:ind w:firstLine="283" w:firstLineChars="118"/>
        <w:rPr>
          <w:rFonts w:ascii="宋体" w:hAnsi="宋体" w:cs="宋体"/>
          <w:color w:val="auto"/>
          <w:highlight w:val="none"/>
        </w:rPr>
      </w:pPr>
    </w:p>
    <w:p w14:paraId="00719B17">
      <w:pPr>
        <w:ind w:firstLine="378"/>
        <w:rPr>
          <w:rFonts w:ascii="宋体" w:hAnsi="宋体" w:cs="宋体"/>
          <w:color w:val="auto"/>
          <w:highlight w:val="none"/>
        </w:rPr>
        <w:sectPr>
          <w:pgSz w:w="11906" w:h="16838"/>
          <w:pgMar w:top="1440" w:right="1440" w:bottom="1440" w:left="1440" w:header="851" w:footer="992" w:gutter="0"/>
          <w:pgNumType w:fmt="decimal"/>
          <w:cols w:space="720" w:num="1"/>
          <w:docGrid w:type="lines" w:linePitch="312" w:charSpace="0"/>
        </w:sectPr>
      </w:pPr>
    </w:p>
    <w:p w14:paraId="00A2D0CB">
      <w:pPr>
        <w:ind w:firstLine="284" w:firstLineChars="118"/>
        <w:jc w:val="center"/>
        <w:rPr>
          <w:rFonts w:ascii="宋体" w:hAnsi="宋体" w:cs="宋体"/>
          <w:b/>
          <w:color w:val="auto"/>
          <w:sz w:val="20"/>
          <w:highlight w:val="none"/>
        </w:rPr>
      </w:pPr>
      <w:r>
        <w:rPr>
          <w:rFonts w:hint="eastAsia" w:ascii="宋体" w:hAnsi="宋体" w:cs="宋体"/>
          <w:b/>
          <w:color w:val="auto"/>
          <w:highlight w:val="none"/>
        </w:rPr>
        <w:t>7-2节能产品、环境标志产品证明材料（如适用）</w:t>
      </w:r>
    </w:p>
    <w:p w14:paraId="51B4B3E2">
      <w:pPr>
        <w:snapToGrid w:val="0"/>
        <w:ind w:firstLine="237" w:firstLineChars="118"/>
        <w:jc w:val="center"/>
        <w:textAlignment w:val="baseline"/>
        <w:rPr>
          <w:rFonts w:ascii="宋体" w:hAnsi="宋体" w:cs="宋体"/>
          <w:b/>
          <w:color w:val="auto"/>
          <w:sz w:val="20"/>
          <w:highlight w:val="none"/>
        </w:rPr>
      </w:pPr>
    </w:p>
    <w:p w14:paraId="100F6E84">
      <w:pPr>
        <w:snapToGrid w:val="0"/>
        <w:ind w:firstLine="283" w:firstLineChars="118"/>
        <w:textAlignment w:val="baseline"/>
        <w:rPr>
          <w:rFonts w:ascii="宋体" w:hAnsi="宋体" w:cs="宋体"/>
          <w:color w:val="auto"/>
          <w:szCs w:val="24"/>
          <w:highlight w:val="none"/>
        </w:rPr>
      </w:pPr>
      <w:r>
        <w:rPr>
          <w:rFonts w:hint="eastAsia" w:ascii="宋体" w:hAnsi="宋体" w:cs="宋体"/>
          <w:color w:val="auto"/>
          <w:szCs w:val="24"/>
          <w:highlight w:val="none"/>
        </w:rPr>
        <w:t>说明：</w:t>
      </w:r>
    </w:p>
    <w:p w14:paraId="53741391">
      <w:pPr>
        <w:snapToGrid w:val="0"/>
        <w:ind w:firstLine="283" w:firstLineChars="118"/>
        <w:textAlignment w:val="baseline"/>
        <w:rPr>
          <w:rFonts w:ascii="宋体" w:hAnsi="宋体" w:cs="宋体"/>
          <w:color w:val="auto"/>
          <w:szCs w:val="24"/>
          <w:highlight w:val="none"/>
        </w:rPr>
      </w:pPr>
      <w:r>
        <w:rPr>
          <w:rFonts w:hint="eastAsia" w:ascii="宋体" w:hAnsi="宋体" w:cs="宋体"/>
          <w:color w:val="auto"/>
          <w:szCs w:val="24"/>
          <w:highlight w:val="none"/>
        </w:rPr>
        <w:t>1.在本处提供的相关证明材料如与供应商所供产品内容（品牌、型号、规格等）不符，视为无效。</w:t>
      </w:r>
    </w:p>
    <w:p w14:paraId="3486A93C">
      <w:pPr>
        <w:snapToGrid w:val="0"/>
        <w:ind w:firstLine="283" w:firstLineChars="118"/>
        <w:textAlignment w:val="baseline"/>
        <w:rPr>
          <w:rFonts w:ascii="宋体" w:hAnsi="宋体" w:cs="宋体"/>
          <w:color w:val="auto"/>
          <w:szCs w:val="24"/>
          <w:highlight w:val="none"/>
        </w:rPr>
      </w:pPr>
      <w:r>
        <w:rPr>
          <w:rFonts w:hint="eastAsia" w:ascii="宋体" w:hAnsi="宋体" w:cs="宋体"/>
          <w:color w:val="auto"/>
          <w:szCs w:val="24"/>
          <w:highlight w:val="none"/>
        </w:rPr>
        <w:t>2.如本文件要求在响应文件中提供节能环保标志产品的证明材料，则需提供。</w:t>
      </w:r>
    </w:p>
    <w:p w14:paraId="3E360067">
      <w:pPr>
        <w:snapToGrid w:val="0"/>
        <w:ind w:firstLine="283" w:firstLineChars="118"/>
        <w:textAlignment w:val="baseline"/>
        <w:rPr>
          <w:rFonts w:ascii="宋体" w:hAnsi="宋体" w:cs="宋体"/>
          <w:color w:val="auto"/>
          <w:szCs w:val="24"/>
          <w:highlight w:val="none"/>
        </w:rPr>
      </w:pPr>
      <w:r>
        <w:rPr>
          <w:rFonts w:hint="eastAsia" w:ascii="宋体" w:hAnsi="宋体" w:cs="宋体"/>
          <w:color w:val="auto"/>
          <w:szCs w:val="24"/>
          <w:highlight w:val="none"/>
        </w:rPr>
        <w:t>3.如本次采购产品属于国家强制节能设备，供应商所投设备必须具有相关节能证书，并在验收时提供，否则不予验收，并视为虚假响应。</w:t>
      </w:r>
    </w:p>
    <w:p w14:paraId="480DB4FB">
      <w:pPr>
        <w:snapToGrid w:val="0"/>
        <w:ind w:firstLine="283" w:firstLineChars="118"/>
        <w:textAlignment w:val="baseline"/>
        <w:rPr>
          <w:rFonts w:ascii="宋体" w:hAnsi="宋体" w:cs="宋体"/>
          <w:color w:val="auto"/>
          <w:szCs w:val="24"/>
          <w:highlight w:val="none"/>
        </w:rPr>
      </w:pPr>
      <w:r>
        <w:rPr>
          <w:rFonts w:hint="eastAsia" w:ascii="宋体" w:hAnsi="宋体" w:cs="宋体"/>
          <w:color w:val="auto"/>
          <w:szCs w:val="24"/>
          <w:highlight w:val="none"/>
        </w:rPr>
        <w:t>4.如提供虚假材料，供应商须承担相应法律责任。</w:t>
      </w:r>
    </w:p>
    <w:p w14:paraId="2E685C1A">
      <w:pPr>
        <w:ind w:firstLine="284" w:firstLineChars="118"/>
        <w:jc w:val="center"/>
        <w:rPr>
          <w:rFonts w:ascii="宋体" w:hAnsi="宋体" w:cs="宋体"/>
          <w:b/>
          <w:color w:val="auto"/>
          <w:highlight w:val="none"/>
        </w:rPr>
      </w:pPr>
      <w:r>
        <w:rPr>
          <w:rFonts w:hint="eastAsia" w:ascii="宋体" w:hAnsi="宋体" w:cs="宋体"/>
          <w:b/>
          <w:color w:val="auto"/>
          <w:highlight w:val="none"/>
        </w:rPr>
        <w:br w:type="page"/>
      </w:r>
      <w:r>
        <w:rPr>
          <w:rFonts w:hint="eastAsia" w:ascii="宋体" w:hAnsi="宋体" w:cs="宋体"/>
          <w:b/>
          <w:color w:val="auto"/>
          <w:highlight w:val="none"/>
        </w:rPr>
        <w:t>7-3残疾人福利性单位声明函（如适用）</w:t>
      </w:r>
    </w:p>
    <w:p w14:paraId="4C052349">
      <w:pPr>
        <w:ind w:firstLine="283" w:firstLineChars="118"/>
        <w:rPr>
          <w:rFonts w:ascii="宋体" w:hAnsi="宋体" w:cs="宋体"/>
          <w:color w:val="auto"/>
          <w:highlight w:val="none"/>
        </w:rPr>
      </w:pPr>
    </w:p>
    <w:p w14:paraId="57432096">
      <w:pPr>
        <w:ind w:firstLine="504" w:firstLineChars="200"/>
        <w:rPr>
          <w:rFonts w:ascii="宋体" w:hAnsi="宋体" w:cs="宋体"/>
          <w:color w:val="auto"/>
          <w:spacing w:val="6"/>
          <w:szCs w:val="24"/>
          <w:highlight w:val="none"/>
        </w:rPr>
      </w:pPr>
      <w:r>
        <w:rPr>
          <w:rFonts w:hint="eastAsia" w:ascii="宋体" w:hAnsi="宋体" w:cs="宋体"/>
          <w:color w:val="auto"/>
          <w:spacing w:val="6"/>
          <w:szCs w:val="24"/>
          <w:highlight w:val="none"/>
        </w:rPr>
        <w:t>本单位郑重声明，根据《财政部民政部中国残疾人联合会关于促进残疾人就业政府采购政策的通知》（财库</w:t>
      </w:r>
      <w:r>
        <w:rPr>
          <w:rFonts w:hint="eastAsia" w:ascii="宋体" w:hAnsi="宋体" w:cs="宋体"/>
          <w:color w:val="auto"/>
          <w:szCs w:val="24"/>
          <w:highlight w:val="none"/>
        </w:rPr>
        <w:t>〔2017〕141</w:t>
      </w:r>
      <w:r>
        <w:rPr>
          <w:rFonts w:hint="eastAsia" w:ascii="宋体" w:hAnsi="宋体" w:cs="宋体"/>
          <w:color w:val="auto"/>
          <w:spacing w:val="6"/>
          <w:szCs w:val="24"/>
          <w:highlight w:val="none"/>
        </w:rPr>
        <w:t>号）的规定，本单位为符合条件的残疾人福利性单位，且本单位参加______单位的______项目采购活动提供本单位制造的货物，或者提供其他残疾人福利性单位制造的货物（不包括使用非残疾人福利性单位注册商标的货物）。</w:t>
      </w:r>
    </w:p>
    <w:p w14:paraId="475B24F2">
      <w:pPr>
        <w:ind w:firstLine="504" w:firstLineChars="200"/>
        <w:rPr>
          <w:rFonts w:ascii="宋体" w:hAnsi="宋体" w:cs="宋体"/>
          <w:color w:val="auto"/>
          <w:spacing w:val="6"/>
          <w:szCs w:val="24"/>
          <w:highlight w:val="none"/>
        </w:rPr>
      </w:pPr>
      <w:r>
        <w:rPr>
          <w:rFonts w:hint="eastAsia" w:ascii="宋体" w:hAnsi="宋体" w:cs="宋体"/>
          <w:color w:val="auto"/>
          <w:spacing w:val="6"/>
          <w:szCs w:val="24"/>
          <w:highlight w:val="none"/>
        </w:rPr>
        <w:t>本单位对上述声明的真实性负责。如有虚假，将依法承担相应责任。</w:t>
      </w:r>
    </w:p>
    <w:p w14:paraId="28D3B5AB">
      <w:pPr>
        <w:spacing w:line="588" w:lineRule="exact"/>
        <w:ind w:firstLine="504" w:firstLineChars="200"/>
        <w:rPr>
          <w:rFonts w:ascii="宋体" w:hAnsi="宋体" w:cs="宋体"/>
          <w:color w:val="auto"/>
          <w:spacing w:val="6"/>
          <w:szCs w:val="24"/>
          <w:highlight w:val="none"/>
        </w:rPr>
      </w:pPr>
    </w:p>
    <w:p w14:paraId="0153E7C2">
      <w:pPr>
        <w:spacing w:line="588" w:lineRule="exact"/>
        <w:ind w:firstLine="504" w:firstLineChars="200"/>
        <w:rPr>
          <w:rFonts w:ascii="宋体" w:hAnsi="宋体" w:cs="宋体"/>
          <w:color w:val="auto"/>
          <w:spacing w:val="6"/>
          <w:szCs w:val="24"/>
          <w:highlight w:val="none"/>
        </w:rPr>
      </w:pPr>
    </w:p>
    <w:p w14:paraId="7A079913">
      <w:pPr>
        <w:ind w:firstLine="283" w:firstLineChars="118"/>
        <w:rPr>
          <w:rFonts w:ascii="宋体" w:hAnsi="宋体" w:cs="宋体"/>
          <w:color w:val="auto"/>
          <w:szCs w:val="24"/>
          <w:highlight w:val="none"/>
        </w:rPr>
      </w:pPr>
    </w:p>
    <w:p w14:paraId="7421AEAB">
      <w:pPr>
        <w:ind w:firstLine="283" w:firstLineChars="118"/>
        <w:rPr>
          <w:rFonts w:ascii="宋体" w:hAnsi="宋体" w:cs="宋体"/>
          <w:color w:val="auto"/>
          <w:szCs w:val="24"/>
          <w:highlight w:val="none"/>
        </w:rPr>
      </w:pPr>
      <w:r>
        <w:rPr>
          <w:rFonts w:hint="eastAsia" w:ascii="宋体" w:hAnsi="宋体" w:cs="宋体"/>
          <w:color w:val="auto"/>
          <w:szCs w:val="24"/>
          <w:highlight w:val="none"/>
        </w:rPr>
        <w:t>单位名称（盖章）：</w:t>
      </w:r>
    </w:p>
    <w:p w14:paraId="1D30BAFD">
      <w:pPr>
        <w:ind w:firstLine="283" w:firstLineChars="118"/>
        <w:rPr>
          <w:rFonts w:ascii="宋体" w:hAnsi="宋体" w:cs="宋体"/>
          <w:color w:val="auto"/>
          <w:szCs w:val="24"/>
          <w:highlight w:val="none"/>
        </w:rPr>
      </w:pPr>
    </w:p>
    <w:p w14:paraId="7C0F0C96">
      <w:pPr>
        <w:ind w:firstLine="283" w:firstLineChars="118"/>
        <w:rPr>
          <w:rFonts w:ascii="宋体" w:hAnsi="宋体" w:cs="宋体"/>
          <w:color w:val="auto"/>
          <w:szCs w:val="24"/>
          <w:highlight w:val="none"/>
        </w:rPr>
      </w:pPr>
      <w:r>
        <w:rPr>
          <w:rFonts w:hint="eastAsia" w:ascii="宋体" w:hAnsi="宋体" w:cs="宋体"/>
          <w:color w:val="auto"/>
          <w:szCs w:val="24"/>
          <w:highlight w:val="none"/>
        </w:rPr>
        <w:t>日期：</w:t>
      </w:r>
    </w:p>
    <w:p w14:paraId="6AA12C74">
      <w:pPr>
        <w:ind w:firstLine="247" w:firstLineChars="118"/>
        <w:rPr>
          <w:rFonts w:ascii="宋体" w:hAnsi="宋体" w:cs="宋体"/>
          <w:color w:val="auto"/>
          <w:sz w:val="21"/>
          <w:szCs w:val="21"/>
          <w:highlight w:val="none"/>
        </w:rPr>
      </w:pPr>
    </w:p>
    <w:p w14:paraId="3A25662C">
      <w:pPr>
        <w:ind w:firstLine="247" w:firstLineChars="118"/>
        <w:rPr>
          <w:rFonts w:ascii="宋体" w:hAnsi="宋体" w:cs="宋体"/>
          <w:color w:val="auto"/>
          <w:sz w:val="21"/>
          <w:szCs w:val="21"/>
          <w:highlight w:val="none"/>
        </w:rPr>
      </w:pPr>
    </w:p>
    <w:p w14:paraId="255A48CF">
      <w:pPr>
        <w:ind w:firstLine="247" w:firstLineChars="118"/>
        <w:rPr>
          <w:rFonts w:ascii="宋体" w:hAnsi="宋体" w:cs="宋体"/>
          <w:color w:val="auto"/>
          <w:sz w:val="21"/>
          <w:szCs w:val="21"/>
          <w:highlight w:val="none"/>
        </w:rPr>
      </w:pPr>
    </w:p>
    <w:p w14:paraId="132620B2">
      <w:pPr>
        <w:ind w:firstLine="283" w:firstLineChars="118"/>
        <w:rPr>
          <w:rFonts w:ascii="宋体" w:hAnsi="宋体" w:cs="宋体"/>
          <w:color w:val="auto"/>
          <w:highlight w:val="none"/>
        </w:rPr>
      </w:pPr>
    </w:p>
    <w:p w14:paraId="21DC8C83">
      <w:pPr>
        <w:ind w:firstLine="283" w:firstLineChars="118"/>
        <w:rPr>
          <w:rFonts w:ascii="宋体" w:hAnsi="宋体" w:cs="宋体"/>
          <w:color w:val="auto"/>
          <w:highlight w:val="none"/>
        </w:rPr>
      </w:pPr>
    </w:p>
    <w:p w14:paraId="5241E6D7">
      <w:pPr>
        <w:ind w:firstLine="283" w:firstLineChars="118"/>
        <w:rPr>
          <w:rFonts w:ascii="宋体" w:hAnsi="宋体" w:cs="宋体"/>
          <w:color w:val="auto"/>
          <w:highlight w:val="none"/>
        </w:rPr>
      </w:pPr>
    </w:p>
    <w:p w14:paraId="2E7E3955">
      <w:pPr>
        <w:ind w:firstLine="283" w:firstLineChars="118"/>
        <w:rPr>
          <w:rFonts w:ascii="宋体" w:hAnsi="宋体" w:cs="宋体"/>
          <w:color w:val="auto"/>
          <w:highlight w:val="none"/>
        </w:rPr>
      </w:pPr>
    </w:p>
    <w:p w14:paraId="50041F22">
      <w:pPr>
        <w:ind w:firstLine="283" w:firstLineChars="118"/>
        <w:jc w:val="center"/>
        <w:rPr>
          <w:rFonts w:ascii="宋体" w:hAnsi="宋体" w:cs="宋体"/>
          <w:b/>
          <w:color w:val="auto"/>
          <w:highlight w:val="none"/>
        </w:rPr>
      </w:pPr>
      <w:r>
        <w:rPr>
          <w:rFonts w:hint="eastAsia" w:ascii="宋体" w:hAnsi="宋体" w:cs="宋体"/>
          <w:color w:val="auto"/>
          <w:highlight w:val="none"/>
        </w:rPr>
        <w:br w:type="page"/>
      </w:r>
      <w:r>
        <w:rPr>
          <w:rFonts w:hint="eastAsia" w:ascii="宋体" w:hAnsi="宋体" w:cs="宋体"/>
          <w:b/>
          <w:color w:val="auto"/>
          <w:highlight w:val="none"/>
        </w:rPr>
        <w:t>7-4</w:t>
      </w:r>
      <w:r>
        <w:rPr>
          <w:rFonts w:hint="eastAsia" w:ascii="宋体" w:hAnsi="宋体" w:cs="宋体"/>
          <w:b/>
          <w:color w:val="auto"/>
          <w:szCs w:val="24"/>
          <w:highlight w:val="none"/>
        </w:rPr>
        <w:t>监狱企业有效证明材料（如适用）</w:t>
      </w:r>
    </w:p>
    <w:p w14:paraId="339256A4">
      <w:pPr>
        <w:ind w:firstLine="298" w:firstLineChars="118"/>
        <w:rPr>
          <w:rFonts w:ascii="宋体" w:hAnsi="宋体" w:cs="宋体"/>
          <w:b/>
          <w:bCs/>
          <w:color w:val="auto"/>
          <w:spacing w:val="6"/>
          <w:szCs w:val="24"/>
          <w:highlight w:val="none"/>
        </w:rPr>
      </w:pPr>
      <w:r>
        <w:rPr>
          <w:rFonts w:hint="eastAsia" w:ascii="宋体" w:hAnsi="宋体" w:cs="宋体"/>
          <w:b/>
          <w:bCs/>
          <w:color w:val="auto"/>
          <w:spacing w:val="6"/>
          <w:szCs w:val="24"/>
          <w:highlight w:val="none"/>
        </w:rPr>
        <w:t>提供材料说明：</w:t>
      </w:r>
    </w:p>
    <w:p w14:paraId="39501485">
      <w:pPr>
        <w:ind w:firstLine="297" w:firstLineChars="118"/>
        <w:rPr>
          <w:rFonts w:ascii="宋体" w:hAnsi="宋体" w:cs="宋体"/>
          <w:color w:val="auto"/>
          <w:spacing w:val="6"/>
          <w:szCs w:val="24"/>
          <w:highlight w:val="none"/>
        </w:rPr>
      </w:pPr>
      <w:r>
        <w:rPr>
          <w:rFonts w:hint="eastAsia" w:ascii="宋体" w:hAnsi="宋体" w:cs="宋体"/>
          <w:color w:val="auto"/>
          <w:spacing w:val="6"/>
          <w:szCs w:val="24"/>
          <w:highlight w:val="none"/>
        </w:rPr>
        <w:t>提供财库〔2014〕68号规定的相关资料</w:t>
      </w:r>
    </w:p>
    <w:p w14:paraId="336A2A02">
      <w:pPr>
        <w:rPr>
          <w:rFonts w:ascii="宋体" w:hAnsi="宋体" w:cs="宋体"/>
          <w:color w:val="auto"/>
          <w:highlight w:val="none"/>
        </w:rPr>
      </w:pPr>
      <w:r>
        <w:rPr>
          <w:rFonts w:hint="eastAsia" w:ascii="宋体" w:hAnsi="宋体" w:cs="宋体"/>
          <w:color w:val="auto"/>
          <w:highlight w:val="none"/>
        </w:rPr>
        <w:br w:type="page"/>
      </w:r>
    </w:p>
    <w:bookmarkEnd w:id="63"/>
    <w:bookmarkEnd w:id="64"/>
    <w:bookmarkEnd w:id="65"/>
    <w:p w14:paraId="2D3CCE88">
      <w:pPr>
        <w:pStyle w:val="5"/>
        <w:jc w:val="center"/>
        <w:rPr>
          <w:rFonts w:cs="宋体"/>
          <w:color w:val="auto"/>
          <w:highlight w:val="none"/>
        </w:rPr>
        <w:sectPr>
          <w:pgSz w:w="11906" w:h="16838"/>
          <w:pgMar w:top="1440" w:right="1440" w:bottom="1440" w:left="1440" w:header="851" w:footer="992" w:gutter="0"/>
          <w:pgNumType w:fmt="decimal"/>
          <w:cols w:space="720" w:num="1"/>
          <w:docGrid w:type="lines" w:linePitch="312" w:charSpace="0"/>
        </w:sectPr>
      </w:pPr>
    </w:p>
    <w:bookmarkEnd w:id="66"/>
    <w:bookmarkEnd w:id="67"/>
    <w:p w14:paraId="05810325">
      <w:pPr>
        <w:jc w:val="center"/>
        <w:rPr>
          <w:b/>
          <w:bCs/>
          <w:color w:val="auto"/>
          <w:sz w:val="36"/>
          <w:szCs w:val="24"/>
          <w:highlight w:val="none"/>
        </w:rPr>
      </w:pPr>
      <w:r>
        <w:rPr>
          <w:b/>
          <w:bCs/>
          <w:color w:val="auto"/>
          <w:sz w:val="36"/>
          <w:szCs w:val="24"/>
          <w:highlight w:val="none"/>
        </w:rPr>
        <w:t>8</w:t>
      </w:r>
      <w:r>
        <w:rPr>
          <w:rFonts w:hint="eastAsia"/>
          <w:b/>
          <w:bCs/>
          <w:color w:val="auto"/>
          <w:sz w:val="36"/>
          <w:szCs w:val="24"/>
          <w:highlight w:val="none"/>
        </w:rPr>
        <w:t>.商务、技术响应文件</w:t>
      </w:r>
    </w:p>
    <w:p w14:paraId="4951F821">
      <w:pPr>
        <w:autoSpaceDE w:val="0"/>
        <w:autoSpaceDN w:val="0"/>
        <w:adjustRightInd w:val="0"/>
        <w:ind w:left="1080" w:leftChars="300" w:hanging="360" w:hangingChars="150"/>
        <w:rPr>
          <w:rFonts w:ascii="宋体" w:hAnsi="宋体" w:cs="宋体"/>
          <w:color w:val="auto"/>
          <w:kern w:val="0"/>
          <w:szCs w:val="24"/>
          <w:highlight w:val="none"/>
        </w:rPr>
      </w:pPr>
    </w:p>
    <w:p w14:paraId="2A54568F">
      <w:pPr>
        <w:rPr>
          <w:rFonts w:ascii="宋体" w:hAnsi="宋体" w:cs="宋体"/>
          <w:b/>
          <w:bCs/>
          <w:color w:val="auto"/>
          <w:szCs w:val="24"/>
          <w:highlight w:val="none"/>
        </w:rPr>
      </w:pPr>
      <w:r>
        <w:rPr>
          <w:rFonts w:hint="eastAsia" w:ascii="宋体" w:hAnsi="宋体" w:cs="宋体"/>
          <w:b/>
          <w:bCs/>
          <w:color w:val="auto"/>
          <w:szCs w:val="24"/>
          <w:highlight w:val="none"/>
        </w:rPr>
        <w:t>依据本项目评标办法及投标人认为需要提供的其他说明和资料自行编制</w:t>
      </w:r>
    </w:p>
    <w:p w14:paraId="002F4FF4">
      <w:pPr>
        <w:ind w:firstLine="284" w:firstLineChars="118"/>
        <w:jc w:val="center"/>
        <w:rPr>
          <w:rFonts w:ascii="宋体" w:hAnsi="宋体" w:cs="宋体"/>
          <w:b/>
          <w:color w:val="auto"/>
          <w:szCs w:val="24"/>
          <w:highlight w:val="none"/>
        </w:rPr>
      </w:pPr>
    </w:p>
    <w:p w14:paraId="253C7024">
      <w:pPr>
        <w:ind w:firstLine="284" w:firstLineChars="118"/>
        <w:jc w:val="center"/>
        <w:rPr>
          <w:rFonts w:ascii="宋体" w:hAnsi="宋体" w:cs="宋体"/>
          <w:b/>
          <w:color w:val="auto"/>
          <w:szCs w:val="24"/>
          <w:highlight w:val="none"/>
        </w:rPr>
      </w:pPr>
    </w:p>
    <w:p w14:paraId="1092EC86">
      <w:pPr>
        <w:widowControl/>
        <w:spacing w:line="240" w:lineRule="auto"/>
        <w:rPr>
          <w:rFonts w:ascii="宋体"/>
          <w:b/>
          <w:color w:val="auto"/>
          <w:sz w:val="28"/>
          <w:highlight w:val="none"/>
        </w:rPr>
      </w:pPr>
      <w:r>
        <w:rPr>
          <w:rFonts w:ascii="宋体" w:hAnsi="宋体" w:cs="宋体"/>
          <w:b/>
          <w:color w:val="auto"/>
          <w:szCs w:val="24"/>
          <w:highlight w:val="none"/>
        </w:rPr>
        <w:br w:type="page"/>
      </w:r>
    </w:p>
    <w:p w14:paraId="2A9EA261">
      <w:pPr>
        <w:jc w:val="center"/>
        <w:rPr>
          <w:rFonts w:cs="宋体"/>
          <w:b/>
          <w:bCs/>
          <w:color w:val="auto"/>
          <w:highlight w:val="none"/>
        </w:rPr>
      </w:pPr>
      <w:r>
        <w:rPr>
          <w:rFonts w:hint="eastAsia" w:ascii="宋体" w:hAnsi="宋体" w:cs="宋体"/>
          <w:b/>
          <w:color w:val="auto"/>
          <w:szCs w:val="24"/>
          <w:highlight w:val="none"/>
        </w:rPr>
        <w:t>8-</w:t>
      </w:r>
      <w:r>
        <w:rPr>
          <w:rFonts w:ascii="宋体" w:hAnsi="宋体" w:cs="宋体"/>
          <w:b/>
          <w:color w:val="auto"/>
          <w:szCs w:val="24"/>
          <w:highlight w:val="none"/>
        </w:rPr>
        <w:t>1.</w:t>
      </w:r>
      <w:r>
        <w:rPr>
          <w:rFonts w:hint="eastAsia" w:cs="宋体"/>
          <w:b/>
          <w:bCs/>
          <w:color w:val="auto"/>
          <w:highlight w:val="none"/>
        </w:rPr>
        <w:t>投标人情况表</w:t>
      </w:r>
    </w:p>
    <w:p w14:paraId="5517F702">
      <w:pPr>
        <w:spacing w:after="240" w:line="360" w:lineRule="atLeast"/>
        <w:rPr>
          <w:color w:val="auto"/>
          <w:highlight w:val="none"/>
        </w:rPr>
      </w:pPr>
      <w:r>
        <w:rPr>
          <w:rFonts w:hint="eastAsia"/>
          <w:color w:val="auto"/>
          <w:highlight w:val="none"/>
        </w:rPr>
        <w:t>投标人：</w:t>
      </w:r>
      <w:r>
        <w:rPr>
          <w:color w:val="auto"/>
          <w:highlight w:val="none"/>
        </w:rPr>
        <w:t>(</w:t>
      </w:r>
      <w:r>
        <w:rPr>
          <w:rFonts w:hint="eastAsia"/>
          <w:color w:val="auto"/>
          <w:highlight w:val="none"/>
        </w:rPr>
        <w:t>公章</w:t>
      </w:r>
      <w:r>
        <w:rPr>
          <w:color w:val="auto"/>
          <w:highlight w:val="none"/>
        </w:rPr>
        <w:t xml:space="preserve">)                                  </w:t>
      </w:r>
      <w:r>
        <w:rPr>
          <w:rFonts w:hint="eastAsia"/>
          <w:color w:val="auto"/>
          <w:highlight w:val="none"/>
        </w:rPr>
        <w:t>填表日期：</w:t>
      </w:r>
    </w:p>
    <w:tbl>
      <w:tblPr>
        <w:tblStyle w:val="27"/>
        <w:tblW w:w="0" w:type="auto"/>
        <w:tblInd w:w="2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28" w:type="dxa"/>
          <w:bottom w:w="0" w:type="dxa"/>
          <w:right w:w="28" w:type="dxa"/>
        </w:tblCellMar>
      </w:tblPr>
      <w:tblGrid>
        <w:gridCol w:w="1575"/>
        <w:gridCol w:w="945"/>
        <w:gridCol w:w="630"/>
        <w:gridCol w:w="525"/>
        <w:gridCol w:w="945"/>
        <w:gridCol w:w="315"/>
        <w:gridCol w:w="105"/>
        <w:gridCol w:w="735"/>
        <w:gridCol w:w="525"/>
        <w:gridCol w:w="945"/>
        <w:gridCol w:w="105"/>
        <w:gridCol w:w="2100"/>
      </w:tblGrid>
      <w:tr w14:paraId="58F53B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400" w:hRule="atLeast"/>
        </w:trPr>
        <w:tc>
          <w:tcPr>
            <w:tcW w:w="1575" w:type="dxa"/>
          </w:tcPr>
          <w:p w14:paraId="690D98B6">
            <w:pPr>
              <w:spacing w:line="360" w:lineRule="atLeast"/>
              <w:jc w:val="center"/>
              <w:rPr>
                <w:color w:val="auto"/>
                <w:highlight w:val="none"/>
              </w:rPr>
            </w:pPr>
            <w:r>
              <w:rPr>
                <w:rFonts w:hint="eastAsia"/>
                <w:color w:val="auto"/>
                <w:highlight w:val="none"/>
              </w:rPr>
              <w:t>投标人名称</w:t>
            </w:r>
          </w:p>
        </w:tc>
        <w:tc>
          <w:tcPr>
            <w:tcW w:w="7875" w:type="dxa"/>
            <w:gridSpan w:val="11"/>
          </w:tcPr>
          <w:p w14:paraId="76F8E5DD">
            <w:pPr>
              <w:spacing w:line="360" w:lineRule="atLeast"/>
              <w:jc w:val="center"/>
              <w:rPr>
                <w:color w:val="auto"/>
                <w:highlight w:val="none"/>
              </w:rPr>
            </w:pPr>
          </w:p>
        </w:tc>
      </w:tr>
      <w:tr w14:paraId="685159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400" w:hRule="atLeast"/>
        </w:trPr>
        <w:tc>
          <w:tcPr>
            <w:tcW w:w="1575" w:type="dxa"/>
          </w:tcPr>
          <w:p w14:paraId="26A85362">
            <w:pPr>
              <w:spacing w:line="360" w:lineRule="atLeast"/>
              <w:jc w:val="center"/>
              <w:rPr>
                <w:color w:val="auto"/>
                <w:highlight w:val="none"/>
              </w:rPr>
            </w:pPr>
            <w:r>
              <w:rPr>
                <w:rFonts w:hint="eastAsia"/>
                <w:color w:val="auto"/>
                <w:highlight w:val="none"/>
              </w:rPr>
              <w:t>详细地址</w:t>
            </w:r>
          </w:p>
        </w:tc>
        <w:tc>
          <w:tcPr>
            <w:tcW w:w="7875" w:type="dxa"/>
            <w:gridSpan w:val="11"/>
          </w:tcPr>
          <w:p w14:paraId="59D738FA">
            <w:pPr>
              <w:spacing w:line="360" w:lineRule="atLeast"/>
              <w:jc w:val="center"/>
              <w:rPr>
                <w:color w:val="auto"/>
                <w:highlight w:val="none"/>
              </w:rPr>
            </w:pPr>
          </w:p>
        </w:tc>
      </w:tr>
      <w:tr w14:paraId="17CACC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400" w:hRule="atLeast"/>
        </w:trPr>
        <w:tc>
          <w:tcPr>
            <w:tcW w:w="1575" w:type="dxa"/>
          </w:tcPr>
          <w:p w14:paraId="2E844181">
            <w:pPr>
              <w:spacing w:line="360" w:lineRule="atLeast"/>
              <w:jc w:val="center"/>
              <w:rPr>
                <w:color w:val="auto"/>
                <w:highlight w:val="none"/>
              </w:rPr>
            </w:pPr>
            <w:r>
              <w:rPr>
                <w:rFonts w:hint="eastAsia"/>
                <w:color w:val="auto"/>
                <w:highlight w:val="none"/>
              </w:rPr>
              <w:t>主管部门</w:t>
            </w:r>
          </w:p>
        </w:tc>
        <w:tc>
          <w:tcPr>
            <w:tcW w:w="1575" w:type="dxa"/>
            <w:gridSpan w:val="2"/>
          </w:tcPr>
          <w:p w14:paraId="40722AC3">
            <w:pPr>
              <w:spacing w:line="360" w:lineRule="atLeast"/>
              <w:jc w:val="center"/>
              <w:rPr>
                <w:color w:val="auto"/>
                <w:highlight w:val="none"/>
              </w:rPr>
            </w:pPr>
          </w:p>
        </w:tc>
        <w:tc>
          <w:tcPr>
            <w:tcW w:w="1470" w:type="dxa"/>
            <w:gridSpan w:val="2"/>
          </w:tcPr>
          <w:p w14:paraId="70AA00C7">
            <w:pPr>
              <w:spacing w:line="360" w:lineRule="atLeast"/>
              <w:jc w:val="center"/>
              <w:rPr>
                <w:color w:val="auto"/>
                <w:highlight w:val="none"/>
              </w:rPr>
            </w:pPr>
            <w:r>
              <w:rPr>
                <w:rFonts w:hint="eastAsia"/>
                <w:color w:val="auto"/>
                <w:highlight w:val="none"/>
              </w:rPr>
              <w:t>法人代表</w:t>
            </w:r>
          </w:p>
        </w:tc>
        <w:tc>
          <w:tcPr>
            <w:tcW w:w="1680" w:type="dxa"/>
            <w:gridSpan w:val="4"/>
          </w:tcPr>
          <w:p w14:paraId="030355F0">
            <w:pPr>
              <w:spacing w:line="360" w:lineRule="atLeast"/>
              <w:jc w:val="center"/>
              <w:rPr>
                <w:color w:val="auto"/>
                <w:highlight w:val="none"/>
              </w:rPr>
            </w:pPr>
          </w:p>
        </w:tc>
        <w:tc>
          <w:tcPr>
            <w:tcW w:w="945" w:type="dxa"/>
          </w:tcPr>
          <w:p w14:paraId="1D810EBF">
            <w:pPr>
              <w:spacing w:line="360" w:lineRule="atLeast"/>
              <w:jc w:val="center"/>
              <w:rPr>
                <w:color w:val="auto"/>
                <w:highlight w:val="none"/>
              </w:rPr>
            </w:pPr>
            <w:r>
              <w:rPr>
                <w:rFonts w:hint="eastAsia"/>
                <w:color w:val="auto"/>
                <w:highlight w:val="none"/>
              </w:rPr>
              <w:t>职务</w:t>
            </w:r>
          </w:p>
        </w:tc>
        <w:tc>
          <w:tcPr>
            <w:tcW w:w="2205" w:type="dxa"/>
            <w:gridSpan w:val="2"/>
          </w:tcPr>
          <w:p w14:paraId="6B2696AD">
            <w:pPr>
              <w:spacing w:line="360" w:lineRule="atLeast"/>
              <w:jc w:val="center"/>
              <w:rPr>
                <w:color w:val="auto"/>
                <w:highlight w:val="none"/>
              </w:rPr>
            </w:pPr>
          </w:p>
        </w:tc>
      </w:tr>
      <w:tr w14:paraId="6E6913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400" w:hRule="atLeast"/>
        </w:trPr>
        <w:tc>
          <w:tcPr>
            <w:tcW w:w="1575" w:type="dxa"/>
          </w:tcPr>
          <w:p w14:paraId="5F148DED">
            <w:pPr>
              <w:spacing w:line="360" w:lineRule="atLeast"/>
              <w:jc w:val="center"/>
              <w:rPr>
                <w:color w:val="auto"/>
                <w:highlight w:val="none"/>
              </w:rPr>
            </w:pPr>
            <w:r>
              <w:rPr>
                <w:rFonts w:hint="eastAsia"/>
                <w:color w:val="auto"/>
                <w:highlight w:val="none"/>
              </w:rPr>
              <w:t>经济类型</w:t>
            </w:r>
          </w:p>
        </w:tc>
        <w:tc>
          <w:tcPr>
            <w:tcW w:w="1575" w:type="dxa"/>
            <w:gridSpan w:val="2"/>
          </w:tcPr>
          <w:p w14:paraId="45AF4DE6">
            <w:pPr>
              <w:spacing w:line="360" w:lineRule="atLeast"/>
              <w:jc w:val="center"/>
              <w:rPr>
                <w:color w:val="auto"/>
                <w:highlight w:val="none"/>
              </w:rPr>
            </w:pPr>
          </w:p>
        </w:tc>
        <w:tc>
          <w:tcPr>
            <w:tcW w:w="1470" w:type="dxa"/>
            <w:gridSpan w:val="2"/>
          </w:tcPr>
          <w:p w14:paraId="7C1C7934">
            <w:pPr>
              <w:spacing w:line="360" w:lineRule="atLeast"/>
              <w:jc w:val="center"/>
              <w:rPr>
                <w:color w:val="auto"/>
                <w:highlight w:val="none"/>
              </w:rPr>
            </w:pPr>
            <w:r>
              <w:rPr>
                <w:rFonts w:hint="eastAsia"/>
                <w:color w:val="auto"/>
                <w:highlight w:val="none"/>
              </w:rPr>
              <w:t>授权代表</w:t>
            </w:r>
          </w:p>
        </w:tc>
        <w:tc>
          <w:tcPr>
            <w:tcW w:w="1680" w:type="dxa"/>
            <w:gridSpan w:val="4"/>
          </w:tcPr>
          <w:p w14:paraId="7E75B08F">
            <w:pPr>
              <w:spacing w:line="360" w:lineRule="atLeast"/>
              <w:jc w:val="center"/>
              <w:rPr>
                <w:color w:val="auto"/>
                <w:highlight w:val="none"/>
              </w:rPr>
            </w:pPr>
          </w:p>
        </w:tc>
        <w:tc>
          <w:tcPr>
            <w:tcW w:w="945" w:type="dxa"/>
          </w:tcPr>
          <w:p w14:paraId="16F98935">
            <w:pPr>
              <w:spacing w:line="360" w:lineRule="atLeast"/>
              <w:jc w:val="center"/>
              <w:rPr>
                <w:color w:val="auto"/>
                <w:highlight w:val="none"/>
              </w:rPr>
            </w:pPr>
            <w:r>
              <w:rPr>
                <w:rFonts w:hint="eastAsia"/>
                <w:color w:val="auto"/>
                <w:highlight w:val="none"/>
              </w:rPr>
              <w:t>职务</w:t>
            </w:r>
          </w:p>
        </w:tc>
        <w:tc>
          <w:tcPr>
            <w:tcW w:w="2205" w:type="dxa"/>
            <w:gridSpan w:val="2"/>
          </w:tcPr>
          <w:p w14:paraId="2B959AEA">
            <w:pPr>
              <w:spacing w:line="360" w:lineRule="atLeast"/>
              <w:jc w:val="center"/>
              <w:rPr>
                <w:color w:val="auto"/>
                <w:highlight w:val="none"/>
              </w:rPr>
            </w:pPr>
          </w:p>
        </w:tc>
      </w:tr>
      <w:tr w14:paraId="514ABD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400" w:hRule="atLeast"/>
        </w:trPr>
        <w:tc>
          <w:tcPr>
            <w:tcW w:w="1575" w:type="dxa"/>
          </w:tcPr>
          <w:p w14:paraId="3E3FC44B">
            <w:pPr>
              <w:spacing w:line="360" w:lineRule="atLeast"/>
              <w:jc w:val="center"/>
              <w:rPr>
                <w:color w:val="auto"/>
                <w:highlight w:val="none"/>
              </w:rPr>
            </w:pPr>
            <w:r>
              <w:rPr>
                <w:rFonts w:hint="eastAsia"/>
                <w:color w:val="auto"/>
                <w:highlight w:val="none"/>
              </w:rPr>
              <w:t>邮政编码</w:t>
            </w:r>
          </w:p>
        </w:tc>
        <w:tc>
          <w:tcPr>
            <w:tcW w:w="1575" w:type="dxa"/>
            <w:gridSpan w:val="2"/>
          </w:tcPr>
          <w:p w14:paraId="7C889062">
            <w:pPr>
              <w:spacing w:line="360" w:lineRule="atLeast"/>
              <w:jc w:val="center"/>
              <w:rPr>
                <w:color w:val="auto"/>
                <w:highlight w:val="none"/>
              </w:rPr>
            </w:pPr>
          </w:p>
        </w:tc>
        <w:tc>
          <w:tcPr>
            <w:tcW w:w="1470" w:type="dxa"/>
            <w:gridSpan w:val="2"/>
          </w:tcPr>
          <w:p w14:paraId="18F283C7">
            <w:pPr>
              <w:spacing w:line="360" w:lineRule="atLeast"/>
              <w:jc w:val="center"/>
              <w:rPr>
                <w:color w:val="auto"/>
                <w:highlight w:val="none"/>
              </w:rPr>
            </w:pPr>
            <w:r>
              <w:rPr>
                <w:rFonts w:hint="eastAsia"/>
                <w:color w:val="auto"/>
                <w:highlight w:val="none"/>
              </w:rPr>
              <w:t>电话</w:t>
            </w:r>
          </w:p>
        </w:tc>
        <w:tc>
          <w:tcPr>
            <w:tcW w:w="1680" w:type="dxa"/>
            <w:gridSpan w:val="4"/>
          </w:tcPr>
          <w:p w14:paraId="021FB35E">
            <w:pPr>
              <w:spacing w:line="360" w:lineRule="atLeast"/>
              <w:jc w:val="center"/>
              <w:rPr>
                <w:color w:val="auto"/>
                <w:highlight w:val="none"/>
              </w:rPr>
            </w:pPr>
          </w:p>
        </w:tc>
        <w:tc>
          <w:tcPr>
            <w:tcW w:w="945" w:type="dxa"/>
          </w:tcPr>
          <w:p w14:paraId="67F20385">
            <w:pPr>
              <w:spacing w:line="360" w:lineRule="atLeast"/>
              <w:jc w:val="center"/>
              <w:rPr>
                <w:color w:val="auto"/>
                <w:highlight w:val="none"/>
              </w:rPr>
            </w:pPr>
            <w:r>
              <w:rPr>
                <w:rFonts w:hint="eastAsia"/>
                <w:color w:val="auto"/>
                <w:highlight w:val="none"/>
              </w:rPr>
              <w:t>传真</w:t>
            </w:r>
          </w:p>
        </w:tc>
        <w:tc>
          <w:tcPr>
            <w:tcW w:w="2205" w:type="dxa"/>
            <w:gridSpan w:val="2"/>
          </w:tcPr>
          <w:p w14:paraId="608AF349">
            <w:pPr>
              <w:spacing w:line="360" w:lineRule="atLeast"/>
              <w:jc w:val="center"/>
              <w:rPr>
                <w:color w:val="auto"/>
                <w:highlight w:val="none"/>
              </w:rPr>
            </w:pPr>
          </w:p>
        </w:tc>
      </w:tr>
      <w:tr w14:paraId="7D4756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1233" w:hRule="atLeast"/>
        </w:trPr>
        <w:tc>
          <w:tcPr>
            <w:tcW w:w="1575" w:type="dxa"/>
          </w:tcPr>
          <w:p w14:paraId="47BC3C99">
            <w:pPr>
              <w:spacing w:line="360" w:lineRule="atLeast"/>
              <w:jc w:val="center"/>
              <w:rPr>
                <w:color w:val="auto"/>
                <w:highlight w:val="none"/>
              </w:rPr>
            </w:pPr>
          </w:p>
          <w:p w14:paraId="080A823B">
            <w:pPr>
              <w:spacing w:line="360" w:lineRule="atLeast"/>
              <w:jc w:val="center"/>
              <w:rPr>
                <w:color w:val="auto"/>
                <w:highlight w:val="none"/>
              </w:rPr>
            </w:pPr>
            <w:r>
              <w:rPr>
                <w:rFonts w:hint="eastAsia"/>
                <w:color w:val="auto"/>
                <w:highlight w:val="none"/>
              </w:rPr>
              <w:t>单位简历</w:t>
            </w:r>
          </w:p>
          <w:p w14:paraId="158AF3EC">
            <w:pPr>
              <w:spacing w:line="360" w:lineRule="atLeast"/>
              <w:jc w:val="center"/>
              <w:rPr>
                <w:color w:val="auto"/>
                <w:highlight w:val="none"/>
              </w:rPr>
            </w:pPr>
            <w:r>
              <w:rPr>
                <w:rFonts w:hint="eastAsia"/>
                <w:color w:val="auto"/>
                <w:highlight w:val="none"/>
              </w:rPr>
              <w:t>及机构</w:t>
            </w:r>
          </w:p>
        </w:tc>
        <w:tc>
          <w:tcPr>
            <w:tcW w:w="7875" w:type="dxa"/>
            <w:gridSpan w:val="11"/>
          </w:tcPr>
          <w:p w14:paraId="27BA520A">
            <w:pPr>
              <w:spacing w:line="360" w:lineRule="atLeast"/>
              <w:rPr>
                <w:color w:val="auto"/>
                <w:highlight w:val="none"/>
              </w:rPr>
            </w:pPr>
          </w:p>
        </w:tc>
      </w:tr>
      <w:tr w14:paraId="1397D3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843" w:hRule="atLeast"/>
        </w:trPr>
        <w:tc>
          <w:tcPr>
            <w:tcW w:w="1575" w:type="dxa"/>
            <w:tcBorders>
              <w:bottom w:val="nil"/>
            </w:tcBorders>
          </w:tcPr>
          <w:p w14:paraId="243364A5">
            <w:pPr>
              <w:spacing w:line="360" w:lineRule="atLeast"/>
              <w:jc w:val="center"/>
              <w:rPr>
                <w:color w:val="auto"/>
                <w:highlight w:val="none"/>
              </w:rPr>
            </w:pPr>
            <w:r>
              <w:rPr>
                <w:rFonts w:hint="eastAsia"/>
                <w:color w:val="auto"/>
                <w:highlight w:val="none"/>
              </w:rPr>
              <w:t>单位优势</w:t>
            </w:r>
          </w:p>
          <w:p w14:paraId="1A88158F">
            <w:pPr>
              <w:spacing w:line="360" w:lineRule="atLeast"/>
              <w:jc w:val="center"/>
              <w:rPr>
                <w:color w:val="auto"/>
                <w:highlight w:val="none"/>
              </w:rPr>
            </w:pPr>
            <w:r>
              <w:rPr>
                <w:rFonts w:hint="eastAsia"/>
                <w:color w:val="auto"/>
                <w:highlight w:val="none"/>
              </w:rPr>
              <w:t>及特长</w:t>
            </w:r>
          </w:p>
        </w:tc>
        <w:tc>
          <w:tcPr>
            <w:tcW w:w="7875" w:type="dxa"/>
            <w:gridSpan w:val="11"/>
            <w:tcBorders>
              <w:bottom w:val="nil"/>
            </w:tcBorders>
          </w:tcPr>
          <w:p w14:paraId="26612CD8">
            <w:pPr>
              <w:spacing w:line="360" w:lineRule="atLeast"/>
              <w:rPr>
                <w:color w:val="auto"/>
                <w:highlight w:val="none"/>
              </w:rPr>
            </w:pPr>
          </w:p>
        </w:tc>
      </w:tr>
      <w:tr w14:paraId="557DE4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400" w:hRule="atLeast"/>
        </w:trPr>
        <w:tc>
          <w:tcPr>
            <w:tcW w:w="1575" w:type="dxa"/>
            <w:vMerge w:val="restart"/>
          </w:tcPr>
          <w:p w14:paraId="11EEAAE8">
            <w:pPr>
              <w:spacing w:line="360" w:lineRule="atLeast"/>
              <w:rPr>
                <w:color w:val="auto"/>
                <w:highlight w:val="none"/>
              </w:rPr>
            </w:pPr>
          </w:p>
          <w:p w14:paraId="04CC1A1C">
            <w:pPr>
              <w:spacing w:line="360" w:lineRule="atLeast"/>
              <w:rPr>
                <w:color w:val="auto"/>
                <w:highlight w:val="none"/>
              </w:rPr>
            </w:pPr>
            <w:r>
              <w:rPr>
                <w:rFonts w:hint="eastAsia"/>
                <w:color w:val="auto"/>
                <w:highlight w:val="none"/>
              </w:rPr>
              <w:t>单</w:t>
            </w:r>
          </w:p>
          <w:p w14:paraId="153A7AFD">
            <w:pPr>
              <w:spacing w:line="360" w:lineRule="atLeast"/>
              <w:rPr>
                <w:color w:val="auto"/>
                <w:highlight w:val="none"/>
              </w:rPr>
            </w:pPr>
            <w:r>
              <w:rPr>
                <w:rFonts w:hint="eastAsia"/>
                <w:color w:val="auto"/>
                <w:highlight w:val="none"/>
              </w:rPr>
              <w:t>位</w:t>
            </w:r>
          </w:p>
          <w:p w14:paraId="2622A200">
            <w:pPr>
              <w:spacing w:line="360" w:lineRule="atLeast"/>
              <w:rPr>
                <w:color w:val="auto"/>
                <w:highlight w:val="none"/>
              </w:rPr>
            </w:pPr>
            <w:r>
              <w:rPr>
                <w:rFonts w:hint="eastAsia"/>
                <w:color w:val="auto"/>
                <w:highlight w:val="none"/>
              </w:rPr>
              <w:t>概</w:t>
            </w:r>
          </w:p>
          <w:p w14:paraId="2FD243FE">
            <w:pPr>
              <w:spacing w:line="360" w:lineRule="atLeast"/>
              <w:rPr>
                <w:color w:val="auto"/>
                <w:highlight w:val="none"/>
              </w:rPr>
            </w:pPr>
            <w:r>
              <w:rPr>
                <w:rFonts w:hint="eastAsia"/>
                <w:color w:val="auto"/>
                <w:highlight w:val="none"/>
              </w:rPr>
              <w:t>况</w:t>
            </w:r>
          </w:p>
        </w:tc>
        <w:tc>
          <w:tcPr>
            <w:tcW w:w="945" w:type="dxa"/>
            <w:vMerge w:val="restart"/>
          </w:tcPr>
          <w:p w14:paraId="2B3E4420">
            <w:pPr>
              <w:spacing w:line="360" w:lineRule="atLeast"/>
              <w:jc w:val="center"/>
              <w:rPr>
                <w:color w:val="auto"/>
                <w:highlight w:val="none"/>
              </w:rPr>
            </w:pPr>
            <w:r>
              <w:rPr>
                <w:rFonts w:hint="eastAsia"/>
                <w:color w:val="auto"/>
                <w:highlight w:val="none"/>
              </w:rPr>
              <w:t>职工</w:t>
            </w:r>
          </w:p>
          <w:p w14:paraId="0218A917">
            <w:pPr>
              <w:spacing w:line="360" w:lineRule="atLeast"/>
              <w:jc w:val="center"/>
              <w:rPr>
                <w:color w:val="auto"/>
                <w:highlight w:val="none"/>
              </w:rPr>
            </w:pPr>
            <w:r>
              <w:rPr>
                <w:rFonts w:hint="eastAsia"/>
                <w:color w:val="auto"/>
                <w:highlight w:val="none"/>
              </w:rPr>
              <w:t>总数</w:t>
            </w:r>
          </w:p>
        </w:tc>
        <w:tc>
          <w:tcPr>
            <w:tcW w:w="2415" w:type="dxa"/>
            <w:gridSpan w:val="4"/>
            <w:vMerge w:val="restart"/>
          </w:tcPr>
          <w:p w14:paraId="4E7CBBE8">
            <w:pPr>
              <w:spacing w:line="360" w:lineRule="atLeast"/>
              <w:jc w:val="right"/>
              <w:rPr>
                <w:color w:val="auto"/>
                <w:highlight w:val="none"/>
              </w:rPr>
            </w:pPr>
            <w:r>
              <w:rPr>
                <w:rFonts w:hint="eastAsia"/>
                <w:color w:val="auto"/>
                <w:highlight w:val="none"/>
              </w:rPr>
              <w:t>人</w:t>
            </w:r>
          </w:p>
        </w:tc>
        <w:tc>
          <w:tcPr>
            <w:tcW w:w="4515" w:type="dxa"/>
            <w:gridSpan w:val="6"/>
          </w:tcPr>
          <w:p w14:paraId="1603894E">
            <w:pPr>
              <w:spacing w:line="360" w:lineRule="atLeast"/>
              <w:jc w:val="center"/>
              <w:rPr>
                <w:color w:val="auto"/>
                <w:highlight w:val="none"/>
              </w:rPr>
            </w:pPr>
            <w:r>
              <w:rPr>
                <w:rFonts w:hint="eastAsia"/>
                <w:color w:val="auto"/>
                <w:highlight w:val="none"/>
              </w:rPr>
              <w:t>生产工人人</w:t>
            </w:r>
          </w:p>
        </w:tc>
      </w:tr>
      <w:tr w14:paraId="42FDD0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400" w:hRule="atLeast"/>
        </w:trPr>
        <w:tc>
          <w:tcPr>
            <w:tcW w:w="1575" w:type="dxa"/>
            <w:vMerge w:val="continue"/>
          </w:tcPr>
          <w:p w14:paraId="0A6A8A3C">
            <w:pPr>
              <w:spacing w:line="360" w:lineRule="atLeast"/>
              <w:rPr>
                <w:color w:val="auto"/>
                <w:highlight w:val="none"/>
              </w:rPr>
            </w:pPr>
          </w:p>
        </w:tc>
        <w:tc>
          <w:tcPr>
            <w:tcW w:w="945" w:type="dxa"/>
            <w:vMerge w:val="continue"/>
          </w:tcPr>
          <w:p w14:paraId="3765F2F0">
            <w:pPr>
              <w:spacing w:line="360" w:lineRule="atLeast"/>
              <w:jc w:val="center"/>
              <w:rPr>
                <w:color w:val="auto"/>
                <w:highlight w:val="none"/>
              </w:rPr>
            </w:pPr>
          </w:p>
        </w:tc>
        <w:tc>
          <w:tcPr>
            <w:tcW w:w="2415" w:type="dxa"/>
            <w:gridSpan w:val="4"/>
            <w:vMerge w:val="continue"/>
          </w:tcPr>
          <w:p w14:paraId="15A5E1AD">
            <w:pPr>
              <w:spacing w:line="360" w:lineRule="atLeast"/>
              <w:rPr>
                <w:color w:val="auto"/>
                <w:highlight w:val="none"/>
              </w:rPr>
            </w:pPr>
          </w:p>
        </w:tc>
        <w:tc>
          <w:tcPr>
            <w:tcW w:w="4515" w:type="dxa"/>
            <w:gridSpan w:val="6"/>
          </w:tcPr>
          <w:p w14:paraId="55CCE472">
            <w:pPr>
              <w:spacing w:line="360" w:lineRule="atLeast"/>
              <w:rPr>
                <w:color w:val="auto"/>
                <w:highlight w:val="none"/>
              </w:rPr>
            </w:pPr>
            <w:r>
              <w:rPr>
                <w:rFonts w:hint="eastAsia"/>
                <w:color w:val="auto"/>
                <w:highlight w:val="none"/>
              </w:rPr>
              <w:t>技术人员人</w:t>
            </w:r>
          </w:p>
        </w:tc>
      </w:tr>
      <w:tr w14:paraId="0A5E26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400" w:hRule="atLeast"/>
        </w:trPr>
        <w:tc>
          <w:tcPr>
            <w:tcW w:w="1575" w:type="dxa"/>
            <w:vMerge w:val="continue"/>
          </w:tcPr>
          <w:p w14:paraId="5672F4A2">
            <w:pPr>
              <w:spacing w:line="360" w:lineRule="atLeast"/>
              <w:rPr>
                <w:color w:val="auto"/>
                <w:highlight w:val="none"/>
              </w:rPr>
            </w:pPr>
          </w:p>
        </w:tc>
        <w:tc>
          <w:tcPr>
            <w:tcW w:w="945" w:type="dxa"/>
            <w:vMerge w:val="restart"/>
          </w:tcPr>
          <w:p w14:paraId="67D5EC00">
            <w:pPr>
              <w:spacing w:line="360" w:lineRule="atLeast"/>
              <w:jc w:val="center"/>
              <w:rPr>
                <w:color w:val="auto"/>
                <w:highlight w:val="none"/>
              </w:rPr>
            </w:pPr>
            <w:r>
              <w:rPr>
                <w:rFonts w:hint="eastAsia"/>
                <w:color w:val="auto"/>
                <w:highlight w:val="none"/>
              </w:rPr>
              <w:t>流动</w:t>
            </w:r>
          </w:p>
          <w:p w14:paraId="5C71F3E2">
            <w:pPr>
              <w:spacing w:line="360" w:lineRule="atLeast"/>
              <w:jc w:val="center"/>
              <w:rPr>
                <w:color w:val="auto"/>
                <w:highlight w:val="none"/>
              </w:rPr>
            </w:pPr>
            <w:r>
              <w:rPr>
                <w:rFonts w:hint="eastAsia"/>
                <w:color w:val="auto"/>
                <w:highlight w:val="none"/>
              </w:rPr>
              <w:t>资金</w:t>
            </w:r>
          </w:p>
        </w:tc>
        <w:tc>
          <w:tcPr>
            <w:tcW w:w="2415" w:type="dxa"/>
            <w:gridSpan w:val="4"/>
            <w:vMerge w:val="restart"/>
          </w:tcPr>
          <w:p w14:paraId="4A562A5C">
            <w:pPr>
              <w:spacing w:line="360" w:lineRule="atLeast"/>
              <w:jc w:val="right"/>
              <w:rPr>
                <w:color w:val="auto"/>
                <w:highlight w:val="none"/>
              </w:rPr>
            </w:pPr>
            <w:r>
              <w:rPr>
                <w:rFonts w:hint="eastAsia"/>
                <w:color w:val="auto"/>
                <w:highlight w:val="none"/>
              </w:rPr>
              <w:t>万元</w:t>
            </w:r>
          </w:p>
        </w:tc>
        <w:tc>
          <w:tcPr>
            <w:tcW w:w="840" w:type="dxa"/>
            <w:gridSpan w:val="2"/>
            <w:vMerge w:val="restart"/>
          </w:tcPr>
          <w:p w14:paraId="576C90A1">
            <w:pPr>
              <w:spacing w:line="360" w:lineRule="atLeast"/>
              <w:rPr>
                <w:color w:val="auto"/>
                <w:highlight w:val="none"/>
              </w:rPr>
            </w:pPr>
            <w:r>
              <w:rPr>
                <w:rFonts w:hint="eastAsia"/>
                <w:color w:val="auto"/>
                <w:highlight w:val="none"/>
              </w:rPr>
              <w:t>资金</w:t>
            </w:r>
          </w:p>
          <w:p w14:paraId="2DB1E28F">
            <w:pPr>
              <w:spacing w:line="360" w:lineRule="atLeast"/>
              <w:rPr>
                <w:color w:val="auto"/>
                <w:highlight w:val="none"/>
              </w:rPr>
            </w:pPr>
            <w:r>
              <w:rPr>
                <w:rFonts w:hint="eastAsia"/>
                <w:color w:val="auto"/>
                <w:highlight w:val="none"/>
              </w:rPr>
              <w:t>来源</w:t>
            </w:r>
          </w:p>
        </w:tc>
        <w:tc>
          <w:tcPr>
            <w:tcW w:w="1575" w:type="dxa"/>
            <w:gridSpan w:val="3"/>
          </w:tcPr>
          <w:p w14:paraId="3D1ABE98">
            <w:pPr>
              <w:spacing w:line="360" w:lineRule="atLeast"/>
              <w:rPr>
                <w:color w:val="auto"/>
                <w:highlight w:val="none"/>
              </w:rPr>
            </w:pPr>
            <w:r>
              <w:rPr>
                <w:rFonts w:hint="eastAsia"/>
                <w:color w:val="auto"/>
                <w:highlight w:val="none"/>
              </w:rPr>
              <w:t>自有资金</w:t>
            </w:r>
          </w:p>
        </w:tc>
        <w:tc>
          <w:tcPr>
            <w:tcW w:w="2100" w:type="dxa"/>
          </w:tcPr>
          <w:p w14:paraId="53D02A6B">
            <w:pPr>
              <w:spacing w:line="360" w:lineRule="atLeast"/>
              <w:jc w:val="right"/>
              <w:rPr>
                <w:color w:val="auto"/>
                <w:highlight w:val="none"/>
              </w:rPr>
            </w:pPr>
            <w:r>
              <w:rPr>
                <w:rFonts w:hint="eastAsia"/>
                <w:color w:val="auto"/>
                <w:highlight w:val="none"/>
              </w:rPr>
              <w:t>万元</w:t>
            </w:r>
          </w:p>
        </w:tc>
      </w:tr>
      <w:tr w14:paraId="1F5B21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400" w:hRule="atLeast"/>
        </w:trPr>
        <w:tc>
          <w:tcPr>
            <w:tcW w:w="1575" w:type="dxa"/>
            <w:vMerge w:val="continue"/>
          </w:tcPr>
          <w:p w14:paraId="5C845DAB">
            <w:pPr>
              <w:spacing w:line="360" w:lineRule="atLeast"/>
              <w:rPr>
                <w:color w:val="auto"/>
                <w:highlight w:val="none"/>
              </w:rPr>
            </w:pPr>
          </w:p>
        </w:tc>
        <w:tc>
          <w:tcPr>
            <w:tcW w:w="945" w:type="dxa"/>
            <w:vMerge w:val="continue"/>
            <w:tcBorders>
              <w:bottom w:val="nil"/>
            </w:tcBorders>
          </w:tcPr>
          <w:p w14:paraId="388C8765">
            <w:pPr>
              <w:spacing w:line="360" w:lineRule="atLeast"/>
              <w:jc w:val="center"/>
              <w:rPr>
                <w:color w:val="auto"/>
                <w:highlight w:val="none"/>
              </w:rPr>
            </w:pPr>
          </w:p>
        </w:tc>
        <w:tc>
          <w:tcPr>
            <w:tcW w:w="2415" w:type="dxa"/>
            <w:gridSpan w:val="4"/>
            <w:vMerge w:val="continue"/>
            <w:tcBorders>
              <w:bottom w:val="nil"/>
            </w:tcBorders>
          </w:tcPr>
          <w:p w14:paraId="24BEF356">
            <w:pPr>
              <w:spacing w:line="360" w:lineRule="atLeast"/>
              <w:rPr>
                <w:color w:val="auto"/>
                <w:highlight w:val="none"/>
              </w:rPr>
            </w:pPr>
          </w:p>
        </w:tc>
        <w:tc>
          <w:tcPr>
            <w:tcW w:w="840" w:type="dxa"/>
            <w:gridSpan w:val="2"/>
            <w:vMerge w:val="continue"/>
            <w:tcBorders>
              <w:bottom w:val="nil"/>
            </w:tcBorders>
          </w:tcPr>
          <w:p w14:paraId="7C4EC84D">
            <w:pPr>
              <w:spacing w:line="360" w:lineRule="atLeast"/>
              <w:rPr>
                <w:color w:val="auto"/>
                <w:highlight w:val="none"/>
              </w:rPr>
            </w:pPr>
          </w:p>
        </w:tc>
        <w:tc>
          <w:tcPr>
            <w:tcW w:w="1575" w:type="dxa"/>
            <w:gridSpan w:val="3"/>
            <w:tcBorders>
              <w:bottom w:val="nil"/>
            </w:tcBorders>
          </w:tcPr>
          <w:p w14:paraId="52AA655E">
            <w:pPr>
              <w:spacing w:line="360" w:lineRule="atLeast"/>
              <w:rPr>
                <w:color w:val="auto"/>
                <w:highlight w:val="none"/>
              </w:rPr>
            </w:pPr>
            <w:r>
              <w:rPr>
                <w:rFonts w:hint="eastAsia"/>
                <w:color w:val="auto"/>
                <w:highlight w:val="none"/>
              </w:rPr>
              <w:t>银行贷款</w:t>
            </w:r>
          </w:p>
        </w:tc>
        <w:tc>
          <w:tcPr>
            <w:tcW w:w="2100" w:type="dxa"/>
            <w:tcBorders>
              <w:bottom w:val="nil"/>
            </w:tcBorders>
          </w:tcPr>
          <w:p w14:paraId="0DC3C40D">
            <w:pPr>
              <w:spacing w:line="360" w:lineRule="atLeast"/>
              <w:jc w:val="right"/>
              <w:rPr>
                <w:color w:val="auto"/>
                <w:highlight w:val="none"/>
              </w:rPr>
            </w:pPr>
            <w:r>
              <w:rPr>
                <w:rFonts w:hint="eastAsia"/>
                <w:color w:val="auto"/>
                <w:highlight w:val="none"/>
              </w:rPr>
              <w:t>万元</w:t>
            </w:r>
          </w:p>
        </w:tc>
      </w:tr>
      <w:tr w14:paraId="5A16B6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400" w:hRule="atLeast"/>
        </w:trPr>
        <w:tc>
          <w:tcPr>
            <w:tcW w:w="1575" w:type="dxa"/>
            <w:vMerge w:val="continue"/>
          </w:tcPr>
          <w:p w14:paraId="44C1CF75">
            <w:pPr>
              <w:spacing w:line="360" w:lineRule="atLeast"/>
              <w:rPr>
                <w:color w:val="auto"/>
                <w:highlight w:val="none"/>
              </w:rPr>
            </w:pPr>
          </w:p>
        </w:tc>
        <w:tc>
          <w:tcPr>
            <w:tcW w:w="945" w:type="dxa"/>
            <w:vMerge w:val="restart"/>
          </w:tcPr>
          <w:p w14:paraId="7E1A50D8">
            <w:pPr>
              <w:spacing w:line="360" w:lineRule="atLeast"/>
              <w:jc w:val="center"/>
              <w:rPr>
                <w:color w:val="auto"/>
                <w:highlight w:val="none"/>
              </w:rPr>
            </w:pPr>
            <w:r>
              <w:rPr>
                <w:rFonts w:hint="eastAsia"/>
                <w:color w:val="auto"/>
                <w:highlight w:val="none"/>
              </w:rPr>
              <w:t>固定</w:t>
            </w:r>
          </w:p>
          <w:p w14:paraId="7FD0B92C">
            <w:pPr>
              <w:spacing w:line="360" w:lineRule="atLeast"/>
              <w:jc w:val="center"/>
              <w:rPr>
                <w:color w:val="auto"/>
                <w:highlight w:val="none"/>
              </w:rPr>
            </w:pPr>
            <w:r>
              <w:rPr>
                <w:rFonts w:hint="eastAsia"/>
                <w:color w:val="auto"/>
                <w:highlight w:val="none"/>
              </w:rPr>
              <w:t>资产</w:t>
            </w:r>
          </w:p>
        </w:tc>
        <w:tc>
          <w:tcPr>
            <w:tcW w:w="2415" w:type="dxa"/>
            <w:gridSpan w:val="4"/>
          </w:tcPr>
          <w:p w14:paraId="64BED919">
            <w:pPr>
              <w:spacing w:line="360" w:lineRule="atLeast"/>
              <w:rPr>
                <w:color w:val="auto"/>
                <w:highlight w:val="none"/>
              </w:rPr>
            </w:pPr>
            <w:r>
              <w:rPr>
                <w:rFonts w:hint="eastAsia"/>
                <w:color w:val="auto"/>
                <w:highlight w:val="none"/>
              </w:rPr>
              <w:t>原值万元</w:t>
            </w:r>
          </w:p>
        </w:tc>
        <w:tc>
          <w:tcPr>
            <w:tcW w:w="840" w:type="dxa"/>
            <w:gridSpan w:val="2"/>
            <w:vMerge w:val="restart"/>
          </w:tcPr>
          <w:p w14:paraId="0309EAD3">
            <w:pPr>
              <w:spacing w:line="360" w:lineRule="atLeast"/>
              <w:rPr>
                <w:color w:val="auto"/>
                <w:highlight w:val="none"/>
              </w:rPr>
            </w:pPr>
            <w:r>
              <w:rPr>
                <w:rFonts w:hint="eastAsia"/>
                <w:color w:val="auto"/>
                <w:highlight w:val="none"/>
              </w:rPr>
              <w:t>资金</w:t>
            </w:r>
          </w:p>
          <w:p w14:paraId="74843B00">
            <w:pPr>
              <w:spacing w:line="360" w:lineRule="atLeast"/>
              <w:rPr>
                <w:color w:val="auto"/>
                <w:highlight w:val="none"/>
              </w:rPr>
            </w:pPr>
            <w:r>
              <w:rPr>
                <w:rFonts w:hint="eastAsia"/>
                <w:color w:val="auto"/>
                <w:highlight w:val="none"/>
              </w:rPr>
              <w:t>性质</w:t>
            </w:r>
          </w:p>
        </w:tc>
        <w:tc>
          <w:tcPr>
            <w:tcW w:w="1575" w:type="dxa"/>
            <w:gridSpan w:val="3"/>
          </w:tcPr>
          <w:p w14:paraId="25FF8333">
            <w:pPr>
              <w:spacing w:line="360" w:lineRule="atLeast"/>
              <w:rPr>
                <w:color w:val="auto"/>
                <w:highlight w:val="none"/>
              </w:rPr>
            </w:pPr>
            <w:r>
              <w:rPr>
                <w:rFonts w:hint="eastAsia"/>
                <w:color w:val="auto"/>
                <w:highlight w:val="none"/>
              </w:rPr>
              <w:t>生产性</w:t>
            </w:r>
          </w:p>
        </w:tc>
        <w:tc>
          <w:tcPr>
            <w:tcW w:w="2100" w:type="dxa"/>
          </w:tcPr>
          <w:p w14:paraId="4EEFAB61">
            <w:pPr>
              <w:spacing w:line="360" w:lineRule="atLeast"/>
              <w:jc w:val="right"/>
              <w:rPr>
                <w:color w:val="auto"/>
                <w:highlight w:val="none"/>
              </w:rPr>
            </w:pPr>
            <w:r>
              <w:rPr>
                <w:rFonts w:hint="eastAsia"/>
                <w:color w:val="auto"/>
                <w:highlight w:val="none"/>
              </w:rPr>
              <w:t>万元</w:t>
            </w:r>
          </w:p>
        </w:tc>
      </w:tr>
      <w:tr w14:paraId="0D144C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538" w:hRule="atLeast"/>
        </w:trPr>
        <w:tc>
          <w:tcPr>
            <w:tcW w:w="1575" w:type="dxa"/>
            <w:vMerge w:val="continue"/>
          </w:tcPr>
          <w:p w14:paraId="5CECB339">
            <w:pPr>
              <w:spacing w:line="360" w:lineRule="atLeast"/>
              <w:rPr>
                <w:color w:val="auto"/>
                <w:highlight w:val="none"/>
              </w:rPr>
            </w:pPr>
          </w:p>
        </w:tc>
        <w:tc>
          <w:tcPr>
            <w:tcW w:w="945" w:type="dxa"/>
            <w:vMerge w:val="continue"/>
            <w:tcBorders>
              <w:bottom w:val="nil"/>
            </w:tcBorders>
          </w:tcPr>
          <w:p w14:paraId="00A2016F">
            <w:pPr>
              <w:spacing w:line="360" w:lineRule="atLeast"/>
              <w:jc w:val="center"/>
              <w:rPr>
                <w:color w:val="auto"/>
                <w:highlight w:val="none"/>
              </w:rPr>
            </w:pPr>
          </w:p>
        </w:tc>
        <w:tc>
          <w:tcPr>
            <w:tcW w:w="2415" w:type="dxa"/>
            <w:gridSpan w:val="4"/>
            <w:tcBorders>
              <w:bottom w:val="nil"/>
            </w:tcBorders>
          </w:tcPr>
          <w:p w14:paraId="252BCD9F">
            <w:pPr>
              <w:spacing w:line="360" w:lineRule="atLeast"/>
              <w:rPr>
                <w:color w:val="auto"/>
                <w:highlight w:val="none"/>
              </w:rPr>
            </w:pPr>
            <w:r>
              <w:rPr>
                <w:rFonts w:hint="eastAsia"/>
                <w:color w:val="auto"/>
                <w:highlight w:val="none"/>
              </w:rPr>
              <w:t>净值万元</w:t>
            </w:r>
          </w:p>
        </w:tc>
        <w:tc>
          <w:tcPr>
            <w:tcW w:w="840" w:type="dxa"/>
            <w:gridSpan w:val="2"/>
            <w:vMerge w:val="continue"/>
            <w:tcBorders>
              <w:bottom w:val="nil"/>
            </w:tcBorders>
          </w:tcPr>
          <w:p w14:paraId="1D69BAA3">
            <w:pPr>
              <w:spacing w:line="360" w:lineRule="atLeast"/>
              <w:rPr>
                <w:color w:val="auto"/>
                <w:highlight w:val="none"/>
              </w:rPr>
            </w:pPr>
          </w:p>
        </w:tc>
        <w:tc>
          <w:tcPr>
            <w:tcW w:w="1575" w:type="dxa"/>
            <w:gridSpan w:val="3"/>
            <w:tcBorders>
              <w:bottom w:val="nil"/>
            </w:tcBorders>
          </w:tcPr>
          <w:p w14:paraId="73AAF62B">
            <w:pPr>
              <w:spacing w:line="360" w:lineRule="atLeast"/>
              <w:rPr>
                <w:color w:val="auto"/>
                <w:highlight w:val="none"/>
              </w:rPr>
            </w:pPr>
            <w:r>
              <w:rPr>
                <w:rFonts w:hint="eastAsia"/>
                <w:color w:val="auto"/>
                <w:highlight w:val="none"/>
              </w:rPr>
              <w:t>非生产性</w:t>
            </w:r>
          </w:p>
        </w:tc>
        <w:tc>
          <w:tcPr>
            <w:tcW w:w="2100" w:type="dxa"/>
            <w:tcBorders>
              <w:bottom w:val="nil"/>
            </w:tcBorders>
          </w:tcPr>
          <w:p w14:paraId="42C7EDE5">
            <w:pPr>
              <w:spacing w:line="360" w:lineRule="atLeast"/>
              <w:jc w:val="right"/>
              <w:rPr>
                <w:color w:val="auto"/>
                <w:highlight w:val="none"/>
              </w:rPr>
            </w:pPr>
            <w:r>
              <w:rPr>
                <w:rFonts w:hint="eastAsia"/>
                <w:color w:val="auto"/>
                <w:highlight w:val="none"/>
              </w:rPr>
              <w:t>万元</w:t>
            </w:r>
          </w:p>
        </w:tc>
      </w:tr>
      <w:tr w14:paraId="3A02F6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400" w:hRule="atLeast"/>
        </w:trPr>
        <w:tc>
          <w:tcPr>
            <w:tcW w:w="1575" w:type="dxa"/>
            <w:vMerge w:val="restart"/>
            <w:tcBorders>
              <w:top w:val="nil"/>
              <w:bottom w:val="nil"/>
              <w:right w:val="single" w:color="auto" w:sz="4" w:space="0"/>
            </w:tcBorders>
          </w:tcPr>
          <w:p w14:paraId="50805E84">
            <w:pPr>
              <w:pBdr>
                <w:top w:val="single" w:color="auto" w:sz="6" w:space="1"/>
              </w:pBdr>
              <w:spacing w:line="360" w:lineRule="atLeast"/>
              <w:jc w:val="center"/>
              <w:rPr>
                <w:color w:val="auto"/>
                <w:highlight w:val="none"/>
              </w:rPr>
            </w:pPr>
          </w:p>
          <w:p w14:paraId="7F426A7C">
            <w:pPr>
              <w:pBdr>
                <w:top w:val="single" w:color="auto" w:sz="6" w:space="1"/>
              </w:pBdr>
              <w:spacing w:line="360" w:lineRule="atLeast"/>
              <w:jc w:val="center"/>
              <w:rPr>
                <w:color w:val="auto"/>
                <w:highlight w:val="none"/>
              </w:rPr>
            </w:pPr>
            <w:r>
              <w:rPr>
                <w:rFonts w:hint="eastAsia"/>
                <w:color w:val="auto"/>
                <w:highlight w:val="none"/>
              </w:rPr>
              <w:t>企业财</w:t>
            </w:r>
          </w:p>
          <w:p w14:paraId="4EEE0774">
            <w:pPr>
              <w:pBdr>
                <w:top w:val="single" w:color="auto" w:sz="6" w:space="1"/>
              </w:pBdr>
              <w:spacing w:line="360" w:lineRule="atLeast"/>
              <w:jc w:val="center"/>
              <w:rPr>
                <w:color w:val="auto"/>
                <w:highlight w:val="none"/>
              </w:rPr>
            </w:pPr>
            <w:r>
              <w:rPr>
                <w:rFonts w:hint="eastAsia"/>
                <w:color w:val="auto"/>
                <w:highlight w:val="none"/>
              </w:rPr>
              <w:t>务状况</w:t>
            </w:r>
          </w:p>
        </w:tc>
        <w:tc>
          <w:tcPr>
            <w:tcW w:w="945" w:type="dxa"/>
            <w:tcBorders>
              <w:left w:val="single" w:color="auto" w:sz="4" w:space="0"/>
              <w:bottom w:val="single" w:color="000000" w:sz="6" w:space="0"/>
            </w:tcBorders>
          </w:tcPr>
          <w:p w14:paraId="3E651B4A">
            <w:pPr>
              <w:spacing w:line="360" w:lineRule="atLeast"/>
              <w:jc w:val="center"/>
              <w:rPr>
                <w:color w:val="auto"/>
                <w:highlight w:val="none"/>
              </w:rPr>
            </w:pPr>
          </w:p>
        </w:tc>
        <w:tc>
          <w:tcPr>
            <w:tcW w:w="1155" w:type="dxa"/>
            <w:gridSpan w:val="2"/>
          </w:tcPr>
          <w:p w14:paraId="783B4AE9">
            <w:pPr>
              <w:spacing w:line="360" w:lineRule="atLeast"/>
              <w:jc w:val="center"/>
              <w:rPr>
                <w:color w:val="auto"/>
                <w:highlight w:val="none"/>
              </w:rPr>
            </w:pPr>
            <w:r>
              <w:rPr>
                <w:rFonts w:hint="eastAsia"/>
                <w:color w:val="auto"/>
                <w:highlight w:val="none"/>
              </w:rPr>
              <w:t>收入总额</w:t>
            </w:r>
          </w:p>
        </w:tc>
        <w:tc>
          <w:tcPr>
            <w:tcW w:w="2100" w:type="dxa"/>
            <w:gridSpan w:val="4"/>
          </w:tcPr>
          <w:p w14:paraId="4C3E3EC7">
            <w:pPr>
              <w:spacing w:line="360" w:lineRule="atLeast"/>
              <w:jc w:val="center"/>
              <w:rPr>
                <w:color w:val="auto"/>
                <w:highlight w:val="none"/>
              </w:rPr>
            </w:pPr>
            <w:r>
              <w:rPr>
                <w:rFonts w:hint="eastAsia"/>
                <w:color w:val="auto"/>
                <w:highlight w:val="none"/>
              </w:rPr>
              <w:t>利润总额</w:t>
            </w:r>
          </w:p>
        </w:tc>
        <w:tc>
          <w:tcPr>
            <w:tcW w:w="1575" w:type="dxa"/>
            <w:gridSpan w:val="3"/>
          </w:tcPr>
          <w:p w14:paraId="2860B7E4">
            <w:pPr>
              <w:spacing w:line="360" w:lineRule="atLeast"/>
              <w:jc w:val="center"/>
              <w:rPr>
                <w:color w:val="auto"/>
                <w:highlight w:val="none"/>
              </w:rPr>
            </w:pPr>
            <w:r>
              <w:rPr>
                <w:rFonts w:hint="eastAsia"/>
                <w:color w:val="auto"/>
                <w:highlight w:val="none"/>
              </w:rPr>
              <w:t>税后利润</w:t>
            </w:r>
          </w:p>
        </w:tc>
        <w:tc>
          <w:tcPr>
            <w:tcW w:w="2100" w:type="dxa"/>
          </w:tcPr>
          <w:p w14:paraId="71711CAE">
            <w:pPr>
              <w:spacing w:line="360" w:lineRule="atLeast"/>
              <w:jc w:val="center"/>
              <w:rPr>
                <w:color w:val="auto"/>
                <w:highlight w:val="none"/>
              </w:rPr>
            </w:pPr>
            <w:r>
              <w:rPr>
                <w:rFonts w:hint="eastAsia"/>
                <w:color w:val="auto"/>
                <w:highlight w:val="none"/>
              </w:rPr>
              <w:t>负债总额</w:t>
            </w:r>
          </w:p>
        </w:tc>
      </w:tr>
      <w:tr w14:paraId="7D743D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400" w:hRule="atLeast"/>
        </w:trPr>
        <w:tc>
          <w:tcPr>
            <w:tcW w:w="1575" w:type="dxa"/>
            <w:vMerge w:val="continue"/>
            <w:tcBorders>
              <w:top w:val="nil"/>
              <w:bottom w:val="nil"/>
              <w:right w:val="single" w:color="auto" w:sz="4" w:space="0"/>
            </w:tcBorders>
          </w:tcPr>
          <w:p w14:paraId="17BFCB27">
            <w:pPr>
              <w:spacing w:line="360" w:lineRule="atLeast"/>
              <w:rPr>
                <w:color w:val="auto"/>
                <w:highlight w:val="none"/>
              </w:rPr>
            </w:pPr>
          </w:p>
        </w:tc>
        <w:tc>
          <w:tcPr>
            <w:tcW w:w="945" w:type="dxa"/>
            <w:tcBorders>
              <w:top w:val="single" w:color="000000" w:sz="6" w:space="0"/>
              <w:left w:val="single" w:color="auto" w:sz="4" w:space="0"/>
            </w:tcBorders>
          </w:tcPr>
          <w:p w14:paraId="363C0041">
            <w:pPr>
              <w:spacing w:line="360" w:lineRule="atLeast"/>
              <w:jc w:val="center"/>
              <w:rPr>
                <w:color w:val="auto"/>
                <w:highlight w:val="none"/>
              </w:rPr>
            </w:pPr>
            <w:r>
              <w:rPr>
                <w:rFonts w:hint="eastAsia"/>
                <w:color w:val="auto"/>
                <w:highlight w:val="none"/>
              </w:rPr>
              <w:t>202</w:t>
            </w:r>
            <w:r>
              <w:rPr>
                <w:rFonts w:hint="eastAsia"/>
                <w:color w:val="auto"/>
                <w:highlight w:val="none"/>
                <w:lang w:val="en-US" w:eastAsia="zh-CN"/>
              </w:rPr>
              <w:t>1</w:t>
            </w:r>
            <w:r>
              <w:rPr>
                <w:rFonts w:hint="eastAsia"/>
                <w:color w:val="auto"/>
                <w:highlight w:val="none"/>
              </w:rPr>
              <w:t>年</w:t>
            </w:r>
          </w:p>
        </w:tc>
        <w:tc>
          <w:tcPr>
            <w:tcW w:w="1155" w:type="dxa"/>
            <w:gridSpan w:val="2"/>
          </w:tcPr>
          <w:p w14:paraId="72F18D38">
            <w:pPr>
              <w:spacing w:line="360" w:lineRule="atLeast"/>
              <w:rPr>
                <w:color w:val="auto"/>
                <w:highlight w:val="none"/>
              </w:rPr>
            </w:pPr>
          </w:p>
        </w:tc>
        <w:tc>
          <w:tcPr>
            <w:tcW w:w="2100" w:type="dxa"/>
            <w:gridSpan w:val="4"/>
          </w:tcPr>
          <w:p w14:paraId="320CA284">
            <w:pPr>
              <w:spacing w:line="360" w:lineRule="atLeast"/>
              <w:rPr>
                <w:color w:val="auto"/>
                <w:highlight w:val="none"/>
              </w:rPr>
            </w:pPr>
          </w:p>
        </w:tc>
        <w:tc>
          <w:tcPr>
            <w:tcW w:w="1575" w:type="dxa"/>
            <w:gridSpan w:val="3"/>
          </w:tcPr>
          <w:p w14:paraId="34B70237">
            <w:pPr>
              <w:spacing w:line="360" w:lineRule="atLeast"/>
              <w:rPr>
                <w:color w:val="auto"/>
                <w:highlight w:val="none"/>
              </w:rPr>
            </w:pPr>
          </w:p>
        </w:tc>
        <w:tc>
          <w:tcPr>
            <w:tcW w:w="2100" w:type="dxa"/>
          </w:tcPr>
          <w:p w14:paraId="7DEF43D3">
            <w:pPr>
              <w:spacing w:line="360" w:lineRule="atLeast"/>
              <w:rPr>
                <w:color w:val="auto"/>
                <w:highlight w:val="none"/>
              </w:rPr>
            </w:pPr>
          </w:p>
        </w:tc>
      </w:tr>
      <w:tr w14:paraId="6BA91E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400" w:hRule="atLeast"/>
        </w:trPr>
        <w:tc>
          <w:tcPr>
            <w:tcW w:w="1575" w:type="dxa"/>
            <w:vMerge w:val="continue"/>
            <w:tcBorders>
              <w:top w:val="nil"/>
              <w:bottom w:val="nil"/>
              <w:right w:val="single" w:color="auto" w:sz="4" w:space="0"/>
            </w:tcBorders>
          </w:tcPr>
          <w:p w14:paraId="06A653E6">
            <w:pPr>
              <w:spacing w:line="360" w:lineRule="atLeast"/>
              <w:rPr>
                <w:color w:val="auto"/>
                <w:highlight w:val="none"/>
              </w:rPr>
            </w:pPr>
          </w:p>
        </w:tc>
        <w:tc>
          <w:tcPr>
            <w:tcW w:w="945" w:type="dxa"/>
            <w:tcBorders>
              <w:left w:val="single" w:color="auto" w:sz="4" w:space="0"/>
              <w:bottom w:val="single" w:color="000000" w:sz="6" w:space="0"/>
            </w:tcBorders>
          </w:tcPr>
          <w:p w14:paraId="61D48EC7">
            <w:pPr>
              <w:spacing w:line="360" w:lineRule="atLeast"/>
              <w:jc w:val="center"/>
              <w:rPr>
                <w:color w:val="auto"/>
                <w:highlight w:val="none"/>
              </w:rPr>
            </w:pPr>
            <w:r>
              <w:rPr>
                <w:rFonts w:hint="eastAsia"/>
                <w:color w:val="auto"/>
                <w:highlight w:val="none"/>
              </w:rPr>
              <w:t>202</w:t>
            </w:r>
            <w:r>
              <w:rPr>
                <w:rFonts w:hint="eastAsia"/>
                <w:color w:val="auto"/>
                <w:highlight w:val="none"/>
                <w:lang w:val="en-US" w:eastAsia="zh-CN"/>
              </w:rPr>
              <w:t>2</w:t>
            </w:r>
            <w:r>
              <w:rPr>
                <w:rFonts w:hint="eastAsia"/>
                <w:color w:val="auto"/>
                <w:highlight w:val="none"/>
              </w:rPr>
              <w:t>年</w:t>
            </w:r>
          </w:p>
        </w:tc>
        <w:tc>
          <w:tcPr>
            <w:tcW w:w="1155" w:type="dxa"/>
            <w:gridSpan w:val="2"/>
            <w:tcBorders>
              <w:bottom w:val="single" w:color="000000" w:sz="6" w:space="0"/>
            </w:tcBorders>
          </w:tcPr>
          <w:p w14:paraId="3E4FBD4B">
            <w:pPr>
              <w:spacing w:line="360" w:lineRule="atLeast"/>
              <w:rPr>
                <w:color w:val="auto"/>
                <w:highlight w:val="none"/>
              </w:rPr>
            </w:pPr>
          </w:p>
        </w:tc>
        <w:tc>
          <w:tcPr>
            <w:tcW w:w="2100" w:type="dxa"/>
            <w:gridSpan w:val="4"/>
            <w:tcBorders>
              <w:bottom w:val="single" w:color="000000" w:sz="6" w:space="0"/>
            </w:tcBorders>
          </w:tcPr>
          <w:p w14:paraId="763B4DFF">
            <w:pPr>
              <w:spacing w:line="360" w:lineRule="atLeast"/>
              <w:rPr>
                <w:color w:val="auto"/>
                <w:highlight w:val="none"/>
              </w:rPr>
            </w:pPr>
          </w:p>
        </w:tc>
        <w:tc>
          <w:tcPr>
            <w:tcW w:w="1575" w:type="dxa"/>
            <w:gridSpan w:val="3"/>
            <w:tcBorders>
              <w:bottom w:val="single" w:color="000000" w:sz="6" w:space="0"/>
            </w:tcBorders>
          </w:tcPr>
          <w:p w14:paraId="4E7782E0">
            <w:pPr>
              <w:spacing w:line="360" w:lineRule="atLeast"/>
              <w:rPr>
                <w:color w:val="auto"/>
                <w:highlight w:val="none"/>
              </w:rPr>
            </w:pPr>
          </w:p>
        </w:tc>
        <w:tc>
          <w:tcPr>
            <w:tcW w:w="2100" w:type="dxa"/>
            <w:tcBorders>
              <w:bottom w:val="single" w:color="000000" w:sz="6" w:space="0"/>
            </w:tcBorders>
          </w:tcPr>
          <w:p w14:paraId="4CE0872E">
            <w:pPr>
              <w:spacing w:line="360" w:lineRule="atLeast"/>
              <w:rPr>
                <w:color w:val="auto"/>
                <w:highlight w:val="none"/>
              </w:rPr>
            </w:pPr>
          </w:p>
        </w:tc>
      </w:tr>
      <w:tr w14:paraId="582752E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400" w:hRule="atLeast"/>
        </w:trPr>
        <w:tc>
          <w:tcPr>
            <w:tcW w:w="1575" w:type="dxa"/>
            <w:vMerge w:val="continue"/>
            <w:tcBorders>
              <w:top w:val="nil"/>
              <w:bottom w:val="single" w:color="000000" w:sz="6" w:space="0"/>
              <w:right w:val="single" w:color="auto" w:sz="4" w:space="0"/>
            </w:tcBorders>
          </w:tcPr>
          <w:p w14:paraId="3EBBAAE6">
            <w:pPr>
              <w:spacing w:line="360" w:lineRule="atLeast"/>
              <w:rPr>
                <w:color w:val="auto"/>
                <w:highlight w:val="none"/>
              </w:rPr>
            </w:pPr>
          </w:p>
        </w:tc>
        <w:tc>
          <w:tcPr>
            <w:tcW w:w="945" w:type="dxa"/>
            <w:tcBorders>
              <w:left w:val="single" w:color="auto" w:sz="4" w:space="0"/>
              <w:bottom w:val="single" w:color="000000" w:sz="6" w:space="0"/>
            </w:tcBorders>
          </w:tcPr>
          <w:p w14:paraId="71F829AE">
            <w:pPr>
              <w:spacing w:line="360" w:lineRule="atLeast"/>
              <w:jc w:val="center"/>
              <w:rPr>
                <w:color w:val="auto"/>
                <w:highlight w:val="none"/>
              </w:rPr>
            </w:pPr>
            <w:r>
              <w:rPr>
                <w:rFonts w:hint="eastAsia"/>
                <w:color w:val="auto"/>
                <w:highlight w:val="none"/>
              </w:rPr>
              <w:t>202</w:t>
            </w:r>
            <w:r>
              <w:rPr>
                <w:rFonts w:hint="eastAsia"/>
                <w:color w:val="auto"/>
                <w:highlight w:val="none"/>
                <w:lang w:val="en-US" w:eastAsia="zh-CN"/>
              </w:rPr>
              <w:t>3</w:t>
            </w:r>
            <w:r>
              <w:rPr>
                <w:rFonts w:hint="eastAsia"/>
                <w:color w:val="auto"/>
                <w:highlight w:val="none"/>
              </w:rPr>
              <w:t>年</w:t>
            </w:r>
          </w:p>
        </w:tc>
        <w:tc>
          <w:tcPr>
            <w:tcW w:w="1155" w:type="dxa"/>
            <w:gridSpan w:val="2"/>
            <w:tcBorders>
              <w:bottom w:val="single" w:color="000000" w:sz="6" w:space="0"/>
            </w:tcBorders>
          </w:tcPr>
          <w:p w14:paraId="46040C05">
            <w:pPr>
              <w:spacing w:line="360" w:lineRule="atLeast"/>
              <w:rPr>
                <w:color w:val="auto"/>
                <w:highlight w:val="none"/>
              </w:rPr>
            </w:pPr>
          </w:p>
        </w:tc>
        <w:tc>
          <w:tcPr>
            <w:tcW w:w="2100" w:type="dxa"/>
            <w:gridSpan w:val="4"/>
            <w:tcBorders>
              <w:bottom w:val="single" w:color="000000" w:sz="6" w:space="0"/>
            </w:tcBorders>
          </w:tcPr>
          <w:p w14:paraId="31CC9318">
            <w:pPr>
              <w:spacing w:line="360" w:lineRule="atLeast"/>
              <w:rPr>
                <w:color w:val="auto"/>
                <w:highlight w:val="none"/>
              </w:rPr>
            </w:pPr>
          </w:p>
        </w:tc>
        <w:tc>
          <w:tcPr>
            <w:tcW w:w="1575" w:type="dxa"/>
            <w:gridSpan w:val="3"/>
            <w:tcBorders>
              <w:bottom w:val="single" w:color="000000" w:sz="6" w:space="0"/>
            </w:tcBorders>
          </w:tcPr>
          <w:p w14:paraId="4A2F2FC4">
            <w:pPr>
              <w:spacing w:line="360" w:lineRule="atLeast"/>
              <w:rPr>
                <w:color w:val="auto"/>
                <w:highlight w:val="none"/>
              </w:rPr>
            </w:pPr>
          </w:p>
        </w:tc>
        <w:tc>
          <w:tcPr>
            <w:tcW w:w="2100" w:type="dxa"/>
            <w:tcBorders>
              <w:bottom w:val="single" w:color="000000" w:sz="6" w:space="0"/>
            </w:tcBorders>
          </w:tcPr>
          <w:p w14:paraId="58C0DA4C">
            <w:pPr>
              <w:spacing w:line="360" w:lineRule="atLeast"/>
              <w:rPr>
                <w:color w:val="auto"/>
                <w:highlight w:val="none"/>
              </w:rPr>
            </w:pPr>
          </w:p>
        </w:tc>
      </w:tr>
      <w:tr w14:paraId="62C4FF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400" w:hRule="atLeast"/>
        </w:trPr>
        <w:tc>
          <w:tcPr>
            <w:tcW w:w="1575" w:type="dxa"/>
            <w:vMerge w:val="restart"/>
            <w:tcBorders>
              <w:bottom w:val="single" w:color="000000" w:sz="6" w:space="0"/>
            </w:tcBorders>
          </w:tcPr>
          <w:p w14:paraId="03C97D98">
            <w:pPr>
              <w:spacing w:line="360" w:lineRule="atLeast"/>
              <w:jc w:val="center"/>
              <w:rPr>
                <w:color w:val="auto"/>
                <w:highlight w:val="none"/>
              </w:rPr>
            </w:pPr>
          </w:p>
          <w:p w14:paraId="6B16EFAE">
            <w:pPr>
              <w:spacing w:line="360" w:lineRule="atLeast"/>
              <w:jc w:val="center"/>
              <w:rPr>
                <w:color w:val="auto"/>
                <w:highlight w:val="none"/>
              </w:rPr>
            </w:pPr>
            <w:r>
              <w:rPr>
                <w:rFonts w:hint="eastAsia"/>
                <w:color w:val="auto"/>
                <w:highlight w:val="none"/>
              </w:rPr>
              <w:t>主要产品</w:t>
            </w:r>
          </w:p>
          <w:p w14:paraId="2BA0DB37">
            <w:pPr>
              <w:spacing w:line="360" w:lineRule="atLeast"/>
              <w:jc w:val="center"/>
              <w:rPr>
                <w:color w:val="auto"/>
                <w:highlight w:val="none"/>
              </w:rPr>
            </w:pPr>
            <w:r>
              <w:rPr>
                <w:rFonts w:hint="eastAsia"/>
                <w:color w:val="auto"/>
                <w:highlight w:val="none"/>
              </w:rPr>
              <w:t>（供货）情况</w:t>
            </w:r>
          </w:p>
        </w:tc>
        <w:tc>
          <w:tcPr>
            <w:tcW w:w="3465" w:type="dxa"/>
            <w:gridSpan w:val="6"/>
          </w:tcPr>
          <w:p w14:paraId="7C134AD3">
            <w:pPr>
              <w:spacing w:line="360" w:lineRule="atLeast"/>
              <w:jc w:val="center"/>
              <w:rPr>
                <w:color w:val="auto"/>
                <w:highlight w:val="none"/>
              </w:rPr>
            </w:pPr>
            <w:r>
              <w:rPr>
                <w:rFonts w:hint="eastAsia"/>
                <w:color w:val="auto"/>
                <w:highlight w:val="none"/>
              </w:rPr>
              <w:t>产品/项目名称</w:t>
            </w:r>
          </w:p>
        </w:tc>
        <w:tc>
          <w:tcPr>
            <w:tcW w:w="4410" w:type="dxa"/>
            <w:gridSpan w:val="5"/>
          </w:tcPr>
          <w:p w14:paraId="3DAED817">
            <w:pPr>
              <w:spacing w:line="360" w:lineRule="atLeast"/>
              <w:jc w:val="center"/>
              <w:rPr>
                <w:color w:val="auto"/>
                <w:highlight w:val="none"/>
              </w:rPr>
            </w:pPr>
            <w:r>
              <w:rPr>
                <w:rFonts w:hint="eastAsia"/>
                <w:color w:val="auto"/>
                <w:highlight w:val="none"/>
              </w:rPr>
              <w:t>上年销售值（万元）</w:t>
            </w:r>
          </w:p>
        </w:tc>
      </w:tr>
      <w:tr w14:paraId="158326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400" w:hRule="atLeast"/>
        </w:trPr>
        <w:tc>
          <w:tcPr>
            <w:tcW w:w="1575" w:type="dxa"/>
            <w:vMerge w:val="continue"/>
            <w:tcBorders>
              <w:top w:val="nil"/>
              <w:bottom w:val="single" w:color="000000" w:sz="6" w:space="0"/>
            </w:tcBorders>
          </w:tcPr>
          <w:p w14:paraId="741D4193">
            <w:pPr>
              <w:spacing w:line="360" w:lineRule="atLeast"/>
              <w:rPr>
                <w:color w:val="auto"/>
                <w:highlight w:val="none"/>
              </w:rPr>
            </w:pPr>
          </w:p>
        </w:tc>
        <w:tc>
          <w:tcPr>
            <w:tcW w:w="3465" w:type="dxa"/>
            <w:gridSpan w:val="6"/>
          </w:tcPr>
          <w:p w14:paraId="70177D42">
            <w:pPr>
              <w:spacing w:line="360" w:lineRule="atLeast"/>
              <w:rPr>
                <w:color w:val="auto"/>
                <w:highlight w:val="none"/>
              </w:rPr>
            </w:pPr>
          </w:p>
        </w:tc>
        <w:tc>
          <w:tcPr>
            <w:tcW w:w="4410" w:type="dxa"/>
            <w:gridSpan w:val="5"/>
          </w:tcPr>
          <w:p w14:paraId="6F1AC9C8">
            <w:pPr>
              <w:spacing w:line="360" w:lineRule="atLeast"/>
              <w:rPr>
                <w:color w:val="auto"/>
                <w:highlight w:val="none"/>
              </w:rPr>
            </w:pPr>
          </w:p>
        </w:tc>
      </w:tr>
      <w:tr w14:paraId="09BE76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400" w:hRule="atLeast"/>
        </w:trPr>
        <w:tc>
          <w:tcPr>
            <w:tcW w:w="1575" w:type="dxa"/>
            <w:vMerge w:val="continue"/>
            <w:tcBorders>
              <w:top w:val="nil"/>
              <w:bottom w:val="single" w:color="000000" w:sz="6" w:space="0"/>
            </w:tcBorders>
          </w:tcPr>
          <w:p w14:paraId="27C1DDB8">
            <w:pPr>
              <w:spacing w:line="360" w:lineRule="atLeast"/>
              <w:rPr>
                <w:color w:val="auto"/>
                <w:highlight w:val="none"/>
              </w:rPr>
            </w:pPr>
          </w:p>
        </w:tc>
        <w:tc>
          <w:tcPr>
            <w:tcW w:w="3465" w:type="dxa"/>
            <w:gridSpan w:val="6"/>
          </w:tcPr>
          <w:p w14:paraId="642D77C6">
            <w:pPr>
              <w:spacing w:line="360" w:lineRule="atLeast"/>
              <w:rPr>
                <w:color w:val="auto"/>
                <w:highlight w:val="none"/>
              </w:rPr>
            </w:pPr>
          </w:p>
        </w:tc>
        <w:tc>
          <w:tcPr>
            <w:tcW w:w="4410" w:type="dxa"/>
            <w:gridSpan w:val="5"/>
          </w:tcPr>
          <w:p w14:paraId="6FE46829">
            <w:pPr>
              <w:spacing w:line="360" w:lineRule="atLeast"/>
              <w:rPr>
                <w:color w:val="auto"/>
                <w:highlight w:val="none"/>
              </w:rPr>
            </w:pPr>
          </w:p>
        </w:tc>
      </w:tr>
      <w:tr w14:paraId="5CF0BE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400" w:hRule="atLeast"/>
        </w:trPr>
        <w:tc>
          <w:tcPr>
            <w:tcW w:w="1575" w:type="dxa"/>
            <w:vMerge w:val="continue"/>
            <w:tcBorders>
              <w:top w:val="nil"/>
              <w:bottom w:val="single" w:color="000000" w:sz="6" w:space="0"/>
            </w:tcBorders>
          </w:tcPr>
          <w:p w14:paraId="7E322F4E">
            <w:pPr>
              <w:spacing w:line="360" w:lineRule="atLeast"/>
              <w:rPr>
                <w:color w:val="auto"/>
                <w:highlight w:val="none"/>
              </w:rPr>
            </w:pPr>
          </w:p>
        </w:tc>
        <w:tc>
          <w:tcPr>
            <w:tcW w:w="3465" w:type="dxa"/>
            <w:gridSpan w:val="6"/>
          </w:tcPr>
          <w:p w14:paraId="6A8CDBDE">
            <w:pPr>
              <w:spacing w:line="360" w:lineRule="atLeast"/>
              <w:rPr>
                <w:color w:val="auto"/>
                <w:highlight w:val="none"/>
              </w:rPr>
            </w:pPr>
          </w:p>
        </w:tc>
        <w:tc>
          <w:tcPr>
            <w:tcW w:w="4410" w:type="dxa"/>
            <w:gridSpan w:val="5"/>
          </w:tcPr>
          <w:p w14:paraId="045FDA08">
            <w:pPr>
              <w:spacing w:line="360" w:lineRule="atLeast"/>
              <w:rPr>
                <w:color w:val="auto"/>
                <w:highlight w:val="none"/>
              </w:rPr>
            </w:pPr>
          </w:p>
        </w:tc>
      </w:tr>
    </w:tbl>
    <w:p w14:paraId="065FEE79">
      <w:pPr>
        <w:spacing w:before="120" w:line="360" w:lineRule="atLeast"/>
        <w:ind w:left="-357"/>
        <w:rPr>
          <w:b/>
          <w:color w:val="auto"/>
          <w:sz w:val="28"/>
          <w:highlight w:val="none"/>
        </w:rPr>
      </w:pPr>
    </w:p>
    <w:p w14:paraId="2C960BB9">
      <w:pPr>
        <w:spacing w:line="400" w:lineRule="atLeast"/>
        <w:ind w:left="1275"/>
        <w:rPr>
          <w:b/>
          <w:color w:val="auto"/>
          <w:sz w:val="28"/>
          <w:highlight w:val="none"/>
        </w:rPr>
      </w:pPr>
    </w:p>
    <w:p w14:paraId="351D75C7">
      <w:pPr>
        <w:widowControl/>
        <w:spacing w:line="240" w:lineRule="auto"/>
        <w:rPr>
          <w:rFonts w:ascii="宋体" w:hAnsi="宋体" w:cs="宋体"/>
          <w:b/>
          <w:color w:val="auto"/>
          <w:szCs w:val="24"/>
          <w:highlight w:val="none"/>
        </w:rPr>
      </w:pPr>
    </w:p>
    <w:p w14:paraId="7CCEACA4">
      <w:pPr>
        <w:ind w:firstLine="284" w:firstLineChars="118"/>
        <w:jc w:val="center"/>
        <w:rPr>
          <w:rFonts w:ascii="宋体" w:hAnsi="宋体" w:cs="宋体"/>
          <w:b/>
          <w:color w:val="auto"/>
          <w:szCs w:val="24"/>
          <w:highlight w:val="none"/>
        </w:rPr>
      </w:pPr>
    </w:p>
    <w:p w14:paraId="1334EF83">
      <w:pPr>
        <w:rPr>
          <w:rFonts w:ascii="宋体" w:hAnsi="宋体" w:cs="宋体"/>
          <w:b/>
          <w:color w:val="auto"/>
          <w:szCs w:val="24"/>
          <w:highlight w:val="none"/>
        </w:rPr>
      </w:pPr>
      <w:r>
        <w:rPr>
          <w:rFonts w:ascii="宋体" w:hAnsi="宋体" w:cs="宋体"/>
          <w:b/>
          <w:color w:val="auto"/>
          <w:szCs w:val="24"/>
          <w:highlight w:val="none"/>
        </w:rPr>
        <w:br w:type="page"/>
      </w:r>
    </w:p>
    <w:p w14:paraId="76218394">
      <w:pPr>
        <w:ind w:firstLine="284" w:firstLineChars="118"/>
        <w:jc w:val="center"/>
        <w:rPr>
          <w:rFonts w:ascii="宋体" w:hAnsi="宋体" w:cs="宋体"/>
          <w:color w:val="auto"/>
          <w:sz w:val="28"/>
          <w:szCs w:val="28"/>
          <w:highlight w:val="none"/>
        </w:rPr>
      </w:pPr>
      <w:r>
        <w:rPr>
          <w:rFonts w:ascii="宋体" w:hAnsi="宋体" w:cs="宋体"/>
          <w:b/>
          <w:color w:val="auto"/>
          <w:szCs w:val="24"/>
          <w:highlight w:val="none"/>
        </w:rPr>
        <w:t>8-2.</w:t>
      </w:r>
      <w:r>
        <w:rPr>
          <w:rFonts w:hint="eastAsia" w:ascii="宋体" w:hAnsi="宋体" w:cs="宋体"/>
          <w:b/>
          <w:color w:val="auto"/>
          <w:szCs w:val="24"/>
          <w:highlight w:val="none"/>
        </w:rPr>
        <w:t>拟派人员表</w:t>
      </w:r>
    </w:p>
    <w:p w14:paraId="58E0E699">
      <w:pPr>
        <w:jc w:val="center"/>
        <w:rPr>
          <w:rFonts w:ascii="宋体" w:hAnsi="宋体"/>
          <w:b/>
          <w:color w:val="auto"/>
          <w:sz w:val="32"/>
          <w:highlight w:val="none"/>
        </w:rPr>
      </w:pPr>
    </w:p>
    <w:tbl>
      <w:tblPr>
        <w:tblStyle w:val="27"/>
        <w:tblW w:w="8829"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93"/>
        <w:gridCol w:w="1701"/>
        <w:gridCol w:w="1158"/>
        <w:gridCol w:w="1801"/>
        <w:gridCol w:w="1578"/>
        <w:gridCol w:w="1598"/>
      </w:tblGrid>
      <w:tr w14:paraId="24A5E3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7" w:hRule="atLeast"/>
        </w:trPr>
        <w:tc>
          <w:tcPr>
            <w:tcW w:w="993" w:type="dxa"/>
            <w:vAlign w:val="center"/>
          </w:tcPr>
          <w:p w14:paraId="2D783C4E">
            <w:pPr>
              <w:snapToGrid w:val="0"/>
              <w:jc w:val="center"/>
              <w:rPr>
                <w:rFonts w:ascii="宋体" w:hAnsi="宋体"/>
                <w:color w:val="auto"/>
                <w:highlight w:val="none"/>
              </w:rPr>
            </w:pPr>
            <w:r>
              <w:rPr>
                <w:rFonts w:hint="eastAsia" w:ascii="宋体" w:hAnsi="宋体"/>
                <w:color w:val="auto"/>
                <w:highlight w:val="none"/>
              </w:rPr>
              <w:t>序号</w:t>
            </w:r>
          </w:p>
        </w:tc>
        <w:tc>
          <w:tcPr>
            <w:tcW w:w="1701" w:type="dxa"/>
            <w:vAlign w:val="center"/>
          </w:tcPr>
          <w:p w14:paraId="0C86DFAE">
            <w:pPr>
              <w:snapToGrid w:val="0"/>
              <w:jc w:val="center"/>
              <w:rPr>
                <w:rFonts w:ascii="宋体" w:hAnsi="宋体"/>
                <w:color w:val="auto"/>
                <w:highlight w:val="none"/>
              </w:rPr>
            </w:pPr>
            <w:r>
              <w:rPr>
                <w:rFonts w:hint="eastAsia" w:ascii="宋体" w:hAnsi="宋体"/>
                <w:color w:val="auto"/>
                <w:highlight w:val="none"/>
              </w:rPr>
              <w:t>姓名</w:t>
            </w:r>
          </w:p>
        </w:tc>
        <w:tc>
          <w:tcPr>
            <w:tcW w:w="1158" w:type="dxa"/>
            <w:vAlign w:val="center"/>
          </w:tcPr>
          <w:p w14:paraId="287B0E45">
            <w:pPr>
              <w:snapToGrid w:val="0"/>
              <w:jc w:val="center"/>
              <w:rPr>
                <w:rFonts w:hint="default" w:ascii="宋体" w:hAnsi="宋体" w:eastAsia="宋体"/>
                <w:color w:val="auto"/>
                <w:highlight w:val="none"/>
                <w:lang w:val="en-US" w:eastAsia="zh-CN"/>
              </w:rPr>
            </w:pPr>
            <w:r>
              <w:rPr>
                <w:rFonts w:hint="eastAsia" w:ascii="宋体" w:hAnsi="宋体"/>
                <w:color w:val="auto"/>
                <w:highlight w:val="none"/>
                <w:lang w:val="en-US" w:eastAsia="zh-CN"/>
              </w:rPr>
              <w:t>年龄</w:t>
            </w:r>
          </w:p>
        </w:tc>
        <w:tc>
          <w:tcPr>
            <w:tcW w:w="1801" w:type="dxa"/>
            <w:vAlign w:val="center"/>
          </w:tcPr>
          <w:p w14:paraId="34894677">
            <w:pPr>
              <w:snapToGrid w:val="0"/>
              <w:jc w:val="center"/>
              <w:rPr>
                <w:rFonts w:hint="default" w:ascii="宋体" w:hAnsi="宋体" w:eastAsia="宋体"/>
                <w:color w:val="auto"/>
                <w:highlight w:val="none"/>
                <w:lang w:val="en-US" w:eastAsia="zh-CN"/>
              </w:rPr>
            </w:pPr>
            <w:r>
              <w:rPr>
                <w:rFonts w:hint="eastAsia" w:ascii="宋体" w:hAnsi="宋体"/>
                <w:color w:val="auto"/>
                <w:highlight w:val="none"/>
              </w:rPr>
              <w:t>职务</w:t>
            </w:r>
          </w:p>
        </w:tc>
        <w:tc>
          <w:tcPr>
            <w:tcW w:w="1578" w:type="dxa"/>
            <w:vAlign w:val="center"/>
          </w:tcPr>
          <w:p w14:paraId="2E2884AA">
            <w:pPr>
              <w:snapToGrid w:val="0"/>
              <w:jc w:val="center"/>
              <w:rPr>
                <w:rFonts w:ascii="宋体" w:hAnsi="宋体"/>
                <w:color w:val="auto"/>
                <w:highlight w:val="none"/>
              </w:rPr>
            </w:pPr>
            <w:r>
              <w:rPr>
                <w:rFonts w:hint="eastAsia" w:ascii="宋体" w:hAnsi="宋体"/>
                <w:color w:val="auto"/>
                <w:highlight w:val="none"/>
              </w:rPr>
              <w:t>证书名称</w:t>
            </w:r>
          </w:p>
        </w:tc>
        <w:tc>
          <w:tcPr>
            <w:tcW w:w="1598" w:type="dxa"/>
            <w:vAlign w:val="center"/>
          </w:tcPr>
          <w:p w14:paraId="472E051A">
            <w:pPr>
              <w:snapToGrid w:val="0"/>
              <w:jc w:val="center"/>
              <w:rPr>
                <w:rFonts w:ascii="宋体" w:hAnsi="宋体"/>
                <w:color w:val="auto"/>
                <w:highlight w:val="none"/>
              </w:rPr>
            </w:pPr>
            <w:r>
              <w:rPr>
                <w:rFonts w:hint="eastAsia" w:ascii="宋体" w:hAnsi="宋体"/>
                <w:color w:val="auto"/>
                <w:highlight w:val="none"/>
              </w:rPr>
              <w:t>备注</w:t>
            </w:r>
          </w:p>
        </w:tc>
      </w:tr>
      <w:tr w14:paraId="5426B0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7" w:hRule="atLeast"/>
        </w:trPr>
        <w:tc>
          <w:tcPr>
            <w:tcW w:w="993" w:type="dxa"/>
            <w:vAlign w:val="center"/>
          </w:tcPr>
          <w:p w14:paraId="51CFF15B">
            <w:pPr>
              <w:jc w:val="center"/>
              <w:rPr>
                <w:rFonts w:ascii="宋体" w:hAnsi="宋体"/>
                <w:color w:val="auto"/>
                <w:highlight w:val="none"/>
              </w:rPr>
            </w:pPr>
          </w:p>
        </w:tc>
        <w:tc>
          <w:tcPr>
            <w:tcW w:w="1701" w:type="dxa"/>
            <w:vAlign w:val="center"/>
          </w:tcPr>
          <w:p w14:paraId="3797041D">
            <w:pPr>
              <w:rPr>
                <w:rFonts w:ascii="宋体" w:hAnsi="宋体"/>
                <w:color w:val="auto"/>
                <w:highlight w:val="none"/>
              </w:rPr>
            </w:pPr>
          </w:p>
        </w:tc>
        <w:tc>
          <w:tcPr>
            <w:tcW w:w="1158" w:type="dxa"/>
          </w:tcPr>
          <w:p w14:paraId="36484AEA">
            <w:pPr>
              <w:rPr>
                <w:rFonts w:ascii="宋体" w:hAnsi="宋体"/>
                <w:color w:val="auto"/>
                <w:highlight w:val="none"/>
              </w:rPr>
            </w:pPr>
          </w:p>
        </w:tc>
        <w:tc>
          <w:tcPr>
            <w:tcW w:w="1801" w:type="dxa"/>
          </w:tcPr>
          <w:p w14:paraId="6B1DFB4F">
            <w:pPr>
              <w:rPr>
                <w:rFonts w:ascii="宋体" w:hAnsi="宋体"/>
                <w:color w:val="auto"/>
                <w:highlight w:val="none"/>
              </w:rPr>
            </w:pPr>
          </w:p>
        </w:tc>
        <w:tc>
          <w:tcPr>
            <w:tcW w:w="1578" w:type="dxa"/>
            <w:vAlign w:val="center"/>
          </w:tcPr>
          <w:p w14:paraId="35D9E344">
            <w:pPr>
              <w:rPr>
                <w:rFonts w:ascii="宋体" w:hAnsi="宋体"/>
                <w:color w:val="auto"/>
                <w:highlight w:val="none"/>
              </w:rPr>
            </w:pPr>
          </w:p>
        </w:tc>
        <w:tc>
          <w:tcPr>
            <w:tcW w:w="1598" w:type="dxa"/>
            <w:vAlign w:val="center"/>
          </w:tcPr>
          <w:p w14:paraId="6B2E21E3">
            <w:pPr>
              <w:rPr>
                <w:rFonts w:ascii="宋体" w:hAnsi="宋体"/>
                <w:color w:val="auto"/>
                <w:highlight w:val="none"/>
              </w:rPr>
            </w:pPr>
          </w:p>
        </w:tc>
      </w:tr>
      <w:tr w14:paraId="1E2E2D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8" w:hRule="atLeast"/>
        </w:trPr>
        <w:tc>
          <w:tcPr>
            <w:tcW w:w="993" w:type="dxa"/>
            <w:vAlign w:val="center"/>
          </w:tcPr>
          <w:p w14:paraId="4BD57431">
            <w:pPr>
              <w:jc w:val="center"/>
              <w:rPr>
                <w:rFonts w:ascii="宋体" w:hAnsi="宋体"/>
                <w:color w:val="auto"/>
                <w:highlight w:val="none"/>
              </w:rPr>
            </w:pPr>
          </w:p>
        </w:tc>
        <w:tc>
          <w:tcPr>
            <w:tcW w:w="1701" w:type="dxa"/>
            <w:vAlign w:val="center"/>
          </w:tcPr>
          <w:p w14:paraId="72FA148A">
            <w:pPr>
              <w:rPr>
                <w:rFonts w:ascii="宋体" w:hAnsi="宋体"/>
                <w:color w:val="auto"/>
                <w:highlight w:val="none"/>
              </w:rPr>
            </w:pPr>
          </w:p>
        </w:tc>
        <w:tc>
          <w:tcPr>
            <w:tcW w:w="1158" w:type="dxa"/>
          </w:tcPr>
          <w:p w14:paraId="3325F942">
            <w:pPr>
              <w:rPr>
                <w:rFonts w:ascii="宋体" w:hAnsi="宋体"/>
                <w:color w:val="auto"/>
                <w:highlight w:val="none"/>
              </w:rPr>
            </w:pPr>
          </w:p>
        </w:tc>
        <w:tc>
          <w:tcPr>
            <w:tcW w:w="1801" w:type="dxa"/>
          </w:tcPr>
          <w:p w14:paraId="62A6B59D">
            <w:pPr>
              <w:rPr>
                <w:rFonts w:ascii="宋体" w:hAnsi="宋体"/>
                <w:color w:val="auto"/>
                <w:highlight w:val="none"/>
              </w:rPr>
            </w:pPr>
          </w:p>
        </w:tc>
        <w:tc>
          <w:tcPr>
            <w:tcW w:w="1578" w:type="dxa"/>
            <w:vAlign w:val="center"/>
          </w:tcPr>
          <w:p w14:paraId="2CFF12E1">
            <w:pPr>
              <w:rPr>
                <w:rFonts w:ascii="宋体" w:hAnsi="宋体"/>
                <w:color w:val="auto"/>
                <w:highlight w:val="none"/>
              </w:rPr>
            </w:pPr>
          </w:p>
        </w:tc>
        <w:tc>
          <w:tcPr>
            <w:tcW w:w="1598" w:type="dxa"/>
            <w:vAlign w:val="center"/>
          </w:tcPr>
          <w:p w14:paraId="187AD01E">
            <w:pPr>
              <w:rPr>
                <w:rFonts w:ascii="宋体" w:hAnsi="宋体"/>
                <w:color w:val="auto"/>
                <w:highlight w:val="none"/>
              </w:rPr>
            </w:pPr>
          </w:p>
        </w:tc>
      </w:tr>
      <w:tr w14:paraId="125251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8" w:hRule="atLeast"/>
        </w:trPr>
        <w:tc>
          <w:tcPr>
            <w:tcW w:w="993" w:type="dxa"/>
            <w:vAlign w:val="center"/>
          </w:tcPr>
          <w:p w14:paraId="041F264E">
            <w:pPr>
              <w:jc w:val="center"/>
              <w:rPr>
                <w:rFonts w:ascii="宋体" w:hAnsi="宋体"/>
                <w:color w:val="auto"/>
                <w:highlight w:val="none"/>
              </w:rPr>
            </w:pPr>
          </w:p>
        </w:tc>
        <w:tc>
          <w:tcPr>
            <w:tcW w:w="1701" w:type="dxa"/>
            <w:vAlign w:val="center"/>
          </w:tcPr>
          <w:p w14:paraId="413070C2">
            <w:pPr>
              <w:rPr>
                <w:rFonts w:ascii="宋体" w:hAnsi="宋体"/>
                <w:color w:val="auto"/>
                <w:highlight w:val="none"/>
              </w:rPr>
            </w:pPr>
          </w:p>
        </w:tc>
        <w:tc>
          <w:tcPr>
            <w:tcW w:w="1158" w:type="dxa"/>
          </w:tcPr>
          <w:p w14:paraId="1DB42A23">
            <w:pPr>
              <w:rPr>
                <w:rFonts w:ascii="宋体" w:hAnsi="宋体"/>
                <w:color w:val="auto"/>
                <w:highlight w:val="none"/>
              </w:rPr>
            </w:pPr>
          </w:p>
        </w:tc>
        <w:tc>
          <w:tcPr>
            <w:tcW w:w="1801" w:type="dxa"/>
          </w:tcPr>
          <w:p w14:paraId="36DE2C03">
            <w:pPr>
              <w:rPr>
                <w:rFonts w:ascii="宋体" w:hAnsi="宋体"/>
                <w:color w:val="auto"/>
                <w:highlight w:val="none"/>
              </w:rPr>
            </w:pPr>
          </w:p>
        </w:tc>
        <w:tc>
          <w:tcPr>
            <w:tcW w:w="1578" w:type="dxa"/>
            <w:vAlign w:val="center"/>
          </w:tcPr>
          <w:p w14:paraId="1DF992AF">
            <w:pPr>
              <w:rPr>
                <w:rFonts w:ascii="宋体" w:hAnsi="宋体"/>
                <w:color w:val="auto"/>
                <w:highlight w:val="none"/>
              </w:rPr>
            </w:pPr>
          </w:p>
        </w:tc>
        <w:tc>
          <w:tcPr>
            <w:tcW w:w="1598" w:type="dxa"/>
            <w:vAlign w:val="center"/>
          </w:tcPr>
          <w:p w14:paraId="2105896D">
            <w:pPr>
              <w:rPr>
                <w:rFonts w:ascii="宋体" w:hAnsi="宋体"/>
                <w:color w:val="auto"/>
                <w:highlight w:val="none"/>
              </w:rPr>
            </w:pPr>
          </w:p>
        </w:tc>
      </w:tr>
      <w:tr w14:paraId="5A84BB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8" w:hRule="atLeast"/>
        </w:trPr>
        <w:tc>
          <w:tcPr>
            <w:tcW w:w="993" w:type="dxa"/>
            <w:vAlign w:val="center"/>
          </w:tcPr>
          <w:p w14:paraId="4D2AB195">
            <w:pPr>
              <w:jc w:val="center"/>
              <w:rPr>
                <w:rFonts w:ascii="宋体" w:hAnsi="宋体"/>
                <w:color w:val="auto"/>
                <w:highlight w:val="none"/>
              </w:rPr>
            </w:pPr>
          </w:p>
        </w:tc>
        <w:tc>
          <w:tcPr>
            <w:tcW w:w="1701" w:type="dxa"/>
            <w:vAlign w:val="center"/>
          </w:tcPr>
          <w:p w14:paraId="5F423E14">
            <w:pPr>
              <w:rPr>
                <w:rFonts w:ascii="宋体" w:hAnsi="宋体"/>
                <w:color w:val="auto"/>
                <w:highlight w:val="none"/>
              </w:rPr>
            </w:pPr>
          </w:p>
        </w:tc>
        <w:tc>
          <w:tcPr>
            <w:tcW w:w="1158" w:type="dxa"/>
          </w:tcPr>
          <w:p w14:paraId="2A070435">
            <w:pPr>
              <w:rPr>
                <w:rFonts w:ascii="宋体" w:hAnsi="宋体"/>
                <w:color w:val="auto"/>
                <w:highlight w:val="none"/>
              </w:rPr>
            </w:pPr>
          </w:p>
        </w:tc>
        <w:tc>
          <w:tcPr>
            <w:tcW w:w="1801" w:type="dxa"/>
          </w:tcPr>
          <w:p w14:paraId="5E7D118A">
            <w:pPr>
              <w:rPr>
                <w:rFonts w:ascii="宋体" w:hAnsi="宋体"/>
                <w:color w:val="auto"/>
                <w:highlight w:val="none"/>
              </w:rPr>
            </w:pPr>
          </w:p>
        </w:tc>
        <w:tc>
          <w:tcPr>
            <w:tcW w:w="1578" w:type="dxa"/>
            <w:vAlign w:val="center"/>
          </w:tcPr>
          <w:p w14:paraId="2C379D27">
            <w:pPr>
              <w:rPr>
                <w:rFonts w:ascii="宋体" w:hAnsi="宋体"/>
                <w:color w:val="auto"/>
                <w:highlight w:val="none"/>
              </w:rPr>
            </w:pPr>
          </w:p>
        </w:tc>
        <w:tc>
          <w:tcPr>
            <w:tcW w:w="1598" w:type="dxa"/>
            <w:vAlign w:val="center"/>
          </w:tcPr>
          <w:p w14:paraId="0932632D">
            <w:pPr>
              <w:rPr>
                <w:rFonts w:ascii="宋体" w:hAnsi="宋体"/>
                <w:color w:val="auto"/>
                <w:highlight w:val="none"/>
              </w:rPr>
            </w:pPr>
          </w:p>
        </w:tc>
      </w:tr>
      <w:tr w14:paraId="7D0E2F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8" w:hRule="atLeast"/>
        </w:trPr>
        <w:tc>
          <w:tcPr>
            <w:tcW w:w="993" w:type="dxa"/>
            <w:vAlign w:val="center"/>
          </w:tcPr>
          <w:p w14:paraId="0800DC88">
            <w:pPr>
              <w:jc w:val="center"/>
              <w:rPr>
                <w:rFonts w:ascii="宋体" w:hAnsi="宋体"/>
                <w:color w:val="auto"/>
                <w:highlight w:val="none"/>
              </w:rPr>
            </w:pPr>
          </w:p>
        </w:tc>
        <w:tc>
          <w:tcPr>
            <w:tcW w:w="1701" w:type="dxa"/>
            <w:vAlign w:val="center"/>
          </w:tcPr>
          <w:p w14:paraId="699D547F">
            <w:pPr>
              <w:rPr>
                <w:rFonts w:ascii="宋体" w:hAnsi="宋体"/>
                <w:color w:val="auto"/>
                <w:highlight w:val="none"/>
              </w:rPr>
            </w:pPr>
          </w:p>
        </w:tc>
        <w:tc>
          <w:tcPr>
            <w:tcW w:w="1158" w:type="dxa"/>
          </w:tcPr>
          <w:p w14:paraId="73CD6857">
            <w:pPr>
              <w:rPr>
                <w:rFonts w:ascii="宋体" w:hAnsi="宋体"/>
                <w:color w:val="auto"/>
                <w:highlight w:val="none"/>
              </w:rPr>
            </w:pPr>
          </w:p>
        </w:tc>
        <w:tc>
          <w:tcPr>
            <w:tcW w:w="1801" w:type="dxa"/>
          </w:tcPr>
          <w:p w14:paraId="43DAAF24">
            <w:pPr>
              <w:rPr>
                <w:rFonts w:ascii="宋体" w:hAnsi="宋体"/>
                <w:color w:val="auto"/>
                <w:highlight w:val="none"/>
              </w:rPr>
            </w:pPr>
          </w:p>
        </w:tc>
        <w:tc>
          <w:tcPr>
            <w:tcW w:w="1578" w:type="dxa"/>
            <w:vAlign w:val="center"/>
          </w:tcPr>
          <w:p w14:paraId="5653899F">
            <w:pPr>
              <w:rPr>
                <w:rFonts w:ascii="宋体" w:hAnsi="宋体"/>
                <w:color w:val="auto"/>
                <w:highlight w:val="none"/>
              </w:rPr>
            </w:pPr>
          </w:p>
        </w:tc>
        <w:tc>
          <w:tcPr>
            <w:tcW w:w="1598" w:type="dxa"/>
            <w:vAlign w:val="center"/>
          </w:tcPr>
          <w:p w14:paraId="7AD62EAA">
            <w:pPr>
              <w:rPr>
                <w:rFonts w:ascii="宋体" w:hAnsi="宋体"/>
                <w:color w:val="auto"/>
                <w:highlight w:val="none"/>
              </w:rPr>
            </w:pPr>
          </w:p>
        </w:tc>
      </w:tr>
      <w:tr w14:paraId="12E624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8" w:hRule="atLeast"/>
        </w:trPr>
        <w:tc>
          <w:tcPr>
            <w:tcW w:w="993" w:type="dxa"/>
            <w:vAlign w:val="center"/>
          </w:tcPr>
          <w:p w14:paraId="57A3D1E7">
            <w:pPr>
              <w:jc w:val="center"/>
              <w:rPr>
                <w:rFonts w:ascii="宋体" w:hAnsi="宋体"/>
                <w:color w:val="auto"/>
                <w:highlight w:val="none"/>
              </w:rPr>
            </w:pPr>
          </w:p>
        </w:tc>
        <w:tc>
          <w:tcPr>
            <w:tcW w:w="1701" w:type="dxa"/>
            <w:vAlign w:val="center"/>
          </w:tcPr>
          <w:p w14:paraId="3F5C61C1">
            <w:pPr>
              <w:rPr>
                <w:rFonts w:ascii="宋体" w:hAnsi="宋体"/>
                <w:color w:val="auto"/>
                <w:highlight w:val="none"/>
              </w:rPr>
            </w:pPr>
          </w:p>
        </w:tc>
        <w:tc>
          <w:tcPr>
            <w:tcW w:w="1158" w:type="dxa"/>
          </w:tcPr>
          <w:p w14:paraId="3300876E">
            <w:pPr>
              <w:rPr>
                <w:rFonts w:ascii="宋体" w:hAnsi="宋体"/>
                <w:color w:val="auto"/>
                <w:highlight w:val="none"/>
              </w:rPr>
            </w:pPr>
          </w:p>
        </w:tc>
        <w:tc>
          <w:tcPr>
            <w:tcW w:w="1801" w:type="dxa"/>
          </w:tcPr>
          <w:p w14:paraId="566AF667">
            <w:pPr>
              <w:rPr>
                <w:rFonts w:ascii="宋体" w:hAnsi="宋体"/>
                <w:color w:val="auto"/>
                <w:highlight w:val="none"/>
              </w:rPr>
            </w:pPr>
          </w:p>
        </w:tc>
        <w:tc>
          <w:tcPr>
            <w:tcW w:w="1578" w:type="dxa"/>
            <w:vAlign w:val="center"/>
          </w:tcPr>
          <w:p w14:paraId="3AA65189">
            <w:pPr>
              <w:rPr>
                <w:rFonts w:ascii="宋体" w:hAnsi="宋体"/>
                <w:color w:val="auto"/>
                <w:highlight w:val="none"/>
              </w:rPr>
            </w:pPr>
          </w:p>
        </w:tc>
        <w:tc>
          <w:tcPr>
            <w:tcW w:w="1598" w:type="dxa"/>
            <w:vAlign w:val="center"/>
          </w:tcPr>
          <w:p w14:paraId="48A9DA68">
            <w:pPr>
              <w:rPr>
                <w:rFonts w:ascii="宋体" w:hAnsi="宋体"/>
                <w:color w:val="auto"/>
                <w:highlight w:val="none"/>
              </w:rPr>
            </w:pPr>
          </w:p>
        </w:tc>
      </w:tr>
      <w:tr w14:paraId="21D867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8" w:hRule="atLeast"/>
        </w:trPr>
        <w:tc>
          <w:tcPr>
            <w:tcW w:w="993" w:type="dxa"/>
            <w:vAlign w:val="center"/>
          </w:tcPr>
          <w:p w14:paraId="5106B38F">
            <w:pPr>
              <w:jc w:val="center"/>
              <w:rPr>
                <w:rFonts w:ascii="宋体" w:hAnsi="宋体"/>
                <w:color w:val="auto"/>
                <w:highlight w:val="none"/>
              </w:rPr>
            </w:pPr>
          </w:p>
        </w:tc>
        <w:tc>
          <w:tcPr>
            <w:tcW w:w="1701" w:type="dxa"/>
            <w:vAlign w:val="center"/>
          </w:tcPr>
          <w:p w14:paraId="7A0F5677">
            <w:pPr>
              <w:rPr>
                <w:rFonts w:ascii="宋体" w:hAnsi="宋体"/>
                <w:color w:val="auto"/>
                <w:highlight w:val="none"/>
              </w:rPr>
            </w:pPr>
          </w:p>
        </w:tc>
        <w:tc>
          <w:tcPr>
            <w:tcW w:w="1158" w:type="dxa"/>
          </w:tcPr>
          <w:p w14:paraId="7B9039E4">
            <w:pPr>
              <w:rPr>
                <w:rFonts w:ascii="宋体" w:hAnsi="宋体"/>
                <w:color w:val="auto"/>
                <w:highlight w:val="none"/>
              </w:rPr>
            </w:pPr>
          </w:p>
        </w:tc>
        <w:tc>
          <w:tcPr>
            <w:tcW w:w="1801" w:type="dxa"/>
          </w:tcPr>
          <w:p w14:paraId="763BCEB4">
            <w:pPr>
              <w:rPr>
                <w:rFonts w:ascii="宋体" w:hAnsi="宋体"/>
                <w:color w:val="auto"/>
                <w:highlight w:val="none"/>
              </w:rPr>
            </w:pPr>
          </w:p>
        </w:tc>
        <w:tc>
          <w:tcPr>
            <w:tcW w:w="1578" w:type="dxa"/>
            <w:vAlign w:val="center"/>
          </w:tcPr>
          <w:p w14:paraId="63C4B011">
            <w:pPr>
              <w:rPr>
                <w:rFonts w:ascii="宋体" w:hAnsi="宋体"/>
                <w:color w:val="auto"/>
                <w:highlight w:val="none"/>
              </w:rPr>
            </w:pPr>
          </w:p>
        </w:tc>
        <w:tc>
          <w:tcPr>
            <w:tcW w:w="1598" w:type="dxa"/>
            <w:vAlign w:val="center"/>
          </w:tcPr>
          <w:p w14:paraId="349157BA">
            <w:pPr>
              <w:rPr>
                <w:rFonts w:ascii="宋体" w:hAnsi="宋体"/>
                <w:color w:val="auto"/>
                <w:highlight w:val="none"/>
              </w:rPr>
            </w:pPr>
          </w:p>
        </w:tc>
      </w:tr>
      <w:tr w14:paraId="51347E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8" w:hRule="atLeast"/>
        </w:trPr>
        <w:tc>
          <w:tcPr>
            <w:tcW w:w="993" w:type="dxa"/>
            <w:vAlign w:val="center"/>
          </w:tcPr>
          <w:p w14:paraId="2BC13CF2">
            <w:pPr>
              <w:jc w:val="center"/>
              <w:rPr>
                <w:rFonts w:ascii="宋体" w:hAnsi="宋体"/>
                <w:color w:val="auto"/>
                <w:highlight w:val="none"/>
              </w:rPr>
            </w:pPr>
          </w:p>
        </w:tc>
        <w:tc>
          <w:tcPr>
            <w:tcW w:w="1701" w:type="dxa"/>
            <w:vAlign w:val="center"/>
          </w:tcPr>
          <w:p w14:paraId="548D3FEF">
            <w:pPr>
              <w:rPr>
                <w:rFonts w:ascii="宋体" w:hAnsi="宋体"/>
                <w:color w:val="auto"/>
                <w:highlight w:val="none"/>
              </w:rPr>
            </w:pPr>
          </w:p>
        </w:tc>
        <w:tc>
          <w:tcPr>
            <w:tcW w:w="1158" w:type="dxa"/>
          </w:tcPr>
          <w:p w14:paraId="3F389460">
            <w:pPr>
              <w:rPr>
                <w:rFonts w:ascii="宋体" w:hAnsi="宋体"/>
                <w:color w:val="auto"/>
                <w:highlight w:val="none"/>
              </w:rPr>
            </w:pPr>
          </w:p>
        </w:tc>
        <w:tc>
          <w:tcPr>
            <w:tcW w:w="1801" w:type="dxa"/>
          </w:tcPr>
          <w:p w14:paraId="1675D778">
            <w:pPr>
              <w:rPr>
                <w:rFonts w:ascii="宋体" w:hAnsi="宋体"/>
                <w:color w:val="auto"/>
                <w:highlight w:val="none"/>
              </w:rPr>
            </w:pPr>
          </w:p>
        </w:tc>
        <w:tc>
          <w:tcPr>
            <w:tcW w:w="1578" w:type="dxa"/>
            <w:vAlign w:val="center"/>
          </w:tcPr>
          <w:p w14:paraId="42E7CE7E">
            <w:pPr>
              <w:rPr>
                <w:rFonts w:ascii="宋体" w:hAnsi="宋体"/>
                <w:color w:val="auto"/>
                <w:highlight w:val="none"/>
              </w:rPr>
            </w:pPr>
          </w:p>
        </w:tc>
        <w:tc>
          <w:tcPr>
            <w:tcW w:w="1598" w:type="dxa"/>
            <w:vAlign w:val="center"/>
          </w:tcPr>
          <w:p w14:paraId="25958FC6">
            <w:pPr>
              <w:rPr>
                <w:rFonts w:ascii="宋体" w:hAnsi="宋体"/>
                <w:color w:val="auto"/>
                <w:highlight w:val="none"/>
              </w:rPr>
            </w:pPr>
          </w:p>
        </w:tc>
      </w:tr>
    </w:tbl>
    <w:p w14:paraId="4A48249D">
      <w:pPr>
        <w:widowControl/>
        <w:ind w:left="850" w:leftChars="354" w:firstLine="120" w:firstLineChars="50"/>
        <w:rPr>
          <w:rFonts w:ascii="宋体" w:hAnsi="宋体"/>
          <w:bCs/>
          <w:color w:val="auto"/>
          <w:highlight w:val="none"/>
        </w:rPr>
      </w:pPr>
    </w:p>
    <w:p w14:paraId="453B2520">
      <w:pPr>
        <w:widowControl/>
        <w:ind w:left="120" w:leftChars="50" w:firstLine="110" w:firstLineChars="50"/>
        <w:rPr>
          <w:rFonts w:ascii="宋体" w:hAnsi="宋体"/>
          <w:b/>
          <w:bCs/>
          <w:color w:val="auto"/>
          <w:sz w:val="22"/>
          <w:szCs w:val="18"/>
          <w:highlight w:val="none"/>
        </w:rPr>
      </w:pPr>
      <w:r>
        <w:rPr>
          <w:rFonts w:hint="eastAsia" w:ascii="宋体" w:hAnsi="宋体"/>
          <w:b/>
          <w:bCs/>
          <w:color w:val="auto"/>
          <w:sz w:val="22"/>
          <w:szCs w:val="18"/>
          <w:highlight w:val="none"/>
        </w:rPr>
        <w:t>注：表中给出各项仅作为参考。具体详见评分标准。</w:t>
      </w:r>
    </w:p>
    <w:p w14:paraId="682B7066">
      <w:pPr>
        <w:pStyle w:val="26"/>
        <w:ind w:left="480" w:firstLine="480"/>
        <w:rPr>
          <w:color w:val="auto"/>
          <w:highlight w:val="none"/>
        </w:rPr>
      </w:pPr>
    </w:p>
    <w:p w14:paraId="5E9BBA8F">
      <w:pPr>
        <w:pStyle w:val="26"/>
        <w:ind w:left="480" w:firstLine="480"/>
        <w:rPr>
          <w:color w:val="auto"/>
          <w:highlight w:val="none"/>
        </w:rPr>
      </w:pPr>
    </w:p>
    <w:p w14:paraId="7DD79B45">
      <w:pPr>
        <w:jc w:val="right"/>
        <w:rPr>
          <w:rFonts w:ascii="宋体"/>
          <w:b/>
          <w:bCs/>
          <w:color w:val="auto"/>
          <w:sz w:val="28"/>
          <w:szCs w:val="28"/>
          <w:highlight w:val="none"/>
        </w:rPr>
      </w:pPr>
      <w:r>
        <w:rPr>
          <w:rFonts w:hint="eastAsia" w:ascii="宋体" w:hAnsi="宋体"/>
          <w:b/>
          <w:bCs/>
          <w:color w:val="auto"/>
          <w:sz w:val="28"/>
          <w:szCs w:val="28"/>
          <w:highlight w:val="none"/>
        </w:rPr>
        <w:t>投标人：</w:t>
      </w:r>
      <w:r>
        <w:rPr>
          <w:rFonts w:hint="eastAsia" w:ascii="宋体" w:hAnsi="宋体"/>
          <w:b/>
          <w:bCs/>
          <w:color w:val="auto"/>
          <w:sz w:val="28"/>
          <w:szCs w:val="28"/>
          <w:highlight w:val="none"/>
          <w:u w:val="single"/>
        </w:rPr>
        <w:t>（全称并加盖投标人公章）</w:t>
      </w:r>
    </w:p>
    <w:p w14:paraId="63F207AA">
      <w:pPr>
        <w:jc w:val="right"/>
        <w:rPr>
          <w:rFonts w:ascii="宋体"/>
          <w:color w:val="auto"/>
          <w:sz w:val="28"/>
          <w:szCs w:val="28"/>
          <w:highlight w:val="none"/>
        </w:rPr>
      </w:pPr>
      <w:r>
        <w:rPr>
          <w:rFonts w:ascii="宋体" w:hAnsi="宋体"/>
          <w:b/>
          <w:bCs/>
          <w:color w:val="auto"/>
          <w:sz w:val="28"/>
          <w:szCs w:val="28"/>
          <w:highlight w:val="none"/>
        </w:rPr>
        <w:t>______</w:t>
      </w:r>
      <w:r>
        <w:rPr>
          <w:rFonts w:hint="eastAsia" w:ascii="宋体" w:hAnsi="宋体"/>
          <w:b/>
          <w:bCs/>
          <w:color w:val="auto"/>
          <w:sz w:val="28"/>
          <w:szCs w:val="28"/>
          <w:highlight w:val="none"/>
        </w:rPr>
        <w:t>年</w:t>
      </w:r>
      <w:r>
        <w:rPr>
          <w:rFonts w:ascii="宋体" w:hAnsi="宋体"/>
          <w:b/>
          <w:bCs/>
          <w:color w:val="auto"/>
          <w:sz w:val="28"/>
          <w:szCs w:val="28"/>
          <w:highlight w:val="none"/>
        </w:rPr>
        <w:t>_____</w:t>
      </w:r>
      <w:r>
        <w:rPr>
          <w:rFonts w:hint="eastAsia" w:ascii="宋体" w:hAnsi="宋体"/>
          <w:b/>
          <w:bCs/>
          <w:color w:val="auto"/>
          <w:sz w:val="28"/>
          <w:szCs w:val="28"/>
          <w:highlight w:val="none"/>
        </w:rPr>
        <w:t>月</w:t>
      </w:r>
      <w:r>
        <w:rPr>
          <w:rFonts w:ascii="宋体" w:hAnsi="宋体"/>
          <w:b/>
          <w:bCs/>
          <w:color w:val="auto"/>
          <w:sz w:val="28"/>
          <w:szCs w:val="28"/>
          <w:highlight w:val="none"/>
        </w:rPr>
        <w:t>_____</w:t>
      </w:r>
      <w:r>
        <w:rPr>
          <w:rFonts w:hint="eastAsia" w:ascii="宋体" w:hAnsi="宋体"/>
          <w:b/>
          <w:bCs/>
          <w:color w:val="auto"/>
          <w:sz w:val="28"/>
          <w:szCs w:val="28"/>
          <w:highlight w:val="none"/>
        </w:rPr>
        <w:t>日</w:t>
      </w:r>
    </w:p>
    <w:p w14:paraId="675A99BE">
      <w:pPr>
        <w:pStyle w:val="26"/>
        <w:ind w:left="480" w:firstLine="480"/>
        <w:rPr>
          <w:color w:val="auto"/>
          <w:highlight w:val="none"/>
        </w:rPr>
      </w:pPr>
    </w:p>
    <w:p w14:paraId="2D3D0FA9">
      <w:pPr>
        <w:jc w:val="right"/>
        <w:rPr>
          <w:rFonts w:ascii="宋体"/>
          <w:b/>
          <w:color w:val="auto"/>
          <w:sz w:val="32"/>
          <w:szCs w:val="32"/>
          <w:highlight w:val="none"/>
        </w:rPr>
      </w:pPr>
      <w:r>
        <w:rPr>
          <w:rFonts w:ascii="宋体"/>
          <w:b/>
          <w:color w:val="auto"/>
          <w:sz w:val="32"/>
          <w:szCs w:val="32"/>
          <w:highlight w:val="none"/>
        </w:rPr>
        <w:br w:type="page"/>
      </w:r>
    </w:p>
    <w:p w14:paraId="33CC689E">
      <w:pPr>
        <w:widowControl/>
        <w:rPr>
          <w:rFonts w:ascii="宋体"/>
          <w:color w:val="auto"/>
          <w:highlight w:val="none"/>
        </w:rPr>
      </w:pPr>
    </w:p>
    <w:p w14:paraId="0C6AF71C">
      <w:pPr>
        <w:ind w:firstLine="284" w:firstLineChars="118"/>
        <w:jc w:val="center"/>
        <w:rPr>
          <w:rFonts w:ascii="宋体" w:hAnsi="宋体" w:cs="宋体"/>
          <w:b/>
          <w:color w:val="auto"/>
          <w:szCs w:val="24"/>
          <w:highlight w:val="none"/>
        </w:rPr>
      </w:pPr>
      <w:r>
        <w:rPr>
          <w:rFonts w:ascii="宋体" w:hAnsi="宋体" w:cs="宋体"/>
          <w:b/>
          <w:color w:val="auto"/>
          <w:szCs w:val="24"/>
          <w:highlight w:val="none"/>
        </w:rPr>
        <w:t>8-3.</w:t>
      </w:r>
      <w:r>
        <w:rPr>
          <w:rFonts w:hint="eastAsia" w:ascii="宋体" w:hAnsi="宋体" w:cs="宋体"/>
          <w:b/>
          <w:color w:val="auto"/>
          <w:szCs w:val="24"/>
          <w:highlight w:val="none"/>
        </w:rPr>
        <w:t>类似项目业绩表（需附有效证明文件）</w:t>
      </w:r>
    </w:p>
    <w:p w14:paraId="275F9EF8">
      <w:pPr>
        <w:jc w:val="center"/>
        <w:rPr>
          <w:color w:val="auto"/>
          <w:highlight w:val="none"/>
        </w:rPr>
      </w:pPr>
    </w:p>
    <w:tbl>
      <w:tblPr>
        <w:tblStyle w:val="27"/>
        <w:tblW w:w="903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7"/>
        <w:gridCol w:w="2443"/>
        <w:gridCol w:w="1559"/>
        <w:gridCol w:w="1810"/>
        <w:gridCol w:w="1134"/>
        <w:gridCol w:w="1276"/>
      </w:tblGrid>
      <w:tr w14:paraId="523438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817" w:type="dxa"/>
            <w:vAlign w:val="center"/>
          </w:tcPr>
          <w:p w14:paraId="47CD84FF">
            <w:pPr>
              <w:widowControl/>
              <w:jc w:val="center"/>
              <w:rPr>
                <w:rFonts w:ascii="宋体" w:hAnsi="宋体"/>
                <w:b/>
                <w:color w:val="auto"/>
                <w:highlight w:val="none"/>
              </w:rPr>
            </w:pPr>
            <w:r>
              <w:rPr>
                <w:rFonts w:hint="eastAsia" w:ascii="宋体" w:hAnsi="宋体"/>
                <w:b/>
                <w:color w:val="auto"/>
                <w:highlight w:val="none"/>
              </w:rPr>
              <w:t>序号</w:t>
            </w:r>
          </w:p>
        </w:tc>
        <w:tc>
          <w:tcPr>
            <w:tcW w:w="2443" w:type="dxa"/>
            <w:vAlign w:val="center"/>
          </w:tcPr>
          <w:p w14:paraId="1EC3074C">
            <w:pPr>
              <w:widowControl/>
              <w:jc w:val="center"/>
              <w:rPr>
                <w:rFonts w:ascii="宋体" w:hAnsi="宋体"/>
                <w:b/>
                <w:color w:val="auto"/>
                <w:highlight w:val="none"/>
              </w:rPr>
            </w:pPr>
            <w:r>
              <w:rPr>
                <w:rFonts w:hint="eastAsia" w:ascii="宋体" w:hAnsi="宋体"/>
                <w:b/>
                <w:color w:val="auto"/>
                <w:highlight w:val="none"/>
              </w:rPr>
              <w:t>项目名称</w:t>
            </w:r>
          </w:p>
        </w:tc>
        <w:tc>
          <w:tcPr>
            <w:tcW w:w="1559" w:type="dxa"/>
            <w:vAlign w:val="center"/>
          </w:tcPr>
          <w:p w14:paraId="187D2CE4">
            <w:pPr>
              <w:widowControl/>
              <w:ind w:left="-108" w:leftChars="-45" w:right="-108" w:rightChars="-45"/>
              <w:jc w:val="center"/>
              <w:rPr>
                <w:rFonts w:ascii="宋体" w:hAnsi="宋体"/>
                <w:b/>
                <w:color w:val="auto"/>
                <w:highlight w:val="none"/>
              </w:rPr>
            </w:pPr>
            <w:r>
              <w:rPr>
                <w:rFonts w:hint="eastAsia" w:ascii="宋体" w:hAnsi="宋体"/>
                <w:b/>
                <w:color w:val="auto"/>
                <w:highlight w:val="none"/>
              </w:rPr>
              <w:t>合同金额</w:t>
            </w:r>
          </w:p>
        </w:tc>
        <w:tc>
          <w:tcPr>
            <w:tcW w:w="1810" w:type="dxa"/>
            <w:vAlign w:val="center"/>
          </w:tcPr>
          <w:p w14:paraId="5D22953E">
            <w:pPr>
              <w:widowControl/>
              <w:jc w:val="center"/>
              <w:rPr>
                <w:rFonts w:ascii="宋体" w:hAnsi="宋体"/>
                <w:b/>
                <w:color w:val="auto"/>
                <w:highlight w:val="none"/>
              </w:rPr>
            </w:pPr>
            <w:r>
              <w:rPr>
                <w:rFonts w:hint="eastAsia" w:ascii="宋体" w:hAnsi="宋体"/>
                <w:b/>
                <w:color w:val="auto"/>
                <w:highlight w:val="none"/>
              </w:rPr>
              <w:t>用户单位</w:t>
            </w:r>
          </w:p>
        </w:tc>
        <w:tc>
          <w:tcPr>
            <w:tcW w:w="1134" w:type="dxa"/>
            <w:vAlign w:val="center"/>
          </w:tcPr>
          <w:p w14:paraId="2FAF3577">
            <w:pPr>
              <w:widowControl/>
              <w:jc w:val="center"/>
              <w:rPr>
                <w:rFonts w:ascii="宋体" w:hAnsi="宋体"/>
                <w:b/>
                <w:color w:val="auto"/>
                <w:highlight w:val="none"/>
              </w:rPr>
            </w:pPr>
            <w:r>
              <w:rPr>
                <w:rFonts w:hint="eastAsia" w:ascii="宋体" w:hAnsi="宋体"/>
                <w:b/>
                <w:color w:val="auto"/>
                <w:highlight w:val="none"/>
              </w:rPr>
              <w:t>项目概况简介</w:t>
            </w:r>
          </w:p>
        </w:tc>
        <w:tc>
          <w:tcPr>
            <w:tcW w:w="1276" w:type="dxa"/>
            <w:vAlign w:val="center"/>
          </w:tcPr>
          <w:p w14:paraId="614F9B6E">
            <w:pPr>
              <w:widowControl/>
              <w:jc w:val="center"/>
              <w:rPr>
                <w:rFonts w:ascii="宋体" w:hAnsi="宋体"/>
                <w:b/>
                <w:color w:val="auto"/>
                <w:highlight w:val="none"/>
              </w:rPr>
            </w:pPr>
            <w:r>
              <w:rPr>
                <w:rFonts w:hint="eastAsia" w:ascii="宋体" w:hAnsi="宋体"/>
                <w:b/>
                <w:color w:val="auto"/>
                <w:highlight w:val="none"/>
              </w:rPr>
              <w:t>其他说明</w:t>
            </w:r>
          </w:p>
        </w:tc>
      </w:tr>
      <w:tr w14:paraId="575E8F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trPr>
        <w:tc>
          <w:tcPr>
            <w:tcW w:w="817" w:type="dxa"/>
          </w:tcPr>
          <w:p w14:paraId="6C46663D">
            <w:pPr>
              <w:keepNext/>
              <w:widowControl/>
              <w:outlineLvl w:val="2"/>
              <w:rPr>
                <w:rFonts w:ascii="宋体" w:hAnsi="宋体"/>
                <w:color w:val="auto"/>
                <w:highlight w:val="none"/>
              </w:rPr>
            </w:pPr>
          </w:p>
        </w:tc>
        <w:tc>
          <w:tcPr>
            <w:tcW w:w="2443" w:type="dxa"/>
          </w:tcPr>
          <w:p w14:paraId="1F5EEAD4">
            <w:pPr>
              <w:keepNext/>
              <w:widowControl/>
              <w:outlineLvl w:val="2"/>
              <w:rPr>
                <w:rFonts w:ascii="宋体" w:hAnsi="宋体"/>
                <w:color w:val="auto"/>
                <w:highlight w:val="none"/>
              </w:rPr>
            </w:pPr>
          </w:p>
        </w:tc>
        <w:tc>
          <w:tcPr>
            <w:tcW w:w="1559" w:type="dxa"/>
          </w:tcPr>
          <w:p w14:paraId="45DA0410">
            <w:pPr>
              <w:keepNext/>
              <w:widowControl/>
              <w:outlineLvl w:val="2"/>
              <w:rPr>
                <w:rFonts w:ascii="宋体" w:hAnsi="宋体"/>
                <w:color w:val="auto"/>
                <w:highlight w:val="none"/>
              </w:rPr>
            </w:pPr>
          </w:p>
        </w:tc>
        <w:tc>
          <w:tcPr>
            <w:tcW w:w="1810" w:type="dxa"/>
          </w:tcPr>
          <w:p w14:paraId="6F0CB245">
            <w:pPr>
              <w:keepNext/>
              <w:widowControl/>
              <w:outlineLvl w:val="2"/>
              <w:rPr>
                <w:rFonts w:ascii="宋体" w:hAnsi="宋体"/>
                <w:color w:val="auto"/>
                <w:highlight w:val="none"/>
              </w:rPr>
            </w:pPr>
          </w:p>
        </w:tc>
        <w:tc>
          <w:tcPr>
            <w:tcW w:w="1134" w:type="dxa"/>
          </w:tcPr>
          <w:p w14:paraId="62398DE0">
            <w:pPr>
              <w:keepNext/>
              <w:widowControl/>
              <w:outlineLvl w:val="2"/>
              <w:rPr>
                <w:rFonts w:ascii="宋体" w:hAnsi="宋体"/>
                <w:color w:val="auto"/>
                <w:highlight w:val="none"/>
              </w:rPr>
            </w:pPr>
          </w:p>
        </w:tc>
        <w:tc>
          <w:tcPr>
            <w:tcW w:w="1276" w:type="dxa"/>
          </w:tcPr>
          <w:p w14:paraId="62A98915">
            <w:pPr>
              <w:keepNext/>
              <w:widowControl/>
              <w:outlineLvl w:val="2"/>
              <w:rPr>
                <w:rFonts w:ascii="宋体" w:hAnsi="宋体"/>
                <w:color w:val="auto"/>
                <w:highlight w:val="none"/>
              </w:rPr>
            </w:pPr>
          </w:p>
        </w:tc>
      </w:tr>
      <w:tr w14:paraId="513FAC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trPr>
        <w:tc>
          <w:tcPr>
            <w:tcW w:w="817" w:type="dxa"/>
          </w:tcPr>
          <w:p w14:paraId="27E13E4D">
            <w:pPr>
              <w:keepNext/>
              <w:widowControl/>
              <w:outlineLvl w:val="2"/>
              <w:rPr>
                <w:rFonts w:ascii="宋体" w:hAnsi="宋体"/>
                <w:color w:val="auto"/>
                <w:highlight w:val="none"/>
              </w:rPr>
            </w:pPr>
          </w:p>
        </w:tc>
        <w:tc>
          <w:tcPr>
            <w:tcW w:w="2443" w:type="dxa"/>
          </w:tcPr>
          <w:p w14:paraId="741F7D4A">
            <w:pPr>
              <w:keepNext/>
              <w:widowControl/>
              <w:outlineLvl w:val="2"/>
              <w:rPr>
                <w:rFonts w:ascii="宋体" w:hAnsi="宋体"/>
                <w:color w:val="auto"/>
                <w:highlight w:val="none"/>
              </w:rPr>
            </w:pPr>
          </w:p>
        </w:tc>
        <w:tc>
          <w:tcPr>
            <w:tcW w:w="1559" w:type="dxa"/>
          </w:tcPr>
          <w:p w14:paraId="078F4129">
            <w:pPr>
              <w:keepNext/>
              <w:widowControl/>
              <w:outlineLvl w:val="2"/>
              <w:rPr>
                <w:rFonts w:ascii="宋体" w:hAnsi="宋体"/>
                <w:color w:val="auto"/>
                <w:highlight w:val="none"/>
              </w:rPr>
            </w:pPr>
          </w:p>
        </w:tc>
        <w:tc>
          <w:tcPr>
            <w:tcW w:w="1810" w:type="dxa"/>
          </w:tcPr>
          <w:p w14:paraId="578D6646">
            <w:pPr>
              <w:keepNext/>
              <w:widowControl/>
              <w:outlineLvl w:val="2"/>
              <w:rPr>
                <w:rFonts w:ascii="宋体" w:hAnsi="宋体"/>
                <w:color w:val="auto"/>
                <w:highlight w:val="none"/>
              </w:rPr>
            </w:pPr>
          </w:p>
        </w:tc>
        <w:tc>
          <w:tcPr>
            <w:tcW w:w="1134" w:type="dxa"/>
          </w:tcPr>
          <w:p w14:paraId="1C5805FF">
            <w:pPr>
              <w:keepNext/>
              <w:widowControl/>
              <w:outlineLvl w:val="2"/>
              <w:rPr>
                <w:rFonts w:ascii="宋体" w:hAnsi="宋体"/>
                <w:color w:val="auto"/>
                <w:highlight w:val="none"/>
              </w:rPr>
            </w:pPr>
          </w:p>
        </w:tc>
        <w:tc>
          <w:tcPr>
            <w:tcW w:w="1276" w:type="dxa"/>
          </w:tcPr>
          <w:p w14:paraId="3B5FB471">
            <w:pPr>
              <w:keepNext/>
              <w:widowControl/>
              <w:outlineLvl w:val="2"/>
              <w:rPr>
                <w:rFonts w:ascii="宋体" w:hAnsi="宋体"/>
                <w:color w:val="auto"/>
                <w:highlight w:val="none"/>
              </w:rPr>
            </w:pPr>
          </w:p>
        </w:tc>
      </w:tr>
      <w:tr w14:paraId="7F26E8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trPr>
        <w:tc>
          <w:tcPr>
            <w:tcW w:w="817" w:type="dxa"/>
          </w:tcPr>
          <w:p w14:paraId="590A63B4">
            <w:pPr>
              <w:keepNext/>
              <w:widowControl/>
              <w:outlineLvl w:val="2"/>
              <w:rPr>
                <w:rFonts w:ascii="宋体" w:hAnsi="宋体"/>
                <w:color w:val="auto"/>
                <w:highlight w:val="none"/>
              </w:rPr>
            </w:pPr>
          </w:p>
        </w:tc>
        <w:tc>
          <w:tcPr>
            <w:tcW w:w="2443" w:type="dxa"/>
          </w:tcPr>
          <w:p w14:paraId="5A3CCBB5">
            <w:pPr>
              <w:keepNext/>
              <w:widowControl/>
              <w:outlineLvl w:val="2"/>
              <w:rPr>
                <w:rFonts w:ascii="宋体" w:hAnsi="宋体"/>
                <w:color w:val="auto"/>
                <w:highlight w:val="none"/>
              </w:rPr>
            </w:pPr>
          </w:p>
        </w:tc>
        <w:tc>
          <w:tcPr>
            <w:tcW w:w="1559" w:type="dxa"/>
          </w:tcPr>
          <w:p w14:paraId="482F15F3">
            <w:pPr>
              <w:keepNext/>
              <w:widowControl/>
              <w:outlineLvl w:val="2"/>
              <w:rPr>
                <w:rFonts w:ascii="宋体" w:hAnsi="宋体"/>
                <w:color w:val="auto"/>
                <w:highlight w:val="none"/>
              </w:rPr>
            </w:pPr>
          </w:p>
        </w:tc>
        <w:tc>
          <w:tcPr>
            <w:tcW w:w="1810" w:type="dxa"/>
          </w:tcPr>
          <w:p w14:paraId="522DCFF9">
            <w:pPr>
              <w:keepNext/>
              <w:widowControl/>
              <w:outlineLvl w:val="2"/>
              <w:rPr>
                <w:rFonts w:ascii="宋体" w:hAnsi="宋体"/>
                <w:color w:val="auto"/>
                <w:highlight w:val="none"/>
              </w:rPr>
            </w:pPr>
          </w:p>
        </w:tc>
        <w:tc>
          <w:tcPr>
            <w:tcW w:w="1134" w:type="dxa"/>
          </w:tcPr>
          <w:p w14:paraId="410306E6">
            <w:pPr>
              <w:keepNext/>
              <w:widowControl/>
              <w:outlineLvl w:val="2"/>
              <w:rPr>
                <w:rFonts w:ascii="宋体" w:hAnsi="宋体"/>
                <w:color w:val="auto"/>
                <w:highlight w:val="none"/>
              </w:rPr>
            </w:pPr>
          </w:p>
        </w:tc>
        <w:tc>
          <w:tcPr>
            <w:tcW w:w="1276" w:type="dxa"/>
          </w:tcPr>
          <w:p w14:paraId="39B9AF48">
            <w:pPr>
              <w:keepNext/>
              <w:widowControl/>
              <w:outlineLvl w:val="2"/>
              <w:rPr>
                <w:rFonts w:ascii="宋体" w:hAnsi="宋体"/>
                <w:color w:val="auto"/>
                <w:highlight w:val="none"/>
              </w:rPr>
            </w:pPr>
          </w:p>
        </w:tc>
      </w:tr>
      <w:tr w14:paraId="46AFD8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817" w:type="dxa"/>
          </w:tcPr>
          <w:p w14:paraId="158156F7">
            <w:pPr>
              <w:keepNext/>
              <w:widowControl/>
              <w:outlineLvl w:val="2"/>
              <w:rPr>
                <w:rFonts w:ascii="宋体" w:hAnsi="宋体"/>
                <w:color w:val="auto"/>
                <w:highlight w:val="none"/>
              </w:rPr>
            </w:pPr>
          </w:p>
        </w:tc>
        <w:tc>
          <w:tcPr>
            <w:tcW w:w="2443" w:type="dxa"/>
          </w:tcPr>
          <w:p w14:paraId="2DA30765">
            <w:pPr>
              <w:keepNext/>
              <w:widowControl/>
              <w:outlineLvl w:val="2"/>
              <w:rPr>
                <w:rFonts w:ascii="宋体" w:hAnsi="宋体"/>
                <w:color w:val="auto"/>
                <w:highlight w:val="none"/>
              </w:rPr>
            </w:pPr>
          </w:p>
        </w:tc>
        <w:tc>
          <w:tcPr>
            <w:tcW w:w="1559" w:type="dxa"/>
          </w:tcPr>
          <w:p w14:paraId="3629759D">
            <w:pPr>
              <w:keepNext/>
              <w:widowControl/>
              <w:outlineLvl w:val="2"/>
              <w:rPr>
                <w:rFonts w:ascii="宋体" w:hAnsi="宋体"/>
                <w:color w:val="auto"/>
                <w:highlight w:val="none"/>
              </w:rPr>
            </w:pPr>
          </w:p>
        </w:tc>
        <w:tc>
          <w:tcPr>
            <w:tcW w:w="1810" w:type="dxa"/>
          </w:tcPr>
          <w:p w14:paraId="6B08A54A">
            <w:pPr>
              <w:keepNext/>
              <w:widowControl/>
              <w:outlineLvl w:val="2"/>
              <w:rPr>
                <w:rFonts w:ascii="宋体" w:hAnsi="宋体"/>
                <w:color w:val="auto"/>
                <w:highlight w:val="none"/>
              </w:rPr>
            </w:pPr>
          </w:p>
        </w:tc>
        <w:tc>
          <w:tcPr>
            <w:tcW w:w="1134" w:type="dxa"/>
          </w:tcPr>
          <w:p w14:paraId="19B6A47B">
            <w:pPr>
              <w:keepNext/>
              <w:widowControl/>
              <w:outlineLvl w:val="2"/>
              <w:rPr>
                <w:rFonts w:ascii="宋体" w:hAnsi="宋体"/>
                <w:color w:val="auto"/>
                <w:highlight w:val="none"/>
              </w:rPr>
            </w:pPr>
          </w:p>
        </w:tc>
        <w:tc>
          <w:tcPr>
            <w:tcW w:w="1276" w:type="dxa"/>
          </w:tcPr>
          <w:p w14:paraId="03FAA4AF">
            <w:pPr>
              <w:keepNext/>
              <w:widowControl/>
              <w:outlineLvl w:val="2"/>
              <w:rPr>
                <w:rFonts w:ascii="宋体" w:hAnsi="宋体"/>
                <w:color w:val="auto"/>
                <w:highlight w:val="none"/>
              </w:rPr>
            </w:pPr>
          </w:p>
        </w:tc>
      </w:tr>
      <w:tr w14:paraId="17EBC4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817" w:type="dxa"/>
          </w:tcPr>
          <w:p w14:paraId="64883E08">
            <w:pPr>
              <w:keepNext/>
              <w:widowControl/>
              <w:outlineLvl w:val="2"/>
              <w:rPr>
                <w:rFonts w:ascii="宋体" w:hAnsi="宋体"/>
                <w:color w:val="auto"/>
                <w:highlight w:val="none"/>
              </w:rPr>
            </w:pPr>
          </w:p>
        </w:tc>
        <w:tc>
          <w:tcPr>
            <w:tcW w:w="2443" w:type="dxa"/>
          </w:tcPr>
          <w:p w14:paraId="3EA565C7">
            <w:pPr>
              <w:keepNext/>
              <w:widowControl/>
              <w:outlineLvl w:val="2"/>
              <w:rPr>
                <w:rFonts w:ascii="宋体" w:hAnsi="宋体"/>
                <w:color w:val="auto"/>
                <w:highlight w:val="none"/>
              </w:rPr>
            </w:pPr>
          </w:p>
        </w:tc>
        <w:tc>
          <w:tcPr>
            <w:tcW w:w="1559" w:type="dxa"/>
          </w:tcPr>
          <w:p w14:paraId="2D70A935">
            <w:pPr>
              <w:keepNext/>
              <w:widowControl/>
              <w:outlineLvl w:val="2"/>
              <w:rPr>
                <w:rFonts w:ascii="宋体" w:hAnsi="宋体"/>
                <w:color w:val="auto"/>
                <w:highlight w:val="none"/>
              </w:rPr>
            </w:pPr>
          </w:p>
        </w:tc>
        <w:tc>
          <w:tcPr>
            <w:tcW w:w="1810" w:type="dxa"/>
          </w:tcPr>
          <w:p w14:paraId="6DD24EF8">
            <w:pPr>
              <w:keepNext/>
              <w:widowControl/>
              <w:outlineLvl w:val="2"/>
              <w:rPr>
                <w:rFonts w:ascii="宋体" w:hAnsi="宋体"/>
                <w:color w:val="auto"/>
                <w:highlight w:val="none"/>
              </w:rPr>
            </w:pPr>
          </w:p>
        </w:tc>
        <w:tc>
          <w:tcPr>
            <w:tcW w:w="1134" w:type="dxa"/>
          </w:tcPr>
          <w:p w14:paraId="4B33FFBD">
            <w:pPr>
              <w:keepNext/>
              <w:widowControl/>
              <w:outlineLvl w:val="2"/>
              <w:rPr>
                <w:rFonts w:ascii="宋体" w:hAnsi="宋体"/>
                <w:color w:val="auto"/>
                <w:highlight w:val="none"/>
              </w:rPr>
            </w:pPr>
          </w:p>
        </w:tc>
        <w:tc>
          <w:tcPr>
            <w:tcW w:w="1276" w:type="dxa"/>
          </w:tcPr>
          <w:p w14:paraId="099BF17F">
            <w:pPr>
              <w:keepNext/>
              <w:widowControl/>
              <w:outlineLvl w:val="2"/>
              <w:rPr>
                <w:rFonts w:ascii="宋体" w:hAnsi="宋体"/>
                <w:color w:val="auto"/>
                <w:highlight w:val="none"/>
              </w:rPr>
            </w:pPr>
          </w:p>
        </w:tc>
      </w:tr>
      <w:tr w14:paraId="08FFF4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817" w:type="dxa"/>
          </w:tcPr>
          <w:p w14:paraId="6A30DDDA">
            <w:pPr>
              <w:keepNext/>
              <w:widowControl/>
              <w:outlineLvl w:val="2"/>
              <w:rPr>
                <w:rFonts w:ascii="宋体" w:hAnsi="宋体"/>
                <w:color w:val="auto"/>
                <w:highlight w:val="none"/>
              </w:rPr>
            </w:pPr>
          </w:p>
        </w:tc>
        <w:tc>
          <w:tcPr>
            <w:tcW w:w="2443" w:type="dxa"/>
          </w:tcPr>
          <w:p w14:paraId="53EB7CD4">
            <w:pPr>
              <w:keepNext/>
              <w:widowControl/>
              <w:outlineLvl w:val="2"/>
              <w:rPr>
                <w:rFonts w:ascii="宋体" w:hAnsi="宋体"/>
                <w:color w:val="auto"/>
                <w:highlight w:val="none"/>
              </w:rPr>
            </w:pPr>
          </w:p>
        </w:tc>
        <w:tc>
          <w:tcPr>
            <w:tcW w:w="1559" w:type="dxa"/>
          </w:tcPr>
          <w:p w14:paraId="6C9975EE">
            <w:pPr>
              <w:keepNext/>
              <w:widowControl/>
              <w:outlineLvl w:val="2"/>
              <w:rPr>
                <w:rFonts w:ascii="宋体" w:hAnsi="宋体"/>
                <w:color w:val="auto"/>
                <w:highlight w:val="none"/>
              </w:rPr>
            </w:pPr>
          </w:p>
        </w:tc>
        <w:tc>
          <w:tcPr>
            <w:tcW w:w="1810" w:type="dxa"/>
          </w:tcPr>
          <w:p w14:paraId="69C82DAC">
            <w:pPr>
              <w:keepNext/>
              <w:widowControl/>
              <w:outlineLvl w:val="2"/>
              <w:rPr>
                <w:rFonts w:ascii="宋体" w:hAnsi="宋体"/>
                <w:color w:val="auto"/>
                <w:highlight w:val="none"/>
              </w:rPr>
            </w:pPr>
          </w:p>
        </w:tc>
        <w:tc>
          <w:tcPr>
            <w:tcW w:w="1134" w:type="dxa"/>
          </w:tcPr>
          <w:p w14:paraId="2D7214BB">
            <w:pPr>
              <w:keepNext/>
              <w:widowControl/>
              <w:outlineLvl w:val="2"/>
              <w:rPr>
                <w:rFonts w:ascii="宋体" w:hAnsi="宋体"/>
                <w:color w:val="auto"/>
                <w:highlight w:val="none"/>
              </w:rPr>
            </w:pPr>
          </w:p>
        </w:tc>
        <w:tc>
          <w:tcPr>
            <w:tcW w:w="1276" w:type="dxa"/>
          </w:tcPr>
          <w:p w14:paraId="48B5AE4F">
            <w:pPr>
              <w:keepNext/>
              <w:widowControl/>
              <w:outlineLvl w:val="2"/>
              <w:rPr>
                <w:rFonts w:ascii="宋体" w:hAnsi="宋体"/>
                <w:color w:val="auto"/>
                <w:highlight w:val="none"/>
              </w:rPr>
            </w:pPr>
          </w:p>
        </w:tc>
      </w:tr>
      <w:tr w14:paraId="6CC40F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817" w:type="dxa"/>
          </w:tcPr>
          <w:p w14:paraId="1AFCE400">
            <w:pPr>
              <w:keepNext/>
              <w:widowControl/>
              <w:outlineLvl w:val="2"/>
              <w:rPr>
                <w:rFonts w:ascii="宋体" w:hAnsi="宋体"/>
                <w:color w:val="auto"/>
                <w:highlight w:val="none"/>
              </w:rPr>
            </w:pPr>
          </w:p>
        </w:tc>
        <w:tc>
          <w:tcPr>
            <w:tcW w:w="2443" w:type="dxa"/>
          </w:tcPr>
          <w:p w14:paraId="5AC28A22">
            <w:pPr>
              <w:keepNext/>
              <w:widowControl/>
              <w:outlineLvl w:val="2"/>
              <w:rPr>
                <w:rFonts w:ascii="宋体" w:hAnsi="宋体"/>
                <w:color w:val="auto"/>
                <w:highlight w:val="none"/>
              </w:rPr>
            </w:pPr>
          </w:p>
        </w:tc>
        <w:tc>
          <w:tcPr>
            <w:tcW w:w="1559" w:type="dxa"/>
          </w:tcPr>
          <w:p w14:paraId="3EF63DB3">
            <w:pPr>
              <w:keepNext/>
              <w:widowControl/>
              <w:outlineLvl w:val="2"/>
              <w:rPr>
                <w:rFonts w:ascii="宋体" w:hAnsi="宋体"/>
                <w:color w:val="auto"/>
                <w:highlight w:val="none"/>
              </w:rPr>
            </w:pPr>
          </w:p>
        </w:tc>
        <w:tc>
          <w:tcPr>
            <w:tcW w:w="1810" w:type="dxa"/>
          </w:tcPr>
          <w:p w14:paraId="587D187F">
            <w:pPr>
              <w:keepNext/>
              <w:widowControl/>
              <w:outlineLvl w:val="2"/>
              <w:rPr>
                <w:rFonts w:ascii="宋体" w:hAnsi="宋体"/>
                <w:color w:val="auto"/>
                <w:highlight w:val="none"/>
              </w:rPr>
            </w:pPr>
          </w:p>
        </w:tc>
        <w:tc>
          <w:tcPr>
            <w:tcW w:w="1134" w:type="dxa"/>
          </w:tcPr>
          <w:p w14:paraId="5128BAA5">
            <w:pPr>
              <w:keepNext/>
              <w:widowControl/>
              <w:outlineLvl w:val="2"/>
              <w:rPr>
                <w:rFonts w:ascii="宋体" w:hAnsi="宋体"/>
                <w:color w:val="auto"/>
                <w:highlight w:val="none"/>
              </w:rPr>
            </w:pPr>
          </w:p>
        </w:tc>
        <w:tc>
          <w:tcPr>
            <w:tcW w:w="1276" w:type="dxa"/>
          </w:tcPr>
          <w:p w14:paraId="6A05AB10">
            <w:pPr>
              <w:keepNext/>
              <w:widowControl/>
              <w:outlineLvl w:val="2"/>
              <w:rPr>
                <w:rFonts w:ascii="宋体" w:hAnsi="宋体"/>
                <w:color w:val="auto"/>
                <w:highlight w:val="none"/>
              </w:rPr>
            </w:pPr>
          </w:p>
        </w:tc>
      </w:tr>
      <w:tr w14:paraId="6AF35A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817" w:type="dxa"/>
          </w:tcPr>
          <w:p w14:paraId="7E21F63B">
            <w:pPr>
              <w:keepNext/>
              <w:widowControl/>
              <w:outlineLvl w:val="2"/>
              <w:rPr>
                <w:rFonts w:ascii="宋体" w:hAnsi="宋体"/>
                <w:color w:val="auto"/>
                <w:highlight w:val="none"/>
              </w:rPr>
            </w:pPr>
          </w:p>
        </w:tc>
        <w:tc>
          <w:tcPr>
            <w:tcW w:w="2443" w:type="dxa"/>
          </w:tcPr>
          <w:p w14:paraId="380073D7">
            <w:pPr>
              <w:keepNext/>
              <w:widowControl/>
              <w:outlineLvl w:val="2"/>
              <w:rPr>
                <w:rFonts w:ascii="宋体" w:hAnsi="宋体"/>
                <w:color w:val="auto"/>
                <w:highlight w:val="none"/>
              </w:rPr>
            </w:pPr>
          </w:p>
        </w:tc>
        <w:tc>
          <w:tcPr>
            <w:tcW w:w="1559" w:type="dxa"/>
          </w:tcPr>
          <w:p w14:paraId="15E32824">
            <w:pPr>
              <w:keepNext/>
              <w:widowControl/>
              <w:outlineLvl w:val="2"/>
              <w:rPr>
                <w:rFonts w:ascii="宋体" w:hAnsi="宋体"/>
                <w:color w:val="auto"/>
                <w:highlight w:val="none"/>
              </w:rPr>
            </w:pPr>
          </w:p>
        </w:tc>
        <w:tc>
          <w:tcPr>
            <w:tcW w:w="1810" w:type="dxa"/>
          </w:tcPr>
          <w:p w14:paraId="54A1D62C">
            <w:pPr>
              <w:keepNext/>
              <w:widowControl/>
              <w:outlineLvl w:val="2"/>
              <w:rPr>
                <w:rFonts w:ascii="宋体" w:hAnsi="宋体"/>
                <w:color w:val="auto"/>
                <w:highlight w:val="none"/>
              </w:rPr>
            </w:pPr>
          </w:p>
        </w:tc>
        <w:tc>
          <w:tcPr>
            <w:tcW w:w="1134" w:type="dxa"/>
          </w:tcPr>
          <w:p w14:paraId="0129D4E5">
            <w:pPr>
              <w:keepNext/>
              <w:widowControl/>
              <w:outlineLvl w:val="2"/>
              <w:rPr>
                <w:rFonts w:ascii="宋体" w:hAnsi="宋体"/>
                <w:color w:val="auto"/>
                <w:highlight w:val="none"/>
              </w:rPr>
            </w:pPr>
          </w:p>
        </w:tc>
        <w:tc>
          <w:tcPr>
            <w:tcW w:w="1276" w:type="dxa"/>
          </w:tcPr>
          <w:p w14:paraId="1DAC7E0C">
            <w:pPr>
              <w:keepNext/>
              <w:widowControl/>
              <w:outlineLvl w:val="2"/>
              <w:rPr>
                <w:rFonts w:ascii="宋体" w:hAnsi="宋体"/>
                <w:color w:val="auto"/>
                <w:highlight w:val="none"/>
              </w:rPr>
            </w:pPr>
          </w:p>
        </w:tc>
      </w:tr>
      <w:tr w14:paraId="780CA7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817" w:type="dxa"/>
          </w:tcPr>
          <w:p w14:paraId="7C340D4C">
            <w:pPr>
              <w:keepNext/>
              <w:widowControl/>
              <w:outlineLvl w:val="2"/>
              <w:rPr>
                <w:rFonts w:ascii="宋体" w:hAnsi="宋体"/>
                <w:color w:val="auto"/>
                <w:highlight w:val="none"/>
              </w:rPr>
            </w:pPr>
          </w:p>
        </w:tc>
        <w:tc>
          <w:tcPr>
            <w:tcW w:w="2443" w:type="dxa"/>
          </w:tcPr>
          <w:p w14:paraId="2F11FFAA">
            <w:pPr>
              <w:keepNext/>
              <w:widowControl/>
              <w:outlineLvl w:val="2"/>
              <w:rPr>
                <w:rFonts w:ascii="宋体" w:hAnsi="宋体"/>
                <w:color w:val="auto"/>
                <w:highlight w:val="none"/>
              </w:rPr>
            </w:pPr>
          </w:p>
        </w:tc>
        <w:tc>
          <w:tcPr>
            <w:tcW w:w="1559" w:type="dxa"/>
          </w:tcPr>
          <w:p w14:paraId="32B7423E">
            <w:pPr>
              <w:keepNext/>
              <w:widowControl/>
              <w:outlineLvl w:val="2"/>
              <w:rPr>
                <w:rFonts w:ascii="宋体" w:hAnsi="宋体"/>
                <w:color w:val="auto"/>
                <w:highlight w:val="none"/>
              </w:rPr>
            </w:pPr>
          </w:p>
        </w:tc>
        <w:tc>
          <w:tcPr>
            <w:tcW w:w="1810" w:type="dxa"/>
          </w:tcPr>
          <w:p w14:paraId="35290631">
            <w:pPr>
              <w:keepNext/>
              <w:widowControl/>
              <w:outlineLvl w:val="2"/>
              <w:rPr>
                <w:rFonts w:ascii="宋体" w:hAnsi="宋体"/>
                <w:color w:val="auto"/>
                <w:highlight w:val="none"/>
              </w:rPr>
            </w:pPr>
          </w:p>
        </w:tc>
        <w:tc>
          <w:tcPr>
            <w:tcW w:w="1134" w:type="dxa"/>
          </w:tcPr>
          <w:p w14:paraId="0BF347D4">
            <w:pPr>
              <w:keepNext/>
              <w:widowControl/>
              <w:outlineLvl w:val="2"/>
              <w:rPr>
                <w:rFonts w:ascii="宋体" w:hAnsi="宋体"/>
                <w:color w:val="auto"/>
                <w:highlight w:val="none"/>
              </w:rPr>
            </w:pPr>
          </w:p>
        </w:tc>
        <w:tc>
          <w:tcPr>
            <w:tcW w:w="1276" w:type="dxa"/>
          </w:tcPr>
          <w:p w14:paraId="4C1936B2">
            <w:pPr>
              <w:keepNext/>
              <w:widowControl/>
              <w:outlineLvl w:val="2"/>
              <w:rPr>
                <w:rFonts w:ascii="宋体" w:hAnsi="宋体"/>
                <w:color w:val="auto"/>
                <w:highlight w:val="none"/>
              </w:rPr>
            </w:pPr>
          </w:p>
        </w:tc>
      </w:tr>
    </w:tbl>
    <w:p w14:paraId="59167B0E">
      <w:pPr>
        <w:spacing w:line="360" w:lineRule="auto"/>
        <w:rPr>
          <w:rFonts w:ascii="宋体" w:hAnsi="宋体"/>
          <w:color w:val="auto"/>
          <w:highlight w:val="none"/>
        </w:rPr>
      </w:pPr>
      <w:r>
        <w:rPr>
          <w:rFonts w:hint="eastAsia" w:ascii="宋体" w:hAnsi="宋体"/>
          <w:b/>
          <w:color w:val="auto"/>
          <w:highlight w:val="none"/>
        </w:rPr>
        <w:t>注：1、表中给出各项仅作为参考。具体详见评分标准。</w:t>
      </w:r>
    </w:p>
    <w:p w14:paraId="7E34E72D">
      <w:pPr>
        <w:spacing w:line="360" w:lineRule="auto"/>
        <w:jc w:val="center"/>
        <w:rPr>
          <w:rFonts w:ascii="宋体"/>
          <w:b/>
          <w:color w:val="auto"/>
          <w:sz w:val="32"/>
          <w:szCs w:val="32"/>
          <w:highlight w:val="none"/>
        </w:rPr>
      </w:pPr>
    </w:p>
    <w:p w14:paraId="38F40D93">
      <w:pPr>
        <w:jc w:val="right"/>
        <w:rPr>
          <w:rFonts w:ascii="宋体"/>
          <w:b/>
          <w:bCs/>
          <w:color w:val="auto"/>
          <w:sz w:val="28"/>
          <w:szCs w:val="28"/>
          <w:highlight w:val="none"/>
        </w:rPr>
      </w:pPr>
      <w:r>
        <w:rPr>
          <w:rFonts w:hint="eastAsia" w:ascii="宋体" w:hAnsi="宋体"/>
          <w:b/>
          <w:bCs/>
          <w:color w:val="auto"/>
          <w:sz w:val="28"/>
          <w:szCs w:val="28"/>
          <w:highlight w:val="none"/>
        </w:rPr>
        <w:t>投标人：</w:t>
      </w:r>
      <w:r>
        <w:rPr>
          <w:rFonts w:hint="eastAsia" w:ascii="宋体" w:hAnsi="宋体"/>
          <w:b/>
          <w:bCs/>
          <w:color w:val="auto"/>
          <w:sz w:val="28"/>
          <w:szCs w:val="28"/>
          <w:highlight w:val="none"/>
          <w:u w:val="single"/>
        </w:rPr>
        <w:t>（全称并加盖投标人公章）</w:t>
      </w:r>
    </w:p>
    <w:p w14:paraId="2FC77978">
      <w:pPr>
        <w:jc w:val="right"/>
        <w:rPr>
          <w:rFonts w:ascii="宋体"/>
          <w:b/>
          <w:color w:val="auto"/>
          <w:sz w:val="28"/>
          <w:szCs w:val="28"/>
          <w:highlight w:val="none"/>
        </w:rPr>
      </w:pPr>
      <w:r>
        <w:rPr>
          <w:rFonts w:ascii="宋体" w:hAnsi="宋体"/>
          <w:b/>
          <w:bCs/>
          <w:color w:val="auto"/>
          <w:sz w:val="28"/>
          <w:szCs w:val="28"/>
          <w:highlight w:val="none"/>
        </w:rPr>
        <w:t>______</w:t>
      </w:r>
      <w:r>
        <w:rPr>
          <w:rFonts w:hint="eastAsia" w:ascii="宋体" w:hAnsi="宋体"/>
          <w:b/>
          <w:bCs/>
          <w:color w:val="auto"/>
          <w:sz w:val="28"/>
          <w:szCs w:val="28"/>
          <w:highlight w:val="none"/>
        </w:rPr>
        <w:t>年</w:t>
      </w:r>
      <w:r>
        <w:rPr>
          <w:rFonts w:ascii="宋体" w:hAnsi="宋体"/>
          <w:b/>
          <w:bCs/>
          <w:color w:val="auto"/>
          <w:sz w:val="28"/>
          <w:szCs w:val="28"/>
          <w:highlight w:val="none"/>
        </w:rPr>
        <w:t>_____</w:t>
      </w:r>
      <w:r>
        <w:rPr>
          <w:rFonts w:hint="eastAsia" w:ascii="宋体" w:hAnsi="宋体"/>
          <w:b/>
          <w:bCs/>
          <w:color w:val="auto"/>
          <w:sz w:val="28"/>
          <w:szCs w:val="28"/>
          <w:highlight w:val="none"/>
        </w:rPr>
        <w:t>月</w:t>
      </w:r>
      <w:r>
        <w:rPr>
          <w:rFonts w:ascii="宋体" w:hAnsi="宋体"/>
          <w:b/>
          <w:bCs/>
          <w:color w:val="auto"/>
          <w:sz w:val="28"/>
          <w:szCs w:val="28"/>
          <w:highlight w:val="none"/>
        </w:rPr>
        <w:t>_____</w:t>
      </w:r>
      <w:r>
        <w:rPr>
          <w:rFonts w:hint="eastAsia" w:ascii="宋体" w:hAnsi="宋体"/>
          <w:b/>
          <w:bCs/>
          <w:color w:val="auto"/>
          <w:sz w:val="28"/>
          <w:szCs w:val="28"/>
          <w:highlight w:val="none"/>
        </w:rPr>
        <w:t>日</w:t>
      </w:r>
    </w:p>
    <w:p w14:paraId="78A2DCBF">
      <w:pPr>
        <w:spacing w:line="480" w:lineRule="auto"/>
        <w:rPr>
          <w:rFonts w:ascii="宋体" w:hAnsi="宋体" w:cs="宋体"/>
          <w:color w:val="auto"/>
          <w:sz w:val="28"/>
          <w:szCs w:val="28"/>
          <w:highlight w:val="none"/>
        </w:rPr>
      </w:pPr>
    </w:p>
    <w:p w14:paraId="0DF22082">
      <w:pPr>
        <w:spacing w:line="480" w:lineRule="auto"/>
        <w:rPr>
          <w:rFonts w:ascii="宋体" w:hAnsi="宋体" w:cs="宋体"/>
          <w:color w:val="auto"/>
          <w:sz w:val="28"/>
          <w:szCs w:val="28"/>
          <w:highlight w:val="none"/>
        </w:rPr>
      </w:pPr>
    </w:p>
    <w:p w14:paraId="2556EE57">
      <w:pPr>
        <w:spacing w:line="480" w:lineRule="auto"/>
        <w:rPr>
          <w:rFonts w:ascii="宋体" w:hAnsi="宋体" w:cs="宋体"/>
          <w:color w:val="auto"/>
          <w:sz w:val="28"/>
          <w:szCs w:val="28"/>
          <w:highlight w:val="none"/>
        </w:rPr>
        <w:sectPr>
          <w:pgSz w:w="11906" w:h="16838"/>
          <w:pgMar w:top="1440" w:right="1440" w:bottom="1440" w:left="1440" w:header="851" w:footer="992" w:gutter="0"/>
          <w:pgNumType w:fmt="decimal"/>
          <w:cols w:space="720" w:num="1"/>
          <w:docGrid w:type="lines" w:linePitch="312" w:charSpace="0"/>
        </w:sectPr>
      </w:pPr>
    </w:p>
    <w:p w14:paraId="36A80F34">
      <w:pPr>
        <w:ind w:firstLine="284" w:firstLineChars="118"/>
        <w:jc w:val="center"/>
        <w:rPr>
          <w:rFonts w:ascii="宋体" w:hAnsi="宋体" w:cs="宋体"/>
          <w:b/>
          <w:color w:val="auto"/>
          <w:szCs w:val="24"/>
          <w:highlight w:val="none"/>
        </w:rPr>
      </w:pPr>
      <w:r>
        <w:rPr>
          <w:rFonts w:ascii="宋体" w:hAnsi="宋体" w:cs="宋体"/>
          <w:b/>
          <w:color w:val="auto"/>
          <w:szCs w:val="24"/>
          <w:highlight w:val="none"/>
        </w:rPr>
        <w:t>8</w:t>
      </w:r>
      <w:r>
        <w:rPr>
          <w:rFonts w:hint="eastAsia" w:ascii="宋体" w:hAnsi="宋体" w:cs="宋体"/>
          <w:b/>
          <w:color w:val="auto"/>
          <w:szCs w:val="24"/>
          <w:highlight w:val="none"/>
        </w:rPr>
        <w:t>-</w:t>
      </w:r>
      <w:r>
        <w:rPr>
          <w:rFonts w:ascii="宋体" w:hAnsi="宋体" w:cs="宋体"/>
          <w:b/>
          <w:color w:val="auto"/>
          <w:szCs w:val="24"/>
          <w:highlight w:val="none"/>
        </w:rPr>
        <w:t>4.</w:t>
      </w:r>
      <w:r>
        <w:rPr>
          <w:rFonts w:hint="eastAsia" w:ascii="宋体" w:hAnsi="宋体" w:cs="宋体"/>
          <w:b/>
          <w:color w:val="auto"/>
          <w:szCs w:val="24"/>
          <w:highlight w:val="none"/>
        </w:rPr>
        <w:t>对投标文件及技术方案真实性的保证和承诺</w:t>
      </w:r>
    </w:p>
    <w:p w14:paraId="3CF36026">
      <w:pPr>
        <w:spacing w:line="480" w:lineRule="exact"/>
        <w:rPr>
          <w:rFonts w:ascii="宋体" w:hAnsi="宋体"/>
          <w:b/>
          <w:color w:val="auto"/>
          <w:sz w:val="30"/>
          <w:szCs w:val="30"/>
          <w:highlight w:val="none"/>
        </w:rPr>
      </w:pPr>
    </w:p>
    <w:p w14:paraId="2987FD6F">
      <w:pPr>
        <w:spacing w:line="480" w:lineRule="exact"/>
        <w:rPr>
          <w:rFonts w:ascii="宋体" w:hAnsi="宋体"/>
          <w:b/>
          <w:color w:val="auto"/>
          <w:highlight w:val="none"/>
        </w:rPr>
      </w:pPr>
      <w:r>
        <w:rPr>
          <w:rFonts w:hint="eastAsia" w:ascii="宋体" w:hAnsi="宋体"/>
          <w:b/>
          <w:color w:val="auto"/>
          <w:highlight w:val="none"/>
        </w:rPr>
        <w:t>致：中招国际招标有限公司江西分公司</w:t>
      </w:r>
    </w:p>
    <w:p w14:paraId="1027DAC6">
      <w:pPr>
        <w:spacing w:line="480" w:lineRule="exact"/>
        <w:rPr>
          <w:rFonts w:ascii="宋体" w:hAnsi="宋体"/>
          <w:b/>
          <w:color w:val="auto"/>
          <w:highlight w:val="none"/>
        </w:rPr>
      </w:pPr>
    </w:p>
    <w:p w14:paraId="015CB693">
      <w:pPr>
        <w:spacing w:line="480" w:lineRule="exact"/>
        <w:ind w:firstLine="495"/>
        <w:rPr>
          <w:color w:val="auto"/>
          <w:highlight w:val="none"/>
        </w:rPr>
      </w:pPr>
      <w:r>
        <w:rPr>
          <w:rFonts w:hint="eastAsia" w:ascii="宋体"/>
          <w:color w:val="auto"/>
          <w:highlight w:val="none"/>
        </w:rPr>
        <w:t>我方保证：此次投标的投标文件及所投技术方案、报价都是真实可信和正规的。贵方有权在投标有效期或执行合同的任何阶段对我方上述保证内容提出质疑，我方将全责协助查实</w:t>
      </w:r>
      <w:r>
        <w:rPr>
          <w:rFonts w:hint="eastAsia"/>
          <w:color w:val="auto"/>
          <w:highlight w:val="none"/>
        </w:rPr>
        <w:t>。</w:t>
      </w:r>
    </w:p>
    <w:p w14:paraId="410E26B4">
      <w:pPr>
        <w:spacing w:line="480" w:lineRule="exact"/>
        <w:ind w:firstLine="495"/>
        <w:rPr>
          <w:rFonts w:ascii="宋体"/>
          <w:color w:val="auto"/>
          <w:highlight w:val="none"/>
        </w:rPr>
      </w:pPr>
      <w:r>
        <w:rPr>
          <w:rFonts w:hint="eastAsia"/>
          <w:color w:val="auto"/>
          <w:highlight w:val="none"/>
        </w:rPr>
        <w:t>若</w:t>
      </w:r>
      <w:r>
        <w:rPr>
          <w:rFonts w:hint="eastAsia" w:ascii="宋体"/>
          <w:color w:val="auto"/>
          <w:highlight w:val="none"/>
        </w:rPr>
        <w:t>我方有与上述保证不符事实或未履行投标文件及合同中的任何承诺，我方愿承担相应的法律责任，并</w:t>
      </w:r>
      <w:r>
        <w:rPr>
          <w:rFonts w:hint="eastAsia" w:ascii="宋体" w:hAnsi="宋体"/>
          <w:color w:val="auto"/>
          <w:highlight w:val="none"/>
        </w:rPr>
        <w:t>自动放弃中标资格和</w:t>
      </w:r>
      <w:r>
        <w:rPr>
          <w:rFonts w:hint="eastAsia" w:ascii="宋体"/>
          <w:color w:val="auto"/>
          <w:highlight w:val="none"/>
        </w:rPr>
        <w:t>投标保证金。</w:t>
      </w:r>
    </w:p>
    <w:p w14:paraId="601C8388">
      <w:pPr>
        <w:spacing w:line="480" w:lineRule="exact"/>
        <w:ind w:firstLine="480"/>
        <w:rPr>
          <w:rFonts w:ascii="宋体"/>
          <w:color w:val="auto"/>
          <w:highlight w:val="none"/>
        </w:rPr>
      </w:pPr>
      <w:r>
        <w:rPr>
          <w:rFonts w:hint="eastAsia" w:ascii="宋体"/>
          <w:color w:val="auto"/>
          <w:highlight w:val="none"/>
        </w:rPr>
        <w:t>特此承诺！</w:t>
      </w:r>
    </w:p>
    <w:p w14:paraId="052833E3">
      <w:pPr>
        <w:spacing w:line="360" w:lineRule="atLeast"/>
        <w:rPr>
          <w:rFonts w:ascii="宋体"/>
          <w:color w:val="auto"/>
          <w:highlight w:val="none"/>
        </w:rPr>
      </w:pPr>
    </w:p>
    <w:p w14:paraId="6C6451EC">
      <w:pPr>
        <w:spacing w:line="360" w:lineRule="atLeast"/>
        <w:rPr>
          <w:rFonts w:ascii="宋体"/>
          <w:color w:val="auto"/>
          <w:highlight w:val="none"/>
        </w:rPr>
      </w:pPr>
    </w:p>
    <w:p w14:paraId="282A7505">
      <w:pPr>
        <w:spacing w:line="360" w:lineRule="atLeast"/>
        <w:rPr>
          <w:rFonts w:ascii="宋体"/>
          <w:color w:val="auto"/>
          <w:highlight w:val="none"/>
        </w:rPr>
      </w:pPr>
    </w:p>
    <w:p w14:paraId="30C8FF4A">
      <w:pPr>
        <w:jc w:val="right"/>
        <w:rPr>
          <w:rFonts w:ascii="宋体"/>
          <w:b/>
          <w:bCs/>
          <w:color w:val="auto"/>
          <w:sz w:val="28"/>
          <w:szCs w:val="28"/>
          <w:highlight w:val="none"/>
        </w:rPr>
      </w:pPr>
      <w:r>
        <w:rPr>
          <w:rFonts w:hint="eastAsia" w:ascii="宋体" w:hAnsi="宋体"/>
          <w:b/>
          <w:bCs/>
          <w:color w:val="auto"/>
          <w:sz w:val="28"/>
          <w:szCs w:val="28"/>
          <w:highlight w:val="none"/>
        </w:rPr>
        <w:t>投标人：</w:t>
      </w:r>
      <w:r>
        <w:rPr>
          <w:rFonts w:hint="eastAsia" w:ascii="宋体" w:hAnsi="宋体"/>
          <w:b/>
          <w:bCs/>
          <w:color w:val="auto"/>
          <w:sz w:val="28"/>
          <w:szCs w:val="28"/>
          <w:highlight w:val="none"/>
          <w:u w:val="single"/>
        </w:rPr>
        <w:t>（全称并加盖投标人公章）</w:t>
      </w:r>
    </w:p>
    <w:p w14:paraId="09F398CC">
      <w:pPr>
        <w:jc w:val="right"/>
        <w:rPr>
          <w:rFonts w:ascii="宋体" w:hAnsi="宋体"/>
          <w:b/>
          <w:bCs/>
          <w:color w:val="auto"/>
          <w:sz w:val="28"/>
          <w:szCs w:val="28"/>
          <w:highlight w:val="none"/>
        </w:rPr>
      </w:pPr>
      <w:r>
        <w:rPr>
          <w:rFonts w:ascii="宋体" w:hAnsi="宋体"/>
          <w:b/>
          <w:bCs/>
          <w:color w:val="auto"/>
          <w:sz w:val="28"/>
          <w:szCs w:val="28"/>
          <w:highlight w:val="none"/>
        </w:rPr>
        <w:t>______</w:t>
      </w:r>
      <w:r>
        <w:rPr>
          <w:rFonts w:hint="eastAsia" w:ascii="宋体" w:hAnsi="宋体"/>
          <w:b/>
          <w:bCs/>
          <w:color w:val="auto"/>
          <w:sz w:val="28"/>
          <w:szCs w:val="28"/>
          <w:highlight w:val="none"/>
        </w:rPr>
        <w:t>年</w:t>
      </w:r>
      <w:r>
        <w:rPr>
          <w:rFonts w:ascii="宋体" w:hAnsi="宋体"/>
          <w:b/>
          <w:bCs/>
          <w:color w:val="auto"/>
          <w:sz w:val="28"/>
          <w:szCs w:val="28"/>
          <w:highlight w:val="none"/>
        </w:rPr>
        <w:t>_____</w:t>
      </w:r>
      <w:r>
        <w:rPr>
          <w:rFonts w:hint="eastAsia" w:ascii="宋体" w:hAnsi="宋体"/>
          <w:b/>
          <w:bCs/>
          <w:color w:val="auto"/>
          <w:sz w:val="28"/>
          <w:szCs w:val="28"/>
          <w:highlight w:val="none"/>
        </w:rPr>
        <w:t>月</w:t>
      </w:r>
      <w:r>
        <w:rPr>
          <w:rFonts w:ascii="宋体" w:hAnsi="宋体"/>
          <w:b/>
          <w:bCs/>
          <w:color w:val="auto"/>
          <w:sz w:val="28"/>
          <w:szCs w:val="28"/>
          <w:highlight w:val="none"/>
        </w:rPr>
        <w:t>_____</w:t>
      </w:r>
      <w:r>
        <w:rPr>
          <w:rFonts w:hint="eastAsia" w:ascii="宋体" w:hAnsi="宋体"/>
          <w:b/>
          <w:bCs/>
          <w:color w:val="auto"/>
          <w:sz w:val="28"/>
          <w:szCs w:val="28"/>
          <w:highlight w:val="none"/>
        </w:rPr>
        <w:t>日</w:t>
      </w:r>
    </w:p>
    <w:p w14:paraId="08F155F2">
      <w:pPr>
        <w:spacing w:line="360" w:lineRule="atLeast"/>
        <w:rPr>
          <w:rFonts w:ascii="宋体"/>
          <w:color w:val="auto"/>
          <w:highlight w:val="none"/>
        </w:rPr>
      </w:pPr>
    </w:p>
    <w:p w14:paraId="62465A31">
      <w:pPr>
        <w:spacing w:line="360" w:lineRule="atLeast"/>
        <w:rPr>
          <w:rFonts w:ascii="宋体"/>
          <w:color w:val="auto"/>
          <w:highlight w:val="none"/>
        </w:rPr>
      </w:pPr>
    </w:p>
    <w:p w14:paraId="51750762">
      <w:pPr>
        <w:widowControl/>
        <w:spacing w:line="240" w:lineRule="auto"/>
        <w:rPr>
          <w:color w:val="auto"/>
          <w:highlight w:val="none"/>
        </w:rPr>
      </w:pPr>
      <w:r>
        <w:rPr>
          <w:color w:val="auto"/>
          <w:highlight w:val="none"/>
        </w:rPr>
        <w:br w:type="page"/>
      </w:r>
    </w:p>
    <w:p w14:paraId="33DE36BB">
      <w:pPr>
        <w:ind w:firstLine="284" w:firstLineChars="118"/>
        <w:jc w:val="center"/>
        <w:rPr>
          <w:rFonts w:ascii="宋体" w:hAnsi="宋体" w:cs="宋体"/>
          <w:b/>
          <w:color w:val="auto"/>
          <w:szCs w:val="24"/>
          <w:highlight w:val="none"/>
        </w:rPr>
      </w:pPr>
      <w:r>
        <w:rPr>
          <w:rFonts w:hint="eastAsia" w:ascii="宋体" w:hAnsi="宋体" w:cs="宋体"/>
          <w:b/>
          <w:color w:val="auto"/>
          <w:szCs w:val="24"/>
          <w:highlight w:val="none"/>
        </w:rPr>
        <w:t>9</w:t>
      </w:r>
      <w:r>
        <w:rPr>
          <w:rFonts w:ascii="宋体" w:hAnsi="宋体" w:cs="宋体"/>
          <w:b/>
          <w:color w:val="auto"/>
          <w:szCs w:val="24"/>
          <w:highlight w:val="none"/>
        </w:rPr>
        <w:t>.</w:t>
      </w:r>
      <w:r>
        <w:rPr>
          <w:rFonts w:hint="eastAsia" w:ascii="宋体" w:hAnsi="宋体" w:cs="宋体"/>
          <w:b/>
          <w:color w:val="auto"/>
          <w:szCs w:val="24"/>
          <w:highlight w:val="none"/>
        </w:rPr>
        <w:t>评分项目响应情况、相关说明文件及证明文件对应情况说明</w:t>
      </w:r>
    </w:p>
    <w:p w14:paraId="37CC6A61">
      <w:pPr>
        <w:rPr>
          <w:color w:val="auto"/>
          <w:highlight w:val="none"/>
        </w:rPr>
      </w:pPr>
    </w:p>
    <w:p w14:paraId="44604C95">
      <w:pPr>
        <w:rPr>
          <w:color w:val="auto"/>
          <w:highlight w:val="none"/>
        </w:rPr>
      </w:pPr>
    </w:p>
    <w:tbl>
      <w:tblPr>
        <w:tblStyle w:val="27"/>
        <w:tblW w:w="9214" w:type="dxa"/>
        <w:tblInd w:w="108"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0" w:type="dxa"/>
          <w:bottom w:w="0" w:type="dxa"/>
          <w:right w:w="0" w:type="dxa"/>
        </w:tblCellMar>
      </w:tblPr>
      <w:tblGrid>
        <w:gridCol w:w="567"/>
        <w:gridCol w:w="1418"/>
        <w:gridCol w:w="3402"/>
        <w:gridCol w:w="2409"/>
        <w:gridCol w:w="1418"/>
      </w:tblGrid>
      <w:tr w14:paraId="5BAA2EB8">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20" w:hRule="atLeast"/>
        </w:trPr>
        <w:tc>
          <w:tcPr>
            <w:tcW w:w="567" w:type="dxa"/>
            <w:tcMar>
              <w:top w:w="0" w:type="dxa"/>
              <w:left w:w="108" w:type="dxa"/>
              <w:bottom w:w="0" w:type="dxa"/>
              <w:right w:w="108" w:type="dxa"/>
            </w:tcMar>
            <w:vAlign w:val="center"/>
          </w:tcPr>
          <w:p w14:paraId="78CF4E3A">
            <w:pPr>
              <w:rPr>
                <w:color w:val="auto"/>
                <w:szCs w:val="24"/>
                <w:highlight w:val="none"/>
              </w:rPr>
            </w:pPr>
            <w:r>
              <w:rPr>
                <w:rFonts w:hint="eastAsia"/>
                <w:color w:val="auto"/>
                <w:szCs w:val="24"/>
                <w:highlight w:val="none"/>
              </w:rPr>
              <w:t>类别</w:t>
            </w:r>
          </w:p>
        </w:tc>
        <w:tc>
          <w:tcPr>
            <w:tcW w:w="1418" w:type="dxa"/>
            <w:tcMar>
              <w:top w:w="0" w:type="dxa"/>
              <w:left w:w="108" w:type="dxa"/>
              <w:bottom w:w="0" w:type="dxa"/>
              <w:right w:w="108" w:type="dxa"/>
            </w:tcMar>
            <w:vAlign w:val="center"/>
          </w:tcPr>
          <w:p w14:paraId="689EEDB6">
            <w:pPr>
              <w:rPr>
                <w:color w:val="auto"/>
                <w:szCs w:val="24"/>
                <w:highlight w:val="none"/>
              </w:rPr>
            </w:pPr>
            <w:r>
              <w:rPr>
                <w:rFonts w:hint="eastAsia"/>
                <w:color w:val="auto"/>
                <w:szCs w:val="24"/>
                <w:highlight w:val="none"/>
              </w:rPr>
              <w:t>项目</w:t>
            </w:r>
          </w:p>
        </w:tc>
        <w:tc>
          <w:tcPr>
            <w:tcW w:w="3402" w:type="dxa"/>
            <w:tcMar>
              <w:top w:w="0" w:type="dxa"/>
              <w:left w:w="108" w:type="dxa"/>
              <w:bottom w:w="0" w:type="dxa"/>
              <w:right w:w="108" w:type="dxa"/>
            </w:tcMar>
            <w:vAlign w:val="center"/>
          </w:tcPr>
          <w:p w14:paraId="1D2DF2E6">
            <w:pPr>
              <w:rPr>
                <w:color w:val="auto"/>
                <w:szCs w:val="24"/>
                <w:highlight w:val="none"/>
              </w:rPr>
            </w:pPr>
            <w:r>
              <w:rPr>
                <w:rFonts w:hint="eastAsia"/>
                <w:color w:val="auto"/>
                <w:szCs w:val="24"/>
                <w:highlight w:val="none"/>
              </w:rPr>
              <w:t>评分</w:t>
            </w:r>
            <w:r>
              <w:rPr>
                <w:color w:val="auto"/>
                <w:szCs w:val="24"/>
                <w:highlight w:val="none"/>
              </w:rPr>
              <w:t>标准</w:t>
            </w:r>
          </w:p>
        </w:tc>
        <w:tc>
          <w:tcPr>
            <w:tcW w:w="2409" w:type="dxa"/>
            <w:vAlign w:val="center"/>
          </w:tcPr>
          <w:p w14:paraId="5E820121">
            <w:pPr>
              <w:jc w:val="center"/>
              <w:rPr>
                <w:color w:val="auto"/>
                <w:szCs w:val="24"/>
                <w:highlight w:val="none"/>
              </w:rPr>
            </w:pPr>
            <w:r>
              <w:rPr>
                <w:rFonts w:hint="eastAsia"/>
                <w:color w:val="auto"/>
                <w:szCs w:val="24"/>
                <w:highlight w:val="none"/>
              </w:rPr>
              <w:t>响应情况、相关说明文件及证明文件</w:t>
            </w:r>
          </w:p>
        </w:tc>
        <w:tc>
          <w:tcPr>
            <w:tcW w:w="1418" w:type="dxa"/>
            <w:vAlign w:val="center"/>
          </w:tcPr>
          <w:p w14:paraId="4448C1BC">
            <w:pPr>
              <w:rPr>
                <w:color w:val="auto"/>
                <w:szCs w:val="24"/>
                <w:highlight w:val="none"/>
              </w:rPr>
            </w:pPr>
            <w:r>
              <w:rPr>
                <w:rFonts w:hint="eastAsia"/>
                <w:color w:val="auto"/>
                <w:szCs w:val="24"/>
                <w:highlight w:val="none"/>
              </w:rPr>
              <w:t>相关内容所在投标文件中的页码</w:t>
            </w:r>
          </w:p>
        </w:tc>
      </w:tr>
      <w:tr w14:paraId="577D3B88">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20" w:hRule="atLeast"/>
        </w:trPr>
        <w:tc>
          <w:tcPr>
            <w:tcW w:w="567" w:type="dxa"/>
            <w:tcMar>
              <w:top w:w="0" w:type="dxa"/>
              <w:left w:w="108" w:type="dxa"/>
              <w:bottom w:w="0" w:type="dxa"/>
              <w:right w:w="108" w:type="dxa"/>
            </w:tcMar>
            <w:vAlign w:val="center"/>
          </w:tcPr>
          <w:p w14:paraId="60318296">
            <w:pPr>
              <w:rPr>
                <w:color w:val="auto"/>
                <w:szCs w:val="24"/>
                <w:highlight w:val="none"/>
              </w:rPr>
            </w:pPr>
          </w:p>
        </w:tc>
        <w:tc>
          <w:tcPr>
            <w:tcW w:w="1418" w:type="dxa"/>
            <w:tcMar>
              <w:top w:w="0" w:type="dxa"/>
              <w:left w:w="108" w:type="dxa"/>
              <w:bottom w:w="0" w:type="dxa"/>
              <w:right w:w="108" w:type="dxa"/>
            </w:tcMar>
            <w:vAlign w:val="center"/>
          </w:tcPr>
          <w:p w14:paraId="29C38EC0">
            <w:pPr>
              <w:pStyle w:val="75"/>
              <w:spacing w:line="242" w:lineRule="auto"/>
              <w:ind w:right="99"/>
              <w:rPr>
                <w:rFonts w:ascii="宋体" w:hAnsi="宋体" w:eastAsia="宋体"/>
                <w:color w:val="auto"/>
                <w:sz w:val="24"/>
                <w:szCs w:val="24"/>
                <w:highlight w:val="none"/>
              </w:rPr>
            </w:pPr>
          </w:p>
        </w:tc>
        <w:tc>
          <w:tcPr>
            <w:tcW w:w="3402" w:type="dxa"/>
            <w:tcMar>
              <w:top w:w="0" w:type="dxa"/>
              <w:left w:w="108" w:type="dxa"/>
              <w:bottom w:w="0" w:type="dxa"/>
              <w:right w:w="108" w:type="dxa"/>
            </w:tcMar>
            <w:vAlign w:val="center"/>
          </w:tcPr>
          <w:p w14:paraId="57E9ABF8">
            <w:pPr>
              <w:ind w:firstLine="67" w:firstLineChars="43"/>
              <w:rPr>
                <w:rFonts w:ascii="宋体" w:hAnsi="宋体" w:cs="仿宋"/>
                <w:color w:val="auto"/>
                <w:spacing w:val="-12"/>
                <w:sz w:val="18"/>
                <w:szCs w:val="18"/>
                <w:highlight w:val="none"/>
                <w:lang w:val="zh-CN" w:bidi="zh-CN"/>
              </w:rPr>
            </w:pPr>
          </w:p>
        </w:tc>
        <w:tc>
          <w:tcPr>
            <w:tcW w:w="2409" w:type="dxa"/>
          </w:tcPr>
          <w:p w14:paraId="0A2E2062">
            <w:pPr>
              <w:rPr>
                <w:color w:val="auto"/>
                <w:szCs w:val="24"/>
                <w:highlight w:val="none"/>
              </w:rPr>
            </w:pPr>
          </w:p>
        </w:tc>
        <w:tc>
          <w:tcPr>
            <w:tcW w:w="1418" w:type="dxa"/>
          </w:tcPr>
          <w:p w14:paraId="3F8CE948">
            <w:pPr>
              <w:rPr>
                <w:color w:val="auto"/>
                <w:szCs w:val="24"/>
                <w:highlight w:val="none"/>
              </w:rPr>
            </w:pPr>
          </w:p>
        </w:tc>
      </w:tr>
      <w:tr w14:paraId="7CFFDACC">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20" w:hRule="atLeast"/>
        </w:trPr>
        <w:tc>
          <w:tcPr>
            <w:tcW w:w="567" w:type="dxa"/>
            <w:tcMar>
              <w:top w:w="0" w:type="dxa"/>
              <w:left w:w="108" w:type="dxa"/>
              <w:bottom w:w="0" w:type="dxa"/>
              <w:right w:w="108" w:type="dxa"/>
            </w:tcMar>
            <w:vAlign w:val="center"/>
          </w:tcPr>
          <w:p w14:paraId="5DF555F9">
            <w:pPr>
              <w:rPr>
                <w:color w:val="auto"/>
                <w:szCs w:val="24"/>
                <w:highlight w:val="none"/>
              </w:rPr>
            </w:pPr>
          </w:p>
        </w:tc>
        <w:tc>
          <w:tcPr>
            <w:tcW w:w="1418" w:type="dxa"/>
            <w:tcMar>
              <w:top w:w="0" w:type="dxa"/>
              <w:left w:w="108" w:type="dxa"/>
              <w:bottom w:w="0" w:type="dxa"/>
              <w:right w:w="108" w:type="dxa"/>
            </w:tcMar>
            <w:vAlign w:val="center"/>
          </w:tcPr>
          <w:p w14:paraId="6BD18451">
            <w:pPr>
              <w:pStyle w:val="75"/>
              <w:spacing w:before="188"/>
              <w:rPr>
                <w:rFonts w:ascii="宋体" w:hAnsi="宋体" w:eastAsia="宋体"/>
                <w:color w:val="auto"/>
                <w:sz w:val="24"/>
                <w:szCs w:val="24"/>
                <w:highlight w:val="none"/>
              </w:rPr>
            </w:pPr>
          </w:p>
        </w:tc>
        <w:tc>
          <w:tcPr>
            <w:tcW w:w="3402" w:type="dxa"/>
            <w:tcMar>
              <w:top w:w="0" w:type="dxa"/>
              <w:left w:w="108" w:type="dxa"/>
              <w:bottom w:w="0" w:type="dxa"/>
              <w:right w:w="108" w:type="dxa"/>
            </w:tcMar>
            <w:vAlign w:val="center"/>
          </w:tcPr>
          <w:p w14:paraId="47BE20BC">
            <w:pPr>
              <w:pStyle w:val="75"/>
              <w:spacing w:before="2" w:line="242" w:lineRule="auto"/>
              <w:ind w:right="158" w:rightChars="66" w:firstLine="67" w:firstLineChars="43"/>
              <w:rPr>
                <w:rFonts w:ascii="宋体" w:hAnsi="宋体" w:eastAsia="宋体"/>
                <w:color w:val="auto"/>
                <w:spacing w:val="-12"/>
                <w:sz w:val="18"/>
                <w:szCs w:val="18"/>
                <w:highlight w:val="none"/>
              </w:rPr>
            </w:pPr>
          </w:p>
        </w:tc>
        <w:tc>
          <w:tcPr>
            <w:tcW w:w="2409" w:type="dxa"/>
          </w:tcPr>
          <w:p w14:paraId="430071DA">
            <w:pPr>
              <w:rPr>
                <w:color w:val="auto"/>
                <w:szCs w:val="24"/>
                <w:highlight w:val="none"/>
              </w:rPr>
            </w:pPr>
          </w:p>
        </w:tc>
        <w:tc>
          <w:tcPr>
            <w:tcW w:w="1418" w:type="dxa"/>
          </w:tcPr>
          <w:p w14:paraId="465DDD63">
            <w:pPr>
              <w:rPr>
                <w:color w:val="auto"/>
                <w:szCs w:val="24"/>
                <w:highlight w:val="none"/>
              </w:rPr>
            </w:pPr>
          </w:p>
        </w:tc>
      </w:tr>
      <w:tr w14:paraId="5C723880">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20" w:hRule="atLeast"/>
        </w:trPr>
        <w:tc>
          <w:tcPr>
            <w:tcW w:w="567" w:type="dxa"/>
            <w:tcMar>
              <w:top w:w="0" w:type="dxa"/>
              <w:left w:w="108" w:type="dxa"/>
              <w:bottom w:w="0" w:type="dxa"/>
              <w:right w:w="108" w:type="dxa"/>
            </w:tcMar>
            <w:vAlign w:val="center"/>
          </w:tcPr>
          <w:p w14:paraId="026BDBBD">
            <w:pPr>
              <w:rPr>
                <w:color w:val="auto"/>
                <w:szCs w:val="24"/>
                <w:highlight w:val="none"/>
              </w:rPr>
            </w:pPr>
          </w:p>
        </w:tc>
        <w:tc>
          <w:tcPr>
            <w:tcW w:w="1418" w:type="dxa"/>
            <w:tcMar>
              <w:top w:w="0" w:type="dxa"/>
              <w:left w:w="108" w:type="dxa"/>
              <w:bottom w:w="0" w:type="dxa"/>
              <w:right w:w="108" w:type="dxa"/>
            </w:tcMar>
            <w:vAlign w:val="center"/>
          </w:tcPr>
          <w:p w14:paraId="25D1F3C2">
            <w:pPr>
              <w:pStyle w:val="75"/>
              <w:rPr>
                <w:rFonts w:ascii="宋体" w:hAnsi="宋体" w:eastAsia="宋体"/>
                <w:color w:val="auto"/>
                <w:sz w:val="24"/>
                <w:szCs w:val="24"/>
                <w:highlight w:val="none"/>
              </w:rPr>
            </w:pPr>
          </w:p>
        </w:tc>
        <w:tc>
          <w:tcPr>
            <w:tcW w:w="3402" w:type="dxa"/>
            <w:tcMar>
              <w:top w:w="0" w:type="dxa"/>
              <w:left w:w="108" w:type="dxa"/>
              <w:bottom w:w="0" w:type="dxa"/>
              <w:right w:w="108" w:type="dxa"/>
            </w:tcMar>
          </w:tcPr>
          <w:p w14:paraId="0DEB05E9">
            <w:pPr>
              <w:pStyle w:val="75"/>
              <w:spacing w:before="2" w:line="242" w:lineRule="auto"/>
              <w:ind w:right="158" w:rightChars="66" w:firstLine="67" w:firstLineChars="43"/>
              <w:rPr>
                <w:rFonts w:ascii="宋体" w:hAnsi="宋体" w:eastAsia="宋体"/>
                <w:color w:val="auto"/>
                <w:spacing w:val="-12"/>
                <w:sz w:val="18"/>
                <w:szCs w:val="18"/>
                <w:highlight w:val="none"/>
              </w:rPr>
            </w:pPr>
          </w:p>
        </w:tc>
        <w:tc>
          <w:tcPr>
            <w:tcW w:w="2409" w:type="dxa"/>
          </w:tcPr>
          <w:p w14:paraId="14D95654">
            <w:pPr>
              <w:rPr>
                <w:color w:val="auto"/>
                <w:szCs w:val="24"/>
                <w:highlight w:val="none"/>
              </w:rPr>
            </w:pPr>
          </w:p>
        </w:tc>
        <w:tc>
          <w:tcPr>
            <w:tcW w:w="1418" w:type="dxa"/>
          </w:tcPr>
          <w:p w14:paraId="2BBC1A04">
            <w:pPr>
              <w:rPr>
                <w:color w:val="auto"/>
                <w:szCs w:val="24"/>
                <w:highlight w:val="none"/>
              </w:rPr>
            </w:pPr>
          </w:p>
        </w:tc>
      </w:tr>
      <w:tr w14:paraId="36C2733C">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20" w:hRule="atLeast"/>
        </w:trPr>
        <w:tc>
          <w:tcPr>
            <w:tcW w:w="567" w:type="dxa"/>
            <w:tcMar>
              <w:top w:w="0" w:type="dxa"/>
              <w:left w:w="108" w:type="dxa"/>
              <w:bottom w:w="0" w:type="dxa"/>
              <w:right w:w="108" w:type="dxa"/>
            </w:tcMar>
            <w:vAlign w:val="center"/>
          </w:tcPr>
          <w:p w14:paraId="311B9660">
            <w:pPr>
              <w:rPr>
                <w:color w:val="auto"/>
                <w:szCs w:val="24"/>
                <w:highlight w:val="none"/>
              </w:rPr>
            </w:pPr>
          </w:p>
        </w:tc>
        <w:tc>
          <w:tcPr>
            <w:tcW w:w="1418" w:type="dxa"/>
            <w:tcMar>
              <w:top w:w="0" w:type="dxa"/>
              <w:left w:w="108" w:type="dxa"/>
              <w:bottom w:w="0" w:type="dxa"/>
              <w:right w:w="108" w:type="dxa"/>
            </w:tcMar>
            <w:vAlign w:val="center"/>
          </w:tcPr>
          <w:p w14:paraId="208AEFEB">
            <w:pPr>
              <w:pStyle w:val="75"/>
              <w:spacing w:before="167"/>
              <w:rPr>
                <w:rFonts w:ascii="宋体" w:hAnsi="宋体" w:eastAsia="宋体"/>
                <w:color w:val="auto"/>
                <w:sz w:val="24"/>
                <w:szCs w:val="24"/>
                <w:highlight w:val="none"/>
              </w:rPr>
            </w:pPr>
          </w:p>
        </w:tc>
        <w:tc>
          <w:tcPr>
            <w:tcW w:w="3402" w:type="dxa"/>
            <w:tcMar>
              <w:top w:w="0" w:type="dxa"/>
              <w:left w:w="108" w:type="dxa"/>
              <w:bottom w:w="0" w:type="dxa"/>
              <w:right w:w="108" w:type="dxa"/>
            </w:tcMar>
          </w:tcPr>
          <w:p w14:paraId="4776A2A9">
            <w:pPr>
              <w:pStyle w:val="75"/>
              <w:spacing w:before="2" w:line="310" w:lineRule="atLeast"/>
              <w:ind w:right="158" w:rightChars="66" w:firstLine="67" w:firstLineChars="43"/>
              <w:rPr>
                <w:rFonts w:ascii="宋体" w:hAnsi="宋体" w:eastAsia="宋体"/>
                <w:color w:val="auto"/>
                <w:spacing w:val="-12"/>
                <w:sz w:val="18"/>
                <w:szCs w:val="18"/>
                <w:highlight w:val="none"/>
              </w:rPr>
            </w:pPr>
          </w:p>
        </w:tc>
        <w:tc>
          <w:tcPr>
            <w:tcW w:w="2409" w:type="dxa"/>
          </w:tcPr>
          <w:p w14:paraId="42F8D622">
            <w:pPr>
              <w:rPr>
                <w:color w:val="auto"/>
                <w:szCs w:val="24"/>
                <w:highlight w:val="none"/>
              </w:rPr>
            </w:pPr>
          </w:p>
        </w:tc>
        <w:tc>
          <w:tcPr>
            <w:tcW w:w="1418" w:type="dxa"/>
          </w:tcPr>
          <w:p w14:paraId="7ADC955D">
            <w:pPr>
              <w:rPr>
                <w:color w:val="auto"/>
                <w:szCs w:val="24"/>
                <w:highlight w:val="none"/>
              </w:rPr>
            </w:pPr>
          </w:p>
        </w:tc>
      </w:tr>
      <w:tr w14:paraId="278F2C75">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20" w:hRule="atLeast"/>
        </w:trPr>
        <w:tc>
          <w:tcPr>
            <w:tcW w:w="567" w:type="dxa"/>
            <w:tcMar>
              <w:top w:w="0" w:type="dxa"/>
              <w:left w:w="108" w:type="dxa"/>
              <w:bottom w:w="0" w:type="dxa"/>
              <w:right w:w="108" w:type="dxa"/>
            </w:tcMar>
            <w:vAlign w:val="center"/>
          </w:tcPr>
          <w:p w14:paraId="0A5DD89B">
            <w:pPr>
              <w:rPr>
                <w:color w:val="auto"/>
                <w:szCs w:val="24"/>
                <w:highlight w:val="none"/>
              </w:rPr>
            </w:pPr>
          </w:p>
        </w:tc>
        <w:tc>
          <w:tcPr>
            <w:tcW w:w="1418" w:type="dxa"/>
            <w:tcMar>
              <w:top w:w="0" w:type="dxa"/>
              <w:left w:w="108" w:type="dxa"/>
              <w:bottom w:w="0" w:type="dxa"/>
              <w:right w:w="108" w:type="dxa"/>
            </w:tcMar>
            <w:vAlign w:val="center"/>
          </w:tcPr>
          <w:p w14:paraId="132C175F">
            <w:pPr>
              <w:pStyle w:val="75"/>
              <w:spacing w:before="5"/>
              <w:rPr>
                <w:rFonts w:ascii="宋体" w:hAnsi="宋体" w:eastAsia="宋体"/>
                <w:color w:val="auto"/>
                <w:sz w:val="24"/>
                <w:szCs w:val="24"/>
                <w:highlight w:val="none"/>
              </w:rPr>
            </w:pPr>
          </w:p>
        </w:tc>
        <w:tc>
          <w:tcPr>
            <w:tcW w:w="3402" w:type="dxa"/>
            <w:tcMar>
              <w:top w:w="0" w:type="dxa"/>
              <w:left w:w="108" w:type="dxa"/>
              <w:bottom w:w="0" w:type="dxa"/>
              <w:right w:w="108" w:type="dxa"/>
            </w:tcMar>
          </w:tcPr>
          <w:p w14:paraId="5FA3F770">
            <w:pPr>
              <w:pStyle w:val="75"/>
              <w:spacing w:before="2" w:line="242" w:lineRule="auto"/>
              <w:ind w:right="158" w:rightChars="66" w:firstLine="67" w:firstLineChars="43"/>
              <w:rPr>
                <w:rFonts w:ascii="宋体" w:hAnsi="宋体" w:eastAsia="宋体"/>
                <w:color w:val="auto"/>
                <w:spacing w:val="-12"/>
                <w:sz w:val="18"/>
                <w:szCs w:val="18"/>
                <w:highlight w:val="none"/>
              </w:rPr>
            </w:pPr>
          </w:p>
        </w:tc>
        <w:tc>
          <w:tcPr>
            <w:tcW w:w="2409" w:type="dxa"/>
          </w:tcPr>
          <w:p w14:paraId="5706BF66">
            <w:pPr>
              <w:rPr>
                <w:color w:val="auto"/>
                <w:szCs w:val="24"/>
                <w:highlight w:val="none"/>
              </w:rPr>
            </w:pPr>
          </w:p>
        </w:tc>
        <w:tc>
          <w:tcPr>
            <w:tcW w:w="1418" w:type="dxa"/>
          </w:tcPr>
          <w:p w14:paraId="154A5252">
            <w:pPr>
              <w:rPr>
                <w:color w:val="auto"/>
                <w:szCs w:val="24"/>
                <w:highlight w:val="none"/>
              </w:rPr>
            </w:pPr>
          </w:p>
        </w:tc>
      </w:tr>
      <w:tr w14:paraId="5D168370">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20" w:hRule="atLeast"/>
        </w:trPr>
        <w:tc>
          <w:tcPr>
            <w:tcW w:w="567" w:type="dxa"/>
            <w:tcMar>
              <w:top w:w="0" w:type="dxa"/>
              <w:left w:w="108" w:type="dxa"/>
              <w:bottom w:w="0" w:type="dxa"/>
              <w:right w:w="108" w:type="dxa"/>
            </w:tcMar>
            <w:vAlign w:val="center"/>
          </w:tcPr>
          <w:p w14:paraId="2D0B4E71">
            <w:pPr>
              <w:rPr>
                <w:color w:val="auto"/>
                <w:szCs w:val="24"/>
                <w:highlight w:val="none"/>
              </w:rPr>
            </w:pPr>
          </w:p>
        </w:tc>
        <w:tc>
          <w:tcPr>
            <w:tcW w:w="1418" w:type="dxa"/>
            <w:tcMar>
              <w:top w:w="0" w:type="dxa"/>
              <w:left w:w="108" w:type="dxa"/>
              <w:bottom w:w="0" w:type="dxa"/>
              <w:right w:w="108" w:type="dxa"/>
            </w:tcMar>
            <w:vAlign w:val="center"/>
          </w:tcPr>
          <w:p w14:paraId="0BD4D372">
            <w:pPr>
              <w:pStyle w:val="75"/>
              <w:rPr>
                <w:rFonts w:ascii="宋体" w:hAnsi="宋体" w:eastAsia="宋体"/>
                <w:color w:val="auto"/>
                <w:sz w:val="24"/>
                <w:szCs w:val="24"/>
                <w:highlight w:val="none"/>
              </w:rPr>
            </w:pPr>
          </w:p>
        </w:tc>
        <w:tc>
          <w:tcPr>
            <w:tcW w:w="3402" w:type="dxa"/>
            <w:tcMar>
              <w:top w:w="0" w:type="dxa"/>
              <w:left w:w="108" w:type="dxa"/>
              <w:bottom w:w="0" w:type="dxa"/>
              <w:right w:w="108" w:type="dxa"/>
            </w:tcMar>
          </w:tcPr>
          <w:p w14:paraId="199935BC">
            <w:pPr>
              <w:pStyle w:val="75"/>
              <w:spacing w:before="2" w:line="242" w:lineRule="auto"/>
              <w:ind w:right="158" w:rightChars="66" w:firstLine="67" w:firstLineChars="43"/>
              <w:rPr>
                <w:rFonts w:ascii="宋体" w:hAnsi="宋体" w:eastAsia="宋体"/>
                <w:color w:val="auto"/>
                <w:spacing w:val="-12"/>
                <w:sz w:val="18"/>
                <w:szCs w:val="18"/>
                <w:highlight w:val="none"/>
              </w:rPr>
            </w:pPr>
          </w:p>
        </w:tc>
        <w:tc>
          <w:tcPr>
            <w:tcW w:w="2409" w:type="dxa"/>
          </w:tcPr>
          <w:p w14:paraId="2DDE3988">
            <w:pPr>
              <w:rPr>
                <w:color w:val="auto"/>
                <w:szCs w:val="24"/>
                <w:highlight w:val="none"/>
              </w:rPr>
            </w:pPr>
          </w:p>
        </w:tc>
        <w:tc>
          <w:tcPr>
            <w:tcW w:w="1418" w:type="dxa"/>
          </w:tcPr>
          <w:p w14:paraId="2F0BFA45">
            <w:pPr>
              <w:rPr>
                <w:color w:val="auto"/>
                <w:szCs w:val="24"/>
                <w:highlight w:val="none"/>
              </w:rPr>
            </w:pPr>
          </w:p>
        </w:tc>
      </w:tr>
    </w:tbl>
    <w:p w14:paraId="2D1E87F0">
      <w:pPr>
        <w:spacing w:line="360" w:lineRule="atLeast"/>
        <w:ind w:left="481" w:leftChars="200" w:hanging="1"/>
        <w:rPr>
          <w:color w:val="auto"/>
          <w:highlight w:val="none"/>
        </w:rPr>
      </w:pPr>
    </w:p>
    <w:p w14:paraId="3725E59D">
      <w:pPr>
        <w:spacing w:line="360" w:lineRule="atLeast"/>
        <w:rPr>
          <w:color w:val="auto"/>
          <w:highlight w:val="none"/>
        </w:rPr>
      </w:pPr>
      <w:r>
        <w:rPr>
          <w:rFonts w:hint="eastAsia"/>
          <w:color w:val="auto"/>
          <w:highlight w:val="none"/>
        </w:rPr>
        <w:t>注：格式仅供参考，投标人如认为有必要，可将本表根据实际需求继续细化。</w:t>
      </w:r>
    </w:p>
    <w:sectPr>
      <w:pgSz w:w="11906" w:h="16838"/>
      <w:pgMar w:top="1440" w:right="1440" w:bottom="1440" w:left="1440" w:header="851" w:footer="992" w:gutter="0"/>
      <w:pgNumType w:fmt="decimal"/>
      <w:cols w:space="720"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modern"/>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微软雅黑">
    <w:panose1 w:val="020B0503020204020204"/>
    <w:charset w:val="86"/>
    <w:family w:val="swiss"/>
    <w:pitch w:val="default"/>
    <w:sig w:usb0="80000287" w:usb1="2ACF3C50" w:usb2="00000016" w:usb3="00000000" w:csb0="0004001F" w:csb1="00000000"/>
  </w:font>
  <w:font w:name="仿宋_GB2312">
    <w:altName w:val="仿宋"/>
    <w:panose1 w:val="02010609030101010101"/>
    <w:charset w:val="86"/>
    <w:family w:val="modern"/>
    <w:pitch w:val="default"/>
    <w:sig w:usb0="00000000" w:usb1="00000000" w:usb2="00000000" w:usb3="00000000" w:csb0="00040000" w:csb1="00000000"/>
  </w:font>
  <w:font w:name="方正小标宋简体">
    <w:altName w:val="方正舒体"/>
    <w:panose1 w:val="03000509000000000000"/>
    <w:charset w:val="86"/>
    <w:family w:val="script"/>
    <w:pitch w:val="default"/>
    <w:sig w:usb0="00000000" w:usb1="00000000" w:usb2="00000000" w:usb3="00000000" w:csb0="00040000" w:csb1="00000000"/>
  </w:font>
  <w:font w:name="楷体_GB2312">
    <w:altName w:val="楷体"/>
    <w:panose1 w:val="02010609030101010101"/>
    <w:charset w:val="86"/>
    <w:family w:val="auto"/>
    <w:pitch w:val="default"/>
    <w:sig w:usb0="00000000" w:usb1="00000000" w:usb2="00000000" w:usb3="00000000" w:csb0="00040000" w:csb1="00000000"/>
  </w:font>
  <w:font w:name="方正舒体">
    <w:panose1 w:val="02010601030101010101"/>
    <w:charset w:val="86"/>
    <w:family w:val="auto"/>
    <w:pitch w:val="default"/>
    <w:sig w:usb0="00000003" w:usb1="080E0000" w:usb2="00000000" w:usb3="00000000" w:csb0="00040000" w:csb1="00000000"/>
  </w:font>
  <w:font w:name="楷体">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966B3E4">
    <w:pPr>
      <w:pStyle w:val="18"/>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D8D65CF">
                          <w:pPr>
                            <w:pStyle w:val="18"/>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14:paraId="1D8D65CF">
                    <w:pPr>
                      <w:pStyle w:val="18"/>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E980128">
    <w:pPr>
      <w:pStyle w:val="18"/>
      <w:tabs>
        <w:tab w:val="clear" w:pos="4153"/>
      </w:tabs>
      <w:jc w:val="cen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51B11F4">
    <w:pPr>
      <w:pStyle w:val="18"/>
    </w:pPr>
    <w:r>
      <w:rPr>
        <w:sz w:val="18"/>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138E163">
                          <w:pPr>
                            <w:pStyle w:val="18"/>
                          </w:pPr>
                          <w:r>
                            <w:fldChar w:fldCharType="begin"/>
                          </w:r>
                          <w:r>
                            <w:instrText xml:space="preserve"> PAGE  \* MERGEFORMAT </w:instrText>
                          </w:r>
                          <w:r>
                            <w:fldChar w:fldCharType="separate"/>
                          </w:r>
                          <w:r>
                            <w:t>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fill on="f" focussize="0,0"/>
              <v:stroke on="f" weight="0.5pt"/>
              <v:imagedata o:title=""/>
              <o:lock v:ext="edit" aspectratio="f"/>
              <v:textbox inset="0mm,0mm,0mm,0mm" style="mso-fit-shape-to-text:t;">
                <w:txbxContent>
                  <w:p w14:paraId="4138E163">
                    <w:pPr>
                      <w:pStyle w:val="18"/>
                    </w:pPr>
                    <w:r>
                      <w:fldChar w:fldCharType="begin"/>
                    </w:r>
                    <w:r>
                      <w:instrText xml:space="preserve"> PAGE  \* MERGEFORMAT </w:instrText>
                    </w:r>
                    <w:r>
                      <w:fldChar w:fldCharType="separate"/>
                    </w:r>
                    <w:r>
                      <w:t>3</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AEB8232">
    <w:pPr>
      <w:pStyle w:val="18"/>
      <w:ind w:right="360" w:firstLine="360"/>
      <w:jc w:val="right"/>
    </w:pPr>
    <w:r>
      <w:rPr>
        <w:sz w:val="18"/>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8F9BD77">
                          <w:pPr>
                            <w:pStyle w:val="18"/>
                          </w:pPr>
                          <w:r>
                            <w:fldChar w:fldCharType="begin"/>
                          </w:r>
                          <w:r>
                            <w:instrText xml:space="preserve"> PAGE  \* MERGEFORMAT </w:instrText>
                          </w:r>
                          <w:r>
                            <w:fldChar w:fldCharType="separate"/>
                          </w:r>
                          <w:r>
                            <w:t>10</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qMOCsyAgAAY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uow4KzICAABhBAAADgAAAAAAAAABACAAAAAfAQAAZHJzL2Uyb0RvYy54bWxQSwUG&#10;AAAAAAYABgBZAQAAwwUAAAAA&#10;">
              <v:fill on="f" focussize="0,0"/>
              <v:stroke on="f" weight="0.5pt"/>
              <v:imagedata o:title=""/>
              <o:lock v:ext="edit" aspectratio="f"/>
              <v:textbox inset="0mm,0mm,0mm,0mm" style="mso-fit-shape-to-text:t;">
                <w:txbxContent>
                  <w:p w14:paraId="48F9BD77">
                    <w:pPr>
                      <w:pStyle w:val="18"/>
                    </w:pPr>
                    <w:r>
                      <w:fldChar w:fldCharType="begin"/>
                    </w:r>
                    <w:r>
                      <w:instrText xml:space="preserve"> PAGE  \* MERGEFORMAT </w:instrText>
                    </w:r>
                    <w:r>
                      <w:fldChar w:fldCharType="separate"/>
                    </w:r>
                    <w:r>
                      <w:t>10</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BC96C8B">
    <w:pPr>
      <w:pStyle w:val="18"/>
      <w:jc w:val="center"/>
    </w:pPr>
    <w:r>
      <w:rPr>
        <w:sz w:val="18"/>
      </w:rP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7E3C867">
                          <w:pPr>
                            <w:pStyle w:val="18"/>
                          </w:pPr>
                          <w:r>
                            <w:fldChar w:fldCharType="begin"/>
                          </w:r>
                          <w:r>
                            <w:instrText xml:space="preserve"> PAGE  \* MERGEFORMAT </w:instrText>
                          </w:r>
                          <w:r>
                            <w:fldChar w:fldCharType="separate"/>
                          </w:r>
                          <w:r>
                            <w:t>32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540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OrREyAgAAY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f46tETICAABhBAAADgAAAAAAAAABACAAAAAfAQAAZHJzL2Uyb0RvYy54bWxQSwUG&#10;AAAAAAYABgBZAQAAwwUAAAAA&#10;">
              <v:fill on="f" focussize="0,0"/>
              <v:stroke on="f" weight="0.5pt"/>
              <v:imagedata o:title=""/>
              <o:lock v:ext="edit" aspectratio="f"/>
              <v:textbox inset="0mm,0mm,0mm,0mm" style="mso-fit-shape-to-text:t;">
                <w:txbxContent>
                  <w:p w14:paraId="17E3C867">
                    <w:pPr>
                      <w:pStyle w:val="18"/>
                    </w:pPr>
                    <w:r>
                      <w:fldChar w:fldCharType="begin"/>
                    </w:r>
                    <w:r>
                      <w:instrText xml:space="preserve"> PAGE  \* MERGEFORMAT </w:instrText>
                    </w:r>
                    <w:r>
                      <w:fldChar w:fldCharType="separate"/>
                    </w:r>
                    <w:r>
                      <w:t>32</w:t>
                    </w:r>
                    <w: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0E8A075">
    <w:pPr>
      <w:pStyle w:val="18"/>
      <w:jc w:val="center"/>
    </w:pPr>
    <w:r>
      <w:rPr>
        <w:sz w:val="18"/>
      </w:rPr>
      <mc:AlternateContent>
        <mc:Choice Requires="wps">
          <w:drawing>
            <wp:anchor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F53270D">
                          <w:pPr>
                            <w:pStyle w:val="18"/>
                          </w:pPr>
                          <w:r>
                            <w:fldChar w:fldCharType="begin"/>
                          </w:r>
                          <w:r>
                            <w:instrText xml:space="preserve"> PAGE  \* MERGEFORMAT </w:instrText>
                          </w:r>
                          <w:r>
                            <w:fldChar w:fldCharType="separate"/>
                          </w:r>
                          <w:r>
                            <w:t>52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643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CJEl4xAgAAYQ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ouczigxTKPgl+/fLj9+&#10;XX5+JbMkT+3CAlEPDnGxeWsbNM1wHnCYWDel1+kLPgR+iHu+iiuaSHi6NJ/O52O4OHzDBvjZ43Xn&#10;Q3wnrCbJyKlH9VpR2WkXYhc6hKRsxm6lUm0FlSE1KLx+M24vXD0AVwY5EonuscmKzb7pme1tcQYx&#10;b7vOCI5vJZLvWIj3zKMV8GAMS7zDUiqLJLa3KKms//Kv8xSPCsFLSY3WyqnBJFGi3htUDoBxMPxg&#10;7AfDHPWtRa9OMISOtyYu+KgGs/RWf8YErVMOuJjhyJTTOJi3sWtvTCAX63UbdHReHqruAvrOsbgz&#10;D46nNEnI4NbHCDFbjZNAnSq9bui8tkr9lKTW/nPfRj3+GVa/A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wiRJeMQIAAGEEAAAOAAAAAAAAAAEAIAAAAB8BAABkcnMvZTJvRG9jLnhtbFBLBQYA&#10;AAAABgAGAFkBAADCBQAAAAA=&#10;">
              <v:fill on="f" focussize="0,0"/>
              <v:stroke on="f" weight="0.5pt"/>
              <v:imagedata o:title=""/>
              <o:lock v:ext="edit" aspectratio="f"/>
              <v:textbox inset="0mm,0mm,0mm,0mm" style="mso-fit-shape-to-text:t;">
                <w:txbxContent>
                  <w:p w14:paraId="7F53270D">
                    <w:pPr>
                      <w:pStyle w:val="18"/>
                    </w:pPr>
                    <w:r>
                      <w:fldChar w:fldCharType="begin"/>
                    </w:r>
                    <w:r>
                      <w:instrText xml:space="preserve"> PAGE  \* MERGEFORMAT </w:instrText>
                    </w:r>
                    <w:r>
                      <w:fldChar w:fldCharType="separate"/>
                    </w:r>
                    <w:r>
                      <w:t>52</w:t>
                    </w:r>
                    <w:r>
                      <w:fldChar w:fldCharType="end"/>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1484A60">
    <w:pPr>
      <w:pStyle w:val="18"/>
      <w:ind w:right="360" w:firstLine="360"/>
      <w:jc w:val="right"/>
    </w:pPr>
    <w:r>
      <w:rPr>
        <w:sz w:val="18"/>
      </w:rPr>
      <mc:AlternateContent>
        <mc:Choice Requires="wps">
          <w:drawing>
            <wp:anchor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32D2723">
                          <w:pPr>
                            <w:pStyle w:val="18"/>
                          </w:pPr>
                          <w:r>
                            <w:fldChar w:fldCharType="begin"/>
                          </w:r>
                          <w:r>
                            <w:instrText xml:space="preserve"> PAGE  \* MERGEFORMAT </w:instrText>
                          </w:r>
                          <w:r>
                            <w:fldChar w:fldCharType="separate"/>
                          </w:r>
                          <w:r>
                            <w:t>60</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745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WLh2QyAgAAYQQAAA4AAABkcnMvZTJvRG9jLnhtbK1UzY7TMBC+I/EO&#10;lu80aRG7Vd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9YuHZDICAABhBAAADgAAAAAAAAABACAAAAAfAQAAZHJzL2Uyb0RvYy54bWxQSwUG&#10;AAAAAAYABgBZAQAAwwUAAAAA&#10;">
              <v:fill on="f" focussize="0,0"/>
              <v:stroke on="f" weight="0.5pt"/>
              <v:imagedata o:title=""/>
              <o:lock v:ext="edit" aspectratio="f"/>
              <v:textbox inset="0mm,0mm,0mm,0mm" style="mso-fit-shape-to-text:t;">
                <w:txbxContent>
                  <w:p w14:paraId="532D2723">
                    <w:pPr>
                      <w:pStyle w:val="18"/>
                    </w:pPr>
                    <w:r>
                      <w:fldChar w:fldCharType="begin"/>
                    </w:r>
                    <w:r>
                      <w:instrText xml:space="preserve"> PAGE  \* MERGEFORMAT </w:instrText>
                    </w:r>
                    <w:r>
                      <w:fldChar w:fldCharType="separate"/>
                    </w:r>
                    <w:r>
                      <w:t>60</w:t>
                    </w:r>
                    <w:r>
                      <w:fldChar w:fldCharType="end"/>
                    </w:r>
                  </w:p>
                </w:txbxContent>
              </v:textbox>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82DDE76">
    <w:pPr>
      <w:pStyle w:val="10"/>
      <w:spacing w:line="14" w:lineRule="auto"/>
      <w:rPr>
        <w:sz w:val="20"/>
      </w:rPr>
    </w:pPr>
    <w:r>
      <w:rPr>
        <w:sz w:val="20"/>
      </w:rPr>
      <mc:AlternateContent>
        <mc:Choice Requires="wps">
          <w:drawing>
            <wp:anchor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7BE32F8">
                          <w:pPr>
                            <w:pStyle w:val="18"/>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848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eXtc4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ouyGaRT88v3b5cev&#10;y8+vZJbkqV2YI2rnEBebt7ZB0wznAYeJdVN6nb7gQ+CHuOeruKKJhKdLs+lsNoaLwzdsgJ89Xnc+&#10;xHfCapKMnHpUrxWVnbYhdqFDSMpm7EYq1VZQGVLn9Ob1m3F74eoBuDLIkUh0j01WbPZNz2xvizOI&#10;edt1RnB8I5F8y0J8YB6tgAdjWOI9llJZJLG9RUll/Zd/nad4VAheSmq0Vk4NJokS9d6gcgCMg+EH&#10;Yz8Y5qjvLHp1giF0vDVxwUc1mKW3+jMmaJVywMUMR6acxsG8i117YwK5WK3aoKPz8lB1F9B3jsWt&#10;2Tme0iQhg1sdI8RsNU4Cdar0uqHz2ir1U5Ja+899G/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Hl7XOMQIAAGEEAAAOAAAAAAAAAAEAIAAAAB8BAABkcnMvZTJvRG9jLnhtbFBLBQYA&#10;AAAABgAGAFkBAADCBQAAAAA=&#10;">
              <v:fill on="f" focussize="0,0"/>
              <v:stroke on="f" weight="0.5pt"/>
              <v:imagedata o:title=""/>
              <o:lock v:ext="edit" aspectratio="f"/>
              <v:textbox inset="0mm,0mm,0mm,0mm" style="mso-fit-shape-to-text:t;">
                <w:txbxContent>
                  <w:p w14:paraId="77BE32F8">
                    <w:pPr>
                      <w:pStyle w:val="18"/>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21875C7">
    <w:pPr>
      <w:pStyle w:val="19"/>
    </w:pPr>
    <w:r>
      <w:pict>
        <v:shape id="PowerPlusWaterMarkObject6603757" o:spid="_x0000_s1038" o:spt="136" type="#_x0000_t136" style="position:absolute;left:0pt;height:39.75pt;width:688.5pt;mso-position-horizontal:center;mso-position-horizontal-relative:margin;mso-position-vertical:center;mso-position-vertical-relative:margin;rotation:20643840f;z-index:-251656192;mso-width-relative:page;mso-height-relative:page;" fillcolor="#D8D8D8" filled="t" stroked="f" coordsize="21600,21600" o:allowincell="f">
          <v:path/>
          <v:fill on="t" focussize="0,0"/>
          <v:stroke on="f"/>
          <v:imagedata o:title=""/>
          <o:lock v:ext="edit"/>
          <v:textpath on="t" fitshape="t" fitpath="t" trim="t" xscale="f" string="归江西诚信伟业招标咨询有限公司所有" style="font-family:新宋体;font-size:40pt;v-text-align:center;"/>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FCA3D36">
    <w:pPr>
      <w:pStyle w:val="19"/>
    </w:pPr>
    <w:r>
      <w:pict>
        <v:shape id="PowerPlusWaterMarkObject6603756" o:spid="_x0000_s1037" o:spt="136" type="#_x0000_t136" style="position:absolute;left:0pt;height:39.75pt;width:688.5pt;mso-position-horizontal:center;mso-position-horizontal-relative:margin;mso-position-vertical:center;mso-position-vertical-relative:margin;rotation:20643840f;z-index:-251657216;mso-width-relative:page;mso-height-relative:page;" fillcolor="#D8D8D8" filled="t" stroked="f" coordsize="21600,21600" o:allowincell="f">
          <v:path/>
          <v:fill on="t" focussize="0,0"/>
          <v:stroke on="f"/>
          <v:imagedata o:title=""/>
          <o:lock v:ext="edit"/>
          <v:textpath on="t" fitshape="t" fitpath="t" trim="t" xscale="f" string="归江西诚信伟业招标咨询有限公司所有" style="font-family:新宋体;font-size:40pt;v-text-align:center;"/>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75C218E">
    <w:pPr>
      <w:pStyle w:val="19"/>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3C39800">
    <w:pPr>
      <w:pStyle w:val="19"/>
    </w:pPr>
    <w:r>
      <w:pict>
        <v:shape id="PowerPlusWaterMarkObject6603760" o:spid="_x0000_s1041" o:spt="136" type="#_x0000_t136" style="position:absolute;left:0pt;height:39.75pt;width:688.5pt;mso-position-horizontal:center;mso-position-horizontal-relative:margin;mso-position-vertical:center;mso-position-vertical-relative:margin;rotation:20643840f;z-index:-251655168;mso-width-relative:page;mso-height-relative:page;" fillcolor="#D8D8D8" filled="t" stroked="f" coordsize="21600,21600" o:allowincell="f">
          <v:path/>
          <v:fill on="t" focussize="0,0"/>
          <v:stroke on="f"/>
          <v:imagedata o:title=""/>
          <o:lock v:ext="edit"/>
          <v:textpath on="t" fitshape="t" fitpath="t" trim="t" xscale="f" string="归江西诚信伟业招标咨询有限公司所有" style="font-family:新宋体;font-size:40pt;v-text-align:center;"/>
        </v:shape>
      </w:pic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AA5BABA">
    <w:pPr>
      <w:pStyle w:val="19"/>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28DCEBD">
    <w:pPr>
      <w:pStyle w:val="19"/>
      <w:pBdr>
        <w:bottom w:val="none" w:color="auto" w:sz="0" w:space="0"/>
      </w:pBd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92EEE60">
    <w:pPr>
      <w:pStyle w:val="19"/>
      <w:pBdr>
        <w:bottom w:val="none" w:color="auto" w:sz="0" w:space="0"/>
      </w:pBdr>
      <w:spacing w:beforeLines="50"/>
      <w:ind w:firstLine="720" w:firstLineChars="400"/>
      <w:jc w:val="left"/>
      <w:rPr>
        <w:i/>
        <w:sz w:val="21"/>
        <w:szCs w:val="21"/>
      </w:rPr>
    </w:pPr>
    <w:r>
      <w:tab/>
    </w:r>
    <w:r>
      <w:tab/>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4D6BC92">
    <w:pPr>
      <w:pStyle w:val="19"/>
      <w:pBdr>
        <w:bottom w:val="none" w:color="auto" w:sz="0" w:space="0"/>
      </w:pBdr>
      <w:spacing w:beforeLines="50"/>
      <w:ind w:firstLine="720" w:firstLineChars="400"/>
      <w:jc w:val="left"/>
      <w:rPr>
        <w:i/>
        <w:sz w:val="21"/>
        <w:szCs w:val="21"/>
      </w:rPr>
    </w:pPr>
    <w:r>
      <w:tab/>
    </w:r>
    <w:r>
      <w:tab/>
    </w: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49CF348">
    <w:pPr>
      <w:pStyle w:val="19"/>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4E56466"/>
    <w:multiLevelType w:val="singleLevel"/>
    <w:tmpl w:val="84E56466"/>
    <w:lvl w:ilvl="0" w:tentative="0">
      <w:start w:val="1"/>
      <w:numFmt w:val="chineseCounting"/>
      <w:suff w:val="space"/>
      <w:lvlText w:val="第%1条"/>
      <w:lvlJc w:val="left"/>
      <w:rPr>
        <w:rFonts w:hint="eastAsia"/>
      </w:rPr>
    </w:lvl>
  </w:abstractNum>
  <w:abstractNum w:abstractNumId="1">
    <w:nsid w:val="84EA4532"/>
    <w:multiLevelType w:val="singleLevel"/>
    <w:tmpl w:val="84EA4532"/>
    <w:lvl w:ilvl="0" w:tentative="0">
      <w:start w:val="1"/>
      <w:numFmt w:val="decimal"/>
      <w:lvlText w:val="%1."/>
      <w:lvlJc w:val="left"/>
      <w:pPr>
        <w:tabs>
          <w:tab w:val="left" w:pos="312"/>
        </w:tabs>
      </w:pPr>
    </w:lvl>
  </w:abstractNum>
  <w:abstractNum w:abstractNumId="2">
    <w:nsid w:val="9461886D"/>
    <w:multiLevelType w:val="singleLevel"/>
    <w:tmpl w:val="9461886D"/>
    <w:lvl w:ilvl="0" w:tentative="0">
      <w:start w:val="7"/>
      <w:numFmt w:val="decimal"/>
      <w:lvlText w:val="%1."/>
      <w:lvlJc w:val="left"/>
      <w:pPr>
        <w:tabs>
          <w:tab w:val="left" w:pos="312"/>
        </w:tabs>
      </w:pPr>
    </w:lvl>
  </w:abstractNum>
  <w:abstractNum w:abstractNumId="3">
    <w:nsid w:val="B574C332"/>
    <w:multiLevelType w:val="singleLevel"/>
    <w:tmpl w:val="B574C332"/>
    <w:lvl w:ilvl="0" w:tentative="0">
      <w:start w:val="4"/>
      <w:numFmt w:val="decimal"/>
      <w:lvlText w:val="%1."/>
      <w:lvlJc w:val="left"/>
      <w:pPr>
        <w:tabs>
          <w:tab w:val="left" w:pos="312"/>
        </w:tabs>
      </w:pPr>
    </w:lvl>
  </w:abstractNum>
  <w:abstractNum w:abstractNumId="4">
    <w:nsid w:val="02911494"/>
    <w:multiLevelType w:val="multilevel"/>
    <w:tmpl w:val="02911494"/>
    <w:lvl w:ilvl="0" w:tentative="0">
      <w:start w:val="1"/>
      <w:numFmt w:val="decimal"/>
      <w:lvlText w:val="（%1）"/>
      <w:lvlJc w:val="left"/>
      <w:pPr>
        <w:ind w:left="1140" w:hanging="720"/>
      </w:pPr>
      <w:rPr>
        <w:rFonts w:hint="default"/>
      </w:rPr>
    </w:lvl>
    <w:lvl w:ilvl="1" w:tentative="0">
      <w:start w:val="1"/>
      <w:numFmt w:val="lowerLetter"/>
      <w:lvlText w:val="%2)"/>
      <w:lvlJc w:val="left"/>
      <w:pPr>
        <w:ind w:left="1300" w:hanging="440"/>
      </w:pPr>
    </w:lvl>
    <w:lvl w:ilvl="2" w:tentative="0">
      <w:start w:val="1"/>
      <w:numFmt w:val="lowerRoman"/>
      <w:lvlText w:val="%3."/>
      <w:lvlJc w:val="right"/>
      <w:pPr>
        <w:ind w:left="1740" w:hanging="440"/>
      </w:pPr>
    </w:lvl>
    <w:lvl w:ilvl="3" w:tentative="0">
      <w:start w:val="1"/>
      <w:numFmt w:val="decimal"/>
      <w:lvlText w:val="%4."/>
      <w:lvlJc w:val="left"/>
      <w:pPr>
        <w:ind w:left="2180" w:hanging="440"/>
      </w:pPr>
    </w:lvl>
    <w:lvl w:ilvl="4" w:tentative="0">
      <w:start w:val="1"/>
      <w:numFmt w:val="lowerLetter"/>
      <w:lvlText w:val="%5)"/>
      <w:lvlJc w:val="left"/>
      <w:pPr>
        <w:ind w:left="2620" w:hanging="440"/>
      </w:pPr>
    </w:lvl>
    <w:lvl w:ilvl="5" w:tentative="0">
      <w:start w:val="1"/>
      <w:numFmt w:val="lowerRoman"/>
      <w:lvlText w:val="%6."/>
      <w:lvlJc w:val="right"/>
      <w:pPr>
        <w:ind w:left="3060" w:hanging="440"/>
      </w:pPr>
    </w:lvl>
    <w:lvl w:ilvl="6" w:tentative="0">
      <w:start w:val="1"/>
      <w:numFmt w:val="decimal"/>
      <w:lvlText w:val="%7."/>
      <w:lvlJc w:val="left"/>
      <w:pPr>
        <w:ind w:left="3500" w:hanging="440"/>
      </w:pPr>
    </w:lvl>
    <w:lvl w:ilvl="7" w:tentative="0">
      <w:start w:val="1"/>
      <w:numFmt w:val="lowerLetter"/>
      <w:lvlText w:val="%8)"/>
      <w:lvlJc w:val="left"/>
      <w:pPr>
        <w:ind w:left="3940" w:hanging="440"/>
      </w:pPr>
    </w:lvl>
    <w:lvl w:ilvl="8" w:tentative="0">
      <w:start w:val="1"/>
      <w:numFmt w:val="lowerRoman"/>
      <w:lvlText w:val="%9."/>
      <w:lvlJc w:val="right"/>
      <w:pPr>
        <w:ind w:left="4380" w:hanging="440"/>
      </w:pPr>
    </w:lvl>
  </w:abstractNum>
  <w:abstractNum w:abstractNumId="5">
    <w:nsid w:val="0FAEF5F5"/>
    <w:multiLevelType w:val="singleLevel"/>
    <w:tmpl w:val="0FAEF5F5"/>
    <w:lvl w:ilvl="0" w:tentative="0">
      <w:start w:val="1"/>
      <w:numFmt w:val="decimal"/>
      <w:suff w:val="nothing"/>
      <w:lvlText w:val="%1、"/>
      <w:lvlJc w:val="left"/>
    </w:lvl>
  </w:abstractNum>
  <w:abstractNum w:abstractNumId="6">
    <w:nsid w:val="17CF09D6"/>
    <w:multiLevelType w:val="multilevel"/>
    <w:tmpl w:val="17CF09D6"/>
    <w:lvl w:ilvl="0" w:tentative="0">
      <w:start w:val="1"/>
      <w:numFmt w:val="decimal"/>
      <w:lvlText w:val="%1)"/>
      <w:lvlJc w:val="left"/>
      <w:pPr>
        <w:ind w:left="858" w:hanging="440"/>
      </w:pPr>
    </w:lvl>
    <w:lvl w:ilvl="1" w:tentative="0">
      <w:start w:val="1"/>
      <w:numFmt w:val="lowerLetter"/>
      <w:lvlText w:val="%2)"/>
      <w:lvlJc w:val="left"/>
      <w:pPr>
        <w:ind w:left="1298" w:hanging="440"/>
      </w:pPr>
    </w:lvl>
    <w:lvl w:ilvl="2" w:tentative="0">
      <w:start w:val="1"/>
      <w:numFmt w:val="lowerRoman"/>
      <w:lvlText w:val="%3."/>
      <w:lvlJc w:val="right"/>
      <w:pPr>
        <w:ind w:left="1738" w:hanging="440"/>
      </w:pPr>
    </w:lvl>
    <w:lvl w:ilvl="3" w:tentative="0">
      <w:start w:val="1"/>
      <w:numFmt w:val="decimal"/>
      <w:lvlText w:val="%4."/>
      <w:lvlJc w:val="left"/>
      <w:pPr>
        <w:ind w:left="2178" w:hanging="440"/>
      </w:pPr>
    </w:lvl>
    <w:lvl w:ilvl="4" w:tentative="0">
      <w:start w:val="1"/>
      <w:numFmt w:val="lowerLetter"/>
      <w:lvlText w:val="%5)"/>
      <w:lvlJc w:val="left"/>
      <w:pPr>
        <w:ind w:left="2618" w:hanging="440"/>
      </w:pPr>
    </w:lvl>
    <w:lvl w:ilvl="5" w:tentative="0">
      <w:start w:val="1"/>
      <w:numFmt w:val="lowerRoman"/>
      <w:lvlText w:val="%6."/>
      <w:lvlJc w:val="right"/>
      <w:pPr>
        <w:ind w:left="3058" w:hanging="440"/>
      </w:pPr>
    </w:lvl>
    <w:lvl w:ilvl="6" w:tentative="0">
      <w:start w:val="1"/>
      <w:numFmt w:val="decimal"/>
      <w:lvlText w:val="%7."/>
      <w:lvlJc w:val="left"/>
      <w:pPr>
        <w:ind w:left="3498" w:hanging="440"/>
      </w:pPr>
    </w:lvl>
    <w:lvl w:ilvl="7" w:tentative="0">
      <w:start w:val="1"/>
      <w:numFmt w:val="lowerLetter"/>
      <w:lvlText w:val="%8)"/>
      <w:lvlJc w:val="left"/>
      <w:pPr>
        <w:ind w:left="3938" w:hanging="440"/>
      </w:pPr>
    </w:lvl>
    <w:lvl w:ilvl="8" w:tentative="0">
      <w:start w:val="1"/>
      <w:numFmt w:val="lowerRoman"/>
      <w:lvlText w:val="%9."/>
      <w:lvlJc w:val="right"/>
      <w:pPr>
        <w:ind w:left="4378" w:hanging="440"/>
      </w:pPr>
    </w:lvl>
  </w:abstractNum>
  <w:abstractNum w:abstractNumId="7">
    <w:nsid w:val="1C9111E8"/>
    <w:multiLevelType w:val="multilevel"/>
    <w:tmpl w:val="1C9111E8"/>
    <w:lvl w:ilvl="0" w:tentative="0">
      <w:start w:val="1"/>
      <w:numFmt w:val="decimal"/>
      <w:lvlText w:val="%1)"/>
      <w:lvlJc w:val="left"/>
      <w:pPr>
        <w:ind w:left="1389" w:hanging="440"/>
      </w:pPr>
    </w:lvl>
    <w:lvl w:ilvl="1" w:tentative="0">
      <w:start w:val="1"/>
      <w:numFmt w:val="lowerLetter"/>
      <w:lvlText w:val="%2)"/>
      <w:lvlJc w:val="left"/>
      <w:pPr>
        <w:ind w:left="1829" w:hanging="440"/>
      </w:pPr>
    </w:lvl>
    <w:lvl w:ilvl="2" w:tentative="0">
      <w:start w:val="1"/>
      <w:numFmt w:val="lowerRoman"/>
      <w:lvlText w:val="%3."/>
      <w:lvlJc w:val="right"/>
      <w:pPr>
        <w:ind w:left="2269" w:hanging="440"/>
      </w:pPr>
    </w:lvl>
    <w:lvl w:ilvl="3" w:tentative="0">
      <w:start w:val="1"/>
      <w:numFmt w:val="decimal"/>
      <w:lvlText w:val="%4."/>
      <w:lvlJc w:val="left"/>
      <w:pPr>
        <w:ind w:left="2709" w:hanging="440"/>
      </w:pPr>
    </w:lvl>
    <w:lvl w:ilvl="4" w:tentative="0">
      <w:start w:val="1"/>
      <w:numFmt w:val="lowerLetter"/>
      <w:lvlText w:val="%5)"/>
      <w:lvlJc w:val="left"/>
      <w:pPr>
        <w:ind w:left="3149" w:hanging="440"/>
      </w:pPr>
    </w:lvl>
    <w:lvl w:ilvl="5" w:tentative="0">
      <w:start w:val="1"/>
      <w:numFmt w:val="lowerRoman"/>
      <w:lvlText w:val="%6."/>
      <w:lvlJc w:val="right"/>
      <w:pPr>
        <w:ind w:left="3589" w:hanging="440"/>
      </w:pPr>
    </w:lvl>
    <w:lvl w:ilvl="6" w:tentative="0">
      <w:start w:val="1"/>
      <w:numFmt w:val="decimal"/>
      <w:lvlText w:val="%7."/>
      <w:lvlJc w:val="left"/>
      <w:pPr>
        <w:ind w:left="4029" w:hanging="440"/>
      </w:pPr>
    </w:lvl>
    <w:lvl w:ilvl="7" w:tentative="0">
      <w:start w:val="1"/>
      <w:numFmt w:val="lowerLetter"/>
      <w:lvlText w:val="%8)"/>
      <w:lvlJc w:val="left"/>
      <w:pPr>
        <w:ind w:left="4469" w:hanging="440"/>
      </w:pPr>
    </w:lvl>
    <w:lvl w:ilvl="8" w:tentative="0">
      <w:start w:val="1"/>
      <w:numFmt w:val="lowerRoman"/>
      <w:lvlText w:val="%9."/>
      <w:lvlJc w:val="right"/>
      <w:pPr>
        <w:ind w:left="4909" w:hanging="440"/>
      </w:pPr>
    </w:lvl>
  </w:abstractNum>
  <w:abstractNum w:abstractNumId="8">
    <w:nsid w:val="29AB2D1A"/>
    <w:multiLevelType w:val="multilevel"/>
    <w:tmpl w:val="29AB2D1A"/>
    <w:lvl w:ilvl="0" w:tentative="0">
      <w:start w:val="1"/>
      <w:numFmt w:val="decimal"/>
      <w:lvlText w:val="%1)"/>
      <w:lvlJc w:val="left"/>
      <w:pPr>
        <w:ind w:left="1389" w:hanging="440"/>
      </w:pPr>
    </w:lvl>
    <w:lvl w:ilvl="1" w:tentative="0">
      <w:start w:val="1"/>
      <w:numFmt w:val="lowerLetter"/>
      <w:lvlText w:val="%2)"/>
      <w:lvlJc w:val="left"/>
      <w:pPr>
        <w:ind w:left="1829" w:hanging="440"/>
      </w:pPr>
    </w:lvl>
    <w:lvl w:ilvl="2" w:tentative="0">
      <w:start w:val="1"/>
      <w:numFmt w:val="lowerRoman"/>
      <w:lvlText w:val="%3."/>
      <w:lvlJc w:val="right"/>
      <w:pPr>
        <w:ind w:left="2269" w:hanging="440"/>
      </w:pPr>
    </w:lvl>
    <w:lvl w:ilvl="3" w:tentative="0">
      <w:start w:val="1"/>
      <w:numFmt w:val="decimal"/>
      <w:lvlText w:val="%4."/>
      <w:lvlJc w:val="left"/>
      <w:pPr>
        <w:ind w:left="2709" w:hanging="440"/>
      </w:pPr>
    </w:lvl>
    <w:lvl w:ilvl="4" w:tentative="0">
      <w:start w:val="1"/>
      <w:numFmt w:val="lowerLetter"/>
      <w:lvlText w:val="%5)"/>
      <w:lvlJc w:val="left"/>
      <w:pPr>
        <w:ind w:left="3149" w:hanging="440"/>
      </w:pPr>
    </w:lvl>
    <w:lvl w:ilvl="5" w:tentative="0">
      <w:start w:val="1"/>
      <w:numFmt w:val="lowerRoman"/>
      <w:lvlText w:val="%6."/>
      <w:lvlJc w:val="right"/>
      <w:pPr>
        <w:ind w:left="3589" w:hanging="440"/>
      </w:pPr>
    </w:lvl>
    <w:lvl w:ilvl="6" w:tentative="0">
      <w:start w:val="1"/>
      <w:numFmt w:val="decimal"/>
      <w:lvlText w:val="%7."/>
      <w:lvlJc w:val="left"/>
      <w:pPr>
        <w:ind w:left="4029" w:hanging="440"/>
      </w:pPr>
    </w:lvl>
    <w:lvl w:ilvl="7" w:tentative="0">
      <w:start w:val="1"/>
      <w:numFmt w:val="lowerLetter"/>
      <w:lvlText w:val="%8)"/>
      <w:lvlJc w:val="left"/>
      <w:pPr>
        <w:ind w:left="4469" w:hanging="440"/>
      </w:pPr>
    </w:lvl>
    <w:lvl w:ilvl="8" w:tentative="0">
      <w:start w:val="1"/>
      <w:numFmt w:val="lowerRoman"/>
      <w:lvlText w:val="%9."/>
      <w:lvlJc w:val="right"/>
      <w:pPr>
        <w:ind w:left="4909" w:hanging="440"/>
      </w:pPr>
    </w:lvl>
  </w:abstractNum>
  <w:abstractNum w:abstractNumId="9">
    <w:nsid w:val="2B496415"/>
    <w:multiLevelType w:val="singleLevel"/>
    <w:tmpl w:val="2B496415"/>
    <w:lvl w:ilvl="0" w:tentative="0">
      <w:start w:val="1"/>
      <w:numFmt w:val="decimal"/>
      <w:suff w:val="nothing"/>
      <w:lvlText w:val="（%1）"/>
      <w:lvlJc w:val="left"/>
    </w:lvl>
  </w:abstractNum>
  <w:abstractNum w:abstractNumId="10">
    <w:nsid w:val="302065E1"/>
    <w:multiLevelType w:val="multilevel"/>
    <w:tmpl w:val="302065E1"/>
    <w:lvl w:ilvl="0" w:tentative="0">
      <w:start w:val="1"/>
      <w:numFmt w:val="japaneseCounting"/>
      <w:lvlText w:val="（%1）"/>
      <w:lvlJc w:val="left"/>
      <w:pPr>
        <w:ind w:left="1560" w:hanging="720"/>
      </w:pPr>
      <w:rPr>
        <w:rFonts w:hint="default"/>
      </w:rPr>
    </w:lvl>
    <w:lvl w:ilvl="1" w:tentative="0">
      <w:start w:val="1"/>
      <w:numFmt w:val="lowerLetter"/>
      <w:lvlText w:val="%2)"/>
      <w:lvlJc w:val="left"/>
      <w:pPr>
        <w:ind w:left="1680" w:hanging="420"/>
      </w:pPr>
    </w:lvl>
    <w:lvl w:ilvl="2" w:tentative="0">
      <w:start w:val="1"/>
      <w:numFmt w:val="lowerRoman"/>
      <w:lvlText w:val="%3."/>
      <w:lvlJc w:val="right"/>
      <w:pPr>
        <w:ind w:left="2100" w:hanging="420"/>
      </w:pPr>
    </w:lvl>
    <w:lvl w:ilvl="3" w:tentative="0">
      <w:start w:val="1"/>
      <w:numFmt w:val="decimal"/>
      <w:lvlText w:val="%4."/>
      <w:lvlJc w:val="left"/>
      <w:pPr>
        <w:ind w:left="2520" w:hanging="420"/>
      </w:pPr>
    </w:lvl>
    <w:lvl w:ilvl="4" w:tentative="0">
      <w:start w:val="1"/>
      <w:numFmt w:val="lowerLetter"/>
      <w:lvlText w:val="%5)"/>
      <w:lvlJc w:val="left"/>
      <w:pPr>
        <w:ind w:left="2940" w:hanging="420"/>
      </w:pPr>
    </w:lvl>
    <w:lvl w:ilvl="5" w:tentative="0">
      <w:start w:val="1"/>
      <w:numFmt w:val="lowerRoman"/>
      <w:lvlText w:val="%6."/>
      <w:lvlJc w:val="right"/>
      <w:pPr>
        <w:ind w:left="3360" w:hanging="420"/>
      </w:pPr>
    </w:lvl>
    <w:lvl w:ilvl="6" w:tentative="0">
      <w:start w:val="1"/>
      <w:numFmt w:val="decimal"/>
      <w:lvlText w:val="%7."/>
      <w:lvlJc w:val="left"/>
      <w:pPr>
        <w:ind w:left="3780" w:hanging="420"/>
      </w:pPr>
    </w:lvl>
    <w:lvl w:ilvl="7" w:tentative="0">
      <w:start w:val="1"/>
      <w:numFmt w:val="lowerLetter"/>
      <w:lvlText w:val="%8)"/>
      <w:lvlJc w:val="left"/>
      <w:pPr>
        <w:ind w:left="4200" w:hanging="420"/>
      </w:pPr>
    </w:lvl>
    <w:lvl w:ilvl="8" w:tentative="0">
      <w:start w:val="1"/>
      <w:numFmt w:val="lowerRoman"/>
      <w:lvlText w:val="%9."/>
      <w:lvlJc w:val="right"/>
      <w:pPr>
        <w:ind w:left="4620" w:hanging="420"/>
      </w:pPr>
    </w:lvl>
  </w:abstractNum>
  <w:abstractNum w:abstractNumId="11">
    <w:nsid w:val="36205257"/>
    <w:multiLevelType w:val="singleLevel"/>
    <w:tmpl w:val="36205257"/>
    <w:lvl w:ilvl="0" w:tentative="0">
      <w:start w:val="4"/>
      <w:numFmt w:val="decimal"/>
      <w:lvlText w:val="%1."/>
      <w:lvlJc w:val="left"/>
      <w:pPr>
        <w:tabs>
          <w:tab w:val="left" w:pos="312"/>
        </w:tabs>
      </w:pPr>
    </w:lvl>
  </w:abstractNum>
  <w:abstractNum w:abstractNumId="12">
    <w:nsid w:val="3BE87D36"/>
    <w:multiLevelType w:val="multilevel"/>
    <w:tmpl w:val="3BE87D36"/>
    <w:lvl w:ilvl="0" w:tentative="0">
      <w:start w:val="1"/>
      <w:numFmt w:val="decimal"/>
      <w:lvlText w:val="%1)"/>
      <w:lvlJc w:val="left"/>
      <w:pPr>
        <w:ind w:left="1389" w:hanging="440"/>
      </w:pPr>
    </w:lvl>
    <w:lvl w:ilvl="1" w:tentative="0">
      <w:start w:val="1"/>
      <w:numFmt w:val="lowerLetter"/>
      <w:lvlText w:val="%2)"/>
      <w:lvlJc w:val="left"/>
      <w:pPr>
        <w:ind w:left="1829" w:hanging="440"/>
      </w:pPr>
    </w:lvl>
    <w:lvl w:ilvl="2" w:tentative="0">
      <w:start w:val="1"/>
      <w:numFmt w:val="lowerRoman"/>
      <w:lvlText w:val="%3."/>
      <w:lvlJc w:val="right"/>
      <w:pPr>
        <w:ind w:left="2269" w:hanging="440"/>
      </w:pPr>
    </w:lvl>
    <w:lvl w:ilvl="3" w:tentative="0">
      <w:start w:val="1"/>
      <w:numFmt w:val="decimal"/>
      <w:lvlText w:val="%4."/>
      <w:lvlJc w:val="left"/>
      <w:pPr>
        <w:ind w:left="2709" w:hanging="440"/>
      </w:pPr>
    </w:lvl>
    <w:lvl w:ilvl="4" w:tentative="0">
      <w:start w:val="1"/>
      <w:numFmt w:val="lowerLetter"/>
      <w:lvlText w:val="%5)"/>
      <w:lvlJc w:val="left"/>
      <w:pPr>
        <w:ind w:left="3149" w:hanging="440"/>
      </w:pPr>
    </w:lvl>
    <w:lvl w:ilvl="5" w:tentative="0">
      <w:start w:val="1"/>
      <w:numFmt w:val="lowerRoman"/>
      <w:lvlText w:val="%6."/>
      <w:lvlJc w:val="right"/>
      <w:pPr>
        <w:ind w:left="3589" w:hanging="440"/>
      </w:pPr>
    </w:lvl>
    <w:lvl w:ilvl="6" w:tentative="0">
      <w:start w:val="1"/>
      <w:numFmt w:val="decimal"/>
      <w:lvlText w:val="%7."/>
      <w:lvlJc w:val="left"/>
      <w:pPr>
        <w:ind w:left="4029" w:hanging="440"/>
      </w:pPr>
    </w:lvl>
    <w:lvl w:ilvl="7" w:tentative="0">
      <w:start w:val="1"/>
      <w:numFmt w:val="lowerLetter"/>
      <w:lvlText w:val="%8)"/>
      <w:lvlJc w:val="left"/>
      <w:pPr>
        <w:ind w:left="4469" w:hanging="440"/>
      </w:pPr>
    </w:lvl>
    <w:lvl w:ilvl="8" w:tentative="0">
      <w:start w:val="1"/>
      <w:numFmt w:val="lowerRoman"/>
      <w:lvlText w:val="%9."/>
      <w:lvlJc w:val="right"/>
      <w:pPr>
        <w:ind w:left="4909" w:hanging="440"/>
      </w:pPr>
    </w:lvl>
  </w:abstractNum>
  <w:abstractNum w:abstractNumId="13">
    <w:nsid w:val="43265BCD"/>
    <w:multiLevelType w:val="multilevel"/>
    <w:tmpl w:val="43265BCD"/>
    <w:lvl w:ilvl="0" w:tentative="0">
      <w:start w:val="1"/>
      <w:numFmt w:val="chineseCountingThousand"/>
      <w:lvlText w:val="第%1条"/>
      <w:lvlJc w:val="left"/>
      <w:pPr>
        <w:tabs>
          <w:tab w:val="left" w:pos="1890"/>
        </w:tabs>
        <w:ind w:left="456" w:firstLine="624"/>
      </w:pPr>
      <w:rPr>
        <w:rFonts w:hint="default"/>
        <w:color w:val="auto"/>
        <w:lang w:val="en-US"/>
      </w:rPr>
    </w:lvl>
    <w:lvl w:ilvl="1" w:tentative="0">
      <w:start w:val="1"/>
      <w:numFmt w:val="decimal"/>
      <w:lvlText w:val="3.%2"/>
      <w:lvlJc w:val="left"/>
      <w:pPr>
        <w:tabs>
          <w:tab w:val="left" w:pos="570"/>
        </w:tabs>
        <w:ind w:left="1288" w:hanging="720"/>
      </w:pPr>
      <w:rPr>
        <w:rFonts w:hint="eastAsia" w:eastAsia="仿宋_GB2312"/>
        <w:b w:val="0"/>
        <w:i w:val="0"/>
        <w:color w:val="auto"/>
        <w:sz w:val="28"/>
        <w:szCs w:val="28"/>
        <w:lang w:val="en-US"/>
      </w:r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14">
    <w:nsid w:val="46805092"/>
    <w:multiLevelType w:val="multilevel"/>
    <w:tmpl w:val="46805092"/>
    <w:lvl w:ilvl="0" w:tentative="0">
      <w:start w:val="1"/>
      <w:numFmt w:val="decimal"/>
      <w:lvlText w:val="（%1）"/>
      <w:lvlJc w:val="left"/>
      <w:pPr>
        <w:tabs>
          <w:tab w:val="left" w:pos="927"/>
        </w:tabs>
        <w:ind w:left="927" w:hanging="360"/>
      </w:pPr>
      <w:rPr>
        <w:rFonts w:hint="eastAsia" w:ascii="仿宋_GB2312" w:eastAsia="仿宋_GB2312"/>
        <w:color w:val="auto"/>
      </w:rPr>
    </w:lvl>
    <w:lvl w:ilvl="1" w:tentative="0">
      <w:start w:val="1"/>
      <w:numFmt w:val="lowerLetter"/>
      <w:lvlText w:val="%2)"/>
      <w:lvlJc w:val="left"/>
      <w:pPr>
        <w:tabs>
          <w:tab w:val="left" w:pos="1260"/>
        </w:tabs>
        <w:ind w:left="1260" w:hanging="420"/>
      </w:pPr>
    </w:lvl>
    <w:lvl w:ilvl="2" w:tentative="0">
      <w:start w:val="1"/>
      <w:numFmt w:val="lowerRoman"/>
      <w:lvlText w:val="%3."/>
      <w:lvlJc w:val="right"/>
      <w:pPr>
        <w:tabs>
          <w:tab w:val="left" w:pos="1680"/>
        </w:tabs>
        <w:ind w:left="1680" w:hanging="420"/>
      </w:pPr>
    </w:lvl>
    <w:lvl w:ilvl="3" w:tentative="0">
      <w:start w:val="1"/>
      <w:numFmt w:val="decimal"/>
      <w:lvlText w:val="%4."/>
      <w:lvlJc w:val="left"/>
      <w:pPr>
        <w:tabs>
          <w:tab w:val="left" w:pos="2100"/>
        </w:tabs>
        <w:ind w:left="2100" w:hanging="420"/>
      </w:pPr>
    </w:lvl>
    <w:lvl w:ilvl="4" w:tentative="0">
      <w:start w:val="1"/>
      <w:numFmt w:val="lowerLetter"/>
      <w:lvlText w:val="%5)"/>
      <w:lvlJc w:val="left"/>
      <w:pPr>
        <w:tabs>
          <w:tab w:val="left" w:pos="2520"/>
        </w:tabs>
        <w:ind w:left="2520" w:hanging="420"/>
      </w:pPr>
    </w:lvl>
    <w:lvl w:ilvl="5" w:tentative="0">
      <w:start w:val="1"/>
      <w:numFmt w:val="lowerRoman"/>
      <w:lvlText w:val="%6."/>
      <w:lvlJc w:val="right"/>
      <w:pPr>
        <w:tabs>
          <w:tab w:val="left" w:pos="2940"/>
        </w:tabs>
        <w:ind w:left="2940" w:hanging="420"/>
      </w:pPr>
    </w:lvl>
    <w:lvl w:ilvl="6" w:tentative="0">
      <w:start w:val="1"/>
      <w:numFmt w:val="decimal"/>
      <w:lvlText w:val="%7."/>
      <w:lvlJc w:val="left"/>
      <w:pPr>
        <w:tabs>
          <w:tab w:val="left" w:pos="3360"/>
        </w:tabs>
        <w:ind w:left="3360" w:hanging="420"/>
      </w:pPr>
    </w:lvl>
    <w:lvl w:ilvl="7" w:tentative="0">
      <w:start w:val="1"/>
      <w:numFmt w:val="lowerLetter"/>
      <w:lvlText w:val="%8)"/>
      <w:lvlJc w:val="left"/>
      <w:pPr>
        <w:tabs>
          <w:tab w:val="left" w:pos="3780"/>
        </w:tabs>
        <w:ind w:left="3780" w:hanging="420"/>
      </w:pPr>
    </w:lvl>
    <w:lvl w:ilvl="8" w:tentative="0">
      <w:start w:val="1"/>
      <w:numFmt w:val="lowerRoman"/>
      <w:lvlText w:val="%9."/>
      <w:lvlJc w:val="right"/>
      <w:pPr>
        <w:tabs>
          <w:tab w:val="left" w:pos="4200"/>
        </w:tabs>
        <w:ind w:left="4200" w:hanging="420"/>
      </w:pPr>
    </w:lvl>
  </w:abstractNum>
  <w:abstractNum w:abstractNumId="15">
    <w:nsid w:val="645040A0"/>
    <w:multiLevelType w:val="singleLevel"/>
    <w:tmpl w:val="645040A0"/>
    <w:lvl w:ilvl="0" w:tentative="0">
      <w:start w:val="6"/>
      <w:numFmt w:val="chineseCounting"/>
      <w:suff w:val="nothing"/>
      <w:lvlText w:val="%1、"/>
      <w:lvlJc w:val="left"/>
      <w:rPr>
        <w:rFonts w:hint="eastAsia"/>
      </w:rPr>
    </w:lvl>
  </w:abstractNum>
  <w:num w:numId="1">
    <w:abstractNumId w:val="4"/>
  </w:num>
  <w:num w:numId="2">
    <w:abstractNumId w:val="15"/>
  </w:num>
  <w:num w:numId="3">
    <w:abstractNumId w:val="7"/>
  </w:num>
  <w:num w:numId="4">
    <w:abstractNumId w:val="8"/>
  </w:num>
  <w:num w:numId="5">
    <w:abstractNumId w:val="6"/>
  </w:num>
  <w:num w:numId="6">
    <w:abstractNumId w:val="9"/>
  </w:num>
  <w:num w:numId="7">
    <w:abstractNumId w:val="3"/>
  </w:num>
  <w:num w:numId="8">
    <w:abstractNumId w:val="11"/>
  </w:num>
  <w:num w:numId="9">
    <w:abstractNumId w:val="2"/>
  </w:num>
  <w:num w:numId="10">
    <w:abstractNumId w:val="1"/>
  </w:num>
  <w:num w:numId="11">
    <w:abstractNumId w:val="0"/>
  </w:num>
  <w:num w:numId="12">
    <w:abstractNumId w:val="5"/>
  </w:num>
  <w:num w:numId="13">
    <w:abstractNumId w:val="13"/>
  </w:num>
  <w:num w:numId="14">
    <w:abstractNumId w:val="14"/>
  </w:num>
  <w:num w:numId="15">
    <w:abstractNumId w:val="12"/>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7"/>
  <w:bordersDoNotSurroundHeader w:val="0"/>
  <w:bordersDoNotSurroundFooter w:val="0"/>
  <w:hideSpellingErrors/>
  <w:documentProtection w:enforcement="0"/>
  <w:defaultTabStop w:val="420"/>
  <w:displayHorizontalDrawingGridEvery w:val="1"/>
  <w:displayVerticalDrawingGridEvery w:val="1"/>
  <w:noPunctuationKerning w:val="1"/>
  <w:characterSpacingControl w:val="doNotCompress"/>
  <w:hdrShapeDefaults>
    <o:shapelayout v:ext="edit">
      <o:idmap v:ext="edit" data="1"/>
    </o:shapelayout>
  </w:hdrShapeDefaults>
  <w:footnotePr>
    <w:footnote w:id="0"/>
    <w:footnote w:id="1"/>
  </w:footnotePr>
  <w:endnotePr>
    <w:endnote w:id="0"/>
    <w:endnote w:id="1"/>
  </w:endnotePr>
  <w:compat>
    <w:doNotExpandShiftReturn/>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mJjYjFhZDhiY2I4MTA2MDY3NmQ5NDkxOTM4NzM0NmYifQ=="/>
  </w:docVars>
  <w:rsids>
    <w:rsidRoot w:val="009F4E1B"/>
    <w:rsid w:val="00000650"/>
    <w:rsid w:val="00000EE2"/>
    <w:rsid w:val="00000FCC"/>
    <w:rsid w:val="00001E2B"/>
    <w:rsid w:val="00002BE7"/>
    <w:rsid w:val="000045C3"/>
    <w:rsid w:val="00004C4B"/>
    <w:rsid w:val="000051E6"/>
    <w:rsid w:val="00007909"/>
    <w:rsid w:val="0001061B"/>
    <w:rsid w:val="00011DFC"/>
    <w:rsid w:val="00012A7F"/>
    <w:rsid w:val="0001362B"/>
    <w:rsid w:val="00013BED"/>
    <w:rsid w:val="000146C1"/>
    <w:rsid w:val="000153DC"/>
    <w:rsid w:val="00015AE9"/>
    <w:rsid w:val="0001601A"/>
    <w:rsid w:val="00016CF4"/>
    <w:rsid w:val="00016E9B"/>
    <w:rsid w:val="0001793B"/>
    <w:rsid w:val="00017FEE"/>
    <w:rsid w:val="000215E5"/>
    <w:rsid w:val="00022FE9"/>
    <w:rsid w:val="0002315F"/>
    <w:rsid w:val="000256CA"/>
    <w:rsid w:val="00026B22"/>
    <w:rsid w:val="00030CE6"/>
    <w:rsid w:val="0003129A"/>
    <w:rsid w:val="00031B44"/>
    <w:rsid w:val="0003236E"/>
    <w:rsid w:val="000337AA"/>
    <w:rsid w:val="00033EAF"/>
    <w:rsid w:val="00035180"/>
    <w:rsid w:val="0003567D"/>
    <w:rsid w:val="0003588D"/>
    <w:rsid w:val="00035D9A"/>
    <w:rsid w:val="00035E91"/>
    <w:rsid w:val="00036071"/>
    <w:rsid w:val="00037E38"/>
    <w:rsid w:val="00040149"/>
    <w:rsid w:val="000402EE"/>
    <w:rsid w:val="00041554"/>
    <w:rsid w:val="0004185E"/>
    <w:rsid w:val="0004279D"/>
    <w:rsid w:val="00042EF3"/>
    <w:rsid w:val="000432D7"/>
    <w:rsid w:val="0004342F"/>
    <w:rsid w:val="00044C24"/>
    <w:rsid w:val="00047190"/>
    <w:rsid w:val="00050EDB"/>
    <w:rsid w:val="000510EE"/>
    <w:rsid w:val="00051808"/>
    <w:rsid w:val="000533B5"/>
    <w:rsid w:val="000535AA"/>
    <w:rsid w:val="00053BC8"/>
    <w:rsid w:val="00054000"/>
    <w:rsid w:val="00054934"/>
    <w:rsid w:val="00054A7E"/>
    <w:rsid w:val="00054FBD"/>
    <w:rsid w:val="000603B7"/>
    <w:rsid w:val="000608AC"/>
    <w:rsid w:val="0006151F"/>
    <w:rsid w:val="00061D9B"/>
    <w:rsid w:val="000623C1"/>
    <w:rsid w:val="00063A5B"/>
    <w:rsid w:val="00063E61"/>
    <w:rsid w:val="00063FF9"/>
    <w:rsid w:val="0006417E"/>
    <w:rsid w:val="00064746"/>
    <w:rsid w:val="0006489A"/>
    <w:rsid w:val="000658D5"/>
    <w:rsid w:val="0006637E"/>
    <w:rsid w:val="0006659B"/>
    <w:rsid w:val="00067146"/>
    <w:rsid w:val="00067264"/>
    <w:rsid w:val="00067AA7"/>
    <w:rsid w:val="000709E2"/>
    <w:rsid w:val="00070E41"/>
    <w:rsid w:val="00070E65"/>
    <w:rsid w:val="00073828"/>
    <w:rsid w:val="00073BDD"/>
    <w:rsid w:val="00074D0A"/>
    <w:rsid w:val="00074E15"/>
    <w:rsid w:val="00075130"/>
    <w:rsid w:val="00076F8C"/>
    <w:rsid w:val="00077755"/>
    <w:rsid w:val="00077D33"/>
    <w:rsid w:val="00080B69"/>
    <w:rsid w:val="00081105"/>
    <w:rsid w:val="00081ABD"/>
    <w:rsid w:val="00082419"/>
    <w:rsid w:val="00082678"/>
    <w:rsid w:val="00084D42"/>
    <w:rsid w:val="00084DD7"/>
    <w:rsid w:val="00084E5B"/>
    <w:rsid w:val="00084F17"/>
    <w:rsid w:val="0008512B"/>
    <w:rsid w:val="00085D34"/>
    <w:rsid w:val="00085F70"/>
    <w:rsid w:val="00086EBE"/>
    <w:rsid w:val="00087ED4"/>
    <w:rsid w:val="00091B65"/>
    <w:rsid w:val="0009203B"/>
    <w:rsid w:val="00094B1F"/>
    <w:rsid w:val="00095B11"/>
    <w:rsid w:val="00096AAB"/>
    <w:rsid w:val="00097037"/>
    <w:rsid w:val="00097840"/>
    <w:rsid w:val="000979E9"/>
    <w:rsid w:val="000A1282"/>
    <w:rsid w:val="000A28BC"/>
    <w:rsid w:val="000A2D09"/>
    <w:rsid w:val="000A315F"/>
    <w:rsid w:val="000A3982"/>
    <w:rsid w:val="000A42F6"/>
    <w:rsid w:val="000A4D21"/>
    <w:rsid w:val="000A5C72"/>
    <w:rsid w:val="000A736D"/>
    <w:rsid w:val="000A7CBB"/>
    <w:rsid w:val="000B0884"/>
    <w:rsid w:val="000B2184"/>
    <w:rsid w:val="000B2991"/>
    <w:rsid w:val="000B2A9B"/>
    <w:rsid w:val="000B2F01"/>
    <w:rsid w:val="000B3AB4"/>
    <w:rsid w:val="000B451B"/>
    <w:rsid w:val="000B503A"/>
    <w:rsid w:val="000B5F18"/>
    <w:rsid w:val="000B6B77"/>
    <w:rsid w:val="000C128F"/>
    <w:rsid w:val="000C1ABA"/>
    <w:rsid w:val="000C26FF"/>
    <w:rsid w:val="000C3522"/>
    <w:rsid w:val="000C3532"/>
    <w:rsid w:val="000C3AA0"/>
    <w:rsid w:val="000C43BE"/>
    <w:rsid w:val="000C43FA"/>
    <w:rsid w:val="000C47B3"/>
    <w:rsid w:val="000C6DE0"/>
    <w:rsid w:val="000C7833"/>
    <w:rsid w:val="000D0452"/>
    <w:rsid w:val="000D0F76"/>
    <w:rsid w:val="000D2983"/>
    <w:rsid w:val="000D2B91"/>
    <w:rsid w:val="000D48F4"/>
    <w:rsid w:val="000D4D45"/>
    <w:rsid w:val="000D7639"/>
    <w:rsid w:val="000E0EB7"/>
    <w:rsid w:val="000E3798"/>
    <w:rsid w:val="000E3D1C"/>
    <w:rsid w:val="000E44FE"/>
    <w:rsid w:val="000E46A2"/>
    <w:rsid w:val="000E5758"/>
    <w:rsid w:val="000E6001"/>
    <w:rsid w:val="000E731E"/>
    <w:rsid w:val="000E7DCD"/>
    <w:rsid w:val="000E7F56"/>
    <w:rsid w:val="000F055B"/>
    <w:rsid w:val="000F0AB5"/>
    <w:rsid w:val="000F1721"/>
    <w:rsid w:val="000F1D12"/>
    <w:rsid w:val="000F2096"/>
    <w:rsid w:val="000F2299"/>
    <w:rsid w:val="000F278B"/>
    <w:rsid w:val="000F39FD"/>
    <w:rsid w:val="000F4644"/>
    <w:rsid w:val="000F47A4"/>
    <w:rsid w:val="000F4BF5"/>
    <w:rsid w:val="000F4D90"/>
    <w:rsid w:val="000F50C5"/>
    <w:rsid w:val="000F77BF"/>
    <w:rsid w:val="000F7AD7"/>
    <w:rsid w:val="000F7EF8"/>
    <w:rsid w:val="001009D2"/>
    <w:rsid w:val="00102EBA"/>
    <w:rsid w:val="0010301D"/>
    <w:rsid w:val="00104276"/>
    <w:rsid w:val="00105139"/>
    <w:rsid w:val="00105A41"/>
    <w:rsid w:val="00105FFE"/>
    <w:rsid w:val="00106DE4"/>
    <w:rsid w:val="001077D8"/>
    <w:rsid w:val="00107C17"/>
    <w:rsid w:val="001103F9"/>
    <w:rsid w:val="0011056E"/>
    <w:rsid w:val="001110B6"/>
    <w:rsid w:val="00112BB9"/>
    <w:rsid w:val="00113254"/>
    <w:rsid w:val="00113667"/>
    <w:rsid w:val="0011380B"/>
    <w:rsid w:val="001152BA"/>
    <w:rsid w:val="00120D9F"/>
    <w:rsid w:val="00121D6B"/>
    <w:rsid w:val="00121D9D"/>
    <w:rsid w:val="00121DD5"/>
    <w:rsid w:val="00122163"/>
    <w:rsid w:val="00122C98"/>
    <w:rsid w:val="0012308B"/>
    <w:rsid w:val="00123EC8"/>
    <w:rsid w:val="00124DCF"/>
    <w:rsid w:val="00125B8E"/>
    <w:rsid w:val="00125FC4"/>
    <w:rsid w:val="001270DF"/>
    <w:rsid w:val="001302E3"/>
    <w:rsid w:val="001312F4"/>
    <w:rsid w:val="00131356"/>
    <w:rsid w:val="00131830"/>
    <w:rsid w:val="00135F7F"/>
    <w:rsid w:val="0013614E"/>
    <w:rsid w:val="00137183"/>
    <w:rsid w:val="00137589"/>
    <w:rsid w:val="001400AC"/>
    <w:rsid w:val="00140698"/>
    <w:rsid w:val="00140808"/>
    <w:rsid w:val="00141BAB"/>
    <w:rsid w:val="00141EC6"/>
    <w:rsid w:val="0014212D"/>
    <w:rsid w:val="001427C7"/>
    <w:rsid w:val="0014342D"/>
    <w:rsid w:val="00144871"/>
    <w:rsid w:val="00145B46"/>
    <w:rsid w:val="00146616"/>
    <w:rsid w:val="00150DA1"/>
    <w:rsid w:val="00152F59"/>
    <w:rsid w:val="0015474A"/>
    <w:rsid w:val="001556B7"/>
    <w:rsid w:val="001559F6"/>
    <w:rsid w:val="00155F34"/>
    <w:rsid w:val="00160594"/>
    <w:rsid w:val="00160B8F"/>
    <w:rsid w:val="0016155B"/>
    <w:rsid w:val="00161CEC"/>
    <w:rsid w:val="00163AC0"/>
    <w:rsid w:val="0016696A"/>
    <w:rsid w:val="00166E37"/>
    <w:rsid w:val="00167286"/>
    <w:rsid w:val="001673E7"/>
    <w:rsid w:val="001700F1"/>
    <w:rsid w:val="00170736"/>
    <w:rsid w:val="00171BCD"/>
    <w:rsid w:val="00173253"/>
    <w:rsid w:val="0017457A"/>
    <w:rsid w:val="0017495F"/>
    <w:rsid w:val="00174BF7"/>
    <w:rsid w:val="00174F5A"/>
    <w:rsid w:val="00175994"/>
    <w:rsid w:val="00175B02"/>
    <w:rsid w:val="00175C85"/>
    <w:rsid w:val="001767D1"/>
    <w:rsid w:val="00180DD3"/>
    <w:rsid w:val="0018110D"/>
    <w:rsid w:val="001817B3"/>
    <w:rsid w:val="0018206A"/>
    <w:rsid w:val="00183F5D"/>
    <w:rsid w:val="001846C6"/>
    <w:rsid w:val="001853DE"/>
    <w:rsid w:val="00187472"/>
    <w:rsid w:val="0018749D"/>
    <w:rsid w:val="00190402"/>
    <w:rsid w:val="001924A0"/>
    <w:rsid w:val="00192E16"/>
    <w:rsid w:val="00194D87"/>
    <w:rsid w:val="00194F4C"/>
    <w:rsid w:val="00196A4A"/>
    <w:rsid w:val="00196B34"/>
    <w:rsid w:val="00197303"/>
    <w:rsid w:val="00197DCE"/>
    <w:rsid w:val="00197E45"/>
    <w:rsid w:val="001A03DC"/>
    <w:rsid w:val="001A0780"/>
    <w:rsid w:val="001A4303"/>
    <w:rsid w:val="001A4309"/>
    <w:rsid w:val="001A5322"/>
    <w:rsid w:val="001A5506"/>
    <w:rsid w:val="001A5B76"/>
    <w:rsid w:val="001A6C58"/>
    <w:rsid w:val="001B0C30"/>
    <w:rsid w:val="001B16A6"/>
    <w:rsid w:val="001B1866"/>
    <w:rsid w:val="001B189D"/>
    <w:rsid w:val="001B21BC"/>
    <w:rsid w:val="001B3BF4"/>
    <w:rsid w:val="001B5050"/>
    <w:rsid w:val="001B58AE"/>
    <w:rsid w:val="001B7FF6"/>
    <w:rsid w:val="001C0198"/>
    <w:rsid w:val="001C0B1F"/>
    <w:rsid w:val="001C195B"/>
    <w:rsid w:val="001C2136"/>
    <w:rsid w:val="001C41A0"/>
    <w:rsid w:val="001C4DC2"/>
    <w:rsid w:val="001C53F7"/>
    <w:rsid w:val="001C58CE"/>
    <w:rsid w:val="001C5A77"/>
    <w:rsid w:val="001C5E17"/>
    <w:rsid w:val="001C6193"/>
    <w:rsid w:val="001C7198"/>
    <w:rsid w:val="001C79D2"/>
    <w:rsid w:val="001D077A"/>
    <w:rsid w:val="001D11FD"/>
    <w:rsid w:val="001D1401"/>
    <w:rsid w:val="001D1991"/>
    <w:rsid w:val="001D1C3E"/>
    <w:rsid w:val="001D1C92"/>
    <w:rsid w:val="001D2294"/>
    <w:rsid w:val="001D2D3E"/>
    <w:rsid w:val="001D2DB4"/>
    <w:rsid w:val="001D36DF"/>
    <w:rsid w:val="001D3995"/>
    <w:rsid w:val="001D621E"/>
    <w:rsid w:val="001D69E5"/>
    <w:rsid w:val="001D6A2D"/>
    <w:rsid w:val="001D6D96"/>
    <w:rsid w:val="001D7EEA"/>
    <w:rsid w:val="001E0094"/>
    <w:rsid w:val="001E1646"/>
    <w:rsid w:val="001E55BD"/>
    <w:rsid w:val="001E67BC"/>
    <w:rsid w:val="001E70CF"/>
    <w:rsid w:val="001E77EF"/>
    <w:rsid w:val="001F1185"/>
    <w:rsid w:val="001F26BE"/>
    <w:rsid w:val="001F2FF3"/>
    <w:rsid w:val="001F41E5"/>
    <w:rsid w:val="001F422E"/>
    <w:rsid w:val="001F440D"/>
    <w:rsid w:val="001F5791"/>
    <w:rsid w:val="001F6B8A"/>
    <w:rsid w:val="001F73A4"/>
    <w:rsid w:val="001F7920"/>
    <w:rsid w:val="00200193"/>
    <w:rsid w:val="0020134A"/>
    <w:rsid w:val="00201E74"/>
    <w:rsid w:val="00202C2D"/>
    <w:rsid w:val="00202C61"/>
    <w:rsid w:val="00202F39"/>
    <w:rsid w:val="002040C1"/>
    <w:rsid w:val="00204109"/>
    <w:rsid w:val="002041DC"/>
    <w:rsid w:val="002052AB"/>
    <w:rsid w:val="0020614C"/>
    <w:rsid w:val="002064FB"/>
    <w:rsid w:val="00206E2A"/>
    <w:rsid w:val="00210D06"/>
    <w:rsid w:val="00211F08"/>
    <w:rsid w:val="00211F4A"/>
    <w:rsid w:val="00212D72"/>
    <w:rsid w:val="0021352A"/>
    <w:rsid w:val="00214B32"/>
    <w:rsid w:val="00214DBE"/>
    <w:rsid w:val="00215530"/>
    <w:rsid w:val="00215D96"/>
    <w:rsid w:val="00215F08"/>
    <w:rsid w:val="002165CD"/>
    <w:rsid w:val="0021794A"/>
    <w:rsid w:val="00220300"/>
    <w:rsid w:val="002219C7"/>
    <w:rsid w:val="00221A63"/>
    <w:rsid w:val="00221B25"/>
    <w:rsid w:val="002221CF"/>
    <w:rsid w:val="00223B2F"/>
    <w:rsid w:val="00224080"/>
    <w:rsid w:val="0022426A"/>
    <w:rsid w:val="0022457D"/>
    <w:rsid w:val="002245B9"/>
    <w:rsid w:val="00224E1D"/>
    <w:rsid w:val="00225379"/>
    <w:rsid w:val="002254D3"/>
    <w:rsid w:val="00225BD6"/>
    <w:rsid w:val="0022623D"/>
    <w:rsid w:val="00226C7C"/>
    <w:rsid w:val="00226D96"/>
    <w:rsid w:val="00227C1A"/>
    <w:rsid w:val="0023070D"/>
    <w:rsid w:val="0023109C"/>
    <w:rsid w:val="002312AE"/>
    <w:rsid w:val="0023151B"/>
    <w:rsid w:val="002319FE"/>
    <w:rsid w:val="00233CA6"/>
    <w:rsid w:val="00234503"/>
    <w:rsid w:val="00235790"/>
    <w:rsid w:val="00235BD6"/>
    <w:rsid w:val="00235D31"/>
    <w:rsid w:val="00236E9A"/>
    <w:rsid w:val="002373EA"/>
    <w:rsid w:val="00240BEA"/>
    <w:rsid w:val="00241514"/>
    <w:rsid w:val="00242B41"/>
    <w:rsid w:val="002433B1"/>
    <w:rsid w:val="00243A7F"/>
    <w:rsid w:val="002443F0"/>
    <w:rsid w:val="00244806"/>
    <w:rsid w:val="00244F44"/>
    <w:rsid w:val="0024580A"/>
    <w:rsid w:val="00246AF8"/>
    <w:rsid w:val="00246CB5"/>
    <w:rsid w:val="0024720E"/>
    <w:rsid w:val="00247958"/>
    <w:rsid w:val="00247DCB"/>
    <w:rsid w:val="00250CC1"/>
    <w:rsid w:val="0025295F"/>
    <w:rsid w:val="00252CA4"/>
    <w:rsid w:val="00253AE9"/>
    <w:rsid w:val="00253DFB"/>
    <w:rsid w:val="00254F0D"/>
    <w:rsid w:val="00257C89"/>
    <w:rsid w:val="00260C5E"/>
    <w:rsid w:val="00261FB8"/>
    <w:rsid w:val="00262C16"/>
    <w:rsid w:val="00263761"/>
    <w:rsid w:val="00263768"/>
    <w:rsid w:val="00264733"/>
    <w:rsid w:val="00265872"/>
    <w:rsid w:val="00265B95"/>
    <w:rsid w:val="00265C8E"/>
    <w:rsid w:val="00266742"/>
    <w:rsid w:val="00267AAE"/>
    <w:rsid w:val="002703F0"/>
    <w:rsid w:val="00270676"/>
    <w:rsid w:val="00270CC2"/>
    <w:rsid w:val="00273C23"/>
    <w:rsid w:val="002740B5"/>
    <w:rsid w:val="00274EC6"/>
    <w:rsid w:val="0027634B"/>
    <w:rsid w:val="00277297"/>
    <w:rsid w:val="00280A8B"/>
    <w:rsid w:val="0028197B"/>
    <w:rsid w:val="00281C56"/>
    <w:rsid w:val="002833BE"/>
    <w:rsid w:val="00284361"/>
    <w:rsid w:val="002847D7"/>
    <w:rsid w:val="00284D98"/>
    <w:rsid w:val="00286061"/>
    <w:rsid w:val="0028640F"/>
    <w:rsid w:val="00286699"/>
    <w:rsid w:val="002900B5"/>
    <w:rsid w:val="00290C35"/>
    <w:rsid w:val="00290EF4"/>
    <w:rsid w:val="0029349D"/>
    <w:rsid w:val="00293AF4"/>
    <w:rsid w:val="00294647"/>
    <w:rsid w:val="00296793"/>
    <w:rsid w:val="00296C73"/>
    <w:rsid w:val="00297047"/>
    <w:rsid w:val="002A0DE6"/>
    <w:rsid w:val="002A1DFE"/>
    <w:rsid w:val="002A1F2C"/>
    <w:rsid w:val="002A22C2"/>
    <w:rsid w:val="002A247F"/>
    <w:rsid w:val="002A671C"/>
    <w:rsid w:val="002A72F5"/>
    <w:rsid w:val="002A7539"/>
    <w:rsid w:val="002B1399"/>
    <w:rsid w:val="002B2ABC"/>
    <w:rsid w:val="002B3736"/>
    <w:rsid w:val="002B4F1A"/>
    <w:rsid w:val="002B72AA"/>
    <w:rsid w:val="002B777D"/>
    <w:rsid w:val="002B7CF7"/>
    <w:rsid w:val="002C0855"/>
    <w:rsid w:val="002C1FE3"/>
    <w:rsid w:val="002C3011"/>
    <w:rsid w:val="002C426E"/>
    <w:rsid w:val="002C4860"/>
    <w:rsid w:val="002C48B6"/>
    <w:rsid w:val="002C4CAB"/>
    <w:rsid w:val="002C4EBB"/>
    <w:rsid w:val="002C5882"/>
    <w:rsid w:val="002C5B66"/>
    <w:rsid w:val="002C5BDF"/>
    <w:rsid w:val="002C5FBB"/>
    <w:rsid w:val="002C67E4"/>
    <w:rsid w:val="002C6C2E"/>
    <w:rsid w:val="002C6FDE"/>
    <w:rsid w:val="002D3B3F"/>
    <w:rsid w:val="002D4AF0"/>
    <w:rsid w:val="002D506E"/>
    <w:rsid w:val="002D5210"/>
    <w:rsid w:val="002D5560"/>
    <w:rsid w:val="002D5A08"/>
    <w:rsid w:val="002D7E1F"/>
    <w:rsid w:val="002E10C5"/>
    <w:rsid w:val="002E34AC"/>
    <w:rsid w:val="002E447D"/>
    <w:rsid w:val="002E454F"/>
    <w:rsid w:val="002E5040"/>
    <w:rsid w:val="002E5751"/>
    <w:rsid w:val="002E6B85"/>
    <w:rsid w:val="002F1265"/>
    <w:rsid w:val="002F231F"/>
    <w:rsid w:val="002F2B8E"/>
    <w:rsid w:val="002F32FF"/>
    <w:rsid w:val="002F374A"/>
    <w:rsid w:val="002F5C21"/>
    <w:rsid w:val="002F6E91"/>
    <w:rsid w:val="002F6F32"/>
    <w:rsid w:val="002F73F7"/>
    <w:rsid w:val="00300A2D"/>
    <w:rsid w:val="00301CC0"/>
    <w:rsid w:val="003022E7"/>
    <w:rsid w:val="003033B9"/>
    <w:rsid w:val="003038F4"/>
    <w:rsid w:val="0030428C"/>
    <w:rsid w:val="00304734"/>
    <w:rsid w:val="0030499F"/>
    <w:rsid w:val="00305A45"/>
    <w:rsid w:val="0030600B"/>
    <w:rsid w:val="00306541"/>
    <w:rsid w:val="00306821"/>
    <w:rsid w:val="003068E5"/>
    <w:rsid w:val="00307BC1"/>
    <w:rsid w:val="00311334"/>
    <w:rsid w:val="003120B9"/>
    <w:rsid w:val="003133C4"/>
    <w:rsid w:val="00313CE8"/>
    <w:rsid w:val="00315260"/>
    <w:rsid w:val="0031617D"/>
    <w:rsid w:val="003171D0"/>
    <w:rsid w:val="00320E8B"/>
    <w:rsid w:val="00321148"/>
    <w:rsid w:val="00321A4C"/>
    <w:rsid w:val="00322657"/>
    <w:rsid w:val="003233F2"/>
    <w:rsid w:val="0032343E"/>
    <w:rsid w:val="003239C2"/>
    <w:rsid w:val="00323B71"/>
    <w:rsid w:val="00324C6F"/>
    <w:rsid w:val="00326B4C"/>
    <w:rsid w:val="00327762"/>
    <w:rsid w:val="003300C3"/>
    <w:rsid w:val="0033159D"/>
    <w:rsid w:val="003322E8"/>
    <w:rsid w:val="00333DCD"/>
    <w:rsid w:val="003340FA"/>
    <w:rsid w:val="00334987"/>
    <w:rsid w:val="003358DF"/>
    <w:rsid w:val="00335F51"/>
    <w:rsid w:val="003360D4"/>
    <w:rsid w:val="00336EAD"/>
    <w:rsid w:val="0034046E"/>
    <w:rsid w:val="00340C46"/>
    <w:rsid w:val="00341186"/>
    <w:rsid w:val="00341FBE"/>
    <w:rsid w:val="003422DF"/>
    <w:rsid w:val="00342ABA"/>
    <w:rsid w:val="00342C95"/>
    <w:rsid w:val="003432D8"/>
    <w:rsid w:val="00343605"/>
    <w:rsid w:val="00344246"/>
    <w:rsid w:val="003442CA"/>
    <w:rsid w:val="00344573"/>
    <w:rsid w:val="00346A89"/>
    <w:rsid w:val="003505F4"/>
    <w:rsid w:val="00350EB4"/>
    <w:rsid w:val="0035204A"/>
    <w:rsid w:val="003528B1"/>
    <w:rsid w:val="00353B51"/>
    <w:rsid w:val="00354395"/>
    <w:rsid w:val="00354472"/>
    <w:rsid w:val="00354E25"/>
    <w:rsid w:val="00355AFC"/>
    <w:rsid w:val="003564AC"/>
    <w:rsid w:val="00357074"/>
    <w:rsid w:val="003574AA"/>
    <w:rsid w:val="003575F6"/>
    <w:rsid w:val="00357BA2"/>
    <w:rsid w:val="0036192A"/>
    <w:rsid w:val="00361958"/>
    <w:rsid w:val="00361B9D"/>
    <w:rsid w:val="00362532"/>
    <w:rsid w:val="003638F9"/>
    <w:rsid w:val="00363913"/>
    <w:rsid w:val="00363BFE"/>
    <w:rsid w:val="00363C51"/>
    <w:rsid w:val="003653C8"/>
    <w:rsid w:val="00365F52"/>
    <w:rsid w:val="003668E0"/>
    <w:rsid w:val="003669E7"/>
    <w:rsid w:val="00366D81"/>
    <w:rsid w:val="00366F87"/>
    <w:rsid w:val="00370622"/>
    <w:rsid w:val="003725A4"/>
    <w:rsid w:val="003726D0"/>
    <w:rsid w:val="0037294A"/>
    <w:rsid w:val="00372987"/>
    <w:rsid w:val="0037376E"/>
    <w:rsid w:val="00373A4F"/>
    <w:rsid w:val="00374184"/>
    <w:rsid w:val="003745FB"/>
    <w:rsid w:val="003749C0"/>
    <w:rsid w:val="00374A50"/>
    <w:rsid w:val="0037677D"/>
    <w:rsid w:val="00377241"/>
    <w:rsid w:val="0038027E"/>
    <w:rsid w:val="00380840"/>
    <w:rsid w:val="003813C7"/>
    <w:rsid w:val="0038159D"/>
    <w:rsid w:val="00382F7A"/>
    <w:rsid w:val="00383025"/>
    <w:rsid w:val="00383922"/>
    <w:rsid w:val="0038481A"/>
    <w:rsid w:val="003857A7"/>
    <w:rsid w:val="003862B7"/>
    <w:rsid w:val="00386311"/>
    <w:rsid w:val="003864D1"/>
    <w:rsid w:val="00386B69"/>
    <w:rsid w:val="0039035B"/>
    <w:rsid w:val="0039119D"/>
    <w:rsid w:val="00392974"/>
    <w:rsid w:val="00395E31"/>
    <w:rsid w:val="00395E7F"/>
    <w:rsid w:val="00397B73"/>
    <w:rsid w:val="003A111C"/>
    <w:rsid w:val="003A12C5"/>
    <w:rsid w:val="003A1D2B"/>
    <w:rsid w:val="003A2941"/>
    <w:rsid w:val="003A3699"/>
    <w:rsid w:val="003A3D1B"/>
    <w:rsid w:val="003A3ED4"/>
    <w:rsid w:val="003A4CBA"/>
    <w:rsid w:val="003A5EB8"/>
    <w:rsid w:val="003A6944"/>
    <w:rsid w:val="003A7B5D"/>
    <w:rsid w:val="003B0089"/>
    <w:rsid w:val="003B15D7"/>
    <w:rsid w:val="003B18AC"/>
    <w:rsid w:val="003B19B2"/>
    <w:rsid w:val="003B280A"/>
    <w:rsid w:val="003B2E2B"/>
    <w:rsid w:val="003B3DC0"/>
    <w:rsid w:val="003B3E92"/>
    <w:rsid w:val="003B3F73"/>
    <w:rsid w:val="003B4782"/>
    <w:rsid w:val="003B48E3"/>
    <w:rsid w:val="003B63B5"/>
    <w:rsid w:val="003B6EAE"/>
    <w:rsid w:val="003B761C"/>
    <w:rsid w:val="003C0099"/>
    <w:rsid w:val="003C0309"/>
    <w:rsid w:val="003C232B"/>
    <w:rsid w:val="003C2E63"/>
    <w:rsid w:val="003C2F05"/>
    <w:rsid w:val="003C3746"/>
    <w:rsid w:val="003C375B"/>
    <w:rsid w:val="003C453D"/>
    <w:rsid w:val="003C5AB6"/>
    <w:rsid w:val="003C6183"/>
    <w:rsid w:val="003C7C32"/>
    <w:rsid w:val="003C7D1F"/>
    <w:rsid w:val="003D27C0"/>
    <w:rsid w:val="003D2D22"/>
    <w:rsid w:val="003D2EDA"/>
    <w:rsid w:val="003D3306"/>
    <w:rsid w:val="003D3806"/>
    <w:rsid w:val="003D3AC5"/>
    <w:rsid w:val="003D46BA"/>
    <w:rsid w:val="003D54E1"/>
    <w:rsid w:val="003D5999"/>
    <w:rsid w:val="003D5C2B"/>
    <w:rsid w:val="003D613E"/>
    <w:rsid w:val="003D743B"/>
    <w:rsid w:val="003D7652"/>
    <w:rsid w:val="003D785B"/>
    <w:rsid w:val="003D7C21"/>
    <w:rsid w:val="003D7D6B"/>
    <w:rsid w:val="003E05F0"/>
    <w:rsid w:val="003E0EED"/>
    <w:rsid w:val="003E1267"/>
    <w:rsid w:val="003E17BD"/>
    <w:rsid w:val="003E1ACA"/>
    <w:rsid w:val="003E25D5"/>
    <w:rsid w:val="003E32CE"/>
    <w:rsid w:val="003E4BD8"/>
    <w:rsid w:val="003E5AE4"/>
    <w:rsid w:val="003E6FA6"/>
    <w:rsid w:val="003E7A53"/>
    <w:rsid w:val="003E7CBD"/>
    <w:rsid w:val="003F1E26"/>
    <w:rsid w:val="003F4072"/>
    <w:rsid w:val="003F5291"/>
    <w:rsid w:val="003F5395"/>
    <w:rsid w:val="003F59C1"/>
    <w:rsid w:val="003F7363"/>
    <w:rsid w:val="00400E0C"/>
    <w:rsid w:val="004026B5"/>
    <w:rsid w:val="00402BF2"/>
    <w:rsid w:val="00402FDF"/>
    <w:rsid w:val="0040313B"/>
    <w:rsid w:val="004031FE"/>
    <w:rsid w:val="004033B2"/>
    <w:rsid w:val="004037FA"/>
    <w:rsid w:val="00403C33"/>
    <w:rsid w:val="004049BA"/>
    <w:rsid w:val="00404D72"/>
    <w:rsid w:val="00404EF3"/>
    <w:rsid w:val="0040523D"/>
    <w:rsid w:val="00405BB8"/>
    <w:rsid w:val="00406F04"/>
    <w:rsid w:val="0040709C"/>
    <w:rsid w:val="004076E0"/>
    <w:rsid w:val="0041340B"/>
    <w:rsid w:val="004136D0"/>
    <w:rsid w:val="0041391D"/>
    <w:rsid w:val="0041413E"/>
    <w:rsid w:val="00414945"/>
    <w:rsid w:val="00414BC2"/>
    <w:rsid w:val="00415C48"/>
    <w:rsid w:val="004215A3"/>
    <w:rsid w:val="0042188D"/>
    <w:rsid w:val="0042304E"/>
    <w:rsid w:val="004241AD"/>
    <w:rsid w:val="00425293"/>
    <w:rsid w:val="004263AD"/>
    <w:rsid w:val="004275AC"/>
    <w:rsid w:val="004277EE"/>
    <w:rsid w:val="00427E65"/>
    <w:rsid w:val="00430352"/>
    <w:rsid w:val="00430AD1"/>
    <w:rsid w:val="00431F05"/>
    <w:rsid w:val="00432826"/>
    <w:rsid w:val="0043334B"/>
    <w:rsid w:val="00433996"/>
    <w:rsid w:val="00433B62"/>
    <w:rsid w:val="00433C65"/>
    <w:rsid w:val="0043457C"/>
    <w:rsid w:val="00434ECA"/>
    <w:rsid w:val="004360A0"/>
    <w:rsid w:val="00437163"/>
    <w:rsid w:val="0043751D"/>
    <w:rsid w:val="004409F5"/>
    <w:rsid w:val="00441072"/>
    <w:rsid w:val="00441B37"/>
    <w:rsid w:val="00442829"/>
    <w:rsid w:val="00442FD2"/>
    <w:rsid w:val="0044467E"/>
    <w:rsid w:val="004448D3"/>
    <w:rsid w:val="00444F92"/>
    <w:rsid w:val="004450AA"/>
    <w:rsid w:val="00445665"/>
    <w:rsid w:val="004456F2"/>
    <w:rsid w:val="00445BA8"/>
    <w:rsid w:val="00450A3E"/>
    <w:rsid w:val="004517DD"/>
    <w:rsid w:val="00451D72"/>
    <w:rsid w:val="00451E9E"/>
    <w:rsid w:val="00452083"/>
    <w:rsid w:val="00452265"/>
    <w:rsid w:val="004522FA"/>
    <w:rsid w:val="0045239D"/>
    <w:rsid w:val="00452ADD"/>
    <w:rsid w:val="00452C50"/>
    <w:rsid w:val="00453093"/>
    <w:rsid w:val="00453466"/>
    <w:rsid w:val="00457580"/>
    <w:rsid w:val="00457ECF"/>
    <w:rsid w:val="00460B8D"/>
    <w:rsid w:val="00461766"/>
    <w:rsid w:val="00463046"/>
    <w:rsid w:val="0046332D"/>
    <w:rsid w:val="00463460"/>
    <w:rsid w:val="00463970"/>
    <w:rsid w:val="00463BFF"/>
    <w:rsid w:val="0046451C"/>
    <w:rsid w:val="0046539C"/>
    <w:rsid w:val="0046604C"/>
    <w:rsid w:val="0046686D"/>
    <w:rsid w:val="00466BD7"/>
    <w:rsid w:val="004670A8"/>
    <w:rsid w:val="00467914"/>
    <w:rsid w:val="0047082D"/>
    <w:rsid w:val="00471507"/>
    <w:rsid w:val="004722FD"/>
    <w:rsid w:val="004739FB"/>
    <w:rsid w:val="00474B11"/>
    <w:rsid w:val="00475505"/>
    <w:rsid w:val="004759FD"/>
    <w:rsid w:val="00476E9E"/>
    <w:rsid w:val="00477146"/>
    <w:rsid w:val="0047759D"/>
    <w:rsid w:val="00480468"/>
    <w:rsid w:val="004804E6"/>
    <w:rsid w:val="00480EEA"/>
    <w:rsid w:val="004813EC"/>
    <w:rsid w:val="00483E01"/>
    <w:rsid w:val="00485235"/>
    <w:rsid w:val="00485537"/>
    <w:rsid w:val="004858CC"/>
    <w:rsid w:val="00485D35"/>
    <w:rsid w:val="00486727"/>
    <w:rsid w:val="004874B4"/>
    <w:rsid w:val="004903B9"/>
    <w:rsid w:val="004916C6"/>
    <w:rsid w:val="00491BC1"/>
    <w:rsid w:val="00491F57"/>
    <w:rsid w:val="00492C6C"/>
    <w:rsid w:val="004938AC"/>
    <w:rsid w:val="004939FF"/>
    <w:rsid w:val="00494B00"/>
    <w:rsid w:val="00496AAA"/>
    <w:rsid w:val="00497432"/>
    <w:rsid w:val="004A1BB4"/>
    <w:rsid w:val="004A250F"/>
    <w:rsid w:val="004A25D2"/>
    <w:rsid w:val="004A2BCE"/>
    <w:rsid w:val="004A3567"/>
    <w:rsid w:val="004A4840"/>
    <w:rsid w:val="004A4C2A"/>
    <w:rsid w:val="004A5968"/>
    <w:rsid w:val="004A59F7"/>
    <w:rsid w:val="004A5B9F"/>
    <w:rsid w:val="004A70F3"/>
    <w:rsid w:val="004A7AEF"/>
    <w:rsid w:val="004B067C"/>
    <w:rsid w:val="004B2D1E"/>
    <w:rsid w:val="004B306D"/>
    <w:rsid w:val="004B37DE"/>
    <w:rsid w:val="004B38DF"/>
    <w:rsid w:val="004B407E"/>
    <w:rsid w:val="004B45F8"/>
    <w:rsid w:val="004B4711"/>
    <w:rsid w:val="004B5A30"/>
    <w:rsid w:val="004B7805"/>
    <w:rsid w:val="004B7DD3"/>
    <w:rsid w:val="004C0133"/>
    <w:rsid w:val="004C233D"/>
    <w:rsid w:val="004C2A21"/>
    <w:rsid w:val="004C36BB"/>
    <w:rsid w:val="004C39EA"/>
    <w:rsid w:val="004C3BA2"/>
    <w:rsid w:val="004C4576"/>
    <w:rsid w:val="004C54D6"/>
    <w:rsid w:val="004C5742"/>
    <w:rsid w:val="004C61FC"/>
    <w:rsid w:val="004C623B"/>
    <w:rsid w:val="004C6435"/>
    <w:rsid w:val="004C6623"/>
    <w:rsid w:val="004C731B"/>
    <w:rsid w:val="004C7952"/>
    <w:rsid w:val="004C7A41"/>
    <w:rsid w:val="004D0355"/>
    <w:rsid w:val="004D09F1"/>
    <w:rsid w:val="004D111E"/>
    <w:rsid w:val="004D288B"/>
    <w:rsid w:val="004D3176"/>
    <w:rsid w:val="004D4855"/>
    <w:rsid w:val="004D4D91"/>
    <w:rsid w:val="004D551A"/>
    <w:rsid w:val="004D7AD7"/>
    <w:rsid w:val="004D7B3E"/>
    <w:rsid w:val="004E0366"/>
    <w:rsid w:val="004E07D4"/>
    <w:rsid w:val="004E0B2C"/>
    <w:rsid w:val="004E0C19"/>
    <w:rsid w:val="004E19D3"/>
    <w:rsid w:val="004E2248"/>
    <w:rsid w:val="004E230D"/>
    <w:rsid w:val="004E2E9A"/>
    <w:rsid w:val="004E2F37"/>
    <w:rsid w:val="004E3122"/>
    <w:rsid w:val="004E3B97"/>
    <w:rsid w:val="004E4459"/>
    <w:rsid w:val="004E49D6"/>
    <w:rsid w:val="004E5152"/>
    <w:rsid w:val="004E57F3"/>
    <w:rsid w:val="004E5CBB"/>
    <w:rsid w:val="004E6309"/>
    <w:rsid w:val="004E6B95"/>
    <w:rsid w:val="004F117B"/>
    <w:rsid w:val="004F1C12"/>
    <w:rsid w:val="004F4A24"/>
    <w:rsid w:val="004F4D57"/>
    <w:rsid w:val="0050279F"/>
    <w:rsid w:val="00502E81"/>
    <w:rsid w:val="0050338F"/>
    <w:rsid w:val="0050361E"/>
    <w:rsid w:val="005042E8"/>
    <w:rsid w:val="005052D1"/>
    <w:rsid w:val="005056DA"/>
    <w:rsid w:val="00506CC1"/>
    <w:rsid w:val="00507B31"/>
    <w:rsid w:val="005110D3"/>
    <w:rsid w:val="00511234"/>
    <w:rsid w:val="00512086"/>
    <w:rsid w:val="00512C5D"/>
    <w:rsid w:val="0051320F"/>
    <w:rsid w:val="0051332D"/>
    <w:rsid w:val="00513D3D"/>
    <w:rsid w:val="00514EE5"/>
    <w:rsid w:val="00515FA9"/>
    <w:rsid w:val="0051626E"/>
    <w:rsid w:val="00516632"/>
    <w:rsid w:val="005176AA"/>
    <w:rsid w:val="005179DD"/>
    <w:rsid w:val="00517F1C"/>
    <w:rsid w:val="00520494"/>
    <w:rsid w:val="00520531"/>
    <w:rsid w:val="00521E05"/>
    <w:rsid w:val="005221C5"/>
    <w:rsid w:val="00522704"/>
    <w:rsid w:val="00522A7F"/>
    <w:rsid w:val="0052367B"/>
    <w:rsid w:val="00523A68"/>
    <w:rsid w:val="00524226"/>
    <w:rsid w:val="0052477D"/>
    <w:rsid w:val="00524BFB"/>
    <w:rsid w:val="005260BA"/>
    <w:rsid w:val="005264AF"/>
    <w:rsid w:val="005278C6"/>
    <w:rsid w:val="005305EF"/>
    <w:rsid w:val="00531867"/>
    <w:rsid w:val="00531A41"/>
    <w:rsid w:val="00531C82"/>
    <w:rsid w:val="0053213C"/>
    <w:rsid w:val="00532422"/>
    <w:rsid w:val="00532F79"/>
    <w:rsid w:val="00534FAD"/>
    <w:rsid w:val="00537591"/>
    <w:rsid w:val="00540455"/>
    <w:rsid w:val="00540727"/>
    <w:rsid w:val="0054072A"/>
    <w:rsid w:val="00540B0F"/>
    <w:rsid w:val="005413AF"/>
    <w:rsid w:val="0054152E"/>
    <w:rsid w:val="00541A7A"/>
    <w:rsid w:val="00541D79"/>
    <w:rsid w:val="005422D4"/>
    <w:rsid w:val="0054288B"/>
    <w:rsid w:val="00542A99"/>
    <w:rsid w:val="00543792"/>
    <w:rsid w:val="00544172"/>
    <w:rsid w:val="0054422E"/>
    <w:rsid w:val="00544CEF"/>
    <w:rsid w:val="005464F9"/>
    <w:rsid w:val="00546EA9"/>
    <w:rsid w:val="0055036E"/>
    <w:rsid w:val="00551E39"/>
    <w:rsid w:val="00551E49"/>
    <w:rsid w:val="00552857"/>
    <w:rsid w:val="005530BF"/>
    <w:rsid w:val="005538C0"/>
    <w:rsid w:val="00554332"/>
    <w:rsid w:val="00554C23"/>
    <w:rsid w:val="00554DFA"/>
    <w:rsid w:val="00555D99"/>
    <w:rsid w:val="00556005"/>
    <w:rsid w:val="00556EBE"/>
    <w:rsid w:val="00557277"/>
    <w:rsid w:val="00557FB5"/>
    <w:rsid w:val="0056019D"/>
    <w:rsid w:val="00560271"/>
    <w:rsid w:val="0056038A"/>
    <w:rsid w:val="00560E5C"/>
    <w:rsid w:val="005634A2"/>
    <w:rsid w:val="00564488"/>
    <w:rsid w:val="0056457B"/>
    <w:rsid w:val="00564A50"/>
    <w:rsid w:val="00566EA7"/>
    <w:rsid w:val="00567104"/>
    <w:rsid w:val="005671A1"/>
    <w:rsid w:val="00567B74"/>
    <w:rsid w:val="00567F8B"/>
    <w:rsid w:val="00571893"/>
    <w:rsid w:val="005718AB"/>
    <w:rsid w:val="00571B47"/>
    <w:rsid w:val="005726B1"/>
    <w:rsid w:val="00572722"/>
    <w:rsid w:val="00572AB4"/>
    <w:rsid w:val="00573330"/>
    <w:rsid w:val="005745A3"/>
    <w:rsid w:val="005747A2"/>
    <w:rsid w:val="0057557E"/>
    <w:rsid w:val="00575746"/>
    <w:rsid w:val="00576650"/>
    <w:rsid w:val="00576719"/>
    <w:rsid w:val="005769F2"/>
    <w:rsid w:val="005769F3"/>
    <w:rsid w:val="00576AEA"/>
    <w:rsid w:val="00581275"/>
    <w:rsid w:val="00581C45"/>
    <w:rsid w:val="005824D0"/>
    <w:rsid w:val="00582B1B"/>
    <w:rsid w:val="005831DC"/>
    <w:rsid w:val="00583AD0"/>
    <w:rsid w:val="00584A4E"/>
    <w:rsid w:val="00584D5C"/>
    <w:rsid w:val="0058523E"/>
    <w:rsid w:val="0058693B"/>
    <w:rsid w:val="00590298"/>
    <w:rsid w:val="00591617"/>
    <w:rsid w:val="0059257B"/>
    <w:rsid w:val="00592CEB"/>
    <w:rsid w:val="005936BE"/>
    <w:rsid w:val="00593D98"/>
    <w:rsid w:val="0059499A"/>
    <w:rsid w:val="0059634B"/>
    <w:rsid w:val="00596F67"/>
    <w:rsid w:val="005A0AD5"/>
    <w:rsid w:val="005A281E"/>
    <w:rsid w:val="005A2EEA"/>
    <w:rsid w:val="005A4EBE"/>
    <w:rsid w:val="005A52E6"/>
    <w:rsid w:val="005A54E2"/>
    <w:rsid w:val="005A651B"/>
    <w:rsid w:val="005A726D"/>
    <w:rsid w:val="005B1C68"/>
    <w:rsid w:val="005B1D98"/>
    <w:rsid w:val="005B30D3"/>
    <w:rsid w:val="005B33D6"/>
    <w:rsid w:val="005B4CF3"/>
    <w:rsid w:val="005B56AD"/>
    <w:rsid w:val="005B61E6"/>
    <w:rsid w:val="005B6306"/>
    <w:rsid w:val="005C0868"/>
    <w:rsid w:val="005C3486"/>
    <w:rsid w:val="005C3D62"/>
    <w:rsid w:val="005C4C62"/>
    <w:rsid w:val="005C5921"/>
    <w:rsid w:val="005C7F48"/>
    <w:rsid w:val="005C7F58"/>
    <w:rsid w:val="005D05EE"/>
    <w:rsid w:val="005D19BB"/>
    <w:rsid w:val="005D1B4B"/>
    <w:rsid w:val="005D2BA2"/>
    <w:rsid w:val="005D3A1F"/>
    <w:rsid w:val="005D3AB6"/>
    <w:rsid w:val="005D4F02"/>
    <w:rsid w:val="005D5198"/>
    <w:rsid w:val="005D5FEB"/>
    <w:rsid w:val="005D7F78"/>
    <w:rsid w:val="005E0563"/>
    <w:rsid w:val="005E09E2"/>
    <w:rsid w:val="005E102C"/>
    <w:rsid w:val="005E113F"/>
    <w:rsid w:val="005E1CCC"/>
    <w:rsid w:val="005E22CB"/>
    <w:rsid w:val="005E31E4"/>
    <w:rsid w:val="005E35F1"/>
    <w:rsid w:val="005E3A38"/>
    <w:rsid w:val="005E3AF6"/>
    <w:rsid w:val="005E3D48"/>
    <w:rsid w:val="005E4CDF"/>
    <w:rsid w:val="005E7246"/>
    <w:rsid w:val="005E7691"/>
    <w:rsid w:val="005F0F99"/>
    <w:rsid w:val="005F105A"/>
    <w:rsid w:val="005F1E10"/>
    <w:rsid w:val="005F2181"/>
    <w:rsid w:val="005F4179"/>
    <w:rsid w:val="005F44F0"/>
    <w:rsid w:val="005F4A18"/>
    <w:rsid w:val="005F54BA"/>
    <w:rsid w:val="005F5DF0"/>
    <w:rsid w:val="005F5E63"/>
    <w:rsid w:val="005F5F52"/>
    <w:rsid w:val="005F6290"/>
    <w:rsid w:val="005F6532"/>
    <w:rsid w:val="005F6ED0"/>
    <w:rsid w:val="005F7156"/>
    <w:rsid w:val="005F73E8"/>
    <w:rsid w:val="005F75C5"/>
    <w:rsid w:val="0060044D"/>
    <w:rsid w:val="00600602"/>
    <w:rsid w:val="00601D99"/>
    <w:rsid w:val="00603FCD"/>
    <w:rsid w:val="006046EB"/>
    <w:rsid w:val="00605E1A"/>
    <w:rsid w:val="00606BD2"/>
    <w:rsid w:val="006077C3"/>
    <w:rsid w:val="00607984"/>
    <w:rsid w:val="00607B79"/>
    <w:rsid w:val="006101CF"/>
    <w:rsid w:val="00610EC2"/>
    <w:rsid w:val="00611385"/>
    <w:rsid w:val="00611BE8"/>
    <w:rsid w:val="00613701"/>
    <w:rsid w:val="006147C8"/>
    <w:rsid w:val="00614DBE"/>
    <w:rsid w:val="006152C5"/>
    <w:rsid w:val="00615661"/>
    <w:rsid w:val="00615784"/>
    <w:rsid w:val="00615DEC"/>
    <w:rsid w:val="0061680B"/>
    <w:rsid w:val="0061701F"/>
    <w:rsid w:val="006171A1"/>
    <w:rsid w:val="00620846"/>
    <w:rsid w:val="00620E8E"/>
    <w:rsid w:val="0062120F"/>
    <w:rsid w:val="0062182E"/>
    <w:rsid w:val="00621C1D"/>
    <w:rsid w:val="00622A1D"/>
    <w:rsid w:val="006238AE"/>
    <w:rsid w:val="00624770"/>
    <w:rsid w:val="00625ADC"/>
    <w:rsid w:val="00627454"/>
    <w:rsid w:val="00627458"/>
    <w:rsid w:val="006277B5"/>
    <w:rsid w:val="006309BC"/>
    <w:rsid w:val="00630FFE"/>
    <w:rsid w:val="006326C1"/>
    <w:rsid w:val="00632A0E"/>
    <w:rsid w:val="00632B19"/>
    <w:rsid w:val="00632B7F"/>
    <w:rsid w:val="00632DFD"/>
    <w:rsid w:val="0063422C"/>
    <w:rsid w:val="006342D0"/>
    <w:rsid w:val="006344D3"/>
    <w:rsid w:val="00634614"/>
    <w:rsid w:val="0063581D"/>
    <w:rsid w:val="00635E10"/>
    <w:rsid w:val="0063651F"/>
    <w:rsid w:val="00642E32"/>
    <w:rsid w:val="00642F87"/>
    <w:rsid w:val="00643813"/>
    <w:rsid w:val="00643D63"/>
    <w:rsid w:val="006440FB"/>
    <w:rsid w:val="00644A56"/>
    <w:rsid w:val="00645D9E"/>
    <w:rsid w:val="00645E3E"/>
    <w:rsid w:val="00646098"/>
    <w:rsid w:val="006476FA"/>
    <w:rsid w:val="006477FC"/>
    <w:rsid w:val="00650890"/>
    <w:rsid w:val="00650A6B"/>
    <w:rsid w:val="0065150B"/>
    <w:rsid w:val="00651592"/>
    <w:rsid w:val="00653E61"/>
    <w:rsid w:val="00654148"/>
    <w:rsid w:val="00654774"/>
    <w:rsid w:val="0065497B"/>
    <w:rsid w:val="006556CE"/>
    <w:rsid w:val="00655B31"/>
    <w:rsid w:val="006560D7"/>
    <w:rsid w:val="006574F7"/>
    <w:rsid w:val="006618CD"/>
    <w:rsid w:val="00662D50"/>
    <w:rsid w:val="0066357A"/>
    <w:rsid w:val="006649BA"/>
    <w:rsid w:val="00664B8D"/>
    <w:rsid w:val="006650B8"/>
    <w:rsid w:val="0066562D"/>
    <w:rsid w:val="006676C1"/>
    <w:rsid w:val="00667F74"/>
    <w:rsid w:val="00671494"/>
    <w:rsid w:val="00672E11"/>
    <w:rsid w:val="0067304C"/>
    <w:rsid w:val="006731CC"/>
    <w:rsid w:val="00673891"/>
    <w:rsid w:val="0067435E"/>
    <w:rsid w:val="006758BF"/>
    <w:rsid w:val="00675CDC"/>
    <w:rsid w:val="006768A6"/>
    <w:rsid w:val="0067717B"/>
    <w:rsid w:val="00677312"/>
    <w:rsid w:val="00680170"/>
    <w:rsid w:val="0068124E"/>
    <w:rsid w:val="0068182F"/>
    <w:rsid w:val="00681C62"/>
    <w:rsid w:val="0068273C"/>
    <w:rsid w:val="006840DF"/>
    <w:rsid w:val="00685ADC"/>
    <w:rsid w:val="00687E1F"/>
    <w:rsid w:val="00691F5A"/>
    <w:rsid w:val="006925BC"/>
    <w:rsid w:val="0069497E"/>
    <w:rsid w:val="006977D8"/>
    <w:rsid w:val="006A08BE"/>
    <w:rsid w:val="006A151D"/>
    <w:rsid w:val="006A1F87"/>
    <w:rsid w:val="006A29D9"/>
    <w:rsid w:val="006A301B"/>
    <w:rsid w:val="006A31B8"/>
    <w:rsid w:val="006A37D0"/>
    <w:rsid w:val="006A3CA1"/>
    <w:rsid w:val="006A3D00"/>
    <w:rsid w:val="006A42EE"/>
    <w:rsid w:val="006A47B4"/>
    <w:rsid w:val="006A5596"/>
    <w:rsid w:val="006A5B5E"/>
    <w:rsid w:val="006A5C00"/>
    <w:rsid w:val="006A6CC3"/>
    <w:rsid w:val="006A6D33"/>
    <w:rsid w:val="006B0E83"/>
    <w:rsid w:val="006B13A6"/>
    <w:rsid w:val="006B24B7"/>
    <w:rsid w:val="006B2B56"/>
    <w:rsid w:val="006B3C54"/>
    <w:rsid w:val="006B6083"/>
    <w:rsid w:val="006B784C"/>
    <w:rsid w:val="006C0C95"/>
    <w:rsid w:val="006C15B1"/>
    <w:rsid w:val="006C17E9"/>
    <w:rsid w:val="006C3DC7"/>
    <w:rsid w:val="006C4877"/>
    <w:rsid w:val="006C5A7E"/>
    <w:rsid w:val="006C5CEB"/>
    <w:rsid w:val="006C6593"/>
    <w:rsid w:val="006C7882"/>
    <w:rsid w:val="006C7900"/>
    <w:rsid w:val="006D04E1"/>
    <w:rsid w:val="006D072C"/>
    <w:rsid w:val="006D09CC"/>
    <w:rsid w:val="006D0A91"/>
    <w:rsid w:val="006D1DB1"/>
    <w:rsid w:val="006D200D"/>
    <w:rsid w:val="006D4C3D"/>
    <w:rsid w:val="006D5105"/>
    <w:rsid w:val="006D5ED7"/>
    <w:rsid w:val="006D6920"/>
    <w:rsid w:val="006D76E3"/>
    <w:rsid w:val="006E1115"/>
    <w:rsid w:val="006E24D9"/>
    <w:rsid w:val="006E2E8A"/>
    <w:rsid w:val="006E2E8D"/>
    <w:rsid w:val="006E3529"/>
    <w:rsid w:val="006E4A7D"/>
    <w:rsid w:val="006E4C2E"/>
    <w:rsid w:val="006E4FAC"/>
    <w:rsid w:val="006E7B2B"/>
    <w:rsid w:val="006F116E"/>
    <w:rsid w:val="006F148C"/>
    <w:rsid w:val="006F16A0"/>
    <w:rsid w:val="006F1965"/>
    <w:rsid w:val="006F356F"/>
    <w:rsid w:val="006F585B"/>
    <w:rsid w:val="006F68DA"/>
    <w:rsid w:val="006F72EE"/>
    <w:rsid w:val="006F7724"/>
    <w:rsid w:val="006F7B41"/>
    <w:rsid w:val="00700118"/>
    <w:rsid w:val="0070157C"/>
    <w:rsid w:val="00701B1C"/>
    <w:rsid w:val="00702BB9"/>
    <w:rsid w:val="007033A2"/>
    <w:rsid w:val="00703A1C"/>
    <w:rsid w:val="00703C53"/>
    <w:rsid w:val="00703C85"/>
    <w:rsid w:val="00704284"/>
    <w:rsid w:val="00706F55"/>
    <w:rsid w:val="0070778A"/>
    <w:rsid w:val="0070782C"/>
    <w:rsid w:val="00711128"/>
    <w:rsid w:val="0071135D"/>
    <w:rsid w:val="007114A9"/>
    <w:rsid w:val="00711FA6"/>
    <w:rsid w:val="00712942"/>
    <w:rsid w:val="007155C4"/>
    <w:rsid w:val="0071588A"/>
    <w:rsid w:val="0071590F"/>
    <w:rsid w:val="00716A81"/>
    <w:rsid w:val="00717904"/>
    <w:rsid w:val="0072001E"/>
    <w:rsid w:val="007200C6"/>
    <w:rsid w:val="00720909"/>
    <w:rsid w:val="00722C0E"/>
    <w:rsid w:val="00723F4A"/>
    <w:rsid w:val="007251D1"/>
    <w:rsid w:val="007252B2"/>
    <w:rsid w:val="007257DC"/>
    <w:rsid w:val="007264D2"/>
    <w:rsid w:val="00726CF0"/>
    <w:rsid w:val="0072755B"/>
    <w:rsid w:val="00727F2D"/>
    <w:rsid w:val="007303D6"/>
    <w:rsid w:val="007311EB"/>
    <w:rsid w:val="0073145E"/>
    <w:rsid w:val="007326E2"/>
    <w:rsid w:val="0073392E"/>
    <w:rsid w:val="00734CB8"/>
    <w:rsid w:val="0073629A"/>
    <w:rsid w:val="00736FC2"/>
    <w:rsid w:val="00737847"/>
    <w:rsid w:val="00740E9B"/>
    <w:rsid w:val="00741303"/>
    <w:rsid w:val="00741427"/>
    <w:rsid w:val="00741695"/>
    <w:rsid w:val="007420E9"/>
    <w:rsid w:val="0074231F"/>
    <w:rsid w:val="007426EB"/>
    <w:rsid w:val="0074302B"/>
    <w:rsid w:val="0074431B"/>
    <w:rsid w:val="00744866"/>
    <w:rsid w:val="00744E82"/>
    <w:rsid w:val="00745B96"/>
    <w:rsid w:val="007461FE"/>
    <w:rsid w:val="007466E5"/>
    <w:rsid w:val="00746A4C"/>
    <w:rsid w:val="00746CB1"/>
    <w:rsid w:val="00747D02"/>
    <w:rsid w:val="00750A0F"/>
    <w:rsid w:val="00750D72"/>
    <w:rsid w:val="007517E6"/>
    <w:rsid w:val="007525CB"/>
    <w:rsid w:val="007525CF"/>
    <w:rsid w:val="0075414C"/>
    <w:rsid w:val="007543E4"/>
    <w:rsid w:val="0075480C"/>
    <w:rsid w:val="00755A7D"/>
    <w:rsid w:val="00755D87"/>
    <w:rsid w:val="00756320"/>
    <w:rsid w:val="00756E9F"/>
    <w:rsid w:val="00757C40"/>
    <w:rsid w:val="00757DCD"/>
    <w:rsid w:val="0076022C"/>
    <w:rsid w:val="007606F1"/>
    <w:rsid w:val="0076086A"/>
    <w:rsid w:val="0076133F"/>
    <w:rsid w:val="00761510"/>
    <w:rsid w:val="00763462"/>
    <w:rsid w:val="00764AC0"/>
    <w:rsid w:val="0076550A"/>
    <w:rsid w:val="00766C92"/>
    <w:rsid w:val="00767197"/>
    <w:rsid w:val="007672E0"/>
    <w:rsid w:val="0076761A"/>
    <w:rsid w:val="0077141B"/>
    <w:rsid w:val="007720F0"/>
    <w:rsid w:val="00773064"/>
    <w:rsid w:val="007732AC"/>
    <w:rsid w:val="00774EBE"/>
    <w:rsid w:val="00774FB7"/>
    <w:rsid w:val="00775BDB"/>
    <w:rsid w:val="00776172"/>
    <w:rsid w:val="00777535"/>
    <w:rsid w:val="00777CEF"/>
    <w:rsid w:val="00780993"/>
    <w:rsid w:val="00780BFC"/>
    <w:rsid w:val="00781A0A"/>
    <w:rsid w:val="00782E43"/>
    <w:rsid w:val="00785035"/>
    <w:rsid w:val="007866B4"/>
    <w:rsid w:val="00786E47"/>
    <w:rsid w:val="00792657"/>
    <w:rsid w:val="00792680"/>
    <w:rsid w:val="007929CB"/>
    <w:rsid w:val="007934F0"/>
    <w:rsid w:val="00793A40"/>
    <w:rsid w:val="00794DBA"/>
    <w:rsid w:val="00795AD6"/>
    <w:rsid w:val="00795B1E"/>
    <w:rsid w:val="00796723"/>
    <w:rsid w:val="007A019D"/>
    <w:rsid w:val="007A34E3"/>
    <w:rsid w:val="007A4C7D"/>
    <w:rsid w:val="007A77DD"/>
    <w:rsid w:val="007B0825"/>
    <w:rsid w:val="007B0B93"/>
    <w:rsid w:val="007B1A31"/>
    <w:rsid w:val="007B2410"/>
    <w:rsid w:val="007B35D9"/>
    <w:rsid w:val="007B3C69"/>
    <w:rsid w:val="007B4985"/>
    <w:rsid w:val="007B7173"/>
    <w:rsid w:val="007C00CA"/>
    <w:rsid w:val="007C06B5"/>
    <w:rsid w:val="007C08B4"/>
    <w:rsid w:val="007C0A7A"/>
    <w:rsid w:val="007C1F13"/>
    <w:rsid w:val="007C239B"/>
    <w:rsid w:val="007C33C5"/>
    <w:rsid w:val="007C4B74"/>
    <w:rsid w:val="007C62C4"/>
    <w:rsid w:val="007C786D"/>
    <w:rsid w:val="007C7F69"/>
    <w:rsid w:val="007D039C"/>
    <w:rsid w:val="007D0E2B"/>
    <w:rsid w:val="007D13A8"/>
    <w:rsid w:val="007D18AC"/>
    <w:rsid w:val="007D269A"/>
    <w:rsid w:val="007D2DEF"/>
    <w:rsid w:val="007D3A5A"/>
    <w:rsid w:val="007D3FB2"/>
    <w:rsid w:val="007D48C5"/>
    <w:rsid w:val="007D5711"/>
    <w:rsid w:val="007D6055"/>
    <w:rsid w:val="007D7002"/>
    <w:rsid w:val="007D7669"/>
    <w:rsid w:val="007D7C68"/>
    <w:rsid w:val="007E19F9"/>
    <w:rsid w:val="007E1FE6"/>
    <w:rsid w:val="007E2F68"/>
    <w:rsid w:val="007E319A"/>
    <w:rsid w:val="007E4588"/>
    <w:rsid w:val="007E636D"/>
    <w:rsid w:val="007F0518"/>
    <w:rsid w:val="007F062A"/>
    <w:rsid w:val="007F0A86"/>
    <w:rsid w:val="007F1054"/>
    <w:rsid w:val="007F12AB"/>
    <w:rsid w:val="007F1588"/>
    <w:rsid w:val="007F17E3"/>
    <w:rsid w:val="007F29D8"/>
    <w:rsid w:val="007F3319"/>
    <w:rsid w:val="007F46D8"/>
    <w:rsid w:val="007F5385"/>
    <w:rsid w:val="007F7B77"/>
    <w:rsid w:val="0080045D"/>
    <w:rsid w:val="008005DD"/>
    <w:rsid w:val="00801AB3"/>
    <w:rsid w:val="00801D79"/>
    <w:rsid w:val="0080214D"/>
    <w:rsid w:val="0080237C"/>
    <w:rsid w:val="00802909"/>
    <w:rsid w:val="00804307"/>
    <w:rsid w:val="0080540C"/>
    <w:rsid w:val="00805B20"/>
    <w:rsid w:val="00805B30"/>
    <w:rsid w:val="00806359"/>
    <w:rsid w:val="00806CB6"/>
    <w:rsid w:val="00806D54"/>
    <w:rsid w:val="00806EEC"/>
    <w:rsid w:val="008073AE"/>
    <w:rsid w:val="008110CF"/>
    <w:rsid w:val="00811BAA"/>
    <w:rsid w:val="0081249C"/>
    <w:rsid w:val="00812E9C"/>
    <w:rsid w:val="00813E8B"/>
    <w:rsid w:val="00815E8C"/>
    <w:rsid w:val="00816577"/>
    <w:rsid w:val="008202BB"/>
    <w:rsid w:val="00820332"/>
    <w:rsid w:val="0082157C"/>
    <w:rsid w:val="008226B2"/>
    <w:rsid w:val="008227DF"/>
    <w:rsid w:val="00822F60"/>
    <w:rsid w:val="00824938"/>
    <w:rsid w:val="00824C45"/>
    <w:rsid w:val="00824CBD"/>
    <w:rsid w:val="00826E4F"/>
    <w:rsid w:val="00827C5C"/>
    <w:rsid w:val="008311D7"/>
    <w:rsid w:val="00832494"/>
    <w:rsid w:val="008324A3"/>
    <w:rsid w:val="008326E0"/>
    <w:rsid w:val="0083528D"/>
    <w:rsid w:val="008364D5"/>
    <w:rsid w:val="00837BAD"/>
    <w:rsid w:val="00841A38"/>
    <w:rsid w:val="008421C1"/>
    <w:rsid w:val="00842356"/>
    <w:rsid w:val="008423B0"/>
    <w:rsid w:val="00843A8B"/>
    <w:rsid w:val="0084502D"/>
    <w:rsid w:val="0084546F"/>
    <w:rsid w:val="00845B61"/>
    <w:rsid w:val="00846BED"/>
    <w:rsid w:val="00850621"/>
    <w:rsid w:val="00850F72"/>
    <w:rsid w:val="00851842"/>
    <w:rsid w:val="00853923"/>
    <w:rsid w:val="00854333"/>
    <w:rsid w:val="0085455D"/>
    <w:rsid w:val="00857950"/>
    <w:rsid w:val="008604F3"/>
    <w:rsid w:val="00860901"/>
    <w:rsid w:val="00863F83"/>
    <w:rsid w:val="00870060"/>
    <w:rsid w:val="008707CE"/>
    <w:rsid w:val="0087085E"/>
    <w:rsid w:val="0087092A"/>
    <w:rsid w:val="00874418"/>
    <w:rsid w:val="00876644"/>
    <w:rsid w:val="008767CC"/>
    <w:rsid w:val="008771FD"/>
    <w:rsid w:val="00881CB6"/>
    <w:rsid w:val="00881DC8"/>
    <w:rsid w:val="00882564"/>
    <w:rsid w:val="00884B32"/>
    <w:rsid w:val="00884F67"/>
    <w:rsid w:val="0088666A"/>
    <w:rsid w:val="00886679"/>
    <w:rsid w:val="00886F5E"/>
    <w:rsid w:val="00890A38"/>
    <w:rsid w:val="00890C5B"/>
    <w:rsid w:val="00891DD7"/>
    <w:rsid w:val="00892993"/>
    <w:rsid w:val="008929E6"/>
    <w:rsid w:val="00892BC5"/>
    <w:rsid w:val="00892EEE"/>
    <w:rsid w:val="00893118"/>
    <w:rsid w:val="0089312F"/>
    <w:rsid w:val="0089498A"/>
    <w:rsid w:val="00894BC3"/>
    <w:rsid w:val="00895059"/>
    <w:rsid w:val="00895585"/>
    <w:rsid w:val="008955FC"/>
    <w:rsid w:val="0089569C"/>
    <w:rsid w:val="00895775"/>
    <w:rsid w:val="00895DB2"/>
    <w:rsid w:val="00896AE7"/>
    <w:rsid w:val="00897F37"/>
    <w:rsid w:val="008A09E9"/>
    <w:rsid w:val="008A0BC3"/>
    <w:rsid w:val="008A20B2"/>
    <w:rsid w:val="008A2795"/>
    <w:rsid w:val="008A27E8"/>
    <w:rsid w:val="008A33ED"/>
    <w:rsid w:val="008A3794"/>
    <w:rsid w:val="008A3FA9"/>
    <w:rsid w:val="008A44D7"/>
    <w:rsid w:val="008A50CA"/>
    <w:rsid w:val="008A55C8"/>
    <w:rsid w:val="008A6631"/>
    <w:rsid w:val="008A72D3"/>
    <w:rsid w:val="008A7998"/>
    <w:rsid w:val="008B203F"/>
    <w:rsid w:val="008B23F8"/>
    <w:rsid w:val="008B24F6"/>
    <w:rsid w:val="008B493B"/>
    <w:rsid w:val="008B49EF"/>
    <w:rsid w:val="008B6794"/>
    <w:rsid w:val="008B68BE"/>
    <w:rsid w:val="008B76C5"/>
    <w:rsid w:val="008B7A8F"/>
    <w:rsid w:val="008C072C"/>
    <w:rsid w:val="008C0DC1"/>
    <w:rsid w:val="008C0E67"/>
    <w:rsid w:val="008C1E5E"/>
    <w:rsid w:val="008C2CB7"/>
    <w:rsid w:val="008C35A0"/>
    <w:rsid w:val="008C3681"/>
    <w:rsid w:val="008C3684"/>
    <w:rsid w:val="008C3800"/>
    <w:rsid w:val="008C3B55"/>
    <w:rsid w:val="008C41AC"/>
    <w:rsid w:val="008C4461"/>
    <w:rsid w:val="008C457D"/>
    <w:rsid w:val="008C55CE"/>
    <w:rsid w:val="008C646C"/>
    <w:rsid w:val="008C74CC"/>
    <w:rsid w:val="008C7CF8"/>
    <w:rsid w:val="008C7E41"/>
    <w:rsid w:val="008D1494"/>
    <w:rsid w:val="008D19C4"/>
    <w:rsid w:val="008D2A28"/>
    <w:rsid w:val="008D316F"/>
    <w:rsid w:val="008D3CD9"/>
    <w:rsid w:val="008D40A8"/>
    <w:rsid w:val="008D594E"/>
    <w:rsid w:val="008D6562"/>
    <w:rsid w:val="008D786C"/>
    <w:rsid w:val="008E0E7C"/>
    <w:rsid w:val="008E32DE"/>
    <w:rsid w:val="008E3D9E"/>
    <w:rsid w:val="008E5550"/>
    <w:rsid w:val="008E5663"/>
    <w:rsid w:val="008E569E"/>
    <w:rsid w:val="008E65B6"/>
    <w:rsid w:val="008E7299"/>
    <w:rsid w:val="008E7985"/>
    <w:rsid w:val="008E7BA0"/>
    <w:rsid w:val="008E7BEB"/>
    <w:rsid w:val="008F047D"/>
    <w:rsid w:val="008F0CEB"/>
    <w:rsid w:val="008F1078"/>
    <w:rsid w:val="008F1363"/>
    <w:rsid w:val="008F2252"/>
    <w:rsid w:val="008F242D"/>
    <w:rsid w:val="008F35F1"/>
    <w:rsid w:val="008F3EB9"/>
    <w:rsid w:val="008F4AC1"/>
    <w:rsid w:val="008F6699"/>
    <w:rsid w:val="008F7430"/>
    <w:rsid w:val="008F74FF"/>
    <w:rsid w:val="00900821"/>
    <w:rsid w:val="00901089"/>
    <w:rsid w:val="0090206B"/>
    <w:rsid w:val="00902965"/>
    <w:rsid w:val="00903F07"/>
    <w:rsid w:val="009042A8"/>
    <w:rsid w:val="00904618"/>
    <w:rsid w:val="00906280"/>
    <w:rsid w:val="00906659"/>
    <w:rsid w:val="00906994"/>
    <w:rsid w:val="009071E2"/>
    <w:rsid w:val="0091081D"/>
    <w:rsid w:val="0091143E"/>
    <w:rsid w:val="00912873"/>
    <w:rsid w:val="00913E0F"/>
    <w:rsid w:val="00914042"/>
    <w:rsid w:val="0091406A"/>
    <w:rsid w:val="00914108"/>
    <w:rsid w:val="009171CC"/>
    <w:rsid w:val="0092083D"/>
    <w:rsid w:val="00920F0D"/>
    <w:rsid w:val="00921410"/>
    <w:rsid w:val="009214AA"/>
    <w:rsid w:val="00922002"/>
    <w:rsid w:val="009229EA"/>
    <w:rsid w:val="00923FFC"/>
    <w:rsid w:val="00924580"/>
    <w:rsid w:val="0092584D"/>
    <w:rsid w:val="009259C7"/>
    <w:rsid w:val="009261F9"/>
    <w:rsid w:val="0092707B"/>
    <w:rsid w:val="00927F8E"/>
    <w:rsid w:val="009302A5"/>
    <w:rsid w:val="009303F2"/>
    <w:rsid w:val="00932A91"/>
    <w:rsid w:val="00932B0D"/>
    <w:rsid w:val="00933172"/>
    <w:rsid w:val="009372D1"/>
    <w:rsid w:val="00937CFB"/>
    <w:rsid w:val="009406A5"/>
    <w:rsid w:val="00941A1F"/>
    <w:rsid w:val="0094227B"/>
    <w:rsid w:val="009430BC"/>
    <w:rsid w:val="009433E0"/>
    <w:rsid w:val="009434E5"/>
    <w:rsid w:val="00944C14"/>
    <w:rsid w:val="009456BE"/>
    <w:rsid w:val="00945C8F"/>
    <w:rsid w:val="009460D1"/>
    <w:rsid w:val="009463D7"/>
    <w:rsid w:val="00946AB0"/>
    <w:rsid w:val="00946DB3"/>
    <w:rsid w:val="00946E2D"/>
    <w:rsid w:val="00947271"/>
    <w:rsid w:val="0094784E"/>
    <w:rsid w:val="00951452"/>
    <w:rsid w:val="009521CB"/>
    <w:rsid w:val="00952658"/>
    <w:rsid w:val="00952AD0"/>
    <w:rsid w:val="00953E29"/>
    <w:rsid w:val="00955741"/>
    <w:rsid w:val="00955D64"/>
    <w:rsid w:val="00956F38"/>
    <w:rsid w:val="009577B4"/>
    <w:rsid w:val="00961C1D"/>
    <w:rsid w:val="00962120"/>
    <w:rsid w:val="00962E56"/>
    <w:rsid w:val="00963575"/>
    <w:rsid w:val="00963CD2"/>
    <w:rsid w:val="009645F7"/>
    <w:rsid w:val="00964A21"/>
    <w:rsid w:val="009666AC"/>
    <w:rsid w:val="009702C3"/>
    <w:rsid w:val="0097186E"/>
    <w:rsid w:val="00971C88"/>
    <w:rsid w:val="009725ED"/>
    <w:rsid w:val="00972A79"/>
    <w:rsid w:val="00973549"/>
    <w:rsid w:val="00973586"/>
    <w:rsid w:val="009745C8"/>
    <w:rsid w:val="00974BC5"/>
    <w:rsid w:val="009758D0"/>
    <w:rsid w:val="00976A4E"/>
    <w:rsid w:val="00976E88"/>
    <w:rsid w:val="0097713A"/>
    <w:rsid w:val="009772BC"/>
    <w:rsid w:val="0097797D"/>
    <w:rsid w:val="009817FE"/>
    <w:rsid w:val="00983DB0"/>
    <w:rsid w:val="009864D5"/>
    <w:rsid w:val="00986D71"/>
    <w:rsid w:val="00987AF2"/>
    <w:rsid w:val="009930F2"/>
    <w:rsid w:val="0099421E"/>
    <w:rsid w:val="00994263"/>
    <w:rsid w:val="00994455"/>
    <w:rsid w:val="0099557E"/>
    <w:rsid w:val="009965C7"/>
    <w:rsid w:val="0099741D"/>
    <w:rsid w:val="009A0B4C"/>
    <w:rsid w:val="009A0DF4"/>
    <w:rsid w:val="009A1243"/>
    <w:rsid w:val="009A2037"/>
    <w:rsid w:val="009A3705"/>
    <w:rsid w:val="009A5193"/>
    <w:rsid w:val="009A798D"/>
    <w:rsid w:val="009B0F5F"/>
    <w:rsid w:val="009B204B"/>
    <w:rsid w:val="009B28D7"/>
    <w:rsid w:val="009B346F"/>
    <w:rsid w:val="009B3918"/>
    <w:rsid w:val="009B3F96"/>
    <w:rsid w:val="009B4537"/>
    <w:rsid w:val="009B470F"/>
    <w:rsid w:val="009B68AE"/>
    <w:rsid w:val="009B7664"/>
    <w:rsid w:val="009B7984"/>
    <w:rsid w:val="009B7D84"/>
    <w:rsid w:val="009C07E5"/>
    <w:rsid w:val="009C0909"/>
    <w:rsid w:val="009C20AF"/>
    <w:rsid w:val="009C2D06"/>
    <w:rsid w:val="009C468D"/>
    <w:rsid w:val="009C77FF"/>
    <w:rsid w:val="009C792E"/>
    <w:rsid w:val="009C7DA2"/>
    <w:rsid w:val="009D01CB"/>
    <w:rsid w:val="009D1639"/>
    <w:rsid w:val="009D51FF"/>
    <w:rsid w:val="009D5AF5"/>
    <w:rsid w:val="009D64F4"/>
    <w:rsid w:val="009D6CAB"/>
    <w:rsid w:val="009E008B"/>
    <w:rsid w:val="009E0278"/>
    <w:rsid w:val="009E139B"/>
    <w:rsid w:val="009E34C5"/>
    <w:rsid w:val="009E39FB"/>
    <w:rsid w:val="009E3A3B"/>
    <w:rsid w:val="009E4725"/>
    <w:rsid w:val="009E4C37"/>
    <w:rsid w:val="009E6711"/>
    <w:rsid w:val="009E7FA1"/>
    <w:rsid w:val="009F008A"/>
    <w:rsid w:val="009F0C5A"/>
    <w:rsid w:val="009F0E90"/>
    <w:rsid w:val="009F124E"/>
    <w:rsid w:val="009F1334"/>
    <w:rsid w:val="009F16F0"/>
    <w:rsid w:val="009F19F5"/>
    <w:rsid w:val="009F21B3"/>
    <w:rsid w:val="009F3B88"/>
    <w:rsid w:val="009F4616"/>
    <w:rsid w:val="009F4874"/>
    <w:rsid w:val="009F4E1B"/>
    <w:rsid w:val="009F513D"/>
    <w:rsid w:val="009F6B57"/>
    <w:rsid w:val="009F6C0B"/>
    <w:rsid w:val="009F75A7"/>
    <w:rsid w:val="009F767C"/>
    <w:rsid w:val="009F7AAD"/>
    <w:rsid w:val="00A00AE1"/>
    <w:rsid w:val="00A01347"/>
    <w:rsid w:val="00A044BE"/>
    <w:rsid w:val="00A04A2A"/>
    <w:rsid w:val="00A051DE"/>
    <w:rsid w:val="00A055A9"/>
    <w:rsid w:val="00A05FB4"/>
    <w:rsid w:val="00A0675B"/>
    <w:rsid w:val="00A07363"/>
    <w:rsid w:val="00A07D76"/>
    <w:rsid w:val="00A101AF"/>
    <w:rsid w:val="00A10FAD"/>
    <w:rsid w:val="00A11DEC"/>
    <w:rsid w:val="00A13290"/>
    <w:rsid w:val="00A13386"/>
    <w:rsid w:val="00A155D5"/>
    <w:rsid w:val="00A158B7"/>
    <w:rsid w:val="00A16039"/>
    <w:rsid w:val="00A1722A"/>
    <w:rsid w:val="00A17566"/>
    <w:rsid w:val="00A207C3"/>
    <w:rsid w:val="00A20824"/>
    <w:rsid w:val="00A20D2D"/>
    <w:rsid w:val="00A2122F"/>
    <w:rsid w:val="00A21E54"/>
    <w:rsid w:val="00A22D53"/>
    <w:rsid w:val="00A22FB2"/>
    <w:rsid w:val="00A22FFA"/>
    <w:rsid w:val="00A23BEC"/>
    <w:rsid w:val="00A2445C"/>
    <w:rsid w:val="00A2455A"/>
    <w:rsid w:val="00A2508E"/>
    <w:rsid w:val="00A268A7"/>
    <w:rsid w:val="00A26AC9"/>
    <w:rsid w:val="00A26C05"/>
    <w:rsid w:val="00A279D0"/>
    <w:rsid w:val="00A30407"/>
    <w:rsid w:val="00A31B29"/>
    <w:rsid w:val="00A31C7C"/>
    <w:rsid w:val="00A3211B"/>
    <w:rsid w:val="00A345D7"/>
    <w:rsid w:val="00A3547D"/>
    <w:rsid w:val="00A35D56"/>
    <w:rsid w:val="00A3656A"/>
    <w:rsid w:val="00A37BF5"/>
    <w:rsid w:val="00A403E7"/>
    <w:rsid w:val="00A428C0"/>
    <w:rsid w:val="00A43223"/>
    <w:rsid w:val="00A4391B"/>
    <w:rsid w:val="00A45490"/>
    <w:rsid w:val="00A454BB"/>
    <w:rsid w:val="00A515DF"/>
    <w:rsid w:val="00A520DB"/>
    <w:rsid w:val="00A52CBE"/>
    <w:rsid w:val="00A531E7"/>
    <w:rsid w:val="00A53D94"/>
    <w:rsid w:val="00A5426D"/>
    <w:rsid w:val="00A5454E"/>
    <w:rsid w:val="00A55385"/>
    <w:rsid w:val="00A55DB1"/>
    <w:rsid w:val="00A5715C"/>
    <w:rsid w:val="00A61826"/>
    <w:rsid w:val="00A618DD"/>
    <w:rsid w:val="00A61B74"/>
    <w:rsid w:val="00A62B37"/>
    <w:rsid w:val="00A62F43"/>
    <w:rsid w:val="00A63AF7"/>
    <w:rsid w:val="00A648A0"/>
    <w:rsid w:val="00A651B5"/>
    <w:rsid w:val="00A6540F"/>
    <w:rsid w:val="00A658CA"/>
    <w:rsid w:val="00A6651B"/>
    <w:rsid w:val="00A66582"/>
    <w:rsid w:val="00A70472"/>
    <w:rsid w:val="00A70B45"/>
    <w:rsid w:val="00A71F41"/>
    <w:rsid w:val="00A732D4"/>
    <w:rsid w:val="00A733EB"/>
    <w:rsid w:val="00A73A08"/>
    <w:rsid w:val="00A755FD"/>
    <w:rsid w:val="00A75915"/>
    <w:rsid w:val="00A822C8"/>
    <w:rsid w:val="00A836DF"/>
    <w:rsid w:val="00A84AC3"/>
    <w:rsid w:val="00A85428"/>
    <w:rsid w:val="00A856A7"/>
    <w:rsid w:val="00A858DB"/>
    <w:rsid w:val="00A864C6"/>
    <w:rsid w:val="00A8664A"/>
    <w:rsid w:val="00A86E74"/>
    <w:rsid w:val="00A90C37"/>
    <w:rsid w:val="00A91435"/>
    <w:rsid w:val="00A91BE5"/>
    <w:rsid w:val="00A921C1"/>
    <w:rsid w:val="00A935D8"/>
    <w:rsid w:val="00A9391A"/>
    <w:rsid w:val="00A93AFE"/>
    <w:rsid w:val="00A941EC"/>
    <w:rsid w:val="00A946C3"/>
    <w:rsid w:val="00A94F92"/>
    <w:rsid w:val="00A956E1"/>
    <w:rsid w:val="00AA0540"/>
    <w:rsid w:val="00AA135F"/>
    <w:rsid w:val="00AA1434"/>
    <w:rsid w:val="00AA1B9B"/>
    <w:rsid w:val="00AA2C4D"/>
    <w:rsid w:val="00AA332F"/>
    <w:rsid w:val="00AA4001"/>
    <w:rsid w:val="00AA40D7"/>
    <w:rsid w:val="00AA40EA"/>
    <w:rsid w:val="00AA6712"/>
    <w:rsid w:val="00AA7A9D"/>
    <w:rsid w:val="00AB04FF"/>
    <w:rsid w:val="00AB1620"/>
    <w:rsid w:val="00AB467C"/>
    <w:rsid w:val="00AB4B0C"/>
    <w:rsid w:val="00AB7613"/>
    <w:rsid w:val="00AB7D32"/>
    <w:rsid w:val="00AC042C"/>
    <w:rsid w:val="00AC1DE3"/>
    <w:rsid w:val="00AC216A"/>
    <w:rsid w:val="00AC2A99"/>
    <w:rsid w:val="00AC30A8"/>
    <w:rsid w:val="00AC3CC7"/>
    <w:rsid w:val="00AC541D"/>
    <w:rsid w:val="00AC5908"/>
    <w:rsid w:val="00AC5D2C"/>
    <w:rsid w:val="00AC614C"/>
    <w:rsid w:val="00AC7FF7"/>
    <w:rsid w:val="00AD0DE0"/>
    <w:rsid w:val="00AD1065"/>
    <w:rsid w:val="00AD1D26"/>
    <w:rsid w:val="00AD2787"/>
    <w:rsid w:val="00AD2A8F"/>
    <w:rsid w:val="00AD325D"/>
    <w:rsid w:val="00AD39AD"/>
    <w:rsid w:val="00AD4570"/>
    <w:rsid w:val="00AD4AD3"/>
    <w:rsid w:val="00AD5963"/>
    <w:rsid w:val="00AD5E15"/>
    <w:rsid w:val="00AD61B0"/>
    <w:rsid w:val="00AD6D86"/>
    <w:rsid w:val="00AD6EBD"/>
    <w:rsid w:val="00AD763A"/>
    <w:rsid w:val="00AD788D"/>
    <w:rsid w:val="00AD7C19"/>
    <w:rsid w:val="00AE312A"/>
    <w:rsid w:val="00AE43FD"/>
    <w:rsid w:val="00AE45BD"/>
    <w:rsid w:val="00AE4D82"/>
    <w:rsid w:val="00AE5E56"/>
    <w:rsid w:val="00AE69D8"/>
    <w:rsid w:val="00AE6F48"/>
    <w:rsid w:val="00AF0532"/>
    <w:rsid w:val="00AF0B6F"/>
    <w:rsid w:val="00AF12FC"/>
    <w:rsid w:val="00AF2A04"/>
    <w:rsid w:val="00AF301C"/>
    <w:rsid w:val="00AF42FD"/>
    <w:rsid w:val="00AF695D"/>
    <w:rsid w:val="00AF77E5"/>
    <w:rsid w:val="00AF7B32"/>
    <w:rsid w:val="00B01032"/>
    <w:rsid w:val="00B02CBD"/>
    <w:rsid w:val="00B02D9B"/>
    <w:rsid w:val="00B04710"/>
    <w:rsid w:val="00B04AEE"/>
    <w:rsid w:val="00B057EC"/>
    <w:rsid w:val="00B05AEE"/>
    <w:rsid w:val="00B0724E"/>
    <w:rsid w:val="00B07D95"/>
    <w:rsid w:val="00B10711"/>
    <w:rsid w:val="00B10A27"/>
    <w:rsid w:val="00B1127D"/>
    <w:rsid w:val="00B136C8"/>
    <w:rsid w:val="00B14C95"/>
    <w:rsid w:val="00B15467"/>
    <w:rsid w:val="00B1719E"/>
    <w:rsid w:val="00B21AE0"/>
    <w:rsid w:val="00B2506C"/>
    <w:rsid w:val="00B2510A"/>
    <w:rsid w:val="00B253D4"/>
    <w:rsid w:val="00B265BE"/>
    <w:rsid w:val="00B267A8"/>
    <w:rsid w:val="00B305B0"/>
    <w:rsid w:val="00B312E7"/>
    <w:rsid w:val="00B31A4D"/>
    <w:rsid w:val="00B31E29"/>
    <w:rsid w:val="00B3232F"/>
    <w:rsid w:val="00B32C5A"/>
    <w:rsid w:val="00B33983"/>
    <w:rsid w:val="00B349DC"/>
    <w:rsid w:val="00B34BF0"/>
    <w:rsid w:val="00B35325"/>
    <w:rsid w:val="00B35A53"/>
    <w:rsid w:val="00B3723F"/>
    <w:rsid w:val="00B37E22"/>
    <w:rsid w:val="00B40CFF"/>
    <w:rsid w:val="00B41A6B"/>
    <w:rsid w:val="00B41C21"/>
    <w:rsid w:val="00B41DDA"/>
    <w:rsid w:val="00B438A2"/>
    <w:rsid w:val="00B44389"/>
    <w:rsid w:val="00B4492B"/>
    <w:rsid w:val="00B45423"/>
    <w:rsid w:val="00B45D0B"/>
    <w:rsid w:val="00B45E1F"/>
    <w:rsid w:val="00B47DFB"/>
    <w:rsid w:val="00B503BE"/>
    <w:rsid w:val="00B5041B"/>
    <w:rsid w:val="00B5049C"/>
    <w:rsid w:val="00B50C46"/>
    <w:rsid w:val="00B54665"/>
    <w:rsid w:val="00B553C4"/>
    <w:rsid w:val="00B55F00"/>
    <w:rsid w:val="00B564ED"/>
    <w:rsid w:val="00B56B31"/>
    <w:rsid w:val="00B56D9D"/>
    <w:rsid w:val="00B57087"/>
    <w:rsid w:val="00B60A88"/>
    <w:rsid w:val="00B61331"/>
    <w:rsid w:val="00B620DF"/>
    <w:rsid w:val="00B62649"/>
    <w:rsid w:val="00B65354"/>
    <w:rsid w:val="00B657E9"/>
    <w:rsid w:val="00B6584A"/>
    <w:rsid w:val="00B666F6"/>
    <w:rsid w:val="00B669FE"/>
    <w:rsid w:val="00B66E73"/>
    <w:rsid w:val="00B701DD"/>
    <w:rsid w:val="00B7057F"/>
    <w:rsid w:val="00B7089A"/>
    <w:rsid w:val="00B70B10"/>
    <w:rsid w:val="00B70DF9"/>
    <w:rsid w:val="00B7166D"/>
    <w:rsid w:val="00B71ECE"/>
    <w:rsid w:val="00B75E1B"/>
    <w:rsid w:val="00B75F78"/>
    <w:rsid w:val="00B7727E"/>
    <w:rsid w:val="00B80E98"/>
    <w:rsid w:val="00B815CD"/>
    <w:rsid w:val="00B83203"/>
    <w:rsid w:val="00B835D7"/>
    <w:rsid w:val="00B836BE"/>
    <w:rsid w:val="00B8371B"/>
    <w:rsid w:val="00B843AE"/>
    <w:rsid w:val="00B848E8"/>
    <w:rsid w:val="00B84FF5"/>
    <w:rsid w:val="00B85F95"/>
    <w:rsid w:val="00B86E1B"/>
    <w:rsid w:val="00B8796C"/>
    <w:rsid w:val="00B90D2D"/>
    <w:rsid w:val="00B914B0"/>
    <w:rsid w:val="00B914C7"/>
    <w:rsid w:val="00B9253A"/>
    <w:rsid w:val="00B9267B"/>
    <w:rsid w:val="00B930BA"/>
    <w:rsid w:val="00B9375C"/>
    <w:rsid w:val="00B93F44"/>
    <w:rsid w:val="00B94189"/>
    <w:rsid w:val="00B94705"/>
    <w:rsid w:val="00B94CB3"/>
    <w:rsid w:val="00B96163"/>
    <w:rsid w:val="00B9789D"/>
    <w:rsid w:val="00B97BA5"/>
    <w:rsid w:val="00BA01BA"/>
    <w:rsid w:val="00BA1A79"/>
    <w:rsid w:val="00BA1EFA"/>
    <w:rsid w:val="00BA3C6D"/>
    <w:rsid w:val="00BA5254"/>
    <w:rsid w:val="00BA691C"/>
    <w:rsid w:val="00BA7C4C"/>
    <w:rsid w:val="00BB0745"/>
    <w:rsid w:val="00BB1F14"/>
    <w:rsid w:val="00BB2869"/>
    <w:rsid w:val="00BB37BE"/>
    <w:rsid w:val="00BB3DBA"/>
    <w:rsid w:val="00BB4538"/>
    <w:rsid w:val="00BB454E"/>
    <w:rsid w:val="00BB4E68"/>
    <w:rsid w:val="00BB71E7"/>
    <w:rsid w:val="00BB7684"/>
    <w:rsid w:val="00BB7894"/>
    <w:rsid w:val="00BB7F43"/>
    <w:rsid w:val="00BC0DC7"/>
    <w:rsid w:val="00BC2FAA"/>
    <w:rsid w:val="00BC5135"/>
    <w:rsid w:val="00BC5237"/>
    <w:rsid w:val="00BC56BF"/>
    <w:rsid w:val="00BC64F9"/>
    <w:rsid w:val="00BC7887"/>
    <w:rsid w:val="00BD0C40"/>
    <w:rsid w:val="00BD2B1E"/>
    <w:rsid w:val="00BD359C"/>
    <w:rsid w:val="00BD3D23"/>
    <w:rsid w:val="00BD5F1E"/>
    <w:rsid w:val="00BD67AE"/>
    <w:rsid w:val="00BD6E13"/>
    <w:rsid w:val="00BE12A0"/>
    <w:rsid w:val="00BE14C2"/>
    <w:rsid w:val="00BE1AFB"/>
    <w:rsid w:val="00BE1B77"/>
    <w:rsid w:val="00BE1EBD"/>
    <w:rsid w:val="00BE3574"/>
    <w:rsid w:val="00BE35CE"/>
    <w:rsid w:val="00BE3CF9"/>
    <w:rsid w:val="00BE4881"/>
    <w:rsid w:val="00BE6F52"/>
    <w:rsid w:val="00BE713E"/>
    <w:rsid w:val="00BE71C9"/>
    <w:rsid w:val="00BE7499"/>
    <w:rsid w:val="00BE7BBC"/>
    <w:rsid w:val="00BF014F"/>
    <w:rsid w:val="00BF0791"/>
    <w:rsid w:val="00BF0855"/>
    <w:rsid w:val="00BF2637"/>
    <w:rsid w:val="00BF4496"/>
    <w:rsid w:val="00BF4B11"/>
    <w:rsid w:val="00BF5006"/>
    <w:rsid w:val="00BF523E"/>
    <w:rsid w:val="00BF5774"/>
    <w:rsid w:val="00BF5E8A"/>
    <w:rsid w:val="00BF6636"/>
    <w:rsid w:val="00BF7042"/>
    <w:rsid w:val="00C00D5F"/>
    <w:rsid w:val="00C01855"/>
    <w:rsid w:val="00C01AA1"/>
    <w:rsid w:val="00C039E2"/>
    <w:rsid w:val="00C03FFC"/>
    <w:rsid w:val="00C05E1D"/>
    <w:rsid w:val="00C05F52"/>
    <w:rsid w:val="00C0684A"/>
    <w:rsid w:val="00C06F06"/>
    <w:rsid w:val="00C07ADD"/>
    <w:rsid w:val="00C10491"/>
    <w:rsid w:val="00C1095D"/>
    <w:rsid w:val="00C10B6C"/>
    <w:rsid w:val="00C11F64"/>
    <w:rsid w:val="00C1263A"/>
    <w:rsid w:val="00C1345B"/>
    <w:rsid w:val="00C14457"/>
    <w:rsid w:val="00C14ABA"/>
    <w:rsid w:val="00C1505A"/>
    <w:rsid w:val="00C15951"/>
    <w:rsid w:val="00C1679E"/>
    <w:rsid w:val="00C16AB8"/>
    <w:rsid w:val="00C17B78"/>
    <w:rsid w:val="00C2063A"/>
    <w:rsid w:val="00C207F5"/>
    <w:rsid w:val="00C21399"/>
    <w:rsid w:val="00C22216"/>
    <w:rsid w:val="00C22E80"/>
    <w:rsid w:val="00C24801"/>
    <w:rsid w:val="00C261A3"/>
    <w:rsid w:val="00C300E7"/>
    <w:rsid w:val="00C31184"/>
    <w:rsid w:val="00C327C0"/>
    <w:rsid w:val="00C3326B"/>
    <w:rsid w:val="00C33345"/>
    <w:rsid w:val="00C33547"/>
    <w:rsid w:val="00C3375C"/>
    <w:rsid w:val="00C34D99"/>
    <w:rsid w:val="00C362D7"/>
    <w:rsid w:val="00C37AF4"/>
    <w:rsid w:val="00C37B5B"/>
    <w:rsid w:val="00C37E77"/>
    <w:rsid w:val="00C449CA"/>
    <w:rsid w:val="00C4520B"/>
    <w:rsid w:val="00C452A5"/>
    <w:rsid w:val="00C45EC7"/>
    <w:rsid w:val="00C47079"/>
    <w:rsid w:val="00C473D0"/>
    <w:rsid w:val="00C501EA"/>
    <w:rsid w:val="00C5034D"/>
    <w:rsid w:val="00C50D2D"/>
    <w:rsid w:val="00C5133A"/>
    <w:rsid w:val="00C514F5"/>
    <w:rsid w:val="00C52087"/>
    <w:rsid w:val="00C52491"/>
    <w:rsid w:val="00C52F3E"/>
    <w:rsid w:val="00C53EBA"/>
    <w:rsid w:val="00C54777"/>
    <w:rsid w:val="00C55254"/>
    <w:rsid w:val="00C56348"/>
    <w:rsid w:val="00C5676D"/>
    <w:rsid w:val="00C56DA8"/>
    <w:rsid w:val="00C56EC1"/>
    <w:rsid w:val="00C57136"/>
    <w:rsid w:val="00C574E2"/>
    <w:rsid w:val="00C609BE"/>
    <w:rsid w:val="00C62187"/>
    <w:rsid w:val="00C63CB4"/>
    <w:rsid w:val="00C6438C"/>
    <w:rsid w:val="00C64C80"/>
    <w:rsid w:val="00C66DA0"/>
    <w:rsid w:val="00C709F7"/>
    <w:rsid w:val="00C70CA4"/>
    <w:rsid w:val="00C71C1B"/>
    <w:rsid w:val="00C72A62"/>
    <w:rsid w:val="00C72D7A"/>
    <w:rsid w:val="00C749CC"/>
    <w:rsid w:val="00C74BF4"/>
    <w:rsid w:val="00C75209"/>
    <w:rsid w:val="00C7651B"/>
    <w:rsid w:val="00C765B8"/>
    <w:rsid w:val="00C76CA6"/>
    <w:rsid w:val="00C7784C"/>
    <w:rsid w:val="00C80079"/>
    <w:rsid w:val="00C800EC"/>
    <w:rsid w:val="00C81245"/>
    <w:rsid w:val="00C82427"/>
    <w:rsid w:val="00C8246A"/>
    <w:rsid w:val="00C8425F"/>
    <w:rsid w:val="00C84A30"/>
    <w:rsid w:val="00C84B39"/>
    <w:rsid w:val="00C87C6A"/>
    <w:rsid w:val="00C91FAF"/>
    <w:rsid w:val="00C92255"/>
    <w:rsid w:val="00C92A5E"/>
    <w:rsid w:val="00C92D5D"/>
    <w:rsid w:val="00C93193"/>
    <w:rsid w:val="00C94C84"/>
    <w:rsid w:val="00C960E8"/>
    <w:rsid w:val="00C96A8E"/>
    <w:rsid w:val="00C9793D"/>
    <w:rsid w:val="00CA0C43"/>
    <w:rsid w:val="00CA1E38"/>
    <w:rsid w:val="00CA3104"/>
    <w:rsid w:val="00CA3125"/>
    <w:rsid w:val="00CA327B"/>
    <w:rsid w:val="00CA45D0"/>
    <w:rsid w:val="00CA5320"/>
    <w:rsid w:val="00CA5BE7"/>
    <w:rsid w:val="00CA6612"/>
    <w:rsid w:val="00CA6973"/>
    <w:rsid w:val="00CA6DDA"/>
    <w:rsid w:val="00CA7122"/>
    <w:rsid w:val="00CB0B78"/>
    <w:rsid w:val="00CB2001"/>
    <w:rsid w:val="00CB4DA5"/>
    <w:rsid w:val="00CB5C26"/>
    <w:rsid w:val="00CB5CA4"/>
    <w:rsid w:val="00CB5D24"/>
    <w:rsid w:val="00CB6643"/>
    <w:rsid w:val="00CB6CBF"/>
    <w:rsid w:val="00CB70D9"/>
    <w:rsid w:val="00CC0217"/>
    <w:rsid w:val="00CC044D"/>
    <w:rsid w:val="00CC12A9"/>
    <w:rsid w:val="00CC2407"/>
    <w:rsid w:val="00CC2964"/>
    <w:rsid w:val="00CC2B4B"/>
    <w:rsid w:val="00CC35E9"/>
    <w:rsid w:val="00CC405C"/>
    <w:rsid w:val="00CC42FC"/>
    <w:rsid w:val="00CC4BE8"/>
    <w:rsid w:val="00CC53F5"/>
    <w:rsid w:val="00CC55A4"/>
    <w:rsid w:val="00CC5AC3"/>
    <w:rsid w:val="00CC5EE5"/>
    <w:rsid w:val="00CC739C"/>
    <w:rsid w:val="00CC7D71"/>
    <w:rsid w:val="00CD0AB8"/>
    <w:rsid w:val="00CD0B23"/>
    <w:rsid w:val="00CD1512"/>
    <w:rsid w:val="00CD19D3"/>
    <w:rsid w:val="00CD346E"/>
    <w:rsid w:val="00CD3B9A"/>
    <w:rsid w:val="00CD3D8F"/>
    <w:rsid w:val="00CD3E6B"/>
    <w:rsid w:val="00CD455C"/>
    <w:rsid w:val="00CD4AA4"/>
    <w:rsid w:val="00CD6393"/>
    <w:rsid w:val="00CD6529"/>
    <w:rsid w:val="00CD7FB9"/>
    <w:rsid w:val="00CE002D"/>
    <w:rsid w:val="00CE04A6"/>
    <w:rsid w:val="00CE094B"/>
    <w:rsid w:val="00CE1080"/>
    <w:rsid w:val="00CE12D4"/>
    <w:rsid w:val="00CE1707"/>
    <w:rsid w:val="00CE185E"/>
    <w:rsid w:val="00CE1BC8"/>
    <w:rsid w:val="00CE2C3A"/>
    <w:rsid w:val="00CE3AED"/>
    <w:rsid w:val="00CE3D91"/>
    <w:rsid w:val="00CE43DF"/>
    <w:rsid w:val="00CE51AB"/>
    <w:rsid w:val="00CE5596"/>
    <w:rsid w:val="00CE73C3"/>
    <w:rsid w:val="00CF2F6D"/>
    <w:rsid w:val="00CF4F1B"/>
    <w:rsid w:val="00CF54BA"/>
    <w:rsid w:val="00CF5974"/>
    <w:rsid w:val="00CF611C"/>
    <w:rsid w:val="00CF6CDB"/>
    <w:rsid w:val="00D0127C"/>
    <w:rsid w:val="00D014B6"/>
    <w:rsid w:val="00D027FF"/>
    <w:rsid w:val="00D02FCA"/>
    <w:rsid w:val="00D0315B"/>
    <w:rsid w:val="00D03EF4"/>
    <w:rsid w:val="00D04409"/>
    <w:rsid w:val="00D04FE2"/>
    <w:rsid w:val="00D0555E"/>
    <w:rsid w:val="00D0628B"/>
    <w:rsid w:val="00D06A88"/>
    <w:rsid w:val="00D072D2"/>
    <w:rsid w:val="00D0745B"/>
    <w:rsid w:val="00D07E2A"/>
    <w:rsid w:val="00D10F0F"/>
    <w:rsid w:val="00D1108B"/>
    <w:rsid w:val="00D12A5F"/>
    <w:rsid w:val="00D12AA5"/>
    <w:rsid w:val="00D12ABC"/>
    <w:rsid w:val="00D12DD3"/>
    <w:rsid w:val="00D14305"/>
    <w:rsid w:val="00D15210"/>
    <w:rsid w:val="00D170E0"/>
    <w:rsid w:val="00D20B24"/>
    <w:rsid w:val="00D20E01"/>
    <w:rsid w:val="00D2123B"/>
    <w:rsid w:val="00D219FF"/>
    <w:rsid w:val="00D223F7"/>
    <w:rsid w:val="00D23AD7"/>
    <w:rsid w:val="00D24039"/>
    <w:rsid w:val="00D2435E"/>
    <w:rsid w:val="00D25569"/>
    <w:rsid w:val="00D259F0"/>
    <w:rsid w:val="00D26871"/>
    <w:rsid w:val="00D27D24"/>
    <w:rsid w:val="00D30854"/>
    <w:rsid w:val="00D310D9"/>
    <w:rsid w:val="00D31DA0"/>
    <w:rsid w:val="00D31FDF"/>
    <w:rsid w:val="00D34E38"/>
    <w:rsid w:val="00D35651"/>
    <w:rsid w:val="00D36625"/>
    <w:rsid w:val="00D369D8"/>
    <w:rsid w:val="00D36C5B"/>
    <w:rsid w:val="00D36E95"/>
    <w:rsid w:val="00D37F3A"/>
    <w:rsid w:val="00D37FDE"/>
    <w:rsid w:val="00D40E23"/>
    <w:rsid w:val="00D40F04"/>
    <w:rsid w:val="00D41356"/>
    <w:rsid w:val="00D414DE"/>
    <w:rsid w:val="00D43C48"/>
    <w:rsid w:val="00D44112"/>
    <w:rsid w:val="00D4471C"/>
    <w:rsid w:val="00D4500B"/>
    <w:rsid w:val="00D456FE"/>
    <w:rsid w:val="00D4580D"/>
    <w:rsid w:val="00D46107"/>
    <w:rsid w:val="00D478F2"/>
    <w:rsid w:val="00D50787"/>
    <w:rsid w:val="00D507E5"/>
    <w:rsid w:val="00D5098A"/>
    <w:rsid w:val="00D50D60"/>
    <w:rsid w:val="00D51976"/>
    <w:rsid w:val="00D51D32"/>
    <w:rsid w:val="00D54B2A"/>
    <w:rsid w:val="00D559A6"/>
    <w:rsid w:val="00D56E06"/>
    <w:rsid w:val="00D576E7"/>
    <w:rsid w:val="00D61413"/>
    <w:rsid w:val="00D61D4E"/>
    <w:rsid w:val="00D61E97"/>
    <w:rsid w:val="00D67E33"/>
    <w:rsid w:val="00D70436"/>
    <w:rsid w:val="00D70515"/>
    <w:rsid w:val="00D7186F"/>
    <w:rsid w:val="00D7188C"/>
    <w:rsid w:val="00D71F58"/>
    <w:rsid w:val="00D722F6"/>
    <w:rsid w:val="00D72FC7"/>
    <w:rsid w:val="00D73AFF"/>
    <w:rsid w:val="00D73CAC"/>
    <w:rsid w:val="00D758DB"/>
    <w:rsid w:val="00D76614"/>
    <w:rsid w:val="00D76615"/>
    <w:rsid w:val="00D769DB"/>
    <w:rsid w:val="00D76DCE"/>
    <w:rsid w:val="00D77474"/>
    <w:rsid w:val="00D77A36"/>
    <w:rsid w:val="00D8032E"/>
    <w:rsid w:val="00D80712"/>
    <w:rsid w:val="00D815E6"/>
    <w:rsid w:val="00D81D97"/>
    <w:rsid w:val="00D83BAF"/>
    <w:rsid w:val="00D84C84"/>
    <w:rsid w:val="00D84E4B"/>
    <w:rsid w:val="00D85146"/>
    <w:rsid w:val="00D852AE"/>
    <w:rsid w:val="00D8574D"/>
    <w:rsid w:val="00D85E4F"/>
    <w:rsid w:val="00D86367"/>
    <w:rsid w:val="00D8638E"/>
    <w:rsid w:val="00D86695"/>
    <w:rsid w:val="00D87228"/>
    <w:rsid w:val="00D873FA"/>
    <w:rsid w:val="00D87A33"/>
    <w:rsid w:val="00D90A5C"/>
    <w:rsid w:val="00D91065"/>
    <w:rsid w:val="00D91A6F"/>
    <w:rsid w:val="00D9284D"/>
    <w:rsid w:val="00D93279"/>
    <w:rsid w:val="00D938F1"/>
    <w:rsid w:val="00D93C06"/>
    <w:rsid w:val="00D948BA"/>
    <w:rsid w:val="00D94C34"/>
    <w:rsid w:val="00D95107"/>
    <w:rsid w:val="00D96C66"/>
    <w:rsid w:val="00DA0844"/>
    <w:rsid w:val="00DA0DD0"/>
    <w:rsid w:val="00DA1163"/>
    <w:rsid w:val="00DA1939"/>
    <w:rsid w:val="00DA3651"/>
    <w:rsid w:val="00DA42FA"/>
    <w:rsid w:val="00DA519F"/>
    <w:rsid w:val="00DA58EB"/>
    <w:rsid w:val="00DA5AED"/>
    <w:rsid w:val="00DA7F06"/>
    <w:rsid w:val="00DA7F43"/>
    <w:rsid w:val="00DB0FDD"/>
    <w:rsid w:val="00DB1CC9"/>
    <w:rsid w:val="00DB2062"/>
    <w:rsid w:val="00DB2BF3"/>
    <w:rsid w:val="00DB2E71"/>
    <w:rsid w:val="00DB3BB9"/>
    <w:rsid w:val="00DB3E72"/>
    <w:rsid w:val="00DB49DE"/>
    <w:rsid w:val="00DB4D07"/>
    <w:rsid w:val="00DB4D76"/>
    <w:rsid w:val="00DB4EA6"/>
    <w:rsid w:val="00DB55B8"/>
    <w:rsid w:val="00DB5DC2"/>
    <w:rsid w:val="00DB5EEA"/>
    <w:rsid w:val="00DB60A7"/>
    <w:rsid w:val="00DB699D"/>
    <w:rsid w:val="00DB6F1C"/>
    <w:rsid w:val="00DC04F2"/>
    <w:rsid w:val="00DC0551"/>
    <w:rsid w:val="00DC1026"/>
    <w:rsid w:val="00DC1858"/>
    <w:rsid w:val="00DC21EA"/>
    <w:rsid w:val="00DC307D"/>
    <w:rsid w:val="00DC45A9"/>
    <w:rsid w:val="00DC46FD"/>
    <w:rsid w:val="00DC54B6"/>
    <w:rsid w:val="00DC5CE7"/>
    <w:rsid w:val="00DC6050"/>
    <w:rsid w:val="00DC613B"/>
    <w:rsid w:val="00DC6309"/>
    <w:rsid w:val="00DC7958"/>
    <w:rsid w:val="00DC7A43"/>
    <w:rsid w:val="00DD0C34"/>
    <w:rsid w:val="00DD135F"/>
    <w:rsid w:val="00DD214B"/>
    <w:rsid w:val="00DD3609"/>
    <w:rsid w:val="00DD3EB4"/>
    <w:rsid w:val="00DD4C9E"/>
    <w:rsid w:val="00DD4E46"/>
    <w:rsid w:val="00DD52E4"/>
    <w:rsid w:val="00DD563E"/>
    <w:rsid w:val="00DD5CFF"/>
    <w:rsid w:val="00DD7B59"/>
    <w:rsid w:val="00DE0107"/>
    <w:rsid w:val="00DE1B6A"/>
    <w:rsid w:val="00DE1BC6"/>
    <w:rsid w:val="00DE2702"/>
    <w:rsid w:val="00DE307D"/>
    <w:rsid w:val="00DE3F6A"/>
    <w:rsid w:val="00DE4533"/>
    <w:rsid w:val="00DE4997"/>
    <w:rsid w:val="00DE58D9"/>
    <w:rsid w:val="00DE6542"/>
    <w:rsid w:val="00DE688C"/>
    <w:rsid w:val="00DE6B8B"/>
    <w:rsid w:val="00DE6FFF"/>
    <w:rsid w:val="00DE7059"/>
    <w:rsid w:val="00DF040F"/>
    <w:rsid w:val="00DF05E8"/>
    <w:rsid w:val="00DF08A4"/>
    <w:rsid w:val="00DF15E4"/>
    <w:rsid w:val="00DF4B13"/>
    <w:rsid w:val="00DF4FD7"/>
    <w:rsid w:val="00DF5543"/>
    <w:rsid w:val="00DF65AF"/>
    <w:rsid w:val="00DF6B3A"/>
    <w:rsid w:val="00E00096"/>
    <w:rsid w:val="00E002B9"/>
    <w:rsid w:val="00E0132A"/>
    <w:rsid w:val="00E01AC6"/>
    <w:rsid w:val="00E01E84"/>
    <w:rsid w:val="00E01ED5"/>
    <w:rsid w:val="00E02513"/>
    <w:rsid w:val="00E02D65"/>
    <w:rsid w:val="00E04297"/>
    <w:rsid w:val="00E05371"/>
    <w:rsid w:val="00E06915"/>
    <w:rsid w:val="00E06AB5"/>
    <w:rsid w:val="00E06D27"/>
    <w:rsid w:val="00E1039A"/>
    <w:rsid w:val="00E119FC"/>
    <w:rsid w:val="00E120E2"/>
    <w:rsid w:val="00E12DB1"/>
    <w:rsid w:val="00E13A9E"/>
    <w:rsid w:val="00E13FF6"/>
    <w:rsid w:val="00E1444E"/>
    <w:rsid w:val="00E16C6A"/>
    <w:rsid w:val="00E17266"/>
    <w:rsid w:val="00E173FA"/>
    <w:rsid w:val="00E1781F"/>
    <w:rsid w:val="00E2067B"/>
    <w:rsid w:val="00E213CB"/>
    <w:rsid w:val="00E23954"/>
    <w:rsid w:val="00E23C88"/>
    <w:rsid w:val="00E2459F"/>
    <w:rsid w:val="00E25274"/>
    <w:rsid w:val="00E25689"/>
    <w:rsid w:val="00E25B89"/>
    <w:rsid w:val="00E25CF8"/>
    <w:rsid w:val="00E27111"/>
    <w:rsid w:val="00E27DF9"/>
    <w:rsid w:val="00E300E0"/>
    <w:rsid w:val="00E3074B"/>
    <w:rsid w:val="00E31081"/>
    <w:rsid w:val="00E3122B"/>
    <w:rsid w:val="00E31F27"/>
    <w:rsid w:val="00E32170"/>
    <w:rsid w:val="00E32C09"/>
    <w:rsid w:val="00E33DC3"/>
    <w:rsid w:val="00E3431D"/>
    <w:rsid w:val="00E346F3"/>
    <w:rsid w:val="00E364B6"/>
    <w:rsid w:val="00E36E61"/>
    <w:rsid w:val="00E379CA"/>
    <w:rsid w:val="00E37B2C"/>
    <w:rsid w:val="00E37C81"/>
    <w:rsid w:val="00E402FA"/>
    <w:rsid w:val="00E415C8"/>
    <w:rsid w:val="00E41825"/>
    <w:rsid w:val="00E41A0B"/>
    <w:rsid w:val="00E42920"/>
    <w:rsid w:val="00E432A9"/>
    <w:rsid w:val="00E434C9"/>
    <w:rsid w:val="00E449ED"/>
    <w:rsid w:val="00E45E61"/>
    <w:rsid w:val="00E47A9B"/>
    <w:rsid w:val="00E50550"/>
    <w:rsid w:val="00E50952"/>
    <w:rsid w:val="00E53E59"/>
    <w:rsid w:val="00E54034"/>
    <w:rsid w:val="00E55393"/>
    <w:rsid w:val="00E55C86"/>
    <w:rsid w:val="00E571CA"/>
    <w:rsid w:val="00E5740C"/>
    <w:rsid w:val="00E60548"/>
    <w:rsid w:val="00E60D9C"/>
    <w:rsid w:val="00E623A2"/>
    <w:rsid w:val="00E6258D"/>
    <w:rsid w:val="00E634EC"/>
    <w:rsid w:val="00E636B2"/>
    <w:rsid w:val="00E638B4"/>
    <w:rsid w:val="00E66AF7"/>
    <w:rsid w:val="00E66DCE"/>
    <w:rsid w:val="00E6709E"/>
    <w:rsid w:val="00E6770C"/>
    <w:rsid w:val="00E67C6C"/>
    <w:rsid w:val="00E70BB3"/>
    <w:rsid w:val="00E720F8"/>
    <w:rsid w:val="00E7261D"/>
    <w:rsid w:val="00E726CE"/>
    <w:rsid w:val="00E72EB8"/>
    <w:rsid w:val="00E730BE"/>
    <w:rsid w:val="00E732AB"/>
    <w:rsid w:val="00E73613"/>
    <w:rsid w:val="00E74548"/>
    <w:rsid w:val="00E747ED"/>
    <w:rsid w:val="00E74D0A"/>
    <w:rsid w:val="00E7638C"/>
    <w:rsid w:val="00E76A8A"/>
    <w:rsid w:val="00E8065C"/>
    <w:rsid w:val="00E81833"/>
    <w:rsid w:val="00E81AF2"/>
    <w:rsid w:val="00E81D8B"/>
    <w:rsid w:val="00E81FFF"/>
    <w:rsid w:val="00E8316A"/>
    <w:rsid w:val="00E8571C"/>
    <w:rsid w:val="00E86386"/>
    <w:rsid w:val="00E864FB"/>
    <w:rsid w:val="00E87C13"/>
    <w:rsid w:val="00E908F7"/>
    <w:rsid w:val="00E90C27"/>
    <w:rsid w:val="00E91CA7"/>
    <w:rsid w:val="00E92806"/>
    <w:rsid w:val="00E93F5D"/>
    <w:rsid w:val="00E9414E"/>
    <w:rsid w:val="00E95229"/>
    <w:rsid w:val="00E95747"/>
    <w:rsid w:val="00E95BE9"/>
    <w:rsid w:val="00E96FF8"/>
    <w:rsid w:val="00EA0566"/>
    <w:rsid w:val="00EA13D7"/>
    <w:rsid w:val="00EA18FD"/>
    <w:rsid w:val="00EA1FA3"/>
    <w:rsid w:val="00EA3CA5"/>
    <w:rsid w:val="00EA3CFC"/>
    <w:rsid w:val="00EA42F3"/>
    <w:rsid w:val="00EA4541"/>
    <w:rsid w:val="00EA5CAA"/>
    <w:rsid w:val="00EB03E4"/>
    <w:rsid w:val="00EB0E7A"/>
    <w:rsid w:val="00EB1029"/>
    <w:rsid w:val="00EB30A5"/>
    <w:rsid w:val="00EB328E"/>
    <w:rsid w:val="00EB3FA3"/>
    <w:rsid w:val="00EB4664"/>
    <w:rsid w:val="00EB49C6"/>
    <w:rsid w:val="00EB547F"/>
    <w:rsid w:val="00EB61E4"/>
    <w:rsid w:val="00EB7B7D"/>
    <w:rsid w:val="00EC10CC"/>
    <w:rsid w:val="00EC2652"/>
    <w:rsid w:val="00EC2847"/>
    <w:rsid w:val="00EC3C58"/>
    <w:rsid w:val="00EC46AD"/>
    <w:rsid w:val="00EC4931"/>
    <w:rsid w:val="00EC4AC9"/>
    <w:rsid w:val="00EC4E11"/>
    <w:rsid w:val="00EC6ADE"/>
    <w:rsid w:val="00EC73B8"/>
    <w:rsid w:val="00EC7886"/>
    <w:rsid w:val="00EC7D66"/>
    <w:rsid w:val="00ED0DD3"/>
    <w:rsid w:val="00ED1200"/>
    <w:rsid w:val="00ED1427"/>
    <w:rsid w:val="00ED2FE2"/>
    <w:rsid w:val="00ED3789"/>
    <w:rsid w:val="00ED5929"/>
    <w:rsid w:val="00ED68CB"/>
    <w:rsid w:val="00ED6C4B"/>
    <w:rsid w:val="00ED7019"/>
    <w:rsid w:val="00ED76E2"/>
    <w:rsid w:val="00ED7FA3"/>
    <w:rsid w:val="00EE0B20"/>
    <w:rsid w:val="00EE1A96"/>
    <w:rsid w:val="00EE2524"/>
    <w:rsid w:val="00EE2BB2"/>
    <w:rsid w:val="00EE344F"/>
    <w:rsid w:val="00EE354A"/>
    <w:rsid w:val="00EE3EBC"/>
    <w:rsid w:val="00EE7584"/>
    <w:rsid w:val="00EF00D2"/>
    <w:rsid w:val="00EF0A70"/>
    <w:rsid w:val="00EF22A7"/>
    <w:rsid w:val="00EF335A"/>
    <w:rsid w:val="00EF5EEF"/>
    <w:rsid w:val="00EF6230"/>
    <w:rsid w:val="00EF6C7A"/>
    <w:rsid w:val="00EF7E27"/>
    <w:rsid w:val="00F01273"/>
    <w:rsid w:val="00F01600"/>
    <w:rsid w:val="00F016E3"/>
    <w:rsid w:val="00F01A2F"/>
    <w:rsid w:val="00F0257F"/>
    <w:rsid w:val="00F03BCB"/>
    <w:rsid w:val="00F0731D"/>
    <w:rsid w:val="00F10B45"/>
    <w:rsid w:val="00F122B6"/>
    <w:rsid w:val="00F12752"/>
    <w:rsid w:val="00F12E23"/>
    <w:rsid w:val="00F137A2"/>
    <w:rsid w:val="00F1499A"/>
    <w:rsid w:val="00F14B1D"/>
    <w:rsid w:val="00F15D34"/>
    <w:rsid w:val="00F16196"/>
    <w:rsid w:val="00F16686"/>
    <w:rsid w:val="00F170BB"/>
    <w:rsid w:val="00F17D56"/>
    <w:rsid w:val="00F222F1"/>
    <w:rsid w:val="00F233EE"/>
    <w:rsid w:val="00F23579"/>
    <w:rsid w:val="00F246D0"/>
    <w:rsid w:val="00F24EF1"/>
    <w:rsid w:val="00F30197"/>
    <w:rsid w:val="00F30692"/>
    <w:rsid w:val="00F30D13"/>
    <w:rsid w:val="00F31EFB"/>
    <w:rsid w:val="00F31F55"/>
    <w:rsid w:val="00F31F9B"/>
    <w:rsid w:val="00F322D9"/>
    <w:rsid w:val="00F32C06"/>
    <w:rsid w:val="00F332F4"/>
    <w:rsid w:val="00F33A6B"/>
    <w:rsid w:val="00F347F0"/>
    <w:rsid w:val="00F34885"/>
    <w:rsid w:val="00F350C6"/>
    <w:rsid w:val="00F354FB"/>
    <w:rsid w:val="00F35CAC"/>
    <w:rsid w:val="00F371FD"/>
    <w:rsid w:val="00F375CC"/>
    <w:rsid w:val="00F37BEB"/>
    <w:rsid w:val="00F4010A"/>
    <w:rsid w:val="00F41234"/>
    <w:rsid w:val="00F43067"/>
    <w:rsid w:val="00F433EA"/>
    <w:rsid w:val="00F44215"/>
    <w:rsid w:val="00F448F2"/>
    <w:rsid w:val="00F44C9B"/>
    <w:rsid w:val="00F4638D"/>
    <w:rsid w:val="00F46946"/>
    <w:rsid w:val="00F469F5"/>
    <w:rsid w:val="00F475CF"/>
    <w:rsid w:val="00F47898"/>
    <w:rsid w:val="00F47C09"/>
    <w:rsid w:val="00F5004B"/>
    <w:rsid w:val="00F51D5F"/>
    <w:rsid w:val="00F53F30"/>
    <w:rsid w:val="00F53FD2"/>
    <w:rsid w:val="00F54D5B"/>
    <w:rsid w:val="00F55BF0"/>
    <w:rsid w:val="00F56127"/>
    <w:rsid w:val="00F561D1"/>
    <w:rsid w:val="00F61147"/>
    <w:rsid w:val="00F62A2C"/>
    <w:rsid w:val="00F62BF0"/>
    <w:rsid w:val="00F63D95"/>
    <w:rsid w:val="00F640D7"/>
    <w:rsid w:val="00F652B3"/>
    <w:rsid w:val="00F65D1B"/>
    <w:rsid w:val="00F66960"/>
    <w:rsid w:val="00F673AC"/>
    <w:rsid w:val="00F674D3"/>
    <w:rsid w:val="00F675B9"/>
    <w:rsid w:val="00F703DF"/>
    <w:rsid w:val="00F71713"/>
    <w:rsid w:val="00F743AD"/>
    <w:rsid w:val="00F74B02"/>
    <w:rsid w:val="00F74C91"/>
    <w:rsid w:val="00F74DD9"/>
    <w:rsid w:val="00F76870"/>
    <w:rsid w:val="00F80207"/>
    <w:rsid w:val="00F80841"/>
    <w:rsid w:val="00F8270A"/>
    <w:rsid w:val="00F84127"/>
    <w:rsid w:val="00F845B2"/>
    <w:rsid w:val="00F8480F"/>
    <w:rsid w:val="00F85759"/>
    <w:rsid w:val="00F85D6C"/>
    <w:rsid w:val="00F8712C"/>
    <w:rsid w:val="00F877A0"/>
    <w:rsid w:val="00F90C1C"/>
    <w:rsid w:val="00F90FCF"/>
    <w:rsid w:val="00F931C4"/>
    <w:rsid w:val="00F93389"/>
    <w:rsid w:val="00F9364F"/>
    <w:rsid w:val="00F9618C"/>
    <w:rsid w:val="00F961FB"/>
    <w:rsid w:val="00F963FB"/>
    <w:rsid w:val="00FA179E"/>
    <w:rsid w:val="00FA1A53"/>
    <w:rsid w:val="00FA1A77"/>
    <w:rsid w:val="00FA1E77"/>
    <w:rsid w:val="00FA207E"/>
    <w:rsid w:val="00FA243E"/>
    <w:rsid w:val="00FA2643"/>
    <w:rsid w:val="00FA2DA4"/>
    <w:rsid w:val="00FA3D9E"/>
    <w:rsid w:val="00FA4381"/>
    <w:rsid w:val="00FA48C6"/>
    <w:rsid w:val="00FA5EE5"/>
    <w:rsid w:val="00FA723D"/>
    <w:rsid w:val="00FA7402"/>
    <w:rsid w:val="00FA77D5"/>
    <w:rsid w:val="00FB0826"/>
    <w:rsid w:val="00FB1DA3"/>
    <w:rsid w:val="00FB1DCA"/>
    <w:rsid w:val="00FB345D"/>
    <w:rsid w:val="00FB4F3C"/>
    <w:rsid w:val="00FC019C"/>
    <w:rsid w:val="00FC1655"/>
    <w:rsid w:val="00FC2746"/>
    <w:rsid w:val="00FC27D8"/>
    <w:rsid w:val="00FC4134"/>
    <w:rsid w:val="00FC482C"/>
    <w:rsid w:val="00FC54BF"/>
    <w:rsid w:val="00FC5822"/>
    <w:rsid w:val="00FC5856"/>
    <w:rsid w:val="00FC6B9E"/>
    <w:rsid w:val="00FD005C"/>
    <w:rsid w:val="00FD0755"/>
    <w:rsid w:val="00FD1658"/>
    <w:rsid w:val="00FD1BCB"/>
    <w:rsid w:val="00FD2328"/>
    <w:rsid w:val="00FD2F93"/>
    <w:rsid w:val="00FD309A"/>
    <w:rsid w:val="00FD4296"/>
    <w:rsid w:val="00FD62EC"/>
    <w:rsid w:val="00FD65D6"/>
    <w:rsid w:val="00FD7169"/>
    <w:rsid w:val="00FD78B1"/>
    <w:rsid w:val="00FE0A9C"/>
    <w:rsid w:val="00FE19BC"/>
    <w:rsid w:val="00FE422D"/>
    <w:rsid w:val="00FE43E3"/>
    <w:rsid w:val="00FE4C62"/>
    <w:rsid w:val="00FE7039"/>
    <w:rsid w:val="00FE7F5C"/>
    <w:rsid w:val="00FF049C"/>
    <w:rsid w:val="00FF09E4"/>
    <w:rsid w:val="00FF2916"/>
    <w:rsid w:val="00FF2AD3"/>
    <w:rsid w:val="00FF30B4"/>
    <w:rsid w:val="00FF3E49"/>
    <w:rsid w:val="00FF4121"/>
    <w:rsid w:val="00FF4B62"/>
    <w:rsid w:val="00FF5288"/>
    <w:rsid w:val="00FF54F1"/>
    <w:rsid w:val="00FF7FF6"/>
    <w:rsid w:val="025F4662"/>
    <w:rsid w:val="03534344"/>
    <w:rsid w:val="03A7523D"/>
    <w:rsid w:val="03CA7E34"/>
    <w:rsid w:val="03D772CA"/>
    <w:rsid w:val="05FB38FC"/>
    <w:rsid w:val="06527DBE"/>
    <w:rsid w:val="06995929"/>
    <w:rsid w:val="06F85C1F"/>
    <w:rsid w:val="07D9679E"/>
    <w:rsid w:val="083A31C3"/>
    <w:rsid w:val="099B7A53"/>
    <w:rsid w:val="09CD09CA"/>
    <w:rsid w:val="0A9E273B"/>
    <w:rsid w:val="0B526C20"/>
    <w:rsid w:val="0C717A3C"/>
    <w:rsid w:val="0C7A52B1"/>
    <w:rsid w:val="0D6818F6"/>
    <w:rsid w:val="0DD35011"/>
    <w:rsid w:val="0DF46C86"/>
    <w:rsid w:val="0E8545A4"/>
    <w:rsid w:val="0EC83D35"/>
    <w:rsid w:val="0EF55E1C"/>
    <w:rsid w:val="0F8306C9"/>
    <w:rsid w:val="0FA51A7A"/>
    <w:rsid w:val="0FAC4C5F"/>
    <w:rsid w:val="10095FB9"/>
    <w:rsid w:val="10C439B5"/>
    <w:rsid w:val="10EA5F4D"/>
    <w:rsid w:val="112A4D09"/>
    <w:rsid w:val="11793B33"/>
    <w:rsid w:val="1257443B"/>
    <w:rsid w:val="14636234"/>
    <w:rsid w:val="15EF0E30"/>
    <w:rsid w:val="16CF02F8"/>
    <w:rsid w:val="17017DAD"/>
    <w:rsid w:val="17B635A4"/>
    <w:rsid w:val="188D7F7C"/>
    <w:rsid w:val="19A950CB"/>
    <w:rsid w:val="19E05F5D"/>
    <w:rsid w:val="1AAF4973"/>
    <w:rsid w:val="1B024CAD"/>
    <w:rsid w:val="1B9E37EB"/>
    <w:rsid w:val="1C176C56"/>
    <w:rsid w:val="1C7278BA"/>
    <w:rsid w:val="1CF07E90"/>
    <w:rsid w:val="1E727DCA"/>
    <w:rsid w:val="1EC912B1"/>
    <w:rsid w:val="1EDA66D4"/>
    <w:rsid w:val="1F483D84"/>
    <w:rsid w:val="1FAD22CA"/>
    <w:rsid w:val="20173B56"/>
    <w:rsid w:val="205D2FAF"/>
    <w:rsid w:val="206518AC"/>
    <w:rsid w:val="21511B98"/>
    <w:rsid w:val="22794E74"/>
    <w:rsid w:val="22807A12"/>
    <w:rsid w:val="22AB0E45"/>
    <w:rsid w:val="23333275"/>
    <w:rsid w:val="23524AF0"/>
    <w:rsid w:val="239E50BA"/>
    <w:rsid w:val="24C26602"/>
    <w:rsid w:val="24D52EF9"/>
    <w:rsid w:val="25AA5AC1"/>
    <w:rsid w:val="26A555D5"/>
    <w:rsid w:val="286579D3"/>
    <w:rsid w:val="28932F6E"/>
    <w:rsid w:val="2B1371EE"/>
    <w:rsid w:val="2BE043C0"/>
    <w:rsid w:val="2C812864"/>
    <w:rsid w:val="2D870F06"/>
    <w:rsid w:val="2E432C3C"/>
    <w:rsid w:val="2E67296D"/>
    <w:rsid w:val="2E922324"/>
    <w:rsid w:val="30590C38"/>
    <w:rsid w:val="318E3E99"/>
    <w:rsid w:val="323416CD"/>
    <w:rsid w:val="323F5CDF"/>
    <w:rsid w:val="32A673AD"/>
    <w:rsid w:val="34B328FE"/>
    <w:rsid w:val="3545368B"/>
    <w:rsid w:val="35B73246"/>
    <w:rsid w:val="36094AB9"/>
    <w:rsid w:val="36817536"/>
    <w:rsid w:val="3724153A"/>
    <w:rsid w:val="372579D7"/>
    <w:rsid w:val="372F1AB9"/>
    <w:rsid w:val="37F66D1F"/>
    <w:rsid w:val="38311A11"/>
    <w:rsid w:val="38C131B9"/>
    <w:rsid w:val="399A52DC"/>
    <w:rsid w:val="3AC547C8"/>
    <w:rsid w:val="3B1F775B"/>
    <w:rsid w:val="3B4404AC"/>
    <w:rsid w:val="3B95474A"/>
    <w:rsid w:val="3BAC00BF"/>
    <w:rsid w:val="3C4A5A15"/>
    <w:rsid w:val="3C9963E7"/>
    <w:rsid w:val="3F4C3465"/>
    <w:rsid w:val="40253E77"/>
    <w:rsid w:val="40B8624C"/>
    <w:rsid w:val="40D61428"/>
    <w:rsid w:val="40DC6C85"/>
    <w:rsid w:val="40FC0C2D"/>
    <w:rsid w:val="4160226E"/>
    <w:rsid w:val="4176524B"/>
    <w:rsid w:val="4281714D"/>
    <w:rsid w:val="43492792"/>
    <w:rsid w:val="43611DF7"/>
    <w:rsid w:val="437B6846"/>
    <w:rsid w:val="438C7FC7"/>
    <w:rsid w:val="43971A1A"/>
    <w:rsid w:val="44997132"/>
    <w:rsid w:val="44D73119"/>
    <w:rsid w:val="454C432F"/>
    <w:rsid w:val="45C44203"/>
    <w:rsid w:val="460B1C19"/>
    <w:rsid w:val="47960B96"/>
    <w:rsid w:val="479A0213"/>
    <w:rsid w:val="48B224D2"/>
    <w:rsid w:val="497929AE"/>
    <w:rsid w:val="49D95A46"/>
    <w:rsid w:val="49E05308"/>
    <w:rsid w:val="4A3177AD"/>
    <w:rsid w:val="4A4C6405"/>
    <w:rsid w:val="4B633548"/>
    <w:rsid w:val="4C114B3A"/>
    <w:rsid w:val="4CA24E44"/>
    <w:rsid w:val="4CA617B7"/>
    <w:rsid w:val="4CEF6FC4"/>
    <w:rsid w:val="4D09093E"/>
    <w:rsid w:val="4EEE5F81"/>
    <w:rsid w:val="4F3B28B6"/>
    <w:rsid w:val="4F453C24"/>
    <w:rsid w:val="50FE28B5"/>
    <w:rsid w:val="51346849"/>
    <w:rsid w:val="51A434B4"/>
    <w:rsid w:val="51B412AD"/>
    <w:rsid w:val="52CD3E47"/>
    <w:rsid w:val="53126F17"/>
    <w:rsid w:val="535A19DF"/>
    <w:rsid w:val="538928BA"/>
    <w:rsid w:val="554C23F2"/>
    <w:rsid w:val="56576BE6"/>
    <w:rsid w:val="567B3098"/>
    <w:rsid w:val="56DB2D3D"/>
    <w:rsid w:val="570B5291"/>
    <w:rsid w:val="575257E6"/>
    <w:rsid w:val="57FB302E"/>
    <w:rsid w:val="584F3B43"/>
    <w:rsid w:val="58F725C8"/>
    <w:rsid w:val="5B3B342F"/>
    <w:rsid w:val="5BEF2BF4"/>
    <w:rsid w:val="5C180C7F"/>
    <w:rsid w:val="5CA02809"/>
    <w:rsid w:val="5CC215DB"/>
    <w:rsid w:val="5D6A39BB"/>
    <w:rsid w:val="5F9961D1"/>
    <w:rsid w:val="5FD96008"/>
    <w:rsid w:val="603A1480"/>
    <w:rsid w:val="6119551C"/>
    <w:rsid w:val="61B55B3A"/>
    <w:rsid w:val="62460820"/>
    <w:rsid w:val="63613EF3"/>
    <w:rsid w:val="64D8590E"/>
    <w:rsid w:val="6544522E"/>
    <w:rsid w:val="658C4B81"/>
    <w:rsid w:val="65931D05"/>
    <w:rsid w:val="65D15AA6"/>
    <w:rsid w:val="65DF0A5F"/>
    <w:rsid w:val="6623665B"/>
    <w:rsid w:val="663B1BDE"/>
    <w:rsid w:val="67A1708C"/>
    <w:rsid w:val="687A6FF6"/>
    <w:rsid w:val="69136070"/>
    <w:rsid w:val="695A507F"/>
    <w:rsid w:val="6B292C47"/>
    <w:rsid w:val="6C2671A9"/>
    <w:rsid w:val="6C3F59AC"/>
    <w:rsid w:val="6C6B1932"/>
    <w:rsid w:val="6D704E2C"/>
    <w:rsid w:val="6D7E02AC"/>
    <w:rsid w:val="6F086931"/>
    <w:rsid w:val="6F893BFC"/>
    <w:rsid w:val="714D11CB"/>
    <w:rsid w:val="71D82B38"/>
    <w:rsid w:val="720025AC"/>
    <w:rsid w:val="72182491"/>
    <w:rsid w:val="731B2636"/>
    <w:rsid w:val="74FE7AD9"/>
    <w:rsid w:val="751C5F26"/>
    <w:rsid w:val="769D3E02"/>
    <w:rsid w:val="76C15A1E"/>
    <w:rsid w:val="77A92F8D"/>
    <w:rsid w:val="78623556"/>
    <w:rsid w:val="788543C8"/>
    <w:rsid w:val="789F7371"/>
    <w:rsid w:val="791F4753"/>
    <w:rsid w:val="7A4C3CDE"/>
    <w:rsid w:val="7ABC2A76"/>
    <w:rsid w:val="7B2E304A"/>
    <w:rsid w:val="7B8007D7"/>
    <w:rsid w:val="7B815E63"/>
    <w:rsid w:val="7BA31E86"/>
    <w:rsid w:val="7BD1545A"/>
    <w:rsid w:val="7BEE0317"/>
    <w:rsid w:val="7C1A20B6"/>
    <w:rsid w:val="7CD34718"/>
    <w:rsid w:val="7D653B61"/>
    <w:rsid w:val="7E27526D"/>
    <w:rsid w:val="7E4860EB"/>
    <w:rsid w:val="7F423594"/>
    <w:rsid w:val="7FAF03E8"/>
    <w:rsid w:val="7FE12F6E"/>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semiHidden="0" w:name="heading 2"/>
    <w:lsdException w:qFormat="1" w:uiPriority="9" w:semiHidden="0" w:name="heading 3"/>
    <w:lsdException w:qFormat="1" w:uiPriority="9" w:name="heading 4"/>
    <w:lsdException w:qFormat="1" w:unhideWhenUsed="0" w:uiPriority="1" w:semiHidden="0"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uiPriority="39" w:name="toc 4"/>
    <w:lsdException w:uiPriority="39" w:name="toc 5"/>
    <w:lsdException w:uiPriority="39" w:name="toc 6"/>
    <w:lsdException w:uiPriority="39" w:name="toc 7"/>
    <w:lsdException w:uiPriority="39" w:name="toc 8"/>
    <w:lsdException w:uiPriority="39" w:name="toc 9"/>
    <w:lsdException w:qFormat="1" w:unhideWhenUsed="0" w:uiPriority="0" w:semiHidden="0" w:name="Normal Indent"/>
    <w:lsdException w:uiPriority="99" w:name="footnote text"/>
    <w:lsdException w:qFormat="1" w:uiPriority="99" w:semiHidden="0" w:name="annotation text"/>
    <w:lsdException w:qFormat="1" w:uiPriority="99" w:semiHidden="0" w:name="header"/>
    <w:lsdException w:qFormat="1" w:uiPriority="0" w:semiHidden="0" w:name="footer"/>
    <w:lsdException w:uiPriority="99" w:name="index heading"/>
    <w:lsdException w:qFormat="1" w:unhideWhenUsed="0" w:uiPriority="0" w:semiHidden="0"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qFormat="1" w:unhideWhenUsed="0" w:uiPriority="0" w:semiHidden="0"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qFormat="1" w:uiPriority="99" w:semiHidden="0" w:name="Body Text First Indent"/>
    <w:lsdException w:qFormat="1" w:uiPriority="99" w:semiHidden="0" w:name="Body Text First Indent 2"/>
    <w:lsdException w:uiPriority="99" w:name="Note Heading"/>
    <w:lsdException w:qFormat="1" w:uiPriority="99" w:name="Body Text 2"/>
    <w:lsdException w:uiPriority="99" w:name="Body Text 3"/>
    <w:lsdException w:qFormat="1" w:unhideWhenUsed="0" w:uiPriority="0" w:semiHidden="0" w:name="Body Text Indent 2"/>
    <w:lsdException w:uiPriority="99" w:name="Body Text Indent 3"/>
    <w:lsdException w:uiPriority="99" w:name="Block Text"/>
    <w:lsdException w:qFormat="1" w:unhideWhenUsed="0" w:uiPriority="99" w:semiHidden="0" w:name="Hyperlink"/>
    <w:lsdException w:uiPriority="99" w:name="FollowedHyperlink"/>
    <w:lsdException w:qFormat="1" w:unhideWhenUsed="0" w:uiPriority="22" w:semiHidden="0" w:name="Strong"/>
    <w:lsdException w:qFormat="1" w:unhideWhenUsed="0" w:uiPriority="20" w:semiHidden="0" w:name="Emphasis"/>
    <w:lsdException w:qFormat="1" w:uiPriority="99" w:semiHidden="0" w:name="Document Map"/>
    <w:lsdException w:qFormat="1" w:unhideWhenUsed="0" w:uiPriority="99" w:semiHidden="0"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spacing w:line="500" w:lineRule="exact"/>
    </w:pPr>
    <w:rPr>
      <w:rFonts w:ascii="Times New Roman" w:hAnsi="Times New Roman" w:eastAsia="宋体" w:cs="Times New Roman"/>
      <w:kern w:val="2"/>
      <w:sz w:val="24"/>
      <w:lang w:val="en-US" w:eastAsia="zh-CN" w:bidi="ar-SA"/>
    </w:rPr>
  </w:style>
  <w:style w:type="paragraph" w:styleId="3">
    <w:name w:val="heading 1"/>
    <w:basedOn w:val="1"/>
    <w:next w:val="1"/>
    <w:link w:val="38"/>
    <w:qFormat/>
    <w:uiPriority w:val="0"/>
    <w:pPr>
      <w:keepNext/>
      <w:spacing w:beforeLines="50" w:afterLines="50" w:line="440" w:lineRule="exact"/>
      <w:jc w:val="center"/>
      <w:outlineLvl w:val="0"/>
    </w:pPr>
    <w:rPr>
      <w:rFonts w:ascii="宋体" w:hAnsi="宋体"/>
      <w:b/>
      <w:bCs/>
      <w:sz w:val="32"/>
    </w:rPr>
  </w:style>
  <w:style w:type="paragraph" w:styleId="4">
    <w:name w:val="heading 2"/>
    <w:basedOn w:val="1"/>
    <w:next w:val="1"/>
    <w:link w:val="40"/>
    <w:unhideWhenUsed/>
    <w:qFormat/>
    <w:uiPriority w:val="9"/>
    <w:pPr>
      <w:keepNext/>
      <w:keepLines/>
      <w:spacing w:after="120" w:line="460" w:lineRule="exact"/>
      <w:jc w:val="center"/>
      <w:outlineLvl w:val="1"/>
    </w:pPr>
    <w:rPr>
      <w:rFonts w:ascii="宋体" w:hAnsi="宋体" w:cstheme="majorBidi"/>
      <w:b/>
      <w:bCs/>
      <w:sz w:val="30"/>
      <w:szCs w:val="30"/>
    </w:rPr>
  </w:style>
  <w:style w:type="paragraph" w:styleId="5">
    <w:name w:val="heading 3"/>
    <w:basedOn w:val="1"/>
    <w:next w:val="1"/>
    <w:link w:val="59"/>
    <w:unhideWhenUsed/>
    <w:qFormat/>
    <w:uiPriority w:val="9"/>
    <w:pPr>
      <w:keepNext/>
      <w:keepLines/>
      <w:outlineLvl w:val="2"/>
    </w:pPr>
    <w:rPr>
      <w:rFonts w:ascii="宋体" w:hAnsi="宋体"/>
      <w:b/>
      <w:szCs w:val="24"/>
    </w:rPr>
  </w:style>
  <w:style w:type="paragraph" w:styleId="6">
    <w:name w:val="heading 5"/>
    <w:basedOn w:val="1"/>
    <w:next w:val="1"/>
    <w:qFormat/>
    <w:uiPriority w:val="1"/>
    <w:pPr>
      <w:ind w:left="877"/>
      <w:outlineLvl w:val="4"/>
    </w:pPr>
    <w:rPr>
      <w:rFonts w:ascii="仿宋" w:hAnsi="仿宋" w:eastAsia="仿宋" w:cs="仿宋"/>
      <w:b/>
      <w:bCs/>
      <w:szCs w:val="24"/>
      <w:lang w:val="zh-CN" w:bidi="zh-CN"/>
    </w:rPr>
  </w:style>
  <w:style w:type="character" w:default="1" w:styleId="29">
    <w:name w:val="Default Paragraph Font"/>
    <w:semiHidden/>
    <w:unhideWhenUsed/>
    <w:qFormat/>
    <w:uiPriority w:val="1"/>
  </w:style>
  <w:style w:type="table" w:default="1" w:styleId="27">
    <w:name w:val="Normal Table"/>
    <w:semiHidden/>
    <w:unhideWhenUsed/>
    <w:qFormat/>
    <w:uiPriority w:val="99"/>
    <w:tblPr>
      <w:tblCellMar>
        <w:top w:w="0" w:type="dxa"/>
        <w:left w:w="108" w:type="dxa"/>
        <w:bottom w:w="0" w:type="dxa"/>
        <w:right w:w="108" w:type="dxa"/>
      </w:tblCellMar>
    </w:tblPr>
  </w:style>
  <w:style w:type="paragraph" w:styleId="2">
    <w:name w:val="Normal Indent"/>
    <w:basedOn w:val="1"/>
    <w:qFormat/>
    <w:uiPriority w:val="0"/>
    <w:pPr>
      <w:autoSpaceDE w:val="0"/>
      <w:autoSpaceDN w:val="0"/>
      <w:adjustRightInd w:val="0"/>
      <w:ind w:firstLine="420"/>
    </w:pPr>
    <w:rPr>
      <w:rFonts w:ascii="宋体"/>
      <w:kern w:val="0"/>
    </w:rPr>
  </w:style>
  <w:style w:type="paragraph" w:styleId="7">
    <w:name w:val="caption"/>
    <w:basedOn w:val="1"/>
    <w:next w:val="1"/>
    <w:qFormat/>
    <w:uiPriority w:val="0"/>
    <w:pPr>
      <w:ind w:firstLine="129" w:firstLineChars="46"/>
    </w:pPr>
    <w:rPr>
      <w:rFonts w:ascii="黑体" w:hAnsi="黑体" w:eastAsia="黑体"/>
      <w:b/>
      <w:sz w:val="28"/>
      <w:szCs w:val="28"/>
    </w:rPr>
  </w:style>
  <w:style w:type="paragraph" w:styleId="8">
    <w:name w:val="Document Map"/>
    <w:basedOn w:val="1"/>
    <w:link w:val="55"/>
    <w:unhideWhenUsed/>
    <w:qFormat/>
    <w:uiPriority w:val="99"/>
    <w:pPr>
      <w:spacing w:line="240" w:lineRule="auto"/>
      <w:jc w:val="both"/>
    </w:pPr>
    <w:rPr>
      <w:rFonts w:ascii="宋体"/>
      <w:sz w:val="18"/>
      <w:szCs w:val="18"/>
    </w:rPr>
  </w:style>
  <w:style w:type="paragraph" w:styleId="9">
    <w:name w:val="annotation text"/>
    <w:basedOn w:val="1"/>
    <w:link w:val="48"/>
    <w:unhideWhenUsed/>
    <w:qFormat/>
    <w:uiPriority w:val="99"/>
  </w:style>
  <w:style w:type="paragraph" w:styleId="10">
    <w:name w:val="Body Text"/>
    <w:basedOn w:val="1"/>
    <w:link w:val="71"/>
    <w:unhideWhenUsed/>
    <w:qFormat/>
    <w:uiPriority w:val="0"/>
    <w:pPr>
      <w:spacing w:after="60"/>
      <w:ind w:left="72" w:leftChars="30" w:right="72" w:rightChars="30"/>
      <w:jc w:val="center"/>
    </w:pPr>
  </w:style>
  <w:style w:type="paragraph" w:styleId="11">
    <w:name w:val="Body Text Indent"/>
    <w:basedOn w:val="1"/>
    <w:link w:val="58"/>
    <w:qFormat/>
    <w:uiPriority w:val="0"/>
    <w:pPr>
      <w:spacing w:after="120" w:line="240" w:lineRule="auto"/>
      <w:ind w:left="420" w:leftChars="200"/>
      <w:jc w:val="both"/>
    </w:pPr>
  </w:style>
  <w:style w:type="paragraph" w:styleId="12">
    <w:name w:val="toc 3"/>
    <w:basedOn w:val="1"/>
    <w:next w:val="1"/>
    <w:unhideWhenUsed/>
    <w:qFormat/>
    <w:uiPriority w:val="39"/>
    <w:pPr>
      <w:tabs>
        <w:tab w:val="right" w:leader="dot" w:pos="9403"/>
      </w:tabs>
      <w:spacing w:line="460" w:lineRule="exact"/>
      <w:ind w:left="566" w:leftChars="236"/>
    </w:pPr>
  </w:style>
  <w:style w:type="paragraph" w:styleId="13">
    <w:name w:val="Plain Text"/>
    <w:basedOn w:val="1"/>
    <w:link w:val="44"/>
    <w:qFormat/>
    <w:uiPriority w:val="99"/>
    <w:rPr>
      <w:rFonts w:ascii="宋体" w:hAnsi="Courier New"/>
    </w:rPr>
  </w:style>
  <w:style w:type="paragraph" w:styleId="14">
    <w:name w:val="Date"/>
    <w:basedOn w:val="1"/>
    <w:next w:val="1"/>
    <w:link w:val="39"/>
    <w:qFormat/>
    <w:uiPriority w:val="0"/>
    <w:rPr>
      <w:sz w:val="28"/>
    </w:rPr>
  </w:style>
  <w:style w:type="paragraph" w:styleId="15">
    <w:name w:val="Body Text Indent 2"/>
    <w:basedOn w:val="1"/>
    <w:qFormat/>
    <w:uiPriority w:val="0"/>
    <w:pPr>
      <w:spacing w:line="540" w:lineRule="exact"/>
      <w:ind w:firstLine="630"/>
    </w:pPr>
  </w:style>
  <w:style w:type="paragraph" w:styleId="16">
    <w:name w:val="endnote text"/>
    <w:basedOn w:val="1"/>
    <w:link w:val="70"/>
    <w:semiHidden/>
    <w:unhideWhenUsed/>
    <w:qFormat/>
    <w:uiPriority w:val="99"/>
    <w:pPr>
      <w:snapToGrid w:val="0"/>
    </w:pPr>
  </w:style>
  <w:style w:type="paragraph" w:styleId="17">
    <w:name w:val="Balloon Text"/>
    <w:basedOn w:val="1"/>
    <w:link w:val="47"/>
    <w:unhideWhenUsed/>
    <w:qFormat/>
    <w:uiPriority w:val="99"/>
    <w:rPr>
      <w:sz w:val="18"/>
      <w:szCs w:val="18"/>
    </w:rPr>
  </w:style>
  <w:style w:type="paragraph" w:styleId="18">
    <w:name w:val="footer"/>
    <w:basedOn w:val="1"/>
    <w:link w:val="37"/>
    <w:unhideWhenUsed/>
    <w:qFormat/>
    <w:uiPriority w:val="0"/>
    <w:pPr>
      <w:tabs>
        <w:tab w:val="center" w:pos="4153"/>
        <w:tab w:val="right" w:pos="8306"/>
      </w:tabs>
      <w:snapToGrid w:val="0"/>
    </w:pPr>
    <w:rPr>
      <w:sz w:val="18"/>
      <w:szCs w:val="18"/>
    </w:rPr>
  </w:style>
  <w:style w:type="paragraph" w:styleId="19">
    <w:name w:val="header"/>
    <w:basedOn w:val="1"/>
    <w:link w:val="36"/>
    <w:unhideWhenUsed/>
    <w:qFormat/>
    <w:uiPriority w:val="99"/>
    <w:pPr>
      <w:pBdr>
        <w:bottom w:val="single" w:color="auto" w:sz="6" w:space="1"/>
      </w:pBdr>
      <w:tabs>
        <w:tab w:val="center" w:pos="4153"/>
        <w:tab w:val="right" w:pos="8306"/>
      </w:tabs>
      <w:snapToGrid w:val="0"/>
      <w:jc w:val="center"/>
    </w:pPr>
    <w:rPr>
      <w:sz w:val="18"/>
      <w:szCs w:val="18"/>
    </w:rPr>
  </w:style>
  <w:style w:type="paragraph" w:styleId="20">
    <w:name w:val="toc 1"/>
    <w:basedOn w:val="1"/>
    <w:next w:val="1"/>
    <w:unhideWhenUsed/>
    <w:qFormat/>
    <w:uiPriority w:val="39"/>
  </w:style>
  <w:style w:type="paragraph" w:styleId="21">
    <w:name w:val="toc 2"/>
    <w:basedOn w:val="1"/>
    <w:next w:val="1"/>
    <w:unhideWhenUsed/>
    <w:qFormat/>
    <w:uiPriority w:val="39"/>
    <w:pPr>
      <w:tabs>
        <w:tab w:val="right" w:leader="dot" w:pos="9403"/>
      </w:tabs>
      <w:spacing w:line="460" w:lineRule="exact"/>
      <w:ind w:left="283" w:leftChars="118"/>
    </w:pPr>
  </w:style>
  <w:style w:type="paragraph" w:styleId="22">
    <w:name w:val="Body Text 2"/>
    <w:basedOn w:val="1"/>
    <w:link w:val="67"/>
    <w:semiHidden/>
    <w:unhideWhenUsed/>
    <w:qFormat/>
    <w:uiPriority w:val="99"/>
    <w:pPr>
      <w:spacing w:after="120" w:line="480" w:lineRule="auto"/>
    </w:pPr>
  </w:style>
  <w:style w:type="paragraph" w:styleId="23">
    <w:name w:val="Normal (Web)"/>
    <w:basedOn w:val="1"/>
    <w:qFormat/>
    <w:uiPriority w:val="99"/>
    <w:pPr>
      <w:widowControl/>
      <w:spacing w:before="100" w:beforeAutospacing="1" w:after="100" w:afterAutospacing="1"/>
    </w:pPr>
    <w:rPr>
      <w:rFonts w:ascii="宋体" w:hAnsi="宋体"/>
      <w:color w:val="000000"/>
      <w:kern w:val="0"/>
      <w:szCs w:val="24"/>
    </w:rPr>
  </w:style>
  <w:style w:type="paragraph" w:styleId="24">
    <w:name w:val="annotation subject"/>
    <w:basedOn w:val="9"/>
    <w:next w:val="9"/>
    <w:link w:val="49"/>
    <w:unhideWhenUsed/>
    <w:qFormat/>
    <w:uiPriority w:val="99"/>
    <w:rPr>
      <w:b/>
      <w:bCs/>
    </w:rPr>
  </w:style>
  <w:style w:type="paragraph" w:styleId="25">
    <w:name w:val="Body Text First Indent"/>
    <w:basedOn w:val="10"/>
    <w:unhideWhenUsed/>
    <w:qFormat/>
    <w:uiPriority w:val="99"/>
    <w:pPr>
      <w:ind w:firstLine="420" w:firstLineChars="100"/>
    </w:pPr>
  </w:style>
  <w:style w:type="paragraph" w:styleId="26">
    <w:name w:val="Body Text First Indent 2"/>
    <w:basedOn w:val="11"/>
    <w:unhideWhenUsed/>
    <w:qFormat/>
    <w:uiPriority w:val="99"/>
  </w:style>
  <w:style w:type="table" w:styleId="28">
    <w:name w:val="Table Grid"/>
    <w:basedOn w:val="27"/>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30">
    <w:name w:val="Strong"/>
    <w:basedOn w:val="29"/>
    <w:qFormat/>
    <w:uiPriority w:val="22"/>
    <w:rPr>
      <w:b/>
      <w:bCs/>
    </w:rPr>
  </w:style>
  <w:style w:type="character" w:styleId="31">
    <w:name w:val="endnote reference"/>
    <w:basedOn w:val="29"/>
    <w:semiHidden/>
    <w:unhideWhenUsed/>
    <w:qFormat/>
    <w:uiPriority w:val="99"/>
    <w:rPr>
      <w:vertAlign w:val="superscript"/>
    </w:rPr>
  </w:style>
  <w:style w:type="character" w:styleId="32">
    <w:name w:val="page number"/>
    <w:basedOn w:val="29"/>
    <w:qFormat/>
    <w:uiPriority w:val="0"/>
  </w:style>
  <w:style w:type="character" w:styleId="33">
    <w:name w:val="Hyperlink"/>
    <w:qFormat/>
    <w:uiPriority w:val="99"/>
    <w:rPr>
      <w:color w:val="0000FF"/>
      <w:u w:val="single"/>
    </w:rPr>
  </w:style>
  <w:style w:type="character" w:styleId="34">
    <w:name w:val="annotation reference"/>
    <w:basedOn w:val="29"/>
    <w:unhideWhenUsed/>
    <w:qFormat/>
    <w:uiPriority w:val="99"/>
    <w:rPr>
      <w:sz w:val="21"/>
      <w:szCs w:val="21"/>
    </w:rPr>
  </w:style>
  <w:style w:type="paragraph" w:customStyle="1" w:styleId="35">
    <w:name w:val="引文目录标题1"/>
    <w:basedOn w:val="1"/>
    <w:next w:val="1"/>
    <w:qFormat/>
    <w:uiPriority w:val="0"/>
    <w:pPr>
      <w:spacing w:before="120"/>
    </w:pPr>
    <w:rPr>
      <w:rFonts w:ascii="Arial" w:hAnsi="Arial"/>
    </w:rPr>
  </w:style>
  <w:style w:type="character" w:customStyle="1" w:styleId="36">
    <w:name w:val="页眉 Char"/>
    <w:basedOn w:val="29"/>
    <w:link w:val="19"/>
    <w:qFormat/>
    <w:uiPriority w:val="99"/>
    <w:rPr>
      <w:sz w:val="18"/>
      <w:szCs w:val="18"/>
    </w:rPr>
  </w:style>
  <w:style w:type="character" w:customStyle="1" w:styleId="37">
    <w:name w:val="页脚 Char"/>
    <w:basedOn w:val="29"/>
    <w:link w:val="18"/>
    <w:qFormat/>
    <w:uiPriority w:val="99"/>
    <w:rPr>
      <w:sz w:val="18"/>
      <w:szCs w:val="18"/>
    </w:rPr>
  </w:style>
  <w:style w:type="character" w:customStyle="1" w:styleId="38">
    <w:name w:val="标题 1 Char"/>
    <w:basedOn w:val="29"/>
    <w:link w:val="3"/>
    <w:qFormat/>
    <w:uiPriority w:val="0"/>
    <w:rPr>
      <w:rFonts w:ascii="宋体" w:hAnsi="宋体" w:eastAsia="宋体" w:cs="Times New Roman"/>
      <w:b/>
      <w:bCs/>
      <w:sz w:val="32"/>
      <w:szCs w:val="20"/>
    </w:rPr>
  </w:style>
  <w:style w:type="character" w:customStyle="1" w:styleId="39">
    <w:name w:val="日期 Char"/>
    <w:basedOn w:val="29"/>
    <w:link w:val="14"/>
    <w:qFormat/>
    <w:uiPriority w:val="0"/>
    <w:rPr>
      <w:rFonts w:ascii="Times New Roman" w:hAnsi="Times New Roman" w:eastAsia="宋体" w:cs="Times New Roman"/>
      <w:sz w:val="28"/>
      <w:szCs w:val="20"/>
    </w:rPr>
  </w:style>
  <w:style w:type="character" w:customStyle="1" w:styleId="40">
    <w:name w:val="标题 2 Char"/>
    <w:basedOn w:val="29"/>
    <w:link w:val="4"/>
    <w:qFormat/>
    <w:uiPriority w:val="9"/>
    <w:rPr>
      <w:rFonts w:ascii="宋体" w:hAnsi="宋体" w:eastAsia="宋体" w:cstheme="majorBidi"/>
      <w:b/>
      <w:bCs/>
      <w:sz w:val="30"/>
      <w:szCs w:val="30"/>
    </w:rPr>
  </w:style>
  <w:style w:type="paragraph" w:customStyle="1" w:styleId="41">
    <w:name w:val="正文1"/>
    <w:qFormat/>
    <w:uiPriority w:val="0"/>
    <w:pPr>
      <w:widowControl w:val="0"/>
      <w:adjustRightInd w:val="0"/>
      <w:spacing w:line="312" w:lineRule="atLeast"/>
      <w:jc w:val="both"/>
      <w:textAlignment w:val="baseline"/>
    </w:pPr>
    <w:rPr>
      <w:rFonts w:ascii="宋体" w:hAnsi="Times New Roman" w:eastAsia="宋体" w:cs="Times New Roman"/>
      <w:sz w:val="34"/>
      <w:lang w:val="en-US" w:eastAsia="zh-CN" w:bidi="ar-SA"/>
    </w:rPr>
  </w:style>
  <w:style w:type="paragraph" w:customStyle="1" w:styleId="42">
    <w:name w:val="样式 标题 3 + (中文) 黑体 小四 非加粗 段前: 7.8 磅 段后: 0 磅 行距: 固定值 20 磅"/>
    <w:basedOn w:val="5"/>
    <w:qFormat/>
    <w:uiPriority w:val="0"/>
    <w:pPr>
      <w:spacing w:line="400" w:lineRule="exact"/>
    </w:pPr>
    <w:rPr>
      <w:rFonts w:eastAsia="黑体" w:cs="宋体"/>
      <w:szCs w:val="20"/>
    </w:rPr>
  </w:style>
  <w:style w:type="character" w:customStyle="1" w:styleId="43">
    <w:name w:val="标题 3 字符"/>
    <w:basedOn w:val="29"/>
    <w:qFormat/>
    <w:uiPriority w:val="9"/>
    <w:rPr>
      <w:rFonts w:ascii="宋体" w:hAnsi="宋体" w:eastAsia="宋体" w:cs="Times New Roman"/>
      <w:b/>
      <w:sz w:val="24"/>
      <w:szCs w:val="24"/>
    </w:rPr>
  </w:style>
  <w:style w:type="character" w:customStyle="1" w:styleId="44">
    <w:name w:val="纯文本 Char"/>
    <w:basedOn w:val="29"/>
    <w:link w:val="13"/>
    <w:qFormat/>
    <w:uiPriority w:val="99"/>
    <w:rPr>
      <w:rFonts w:ascii="宋体" w:hAnsi="Courier New" w:eastAsia="宋体" w:cs="Times New Roman"/>
      <w:szCs w:val="20"/>
    </w:rPr>
  </w:style>
  <w:style w:type="paragraph" w:customStyle="1" w:styleId="45">
    <w:name w:val="列出段落1"/>
    <w:basedOn w:val="1"/>
    <w:qFormat/>
    <w:uiPriority w:val="34"/>
    <w:pPr>
      <w:ind w:firstLine="420" w:firstLineChars="200"/>
    </w:pPr>
  </w:style>
  <w:style w:type="paragraph" w:customStyle="1" w:styleId="46">
    <w:name w:val="TOC 标题1"/>
    <w:basedOn w:val="3"/>
    <w:next w:val="1"/>
    <w:unhideWhenUsed/>
    <w:qFormat/>
    <w:uiPriority w:val="39"/>
    <w:pPr>
      <w:keepLines/>
      <w:spacing w:before="480" w:line="276" w:lineRule="auto"/>
      <w:jc w:val="left"/>
      <w:outlineLvl w:val="9"/>
    </w:pPr>
    <w:rPr>
      <w:rFonts w:asciiTheme="majorHAnsi" w:hAnsiTheme="majorHAnsi" w:eastAsiaTheme="majorEastAsia" w:cstheme="majorBidi"/>
      <w:color w:val="376092" w:themeColor="accent1" w:themeShade="BF"/>
      <w:kern w:val="0"/>
      <w:szCs w:val="28"/>
    </w:rPr>
  </w:style>
  <w:style w:type="character" w:customStyle="1" w:styleId="47">
    <w:name w:val="批注框文本 Char"/>
    <w:basedOn w:val="29"/>
    <w:link w:val="17"/>
    <w:semiHidden/>
    <w:qFormat/>
    <w:uiPriority w:val="99"/>
    <w:rPr>
      <w:rFonts w:ascii="Times New Roman" w:hAnsi="Times New Roman" w:eastAsia="宋体" w:cs="Times New Roman"/>
      <w:sz w:val="18"/>
      <w:szCs w:val="18"/>
    </w:rPr>
  </w:style>
  <w:style w:type="character" w:customStyle="1" w:styleId="48">
    <w:name w:val="批注文字 Char"/>
    <w:basedOn w:val="29"/>
    <w:link w:val="9"/>
    <w:semiHidden/>
    <w:qFormat/>
    <w:uiPriority w:val="99"/>
    <w:rPr>
      <w:rFonts w:ascii="Times New Roman" w:hAnsi="Times New Roman" w:eastAsia="宋体" w:cs="Times New Roman"/>
      <w:szCs w:val="20"/>
    </w:rPr>
  </w:style>
  <w:style w:type="character" w:customStyle="1" w:styleId="49">
    <w:name w:val="批注主题 Char"/>
    <w:basedOn w:val="48"/>
    <w:link w:val="24"/>
    <w:semiHidden/>
    <w:qFormat/>
    <w:uiPriority w:val="99"/>
    <w:rPr>
      <w:rFonts w:ascii="Times New Roman" w:hAnsi="Times New Roman" w:eastAsia="宋体" w:cs="Times New Roman"/>
      <w:b/>
      <w:bCs/>
      <w:szCs w:val="20"/>
    </w:rPr>
  </w:style>
  <w:style w:type="paragraph" w:customStyle="1" w:styleId="50">
    <w:name w:val="无间隔1"/>
    <w:link w:val="51"/>
    <w:qFormat/>
    <w:uiPriority w:val="1"/>
    <w:rPr>
      <w:rFonts w:asciiTheme="minorHAnsi" w:hAnsiTheme="minorHAnsi" w:eastAsiaTheme="minorEastAsia" w:cstheme="minorBidi"/>
      <w:sz w:val="22"/>
      <w:szCs w:val="21"/>
      <w:lang w:val="en-US" w:eastAsia="zh-CN" w:bidi="ar-SA"/>
    </w:rPr>
  </w:style>
  <w:style w:type="character" w:customStyle="1" w:styleId="51">
    <w:name w:val="无间隔 字符"/>
    <w:basedOn w:val="29"/>
    <w:link w:val="50"/>
    <w:qFormat/>
    <w:uiPriority w:val="1"/>
    <w:rPr>
      <w:kern w:val="0"/>
      <w:sz w:val="22"/>
    </w:rPr>
  </w:style>
  <w:style w:type="paragraph" w:customStyle="1" w:styleId="52">
    <w:name w:val="修订1"/>
    <w:hidden/>
    <w:semiHidden/>
    <w:qFormat/>
    <w:uiPriority w:val="99"/>
    <w:rPr>
      <w:rFonts w:ascii="Times New Roman" w:hAnsi="Times New Roman" w:eastAsia="宋体" w:cs="Times New Roman"/>
      <w:kern w:val="2"/>
      <w:sz w:val="21"/>
      <w:lang w:val="en-US" w:eastAsia="zh-CN" w:bidi="ar-SA"/>
    </w:rPr>
  </w:style>
  <w:style w:type="paragraph" w:customStyle="1" w:styleId="53">
    <w:name w:val="列出段落11"/>
    <w:basedOn w:val="1"/>
    <w:qFormat/>
    <w:uiPriority w:val="0"/>
    <w:pPr>
      <w:ind w:firstLine="420" w:firstLineChars="200"/>
    </w:pPr>
    <w:rPr>
      <w:rFonts w:ascii="Calibri" w:hAnsi="Calibri"/>
      <w:szCs w:val="22"/>
    </w:rPr>
  </w:style>
  <w:style w:type="paragraph" w:customStyle="1" w:styleId="54">
    <w:name w:val="Default"/>
    <w:qFormat/>
    <w:uiPriority w:val="0"/>
    <w:pPr>
      <w:widowControl w:val="0"/>
      <w:autoSpaceDE w:val="0"/>
      <w:autoSpaceDN w:val="0"/>
      <w:adjustRightInd w:val="0"/>
    </w:pPr>
    <w:rPr>
      <w:rFonts w:ascii="宋体" w:eastAsia="宋体" w:cs="宋体" w:hAnsiTheme="minorHAnsi"/>
      <w:color w:val="000000"/>
      <w:sz w:val="24"/>
      <w:szCs w:val="24"/>
      <w:lang w:val="en-US" w:eastAsia="zh-CN" w:bidi="ar-SA"/>
    </w:rPr>
  </w:style>
  <w:style w:type="character" w:customStyle="1" w:styleId="55">
    <w:name w:val="文档结构图 Char"/>
    <w:basedOn w:val="29"/>
    <w:link w:val="8"/>
    <w:semiHidden/>
    <w:qFormat/>
    <w:uiPriority w:val="99"/>
    <w:rPr>
      <w:rFonts w:ascii="宋体" w:hAnsi="Times New Roman" w:eastAsia="宋体" w:cs="Times New Roman"/>
      <w:sz w:val="18"/>
      <w:szCs w:val="18"/>
    </w:rPr>
  </w:style>
  <w:style w:type="paragraph" w:customStyle="1" w:styleId="56">
    <w:name w:val="reader-word-layer"/>
    <w:basedOn w:val="1"/>
    <w:qFormat/>
    <w:uiPriority w:val="0"/>
    <w:pPr>
      <w:widowControl/>
      <w:spacing w:before="100" w:beforeAutospacing="1" w:after="100" w:afterAutospacing="1" w:line="240" w:lineRule="auto"/>
    </w:pPr>
    <w:rPr>
      <w:rFonts w:ascii="宋体" w:hAnsi="宋体" w:cs="宋体"/>
      <w:kern w:val="0"/>
      <w:szCs w:val="24"/>
    </w:rPr>
  </w:style>
  <w:style w:type="paragraph" w:customStyle="1" w:styleId="57">
    <w:name w:val="列出段落3"/>
    <w:basedOn w:val="1"/>
    <w:unhideWhenUsed/>
    <w:qFormat/>
    <w:uiPriority w:val="99"/>
    <w:pPr>
      <w:ind w:firstLine="420" w:firstLineChars="200"/>
    </w:pPr>
  </w:style>
  <w:style w:type="character" w:customStyle="1" w:styleId="58">
    <w:name w:val="正文文本缩进 Char"/>
    <w:basedOn w:val="29"/>
    <w:link w:val="11"/>
    <w:qFormat/>
    <w:uiPriority w:val="0"/>
    <w:rPr>
      <w:rFonts w:ascii="Times New Roman" w:hAnsi="Times New Roman" w:eastAsia="宋体" w:cs="Times New Roman"/>
      <w:sz w:val="24"/>
      <w:szCs w:val="20"/>
    </w:rPr>
  </w:style>
  <w:style w:type="character" w:customStyle="1" w:styleId="59">
    <w:name w:val="标题 3 Char"/>
    <w:link w:val="5"/>
    <w:qFormat/>
    <w:uiPriority w:val="9"/>
    <w:rPr>
      <w:rFonts w:ascii="宋体" w:hAnsi="宋体"/>
      <w:b/>
      <w:bCs/>
      <w:sz w:val="24"/>
      <w:szCs w:val="24"/>
      <w:lang w:bidi="ar-SA"/>
    </w:rPr>
  </w:style>
  <w:style w:type="character" w:customStyle="1" w:styleId="60">
    <w:name w:val="未处理的提及1"/>
    <w:basedOn w:val="29"/>
    <w:unhideWhenUsed/>
    <w:qFormat/>
    <w:uiPriority w:val="99"/>
    <w:rPr>
      <w:color w:val="605E5C"/>
      <w:shd w:val="clear" w:color="auto" w:fill="E1DFDD"/>
    </w:rPr>
  </w:style>
  <w:style w:type="paragraph" w:customStyle="1" w:styleId="61">
    <w:name w:val="!正文"/>
    <w:basedOn w:val="1"/>
    <w:qFormat/>
    <w:uiPriority w:val="0"/>
    <w:pPr>
      <w:spacing w:line="360" w:lineRule="auto"/>
      <w:ind w:firstLine="200" w:firstLineChars="200"/>
    </w:pPr>
    <w:rPr>
      <w:rFonts w:ascii="宋体" w:hAnsi="宋体"/>
      <w:kern w:val="0"/>
      <w:szCs w:val="28"/>
    </w:rPr>
  </w:style>
  <w:style w:type="paragraph" w:customStyle="1" w:styleId="62">
    <w:name w:val="列表段落1"/>
    <w:basedOn w:val="1"/>
    <w:qFormat/>
    <w:uiPriority w:val="34"/>
    <w:pPr>
      <w:ind w:firstLine="420" w:firstLineChars="200"/>
    </w:pPr>
  </w:style>
  <w:style w:type="character" w:customStyle="1" w:styleId="63">
    <w:name w:val="font01"/>
    <w:basedOn w:val="29"/>
    <w:qFormat/>
    <w:uiPriority w:val="0"/>
    <w:rPr>
      <w:rFonts w:hint="eastAsia" w:ascii="微软雅黑" w:hAnsi="微软雅黑" w:eastAsia="微软雅黑" w:cs="微软雅黑"/>
      <w:color w:val="FF0000"/>
      <w:sz w:val="20"/>
      <w:szCs w:val="20"/>
      <w:u w:val="none"/>
    </w:rPr>
  </w:style>
  <w:style w:type="character" w:customStyle="1" w:styleId="64">
    <w:name w:val="15"/>
    <w:basedOn w:val="29"/>
    <w:qFormat/>
    <w:uiPriority w:val="0"/>
    <w:rPr>
      <w:rFonts w:hint="eastAsia" w:ascii="宋体" w:hAnsi="宋体" w:eastAsia="宋体"/>
      <w:color w:val="000000"/>
      <w:sz w:val="24"/>
      <w:szCs w:val="24"/>
    </w:rPr>
  </w:style>
  <w:style w:type="character" w:customStyle="1" w:styleId="65">
    <w:name w:val="16"/>
    <w:basedOn w:val="29"/>
    <w:qFormat/>
    <w:uiPriority w:val="0"/>
    <w:rPr>
      <w:rFonts w:hint="eastAsia" w:ascii="宋体" w:hAnsi="宋体" w:eastAsia="宋体"/>
      <w:color w:val="000000"/>
      <w:sz w:val="24"/>
      <w:szCs w:val="24"/>
    </w:rPr>
  </w:style>
  <w:style w:type="character" w:customStyle="1" w:styleId="66">
    <w:name w:val="17"/>
    <w:basedOn w:val="29"/>
    <w:qFormat/>
    <w:uiPriority w:val="0"/>
    <w:rPr>
      <w:rFonts w:hint="eastAsia" w:ascii="宋体" w:hAnsi="宋体" w:eastAsia="宋体"/>
      <w:color w:val="000000"/>
      <w:sz w:val="22"/>
      <w:szCs w:val="22"/>
    </w:rPr>
  </w:style>
  <w:style w:type="character" w:customStyle="1" w:styleId="67">
    <w:name w:val="正文文本 2 Char"/>
    <w:basedOn w:val="29"/>
    <w:link w:val="22"/>
    <w:semiHidden/>
    <w:qFormat/>
    <w:uiPriority w:val="99"/>
    <w:rPr>
      <w:kern w:val="2"/>
      <w:sz w:val="24"/>
    </w:rPr>
  </w:style>
  <w:style w:type="paragraph" w:customStyle="1" w:styleId="68">
    <w:name w:val="列表段落2"/>
    <w:basedOn w:val="1"/>
    <w:qFormat/>
    <w:uiPriority w:val="0"/>
    <w:pPr>
      <w:spacing w:line="240" w:lineRule="auto"/>
      <w:ind w:firstLine="420" w:firstLineChars="200"/>
      <w:jc w:val="both"/>
    </w:pPr>
    <w:rPr>
      <w:rFonts w:ascii="Calibri" w:hAnsi="Calibri" w:cs="宋体"/>
      <w:sz w:val="21"/>
      <w:szCs w:val="21"/>
    </w:rPr>
  </w:style>
  <w:style w:type="paragraph" w:styleId="69">
    <w:name w:val="List Paragraph"/>
    <w:basedOn w:val="1"/>
    <w:qFormat/>
    <w:uiPriority w:val="99"/>
    <w:pPr>
      <w:ind w:firstLine="420" w:firstLineChars="200"/>
    </w:pPr>
  </w:style>
  <w:style w:type="character" w:customStyle="1" w:styleId="70">
    <w:name w:val="尾注文本 Char"/>
    <w:basedOn w:val="29"/>
    <w:link w:val="16"/>
    <w:semiHidden/>
    <w:qFormat/>
    <w:uiPriority w:val="99"/>
    <w:rPr>
      <w:rFonts w:ascii="Times New Roman" w:hAnsi="Times New Roman"/>
      <w:kern w:val="2"/>
      <w:sz w:val="24"/>
    </w:rPr>
  </w:style>
  <w:style w:type="character" w:customStyle="1" w:styleId="71">
    <w:name w:val="正文文本 Char"/>
    <w:link w:val="10"/>
    <w:qFormat/>
    <w:uiPriority w:val="0"/>
    <w:rPr>
      <w:rFonts w:ascii="Times New Roman" w:hAnsi="Times New Roman"/>
      <w:kern w:val="2"/>
      <w:sz w:val="24"/>
    </w:rPr>
  </w:style>
  <w:style w:type="paragraph" w:customStyle="1" w:styleId="72">
    <w:name w:val="正文-首缩2字符"/>
    <w:basedOn w:val="1"/>
    <w:qFormat/>
    <w:uiPriority w:val="99"/>
    <w:pPr>
      <w:adjustRightInd w:val="0"/>
      <w:snapToGrid w:val="0"/>
      <w:spacing w:line="300" w:lineRule="auto"/>
      <w:ind w:firstLine="200" w:firstLineChars="200"/>
    </w:pPr>
    <w:rPr>
      <w:rFonts w:ascii="宋体" w:hAnsi="宋体" w:cs="宋体"/>
      <w:szCs w:val="24"/>
    </w:rPr>
  </w:style>
  <w:style w:type="paragraph" w:customStyle="1" w:styleId="73">
    <w:name w:val="_Style 69"/>
    <w:basedOn w:val="1"/>
    <w:next w:val="69"/>
    <w:qFormat/>
    <w:uiPriority w:val="34"/>
    <w:pPr>
      <w:adjustRightInd w:val="0"/>
      <w:snapToGrid w:val="0"/>
      <w:spacing w:line="300" w:lineRule="auto"/>
      <w:ind w:firstLine="420" w:firstLineChars="200"/>
      <w:jc w:val="both"/>
    </w:pPr>
    <w:rPr>
      <w:rFonts w:ascii="宋体" w:hAnsi="Calibri"/>
      <w:szCs w:val="21"/>
    </w:rPr>
  </w:style>
  <w:style w:type="paragraph" w:customStyle="1" w:styleId="74">
    <w:name w:val="修订2"/>
    <w:hidden/>
    <w:semiHidden/>
    <w:qFormat/>
    <w:uiPriority w:val="99"/>
    <w:rPr>
      <w:rFonts w:ascii="Times New Roman" w:hAnsi="Times New Roman" w:eastAsia="宋体" w:cs="Times New Roman"/>
      <w:kern w:val="2"/>
      <w:sz w:val="24"/>
      <w:lang w:val="en-US" w:eastAsia="zh-CN" w:bidi="ar-SA"/>
    </w:rPr>
  </w:style>
  <w:style w:type="paragraph" w:customStyle="1" w:styleId="75">
    <w:name w:val="Table Paragraph"/>
    <w:basedOn w:val="1"/>
    <w:qFormat/>
    <w:uiPriority w:val="1"/>
    <w:pPr>
      <w:autoSpaceDE w:val="0"/>
      <w:autoSpaceDN w:val="0"/>
      <w:spacing w:line="240" w:lineRule="auto"/>
    </w:pPr>
    <w:rPr>
      <w:rFonts w:ascii="仿宋" w:hAnsi="仿宋" w:eastAsia="仿宋" w:cs="仿宋"/>
      <w:kern w:val="0"/>
      <w:sz w:val="22"/>
      <w:szCs w:val="22"/>
      <w:lang w:val="zh-CN" w:bidi="zh-CN"/>
    </w:rPr>
  </w:style>
  <w:style w:type="paragraph" w:customStyle="1" w:styleId="76">
    <w:name w:val="修订3"/>
    <w:hidden/>
    <w:semiHidden/>
    <w:qFormat/>
    <w:uiPriority w:val="99"/>
    <w:rPr>
      <w:rFonts w:ascii="Times New Roman" w:hAnsi="Times New Roman" w:eastAsia="宋体" w:cs="Times New Roman"/>
      <w:kern w:val="2"/>
      <w:sz w:val="24"/>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header" Target="header3.xml"/><Relationship Id="rId8" Type="http://schemas.openxmlformats.org/officeDocument/2006/relationships/footer" Target="footer2.xml"/><Relationship Id="rId7" Type="http://schemas.openxmlformats.org/officeDocument/2006/relationships/footer" Target="footer1.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7" Type="http://schemas.openxmlformats.org/officeDocument/2006/relationships/fontTable" Target="fontTable.xml"/><Relationship Id="rId26" Type="http://schemas.openxmlformats.org/officeDocument/2006/relationships/customXml" Target="../customXml/item2.xml"/><Relationship Id="rId25" Type="http://schemas.openxmlformats.org/officeDocument/2006/relationships/numbering" Target="numbering.xml"/><Relationship Id="rId24" Type="http://schemas.openxmlformats.org/officeDocument/2006/relationships/customXml" Target="../customXml/item1.xml"/><Relationship Id="rId23" Type="http://schemas.openxmlformats.org/officeDocument/2006/relationships/image" Target="media/image1.png"/><Relationship Id="rId22" Type="http://schemas.openxmlformats.org/officeDocument/2006/relationships/theme" Target="theme/theme1.xml"/><Relationship Id="rId21" Type="http://schemas.openxmlformats.org/officeDocument/2006/relationships/footer" Target="footer8.xml"/><Relationship Id="rId20" Type="http://schemas.openxmlformats.org/officeDocument/2006/relationships/footer" Target="footer7.xml"/><Relationship Id="rId2" Type="http://schemas.openxmlformats.org/officeDocument/2006/relationships/settings" Target="settings.xml"/><Relationship Id="rId19" Type="http://schemas.openxmlformats.org/officeDocument/2006/relationships/header" Target="header9.xml"/><Relationship Id="rId18" Type="http://schemas.openxmlformats.org/officeDocument/2006/relationships/footer" Target="footer6.xml"/><Relationship Id="rId17" Type="http://schemas.openxmlformats.org/officeDocument/2006/relationships/header" Target="header8.xml"/><Relationship Id="rId16" Type="http://schemas.openxmlformats.org/officeDocument/2006/relationships/footer" Target="footer5.xml"/><Relationship Id="rId15" Type="http://schemas.openxmlformats.org/officeDocument/2006/relationships/header" Target="header7.xml"/><Relationship Id="rId14" Type="http://schemas.openxmlformats.org/officeDocument/2006/relationships/footer" Target="footer4.xml"/><Relationship Id="rId13" Type="http://schemas.openxmlformats.org/officeDocument/2006/relationships/header" Target="header6.xml"/><Relationship Id="rId12" Type="http://schemas.openxmlformats.org/officeDocument/2006/relationships/footer" Target="footer3.xml"/><Relationship Id="rId11" Type="http://schemas.openxmlformats.org/officeDocument/2006/relationships/header" Target="header5.xml"/><Relationship Id="rId10" Type="http://schemas.openxmlformats.org/officeDocument/2006/relationships/header" Target="header4.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38"/>
    <customShpInfo spid="_x0000_s1037"/>
    <customShpInfo spid="_x0000_s1026" textRotate="1"/>
    <customShpInfo spid="_x0000_s1041"/>
  </customShpExts>
</s:customData>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028C662B-DFF0-488C-8E0A-9AF7B77E7FFE}">
  <ds:schemaRefs/>
</ds:datastoreItem>
</file>

<file path=docProps/app.xml><?xml version="1.0" encoding="utf-8"?>
<Properties xmlns="http://schemas.openxmlformats.org/officeDocument/2006/extended-properties" xmlns:vt="http://schemas.openxmlformats.org/officeDocument/2006/docPropsVTypes">
  <Template>Normal.dotm</Template>
  <Company>CN</Company>
  <Pages>96</Pages>
  <Words>18528</Words>
  <Characters>19588</Characters>
  <Lines>401</Lines>
  <Paragraphs>113</Paragraphs>
  <TotalTime>28</TotalTime>
  <ScaleCrop>false</ScaleCrop>
  <LinksUpToDate>false</LinksUpToDate>
  <CharactersWithSpaces>19668</CharactersWithSpaces>
  <Application>WPS Office_12.1.0.18608_F1E327BC-269C-435d-A152-05C5408002CA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2024-11-11T23:44:00Z</dcterms:created>
  <dc:creator>Wr</dc:creator>
  <cp:lastModifiedBy>胡爽爽。</cp:lastModifiedBy>
  <cp:lastPrinted>2024-11-13T04:04:00Z</cp:lastPrinted>
  <dcterms:modified xsi:type="dcterms:W3CDTF">2024-11-14T05:21:10Z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2052-12.1.0.18608</vt:lpwstr>
  </property>
  <property fmtid="{D5CDD505-2E9C-101B-9397-08002B2CF9AE}" pid="3" name="ICV">
    <vt:lpwstr>FFA256CCE99049AF9F9EEF3303DFD37A_13</vt:lpwstr>
  </property>
</Properties>
</file>