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F03170">
      <w:pPr>
        <w:spacing w:line="360" w:lineRule="auto"/>
        <w:jc w:val="center"/>
        <w:rPr>
          <w:b/>
        </w:rPr>
      </w:pPr>
      <w:bookmarkStart w:id="1" w:name="_GoBack"/>
      <w:bookmarkEnd w:id="1"/>
      <w:r>
        <w:rPr>
          <w:rFonts w:hint="eastAsia" w:ascii="宋体" w:hAnsi="宋体"/>
          <w:b/>
          <w:bCs/>
          <w:kern w:val="0"/>
          <w:sz w:val="36"/>
          <w:szCs w:val="36"/>
        </w:rPr>
        <w:t>项目需求</w:t>
      </w:r>
    </w:p>
    <w:p w14:paraId="07C8BAA3">
      <w:pPr>
        <w:pStyle w:val="5"/>
        <w:spacing w:line="360" w:lineRule="auto"/>
        <w:rPr>
          <w:b/>
        </w:rPr>
      </w:pPr>
    </w:p>
    <w:p w14:paraId="09ECC842">
      <w:pPr>
        <w:pStyle w:val="5"/>
        <w:spacing w:line="360" w:lineRule="auto"/>
        <w:rPr>
          <w:b/>
        </w:rPr>
      </w:pPr>
    </w:p>
    <w:p w14:paraId="7EF10793">
      <w:pPr>
        <w:pStyle w:val="5"/>
        <w:spacing w:line="360" w:lineRule="auto"/>
        <w:rPr>
          <w:b/>
        </w:rPr>
      </w:pPr>
    </w:p>
    <w:p w14:paraId="67A14B4B">
      <w:pPr>
        <w:tabs>
          <w:tab w:val="left" w:pos="1560"/>
        </w:tabs>
        <w:adjustRightInd w:val="0"/>
        <w:snapToGrid w:val="0"/>
        <w:spacing w:line="360" w:lineRule="auto"/>
        <w:jc w:val="center"/>
        <w:rPr>
          <w:rFonts w:ascii="宋体" w:hAnsi="宋体"/>
          <w:b/>
          <w:sz w:val="32"/>
          <w:szCs w:val="32"/>
        </w:rPr>
      </w:pPr>
      <w:r>
        <w:rPr>
          <w:rFonts w:hint="eastAsia" w:ascii="宋体" w:hAnsi="宋体"/>
          <w:b/>
          <w:sz w:val="32"/>
          <w:szCs w:val="32"/>
        </w:rPr>
        <w:t>一</w:t>
      </w:r>
      <w:r>
        <w:rPr>
          <w:rFonts w:ascii="宋体" w:hAnsi="宋体"/>
          <w:b/>
          <w:sz w:val="32"/>
          <w:szCs w:val="32"/>
        </w:rPr>
        <w:t>、</w:t>
      </w:r>
      <w:r>
        <w:rPr>
          <w:rFonts w:hint="eastAsia" w:ascii="宋体" w:hAnsi="宋体"/>
          <w:b/>
          <w:sz w:val="32"/>
          <w:szCs w:val="32"/>
        </w:rPr>
        <w:t>项目需求一览表</w:t>
      </w:r>
    </w:p>
    <w:p w14:paraId="1D55C2A8">
      <w:pPr>
        <w:adjustRightInd w:val="0"/>
        <w:snapToGrid w:val="0"/>
        <w:spacing w:line="360" w:lineRule="auto"/>
        <w:jc w:val="center"/>
        <w:rPr>
          <w:rFonts w:ascii="宋体" w:hAnsi="宋体"/>
          <w:b/>
          <w:sz w:val="30"/>
          <w:szCs w:val="30"/>
        </w:rPr>
      </w:pPr>
    </w:p>
    <w:p w14:paraId="741AED5B">
      <w:pPr>
        <w:adjustRightInd w:val="0"/>
        <w:snapToGrid w:val="0"/>
        <w:spacing w:line="360" w:lineRule="auto"/>
        <w:jc w:val="center"/>
        <w:rPr>
          <w:rFonts w:ascii="宋体" w:hAnsi="宋体"/>
          <w:b/>
          <w:sz w:val="30"/>
          <w:szCs w:val="30"/>
        </w:rPr>
      </w:pPr>
    </w:p>
    <w:tbl>
      <w:tblPr>
        <w:tblStyle w:val="7"/>
        <w:tblW w:w="8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2949"/>
        <w:gridCol w:w="709"/>
        <w:gridCol w:w="1751"/>
        <w:gridCol w:w="2538"/>
      </w:tblGrid>
      <w:tr w14:paraId="23B91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851" w:type="dxa"/>
            <w:vAlign w:val="center"/>
          </w:tcPr>
          <w:p w14:paraId="27AB3E6B">
            <w:pPr>
              <w:jc w:val="center"/>
              <w:rPr>
                <w:rFonts w:ascii="宋体" w:hAnsi="Bookman Old Style"/>
                <w:sz w:val="24"/>
              </w:rPr>
            </w:pPr>
            <w:r>
              <w:rPr>
                <w:rFonts w:hint="eastAsia" w:ascii="宋体" w:hAnsi="Bookman Old Style"/>
                <w:sz w:val="24"/>
              </w:rPr>
              <w:t>包号</w:t>
            </w:r>
          </w:p>
        </w:tc>
        <w:tc>
          <w:tcPr>
            <w:tcW w:w="2949" w:type="dxa"/>
            <w:vAlign w:val="center"/>
          </w:tcPr>
          <w:p w14:paraId="21CA3E3B">
            <w:pPr>
              <w:jc w:val="center"/>
              <w:rPr>
                <w:rFonts w:ascii="宋体" w:hAnsi="Bookman Old Style"/>
                <w:sz w:val="24"/>
              </w:rPr>
            </w:pPr>
            <w:r>
              <w:rPr>
                <w:rFonts w:hint="eastAsia" w:ascii="宋体" w:hAnsi="Bookman Old Style"/>
                <w:sz w:val="24"/>
              </w:rPr>
              <w:t>货物名称</w:t>
            </w:r>
          </w:p>
        </w:tc>
        <w:tc>
          <w:tcPr>
            <w:tcW w:w="709" w:type="dxa"/>
            <w:vAlign w:val="center"/>
          </w:tcPr>
          <w:p w14:paraId="23209016">
            <w:pPr>
              <w:jc w:val="center"/>
              <w:rPr>
                <w:rFonts w:ascii="宋体" w:hAnsi="Bookman Old Style"/>
                <w:sz w:val="24"/>
              </w:rPr>
            </w:pPr>
            <w:r>
              <w:rPr>
                <w:rFonts w:hint="eastAsia" w:ascii="宋体" w:hAnsi="Bookman Old Style"/>
                <w:sz w:val="24"/>
              </w:rPr>
              <w:t>数量</w:t>
            </w:r>
          </w:p>
        </w:tc>
        <w:tc>
          <w:tcPr>
            <w:tcW w:w="1751" w:type="dxa"/>
            <w:vAlign w:val="center"/>
          </w:tcPr>
          <w:p w14:paraId="790562CD">
            <w:pPr>
              <w:jc w:val="center"/>
              <w:rPr>
                <w:rFonts w:ascii="宋体" w:hAnsi="Bookman Old Style"/>
                <w:sz w:val="24"/>
              </w:rPr>
            </w:pPr>
            <w:r>
              <w:rPr>
                <w:rFonts w:hint="eastAsia" w:ascii="宋体" w:hAnsi="Bookman Old Style"/>
                <w:sz w:val="24"/>
              </w:rPr>
              <w:t>交货期</w:t>
            </w:r>
          </w:p>
        </w:tc>
        <w:tc>
          <w:tcPr>
            <w:tcW w:w="2538" w:type="dxa"/>
            <w:vAlign w:val="center"/>
          </w:tcPr>
          <w:p w14:paraId="7BE8DF8A">
            <w:pPr>
              <w:jc w:val="center"/>
              <w:rPr>
                <w:rFonts w:ascii="宋体" w:hAnsi="Bookman Old Style"/>
                <w:sz w:val="24"/>
                <w:shd w:val="pct10" w:color="auto" w:fill="FFFFFF"/>
              </w:rPr>
            </w:pPr>
            <w:r>
              <w:rPr>
                <w:rFonts w:hint="eastAsia" w:ascii="宋体" w:hAnsi="Bookman Old Style"/>
                <w:sz w:val="24"/>
              </w:rPr>
              <w:t>项目现场（交货地点）</w:t>
            </w:r>
          </w:p>
        </w:tc>
      </w:tr>
      <w:tr w14:paraId="34C59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9" w:hRule="atLeast"/>
          <w:jc w:val="center"/>
        </w:trPr>
        <w:tc>
          <w:tcPr>
            <w:tcW w:w="851" w:type="dxa"/>
            <w:vAlign w:val="center"/>
          </w:tcPr>
          <w:p w14:paraId="72E965C1">
            <w:pPr>
              <w:jc w:val="center"/>
              <w:rPr>
                <w:rFonts w:ascii="宋体"/>
                <w:sz w:val="24"/>
              </w:rPr>
            </w:pPr>
            <w:r>
              <w:rPr>
                <w:rFonts w:ascii="宋体"/>
                <w:sz w:val="24"/>
              </w:rPr>
              <w:t>1</w:t>
            </w:r>
          </w:p>
        </w:tc>
        <w:tc>
          <w:tcPr>
            <w:tcW w:w="2949" w:type="dxa"/>
            <w:vAlign w:val="center"/>
          </w:tcPr>
          <w:p w14:paraId="537DB6E4">
            <w:pPr>
              <w:jc w:val="center"/>
              <w:rPr>
                <w:rFonts w:ascii="Bookman Old Style" w:hAnsi="Bookman Old Style"/>
                <w:sz w:val="24"/>
              </w:rPr>
            </w:pPr>
            <w:r>
              <w:rPr>
                <w:rFonts w:hint="eastAsia" w:ascii="宋体" w:hAnsi="宋体" w:cs="宋体"/>
                <w:kern w:val="0"/>
                <w:sz w:val="24"/>
              </w:rPr>
              <w:t>山地灾害动力学监测系统</w:t>
            </w:r>
          </w:p>
        </w:tc>
        <w:tc>
          <w:tcPr>
            <w:tcW w:w="709" w:type="dxa"/>
            <w:vAlign w:val="center"/>
          </w:tcPr>
          <w:p w14:paraId="7CB6A2CC">
            <w:pPr>
              <w:jc w:val="center"/>
              <w:rPr>
                <w:rFonts w:ascii="宋体" w:hAnsi="Bookman Old Style"/>
                <w:sz w:val="24"/>
              </w:rPr>
            </w:pPr>
            <w:r>
              <w:rPr>
                <w:rFonts w:hint="eastAsia" w:ascii="宋体" w:hAnsi="Bookman Old Style"/>
                <w:sz w:val="24"/>
              </w:rPr>
              <w:t>1</w:t>
            </w:r>
          </w:p>
        </w:tc>
        <w:tc>
          <w:tcPr>
            <w:tcW w:w="1751" w:type="dxa"/>
            <w:vAlign w:val="center"/>
          </w:tcPr>
          <w:p w14:paraId="2EE522A0">
            <w:pPr>
              <w:jc w:val="center"/>
              <w:rPr>
                <w:rFonts w:ascii="宋体" w:hAnsi="Bookman Old Style"/>
                <w:sz w:val="24"/>
              </w:rPr>
            </w:pPr>
            <w:r>
              <w:rPr>
                <w:rFonts w:hint="eastAsia" w:ascii="宋体" w:hAnsi="宋体" w:cs="宋体"/>
                <w:color w:val="000000" w:themeColor="text1"/>
                <w:kern w:val="0"/>
                <w:sz w:val="24"/>
                <w:lang w:val="de-DE"/>
                <w14:textFill>
                  <w14:solidFill>
                    <w14:schemeClr w14:val="tx1"/>
                  </w14:solidFill>
                </w14:textFill>
              </w:rPr>
              <w:t>合同签订后的</w:t>
            </w:r>
            <w:r>
              <w:rPr>
                <w:rFonts w:hint="eastAsia" w:ascii="宋体" w:hAnsi="宋体" w:cs="宋体"/>
                <w:color w:val="000000" w:themeColor="text1"/>
                <w:kern w:val="0"/>
                <w:sz w:val="24"/>
                <w14:textFill>
                  <w14:solidFill>
                    <w14:schemeClr w14:val="tx1"/>
                  </w14:solidFill>
                </w14:textFill>
              </w:rPr>
              <w:t>3个月</w:t>
            </w:r>
            <w:r>
              <w:rPr>
                <w:rFonts w:hint="eastAsia" w:ascii="宋体" w:hAnsi="宋体" w:cs="宋体"/>
                <w:color w:val="000000" w:themeColor="text1"/>
                <w:kern w:val="0"/>
                <w:sz w:val="24"/>
                <w:lang w:val="de-DE"/>
                <w14:textFill>
                  <w14:solidFill>
                    <w14:schemeClr w14:val="tx1"/>
                  </w14:solidFill>
                </w14:textFill>
              </w:rPr>
              <w:t>内</w:t>
            </w:r>
            <w:r>
              <w:rPr>
                <w:rFonts w:hint="eastAsia" w:ascii="宋体" w:hAnsi="宋体" w:cs="宋体"/>
                <w:color w:val="000000" w:themeColor="text1"/>
                <w:kern w:val="0"/>
                <w:sz w:val="24"/>
                <w:lang w:val="zh-CN"/>
                <w14:textFill>
                  <w14:solidFill>
                    <w14:schemeClr w14:val="tx1"/>
                  </w14:solidFill>
                </w14:textFill>
              </w:rPr>
              <w:t>交货</w:t>
            </w:r>
          </w:p>
        </w:tc>
        <w:tc>
          <w:tcPr>
            <w:tcW w:w="2538" w:type="dxa"/>
            <w:vAlign w:val="center"/>
          </w:tcPr>
          <w:p w14:paraId="69DF1019">
            <w:pPr>
              <w:jc w:val="center"/>
              <w:rPr>
                <w:rFonts w:ascii="宋体" w:hAnsi="Bookman Old Style"/>
                <w:sz w:val="24"/>
              </w:rPr>
            </w:pPr>
            <w:r>
              <w:rPr>
                <w:rFonts w:hint="eastAsia" w:ascii="宋体" w:hAnsi="Bookman Old Style"/>
                <w:sz w:val="24"/>
              </w:rPr>
              <w:t>四川省成都市天府新区群贤南街189号</w:t>
            </w:r>
          </w:p>
        </w:tc>
      </w:tr>
    </w:tbl>
    <w:p w14:paraId="2CEDADF0">
      <w:pPr>
        <w:spacing w:line="360" w:lineRule="auto"/>
        <w:rPr>
          <w:b/>
          <w:sz w:val="24"/>
        </w:rPr>
      </w:pPr>
    </w:p>
    <w:p w14:paraId="2A2CC4DB">
      <w:pPr>
        <w:spacing w:line="360" w:lineRule="auto"/>
        <w:rPr>
          <w:rFonts w:ascii="Bookman Old Style" w:hAnsi="Bookman Old Style"/>
          <w:b/>
          <w:sz w:val="24"/>
        </w:rPr>
      </w:pPr>
      <w:r>
        <w:rPr>
          <w:rFonts w:hint="eastAsia"/>
          <w:b/>
          <w:sz w:val="24"/>
        </w:rPr>
        <w:t>注：投标人须对上述投标内容中完整的一包进行投标响应，</w:t>
      </w:r>
      <w:r>
        <w:rPr>
          <w:rFonts w:hint="eastAsia" w:ascii="Bookman Old Style" w:hAnsi="Bookman Old Style"/>
          <w:b/>
          <w:sz w:val="24"/>
        </w:rPr>
        <w:t>不完整的投标将视为非响应性投标予以拒绝。</w:t>
      </w:r>
    </w:p>
    <w:p w14:paraId="54FD4D2F">
      <w:pPr>
        <w:widowControl/>
        <w:snapToGrid w:val="0"/>
        <w:spacing w:line="360" w:lineRule="auto"/>
        <w:jc w:val="center"/>
        <w:rPr>
          <w:b/>
        </w:rPr>
      </w:pPr>
      <w:r>
        <w:rPr>
          <w:b/>
        </w:rPr>
        <w:br w:type="page"/>
      </w:r>
    </w:p>
    <w:p w14:paraId="29D63F12">
      <w:pPr>
        <w:keepNext/>
        <w:keepLines/>
        <w:spacing w:before="240" w:after="120" w:line="360" w:lineRule="auto"/>
        <w:jc w:val="center"/>
        <w:outlineLvl w:val="1"/>
        <w:rPr>
          <w:b/>
          <w:bCs/>
          <w:sz w:val="32"/>
          <w:szCs w:val="32"/>
        </w:rPr>
      </w:pPr>
      <w:r>
        <w:rPr>
          <w:rFonts w:hint="eastAsia"/>
          <w:b/>
          <w:bCs/>
          <w:sz w:val="32"/>
          <w:szCs w:val="32"/>
        </w:rPr>
        <w:t>二、总则</w:t>
      </w:r>
    </w:p>
    <w:p w14:paraId="6963DB38">
      <w:pPr>
        <w:autoSpaceDE w:val="0"/>
        <w:autoSpaceDN w:val="0"/>
        <w:adjustRightInd w:val="0"/>
        <w:spacing w:line="360" w:lineRule="auto"/>
        <w:ind w:firstLine="420"/>
        <w:jc w:val="left"/>
        <w:rPr>
          <w:rFonts w:ascii="宋体"/>
          <w:kern w:val="0"/>
          <w:sz w:val="24"/>
          <w:szCs w:val="20"/>
        </w:rPr>
      </w:pPr>
    </w:p>
    <w:p w14:paraId="291BA67F">
      <w:pPr>
        <w:spacing w:line="360" w:lineRule="auto"/>
        <w:rPr>
          <w:rFonts w:ascii="宋体" w:hAnsi="宋体"/>
          <w:bCs/>
          <w:sz w:val="24"/>
        </w:rPr>
      </w:pPr>
      <w:bookmarkStart w:id="0" w:name="_Hlk108442230"/>
      <w:r>
        <w:rPr>
          <w:rFonts w:hint="eastAsia" w:ascii="宋体" w:hAnsi="宋体"/>
          <w:bCs/>
          <w:sz w:val="24"/>
        </w:rPr>
        <w:t>1、投标要求</w:t>
      </w:r>
    </w:p>
    <w:p w14:paraId="5FAD8217">
      <w:pPr>
        <w:spacing w:line="360" w:lineRule="auto"/>
        <w:rPr>
          <w:rFonts w:ascii="宋体" w:hAnsi="宋体"/>
          <w:bCs/>
          <w:sz w:val="24"/>
        </w:rPr>
      </w:pPr>
      <w:r>
        <w:rPr>
          <w:rFonts w:hint="eastAsia" w:ascii="宋体" w:hAnsi="宋体"/>
          <w:bCs/>
          <w:sz w:val="24"/>
        </w:rPr>
        <w:t>1.1  投标人在准备投标书时，务必在所提供的商品的技术规格文件中，标明型号、商标名称、目录号。</w:t>
      </w:r>
    </w:p>
    <w:p w14:paraId="6F8A70FB">
      <w:pPr>
        <w:spacing w:line="360" w:lineRule="auto"/>
        <w:rPr>
          <w:rFonts w:ascii="宋体" w:hAnsi="宋体"/>
          <w:bCs/>
          <w:sz w:val="24"/>
        </w:rPr>
      </w:pPr>
      <w:r>
        <w:rPr>
          <w:rFonts w:hint="eastAsia" w:ascii="宋体" w:hAnsi="宋体"/>
          <w:bCs/>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采购人有权拒绝其投标。</w:t>
      </w:r>
    </w:p>
    <w:p w14:paraId="3A6CFE0E">
      <w:pPr>
        <w:spacing w:line="360" w:lineRule="auto"/>
        <w:rPr>
          <w:rFonts w:ascii="宋体" w:hAnsi="宋体"/>
          <w:bCs/>
          <w:sz w:val="24"/>
        </w:rPr>
      </w:pPr>
      <w:r>
        <w:rPr>
          <w:rFonts w:hint="eastAsia" w:ascii="宋体" w:hAnsi="宋体"/>
          <w:bCs/>
          <w:sz w:val="24"/>
        </w:rPr>
        <w:t>1.3  投标人提供的产品样本，必须是“原件”而非复印件，图表、简图、电路图以及印刷电路板图等都应清晰易读。采购人有权不付任何附加费用复制这些资料以供参考。</w:t>
      </w:r>
    </w:p>
    <w:p w14:paraId="51F50BBE">
      <w:pPr>
        <w:spacing w:line="360" w:lineRule="auto"/>
        <w:rPr>
          <w:rFonts w:ascii="宋体" w:hAnsi="宋体"/>
          <w:bCs/>
          <w:sz w:val="24"/>
        </w:rPr>
      </w:pPr>
      <w:r>
        <w:rPr>
          <w:rFonts w:hint="eastAsia" w:ascii="宋体" w:hAnsi="宋体"/>
          <w:bCs/>
          <w:sz w:val="24"/>
        </w:rPr>
        <w:t>1.4  投标人的投标产品应符合国家有关部门规定的相应技术、节能、安全和环保标准；如国家有关部门对投标人的投标产品有强制性规定或要求的，则投标人的投标产品必须符合相应规定或要求。</w:t>
      </w:r>
    </w:p>
    <w:p w14:paraId="3E91D071">
      <w:pPr>
        <w:spacing w:line="360" w:lineRule="auto"/>
        <w:rPr>
          <w:rFonts w:ascii="宋体" w:hAnsi="宋体"/>
          <w:bCs/>
          <w:sz w:val="24"/>
        </w:rPr>
      </w:pPr>
      <w:r>
        <w:rPr>
          <w:rFonts w:hint="eastAsia" w:ascii="宋体" w:hAnsi="宋体"/>
          <w:bCs/>
          <w:sz w:val="24"/>
        </w:rPr>
        <w:t>2、评标标准</w:t>
      </w:r>
    </w:p>
    <w:p w14:paraId="2671B064">
      <w:pPr>
        <w:spacing w:line="360" w:lineRule="auto"/>
        <w:rPr>
          <w:rFonts w:ascii="宋体" w:hAnsi="宋体"/>
          <w:bCs/>
          <w:sz w:val="24"/>
        </w:rPr>
      </w:pPr>
      <w:r>
        <w:rPr>
          <w:rFonts w:hint="eastAsia" w:ascii="宋体" w:hAnsi="宋体"/>
          <w:bCs/>
          <w:sz w:val="24"/>
        </w:rPr>
        <w:t>2.1  除招标文件中指定的附件和专用工具外，投标人应提供货物的正常运行和常规保养所需的全套标准附件、专用工具和消耗品。投标人在投标书中需列出这些附件和工具的数量和单价的清单，这些附件和工具的报价的总值需计入投标价中。</w:t>
      </w:r>
    </w:p>
    <w:p w14:paraId="356AF8B1">
      <w:pPr>
        <w:spacing w:line="360" w:lineRule="auto"/>
        <w:rPr>
          <w:rFonts w:ascii="宋体" w:hAnsi="宋体"/>
          <w:bCs/>
          <w:sz w:val="24"/>
        </w:rPr>
      </w:pPr>
      <w:r>
        <w:rPr>
          <w:rFonts w:hint="eastAsia" w:ascii="宋体" w:hAnsi="宋体"/>
          <w:bCs/>
          <w:sz w:val="24"/>
        </w:rPr>
        <w:t>2.2  对于标书技术规范中已列出的作为查询选件的附件、零配件、专用工具和消耗品，投标书中应列明其数量、单价、总价供采购人参考。投标人也可推荐采购人没有要求的附件或专用工具作为选件，并列明其数量、单价、总价供采购人参考。选件价格不计入评标价中。选件一旦为采购人用户接受，其费用将加入合同价中。</w:t>
      </w:r>
    </w:p>
    <w:p w14:paraId="4E5671C5">
      <w:pPr>
        <w:spacing w:line="360" w:lineRule="auto"/>
        <w:rPr>
          <w:rFonts w:ascii="宋体" w:hAnsi="宋体"/>
          <w:bCs/>
          <w:sz w:val="24"/>
        </w:rPr>
      </w:pPr>
      <w:r>
        <w:rPr>
          <w:rFonts w:hint="eastAsia" w:ascii="宋体" w:hAnsi="宋体"/>
          <w:bCs/>
          <w:sz w:val="24"/>
        </w:rPr>
        <w:t>2.3  为便于采购人用户进行接收仪器的准备工作，投标人应在合同生效后60天内向采购人用户提供一套完整的使用说明书、操作手册、维修及安装说明等文件。另一套完整上述资料应在交货时随货包装提供给用户，这些费用应计入投标价中。</w:t>
      </w:r>
    </w:p>
    <w:p w14:paraId="608C97B0">
      <w:pPr>
        <w:spacing w:line="360" w:lineRule="auto"/>
        <w:rPr>
          <w:rFonts w:ascii="宋体" w:hAnsi="宋体"/>
          <w:bCs/>
          <w:sz w:val="24"/>
        </w:rPr>
      </w:pPr>
      <w:r>
        <w:rPr>
          <w:rFonts w:hint="eastAsia" w:ascii="宋体" w:hAnsi="宋体"/>
          <w:bCs/>
          <w:sz w:val="24"/>
        </w:rPr>
        <w:t>2.4  关于设备的安装调试，如果有必要的安装准备条件，投标人应在合同生效后一个月内向买方提出详细的要求或计划。安装调试的费用应计入投标价中，并应单独列出，供评标使用。</w:t>
      </w:r>
    </w:p>
    <w:p w14:paraId="7AE2D753">
      <w:pPr>
        <w:spacing w:line="360" w:lineRule="auto"/>
        <w:rPr>
          <w:rFonts w:ascii="宋体" w:hAnsi="宋体"/>
          <w:bCs/>
          <w:sz w:val="24"/>
        </w:rPr>
      </w:pPr>
      <w:r>
        <w:rPr>
          <w:rFonts w:hint="eastAsia" w:ascii="宋体" w:hAnsi="宋体"/>
          <w:bCs/>
          <w:sz w:val="24"/>
        </w:rPr>
        <w:t>2.5  制造厂家提供的培训指的是涉及货物的基本原理、操作使用和保养维修等有关内容的培训。培训教员的培训费、旅费、食宿费等费用和培训场地费及培训资料费均应由投标人支付。</w:t>
      </w:r>
    </w:p>
    <w:p w14:paraId="6E93983D">
      <w:pPr>
        <w:spacing w:line="360" w:lineRule="auto"/>
        <w:rPr>
          <w:rFonts w:ascii="宋体" w:hAnsi="宋体"/>
          <w:bCs/>
          <w:sz w:val="24"/>
        </w:rPr>
      </w:pPr>
      <w:r>
        <w:rPr>
          <w:rFonts w:hint="eastAsia" w:ascii="宋体" w:hAnsi="宋体"/>
          <w:bCs/>
          <w:sz w:val="24"/>
        </w:rPr>
        <w:t>2.6  在评标过程中，采购人有权向投标人索取任何与评标有关的资料，投标人务必在接到此类要求后，在规定时间内予以答复。对于无答复的投标人，采购人有权拒绝其投标。</w:t>
      </w:r>
    </w:p>
    <w:p w14:paraId="50221F96">
      <w:pPr>
        <w:spacing w:line="360" w:lineRule="auto"/>
        <w:rPr>
          <w:rFonts w:ascii="宋体" w:hAnsi="宋体"/>
          <w:bCs/>
          <w:sz w:val="24"/>
        </w:rPr>
      </w:pPr>
      <w:r>
        <w:rPr>
          <w:rFonts w:hint="eastAsia" w:ascii="宋体" w:hAnsi="宋体"/>
          <w:bCs/>
          <w:sz w:val="24"/>
        </w:rPr>
        <w:t>3、工作条件</w:t>
      </w:r>
    </w:p>
    <w:p w14:paraId="281B6E07">
      <w:pPr>
        <w:spacing w:line="360" w:lineRule="auto"/>
        <w:rPr>
          <w:rFonts w:ascii="宋体" w:hAnsi="宋体"/>
          <w:bCs/>
          <w:sz w:val="24"/>
        </w:rPr>
      </w:pPr>
      <w:r>
        <w:rPr>
          <w:rFonts w:hint="eastAsia" w:ascii="宋体" w:hAnsi="宋体"/>
          <w:bCs/>
          <w:sz w:val="24"/>
        </w:rPr>
        <w:t>详见项目需求书</w:t>
      </w:r>
    </w:p>
    <w:p w14:paraId="2B3D565E">
      <w:pPr>
        <w:spacing w:line="360" w:lineRule="auto"/>
        <w:rPr>
          <w:rFonts w:ascii="宋体" w:hAnsi="宋体"/>
          <w:bCs/>
          <w:sz w:val="24"/>
        </w:rPr>
      </w:pPr>
      <w:r>
        <w:rPr>
          <w:rFonts w:hint="eastAsia" w:ascii="宋体" w:hAnsi="宋体"/>
          <w:bCs/>
          <w:sz w:val="24"/>
        </w:rPr>
        <w:t>4、验收标准</w:t>
      </w:r>
    </w:p>
    <w:p w14:paraId="70502C0C">
      <w:pPr>
        <w:spacing w:line="360" w:lineRule="auto"/>
        <w:rPr>
          <w:rFonts w:ascii="宋体" w:hAnsi="宋体"/>
          <w:bCs/>
          <w:sz w:val="24"/>
        </w:rPr>
      </w:pPr>
      <w:r>
        <w:rPr>
          <w:rFonts w:hint="eastAsia" w:ascii="宋体" w:hAnsi="宋体"/>
          <w:bCs/>
          <w:sz w:val="24"/>
        </w:rPr>
        <w:t xml:space="preserve">除非在技术规格中另有说明，所有货物和系统按下列要求进行验收： </w:t>
      </w:r>
    </w:p>
    <w:p w14:paraId="43BEF613">
      <w:pPr>
        <w:spacing w:line="360" w:lineRule="auto"/>
        <w:rPr>
          <w:rFonts w:ascii="宋体" w:hAnsi="宋体"/>
          <w:bCs/>
          <w:sz w:val="24"/>
        </w:rPr>
      </w:pPr>
      <w:r>
        <w:rPr>
          <w:rFonts w:hint="eastAsia" w:ascii="宋体" w:hAnsi="宋体"/>
          <w:bCs/>
          <w:sz w:val="24"/>
        </w:rPr>
        <w:t>4.1 货物运抵安装现场后，采购人将与中标人共同开箱验收,如中标人届时不派人来, 则验收结果应以采购人的验收报告为最终验收结果。验收时发现短缺、破损, 采购人有权要求中标人负责更换。</w:t>
      </w:r>
    </w:p>
    <w:p w14:paraId="70818187">
      <w:pPr>
        <w:spacing w:line="360" w:lineRule="auto"/>
        <w:rPr>
          <w:rFonts w:ascii="宋体" w:hAnsi="宋体"/>
          <w:bCs/>
          <w:sz w:val="24"/>
        </w:rPr>
      </w:pPr>
      <w:r>
        <w:rPr>
          <w:rFonts w:hint="eastAsia" w:ascii="宋体" w:hAnsi="宋体"/>
          <w:bCs/>
          <w:sz w:val="24"/>
        </w:rPr>
        <w:t>4.2  验收标准以中标人提供的投标文件中所列的指标为准（该指标应不低于招标文件所要求的指标）。任何虚假指标响应一经发现即作废标，中标人必须承担由此给采购人带来的一切经济损失和其它相关责任。</w:t>
      </w:r>
    </w:p>
    <w:p w14:paraId="1FABBC9F">
      <w:pPr>
        <w:spacing w:line="360" w:lineRule="auto"/>
        <w:rPr>
          <w:rFonts w:ascii="宋体" w:hAnsi="宋体"/>
          <w:bCs/>
          <w:sz w:val="24"/>
        </w:rPr>
      </w:pPr>
      <w:r>
        <w:rPr>
          <w:rFonts w:hint="eastAsia" w:ascii="宋体" w:hAnsi="宋体"/>
          <w:bCs/>
          <w:sz w:val="24"/>
        </w:rPr>
        <w:t>4.3  验收由采购人、中标人及相关人员依国家有关标准、合同及有关附件要求进行，验收完毕由采购人及中标人在验收报告上签名。</w:t>
      </w:r>
    </w:p>
    <w:p w14:paraId="25077E27">
      <w:pPr>
        <w:spacing w:line="360" w:lineRule="auto"/>
        <w:rPr>
          <w:rFonts w:ascii="宋体" w:hAnsi="宋体"/>
          <w:bCs/>
          <w:sz w:val="24"/>
        </w:rPr>
      </w:pPr>
    </w:p>
    <w:p w14:paraId="70D43BAE">
      <w:pPr>
        <w:spacing w:line="360" w:lineRule="auto"/>
        <w:rPr>
          <w:rFonts w:ascii="宋体" w:hAnsi="宋体"/>
          <w:b/>
          <w:sz w:val="24"/>
        </w:rPr>
      </w:pPr>
      <w:r>
        <w:rPr>
          <w:rFonts w:hint="eastAsia" w:ascii="宋体" w:hAnsi="宋体"/>
          <w:b/>
          <w:sz w:val="24"/>
        </w:rPr>
        <w:t>5、本项目需求中标注“★”号的为实质性要求，不满足其投标将被拒绝。</w:t>
      </w:r>
    </w:p>
    <w:p w14:paraId="7D866AD1">
      <w:pPr>
        <w:spacing w:line="360" w:lineRule="auto"/>
        <w:rPr>
          <w:rFonts w:ascii="宋体" w:hAnsi="宋体"/>
          <w:b/>
          <w:sz w:val="24"/>
        </w:rPr>
      </w:pPr>
      <w:r>
        <w:rPr>
          <w:rFonts w:hint="eastAsia" w:ascii="宋体" w:hAnsi="宋体"/>
          <w:b/>
          <w:sz w:val="24"/>
        </w:rPr>
        <w:t>6、如在具体要求中有本总则不一致之处，以具体要求中的要求内容为准。</w:t>
      </w:r>
    </w:p>
    <w:bookmarkEnd w:id="0"/>
    <w:p w14:paraId="038ADCFF">
      <w:pPr>
        <w:widowControl/>
        <w:spacing w:line="360" w:lineRule="auto"/>
        <w:jc w:val="left"/>
        <w:rPr>
          <w:rFonts w:ascii="宋体"/>
          <w:b/>
          <w:bCs/>
          <w:kern w:val="0"/>
          <w:sz w:val="32"/>
          <w:szCs w:val="32"/>
        </w:rPr>
      </w:pPr>
      <w:r>
        <w:rPr>
          <w:b/>
          <w:bCs/>
          <w:sz w:val="32"/>
          <w:szCs w:val="32"/>
        </w:rPr>
        <w:br w:type="page"/>
      </w:r>
    </w:p>
    <w:p w14:paraId="13501F02">
      <w:pPr>
        <w:autoSpaceDE w:val="0"/>
        <w:autoSpaceDN w:val="0"/>
        <w:adjustRightInd w:val="0"/>
        <w:spacing w:line="360" w:lineRule="auto"/>
        <w:ind w:firstLine="420"/>
        <w:jc w:val="center"/>
        <w:rPr>
          <w:rFonts w:ascii="宋体"/>
          <w:b/>
          <w:bCs/>
          <w:kern w:val="0"/>
          <w:sz w:val="32"/>
          <w:szCs w:val="32"/>
        </w:rPr>
      </w:pPr>
      <w:r>
        <w:rPr>
          <w:rFonts w:hint="eastAsia" w:ascii="宋体"/>
          <w:b/>
          <w:bCs/>
          <w:kern w:val="0"/>
          <w:sz w:val="32"/>
          <w:szCs w:val="32"/>
        </w:rPr>
        <w:t>三、具体要求</w:t>
      </w:r>
    </w:p>
    <w:p w14:paraId="160CD8A3">
      <w:pPr>
        <w:keepNext/>
        <w:keepLines/>
        <w:spacing w:line="360" w:lineRule="auto"/>
        <w:jc w:val="center"/>
        <w:outlineLvl w:val="3"/>
        <w:rPr>
          <w:b/>
          <w:bCs/>
          <w:sz w:val="32"/>
          <w:szCs w:val="32"/>
        </w:rPr>
      </w:pPr>
      <w:r>
        <w:rPr>
          <w:rFonts w:hint="eastAsia"/>
          <w:b/>
          <w:sz w:val="28"/>
        </w:rPr>
        <w:t>第1包：山地灾害动力学监测系统</w:t>
      </w:r>
    </w:p>
    <w:p w14:paraId="05C9D2E2">
      <w:pPr>
        <w:spacing w:afterLines="50"/>
        <w:ind w:left="601" w:hanging="601"/>
        <w:rPr>
          <w:rFonts w:ascii="宋体" w:hAnsi="宋体" w:cs="宋体"/>
          <w:b/>
          <w:color w:val="000000" w:themeColor="text1"/>
          <w:sz w:val="24"/>
          <w14:textFill>
            <w14:solidFill>
              <w14:schemeClr w14:val="tx1"/>
            </w14:solidFill>
          </w14:textFill>
        </w:rPr>
      </w:pPr>
    </w:p>
    <w:p w14:paraId="370ECDBD">
      <w:pPr>
        <w:pStyle w:val="6"/>
        <w:numPr>
          <w:ilvl w:val="0"/>
          <w:numId w:val="1"/>
        </w:numPr>
        <w:spacing w:line="360" w:lineRule="auto"/>
        <w:ind w:right="708" w:rightChars="337" w:hanging="905"/>
        <w:jc w:val="both"/>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招标项目信息</w:t>
      </w:r>
    </w:p>
    <w:tbl>
      <w:tblPr>
        <w:tblStyle w:val="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238"/>
        <w:gridCol w:w="1260"/>
        <w:gridCol w:w="1260"/>
      </w:tblGrid>
      <w:tr w14:paraId="6AAA0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7EB4F340">
            <w:pPr>
              <w:widowControl/>
              <w:snapToGrid w:val="0"/>
              <w:spacing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序号</w:t>
            </w:r>
          </w:p>
        </w:tc>
        <w:tc>
          <w:tcPr>
            <w:tcW w:w="1550" w:type="dxa"/>
            <w:noWrap/>
            <w:vAlign w:val="center"/>
          </w:tcPr>
          <w:p w14:paraId="6A9CCC67">
            <w:pPr>
              <w:widowControl/>
              <w:snapToGrid w:val="0"/>
              <w:spacing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设备名称</w:t>
            </w:r>
          </w:p>
        </w:tc>
        <w:tc>
          <w:tcPr>
            <w:tcW w:w="681" w:type="dxa"/>
            <w:vAlign w:val="center"/>
          </w:tcPr>
          <w:p w14:paraId="791E7A8A">
            <w:pPr>
              <w:widowControl/>
              <w:snapToGrid w:val="0"/>
              <w:spacing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数量</w:t>
            </w:r>
          </w:p>
        </w:tc>
        <w:tc>
          <w:tcPr>
            <w:tcW w:w="1091" w:type="dxa"/>
            <w:noWrap/>
            <w:vAlign w:val="center"/>
          </w:tcPr>
          <w:p w14:paraId="04949399">
            <w:pPr>
              <w:widowControl/>
              <w:snapToGrid w:val="0"/>
              <w:spacing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单位</w:t>
            </w:r>
          </w:p>
        </w:tc>
        <w:tc>
          <w:tcPr>
            <w:tcW w:w="1651" w:type="dxa"/>
            <w:vAlign w:val="center"/>
          </w:tcPr>
          <w:p w14:paraId="38E27230">
            <w:pPr>
              <w:widowControl/>
              <w:snapToGrid w:val="0"/>
              <w:spacing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是否接受进口设备参与投标</w:t>
            </w:r>
          </w:p>
        </w:tc>
        <w:tc>
          <w:tcPr>
            <w:tcW w:w="1238" w:type="dxa"/>
            <w:vAlign w:val="center"/>
          </w:tcPr>
          <w:p w14:paraId="479AAC76">
            <w:pPr>
              <w:widowControl/>
              <w:snapToGrid w:val="0"/>
              <w:spacing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预算金额</w:t>
            </w:r>
          </w:p>
          <w:p w14:paraId="10915FE4">
            <w:pPr>
              <w:widowControl/>
              <w:snapToGrid w:val="0"/>
              <w:spacing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（万元）</w:t>
            </w:r>
          </w:p>
        </w:tc>
        <w:tc>
          <w:tcPr>
            <w:tcW w:w="1260" w:type="dxa"/>
            <w:vAlign w:val="center"/>
          </w:tcPr>
          <w:p w14:paraId="69989EA0">
            <w:pPr>
              <w:widowControl/>
              <w:snapToGrid w:val="0"/>
              <w:spacing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最高限价（万元）</w:t>
            </w:r>
          </w:p>
        </w:tc>
        <w:tc>
          <w:tcPr>
            <w:tcW w:w="1260" w:type="dxa"/>
            <w:vAlign w:val="center"/>
          </w:tcPr>
          <w:p w14:paraId="48B42D03">
            <w:pPr>
              <w:widowControl/>
              <w:snapToGrid w:val="0"/>
              <w:spacing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本项目所属行业</w:t>
            </w:r>
          </w:p>
        </w:tc>
      </w:tr>
      <w:tr w14:paraId="5971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6C2E6BB4">
            <w:pPr>
              <w:widowControl/>
              <w:snapToGrid w:val="0"/>
              <w:spacing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一</w:t>
            </w:r>
          </w:p>
        </w:tc>
        <w:tc>
          <w:tcPr>
            <w:tcW w:w="1550" w:type="dxa"/>
            <w:vAlign w:val="center"/>
          </w:tcPr>
          <w:p w14:paraId="38912515">
            <w:pPr>
              <w:widowControl/>
              <w:spacing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山地灾害动力学监测系统</w:t>
            </w:r>
          </w:p>
        </w:tc>
        <w:tc>
          <w:tcPr>
            <w:tcW w:w="681" w:type="dxa"/>
            <w:vAlign w:val="center"/>
          </w:tcPr>
          <w:p w14:paraId="2CE51E9C">
            <w:pPr>
              <w:widowControl/>
              <w:snapToGrid w:val="0"/>
              <w:spacing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1091" w:type="dxa"/>
            <w:vAlign w:val="center"/>
          </w:tcPr>
          <w:p w14:paraId="10224F89">
            <w:pPr>
              <w:widowControl/>
              <w:snapToGrid w:val="0"/>
              <w:spacing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套</w:t>
            </w:r>
          </w:p>
        </w:tc>
        <w:tc>
          <w:tcPr>
            <w:tcW w:w="1651" w:type="dxa"/>
            <w:vAlign w:val="center"/>
          </w:tcPr>
          <w:p w14:paraId="15CAB473">
            <w:pPr>
              <w:widowControl/>
              <w:snapToGrid w:val="0"/>
              <w:spacing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否</w:t>
            </w:r>
          </w:p>
        </w:tc>
        <w:tc>
          <w:tcPr>
            <w:tcW w:w="1238" w:type="dxa"/>
            <w:vAlign w:val="center"/>
          </w:tcPr>
          <w:p w14:paraId="4C80D6BE">
            <w:pPr>
              <w:widowControl/>
              <w:snapToGrid w:val="0"/>
              <w:spacing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172</w:t>
            </w:r>
          </w:p>
        </w:tc>
        <w:tc>
          <w:tcPr>
            <w:tcW w:w="1260" w:type="dxa"/>
            <w:vAlign w:val="center"/>
          </w:tcPr>
          <w:p w14:paraId="604C0370">
            <w:pPr>
              <w:widowControl/>
              <w:snapToGrid w:val="0"/>
              <w:spacing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172</w:t>
            </w:r>
          </w:p>
        </w:tc>
        <w:tc>
          <w:tcPr>
            <w:tcW w:w="1260" w:type="dxa"/>
            <w:vAlign w:val="center"/>
          </w:tcPr>
          <w:p w14:paraId="0E7AEBC0">
            <w:pPr>
              <w:widowControl/>
              <w:snapToGrid w:val="0"/>
              <w:spacing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auto"/>
                <w:kern w:val="0"/>
                <w:sz w:val="24"/>
              </w:rPr>
              <w:t>工业</w:t>
            </w:r>
          </w:p>
        </w:tc>
      </w:tr>
    </w:tbl>
    <w:p w14:paraId="1976D7FF">
      <w:pPr>
        <w:pStyle w:val="6"/>
        <w:numPr>
          <w:ilvl w:val="0"/>
          <w:numId w:val="1"/>
        </w:numPr>
        <w:spacing w:line="360" w:lineRule="auto"/>
        <w:ind w:right="708" w:rightChars="337" w:hanging="905"/>
        <w:jc w:val="both"/>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技术部分</w:t>
      </w:r>
    </w:p>
    <w:p w14:paraId="241F094A">
      <w:pPr>
        <w:widowControl/>
        <w:snapToGrid w:val="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1、配置清单及零配件（包括专用工具）：</w:t>
      </w:r>
    </w:p>
    <w:tbl>
      <w:tblPr>
        <w:tblStyle w:val="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409"/>
        <w:gridCol w:w="1810"/>
        <w:gridCol w:w="1570"/>
      </w:tblGrid>
      <w:tr w14:paraId="768C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1260275E">
            <w:pPr>
              <w:widowControl/>
              <w:snapToGrid w:val="0"/>
              <w:spacing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序号</w:t>
            </w:r>
          </w:p>
        </w:tc>
        <w:tc>
          <w:tcPr>
            <w:tcW w:w="4409" w:type="dxa"/>
          </w:tcPr>
          <w:p w14:paraId="1FF5E6F4">
            <w:pPr>
              <w:widowControl/>
              <w:snapToGrid w:val="0"/>
              <w:spacing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名称</w:t>
            </w:r>
          </w:p>
        </w:tc>
        <w:tc>
          <w:tcPr>
            <w:tcW w:w="1810" w:type="dxa"/>
          </w:tcPr>
          <w:p w14:paraId="642E1C3A">
            <w:pPr>
              <w:widowControl/>
              <w:snapToGrid w:val="0"/>
              <w:spacing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数量</w:t>
            </w:r>
          </w:p>
        </w:tc>
        <w:tc>
          <w:tcPr>
            <w:tcW w:w="1570" w:type="dxa"/>
          </w:tcPr>
          <w:p w14:paraId="00888364">
            <w:pPr>
              <w:widowControl/>
              <w:snapToGrid w:val="0"/>
              <w:spacing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单位</w:t>
            </w:r>
          </w:p>
        </w:tc>
      </w:tr>
      <w:tr w14:paraId="0F868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33FC1C04">
            <w:pPr>
              <w:widowControl/>
              <w:snapToGrid w:val="0"/>
              <w:spacing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一</w:t>
            </w:r>
          </w:p>
        </w:tc>
        <w:tc>
          <w:tcPr>
            <w:tcW w:w="4409" w:type="dxa"/>
            <w:vAlign w:val="center"/>
          </w:tcPr>
          <w:p w14:paraId="17A265BB">
            <w:pPr>
              <w:widowControl/>
              <w:snapToGrid w:val="0"/>
              <w:spacing w:beforeLines="50" w:line="360" w:lineRule="auto"/>
              <w:rPr>
                <w:rFonts w:ascii="宋体" w:hAnsi="宋体" w:cs="宋体"/>
                <w:b/>
                <w:bCs/>
                <w:color w:val="000000" w:themeColor="text1"/>
                <w:sz w:val="24"/>
                <w14:textFill>
                  <w14:solidFill>
                    <w14:schemeClr w14:val="tx1"/>
                  </w14:solidFill>
                </w14:textFill>
              </w:rPr>
            </w:pPr>
            <w:r>
              <w:rPr>
                <w:rFonts w:hint="eastAsia" w:ascii="宋体" w:hAnsi="宋体" w:cs="宋体"/>
                <w:sz w:val="24"/>
              </w:rPr>
              <w:t>强震（加速度模块）在线监测仪</w:t>
            </w:r>
          </w:p>
        </w:tc>
        <w:tc>
          <w:tcPr>
            <w:tcW w:w="1810" w:type="dxa"/>
            <w:vAlign w:val="center"/>
          </w:tcPr>
          <w:p w14:paraId="44AB717E">
            <w:pPr>
              <w:widowControl/>
              <w:snapToGrid w:val="0"/>
              <w:spacing w:beforeLines="50" w:line="360" w:lineRule="auto"/>
              <w:rPr>
                <w:rFonts w:ascii="宋体" w:hAnsi="宋体" w:cs="宋体"/>
                <w:b/>
                <w:color w:val="000000" w:themeColor="text1"/>
                <w:sz w:val="24"/>
                <w14:textFill>
                  <w14:solidFill>
                    <w14:schemeClr w14:val="tx1"/>
                  </w14:solidFill>
                </w14:textFill>
              </w:rPr>
            </w:pPr>
            <w:r>
              <w:rPr>
                <w:rFonts w:hint="eastAsia" w:ascii="宋体" w:hAnsi="宋体" w:cs="宋体"/>
                <w:sz w:val="24"/>
              </w:rPr>
              <w:t>套</w:t>
            </w:r>
          </w:p>
        </w:tc>
        <w:tc>
          <w:tcPr>
            <w:tcW w:w="1570" w:type="dxa"/>
            <w:vAlign w:val="center"/>
          </w:tcPr>
          <w:p w14:paraId="2ED545A7">
            <w:pPr>
              <w:widowControl/>
              <w:snapToGrid w:val="0"/>
              <w:spacing w:beforeLines="50" w:line="360" w:lineRule="auto"/>
              <w:rPr>
                <w:rFonts w:ascii="宋体" w:hAnsi="宋体" w:cs="宋体"/>
                <w:b/>
                <w:color w:val="000000" w:themeColor="text1"/>
                <w:sz w:val="24"/>
                <w14:textFill>
                  <w14:solidFill>
                    <w14:schemeClr w14:val="tx1"/>
                  </w14:solidFill>
                </w14:textFill>
              </w:rPr>
            </w:pPr>
            <w:r>
              <w:rPr>
                <w:rFonts w:hint="eastAsia" w:ascii="宋体" w:hAnsi="宋体" w:cs="宋体"/>
                <w:sz w:val="24"/>
              </w:rPr>
              <w:t>1</w:t>
            </w:r>
          </w:p>
        </w:tc>
      </w:tr>
      <w:tr w14:paraId="5560C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168FCA29">
            <w:pPr>
              <w:widowControl/>
              <w:snapToGrid w:val="0"/>
              <w:spacing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二</w:t>
            </w:r>
          </w:p>
        </w:tc>
        <w:tc>
          <w:tcPr>
            <w:tcW w:w="4409" w:type="dxa"/>
            <w:vAlign w:val="center"/>
          </w:tcPr>
          <w:p w14:paraId="01178851">
            <w:pPr>
              <w:widowControl/>
              <w:snapToGrid w:val="0"/>
              <w:spacing w:beforeLines="50"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sz w:val="24"/>
              </w:rPr>
              <w:t>三通道智能监测单元</w:t>
            </w:r>
          </w:p>
        </w:tc>
        <w:tc>
          <w:tcPr>
            <w:tcW w:w="1810" w:type="dxa"/>
            <w:vAlign w:val="center"/>
          </w:tcPr>
          <w:p w14:paraId="57AA95C4">
            <w:pPr>
              <w:widowControl/>
              <w:snapToGrid w:val="0"/>
              <w:spacing w:beforeLines="50"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sz w:val="24"/>
              </w:rPr>
              <w:t>套</w:t>
            </w:r>
          </w:p>
        </w:tc>
        <w:tc>
          <w:tcPr>
            <w:tcW w:w="1570" w:type="dxa"/>
            <w:vAlign w:val="center"/>
          </w:tcPr>
          <w:p w14:paraId="2321D15E">
            <w:pPr>
              <w:widowControl/>
              <w:snapToGrid w:val="0"/>
              <w:spacing w:beforeLines="50"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sz w:val="24"/>
              </w:rPr>
              <w:t>40</w:t>
            </w:r>
          </w:p>
        </w:tc>
      </w:tr>
      <w:tr w14:paraId="4F049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97FBC05">
            <w:pPr>
              <w:widowControl/>
              <w:snapToGrid w:val="0"/>
              <w:spacing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三</w:t>
            </w:r>
          </w:p>
        </w:tc>
        <w:tc>
          <w:tcPr>
            <w:tcW w:w="4409" w:type="dxa"/>
            <w:vAlign w:val="center"/>
          </w:tcPr>
          <w:p w14:paraId="3D184592">
            <w:pPr>
              <w:widowControl/>
              <w:snapToGrid w:val="0"/>
              <w:spacing w:beforeLines="50"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sz w:val="24"/>
              </w:rPr>
              <w:t>三分量高分辨率智能检波器</w:t>
            </w:r>
          </w:p>
        </w:tc>
        <w:tc>
          <w:tcPr>
            <w:tcW w:w="1810" w:type="dxa"/>
            <w:vAlign w:val="center"/>
          </w:tcPr>
          <w:p w14:paraId="47453AB9">
            <w:pPr>
              <w:widowControl/>
              <w:snapToGrid w:val="0"/>
              <w:spacing w:beforeLines="50"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sz w:val="24"/>
              </w:rPr>
              <w:t>套</w:t>
            </w:r>
          </w:p>
        </w:tc>
        <w:tc>
          <w:tcPr>
            <w:tcW w:w="1570" w:type="dxa"/>
            <w:vAlign w:val="center"/>
          </w:tcPr>
          <w:p w14:paraId="33AC634F">
            <w:pPr>
              <w:widowControl/>
              <w:snapToGrid w:val="0"/>
              <w:spacing w:beforeLines="50"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sz w:val="24"/>
              </w:rPr>
              <w:t>10</w:t>
            </w:r>
          </w:p>
        </w:tc>
      </w:tr>
      <w:tr w14:paraId="14300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F3462DD">
            <w:pPr>
              <w:widowControl/>
              <w:snapToGrid w:val="0"/>
              <w:spacing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四</w:t>
            </w:r>
          </w:p>
        </w:tc>
        <w:tc>
          <w:tcPr>
            <w:tcW w:w="4409" w:type="dxa"/>
            <w:vAlign w:val="center"/>
          </w:tcPr>
          <w:p w14:paraId="67FFC2A3">
            <w:pPr>
              <w:widowControl/>
              <w:snapToGrid w:val="0"/>
              <w:spacing w:beforeLines="50"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sz w:val="24"/>
              </w:rPr>
              <w:t>数据处理分析软件</w:t>
            </w:r>
          </w:p>
        </w:tc>
        <w:tc>
          <w:tcPr>
            <w:tcW w:w="1810" w:type="dxa"/>
            <w:vAlign w:val="center"/>
          </w:tcPr>
          <w:p w14:paraId="1A0383E2">
            <w:pPr>
              <w:widowControl/>
              <w:snapToGrid w:val="0"/>
              <w:spacing w:beforeLines="50"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sz w:val="24"/>
              </w:rPr>
              <w:t>套</w:t>
            </w:r>
          </w:p>
        </w:tc>
        <w:tc>
          <w:tcPr>
            <w:tcW w:w="1570" w:type="dxa"/>
            <w:vAlign w:val="center"/>
          </w:tcPr>
          <w:p w14:paraId="51843C6D">
            <w:pPr>
              <w:widowControl/>
              <w:snapToGrid w:val="0"/>
              <w:spacing w:beforeLines="50"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sz w:val="24"/>
              </w:rPr>
              <w:t>1</w:t>
            </w:r>
          </w:p>
        </w:tc>
      </w:tr>
      <w:tr w14:paraId="24E04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07554F3">
            <w:pPr>
              <w:widowControl/>
              <w:snapToGrid w:val="0"/>
              <w:spacing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五</w:t>
            </w:r>
          </w:p>
        </w:tc>
        <w:tc>
          <w:tcPr>
            <w:tcW w:w="4409" w:type="dxa"/>
            <w:vAlign w:val="center"/>
          </w:tcPr>
          <w:p w14:paraId="06EAE10F">
            <w:pPr>
              <w:widowControl/>
              <w:snapToGrid w:val="0"/>
              <w:spacing w:beforeLines="50"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sz w:val="24"/>
              </w:rPr>
              <w:t>安装调试（含野外供电等辅助材料）</w:t>
            </w:r>
          </w:p>
        </w:tc>
        <w:tc>
          <w:tcPr>
            <w:tcW w:w="1810" w:type="dxa"/>
            <w:vAlign w:val="center"/>
          </w:tcPr>
          <w:p w14:paraId="5B41890F">
            <w:pPr>
              <w:widowControl/>
              <w:snapToGrid w:val="0"/>
              <w:spacing w:beforeLines="50"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sz w:val="24"/>
              </w:rPr>
              <w:t>套</w:t>
            </w:r>
          </w:p>
        </w:tc>
        <w:tc>
          <w:tcPr>
            <w:tcW w:w="1570" w:type="dxa"/>
            <w:vAlign w:val="center"/>
          </w:tcPr>
          <w:p w14:paraId="774CE3F9">
            <w:pPr>
              <w:widowControl/>
              <w:snapToGrid w:val="0"/>
              <w:spacing w:beforeLines="50"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sz w:val="24"/>
              </w:rPr>
              <w:t>51</w:t>
            </w:r>
          </w:p>
        </w:tc>
      </w:tr>
      <w:tr w14:paraId="487F9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65A481E">
            <w:pPr>
              <w:widowControl/>
              <w:snapToGrid w:val="0"/>
              <w:spacing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六</w:t>
            </w:r>
          </w:p>
        </w:tc>
        <w:tc>
          <w:tcPr>
            <w:tcW w:w="4409" w:type="dxa"/>
            <w:vAlign w:val="center"/>
          </w:tcPr>
          <w:p w14:paraId="67A81C68">
            <w:pPr>
              <w:widowControl/>
              <w:snapToGrid w:val="0"/>
              <w:spacing w:beforeLines="50"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sz w:val="24"/>
              </w:rPr>
              <w:t>数据传输服务</w:t>
            </w:r>
          </w:p>
        </w:tc>
        <w:tc>
          <w:tcPr>
            <w:tcW w:w="1810" w:type="dxa"/>
            <w:vAlign w:val="center"/>
          </w:tcPr>
          <w:p w14:paraId="2450A463">
            <w:pPr>
              <w:widowControl/>
              <w:snapToGrid w:val="0"/>
              <w:spacing w:beforeLines="50"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sz w:val="24"/>
              </w:rPr>
              <w:t>41套/年</w:t>
            </w:r>
          </w:p>
        </w:tc>
        <w:tc>
          <w:tcPr>
            <w:tcW w:w="1570" w:type="dxa"/>
            <w:vAlign w:val="center"/>
          </w:tcPr>
          <w:p w14:paraId="1105D5C0">
            <w:pPr>
              <w:widowControl/>
              <w:snapToGrid w:val="0"/>
              <w:spacing w:beforeLines="50"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sz w:val="24"/>
              </w:rPr>
              <w:t>3</w:t>
            </w:r>
          </w:p>
        </w:tc>
      </w:tr>
    </w:tbl>
    <w:p w14:paraId="4DEDBB59">
      <w:pPr>
        <w:widowControl/>
        <w:snapToGrid w:val="0"/>
        <w:spacing w:beforeLines="150" w:line="360" w:lineRule="auto"/>
        <w:ind w:firstLine="42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技术要求及参数：</w:t>
      </w:r>
    </w:p>
    <w:p w14:paraId="0CA962B0">
      <w:pPr>
        <w:widowControl/>
        <w:snapToGrid w:val="0"/>
        <w:spacing w:line="360" w:lineRule="auto"/>
        <w:ind w:firstLine="42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详细见：技术性能指标表。</w:t>
      </w:r>
    </w:p>
    <w:p w14:paraId="3CC69B92">
      <w:pPr>
        <w:widowControl/>
        <w:snapToGrid w:val="0"/>
        <w:spacing w:line="360" w:lineRule="auto"/>
        <w:ind w:firstLine="42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加“</w:t>
      </w: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t>”条款为必须满足的条款，不得偏离。</w:t>
      </w:r>
    </w:p>
    <w:p w14:paraId="4AEB4468">
      <w:pPr>
        <w:widowControl/>
        <w:snapToGrid w:val="0"/>
        <w:spacing w:beforeLines="50" w:afterLines="50"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2、技术性能指标表</w:t>
      </w:r>
    </w:p>
    <w:tbl>
      <w:tblPr>
        <w:tblStyle w:val="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75E30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Align w:val="center"/>
          </w:tcPr>
          <w:p w14:paraId="162CD258">
            <w:pPr>
              <w:widowControl/>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编号</w:t>
            </w:r>
          </w:p>
        </w:tc>
        <w:tc>
          <w:tcPr>
            <w:tcW w:w="1051" w:type="dxa"/>
            <w:vAlign w:val="center"/>
          </w:tcPr>
          <w:p w14:paraId="3DBDB7FB">
            <w:pPr>
              <w:widowControl/>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招标技术指标名称</w:t>
            </w:r>
          </w:p>
        </w:tc>
        <w:tc>
          <w:tcPr>
            <w:tcW w:w="7879" w:type="dxa"/>
            <w:gridSpan w:val="2"/>
            <w:vAlign w:val="center"/>
          </w:tcPr>
          <w:p w14:paraId="25026A3A">
            <w:pPr>
              <w:widowControl/>
              <w:spacing w:line="360" w:lineRule="auto"/>
              <w:jc w:val="center"/>
              <w:rPr>
                <w:rFonts w:ascii="宋体" w:hAnsi="宋体" w:cs="宋体"/>
                <w:b/>
                <w:color w:val="000000" w:themeColor="text1"/>
                <w:sz w:val="24"/>
                <w14:textFill>
                  <w14:solidFill>
                    <w14:schemeClr w14:val="tx1"/>
                  </w14:solidFill>
                </w14:textFill>
              </w:rPr>
            </w:pPr>
            <w:r>
              <w:rPr>
                <w:rFonts w:hint="eastAsia" w:ascii="宋体" w:hAnsi="Bookman Old Style"/>
                <w:sz w:val="24"/>
              </w:rPr>
              <w:t>山地灾害动力学监测系统</w:t>
            </w:r>
          </w:p>
        </w:tc>
      </w:tr>
      <w:tr w14:paraId="40F46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1608FED1">
            <w:pPr>
              <w:widowControl/>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1051" w:type="dxa"/>
            <w:vAlign w:val="center"/>
          </w:tcPr>
          <w:p w14:paraId="0071A5DE">
            <w:pPr>
              <w:widowControl/>
              <w:spacing w:line="360" w:lineRule="auto"/>
              <w:ind w:firstLine="120" w:firstLineChars="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应用范围和要求</w:t>
            </w:r>
          </w:p>
        </w:tc>
        <w:tc>
          <w:tcPr>
            <w:tcW w:w="7879" w:type="dxa"/>
            <w:gridSpan w:val="2"/>
            <w:vAlign w:val="center"/>
          </w:tcPr>
          <w:p w14:paraId="4DB03792">
            <w:pPr>
              <w:spacing w:line="360" w:lineRule="auto"/>
              <w:ind w:left="105" w:leftChars="50"/>
              <w:rPr>
                <w:rFonts w:ascii="宋体" w:hAnsi="宋体" w:cs="宋体"/>
                <w:color w:val="000000" w:themeColor="text1"/>
                <w:sz w:val="24"/>
                <w14:textFill>
                  <w14:solidFill>
                    <w14:schemeClr w14:val="tx1"/>
                  </w14:solidFill>
                </w14:textFill>
              </w:rPr>
            </w:pPr>
            <w:r>
              <w:rPr>
                <w:rFonts w:hint="eastAsia" w:ascii="宋体" w:hAnsi="宋体"/>
                <w:sz w:val="24"/>
              </w:rPr>
              <w:t>本设备主要用于西南高寒山区山地灾害如崩塌、滑坡、泥石流等物源起动时发生的微动、地震动等信号的实时监测，为山地灾害预警、发生学研究提供试验技术支撑。</w:t>
            </w:r>
          </w:p>
        </w:tc>
      </w:tr>
      <w:tr w14:paraId="21644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78DE014C">
            <w:pPr>
              <w:widowControl/>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p w14:paraId="7483408D">
            <w:pPr>
              <w:widowControl/>
              <w:spacing w:line="360" w:lineRule="auto"/>
              <w:jc w:val="center"/>
              <w:rPr>
                <w:rFonts w:ascii="宋体" w:hAnsi="宋体" w:cs="宋体"/>
                <w:color w:val="000000" w:themeColor="text1"/>
                <w:sz w:val="24"/>
                <w14:textFill>
                  <w14:solidFill>
                    <w14:schemeClr w14:val="tx1"/>
                  </w14:solidFill>
                </w14:textFill>
              </w:rPr>
            </w:pPr>
          </w:p>
          <w:p w14:paraId="61701776">
            <w:pPr>
              <w:pStyle w:val="2"/>
            </w:pPr>
          </w:p>
        </w:tc>
        <w:tc>
          <w:tcPr>
            <w:tcW w:w="1051" w:type="dxa"/>
            <w:vMerge w:val="restart"/>
            <w:vAlign w:val="center"/>
          </w:tcPr>
          <w:p w14:paraId="634DEF80">
            <w:pPr>
              <w:widowControl/>
              <w:spacing w:line="360" w:lineRule="auto"/>
              <w:ind w:firstLine="120" w:firstLineChars="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性能指标</w:t>
            </w:r>
          </w:p>
        </w:tc>
        <w:tc>
          <w:tcPr>
            <w:tcW w:w="7879" w:type="dxa"/>
            <w:gridSpan w:val="2"/>
            <w:vAlign w:val="center"/>
          </w:tcPr>
          <w:p w14:paraId="06EF5EAC">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sz w:val="24"/>
              </w:rPr>
              <w:t>强震（加速度模块）在线监测仪</w:t>
            </w:r>
          </w:p>
        </w:tc>
      </w:tr>
      <w:tr w14:paraId="703CA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40E73B62">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43741C05">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2BFC4FE5">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1</w:t>
            </w:r>
          </w:p>
        </w:tc>
        <w:tc>
          <w:tcPr>
            <w:tcW w:w="7130" w:type="dxa"/>
            <w:vAlign w:val="center"/>
          </w:tcPr>
          <w:p w14:paraId="7DEFB8FF">
            <w:pPr>
              <w:spacing w:line="360" w:lineRule="auto"/>
              <w:rPr>
                <w:rFonts w:ascii="宋体" w:hAnsi="宋体" w:cs="宋体"/>
                <w:color w:val="000000" w:themeColor="text1"/>
                <w:sz w:val="24"/>
                <w14:textFill>
                  <w14:solidFill>
                    <w14:schemeClr w14:val="tx1"/>
                  </w14:solidFill>
                </w14:textFill>
              </w:rPr>
            </w:pPr>
            <w:r>
              <w:rPr>
                <w:rFonts w:hint="eastAsia" w:ascii="宋体" w:hAnsi="宋体"/>
                <w:sz w:val="24"/>
              </w:rPr>
              <w:t>微动及地震动检测范围（Acceleration range）：±15g</w:t>
            </w:r>
          </w:p>
        </w:tc>
      </w:tr>
      <w:tr w14:paraId="4B11C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14:paraId="64ED257D">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7F3AA3D7">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100F8BA3">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2</w:t>
            </w:r>
          </w:p>
        </w:tc>
        <w:tc>
          <w:tcPr>
            <w:tcW w:w="7130" w:type="dxa"/>
            <w:vAlign w:val="center"/>
          </w:tcPr>
          <w:p w14:paraId="3EDFA307">
            <w:pPr>
              <w:spacing w:line="360" w:lineRule="auto"/>
              <w:rPr>
                <w:rFonts w:ascii="宋体" w:hAnsi="宋体" w:cs="宋体"/>
                <w:color w:val="000000" w:themeColor="text1"/>
                <w:sz w:val="24"/>
                <w14:textFill>
                  <w14:solidFill>
                    <w14:schemeClr w14:val="tx1"/>
                  </w14:solidFill>
                </w14:textFill>
              </w:rPr>
            </w:pPr>
            <w:r>
              <w:rPr>
                <w:rFonts w:hint="eastAsia" w:ascii="宋体" w:hAnsi="宋体"/>
                <w:sz w:val="24"/>
              </w:rPr>
              <w:t>强震动检测范围（Acceleration range） ：±2g，±4g</w:t>
            </w:r>
          </w:p>
        </w:tc>
      </w:tr>
      <w:tr w14:paraId="54DE3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770E5313">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58057A0F">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3F949F63">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3</w:t>
            </w:r>
          </w:p>
        </w:tc>
        <w:tc>
          <w:tcPr>
            <w:tcW w:w="7130" w:type="dxa"/>
            <w:vAlign w:val="center"/>
          </w:tcPr>
          <w:p w14:paraId="0E106D83">
            <w:pPr>
              <w:spacing w:line="360" w:lineRule="auto"/>
              <w:rPr>
                <w:rFonts w:ascii="宋体" w:hAnsi="宋体" w:cs="宋体"/>
                <w:color w:val="000000" w:themeColor="text1"/>
                <w:sz w:val="24"/>
                <w14:textFill>
                  <w14:solidFill>
                    <w14:schemeClr w14:val="tx1"/>
                  </w14:solidFill>
                </w14:textFill>
              </w:rPr>
            </w:pPr>
            <w:r>
              <w:rPr>
                <w:rFonts w:hint="eastAsia" w:ascii="宋体" w:hAnsi="宋体"/>
                <w:sz w:val="24"/>
              </w:rPr>
              <w:t>实时内存数存储据：≥大于600秒（125Hz sampling rate）</w:t>
            </w:r>
          </w:p>
        </w:tc>
      </w:tr>
      <w:tr w14:paraId="02687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597DACA9">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71B8D374">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8D57F06">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4</w:t>
            </w:r>
          </w:p>
        </w:tc>
        <w:tc>
          <w:tcPr>
            <w:tcW w:w="7130" w:type="dxa"/>
            <w:vAlign w:val="center"/>
          </w:tcPr>
          <w:p w14:paraId="681D81DA">
            <w:pPr>
              <w:spacing w:line="360" w:lineRule="auto"/>
              <w:rPr>
                <w:rFonts w:ascii="宋体" w:hAnsi="宋体" w:cs="宋体"/>
                <w:color w:val="000000" w:themeColor="text1"/>
                <w:sz w:val="24"/>
                <w14:textFill>
                  <w14:solidFill>
                    <w14:schemeClr w14:val="tx1"/>
                  </w14:solidFill>
                </w14:textFill>
              </w:rPr>
            </w:pPr>
            <w:r>
              <w:rPr>
                <w:rFonts w:hint="eastAsia" w:ascii="宋体" w:hAnsi="宋体"/>
                <w:sz w:val="24"/>
              </w:rPr>
              <w:t>时钟精度误差：≤0.15μsec</w:t>
            </w:r>
          </w:p>
        </w:tc>
      </w:tr>
      <w:tr w14:paraId="072D9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3FF7AB2">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7B09C1EF">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6A069F88">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5</w:t>
            </w:r>
          </w:p>
        </w:tc>
        <w:tc>
          <w:tcPr>
            <w:tcW w:w="7130" w:type="dxa"/>
            <w:vAlign w:val="center"/>
          </w:tcPr>
          <w:p w14:paraId="219EFBFC">
            <w:pPr>
              <w:spacing w:line="360" w:lineRule="auto"/>
              <w:rPr>
                <w:rFonts w:ascii="宋体" w:hAnsi="宋体" w:cs="宋体"/>
                <w:color w:val="000000" w:themeColor="text1"/>
                <w:sz w:val="24"/>
                <w14:textFill>
                  <w14:solidFill>
                    <w14:schemeClr w14:val="tx1"/>
                  </w14:solidFill>
                </w14:textFill>
              </w:rPr>
            </w:pPr>
            <w:r>
              <w:rPr>
                <w:rFonts w:hint="eastAsia" w:ascii="宋体" w:hAnsi="宋体"/>
                <w:sz w:val="24"/>
              </w:rPr>
              <w:t>最大有效无线通讯距离：4km</w:t>
            </w:r>
          </w:p>
        </w:tc>
      </w:tr>
      <w:tr w14:paraId="422D9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0C9632D3">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1091014B">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879" w:type="dxa"/>
            <w:gridSpan w:val="2"/>
            <w:vAlign w:val="center"/>
          </w:tcPr>
          <w:p w14:paraId="28CE34E3">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sz w:val="24"/>
              </w:rPr>
              <w:t>三通道智能监测单元</w:t>
            </w:r>
          </w:p>
        </w:tc>
      </w:tr>
      <w:tr w14:paraId="63A18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vAlign w:val="center"/>
          </w:tcPr>
          <w:p w14:paraId="4DEC602C">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39C59095">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0782A341">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6</w:t>
            </w:r>
          </w:p>
        </w:tc>
        <w:tc>
          <w:tcPr>
            <w:tcW w:w="7130" w:type="dxa"/>
            <w:vAlign w:val="center"/>
          </w:tcPr>
          <w:p w14:paraId="2BBCD172">
            <w:pPr>
              <w:spacing w:line="360" w:lineRule="auto"/>
              <w:rPr>
                <w:rFonts w:ascii="宋体" w:hAnsi="宋体" w:cs="宋体"/>
                <w:color w:val="000000" w:themeColor="text1"/>
                <w:sz w:val="24"/>
                <w14:textFill>
                  <w14:solidFill>
                    <w14:schemeClr w14:val="tx1"/>
                  </w14:solidFill>
                </w14:textFill>
              </w:rPr>
            </w:pPr>
            <w:r>
              <w:rPr>
                <w:rFonts w:hint="eastAsia" w:ascii="宋体" w:hAnsi="宋体"/>
                <w:sz w:val="24"/>
              </w:rPr>
              <w:t>通道：3通道</w:t>
            </w:r>
          </w:p>
        </w:tc>
      </w:tr>
      <w:tr w14:paraId="67589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vAlign w:val="center"/>
          </w:tcPr>
          <w:p w14:paraId="7316C35C">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1001A017">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DBA2B4C">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7</w:t>
            </w:r>
          </w:p>
        </w:tc>
        <w:tc>
          <w:tcPr>
            <w:tcW w:w="7130" w:type="dxa"/>
            <w:vAlign w:val="center"/>
          </w:tcPr>
          <w:p w14:paraId="1A23F8A5">
            <w:pPr>
              <w:spacing w:line="360" w:lineRule="auto"/>
              <w:rPr>
                <w:rFonts w:ascii="宋体" w:hAnsi="宋体" w:cs="宋体"/>
                <w:color w:val="000000" w:themeColor="text1"/>
                <w:sz w:val="24"/>
                <w14:textFill>
                  <w14:solidFill>
                    <w14:schemeClr w14:val="tx1"/>
                  </w14:solidFill>
                </w14:textFill>
              </w:rPr>
            </w:pPr>
            <w:r>
              <w:rPr>
                <w:rFonts w:hint="eastAsia" w:ascii="宋体" w:hAnsi="宋体"/>
                <w:sz w:val="24"/>
              </w:rPr>
              <w:t>ADC分辨率： 32位</w:t>
            </w:r>
          </w:p>
        </w:tc>
      </w:tr>
      <w:tr w14:paraId="19F21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E9AF56D">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3EF06759">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B12A1A8">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8</w:t>
            </w:r>
          </w:p>
        </w:tc>
        <w:tc>
          <w:tcPr>
            <w:tcW w:w="7130" w:type="dxa"/>
            <w:vAlign w:val="center"/>
          </w:tcPr>
          <w:p w14:paraId="03BF7E0B">
            <w:pPr>
              <w:spacing w:line="360" w:lineRule="auto"/>
              <w:rPr>
                <w:rFonts w:ascii="宋体" w:hAnsi="宋体" w:cs="宋体"/>
                <w:color w:val="000000" w:themeColor="text1"/>
                <w:sz w:val="24"/>
                <w14:textFill>
                  <w14:solidFill>
                    <w14:schemeClr w14:val="tx1"/>
                  </w14:solidFill>
                </w14:textFill>
              </w:rPr>
            </w:pPr>
            <w:r>
              <w:rPr>
                <w:rFonts w:hint="eastAsia" w:ascii="宋体" w:hAnsi="宋体"/>
                <w:sz w:val="24"/>
              </w:rPr>
              <w:t>采样率：0.25， 0.5，1，2，4，8，20 ms</w:t>
            </w:r>
          </w:p>
        </w:tc>
      </w:tr>
      <w:tr w14:paraId="6DF28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F58D5C8">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77638CE0">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642B18B3">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w:t>
            </w:r>
          </w:p>
        </w:tc>
        <w:tc>
          <w:tcPr>
            <w:tcW w:w="7130" w:type="dxa"/>
            <w:vAlign w:val="center"/>
          </w:tcPr>
          <w:p w14:paraId="0C19A897">
            <w:pPr>
              <w:spacing w:line="360" w:lineRule="auto"/>
              <w:rPr>
                <w:rFonts w:ascii="宋体" w:hAnsi="宋体" w:cs="宋体"/>
                <w:color w:val="000000" w:themeColor="text1"/>
                <w:sz w:val="24"/>
                <w14:textFill>
                  <w14:solidFill>
                    <w14:schemeClr w14:val="tx1"/>
                  </w14:solidFill>
                </w14:textFill>
              </w:rPr>
            </w:pPr>
            <w:r>
              <w:rPr>
                <w:rFonts w:hint="eastAsia" w:ascii="宋体" w:hAnsi="宋体"/>
                <w:sz w:val="24"/>
              </w:rPr>
              <w:t>前放增益 : 0dB 至 36 dB ，6 dB 增阶</w:t>
            </w:r>
          </w:p>
        </w:tc>
      </w:tr>
      <w:tr w14:paraId="4FD25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vAlign w:val="center"/>
          </w:tcPr>
          <w:p w14:paraId="0AFE28AF">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79A2335A">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28741B5">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w:t>
            </w:r>
          </w:p>
        </w:tc>
        <w:tc>
          <w:tcPr>
            <w:tcW w:w="7130" w:type="dxa"/>
            <w:vAlign w:val="center"/>
          </w:tcPr>
          <w:p w14:paraId="1550CBEB">
            <w:pPr>
              <w:spacing w:line="360" w:lineRule="auto"/>
              <w:rPr>
                <w:rFonts w:ascii="宋体" w:hAnsi="宋体" w:cs="宋体"/>
                <w:color w:val="000000" w:themeColor="text1"/>
                <w:sz w:val="24"/>
                <w14:textFill>
                  <w14:solidFill>
                    <w14:schemeClr w14:val="tx1"/>
                  </w14:solidFill>
                </w14:textFill>
              </w:rPr>
            </w:pPr>
            <w:r>
              <w:rPr>
                <w:rFonts w:hint="eastAsia" w:ascii="宋体" w:hAnsi="宋体"/>
                <w:sz w:val="24"/>
              </w:rPr>
              <w:t>总谐波失真 : &lt;0.0002% @ 增益 0dB</w:t>
            </w:r>
          </w:p>
        </w:tc>
      </w:tr>
      <w:tr w14:paraId="51A34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6ABD512">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7E62A8CA">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1E9EACCD">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w:t>
            </w:r>
          </w:p>
        </w:tc>
        <w:tc>
          <w:tcPr>
            <w:tcW w:w="7130" w:type="dxa"/>
            <w:vAlign w:val="center"/>
          </w:tcPr>
          <w:p w14:paraId="754C583B">
            <w:pPr>
              <w:spacing w:line="360" w:lineRule="auto"/>
              <w:rPr>
                <w:rFonts w:ascii="宋体" w:hAnsi="宋体" w:cs="宋体"/>
                <w:color w:val="000000" w:themeColor="text1"/>
                <w:sz w:val="24"/>
                <w14:textFill>
                  <w14:solidFill>
                    <w14:schemeClr w14:val="tx1"/>
                  </w14:solidFill>
                </w14:textFill>
              </w:rPr>
            </w:pPr>
            <w:r>
              <w:rPr>
                <w:rFonts w:hint="eastAsia" w:ascii="宋体" w:hAnsi="宋体"/>
                <w:sz w:val="24"/>
              </w:rPr>
              <w:t>共模抑制 : ≥100dB</w:t>
            </w:r>
          </w:p>
        </w:tc>
      </w:tr>
      <w:tr w14:paraId="434E8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C6E20FF">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1A337DD6">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7343521D">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w:t>
            </w:r>
          </w:p>
        </w:tc>
        <w:tc>
          <w:tcPr>
            <w:tcW w:w="7130" w:type="dxa"/>
            <w:vAlign w:val="center"/>
          </w:tcPr>
          <w:p w14:paraId="52963768">
            <w:pPr>
              <w:spacing w:line="360" w:lineRule="auto"/>
              <w:rPr>
                <w:rFonts w:ascii="宋体" w:hAnsi="宋体" w:cs="宋体"/>
                <w:color w:val="000000" w:themeColor="text1"/>
                <w:sz w:val="24"/>
                <w14:textFill>
                  <w14:solidFill>
                    <w14:schemeClr w14:val="tx1"/>
                  </w14:solidFill>
                </w14:textFill>
              </w:rPr>
            </w:pPr>
            <w:r>
              <w:rPr>
                <w:rFonts w:hint="eastAsia" w:ascii="宋体" w:hAnsi="宋体"/>
                <w:sz w:val="24"/>
              </w:rPr>
              <w:t>增益精度 : &lt;1%</w:t>
            </w:r>
          </w:p>
        </w:tc>
      </w:tr>
      <w:tr w14:paraId="36FDB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B983F49">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77A6EEFE">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795F788C">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w:t>
            </w:r>
          </w:p>
        </w:tc>
        <w:tc>
          <w:tcPr>
            <w:tcW w:w="7130" w:type="dxa"/>
            <w:vAlign w:val="center"/>
          </w:tcPr>
          <w:p w14:paraId="68FAD217">
            <w:pPr>
              <w:spacing w:line="360" w:lineRule="auto"/>
              <w:rPr>
                <w:rFonts w:ascii="宋体" w:hAnsi="宋体" w:cs="宋体"/>
                <w:color w:val="000000" w:themeColor="text1"/>
                <w:sz w:val="24"/>
                <w14:textFill>
                  <w14:solidFill>
                    <w14:schemeClr w14:val="tx1"/>
                  </w14:solidFill>
                </w14:textFill>
              </w:rPr>
            </w:pPr>
            <w:r>
              <w:rPr>
                <w:rFonts w:hint="eastAsia" w:ascii="宋体" w:hAnsi="宋体"/>
                <w:sz w:val="24"/>
              </w:rPr>
              <w:t>GNSS时间标准 : 1ppm，GNSS时间精度 : ±10μs, GNSS时钟驯服</w:t>
            </w:r>
          </w:p>
        </w:tc>
      </w:tr>
      <w:tr w14:paraId="45C25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B6CDCCC">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47E61D70">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3C370965">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w:t>
            </w:r>
          </w:p>
        </w:tc>
        <w:tc>
          <w:tcPr>
            <w:tcW w:w="7130" w:type="dxa"/>
            <w:vAlign w:val="center"/>
          </w:tcPr>
          <w:p w14:paraId="7B087249">
            <w:pPr>
              <w:spacing w:line="360" w:lineRule="auto"/>
              <w:rPr>
                <w:rFonts w:ascii="宋体" w:hAnsi="宋体" w:cs="宋体"/>
                <w:color w:val="000000" w:themeColor="text1"/>
                <w:sz w:val="24"/>
                <w14:textFill>
                  <w14:solidFill>
                    <w14:schemeClr w14:val="tx1"/>
                  </w14:solidFill>
                </w14:textFill>
              </w:rPr>
            </w:pPr>
            <w:r>
              <w:rPr>
                <w:rFonts w:hint="eastAsia" w:ascii="宋体" w:hAnsi="宋体"/>
                <w:sz w:val="24"/>
              </w:rPr>
              <w:t>串音 : &lt; -110dB</w:t>
            </w:r>
          </w:p>
        </w:tc>
      </w:tr>
      <w:tr w14:paraId="20B57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65DC104">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7E247B3C">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648CD809">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w:t>
            </w:r>
          </w:p>
        </w:tc>
        <w:tc>
          <w:tcPr>
            <w:tcW w:w="7130" w:type="dxa"/>
            <w:vAlign w:val="center"/>
          </w:tcPr>
          <w:p w14:paraId="54682230">
            <w:pPr>
              <w:spacing w:line="360" w:lineRule="auto"/>
              <w:rPr>
                <w:rFonts w:ascii="宋体" w:hAnsi="宋体" w:cs="宋体"/>
                <w:color w:val="000000" w:themeColor="text1"/>
                <w:sz w:val="24"/>
                <w14:textFill>
                  <w14:solidFill>
                    <w14:schemeClr w14:val="tx1"/>
                  </w14:solidFill>
                </w14:textFill>
              </w:rPr>
            </w:pPr>
            <w:r>
              <w:rPr>
                <w:rFonts w:hint="eastAsia" w:ascii="宋体" w:hAnsi="宋体"/>
                <w:sz w:val="24"/>
              </w:rPr>
              <w:t>系统动态范围 : 145dB</w:t>
            </w:r>
          </w:p>
        </w:tc>
      </w:tr>
      <w:tr w14:paraId="1BDCB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157ECE9">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50FB2528">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2B8F9E2A">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▲16</w:t>
            </w:r>
          </w:p>
        </w:tc>
        <w:tc>
          <w:tcPr>
            <w:tcW w:w="7130" w:type="dxa"/>
            <w:vAlign w:val="center"/>
          </w:tcPr>
          <w:p w14:paraId="598F76FB">
            <w:pPr>
              <w:spacing w:line="360" w:lineRule="auto"/>
              <w:rPr>
                <w:rFonts w:ascii="宋体" w:hAnsi="宋体"/>
                <w:sz w:val="24"/>
              </w:rPr>
            </w:pPr>
            <w:r>
              <w:rPr>
                <w:rFonts w:hint="eastAsia" w:ascii="宋体" w:hAnsi="宋体"/>
                <w:sz w:val="24"/>
              </w:rPr>
              <w:t>频率响应范围：0-1652Hz</w:t>
            </w:r>
          </w:p>
        </w:tc>
      </w:tr>
      <w:tr w14:paraId="286DF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295C655">
            <w:pPr>
              <w:pStyle w:val="2"/>
            </w:pPr>
          </w:p>
        </w:tc>
        <w:tc>
          <w:tcPr>
            <w:tcW w:w="1051" w:type="dxa"/>
            <w:vMerge w:val="continue"/>
            <w:vAlign w:val="center"/>
          </w:tcPr>
          <w:p w14:paraId="0A519ABC">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02610116">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17</w:t>
            </w:r>
          </w:p>
        </w:tc>
        <w:tc>
          <w:tcPr>
            <w:tcW w:w="7130" w:type="dxa"/>
            <w:vAlign w:val="center"/>
          </w:tcPr>
          <w:p w14:paraId="063D4E44">
            <w:pPr>
              <w:spacing w:line="360" w:lineRule="auto"/>
              <w:rPr>
                <w:rFonts w:ascii="宋体" w:hAnsi="宋体"/>
                <w:sz w:val="24"/>
              </w:rPr>
            </w:pPr>
            <w:r>
              <w:rPr>
                <w:rFonts w:hint="eastAsia" w:ascii="宋体" w:hAnsi="宋体"/>
                <w:sz w:val="24"/>
              </w:rPr>
              <w:t>SIM卡：国内支持移动、联通、电信三大运营商</w:t>
            </w:r>
          </w:p>
        </w:tc>
      </w:tr>
      <w:tr w14:paraId="3D4CF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58E717F">
            <w:pPr>
              <w:pStyle w:val="2"/>
            </w:pPr>
          </w:p>
        </w:tc>
        <w:tc>
          <w:tcPr>
            <w:tcW w:w="1051" w:type="dxa"/>
            <w:vMerge w:val="continue"/>
            <w:vAlign w:val="center"/>
          </w:tcPr>
          <w:p w14:paraId="69849B13">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879" w:type="dxa"/>
            <w:gridSpan w:val="2"/>
            <w:vAlign w:val="center"/>
          </w:tcPr>
          <w:p w14:paraId="7720C229">
            <w:pPr>
              <w:spacing w:line="360" w:lineRule="auto"/>
              <w:jc w:val="center"/>
              <w:rPr>
                <w:rFonts w:ascii="宋体" w:hAnsi="宋体"/>
                <w:sz w:val="24"/>
              </w:rPr>
            </w:pPr>
            <w:r>
              <w:rPr>
                <w:rFonts w:hint="eastAsia" w:ascii="宋体" w:hAnsi="宋体"/>
                <w:sz w:val="24"/>
              </w:rPr>
              <w:t>三分量高分辨率智能检波器</w:t>
            </w:r>
          </w:p>
        </w:tc>
      </w:tr>
      <w:tr w14:paraId="300D3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1D16D4C">
            <w:pPr>
              <w:pStyle w:val="2"/>
            </w:pPr>
          </w:p>
        </w:tc>
        <w:tc>
          <w:tcPr>
            <w:tcW w:w="1051" w:type="dxa"/>
            <w:vMerge w:val="continue"/>
            <w:vAlign w:val="center"/>
          </w:tcPr>
          <w:p w14:paraId="4951D359">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D228DB6">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18</w:t>
            </w:r>
          </w:p>
        </w:tc>
        <w:tc>
          <w:tcPr>
            <w:tcW w:w="7130" w:type="dxa"/>
            <w:vAlign w:val="center"/>
          </w:tcPr>
          <w:p w14:paraId="456FE944">
            <w:pPr>
              <w:spacing w:line="360" w:lineRule="auto"/>
              <w:rPr>
                <w:rFonts w:ascii="宋体" w:hAnsi="宋体"/>
                <w:sz w:val="24"/>
              </w:rPr>
            </w:pPr>
            <w:r>
              <w:rPr>
                <w:rFonts w:hint="eastAsia" w:ascii="宋体" w:hAnsi="宋体"/>
                <w:sz w:val="24"/>
              </w:rPr>
              <w:t>通道：3通道</w:t>
            </w:r>
          </w:p>
        </w:tc>
      </w:tr>
      <w:tr w14:paraId="4E902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E565BE0">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680592D0">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0901C55">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19</w:t>
            </w:r>
          </w:p>
        </w:tc>
        <w:tc>
          <w:tcPr>
            <w:tcW w:w="7130" w:type="dxa"/>
            <w:vAlign w:val="center"/>
          </w:tcPr>
          <w:p w14:paraId="6946230E">
            <w:pPr>
              <w:spacing w:line="360" w:lineRule="auto"/>
              <w:rPr>
                <w:rFonts w:ascii="宋体" w:hAnsi="宋体"/>
                <w:sz w:val="24"/>
              </w:rPr>
            </w:pPr>
            <w:r>
              <w:rPr>
                <w:rFonts w:hint="eastAsia" w:ascii="宋体" w:hAnsi="宋体"/>
                <w:sz w:val="24"/>
              </w:rPr>
              <w:t>ADC分辨率： 32位</w:t>
            </w:r>
          </w:p>
        </w:tc>
      </w:tr>
      <w:tr w14:paraId="58453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5529854">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73E4E2EF">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D57597C">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20</w:t>
            </w:r>
          </w:p>
        </w:tc>
        <w:tc>
          <w:tcPr>
            <w:tcW w:w="7130" w:type="dxa"/>
            <w:vAlign w:val="center"/>
          </w:tcPr>
          <w:p w14:paraId="58ABF09F">
            <w:pPr>
              <w:spacing w:line="360" w:lineRule="auto"/>
              <w:rPr>
                <w:rFonts w:ascii="宋体" w:hAnsi="宋体"/>
                <w:sz w:val="24"/>
              </w:rPr>
            </w:pPr>
            <w:r>
              <w:rPr>
                <w:rFonts w:hint="eastAsia" w:ascii="宋体" w:hAnsi="宋体"/>
                <w:sz w:val="24"/>
              </w:rPr>
              <w:t>采样率：0.25， 0.5，1，2，4，8，20 ms</w:t>
            </w:r>
          </w:p>
        </w:tc>
      </w:tr>
      <w:tr w14:paraId="1A44F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9CB03D5">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4AF51338">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D4C9FFB">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21</w:t>
            </w:r>
          </w:p>
        </w:tc>
        <w:tc>
          <w:tcPr>
            <w:tcW w:w="7130" w:type="dxa"/>
            <w:vAlign w:val="center"/>
          </w:tcPr>
          <w:p w14:paraId="72933E0A">
            <w:pPr>
              <w:spacing w:line="360" w:lineRule="auto"/>
              <w:rPr>
                <w:rFonts w:ascii="宋体" w:hAnsi="宋体"/>
                <w:sz w:val="24"/>
              </w:rPr>
            </w:pPr>
            <w:r>
              <w:rPr>
                <w:rFonts w:hint="eastAsia" w:ascii="宋体" w:hAnsi="宋体"/>
                <w:sz w:val="24"/>
              </w:rPr>
              <w:t>前放增益 : 0dB 至 36 dB ，6 dB 增阶</w:t>
            </w:r>
          </w:p>
        </w:tc>
      </w:tr>
      <w:tr w14:paraId="08731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46F03C1">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59F690A6">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470EE413">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w:t>
            </w:r>
          </w:p>
        </w:tc>
        <w:tc>
          <w:tcPr>
            <w:tcW w:w="7130" w:type="dxa"/>
            <w:vAlign w:val="center"/>
          </w:tcPr>
          <w:p w14:paraId="3B974146">
            <w:pPr>
              <w:spacing w:line="360" w:lineRule="auto"/>
              <w:rPr>
                <w:rFonts w:ascii="宋体" w:hAnsi="宋体"/>
                <w:sz w:val="24"/>
              </w:rPr>
            </w:pPr>
            <w:r>
              <w:rPr>
                <w:rFonts w:hint="eastAsia" w:ascii="宋体" w:hAnsi="宋体"/>
                <w:sz w:val="24"/>
              </w:rPr>
              <w:t>总谐波失真 : &lt;0.0002% @ 增益 0dB</w:t>
            </w:r>
          </w:p>
        </w:tc>
      </w:tr>
      <w:tr w14:paraId="6808C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F820E01">
            <w:pPr>
              <w:pStyle w:val="2"/>
            </w:pPr>
          </w:p>
        </w:tc>
        <w:tc>
          <w:tcPr>
            <w:tcW w:w="1051" w:type="dxa"/>
            <w:vMerge w:val="continue"/>
            <w:vAlign w:val="center"/>
          </w:tcPr>
          <w:p w14:paraId="465E3A98">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21AAF5A">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w:t>
            </w:r>
          </w:p>
        </w:tc>
        <w:tc>
          <w:tcPr>
            <w:tcW w:w="7130" w:type="dxa"/>
            <w:vAlign w:val="center"/>
          </w:tcPr>
          <w:p w14:paraId="54F6392B">
            <w:pPr>
              <w:spacing w:line="360" w:lineRule="auto"/>
              <w:rPr>
                <w:rFonts w:ascii="宋体" w:hAnsi="宋体"/>
                <w:sz w:val="24"/>
              </w:rPr>
            </w:pPr>
            <w:r>
              <w:rPr>
                <w:rFonts w:hint="eastAsia" w:ascii="宋体" w:hAnsi="宋体"/>
                <w:sz w:val="24"/>
              </w:rPr>
              <w:t>共模抑制 : ≥100dB</w:t>
            </w:r>
          </w:p>
        </w:tc>
      </w:tr>
      <w:tr w14:paraId="1DC12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617FB47">
            <w:pPr>
              <w:pStyle w:val="2"/>
            </w:pPr>
          </w:p>
        </w:tc>
        <w:tc>
          <w:tcPr>
            <w:tcW w:w="1051" w:type="dxa"/>
            <w:vMerge w:val="continue"/>
            <w:vAlign w:val="center"/>
          </w:tcPr>
          <w:p w14:paraId="45001A3C">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F986374">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w:t>
            </w:r>
          </w:p>
        </w:tc>
        <w:tc>
          <w:tcPr>
            <w:tcW w:w="7130" w:type="dxa"/>
            <w:vAlign w:val="center"/>
          </w:tcPr>
          <w:p w14:paraId="6FFA55B5">
            <w:pPr>
              <w:spacing w:line="360" w:lineRule="auto"/>
              <w:rPr>
                <w:rFonts w:ascii="宋体" w:hAnsi="宋体"/>
                <w:sz w:val="24"/>
              </w:rPr>
            </w:pPr>
            <w:r>
              <w:rPr>
                <w:rFonts w:hint="eastAsia" w:ascii="宋体" w:hAnsi="宋体"/>
                <w:sz w:val="24"/>
              </w:rPr>
              <w:t>增益精度 : &lt;1%</w:t>
            </w:r>
          </w:p>
        </w:tc>
      </w:tr>
      <w:tr w14:paraId="2C053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841E60A">
            <w:pPr>
              <w:pStyle w:val="2"/>
            </w:pPr>
          </w:p>
        </w:tc>
        <w:tc>
          <w:tcPr>
            <w:tcW w:w="1051" w:type="dxa"/>
            <w:vMerge w:val="continue"/>
            <w:vAlign w:val="center"/>
          </w:tcPr>
          <w:p w14:paraId="79D3686C">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7141ACE7">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w:t>
            </w:r>
          </w:p>
        </w:tc>
        <w:tc>
          <w:tcPr>
            <w:tcW w:w="7130" w:type="dxa"/>
            <w:vAlign w:val="center"/>
          </w:tcPr>
          <w:p w14:paraId="4998DFF8">
            <w:pPr>
              <w:spacing w:line="360" w:lineRule="auto"/>
              <w:rPr>
                <w:rFonts w:ascii="宋体" w:hAnsi="宋体"/>
                <w:sz w:val="24"/>
              </w:rPr>
            </w:pPr>
            <w:r>
              <w:rPr>
                <w:rFonts w:hint="eastAsia" w:ascii="宋体" w:hAnsi="宋体"/>
                <w:sz w:val="24"/>
              </w:rPr>
              <w:t>GNSS时间标准 : 1ppm，GNSS时间精度 : ±10μs, GNSS时钟驯服</w:t>
            </w:r>
          </w:p>
        </w:tc>
      </w:tr>
      <w:tr w14:paraId="55BEB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AA1569C">
            <w:pPr>
              <w:pStyle w:val="2"/>
            </w:pPr>
          </w:p>
        </w:tc>
        <w:tc>
          <w:tcPr>
            <w:tcW w:w="1051" w:type="dxa"/>
            <w:vMerge w:val="continue"/>
            <w:vAlign w:val="center"/>
          </w:tcPr>
          <w:p w14:paraId="5285DA57">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3A1CD1D6">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26</w:t>
            </w:r>
          </w:p>
        </w:tc>
        <w:tc>
          <w:tcPr>
            <w:tcW w:w="7130" w:type="dxa"/>
            <w:vAlign w:val="center"/>
          </w:tcPr>
          <w:p w14:paraId="016FF0BF">
            <w:pPr>
              <w:spacing w:line="360" w:lineRule="auto"/>
              <w:rPr>
                <w:rFonts w:ascii="宋体" w:hAnsi="宋体"/>
                <w:sz w:val="24"/>
              </w:rPr>
            </w:pPr>
            <w:r>
              <w:rPr>
                <w:rFonts w:hint="eastAsia" w:ascii="宋体" w:hAnsi="宋体"/>
                <w:sz w:val="24"/>
              </w:rPr>
              <w:t>串音 : &lt; -110dB</w:t>
            </w:r>
          </w:p>
        </w:tc>
      </w:tr>
      <w:tr w14:paraId="24F87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F563BE3">
            <w:pPr>
              <w:pStyle w:val="2"/>
            </w:pPr>
          </w:p>
        </w:tc>
        <w:tc>
          <w:tcPr>
            <w:tcW w:w="1051" w:type="dxa"/>
            <w:vMerge w:val="continue"/>
            <w:vAlign w:val="center"/>
          </w:tcPr>
          <w:p w14:paraId="684510E4">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35A3147">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▲27</w:t>
            </w:r>
          </w:p>
        </w:tc>
        <w:tc>
          <w:tcPr>
            <w:tcW w:w="7130" w:type="dxa"/>
            <w:vAlign w:val="center"/>
          </w:tcPr>
          <w:p w14:paraId="5A7C5DF2">
            <w:pPr>
              <w:spacing w:line="360" w:lineRule="auto"/>
              <w:rPr>
                <w:rFonts w:ascii="宋体" w:hAnsi="宋体"/>
                <w:sz w:val="24"/>
              </w:rPr>
            </w:pPr>
            <w:r>
              <w:rPr>
                <w:rFonts w:hint="eastAsia" w:ascii="宋体" w:hAnsi="宋体"/>
                <w:sz w:val="24"/>
              </w:rPr>
              <w:t>系统动态范围 : 145dB</w:t>
            </w:r>
          </w:p>
        </w:tc>
      </w:tr>
      <w:tr w14:paraId="4845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D2DCCC5">
            <w:pPr>
              <w:pStyle w:val="2"/>
            </w:pPr>
          </w:p>
        </w:tc>
        <w:tc>
          <w:tcPr>
            <w:tcW w:w="1051" w:type="dxa"/>
            <w:vMerge w:val="continue"/>
            <w:vAlign w:val="center"/>
          </w:tcPr>
          <w:p w14:paraId="32E1660C">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29AD2787">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▲28</w:t>
            </w:r>
          </w:p>
        </w:tc>
        <w:tc>
          <w:tcPr>
            <w:tcW w:w="7130" w:type="dxa"/>
            <w:vAlign w:val="center"/>
          </w:tcPr>
          <w:p w14:paraId="2B9AA817">
            <w:pPr>
              <w:spacing w:line="360" w:lineRule="auto"/>
              <w:rPr>
                <w:rFonts w:ascii="宋体" w:hAnsi="宋体"/>
                <w:sz w:val="24"/>
              </w:rPr>
            </w:pPr>
            <w:r>
              <w:rPr>
                <w:rFonts w:hint="eastAsia" w:ascii="宋体" w:hAnsi="宋体"/>
                <w:sz w:val="24"/>
              </w:rPr>
              <w:t>频率响应范围：0-1652Hz</w:t>
            </w:r>
          </w:p>
        </w:tc>
      </w:tr>
      <w:tr w14:paraId="1DA29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5B7DA43">
            <w:pPr>
              <w:pStyle w:val="2"/>
            </w:pPr>
          </w:p>
        </w:tc>
        <w:tc>
          <w:tcPr>
            <w:tcW w:w="1051" w:type="dxa"/>
            <w:vMerge w:val="continue"/>
            <w:vAlign w:val="center"/>
          </w:tcPr>
          <w:p w14:paraId="1FC282AA">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079BB26B">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29</w:t>
            </w:r>
          </w:p>
        </w:tc>
        <w:tc>
          <w:tcPr>
            <w:tcW w:w="7130" w:type="dxa"/>
            <w:vAlign w:val="center"/>
          </w:tcPr>
          <w:p w14:paraId="0AB37BD9">
            <w:pPr>
              <w:spacing w:line="360" w:lineRule="auto"/>
              <w:rPr>
                <w:rFonts w:ascii="宋体" w:hAnsi="宋体"/>
                <w:sz w:val="24"/>
              </w:rPr>
            </w:pPr>
            <w:r>
              <w:rPr>
                <w:rFonts w:hint="eastAsia" w:ascii="宋体" w:hAnsi="宋体"/>
                <w:sz w:val="24"/>
              </w:rPr>
              <w:t>自然频率：5Hz</w:t>
            </w:r>
          </w:p>
        </w:tc>
      </w:tr>
      <w:tr w14:paraId="24413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5EC3393">
            <w:pPr>
              <w:pStyle w:val="2"/>
            </w:pPr>
          </w:p>
        </w:tc>
        <w:tc>
          <w:tcPr>
            <w:tcW w:w="1051" w:type="dxa"/>
            <w:vMerge w:val="continue"/>
            <w:vAlign w:val="center"/>
          </w:tcPr>
          <w:p w14:paraId="111DD774">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DE2BB34">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30</w:t>
            </w:r>
          </w:p>
        </w:tc>
        <w:tc>
          <w:tcPr>
            <w:tcW w:w="7130" w:type="dxa"/>
            <w:vAlign w:val="center"/>
          </w:tcPr>
          <w:p w14:paraId="7DF14EEE">
            <w:pPr>
              <w:spacing w:line="360" w:lineRule="auto"/>
              <w:rPr>
                <w:rFonts w:ascii="宋体" w:hAnsi="宋体"/>
                <w:sz w:val="24"/>
              </w:rPr>
            </w:pPr>
            <w:r>
              <w:rPr>
                <w:rFonts w:hint="eastAsia" w:ascii="宋体" w:hAnsi="宋体"/>
                <w:sz w:val="24"/>
              </w:rPr>
              <w:t>假频：&gt;170Hz （&gt;150Hz，水平检波器）；失真：&lt;0.1%@12Hz,0°～10°垂直倾角</w:t>
            </w:r>
          </w:p>
        </w:tc>
      </w:tr>
      <w:tr w14:paraId="7BF2C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1EB77E2">
            <w:pPr>
              <w:pStyle w:val="2"/>
            </w:pPr>
          </w:p>
        </w:tc>
        <w:tc>
          <w:tcPr>
            <w:tcW w:w="1051" w:type="dxa"/>
            <w:vMerge w:val="continue"/>
            <w:vAlign w:val="center"/>
          </w:tcPr>
          <w:p w14:paraId="2264C85F">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0A5C543B">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w:t>
            </w:r>
          </w:p>
        </w:tc>
        <w:tc>
          <w:tcPr>
            <w:tcW w:w="7130" w:type="dxa"/>
            <w:vAlign w:val="center"/>
          </w:tcPr>
          <w:p w14:paraId="0D14C5AA">
            <w:pPr>
              <w:spacing w:line="360" w:lineRule="auto"/>
              <w:rPr>
                <w:rFonts w:ascii="宋体" w:hAnsi="宋体"/>
                <w:sz w:val="24"/>
              </w:rPr>
            </w:pPr>
            <w:r>
              <w:rPr>
                <w:rFonts w:hint="eastAsia" w:ascii="宋体" w:hAnsi="宋体"/>
                <w:sz w:val="24"/>
              </w:rPr>
              <w:t>灵敏度</w:t>
            </w:r>
            <w:r>
              <w:rPr>
                <w:rFonts w:ascii="宋体" w:hAnsi="宋体"/>
                <w:sz w:val="24"/>
              </w:rPr>
              <w:t xml:space="preserve"> : 80 V/m/s (2.03 V/in/s)</w:t>
            </w:r>
          </w:p>
        </w:tc>
      </w:tr>
      <w:tr w14:paraId="4CAE4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E0EACF7">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6B4D3A46">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879" w:type="dxa"/>
            <w:gridSpan w:val="2"/>
            <w:vAlign w:val="center"/>
          </w:tcPr>
          <w:p w14:paraId="2E2431A2">
            <w:pPr>
              <w:spacing w:line="360" w:lineRule="auto"/>
              <w:jc w:val="center"/>
              <w:rPr>
                <w:rFonts w:ascii="宋体" w:hAnsi="宋体"/>
                <w:sz w:val="24"/>
              </w:rPr>
            </w:pPr>
            <w:r>
              <w:rPr>
                <w:rFonts w:hint="eastAsia" w:ascii="宋体" w:hAnsi="宋体"/>
                <w:sz w:val="24"/>
              </w:rPr>
              <w:t>数据处理分析软件</w:t>
            </w:r>
          </w:p>
        </w:tc>
      </w:tr>
      <w:tr w14:paraId="5366E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58A3F2A">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4A533C0E">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4D9E5ADE">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w:t>
            </w:r>
          </w:p>
        </w:tc>
        <w:tc>
          <w:tcPr>
            <w:tcW w:w="7130" w:type="dxa"/>
            <w:vAlign w:val="center"/>
          </w:tcPr>
          <w:p w14:paraId="79DF3E1A">
            <w:pPr>
              <w:spacing w:line="360" w:lineRule="auto"/>
              <w:rPr>
                <w:rFonts w:ascii="宋体" w:hAnsi="宋体"/>
                <w:sz w:val="24"/>
              </w:rPr>
            </w:pPr>
            <w:r>
              <w:rPr>
                <w:rFonts w:hint="eastAsia" w:ascii="宋体" w:hAnsi="宋体"/>
                <w:sz w:val="24"/>
              </w:rPr>
              <w:t>具备全波形文件解析、处理功能</w:t>
            </w:r>
          </w:p>
        </w:tc>
      </w:tr>
      <w:tr w14:paraId="5D5E7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4CDCB4C">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23A674FA">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879" w:type="dxa"/>
            <w:gridSpan w:val="2"/>
            <w:vAlign w:val="center"/>
          </w:tcPr>
          <w:p w14:paraId="752A50E6">
            <w:pPr>
              <w:spacing w:line="360" w:lineRule="auto"/>
              <w:jc w:val="center"/>
              <w:rPr>
                <w:rFonts w:ascii="宋体" w:hAnsi="宋体"/>
                <w:sz w:val="24"/>
              </w:rPr>
            </w:pPr>
            <w:r>
              <w:rPr>
                <w:rFonts w:hint="eastAsia" w:ascii="宋体" w:hAnsi="宋体"/>
                <w:sz w:val="24"/>
              </w:rPr>
              <w:t>技术服务</w:t>
            </w:r>
          </w:p>
        </w:tc>
      </w:tr>
      <w:tr w14:paraId="75EC0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7BA0FCD">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52468D8B">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3968AF6B">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33</w:t>
            </w:r>
          </w:p>
        </w:tc>
        <w:tc>
          <w:tcPr>
            <w:tcW w:w="7130" w:type="dxa"/>
            <w:vAlign w:val="center"/>
          </w:tcPr>
          <w:p w14:paraId="2A397F36">
            <w:pPr>
              <w:spacing w:line="360" w:lineRule="auto"/>
              <w:rPr>
                <w:rFonts w:ascii="宋体" w:hAnsi="宋体"/>
                <w:sz w:val="24"/>
              </w:rPr>
            </w:pPr>
            <w:r>
              <w:rPr>
                <w:rFonts w:hint="eastAsia" w:ascii="宋体" w:hAnsi="宋体"/>
                <w:sz w:val="24"/>
              </w:rPr>
              <w:t>提供现场安装服务，设备免费维护3年</w:t>
            </w:r>
          </w:p>
        </w:tc>
      </w:tr>
      <w:tr w14:paraId="26AE8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294D668">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2E0D4D09">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69E0C9EB">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▲34</w:t>
            </w:r>
          </w:p>
        </w:tc>
        <w:tc>
          <w:tcPr>
            <w:tcW w:w="7130" w:type="dxa"/>
            <w:vAlign w:val="center"/>
          </w:tcPr>
          <w:p w14:paraId="6248D979">
            <w:pPr>
              <w:spacing w:line="360" w:lineRule="auto"/>
              <w:rPr>
                <w:rFonts w:ascii="宋体" w:hAnsi="宋体"/>
                <w:sz w:val="24"/>
              </w:rPr>
            </w:pPr>
            <w:r>
              <w:rPr>
                <w:rFonts w:hint="eastAsia" w:ascii="宋体" w:hAnsi="宋体"/>
                <w:sz w:val="24"/>
              </w:rPr>
              <w:t>设备在线率＞90%（是否承诺）</w:t>
            </w:r>
          </w:p>
        </w:tc>
      </w:tr>
      <w:tr w14:paraId="3C6C2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6B1E847">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38814D79">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37FBFAF1">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▲35</w:t>
            </w:r>
          </w:p>
        </w:tc>
        <w:tc>
          <w:tcPr>
            <w:tcW w:w="7130" w:type="dxa"/>
            <w:vAlign w:val="center"/>
          </w:tcPr>
          <w:p w14:paraId="3D011F74">
            <w:pPr>
              <w:spacing w:line="360" w:lineRule="auto"/>
              <w:rPr>
                <w:rFonts w:ascii="宋体" w:hAnsi="宋体"/>
                <w:sz w:val="24"/>
              </w:rPr>
            </w:pPr>
            <w:r>
              <w:rPr>
                <w:rFonts w:hint="eastAsia" w:ascii="宋体" w:hAnsi="宋体"/>
                <w:sz w:val="24"/>
              </w:rPr>
              <w:t>数据完整率＞90%（是否承诺）</w:t>
            </w:r>
          </w:p>
        </w:tc>
      </w:tr>
    </w:tbl>
    <w:p w14:paraId="0D939B08">
      <w:pPr>
        <w:pStyle w:val="6"/>
        <w:numPr>
          <w:ilvl w:val="0"/>
          <w:numId w:val="1"/>
        </w:numPr>
        <w:spacing w:line="360" w:lineRule="auto"/>
        <w:ind w:right="708" w:rightChars="337" w:hanging="905"/>
        <w:jc w:val="both"/>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商务条款</w:t>
      </w:r>
    </w:p>
    <w:p w14:paraId="4C0BC23B">
      <w:pPr>
        <w:numPr>
          <w:ilvl w:val="0"/>
          <w:numId w:val="2"/>
        </w:numPr>
        <w:autoSpaceDE w:val="0"/>
        <w:autoSpaceDN w:val="0"/>
        <w:adjustRightInd w:val="0"/>
        <w:spacing w:line="360" w:lineRule="auto"/>
        <w:rPr>
          <w:rFonts w:ascii="宋体" w:hAnsi="宋体" w:cs="宋体"/>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★交货地点：</w:t>
      </w:r>
      <w:r>
        <w:rPr>
          <w:rFonts w:hint="eastAsia" w:ascii="宋体" w:hAnsi="宋体"/>
          <w:bCs/>
          <w:sz w:val="24"/>
        </w:rPr>
        <w:t>中国科学院、水利部成都山地灾害与环境研究所</w:t>
      </w:r>
      <w:r>
        <w:rPr>
          <w:rFonts w:hint="eastAsia" w:ascii="宋体" w:hAnsi="宋体" w:cs="宋体"/>
          <w:color w:val="000000" w:themeColor="text1"/>
          <w:kern w:val="0"/>
          <w:sz w:val="24"/>
          <w:lang w:val="zh-CN"/>
          <w14:textFill>
            <w14:solidFill>
              <w14:schemeClr w14:val="tx1"/>
            </w14:solidFill>
          </w14:textFill>
        </w:rPr>
        <w:t>指定地点</w:t>
      </w:r>
    </w:p>
    <w:p w14:paraId="4324F0A0">
      <w:pPr>
        <w:numPr>
          <w:ilvl w:val="0"/>
          <w:numId w:val="2"/>
        </w:numPr>
        <w:tabs>
          <w:tab w:val="left" w:pos="420"/>
        </w:tabs>
        <w:autoSpaceDE w:val="0"/>
        <w:autoSpaceDN w:val="0"/>
        <w:adjustRightInd w:val="0"/>
        <w:spacing w:line="360" w:lineRule="auto"/>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★交货期：</w:t>
      </w:r>
      <w:r>
        <w:rPr>
          <w:rFonts w:hint="eastAsia" w:ascii="宋体" w:hAnsi="宋体" w:cs="宋体"/>
          <w:color w:val="000000" w:themeColor="text1"/>
          <w:kern w:val="0"/>
          <w:sz w:val="24"/>
          <w:lang w:val="de-DE"/>
          <w14:textFill>
            <w14:solidFill>
              <w14:schemeClr w14:val="tx1"/>
            </w14:solidFill>
          </w14:textFill>
        </w:rPr>
        <w:t>合同签订后的</w:t>
      </w:r>
      <w:r>
        <w:rPr>
          <w:rFonts w:hint="eastAsia" w:ascii="宋体" w:hAnsi="宋体" w:cs="宋体"/>
          <w:color w:val="000000" w:themeColor="text1"/>
          <w:kern w:val="0"/>
          <w:sz w:val="24"/>
          <w14:textFill>
            <w14:solidFill>
              <w14:schemeClr w14:val="tx1"/>
            </w14:solidFill>
          </w14:textFill>
        </w:rPr>
        <w:t>3个月</w:t>
      </w:r>
      <w:r>
        <w:rPr>
          <w:rFonts w:hint="eastAsia" w:ascii="宋体" w:hAnsi="宋体" w:cs="宋体"/>
          <w:color w:val="000000" w:themeColor="text1"/>
          <w:kern w:val="0"/>
          <w:sz w:val="24"/>
          <w:lang w:val="de-DE"/>
          <w14:textFill>
            <w14:solidFill>
              <w14:schemeClr w14:val="tx1"/>
            </w14:solidFill>
          </w14:textFill>
        </w:rPr>
        <w:t>内</w:t>
      </w:r>
      <w:r>
        <w:rPr>
          <w:rFonts w:hint="eastAsia" w:ascii="宋体" w:hAnsi="宋体" w:cs="宋体"/>
          <w:color w:val="000000" w:themeColor="text1"/>
          <w:kern w:val="0"/>
          <w:sz w:val="24"/>
          <w:lang w:val="zh-CN"/>
          <w14:textFill>
            <w14:solidFill>
              <w14:schemeClr w14:val="tx1"/>
            </w14:solidFill>
          </w14:textFill>
        </w:rPr>
        <w:t>交货。</w:t>
      </w:r>
    </w:p>
    <w:p w14:paraId="1A1A107D">
      <w:pPr>
        <w:numPr>
          <w:ilvl w:val="0"/>
          <w:numId w:val="2"/>
        </w:numPr>
        <w:tabs>
          <w:tab w:val="left" w:pos="420"/>
        </w:tabs>
        <w:autoSpaceDE w:val="0"/>
        <w:autoSpaceDN w:val="0"/>
        <w:adjustRightInd w:val="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★报价方式及要求：</w:t>
      </w:r>
    </w:p>
    <w:p w14:paraId="740FAFF9">
      <w:pPr>
        <w:numPr>
          <w:ilvl w:val="0"/>
          <w:numId w:val="3"/>
        </w:numPr>
        <w:tabs>
          <w:tab w:val="left" w:pos="420"/>
          <w:tab w:val="clear" w:pos="312"/>
        </w:tabs>
        <w:autoSpaceDE w:val="0"/>
        <w:autoSpaceDN w:val="0"/>
        <w:adjustRightInd w:val="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本项目不允许采购进口产品参与投标。</w:t>
      </w:r>
    </w:p>
    <w:p w14:paraId="50024939">
      <w:pPr>
        <w:numPr>
          <w:ilvl w:val="0"/>
          <w:numId w:val="3"/>
        </w:numPr>
        <w:tabs>
          <w:tab w:val="left" w:pos="420"/>
          <w:tab w:val="clear" w:pos="312"/>
        </w:tabs>
        <w:autoSpaceDE w:val="0"/>
        <w:autoSpaceDN w:val="0"/>
        <w:adjustRightInd w:val="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仿宋_GB2312"/>
          <w:sz w:val="24"/>
        </w:rPr>
        <w:t>国产产品与服务报项目现场交货人民币价。</w:t>
      </w:r>
      <w:r>
        <w:rPr>
          <w:rFonts w:hint="eastAsia" w:ascii="宋体" w:hAnsi="宋体" w:cs="宋体"/>
          <w:color w:val="000000" w:themeColor="text1"/>
          <w:sz w:val="24"/>
          <w:lang w:val="zh-CN"/>
          <w14:textFill>
            <w14:solidFill>
              <w14:schemeClr w14:val="tx1"/>
            </w14:solidFill>
          </w14:textFill>
        </w:rPr>
        <w:t>投标价包含仪器设备的价款、包装、税费、运输、装卸、安装、调试、技术指导、培训、咨询、服务、保险、检测、验收合格交付使用之前以及技术和售后服务等其他各项有关费用。</w:t>
      </w:r>
    </w:p>
    <w:p w14:paraId="2F8E8C51">
      <w:pPr>
        <w:numPr>
          <w:ilvl w:val="0"/>
          <w:numId w:val="3"/>
        </w:numPr>
        <w:tabs>
          <w:tab w:val="left" w:pos="420"/>
          <w:tab w:val="clear" w:pos="312"/>
        </w:tabs>
        <w:autoSpaceDE w:val="0"/>
        <w:autoSpaceDN w:val="0"/>
        <w:adjustRightIn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报价明显低于其他通过符合性审查投标人报价的，有可能影响产品质量或者不能诚信履约的，评标委员会可以要求其在规定的时间内提供书面说明，必要时提交相关证明材料；投标人不能证明其报价合理性的，评标委员会有权将其作为无效投标处理。</w:t>
      </w:r>
    </w:p>
    <w:p w14:paraId="4994D8B4">
      <w:pPr>
        <w:numPr>
          <w:ilvl w:val="0"/>
          <w:numId w:val="3"/>
        </w:numPr>
        <w:tabs>
          <w:tab w:val="left" w:pos="420"/>
          <w:tab w:val="clear" w:pos="312"/>
        </w:tabs>
        <w:autoSpaceDE w:val="0"/>
        <w:autoSpaceDN w:val="0"/>
        <w:adjustRightIn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投标报价不得超过采购预算（如有最高限价则不得超出最高限价）。</w:t>
      </w:r>
    </w:p>
    <w:p w14:paraId="02769C44">
      <w:pPr>
        <w:numPr>
          <w:ilvl w:val="0"/>
          <w:numId w:val="2"/>
        </w:numPr>
        <w:tabs>
          <w:tab w:val="left" w:pos="0"/>
        </w:tabs>
        <w:autoSpaceDE w:val="0"/>
        <w:autoSpaceDN w:val="0"/>
        <w:adjustRightInd w:val="0"/>
        <w:spacing w:line="360" w:lineRule="auto"/>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★付款方式：</w:t>
      </w:r>
    </w:p>
    <w:p w14:paraId="3FC92047">
      <w:pPr>
        <w:tabs>
          <w:tab w:val="left" w:pos="0"/>
        </w:tabs>
        <w:autoSpaceDE w:val="0"/>
        <w:autoSpaceDN w:val="0"/>
        <w:adjustRightInd w:val="0"/>
        <w:spacing w:line="360" w:lineRule="auto"/>
        <w:rPr>
          <w:rFonts w:ascii="宋体" w:hAnsi="宋体" w:cs="宋体"/>
          <w:sz w:val="24"/>
        </w:rPr>
      </w:pPr>
      <w:r>
        <w:rPr>
          <w:rFonts w:hint="eastAsia" w:ascii="宋体" w:hAnsi="宋体" w:cs="宋体"/>
          <w:sz w:val="24"/>
          <w:lang w:val="zh-CN"/>
        </w:rPr>
        <w:t>（</w:t>
      </w:r>
      <w:r>
        <w:rPr>
          <w:rFonts w:hint="eastAsia" w:ascii="宋体" w:hAnsi="宋体" w:cs="宋体"/>
          <w:sz w:val="24"/>
        </w:rPr>
        <w:t>1</w:t>
      </w:r>
      <w:r>
        <w:rPr>
          <w:rFonts w:hint="eastAsia" w:ascii="宋体" w:hAnsi="宋体" w:cs="宋体"/>
          <w:sz w:val="24"/>
          <w:lang w:val="zh-CN"/>
        </w:rPr>
        <w:t>）</w:t>
      </w:r>
      <w:r>
        <w:rPr>
          <w:rFonts w:hint="eastAsia" w:ascii="宋体" w:hAnsi="宋体" w:cs="宋体"/>
          <w:sz w:val="24"/>
        </w:rPr>
        <w:t>乙方在签订合同后的10个工作日内，向甲方提交合同金额的10%作为履约保证金。</w:t>
      </w:r>
    </w:p>
    <w:p w14:paraId="1568E9BF">
      <w:pPr>
        <w:tabs>
          <w:tab w:val="left" w:pos="0"/>
        </w:tabs>
        <w:autoSpaceDE w:val="0"/>
        <w:autoSpaceDN w:val="0"/>
        <w:adjustRightInd w:val="0"/>
        <w:spacing w:line="360" w:lineRule="auto"/>
        <w:rPr>
          <w:rFonts w:ascii="宋体" w:hAnsi="宋体" w:cs="宋体"/>
          <w:sz w:val="24"/>
        </w:rPr>
      </w:pPr>
      <w:r>
        <w:rPr>
          <w:rFonts w:hint="eastAsia" w:ascii="宋体" w:hAnsi="宋体" w:cs="宋体"/>
          <w:sz w:val="24"/>
        </w:rPr>
        <w:t>（2）甲方在合同签订后的20个工作日内向乙方支付合同金额的30%货款；</w:t>
      </w:r>
    </w:p>
    <w:p w14:paraId="72A34517">
      <w:pPr>
        <w:pStyle w:val="2"/>
        <w:ind w:left="0" w:leftChars="0" w:firstLine="0" w:firstLineChars="0"/>
      </w:pPr>
      <w:r>
        <w:t>（3）</w:t>
      </w:r>
      <w:r>
        <w:rPr>
          <w:rFonts w:cs="宋体"/>
          <w:sz w:val="24"/>
        </w:rPr>
        <w:t>仪器到货经过甲方初步验收后，向乙方支付合同金额的40%货款；</w:t>
      </w:r>
    </w:p>
    <w:p w14:paraId="431E26AC">
      <w:pPr>
        <w:tabs>
          <w:tab w:val="left" w:pos="0"/>
        </w:tabs>
        <w:autoSpaceDE w:val="0"/>
        <w:autoSpaceDN w:val="0"/>
        <w:adjustRightInd w:val="0"/>
        <w:spacing w:line="360" w:lineRule="auto"/>
        <w:rPr>
          <w:rFonts w:ascii="宋体" w:hAnsi="宋体" w:cs="宋体"/>
          <w:sz w:val="24"/>
        </w:rPr>
      </w:pPr>
      <w:r>
        <w:rPr>
          <w:rFonts w:hint="eastAsia" w:ascii="宋体" w:hAnsi="宋体" w:cs="宋体"/>
          <w:sz w:val="24"/>
        </w:rPr>
        <w:t>（4）安装、调试、培训、试运行正常并验收合格后，甲方出具加盖单位公章的验收报告；验收报告出具后20个工作日内，甲方向乙方支付剩余合同金额30%货款。</w:t>
      </w:r>
    </w:p>
    <w:p w14:paraId="2ADA3160">
      <w:pPr>
        <w:tabs>
          <w:tab w:val="left" w:pos="0"/>
        </w:tabs>
        <w:autoSpaceDE w:val="0"/>
        <w:autoSpaceDN w:val="0"/>
        <w:adjustRightInd w:val="0"/>
        <w:spacing w:line="360" w:lineRule="auto"/>
        <w:rPr>
          <w:rFonts w:ascii="宋体" w:hAnsi="宋体" w:cs="宋体"/>
          <w:sz w:val="24"/>
          <w:lang w:val="zh-CN"/>
        </w:rPr>
      </w:pPr>
      <w:r>
        <w:rPr>
          <w:rFonts w:hint="eastAsia" w:ascii="宋体" w:hAnsi="宋体" w:cs="宋体"/>
          <w:sz w:val="24"/>
        </w:rPr>
        <w:t>（5）自仪器质保结束之日起，甲方应在30个工作日内，以无息的方式将乙方支付履约保证金退还给乙方。</w:t>
      </w:r>
    </w:p>
    <w:p w14:paraId="54CF0F12">
      <w:pPr>
        <w:pStyle w:val="2"/>
        <w:rPr>
          <w:lang w:val="zh-CN"/>
        </w:rPr>
      </w:pPr>
    </w:p>
    <w:p w14:paraId="5C854EF7">
      <w:pPr>
        <w:numPr>
          <w:ilvl w:val="0"/>
          <w:numId w:val="2"/>
        </w:numPr>
        <w:tabs>
          <w:tab w:val="left" w:pos="0"/>
        </w:tabs>
        <w:autoSpaceDE w:val="0"/>
        <w:autoSpaceDN w:val="0"/>
        <w:adjustRightInd w:val="0"/>
        <w:spacing w:line="360" w:lineRule="auto"/>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质保</w:t>
      </w:r>
      <w:r>
        <w:rPr>
          <w:rFonts w:hint="eastAsia" w:ascii="宋体" w:hAnsi="宋体" w:cs="宋体"/>
          <w:b/>
          <w:bCs/>
          <w:color w:val="000000" w:themeColor="text1"/>
          <w:kern w:val="0"/>
          <w:sz w:val="24"/>
          <w14:textFill>
            <w14:solidFill>
              <w14:schemeClr w14:val="tx1"/>
            </w14:solidFill>
          </w14:textFill>
        </w:rPr>
        <w:t>及</w:t>
      </w:r>
      <w:r>
        <w:rPr>
          <w:rFonts w:hint="eastAsia" w:ascii="宋体" w:hAnsi="宋体" w:cs="宋体"/>
          <w:b/>
          <w:bCs/>
          <w:color w:val="000000" w:themeColor="text1"/>
          <w:kern w:val="0"/>
          <w:sz w:val="24"/>
          <w:lang w:val="zh-CN"/>
          <w14:textFill>
            <w14:solidFill>
              <w14:schemeClr w14:val="tx1"/>
            </w14:solidFill>
          </w14:textFill>
        </w:rPr>
        <w:t>售后服务</w:t>
      </w:r>
      <w:r>
        <w:rPr>
          <w:rFonts w:hint="eastAsia" w:ascii="宋体" w:hAnsi="宋体" w:cs="宋体"/>
          <w:b/>
          <w:bCs/>
          <w:color w:val="000000" w:themeColor="text1"/>
          <w:kern w:val="0"/>
          <w:sz w:val="24"/>
          <w14:textFill>
            <w14:solidFill>
              <w14:schemeClr w14:val="tx1"/>
            </w14:solidFill>
          </w14:textFill>
        </w:rPr>
        <w:t>要求</w:t>
      </w:r>
      <w:r>
        <w:rPr>
          <w:rFonts w:hint="eastAsia" w:ascii="宋体" w:hAnsi="宋体" w:cs="宋体"/>
          <w:b/>
          <w:bCs/>
          <w:color w:val="000000" w:themeColor="text1"/>
          <w:kern w:val="0"/>
          <w:sz w:val="24"/>
          <w:lang w:val="zh-CN"/>
          <w14:textFill>
            <w14:solidFill>
              <w14:schemeClr w14:val="tx1"/>
            </w14:solidFill>
          </w14:textFill>
        </w:rPr>
        <w:t>：</w:t>
      </w:r>
    </w:p>
    <w:p w14:paraId="5BC48D41">
      <w:pPr>
        <w:widowControl/>
        <w:numPr>
          <w:ilvl w:val="0"/>
          <w:numId w:val="4"/>
        </w:numPr>
        <w:tabs>
          <w:tab w:val="left" w:pos="420"/>
          <w:tab w:val="clear" w:pos="1500"/>
        </w:tabs>
        <w:spacing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投标人需为本项目配备足够的售后服务力量，具有国内本地化的服务团队。</w:t>
      </w:r>
    </w:p>
    <w:p w14:paraId="429DECB9">
      <w:pPr>
        <w:widowControl/>
        <w:numPr>
          <w:ilvl w:val="0"/>
          <w:numId w:val="4"/>
        </w:numPr>
        <w:tabs>
          <w:tab w:val="left" w:pos="420"/>
          <w:tab w:val="clear" w:pos="1500"/>
        </w:tabs>
        <w:spacing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投标人售后服务响应时间：电话响应时间要求8小时内，到场响应时间要求2个工作日内（指从接到报障至到达故障现场的时间）。</w:t>
      </w:r>
    </w:p>
    <w:p w14:paraId="2B7E94F1">
      <w:pPr>
        <w:widowControl/>
        <w:numPr>
          <w:ilvl w:val="0"/>
          <w:numId w:val="4"/>
        </w:numPr>
        <w:tabs>
          <w:tab w:val="left" w:pos="420"/>
          <w:tab w:val="clear" w:pos="1500"/>
        </w:tabs>
        <w:spacing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投标人免费提供技术支持热线电话，满足24小时热线服务。</w:t>
      </w:r>
    </w:p>
    <w:p w14:paraId="091B353B">
      <w:pPr>
        <w:widowControl/>
        <w:numPr>
          <w:ilvl w:val="0"/>
          <w:numId w:val="4"/>
        </w:numPr>
        <w:tabs>
          <w:tab w:val="left" w:pos="420"/>
          <w:tab w:val="clear" w:pos="1500"/>
        </w:tabs>
        <w:spacing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投标人免费提供email技术支持，并且在24小时内回复。</w:t>
      </w:r>
    </w:p>
    <w:p w14:paraId="0BFC7F61">
      <w:pPr>
        <w:widowControl/>
        <w:numPr>
          <w:ilvl w:val="0"/>
          <w:numId w:val="4"/>
        </w:numPr>
        <w:tabs>
          <w:tab w:val="left" w:pos="420"/>
          <w:tab w:val="clear" w:pos="1500"/>
        </w:tabs>
        <w:spacing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投标人提供仪器设备的免费保修期一年（保修期内免费维修并更换除消耗品以外的零部件，维修人员的路费、食宿等自理）。</w:t>
      </w:r>
    </w:p>
    <w:p w14:paraId="535C411A">
      <w:pPr>
        <w:widowControl/>
        <w:numPr>
          <w:ilvl w:val="0"/>
          <w:numId w:val="4"/>
        </w:numPr>
        <w:tabs>
          <w:tab w:val="left" w:pos="420"/>
          <w:tab w:val="clear" w:pos="1500"/>
        </w:tabs>
        <w:spacing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投标人提供该设备的技术使用说明书及外购配件仪器说明书，并指导在使用该设备时的操作注意事项等。</w:t>
      </w:r>
    </w:p>
    <w:p w14:paraId="1D49A385">
      <w:pPr>
        <w:widowControl/>
        <w:numPr>
          <w:ilvl w:val="0"/>
          <w:numId w:val="4"/>
        </w:numPr>
        <w:tabs>
          <w:tab w:val="left" w:pos="420"/>
          <w:tab w:val="clear" w:pos="1500"/>
        </w:tabs>
        <w:spacing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投标人提供配套软件三年内免费升级服务。</w:t>
      </w:r>
    </w:p>
    <w:p w14:paraId="2DC3A8C2">
      <w:pPr>
        <w:widowControl/>
        <w:numPr>
          <w:ilvl w:val="0"/>
          <w:numId w:val="4"/>
        </w:numPr>
        <w:tabs>
          <w:tab w:val="left" w:pos="420"/>
          <w:tab w:val="clear" w:pos="1500"/>
        </w:tabs>
        <w:spacing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投标人提供设备二次搬运（含保险）服务。</w:t>
      </w:r>
    </w:p>
    <w:p w14:paraId="1FBD6D51">
      <w:pPr>
        <w:pStyle w:val="2"/>
        <w:spacing w:line="360" w:lineRule="auto"/>
        <w:ind w:firstLine="480"/>
        <w:rPr>
          <w:rFonts w:cs="宋体"/>
          <w:color w:val="000000" w:themeColor="text1"/>
          <w:sz w:val="24"/>
          <w:lang w:val="zh-CN"/>
          <w14:textFill>
            <w14:solidFill>
              <w14:schemeClr w14:val="tx1"/>
            </w14:solidFill>
          </w14:textFill>
        </w:rPr>
      </w:pPr>
    </w:p>
    <w:p w14:paraId="5292FD81">
      <w:pPr>
        <w:numPr>
          <w:ilvl w:val="0"/>
          <w:numId w:val="2"/>
        </w:numPr>
        <w:tabs>
          <w:tab w:val="left" w:pos="420"/>
        </w:tabs>
        <w:autoSpaceDE w:val="0"/>
        <w:autoSpaceDN w:val="0"/>
        <w:adjustRightInd w:val="0"/>
        <w:spacing w:line="360" w:lineRule="auto"/>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运输及包装方式的要求</w:t>
      </w:r>
    </w:p>
    <w:p w14:paraId="3632277B">
      <w:pPr>
        <w:autoSpaceDE w:val="0"/>
        <w:autoSpaceDN w:val="0"/>
        <w:adjustRightInd w:val="0"/>
        <w:spacing w:line="360" w:lineRule="auto"/>
        <w:ind w:firstLine="480" w:firstLineChars="2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3E0CEAEC">
      <w:pPr>
        <w:numPr>
          <w:ilvl w:val="0"/>
          <w:numId w:val="2"/>
        </w:numPr>
        <w:tabs>
          <w:tab w:val="left" w:pos="420"/>
        </w:tabs>
        <w:autoSpaceDE w:val="0"/>
        <w:autoSpaceDN w:val="0"/>
        <w:adjustRightInd w:val="0"/>
        <w:spacing w:line="360" w:lineRule="auto"/>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安装、调试，验收</w:t>
      </w:r>
      <w:r>
        <w:rPr>
          <w:rFonts w:hint="eastAsia" w:ascii="宋体" w:hAnsi="宋体" w:cs="宋体"/>
          <w:b/>
          <w:bCs/>
          <w:color w:val="000000" w:themeColor="text1"/>
          <w:kern w:val="0"/>
          <w:sz w:val="24"/>
          <w14:textFill>
            <w14:solidFill>
              <w14:schemeClr w14:val="tx1"/>
            </w14:solidFill>
          </w14:textFill>
        </w:rPr>
        <w:t>及培训</w:t>
      </w:r>
      <w:r>
        <w:rPr>
          <w:rFonts w:hint="eastAsia" w:ascii="宋体" w:hAnsi="宋体" w:cs="宋体"/>
          <w:b/>
          <w:bCs/>
          <w:color w:val="000000" w:themeColor="text1"/>
          <w:kern w:val="0"/>
          <w:sz w:val="24"/>
          <w:lang w:val="zh-CN"/>
          <w14:textFill>
            <w14:solidFill>
              <w14:schemeClr w14:val="tx1"/>
            </w14:solidFill>
          </w14:textFill>
        </w:rPr>
        <w:t>：</w:t>
      </w:r>
    </w:p>
    <w:p w14:paraId="0A876B97">
      <w:pPr>
        <w:widowControl/>
        <w:tabs>
          <w:tab w:val="left" w:pos="0"/>
        </w:tabs>
        <w:spacing w:line="360" w:lineRule="auto"/>
        <w:ind w:firstLine="480" w:firstLineChars="200"/>
        <w:rPr>
          <w:rFonts w:ascii="宋体" w:hAnsi="宋体" w:cs="宋体"/>
          <w:sz w:val="24"/>
        </w:rPr>
      </w:pPr>
      <w:r>
        <w:rPr>
          <w:rFonts w:hint="eastAsia" w:ascii="宋体" w:hAnsi="宋体" w:cs="宋体"/>
          <w:sz w:val="24"/>
        </w:rPr>
        <w:t>7.1、仪器产品的开箱验收</w:t>
      </w:r>
    </w:p>
    <w:p w14:paraId="4FC08F84">
      <w:pPr>
        <w:widowControl/>
        <w:tabs>
          <w:tab w:val="left" w:pos="0"/>
        </w:tabs>
        <w:spacing w:line="360" w:lineRule="auto"/>
        <w:ind w:firstLine="480" w:firstLineChars="200"/>
        <w:rPr>
          <w:rFonts w:ascii="宋体" w:hAnsi="宋体" w:cs="宋体"/>
          <w:sz w:val="24"/>
        </w:rPr>
      </w:pPr>
      <w:r>
        <w:rPr>
          <w:rFonts w:hint="eastAsia" w:ascii="宋体" w:hAnsi="宋体" w:cs="宋体"/>
          <w:sz w:val="24"/>
        </w:rPr>
        <w:t>仪器产品开箱时须买卖双方代表人员在场，并按技术要求中规定的质量、性能、规格指标开箱验收，对产品的数量、品质逐项检查。如在开箱过程中发现有仪器（或功能部件）缺损、破坏、缺少等，由卖方按合同清单在15个工作日内，完成更换或补齐工作。</w:t>
      </w:r>
    </w:p>
    <w:p w14:paraId="441F128A">
      <w:pPr>
        <w:widowControl/>
        <w:tabs>
          <w:tab w:val="left" w:pos="0"/>
        </w:tabs>
        <w:spacing w:line="360" w:lineRule="auto"/>
        <w:ind w:firstLine="480" w:firstLineChars="200"/>
        <w:rPr>
          <w:rFonts w:ascii="宋体" w:hAnsi="宋体" w:cs="宋体"/>
          <w:sz w:val="24"/>
        </w:rPr>
      </w:pPr>
      <w:r>
        <w:rPr>
          <w:rFonts w:hint="eastAsia" w:ascii="宋体" w:hAnsi="宋体" w:cs="宋体"/>
          <w:sz w:val="24"/>
        </w:rPr>
        <w:t>7.2、仪器产品的安装调试</w:t>
      </w:r>
    </w:p>
    <w:p w14:paraId="1DA5BD91">
      <w:pPr>
        <w:widowControl/>
        <w:tabs>
          <w:tab w:val="left" w:pos="0"/>
        </w:tabs>
        <w:spacing w:line="360" w:lineRule="auto"/>
        <w:ind w:firstLine="480" w:firstLineChars="200"/>
        <w:rPr>
          <w:rFonts w:ascii="宋体" w:hAnsi="宋体" w:cs="宋体"/>
          <w:sz w:val="24"/>
        </w:rPr>
      </w:pPr>
      <w:r>
        <w:rPr>
          <w:rFonts w:hint="eastAsia" w:ascii="宋体" w:hAnsi="宋体" w:cs="宋体"/>
          <w:sz w:val="24"/>
        </w:rPr>
        <w:t>仪器产品开箱验收之日起1周内，卖方安排一名或多名富有经验的仪器安装工程师到买方现场进仪器的安装调试。确保整套仪器安装调试后正常工作、技术指标达到技术要求。</w:t>
      </w:r>
    </w:p>
    <w:p w14:paraId="17209817">
      <w:pPr>
        <w:widowControl/>
        <w:tabs>
          <w:tab w:val="left" w:pos="0"/>
        </w:tabs>
        <w:spacing w:line="360" w:lineRule="auto"/>
        <w:ind w:firstLine="480" w:firstLineChars="200"/>
        <w:rPr>
          <w:rFonts w:ascii="宋体" w:hAnsi="宋体" w:cs="宋体"/>
          <w:sz w:val="24"/>
        </w:rPr>
      </w:pPr>
      <w:r>
        <w:rPr>
          <w:rFonts w:hint="eastAsia" w:ascii="宋体" w:hAnsi="宋体" w:cs="宋体"/>
          <w:sz w:val="24"/>
        </w:rPr>
        <w:t>7.3、免费技术培训</w:t>
      </w:r>
    </w:p>
    <w:p w14:paraId="56E235A4">
      <w:pPr>
        <w:widowControl/>
        <w:tabs>
          <w:tab w:val="left" w:pos="0"/>
        </w:tabs>
        <w:spacing w:line="360" w:lineRule="auto"/>
        <w:ind w:firstLine="480" w:firstLineChars="200"/>
        <w:rPr>
          <w:rFonts w:ascii="宋体" w:hAnsi="宋体" w:cs="宋体"/>
          <w:sz w:val="24"/>
        </w:rPr>
      </w:pPr>
      <w:r>
        <w:rPr>
          <w:rFonts w:hint="eastAsia" w:ascii="宋体" w:hAnsi="宋体" w:cs="宋体"/>
          <w:sz w:val="24"/>
        </w:rPr>
        <w:t>仪器产品安装调试后，卖方安排一名或多名富有经验的仪器使用工程师到买方现场进行技术培训服务，内容包括：</w:t>
      </w:r>
    </w:p>
    <w:p w14:paraId="3FA0BBF7">
      <w:pPr>
        <w:widowControl/>
        <w:tabs>
          <w:tab w:val="left" w:pos="0"/>
        </w:tabs>
        <w:spacing w:line="360" w:lineRule="auto"/>
        <w:ind w:firstLine="480" w:firstLineChars="200"/>
        <w:rPr>
          <w:rFonts w:ascii="宋体" w:hAnsi="宋体" w:cs="宋体"/>
          <w:sz w:val="24"/>
        </w:rPr>
      </w:pPr>
      <w:r>
        <w:rPr>
          <w:rFonts w:hint="eastAsia" w:ascii="宋体" w:hAnsi="宋体" w:cs="宋体"/>
          <w:sz w:val="24"/>
        </w:rPr>
        <w:t>（1）理论培训：举办1次室内理论技术讲解培训。培训内容包括本类仪器的系统原理、结构、功能、保养、现场简易维修、现场操作、故障应急处置等；免费共享最新的应用案例材料及相关资料。</w:t>
      </w:r>
    </w:p>
    <w:p w14:paraId="6AF20177">
      <w:pPr>
        <w:widowControl/>
        <w:tabs>
          <w:tab w:val="left" w:pos="0"/>
        </w:tabs>
        <w:spacing w:line="360" w:lineRule="auto"/>
        <w:ind w:firstLine="480" w:firstLineChars="200"/>
        <w:rPr>
          <w:rFonts w:ascii="宋体" w:hAnsi="宋体" w:cs="宋体"/>
          <w:sz w:val="24"/>
        </w:rPr>
      </w:pPr>
      <w:r>
        <w:rPr>
          <w:rFonts w:hint="eastAsia" w:ascii="宋体" w:hAnsi="宋体" w:cs="宋体"/>
          <w:sz w:val="24"/>
        </w:rPr>
        <w:t>（2）实操培训：卖方仪器使用工程师，面向买方委派的不少于2位技术支撑人员，进行针对本套仪器的具体操作步骤、注意事项、校准方案等提供现场培训讲解。培训的内容包括本套仪器的基本测试原理、核心结构和部件功能、应用软件操作、故障处理和运行维护、日常保养及注意事项。确保买方技术支撑人员具备独立操作和日常维护本套仪器的能力。</w:t>
      </w:r>
    </w:p>
    <w:p w14:paraId="095D65FB">
      <w:pPr>
        <w:widowControl/>
        <w:tabs>
          <w:tab w:val="left" w:pos="0"/>
        </w:tabs>
        <w:spacing w:line="360" w:lineRule="auto"/>
        <w:ind w:firstLine="480" w:firstLineChars="200"/>
        <w:rPr>
          <w:rFonts w:ascii="宋体" w:hAnsi="宋体" w:cs="宋体"/>
          <w:sz w:val="24"/>
        </w:rPr>
      </w:pPr>
      <w:r>
        <w:rPr>
          <w:rFonts w:hint="eastAsia" w:ascii="宋体" w:hAnsi="宋体" w:cs="宋体"/>
          <w:sz w:val="24"/>
        </w:rPr>
        <w:t>7.4、仪器产品的专家评估验收</w:t>
      </w:r>
    </w:p>
    <w:p w14:paraId="29270330">
      <w:pPr>
        <w:widowControl/>
        <w:tabs>
          <w:tab w:val="left" w:pos="0"/>
        </w:tabs>
        <w:spacing w:line="360" w:lineRule="auto"/>
        <w:ind w:firstLine="480" w:firstLineChars="200"/>
        <w:rPr>
          <w:rFonts w:ascii="宋体" w:hAnsi="宋体" w:cs="宋体"/>
          <w:sz w:val="24"/>
        </w:rPr>
      </w:pPr>
      <w:r>
        <w:rPr>
          <w:rFonts w:hint="eastAsia" w:ascii="宋体" w:hAnsi="宋体" w:cs="宋体"/>
          <w:sz w:val="24"/>
        </w:rPr>
        <w:t>技术培训完成后1周内，买方组织专家按照技术要求中的指标参数进行评估验收，并由专家组出具是否同意通过验收的书面意见。</w:t>
      </w:r>
    </w:p>
    <w:p w14:paraId="5EAFF424">
      <w:pPr>
        <w:widowControl/>
        <w:tabs>
          <w:tab w:val="left" w:pos="0"/>
        </w:tabs>
        <w:spacing w:line="360" w:lineRule="auto"/>
        <w:ind w:firstLine="480" w:firstLineChars="200"/>
        <w:rPr>
          <w:rFonts w:ascii="宋体" w:hAnsi="宋体" w:cs="宋体"/>
          <w:sz w:val="24"/>
        </w:rPr>
      </w:pPr>
      <w:r>
        <w:rPr>
          <w:rFonts w:hint="eastAsia" w:ascii="宋体" w:hAnsi="宋体" w:cs="宋体"/>
          <w:sz w:val="24"/>
        </w:rPr>
        <w:t>7.5、仪器产品用户验收报告</w:t>
      </w:r>
    </w:p>
    <w:p w14:paraId="6F0A0F98">
      <w:pPr>
        <w:widowControl/>
        <w:tabs>
          <w:tab w:val="left" w:pos="0"/>
        </w:tabs>
        <w:spacing w:line="360" w:lineRule="auto"/>
        <w:ind w:firstLine="480" w:firstLineChars="200"/>
        <w:rPr>
          <w:rFonts w:ascii="宋体" w:hAnsi="宋体" w:cs="宋体"/>
          <w:sz w:val="24"/>
        </w:rPr>
      </w:pPr>
      <w:r>
        <w:rPr>
          <w:rFonts w:hint="eastAsia" w:ascii="宋体" w:hAnsi="宋体" w:cs="宋体"/>
          <w:sz w:val="24"/>
        </w:rPr>
        <w:t>买方在专家评估验收通过后10个工作日内，出具作为支付卖方合同的依据的含用户代表签字并加盖单位公章后的验收报告，即仪器产品用户验收报告。</w:t>
      </w:r>
    </w:p>
    <w:p w14:paraId="6035FB44">
      <w:pPr>
        <w:pStyle w:val="2"/>
        <w:spacing w:line="360" w:lineRule="auto"/>
        <w:ind w:left="0" w:leftChars="0" w:firstLine="0" w:firstLineChars="0"/>
        <w:rPr>
          <w:rFonts w:cs="宋体"/>
          <w:color w:val="000000" w:themeColor="text1"/>
          <w:sz w:val="24"/>
          <w:lang w:val="zh-CN"/>
          <w14:textFill>
            <w14:solidFill>
              <w14:schemeClr w14:val="tx1"/>
            </w14:solidFill>
          </w14:textFill>
        </w:rPr>
      </w:pPr>
      <w:r>
        <w:rPr>
          <w:rFonts w:cs="宋体"/>
          <w:bCs/>
          <w:color w:val="000000" w:themeColor="text1"/>
          <w:kern w:val="0"/>
          <w:sz w:val="24"/>
          <w:lang w:val="zh-CN"/>
          <w14:textFill>
            <w14:solidFill>
              <w14:schemeClr w14:val="tx1"/>
            </w14:solidFill>
          </w14:textFill>
        </w:rPr>
        <w:t xml:space="preserve"> </w:t>
      </w:r>
    </w:p>
    <w:p w14:paraId="29F41880">
      <w:pPr>
        <w:numPr>
          <w:ilvl w:val="0"/>
          <w:numId w:val="2"/>
        </w:numPr>
        <w:tabs>
          <w:tab w:val="left" w:pos="420"/>
        </w:tabs>
        <w:autoSpaceDE w:val="0"/>
        <w:autoSpaceDN w:val="0"/>
        <w:adjustRightInd w:val="0"/>
        <w:spacing w:line="360" w:lineRule="auto"/>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质量及知识产权要求</w:t>
      </w:r>
    </w:p>
    <w:p w14:paraId="0DBD0765">
      <w:pPr>
        <w:numPr>
          <w:ilvl w:val="0"/>
          <w:numId w:val="5"/>
        </w:numPr>
        <w:tabs>
          <w:tab w:val="left" w:pos="426"/>
          <w:tab w:val="left" w:pos="851"/>
        </w:tabs>
        <w:autoSpaceDE w:val="0"/>
        <w:autoSpaceDN w:val="0"/>
        <w:adjustRightInd w:val="0"/>
        <w:spacing w:line="360" w:lineRule="auto"/>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投标人提供完好、全新的原包装产品（包括零配件），随机技术资料齐全。产品符合国家质量检测标准，必须具有生产日期、厂名、厂址、产品合格证等。进口产品须提供海关进货单（复印件备查）。</w:t>
      </w:r>
    </w:p>
    <w:p w14:paraId="59CACFF9">
      <w:pPr>
        <w:numPr>
          <w:ilvl w:val="0"/>
          <w:numId w:val="5"/>
        </w:numPr>
        <w:tabs>
          <w:tab w:val="left" w:pos="426"/>
          <w:tab w:val="left" w:pos="851"/>
        </w:tabs>
        <w:autoSpaceDE w:val="0"/>
        <w:autoSpaceDN w:val="0"/>
        <w:adjustRightInd w:val="0"/>
        <w:spacing w:line="360" w:lineRule="auto"/>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79D053A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man Old Style">
    <w:altName w:val="Segoe Print"/>
    <w:panose1 w:val="02050604050505020204"/>
    <w:charset w:val="00"/>
    <w:family w:val="roman"/>
    <w:pitch w:val="default"/>
    <w:sig w:usb0="00000000" w:usb1="00000000" w:usb2="00000000" w:usb3="00000000" w:csb0="2000009F" w:csb1="DFD70000"/>
  </w:font>
  <w:font w:name="仿宋_GB2312">
    <w:altName w:val="仿宋"/>
    <w:panose1 w:val="02010609030101010101"/>
    <w:charset w:val="86"/>
    <w:family w:val="modern"/>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1D7EFF"/>
    <w:multiLevelType w:val="singleLevel"/>
    <w:tmpl w:val="1E1D7EFF"/>
    <w:lvl w:ilvl="0" w:tentative="0">
      <w:start w:val="1"/>
      <w:numFmt w:val="decimal"/>
      <w:lvlText w:val="%1)"/>
      <w:lvlJc w:val="left"/>
      <w:pPr>
        <w:tabs>
          <w:tab w:val="left" w:pos="312"/>
        </w:tabs>
      </w:pPr>
    </w:lvl>
  </w:abstractNum>
  <w:abstractNum w:abstractNumId="1">
    <w:nsid w:val="58340A20"/>
    <w:multiLevelType w:val="multilevel"/>
    <w:tmpl w:val="58340A20"/>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
    <w:nsid w:val="70816618"/>
    <w:multiLevelType w:val="multilevel"/>
    <w:tmpl w:val="708166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7960C54"/>
    <w:multiLevelType w:val="multilevel"/>
    <w:tmpl w:val="77960C54"/>
    <w:lvl w:ilvl="0" w:tentative="0">
      <w:start w:val="1"/>
      <w:numFmt w:val="chineseCounting"/>
      <w:lvlText w:val="%1、"/>
      <w:lvlJc w:val="left"/>
      <w:pPr>
        <w:ind w:left="1047" w:hanging="420"/>
      </w:pPr>
      <w:rPr>
        <w:rFonts w:hint="eastAsia"/>
      </w:rPr>
    </w:lvl>
    <w:lvl w:ilvl="1" w:tentative="0">
      <w:start w:val="1"/>
      <w:numFmt w:val="lowerLetter"/>
      <w:lvlText w:val="%2)"/>
      <w:lvlJc w:val="left"/>
      <w:pPr>
        <w:ind w:left="1467" w:hanging="420"/>
      </w:pPr>
    </w:lvl>
    <w:lvl w:ilvl="2" w:tentative="0">
      <w:start w:val="1"/>
      <w:numFmt w:val="lowerRoman"/>
      <w:lvlText w:val="%3."/>
      <w:lvlJc w:val="right"/>
      <w:pPr>
        <w:ind w:left="1887" w:hanging="420"/>
      </w:pPr>
    </w:lvl>
    <w:lvl w:ilvl="3" w:tentative="0">
      <w:start w:val="1"/>
      <w:numFmt w:val="decimal"/>
      <w:lvlText w:val="%4."/>
      <w:lvlJc w:val="left"/>
      <w:pPr>
        <w:ind w:left="2307" w:hanging="420"/>
      </w:pPr>
    </w:lvl>
    <w:lvl w:ilvl="4" w:tentative="0">
      <w:start w:val="1"/>
      <w:numFmt w:val="lowerLetter"/>
      <w:lvlText w:val="%5)"/>
      <w:lvlJc w:val="left"/>
      <w:pPr>
        <w:ind w:left="2727" w:hanging="420"/>
      </w:pPr>
    </w:lvl>
    <w:lvl w:ilvl="5" w:tentative="0">
      <w:start w:val="1"/>
      <w:numFmt w:val="lowerRoman"/>
      <w:lvlText w:val="%6."/>
      <w:lvlJc w:val="right"/>
      <w:pPr>
        <w:ind w:left="3147" w:hanging="420"/>
      </w:pPr>
    </w:lvl>
    <w:lvl w:ilvl="6" w:tentative="0">
      <w:start w:val="1"/>
      <w:numFmt w:val="decimal"/>
      <w:lvlText w:val="%7."/>
      <w:lvlJc w:val="left"/>
      <w:pPr>
        <w:ind w:left="3567" w:hanging="420"/>
      </w:pPr>
    </w:lvl>
    <w:lvl w:ilvl="7" w:tentative="0">
      <w:start w:val="1"/>
      <w:numFmt w:val="lowerLetter"/>
      <w:lvlText w:val="%8)"/>
      <w:lvlJc w:val="left"/>
      <w:pPr>
        <w:ind w:left="3987" w:hanging="420"/>
      </w:pPr>
    </w:lvl>
    <w:lvl w:ilvl="8" w:tentative="0">
      <w:start w:val="1"/>
      <w:numFmt w:val="lowerRoman"/>
      <w:lvlText w:val="%9."/>
      <w:lvlJc w:val="right"/>
      <w:pPr>
        <w:ind w:left="4407" w:hanging="420"/>
      </w:pPr>
    </w:lvl>
  </w:abstractNum>
  <w:abstractNum w:abstractNumId="4">
    <w:nsid w:val="7AE1256C"/>
    <w:multiLevelType w:val="singleLevel"/>
    <w:tmpl w:val="7AE1256C"/>
    <w:lvl w:ilvl="0" w:tentative="0">
      <w:start w:val="1"/>
      <w:numFmt w:val="decimal"/>
      <w:lvlText w:val="%1."/>
      <w:lvlJc w:val="left"/>
      <w:pPr>
        <w:ind w:left="425" w:hanging="425"/>
      </w:pPr>
      <w:rPr>
        <w:rFonts w:hint="default"/>
        <w:b/>
        <w:bCs/>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0YTA4OWNjYWU4ZGUzNzBhMDg2ZjZmMWU3MDdiNWIifQ=="/>
  </w:docVars>
  <w:rsids>
    <w:rsidRoot w:val="613537B4"/>
    <w:rsid w:val="613537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99"/>
    <w:pPr>
      <w:ind w:firstLine="420" w:firstLineChars="200"/>
    </w:pPr>
  </w:style>
  <w:style w:type="paragraph" w:styleId="3">
    <w:name w:val="Body Text Indent"/>
    <w:basedOn w:val="1"/>
    <w:next w:val="4"/>
    <w:qFormat/>
    <w:uiPriority w:val="99"/>
    <w:pPr>
      <w:spacing w:after="120"/>
      <w:ind w:left="420" w:leftChars="200"/>
    </w:pPr>
  </w:style>
  <w:style w:type="paragraph" w:styleId="4">
    <w:name w:val="envelope return"/>
    <w:basedOn w:val="1"/>
    <w:qFormat/>
    <w:uiPriority w:val="99"/>
    <w:pPr>
      <w:snapToGrid w:val="0"/>
    </w:pPr>
    <w:rPr>
      <w:rFonts w:ascii="Arial" w:hAnsi="Arial"/>
    </w:rPr>
  </w:style>
  <w:style w:type="paragraph" w:styleId="5">
    <w:name w:val="Body Text"/>
    <w:basedOn w:val="1"/>
    <w:qFormat/>
    <w:uiPriority w:val="99"/>
    <w:pPr>
      <w:tabs>
        <w:tab w:val="left" w:pos="567"/>
      </w:tabs>
      <w:spacing w:before="120" w:line="22" w:lineRule="atLeast"/>
    </w:pPr>
    <w:rPr>
      <w:rFonts w:ascii="宋体" w:hAnsi="宋体"/>
      <w:sz w:val="24"/>
    </w:rPr>
  </w:style>
  <w:style w:type="paragraph" w:styleId="6">
    <w:name w:val="Title"/>
    <w:basedOn w:val="1"/>
    <w:next w:val="1"/>
    <w:qFormat/>
    <w:uiPriority w:val="0"/>
    <w:pPr>
      <w:jc w:val="center"/>
    </w:pPr>
    <w:rPr>
      <w:sz w:val="3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2024-07-26T03:56:00Z</dcterms:created>
  <dc:creator>DF</dc:creator>
  <cp:lastModifiedBy>DF</cp:lastModifiedBy>
  <dcterms:modified xsi:type="dcterms:W3CDTF">2024-07-26T03:59:08Z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F07909715CB640C3A8EADA30668E4FB3_11</vt:lpwstr>
  </property>
</Properties>
</file>