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W w:w="1008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10082"/>
      </w:tblGrid>
      <w:tr>
        <w:tblPrEx>
          <w:shd w:val="clear"/>
          <w:tblCellMar>
            <w:top w:w="0" w:type="dxa"/>
            <w:left w:w="0" w:type="dxa"/>
            <w:bottom w:w="0" w:type="dxa"/>
            <w:right w:w="0" w:type="dxa"/>
          </w:tblCellMar>
        </w:tblPrEx>
        <w:tc>
          <w:tcPr>
            <w:tcW w:w="10082" w:type="dxa"/>
            <w:shd w:val="clear"/>
            <w:vAlign w:val="center"/>
          </w:tcPr>
          <w:p>
            <w:pPr>
              <w:keepNext w:val="0"/>
              <w:keepLines w:val="0"/>
              <w:widowControl/>
              <w:suppressLineNumbers w:val="0"/>
              <w:spacing w:line="23" w:lineRule="atLeast"/>
              <w:jc w:val="left"/>
              <w:rPr>
                <w:rFonts w:ascii="微软雅黑" w:hAnsi="微软雅黑" w:eastAsia="微软雅黑" w:cs="微软雅黑"/>
                <w:caps w:val="0"/>
                <w:spacing w:val="0"/>
                <w:sz w:val="42"/>
                <w:szCs w:val="42"/>
              </w:rPr>
            </w:pPr>
            <w:r>
              <w:rPr>
                <w:rStyle w:val="5"/>
                <w:rFonts w:hint="eastAsia" w:ascii="微软雅黑" w:hAnsi="微软雅黑" w:eastAsia="微软雅黑" w:cs="微软雅黑"/>
                <w:caps w:val="0"/>
                <w:spacing w:val="0"/>
                <w:kern w:val="0"/>
                <w:sz w:val="42"/>
                <w:szCs w:val="42"/>
                <w:lang w:val="en-US" w:eastAsia="zh-CN" w:bidi="ar"/>
              </w:rPr>
              <w:t>采购需求：</w:t>
            </w:r>
          </w:p>
          <w:tbl>
            <w:tblPr>
              <w:tblW w:w="0" w:type="auto"/>
              <w:tblInd w:w="-2"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15" w:type="dxa"/>
                <w:left w:w="15" w:type="dxa"/>
                <w:bottom w:w="15" w:type="dxa"/>
                <w:right w:w="15" w:type="dxa"/>
              </w:tblCellMar>
            </w:tblPr>
            <w:tblGrid>
              <w:gridCol w:w="3025"/>
              <w:gridCol w:w="4044"/>
              <w:gridCol w:w="1527"/>
              <w:gridCol w:w="103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rPr>
                <w:trHeight w:val="305" w:hRule="atLeast"/>
              </w:trPr>
              <w:tc>
                <w:tcPr>
                  <w:tcW w:w="3025"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line="360" w:lineRule="atLeast"/>
                    <w:ind w:left="0" w:right="0"/>
                    <w:jc w:val="center"/>
                  </w:pPr>
                  <w:r>
                    <w:rPr>
                      <w:rFonts w:ascii="方正仿宋_GBK" w:hAnsi="方正仿宋_GBK" w:eastAsia="方正仿宋_GBK" w:cs="方正仿宋_GBK"/>
                      <w:sz w:val="24"/>
                      <w:szCs w:val="24"/>
                    </w:rPr>
                    <w:t>名称</w:t>
                  </w:r>
                </w:p>
              </w:tc>
              <w:tc>
                <w:tcPr>
                  <w:tcW w:w="4044"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line="360" w:lineRule="atLeast"/>
                    <w:ind w:left="0" w:right="0"/>
                    <w:jc w:val="center"/>
                  </w:pPr>
                  <w:r>
                    <w:rPr>
                      <w:rFonts w:hint="eastAsia" w:ascii="方正仿宋_GBK" w:hAnsi="方正仿宋_GBK" w:eastAsia="方正仿宋_GBK" w:cs="方正仿宋_GBK"/>
                      <w:sz w:val="24"/>
                      <w:szCs w:val="24"/>
                    </w:rPr>
                    <w:t>服务期限</w:t>
                  </w:r>
                </w:p>
              </w:tc>
              <w:tc>
                <w:tcPr>
                  <w:tcW w:w="1527"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line="360" w:lineRule="atLeast"/>
                    <w:ind w:left="0" w:right="0"/>
                    <w:jc w:val="center"/>
                  </w:pPr>
                  <w:r>
                    <w:rPr>
                      <w:rFonts w:hint="eastAsia" w:ascii="方正仿宋_GBK" w:hAnsi="方正仿宋_GBK" w:eastAsia="方正仿宋_GBK" w:cs="方正仿宋_GBK"/>
                      <w:sz w:val="24"/>
                      <w:szCs w:val="24"/>
                    </w:rPr>
                    <w:t>数量/单位</w:t>
                  </w:r>
                </w:p>
              </w:tc>
              <w:tc>
                <w:tcPr>
                  <w:tcW w:w="1032"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line="360" w:lineRule="atLeast"/>
                    <w:ind w:left="0" w:right="0"/>
                    <w:jc w:val="center"/>
                  </w:pPr>
                  <w:r>
                    <w:rPr>
                      <w:rFonts w:hint="eastAsia" w:ascii="方正仿宋_GBK" w:hAnsi="方正仿宋_GBK" w:eastAsia="方正仿宋_GBK" w:cs="方正仿宋_GBK"/>
                      <w:sz w:val="24"/>
                      <w:szCs w:val="24"/>
                    </w:rPr>
                    <w:t>备注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399" w:hRule="atLeast"/>
              </w:trPr>
              <w:tc>
                <w:tcPr>
                  <w:tcW w:w="3025" w:type="dxa"/>
                  <w:tcBorders>
                    <w:top w:val="nil"/>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2"/>
                    <w:keepNext w:val="0"/>
                    <w:keepLines w:val="0"/>
                    <w:widowControl/>
                    <w:suppressLineNumbers w:val="0"/>
                    <w:spacing w:before="0" w:beforeAutospacing="0" w:after="0" w:afterAutospacing="0" w:line="400" w:lineRule="atLeast"/>
                    <w:ind w:left="0" w:right="0"/>
                    <w:jc w:val="center"/>
                  </w:pPr>
                  <w:r>
                    <w:rPr>
                      <w:rFonts w:hint="eastAsia" w:ascii="方正仿宋_GBK" w:hAnsi="方正仿宋_GBK" w:eastAsia="方正仿宋_GBK" w:cs="方正仿宋_GBK"/>
                      <w:sz w:val="24"/>
                      <w:szCs w:val="24"/>
                    </w:rPr>
                    <w:t>重庆市沙坪坝区融汇沙坪坝小学校采购2025年校园物业管理及保洁服务</w:t>
                  </w:r>
                </w:p>
              </w:tc>
              <w:tc>
                <w:tcPr>
                  <w:tcW w:w="4044" w:type="dxa"/>
                  <w:tcBorders>
                    <w:top w:val="nil"/>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2"/>
                    <w:keepNext w:val="0"/>
                    <w:keepLines w:val="0"/>
                    <w:widowControl/>
                    <w:suppressLineNumbers w:val="0"/>
                    <w:spacing w:before="0" w:beforeAutospacing="0" w:after="0" w:afterAutospacing="0" w:line="400" w:lineRule="atLeast"/>
                    <w:ind w:left="0" w:right="0"/>
                    <w:jc w:val="center"/>
                  </w:pPr>
                  <w:r>
                    <w:rPr>
                      <w:rFonts w:hint="eastAsia" w:ascii="方正仿宋_GBK" w:hAnsi="方正仿宋_GBK" w:eastAsia="方正仿宋_GBK" w:cs="方正仿宋_GBK"/>
                      <w:sz w:val="24"/>
                      <w:szCs w:val="24"/>
                    </w:rPr>
                    <w:t>服务时间为合同签订后一年；融汇沙坪坝小学A、B校区；</w:t>
                  </w:r>
                </w:p>
                <w:p>
                  <w:pPr>
                    <w:pStyle w:val="2"/>
                    <w:keepNext w:val="0"/>
                    <w:keepLines w:val="0"/>
                    <w:widowControl/>
                    <w:suppressLineNumbers w:val="0"/>
                    <w:spacing w:before="0" w:beforeAutospacing="0" w:after="0" w:afterAutospacing="0" w:line="400" w:lineRule="atLeast"/>
                    <w:ind w:left="0" w:right="0"/>
                    <w:jc w:val="center"/>
                  </w:pPr>
                  <w:r>
                    <w:rPr>
                      <w:rFonts w:hint="eastAsia" w:ascii="方正仿宋_GBK" w:hAnsi="方正仿宋_GBK" w:eastAsia="方正仿宋_GBK" w:cs="方正仿宋_GBK"/>
                      <w:sz w:val="24"/>
                      <w:szCs w:val="24"/>
                    </w:rPr>
                    <w:t> </w:t>
                  </w:r>
                </w:p>
              </w:tc>
              <w:tc>
                <w:tcPr>
                  <w:tcW w:w="1527" w:type="dxa"/>
                  <w:tcBorders>
                    <w:top w:val="nil"/>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2"/>
                    <w:keepNext w:val="0"/>
                    <w:keepLines w:val="0"/>
                    <w:widowControl/>
                    <w:suppressLineNumbers w:val="0"/>
                    <w:spacing w:before="0" w:beforeAutospacing="0" w:after="0" w:afterAutospacing="0" w:line="400" w:lineRule="atLeast"/>
                    <w:ind w:left="0" w:right="0"/>
                    <w:jc w:val="center"/>
                  </w:pPr>
                  <w:r>
                    <w:rPr>
                      <w:rFonts w:hint="eastAsia" w:ascii="方正仿宋_GBK" w:hAnsi="方正仿宋_GBK" w:eastAsia="方正仿宋_GBK" w:cs="方正仿宋_GBK"/>
                      <w:sz w:val="24"/>
                      <w:szCs w:val="24"/>
                    </w:rPr>
                    <w:t>1项</w:t>
                  </w:r>
                </w:p>
              </w:tc>
              <w:tc>
                <w:tcPr>
                  <w:tcW w:w="1032" w:type="dxa"/>
                  <w:tcBorders>
                    <w:top w:val="nil"/>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rPr>
                      <w:rFonts w:hint="eastAsia" w:ascii="宋体"/>
                      <w:sz w:val="24"/>
                      <w:szCs w:val="24"/>
                    </w:rPr>
                  </w:pPr>
                </w:p>
              </w:tc>
            </w:tr>
          </w:tbl>
          <w:p>
            <w:pPr>
              <w:jc w:val="left"/>
              <w:rPr>
                <w:rFonts w:hint="eastAsia" w:ascii="微软雅黑" w:hAnsi="微软雅黑" w:eastAsia="微软雅黑" w:cs="微软雅黑"/>
                <w:caps w:val="0"/>
                <w:spacing w:val="0"/>
                <w:sz w:val="42"/>
                <w:szCs w:val="4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0082" w:type="dxa"/>
            <w:shd w:val="clear"/>
            <w:vAlign w:val="center"/>
          </w:tcPr>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服务要求：</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（一）项目负责人</w:t>
            </w:r>
            <w:bookmarkStart w:id="0" w:name="_GoBack"/>
            <w:bookmarkEnd w:id="0"/>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本项目负责人年龄50岁以下；负责人要具有全国物业管理企业经理证书。（必须是由"全国城建培训中心"颁发，该机构是住建部认可的专业培训与认证单位，证书需通过其授权机构考试获取，全国通用。</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（二）作业人员</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1.操作人员具备中国人民共和国特种作业操作证（低压、高压电工以及电梯）；</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2.电工人员必须具有人社部门认可机构颁发的电工职业技能等级证书（要求四级/中级及以上）；</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3.专门从事高空外墙清洗的作业人员应具备高空外墙清洗服务从业资格证书。</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（三）绿植人员</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绿植人员要具有人社部门颁发的绿化工四级及以上证书；</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（四）校园及所属的边坡护坎服务要求</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1.做到及时清除所有边坡的生活垃圾、树枝落叶、建筑装修垃圾丟弃物等，确保边坡干净整洁，无卫生死角。</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2.教学楼道服务要求保持干净、整洁。</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3.教学楼的走廊、过道保持干净、整洁，原则上每天不少于3次的清扫和除尘。</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4.校舍外墙清洗工作，每学期至少1次。</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（五）固废垃圾的处理服务要求</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1.责任区域内临时性产生的垃圾（破烂家具、枯树枝树叶、建筑装修垃圾丢弃物）及时清理。</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2.隔油池清淘维护</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（1）按照每年2次对学校隔油池内所有油污、杂物进行彻底清掏，清掏后所有油渣、污物清运至规定的专业处理场。</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（2）每个月一次定期对隔油池内的油脂进行清理，保障隔油池在服务期内正常使用。</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（3）在接到通知隔油池需临时清理时，应于3小时内到达现场处理。</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（4）在服务期内，免费疏通隔油池进出口，保障正常运行。</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（六）校园绿化维护</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1.学校后山劳动教育基地面积约40亩，具体工作为修剪所有道旁植物、修剪桑树10000余株、所有绿化带除草、施肥、平土、浇水（其中6月-10月需每天早晚抗旱保苗绿化带全面浇水需要安排专门人员落实，不得从日常保洁人员中抽调）、清扫绿化垃圾、压缩车需开上坡地出渣等。后山桑蚕公园和农耕体验园的修枝、除草、维护、出渣工作每年两次，上半年1次，下半年1次，具体时间以学校通知为准。完成该项目，达到预定要求。因现场环境处于坡地，投标单位必须进行实地踏勘，充分了解实地条件，做好充足报价，以避免因资金不足无法完成项目，影响学校对中标单位的考核。另外，后山所有绿植的除虫、营养液输液的材料、人工均由中标单位提供。绿化除虫为日常工作，需随请随到，营养液和吊瓶袋预计全年不高于100包。</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2.学校前后门草坪、停车位后的绿化带冷水花、麦冬、草坪，小广场挡墙的灯笼花，合计约800平米维护，每年补种四次，需满种，日常维护保持全绿。该项目涉及的草坪、花卉、绿化工由中标单位提供。</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3.学校校门口珍珠池内的花卉绿植每年补种四次，具体品种为一串红、杜鹃等，一年四季保持常绿，该项目涉及的草坪、花卉、绿化工由中标单位提供。</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4.学校停车位和教学楼与教辅楼之间的黄角树20棵，及其他树木60棵，每年修剪两次，具体工作为按照学校要求修枝、清理根系，出渣等。完成工作所需的绿化修枝车、工具、人员、出渣车均由中标单位提供。</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5.校园教学楼后的棕竹3000余株、芭蕉约20余株，每年修剪两次。</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6.B校区所有绿植修剪维护、补种等工作每学期进行1次。</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（七）设施设备的维护</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1.学校隔油池两座、化粪池两座、沉沙井两座，每年清掏清运两次。具体时间为7月1次，1月1次。</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2.学校教学楼下水道、落水管疏通、污水井、雨水井疏通，每学期不超50次，超过次数则按照劳务人员派遣标准收费处理。</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3.学校总配电房、楼层电井每半期专业维保检查一次，提出维保建议，做好维保记录，公司盖章确认。</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4.学校电器的开关、调速器、空开等维修，包含完成项目所需的电工1-2名、各型号空开，不高于30个，开关和调速器不高于40个，（含耗材）均由中标单位提供。（以学校实际需维修的数量为准，如若超过限定标准则按照市场价格，经中标单位与学校协商后计价）</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5.处理教学楼可能出现的电线裸露、门锁及把手损坏及其他教学楼设施维护等问题，包含材料预计弯接头槽板不高于50米，防盗门锁（含把手）不高于10套，厕所塑料门扣锁20套，洗手盆及水龙头落水管20套（规格款式与现有产品相匹配）以上材料（含耗材）均由中标单位提供。</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6.处理校园路面、墙面、梯步石材及瓷砖损坏的问题，预计3公分300*600锈石黄石材不高于40块，5公分300*600锈石黄石材不高于40块，3-5公分300*600芝麻灰石材不高于20块，300*600锈石黄水密子石材不高于20块，10公分青石不高于10块，枫叶红400*600石材不高于20块，马赛克墙砖150*600不高于30块，塑料防撞条不高于20根，以上材料规格款式均以学校现有产品相匹配，材料均由中标单位提供（含耗材）。（以学校实际需维修的数量为准，以上耗材如若超过限定数量，则按照市场价格，经中标单位与学校协商后计价）</w:t>
            </w:r>
          </w:p>
          <w:p>
            <w:pPr>
              <w:pStyle w:val="2"/>
              <w:keepNext w:val="0"/>
              <w:keepLines w:val="0"/>
              <w:widowControl/>
              <w:suppressLineNumbers w:val="0"/>
              <w:spacing w:before="0" w:beforeAutospacing="0" w:after="0" w:afterAutospacing="0" w:line="400" w:lineRule="atLeast"/>
              <w:ind w:left="0" w:right="0" w:firstLine="480"/>
              <w:jc w:val="both"/>
            </w:pPr>
            <w:r>
              <w:rPr>
                <w:rFonts w:hint="eastAsia" w:ascii="方正仿宋_GBK" w:hAnsi="方正仿宋_GBK" w:eastAsia="方正仿宋_GBK" w:cs="方正仿宋_GBK"/>
                <w:caps w:val="0"/>
                <w:color w:val="000000"/>
                <w:spacing w:val="0"/>
                <w:sz w:val="24"/>
                <w:szCs w:val="24"/>
              </w:rPr>
              <w:t>7.消防设施的排查、检查每学期一次，提出维保建议，做好维保记录，公司盖章确认。</w:t>
            </w:r>
          </w:p>
          <w:p>
            <w:pPr>
              <w:pStyle w:val="2"/>
              <w:keepNext w:val="0"/>
              <w:keepLines w:val="0"/>
              <w:widowControl/>
              <w:suppressLineNumbers w:val="0"/>
              <w:spacing w:before="0" w:beforeAutospacing="0" w:after="0" w:afterAutospacing="0" w:line="23" w:lineRule="atLeast"/>
              <w:ind w:left="0" w:right="0"/>
              <w:jc w:val="left"/>
            </w:pPr>
            <w:r>
              <w:rPr>
                <w:rFonts w:hint="eastAsia" w:ascii="方正仿宋_GBK" w:hAnsi="方正仿宋_GBK" w:eastAsia="方正仿宋_GBK" w:cs="方正仿宋_GBK"/>
                <w:caps w:val="0"/>
                <w:color w:val="000000"/>
                <w:spacing w:val="0"/>
                <w:sz w:val="24"/>
                <w:szCs w:val="24"/>
              </w:rPr>
              <w:t>8.如因日常管理效果好，材料消耗未达到需求上线，报价中的相关费用则用于其他物业服务项目中。</w:t>
            </w:r>
          </w:p>
          <w:p>
            <w:pPr>
              <w:pStyle w:val="2"/>
              <w:keepNext w:val="0"/>
              <w:keepLines w:val="0"/>
              <w:widowControl/>
              <w:suppressLineNumbers w:val="0"/>
              <w:spacing w:before="0" w:beforeAutospacing="0" w:after="0" w:afterAutospacing="0" w:line="23" w:lineRule="atLeast"/>
              <w:ind w:left="0" w:right="0"/>
              <w:jc w:val="left"/>
            </w:pPr>
            <w:r>
              <w:rPr>
                <w:rStyle w:val="6"/>
                <w:rFonts w:hint="eastAsia" w:ascii="方正仿宋_GBK" w:hAnsi="方正仿宋_GBK" w:eastAsia="方正仿宋_GBK" w:cs="方正仿宋_GBK"/>
                <w:i/>
                <w:iCs/>
                <w:caps w:val="0"/>
                <w:spacing w:val="0"/>
                <w:sz w:val="24"/>
                <w:szCs w:val="24"/>
              </w:rPr>
              <w:t>本项目不接受联合体参与谈判，否则按无效响应处理</w:t>
            </w:r>
            <w:r>
              <w:rPr>
                <w:rStyle w:val="5"/>
                <w:rFonts w:hint="eastAsia" w:ascii="方正仿宋_GBK" w:hAnsi="方正仿宋_GBK" w:eastAsia="方正仿宋_GBK" w:cs="方正仿宋_GBK"/>
                <w:caps w:val="0"/>
                <w:spacing w:val="0"/>
                <w:sz w:val="24"/>
                <w:szCs w:val="24"/>
              </w:rPr>
              <w:t>。</w:t>
            </w:r>
          </w:p>
        </w:tc>
      </w:tr>
    </w:tbl>
    <w:p/>
    <w:sectPr>
      <w:pgSz w:w="11906" w:h="16838"/>
      <w:pgMar w:top="323" w:right="720" w:bottom="323"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仿宋_GBK">
    <w:panose1 w:val="02000000000000000000"/>
    <w:charset w:val="86"/>
    <w:family w:val="auto"/>
    <w:pitch w:val="default"/>
    <w:sig w:usb0="A00002BF" w:usb1="38CF7CFA" w:usb2="00082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AC760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Emphasis"/>
    <w:basedOn w:val="4"/>
    <w:qFormat/>
    <w:uiPriority w:val="0"/>
    <w:rPr>
      <w:i/>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2025-03-28T07:26:59Z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ACD991180BD846988AAC1AC4DA1BE60A</vt:lpwstr>
  </property>
</Properties>
</file>