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版本号：240730001</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液氧采购项目</w:t>
      </w:r>
    </w:p>
    <w:p>
      <w:pPr>
        <w:pStyle w:val="null3"/>
        <w:jc w:val="center"/>
        <w:outlineLvl w:val="2"/>
      </w:pPr>
      <w:r>
        <w:rPr>
          <w:b/>
          <w:sz w:val="28"/>
        </w:rPr>
        <w:t>采购项目编号：</w:t>
      </w:r>
      <w:r>
        <w:rPr>
          <w:b/>
          <w:sz w:val="28"/>
        </w:rPr>
        <w:t>N5116812024000040</w:t>
      </w:r>
    </w:p>
    <w:p>
      <w:pPr>
        <w:pStyle w:val="null3"/>
        <w:jc w:val="left"/>
        <w:outlineLvl w:val="2"/>
      </w:pPr>
      <w:r>
        <w:rPr>
          <w:b/>
          <w:sz w:val="28"/>
        </w:rPr>
        <w:t>华蓥市人民医院</w:t>
      </w:r>
    </w:p>
    <w:p>
      <w:pPr>
        <w:pStyle w:val="null3"/>
        <w:jc w:val="center"/>
        <w:outlineLvl w:val="2"/>
      </w:pPr>
      <w:r>
        <w:rPr>
          <w:b/>
          <w:sz w:val="28"/>
        </w:rPr>
        <w:t>达信建设发展有限公司</w:t>
      </w:r>
      <w:r>
        <w:rPr>
          <w:b/>
          <w:sz w:val="28"/>
        </w:rPr>
        <w:t>共同编制</w:t>
      </w:r>
    </w:p>
    <w:p>
      <w:pPr>
        <w:pStyle w:val="null3"/>
        <w:jc w:val="center"/>
      </w:pPr>
      <w:r>
        <w:rPr/>
        <w:t>2024年07月31日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达信建设发展有限公司</w:t>
      </w:r>
      <w:r>
        <w:rPr/>
        <w:t xml:space="preserve"> （以下简称“代理机构”）受 </w:t>
      </w:r>
      <w:r>
        <w:rPr/>
        <w:t>华蓥市人民医院</w:t>
      </w:r>
      <w:r>
        <w:rPr/>
        <w:t xml:space="preserve"> 委托，拟对 </w:t>
      </w:r>
      <w:r>
        <w:rPr/>
        <w:t>液氧采购项目</w:t>
      </w:r>
      <w:r>
        <w:rPr/>
        <w:t xml:space="preserve"> 采用询价方式进行采购，兹邀请符合资格条件的供应商参加询价。本项目为四川省</w:t>
      </w:r>
      <w:r>
        <w:rPr/>
        <w:t>广安市华蓥市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N5116812024000040</w:t>
      </w:r>
    </w:p>
    <w:p>
      <w:pPr>
        <w:pStyle w:val="null3"/>
        <w:jc w:val="left"/>
        <w:outlineLvl w:val="2"/>
      </w:pPr>
      <w:r>
        <w:rPr>
          <w:b/>
          <w:sz w:val="28"/>
        </w:rPr>
        <w:t>1.2.采购项目名称</w:t>
      </w:r>
      <w:r>
        <w:rPr>
          <w:b/>
          <w:sz w:val="28"/>
        </w:rPr>
        <w:t xml:space="preserve">： </w:t>
      </w:r>
      <w:r>
        <w:rPr>
          <w:b/>
          <w:sz w:val="28"/>
        </w:rPr>
        <w:t>液氧采购项目</w:t>
      </w:r>
    </w:p>
    <w:p>
      <w:pPr>
        <w:pStyle w:val="null3"/>
        <w:jc w:val="left"/>
        <w:outlineLvl w:val="2"/>
      </w:pPr>
      <w:r>
        <w:rPr>
          <w:b/>
          <w:sz w:val="28"/>
        </w:rPr>
        <w:t>1.3.采购项目简介</w:t>
      </w:r>
    </w:p>
    <w:p>
      <w:pPr>
        <w:pStyle w:val="null3"/>
        <w:ind w:firstLine="480"/>
        <w:jc w:val="left"/>
      </w:pPr>
      <w:r>
        <w:rPr/>
        <w:t>达信建设发展有限公司受华蓥市人民医院的委托，拟对华蓥市人民医院医用液氧气体采购项目进行询价，特邀请合格的供应商参加该项目的询价.</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1、根据本项目提出的特殊要求（描述：(1)供应商须具有有效的主管部门颁发的《药品生产许可证》或《药品经营许可证》；）</w:t>
      </w:r>
    </w:p>
    <w:p>
      <w:pPr>
        <w:pStyle w:val="null3"/>
        <w:jc w:val="left"/>
      </w:pPr>
      <w:r>
        <w:rPr/>
        <w:t>2、根据本项目提出的特殊要求（描述：(2)供应商须具有有效的主管部门颁发的《危险化学品经营许可证》；）</w:t>
      </w:r>
    </w:p>
    <w:p>
      <w:pPr>
        <w:pStyle w:val="null3"/>
        <w:jc w:val="left"/>
      </w:pPr>
      <w:r>
        <w:rPr/>
        <w:t>3、根据本项目提出的特殊要求（描述：(3)供应商须具有有效的主管部门颁发的《气瓶充装许可证》；）</w:t>
      </w:r>
    </w:p>
    <w:p>
      <w:pPr>
        <w:pStyle w:val="null3"/>
        <w:jc w:val="left"/>
      </w:pPr>
      <w:r>
        <w:rPr/>
        <w:t>4、根据本项目提出的特殊要求（描述：(4)供应商具有行政主管部门颁发的有效期内《道路运输经营许可证》（或者提供含与危险货物运输相关的《道路运输经营许可证》),也可以提供第三方合作单位相应的运输资质以及有效的合同;）</w:t>
      </w:r>
    </w:p>
    <w:p>
      <w:pPr>
        <w:pStyle w:val="null3"/>
        <w:jc w:val="left"/>
      </w:pPr>
      <w:r>
        <w:rPr/>
        <w:t>5、根据本项目提出的特殊要求（描述：（5）供应商应具有有效的《药品注册证》或《药品注册批件》或《药品再注册批准通知书》）</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华蓥市人民医院</w:t>
      </w:r>
    </w:p>
    <w:p>
      <w:pPr>
        <w:pStyle w:val="null3"/>
        <w:jc w:val="left"/>
      </w:pPr>
      <w:r>
        <w:rPr/>
        <w:t xml:space="preserve"> 地址： </w:t>
      </w:r>
      <w:r>
        <w:rPr/>
        <w:t>华蓥市望月街27号</w:t>
      </w:r>
    </w:p>
    <w:p>
      <w:pPr>
        <w:pStyle w:val="null3"/>
        <w:jc w:val="left"/>
      </w:pPr>
      <w:r>
        <w:rPr/>
        <w:t xml:space="preserve"> 邮编： </w:t>
      </w:r>
      <w:r>
        <w:rPr/>
        <w:t>638600</w:t>
      </w:r>
    </w:p>
    <w:p>
      <w:pPr>
        <w:pStyle w:val="null3"/>
        <w:jc w:val="left"/>
      </w:pPr>
      <w:r>
        <w:rPr/>
        <w:t xml:space="preserve"> 联系人： </w:t>
      </w:r>
      <w:r>
        <w:rPr/>
        <w:t>贺老师</w:t>
      </w:r>
    </w:p>
    <w:p>
      <w:pPr>
        <w:pStyle w:val="null3"/>
        <w:jc w:val="left"/>
      </w:pPr>
      <w:r>
        <w:rPr/>
        <w:t xml:space="preserve"> 联系电话： </w:t>
      </w:r>
      <w:r>
        <w:rPr/>
        <w:t>18683342919</w:t>
      </w:r>
    </w:p>
    <w:p>
      <w:pPr>
        <w:pStyle w:val="null3"/>
        <w:jc w:val="left"/>
      </w:pPr>
      <w:r>
        <w:rPr>
          <w:b/>
        </w:rPr>
        <w:t>代理机构</w:t>
      </w:r>
      <w:r>
        <w:rPr>
          <w:b/>
        </w:rPr>
        <w:t xml:space="preserve">： </w:t>
      </w:r>
      <w:r>
        <w:rPr>
          <w:b/>
        </w:rPr>
        <w:t>达信建设发展有限公司</w:t>
      </w:r>
    </w:p>
    <w:p>
      <w:pPr>
        <w:pStyle w:val="null3"/>
        <w:jc w:val="left"/>
      </w:pPr>
      <w:r>
        <w:rPr/>
        <w:t xml:space="preserve"> 地址： </w:t>
      </w:r>
      <w:r>
        <w:rPr/>
        <w:t>成都市锦江区东大街紫东楼段11号1-2幢10层</w:t>
      </w:r>
    </w:p>
    <w:p>
      <w:pPr>
        <w:pStyle w:val="null3"/>
        <w:jc w:val="left"/>
      </w:pPr>
      <w:r>
        <w:rPr/>
        <w:t xml:space="preserve"> 邮编： </w:t>
      </w:r>
      <w:r>
        <w:rPr/>
        <w:t>610011</w:t>
      </w:r>
    </w:p>
    <w:p>
      <w:pPr>
        <w:pStyle w:val="null3"/>
        <w:jc w:val="left"/>
      </w:pPr>
      <w:r>
        <w:rPr/>
        <w:t xml:space="preserve"> 联系人： </w:t>
      </w:r>
      <w:r>
        <w:rPr/>
        <w:t>谢老师</w:t>
      </w:r>
    </w:p>
    <w:p>
      <w:pPr>
        <w:pStyle w:val="null3"/>
        <w:jc w:val="left"/>
      </w:pPr>
      <w:r>
        <w:rPr/>
        <w:t xml:space="preserve"> 联系电话： </w:t>
      </w:r>
      <w:r>
        <w:rPr/>
        <w:t>15882273813</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采购包1：681,000.00元</w:t>
            </w:r>
          </w:p>
          <w:p>
            <w:pPr>
              <w:pStyle w:val="null3"/>
              <w:jc w:val="left"/>
            </w:pPr>
            <w:r>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 xml:space="preserve">成交通知书发出之日起三十日内且在签订合同前须按合同金额的 5%向采购人指定账户缴纳足额履约保证金；履约保证金以支票、汇票、本票或者金融机 构或担保机构出具的保函等非现金形式交纳。成交人未按照询价文件要求交纳履约保证金 的，采购人有权拒绝与其签订政府采购合同。履约保证金作为违约金的一部分及用于补 偿采购人因供应商不能履行合同义务而蒙受的损失。在货物验收合格并履行完毕合同后， 采购人财务部门接到成交人通知和支付凭证资料文件，以及由采购人确认本合同货物质量与 服务等约定事项已经履行完毕的正式书面文件后的 15 日内无息退还履约保证金于成交供应商。 </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国家计委关于印发(招标代理服务费收费标准管理暂行办法》的通知》(计价格(2002)1980号)和《国家发展改革委办公厅关于招标代理服务费有关问题的通知》(发改办价格(2003)857号)规定下浮 20% 支付。</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华蓥市人民医院</w:t>
      </w:r>
      <w:r>
        <w:rPr/>
        <w:t xml:space="preserve"> 和 </w:t>
      </w:r>
      <w:r>
        <w:rPr/>
        <w:t>达信建设发展有限公司</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华蓥市人民医院</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达信建设发展有限公司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三、供应商根据更正公告、更正信息要求下载更正后的询价文件通知书，进行响应文件编制。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签章。供应商拒绝或者变相拒绝提供有效书面说明或者书面说明不能证明其报价合理性的，作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未按询价通知书和交易系统操作规范编制、确认、加密、盖章和提交的响应文件，将被拒绝接收。</w:t>
      </w:r>
    </w:p>
    <w:p>
      <w:pPr>
        <w:pStyle w:val="null3"/>
        <w:ind w:firstLine="480"/>
        <w:jc w:val="left"/>
      </w:pPr>
      <w:r>
        <w:rPr/>
        <w:t>二、响应文件提交截止时间后，采购人或者代理机构不再接受供应商提交响应文件。供应商应充分考虑影响响应文件提交的各种因素，确保在响应文件提交截止时间前完成提交。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提交响应文件截止时间后，通过交易系统“开标/开启大厅”在线开启解密响应文件。</w:t>
      </w:r>
    </w:p>
    <w:p>
      <w:pPr>
        <w:pStyle w:val="null3"/>
        <w:jc w:val="left"/>
      </w:pPr>
      <w:r>
        <w:rPr>
          <w:b/>
        </w:rPr>
        <w:t>2.5.1.2.解密响应文件★</w:t>
      </w:r>
    </w:p>
    <w:p>
      <w:pPr>
        <w:pStyle w:val="null3"/>
        <w:ind w:firstLine="480"/>
        <w:jc w:val="left"/>
      </w:pPr>
      <w:r>
        <w:rPr/>
        <w:t xml:space="preserve">提交响应文件截止时间后，成功提交响应文件的供应商符合询价通知书规定数量的，代理机构将启动响应文件解密程序，解密时间为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被纳入失信被执行人名单、重大税收违法案件当事人名单（重大税收违法失信主体）、政府采购严重违法失信行为记录名单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项目每阶段或最后履约具备完成验收条件的，成交人向采购人代表提供完整的资料及其请求验收的报告。采购人代表接到报告后七个工作日内按相关验收条件核实已完成情况，组织验收，并在组织验收前通知成交人，成交人应为验收提供便利条件并派有关人员 参加，采购人应在验收后七个工作日内给予批复或提出修改意见。（因系统固化，无法修改，验收合同总金额的100%指的是：按项目每阶段（每季度）或最后履约验收的合同金额的100%），非总金额的100%。）</w:t>
      </w:r>
      <w:r>
        <w:rPr/>
        <w:t xml:space="preserve"> ，达到验收条件起 </w:t>
      </w:r>
      <w:r>
        <w:rPr/>
        <w:t>7</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完全满足技术参数的要求。</w:t>
      </w:r>
    </w:p>
    <w:p>
      <w:pPr>
        <w:pStyle w:val="null3"/>
        <w:ind w:firstLine="480"/>
        <w:jc w:val="left"/>
      </w:pPr>
      <w:r>
        <w:rPr/>
        <w:t>十、商务履约验收内容：</w:t>
      </w:r>
    </w:p>
    <w:p>
      <w:pPr>
        <w:pStyle w:val="null3"/>
        <w:ind w:firstLine="480"/>
        <w:jc w:val="left"/>
      </w:pPr>
      <w:r>
        <w:rPr/>
        <w:t>采购包1：</w:t>
      </w:r>
      <w:r>
        <w:rPr/>
        <w:t>完全满足商务质量的要求。</w:t>
      </w:r>
    </w:p>
    <w:p>
      <w:pPr>
        <w:pStyle w:val="null3"/>
        <w:ind w:firstLine="480"/>
        <w:jc w:val="left"/>
      </w:pPr>
      <w:r>
        <w:rPr/>
        <w:t>十一、履约验收标准：</w:t>
      </w:r>
    </w:p>
    <w:p>
      <w:pPr>
        <w:pStyle w:val="null3"/>
        <w:ind w:firstLine="480"/>
        <w:jc w:val="left"/>
      </w:pPr>
      <w:r>
        <w:rPr/>
        <w:t>采购包1：</w:t>
      </w:r>
      <w:r>
        <w:rPr/>
        <w:t>按国家有关(《财政部关于进一步加强政府采购需求和履约验收管理 的指导意见》(财库〔2016〕205 号)和广市财采【2021】275 号等国家、地方或行业标准)规定以及采购文件的质量要求和技术服务要求、投标文件及承诺与本合同约定标准进行验收；如对质量要求和技术服务要求的约定标准有相互抵触或异议的事项，由采购人在采购文件和响应文件中按质量要求和技术服务要求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 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五、向采购人或者代理机构、询价小组成员行贿或者提供其他不正当利益；</w:t>
      </w:r>
    </w:p>
    <w:p>
      <w:pPr>
        <w:pStyle w:val="null3"/>
        <w:ind w:firstLine="480"/>
        <w:jc w:val="left"/>
      </w:pPr>
      <w:r>
        <w:rPr/>
        <w:t>六、在询价过程中与采购人或者代理机构进行协商谈判；</w:t>
      </w:r>
    </w:p>
    <w:p>
      <w:pPr>
        <w:pStyle w:val="null3"/>
        <w:ind w:firstLine="480"/>
        <w:jc w:val="left"/>
      </w:pPr>
      <w:r>
        <w:rPr/>
        <w:t>七、成交后无正当理由拒不与采购人签订政府采购合同；</w:t>
      </w:r>
    </w:p>
    <w:p>
      <w:pPr>
        <w:pStyle w:val="null3"/>
        <w:ind w:firstLine="480"/>
        <w:jc w:val="left"/>
      </w:pPr>
      <w:r>
        <w:rPr/>
        <w:t>八、未按照询价通知书确定的事项签订政府采购合同；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华蓥市人民医院</w:t>
      </w:r>
      <w:r>
        <w:rPr/>
        <w:t xml:space="preserve"> 负责答复；供应商对除采购需求外的询价通知书的询问、质疑由 </w:t>
      </w:r>
      <w:r>
        <w:rPr/>
        <w:t>达信建设发展有限公司</w:t>
      </w:r>
      <w:r>
        <w:rPr/>
        <w:t xml:space="preserve"> 负责答复；供应商对采购过程、采购结果的询问、质疑由 </w:t>
      </w:r>
      <w:r>
        <w:rPr/>
        <w:t>达信建设发展有限公司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联系人：谢老师</w:t>
      </w:r>
    </w:p>
    <w:p>
      <w:pPr>
        <w:pStyle w:val="null3"/>
        <w:jc w:val="left"/>
      </w:pPr>
      <w:r>
        <w:rPr/>
        <w:t>联系电话：15882273813</w:t>
      </w:r>
    </w:p>
    <w:p>
      <w:pPr>
        <w:pStyle w:val="null3"/>
        <w:jc w:val="left"/>
      </w:pPr>
      <w:r>
        <w:rPr/>
        <w:t>地址：成都市锦江区东大街紫东楼段11号1-2幢10层</w:t>
      </w:r>
    </w:p>
    <w:p>
      <w:pPr>
        <w:pStyle w:val="null3"/>
        <w:jc w:val="left"/>
      </w:pPr>
      <w:r>
        <w:rPr/>
        <w:t>邮编：610011</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采购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3.1.项目概况</w:t>
      </w:r>
    </w:p>
    <w:p>
      <w:pPr>
        <w:pStyle w:val="null3"/>
        <w:ind w:firstLine="480"/>
        <w:jc w:val="left"/>
      </w:pPr>
      <w:r>
        <w:rPr/>
        <w:t>本项目共一个包，拟采购一家供应商提供医用液氧产品。</w:t>
      </w:r>
    </w:p>
    <w:p>
      <w:pPr>
        <w:pStyle w:val="null3"/>
        <w:jc w:val="left"/>
        <w:outlineLvl w:val="2"/>
      </w:pPr>
      <w:r>
        <w:rPr>
          <w:b/>
          <w:sz w:val="28"/>
        </w:rPr>
        <w:t>3.2.采购内容</w:t>
      </w:r>
    </w:p>
    <w:p>
      <w:pPr>
        <w:pStyle w:val="null3"/>
        <w:jc w:val="left"/>
      </w:pPr>
      <w:r>
        <w:rPr/>
        <w:t>采购包1：</w:t>
      </w:r>
    </w:p>
    <w:p>
      <w:pPr>
        <w:pStyle w:val="null3"/>
        <w:jc w:val="left"/>
      </w:pPr>
      <w:r>
        <w:rPr/>
        <w:t>采购包预算金额（元）: 681,000.00</w:t>
      </w:r>
    </w:p>
    <w:p>
      <w:pPr>
        <w:pStyle w:val="null3"/>
        <w:jc w:val="left"/>
      </w:pPr>
      <w:r>
        <w:rPr/>
        <w:t>采购包最高限价（元）: 681,000.00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其他基础化学品及相关产品</w:t>
            </w:r>
          </w:p>
        </w:tc>
        <w:tc>
          <w:tcPr>
            <w:tcW w:type="dxa" w:w="821"/>
          </w:tcPr>
          <w:p>
            <w:pPr>
              <w:pStyle w:val="null3"/>
              <w:jc w:val="left"/>
            </w:pPr>
            <w:r>
              <w:rPr/>
              <w:t>医用液氧</w:t>
            </w:r>
          </w:p>
        </w:tc>
        <w:tc>
          <w:tcPr>
            <w:tcW w:type="dxa" w:w="821"/>
          </w:tcPr>
          <w:p>
            <w:pPr>
              <w:pStyle w:val="null3"/>
              <w:jc w:val="right"/>
            </w:pPr>
            <w:r>
              <w:rPr/>
              <w:t>300.00（吨）</w:t>
            </w:r>
          </w:p>
        </w:tc>
        <w:tc>
          <w:tcPr>
            <w:tcW w:type="dxa" w:w="821"/>
          </w:tcPr>
          <w:p>
            <w:pPr>
              <w:pStyle w:val="null3"/>
              <w:jc w:val="right"/>
            </w:pPr>
            <w:r>
              <w:rPr/>
              <w:t>681,000.00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医用液氧</w:t>
            </w:r>
          </w:p>
        </w:tc>
        <w:tc>
          <w:tcPr>
            <w:tcW w:type="dxa" w:w="977"/>
          </w:tcPr>
          <w:p>
            <w:pPr>
              <w:pStyle w:val="null3"/>
              <w:jc w:val="right"/>
            </w:pPr>
            <w:r>
              <w:rPr/>
              <w:t>300.00（吨）</w:t>
            </w:r>
          </w:p>
        </w:tc>
        <w:tc>
          <w:tcPr>
            <w:tcW w:type="dxa" w:w="1173"/>
          </w:tcPr>
          <w:p>
            <w:pPr>
              <w:pStyle w:val="null3"/>
              <w:jc w:val="right"/>
            </w:pPr>
            <w:r>
              <w:rPr/>
              <w:t>2,270.00（元）</w:t>
            </w:r>
          </w:p>
        </w:tc>
        <w:tc>
          <w:tcPr>
            <w:tcW w:type="dxa" w:w="1173"/>
          </w:tcPr>
          <w:p>
            <w:pPr>
              <w:pStyle w:val="null3"/>
              <w:jc w:val="right"/>
            </w:pPr>
            <w:r>
              <w:rPr/>
              <w:t>681,000.00</w:t>
            </w:r>
          </w:p>
        </w:tc>
        <w:tc>
          <w:tcPr>
            <w:tcW w:type="dxa" w:w="977"/>
          </w:tcPr>
          <w:p>
            <w:pPr>
              <w:pStyle w:val="null3"/>
              <w:jc w:val="left"/>
            </w:pPr>
            <w:r>
              <w:rPr/>
              <w:t>总价</w:t>
            </w:r>
          </w:p>
        </w:tc>
        <w:tc>
          <w:tcPr>
            <w:tcW w:type="dxa" w:w="1661"/>
          </w:tcPr>
          <w:p>
            <w:pPr>
              <w:pStyle w:val="null3"/>
              <w:jc w:val="left"/>
            </w:pPr>
            <w:r>
              <w:rPr/>
              <w:t>本项目报出产品单价，再以产品预计配送数量进行报价；报价为综合包干价且作为合同结算价，含气体运输、保险、装卸、售后服务、各项税金、人工、保险、等相关综合费用，采购人不承担额外的费用。</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其他基础化学品及相关产品</w:t>
            </w:r>
          </w:p>
        </w:tc>
        <w:tc>
          <w:tcPr>
            <w:tcW w:type="dxa" w:w="2492"/>
          </w:tcPr>
          <w:p>
            <w:pPr>
              <w:pStyle w:val="null3"/>
              <w:jc w:val="left"/>
            </w:pPr>
            <w:r>
              <w:rPr/>
              <w:t>医用液氧</w:t>
            </w:r>
          </w:p>
        </w:tc>
        <w:tc>
          <w:tcPr>
            <w:tcW w:type="dxa" w:w="2492"/>
          </w:tcPr>
          <w:p>
            <w:pPr>
              <w:pStyle w:val="null3"/>
              <w:jc w:val="left"/>
            </w:pPr>
            <w:r>
              <w:rPr/>
              <w:t>医用液氧</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3.3.技术要求</w:t>
      </w:r>
    </w:p>
    <w:p>
      <w:pPr>
        <w:pStyle w:val="null3"/>
        <w:jc w:val="left"/>
      </w:pPr>
      <w:r>
        <w:rPr/>
        <w:t>采购包1：</w:t>
      </w:r>
    </w:p>
    <w:p>
      <w:pPr>
        <w:pStyle w:val="null3"/>
        <w:jc w:val="left"/>
      </w:pPr>
      <w:r>
        <w:rPr/>
        <w:t>标的名称：医用液氧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235"/>
              <w:gridCol w:w="394"/>
              <w:gridCol w:w="371"/>
              <w:gridCol w:w="1553"/>
            </w:tblGrid>
            <w:tr>
              <w:tc>
                <w:tcPr>
                  <w:tcW w:type="dxa" w:w="235"/>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b/>
                      <w:sz w:val="24"/>
                    </w:rPr>
                    <w:t>序号</w:t>
                  </w:r>
                </w:p>
              </w:tc>
              <w:tc>
                <w:tcPr>
                  <w:tcW w:type="dxa" w:w="394"/>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24"/>
                    </w:rPr>
                    <w:t>剂型</w:t>
                  </w:r>
                </w:p>
              </w:tc>
              <w:tc>
                <w:tcPr>
                  <w:tcW w:type="dxa" w:w="371"/>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24"/>
                    </w:rPr>
                    <w:t>包装形式</w:t>
                  </w:r>
                </w:p>
              </w:tc>
              <w:tc>
                <w:tcPr>
                  <w:tcW w:type="dxa" w:w="155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19"/>
                    </w:rPr>
                    <w:t>质量标准</w:t>
                  </w:r>
                </w:p>
              </w:tc>
            </w:tr>
            <w:tr>
              <w:tc>
                <w:tcPr>
                  <w:tcW w:type="dxa" w:w="235"/>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24"/>
                    </w:rPr>
                    <w:t>1</w:t>
                  </w:r>
                </w:p>
              </w:tc>
              <w:tc>
                <w:tcPr>
                  <w:tcW w:type="dxa" w:w="39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24"/>
                    </w:rPr>
                    <w:t>医用气体</w:t>
                  </w:r>
                </w:p>
              </w:tc>
              <w:tc>
                <w:tcPr>
                  <w:tcW w:type="dxa" w:w="37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宋体" w:hAnsi="宋体" w:cs="宋体" w:eastAsia="宋体"/>
                      <w:sz w:val="24"/>
                    </w:rPr>
                    <w:t>液体槽车</w:t>
                  </w:r>
                </w:p>
              </w:tc>
              <w:tc>
                <w:tcPr>
                  <w:tcW w:type="dxa" w:w="155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宋体" w:hAnsi="宋体" w:cs="宋体" w:eastAsia="宋体"/>
                      <w:sz w:val="24"/>
                    </w:rPr>
                    <w:t>1、符合《中国药典》</w:t>
                  </w:r>
                  <w:r>
                    <w:rPr>
                      <w:rFonts w:ascii="calibri" w:hAnsi="calibri" w:cs="calibri" w:eastAsia="calibri"/>
                      <w:sz w:val="24"/>
                    </w:rPr>
                    <w:t>2020</w:t>
                  </w:r>
                  <w:r>
                    <w:rPr>
                      <w:rFonts w:ascii="宋体" w:hAnsi="宋体" w:cs="宋体" w:eastAsia="宋体"/>
                      <w:sz w:val="24"/>
                    </w:rPr>
                    <w:t>年版二部“氧”</w:t>
                  </w:r>
                  <w:r>
                    <w:rPr>
                      <w:rFonts w:ascii="simsun" w:hAnsi="simsun" w:cs="simsun" w:eastAsia="simsun"/>
                      <w:sz w:val="24"/>
                    </w:rPr>
                    <w:t>质</w:t>
                  </w:r>
                  <w:r>
                    <w:rPr>
                      <w:rFonts w:ascii="宋体" w:hAnsi="宋体" w:cs="宋体" w:eastAsia="宋体"/>
                      <w:sz w:val="24"/>
                    </w:rPr>
                    <w:t>量标准，含</w:t>
                  </w:r>
                  <w:r>
                    <w:rPr>
                      <w:rFonts w:ascii="calibri" w:hAnsi="calibri" w:cs="calibri" w:eastAsia="calibri"/>
                      <w:sz w:val="24"/>
                    </w:rPr>
                    <w:t>O2</w:t>
                  </w:r>
                  <w:r>
                    <w:rPr>
                      <w:rFonts w:ascii="宋体" w:hAnsi="宋体" w:cs="宋体" w:eastAsia="宋体"/>
                      <w:sz w:val="24"/>
                    </w:rPr>
                    <w:t>不得少于</w:t>
                  </w:r>
                  <w:r>
                    <w:rPr>
                      <w:rFonts w:ascii="calibri" w:hAnsi="calibri" w:cs="calibri" w:eastAsia="calibri"/>
                      <w:sz w:val="24"/>
                    </w:rPr>
                    <w:t>99.5%</w:t>
                  </w:r>
                  <w:r>
                    <w:rPr>
                      <w:rFonts w:ascii="宋体" w:hAnsi="宋体" w:cs="宋体" w:eastAsia="宋体"/>
                      <w:sz w:val="24"/>
                    </w:rPr>
                    <w:t>。2、</w:t>
                  </w:r>
                  <w:r>
                    <w:rPr>
                      <w:rFonts w:ascii="simsun" w:hAnsi="simsun" w:cs="simsun" w:eastAsia="simsun"/>
                      <w:sz w:val="24"/>
                    </w:rPr>
                    <w:t>医用气体标准医用液氧执行国家标准 GB/T8982-2009 和《中国药典》2020年版第二部；3、液体的生 产、销售、充装必须满足国家现行强制标准和相关法律规定的要求，货物必须符合或优于国家（行业）标准，以及本项目的质量要求和技术指标与出厂标准的最高标准；4、采购人有权到供应商生产地负责检查货物质量。</w:t>
                  </w:r>
                </w:p>
              </w:tc>
            </w:tr>
          </w:tbl>
          <w:p>
            <w:pPr>
              <w:pStyle w:val="null3"/>
              <w:jc w:val="both"/>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服务要求</w:t>
            </w:r>
          </w:p>
        </w:tc>
        <w:tc>
          <w:tcPr>
            <w:tcW w:type="dxa" w:w="2076"/>
          </w:tcPr>
          <w:p>
            <w:pPr>
              <w:pStyle w:val="null3"/>
              <w:jc w:val="left"/>
            </w:pPr>
            <w:r>
              <w:rPr/>
              <w:t xml:space="preserve">  </w:t>
            </w:r>
            <w:r>
              <w:rPr>
                <w:rFonts w:ascii="simsun" w:hAnsi="simsun" w:cs="simsun" w:eastAsia="simsun"/>
                <w:color w:val="000000"/>
              </w:rPr>
              <w:t>（一）付款方式：</w:t>
            </w:r>
          </w:p>
          <w:p>
            <w:pPr>
              <w:pStyle w:val="null3"/>
              <w:ind w:firstLine="640"/>
              <w:jc w:val="both"/>
            </w:pPr>
            <w:r>
              <w:rPr>
                <w:rFonts w:ascii="simsun" w:hAnsi="simsun" w:cs="simsun" w:eastAsia="simsun"/>
                <w:color w:val="000000"/>
              </w:rPr>
              <w:t>1.每个季度支付一次，根据实际使用量进行结算；</w:t>
            </w:r>
          </w:p>
          <w:p>
            <w:pPr>
              <w:pStyle w:val="null3"/>
              <w:ind w:firstLine="640"/>
              <w:jc w:val="both"/>
            </w:pPr>
            <w:r>
              <w:rPr>
                <w:rFonts w:ascii="simsun" w:hAnsi="simsun" w:cs="simsun" w:eastAsia="simsun"/>
                <w:color w:val="000000"/>
              </w:rPr>
              <w:t>2.成交供应商 每个季度的月底提供相应金额的正式完税发票给采购人，采购人收到发票后次月 15 日前 通过转账方式支付于成交供应商。</w:t>
            </w:r>
          </w:p>
          <w:p>
            <w:pPr>
              <w:pStyle w:val="null3"/>
              <w:ind w:firstLine="640"/>
              <w:jc w:val="both"/>
            </w:pPr>
            <w:r>
              <w:rPr>
                <w:rFonts w:ascii="simsun" w:hAnsi="simsun" w:cs="simsun" w:eastAsia="simsun"/>
                <w:color w:val="000000"/>
              </w:rPr>
              <w:t>（二）供货期：1年。（签订合同时间满1年，终止合同。）</w:t>
            </w:r>
          </w:p>
          <w:p>
            <w:pPr>
              <w:pStyle w:val="null3"/>
              <w:ind w:firstLine="640"/>
              <w:jc w:val="both"/>
            </w:pPr>
            <w:r>
              <w:rPr>
                <w:rFonts w:ascii="simsun" w:hAnsi="simsun" w:cs="simsun" w:eastAsia="simsun"/>
                <w:color w:val="000000"/>
              </w:rPr>
              <w:t>（三）配送时间要求：供应商接到采购人订单需求后 48 小时内完成供货，紧急情况 2 小时内完成供货。</w:t>
            </w:r>
          </w:p>
          <w:p>
            <w:pPr>
              <w:pStyle w:val="null3"/>
              <w:ind w:firstLine="640"/>
              <w:jc w:val="both"/>
            </w:pPr>
            <w:r>
              <w:rPr>
                <w:rFonts w:ascii="simsun" w:hAnsi="simsun" w:cs="simsun" w:eastAsia="simsun"/>
                <w:color w:val="000000"/>
              </w:rPr>
              <w:t>（四）送货地点：由采购人指定地点。</w:t>
            </w:r>
          </w:p>
          <w:p>
            <w:pPr>
              <w:pStyle w:val="null3"/>
              <w:ind w:firstLine="640"/>
              <w:jc w:val="both"/>
            </w:pPr>
            <w:r>
              <w:rPr>
                <w:rFonts w:ascii="simsun" w:hAnsi="simsun" w:cs="simsun" w:eastAsia="simsun"/>
                <w:color w:val="000000"/>
              </w:rPr>
              <w:t>（五）报价及结算：本项目报出产品单价，再以产品预计配送数量进行报价；报价为综合包干价且作为合同结算价，含气体运输、保险、装卸、售后服务、各项税金、人工、保险、等相关综合费用，采购人不承担额外的费用。</w:t>
            </w:r>
          </w:p>
          <w:p>
            <w:pPr>
              <w:pStyle w:val="null3"/>
              <w:ind w:firstLine="640"/>
              <w:jc w:val="both"/>
            </w:pPr>
            <w:r>
              <w:rPr>
                <w:rFonts w:ascii="simsun" w:hAnsi="simsun" w:cs="simsun" w:eastAsia="simsun"/>
                <w:color w:val="000000"/>
              </w:rPr>
              <w:t>（六）质量要求 1.供应商所供货物必须达到国家相关法律、法规的规定及相关的国家标准、行业标 准，并按照询价文件规定的货物名称、规格、材质要求进行配送。如有质量问题或与采购需 求不符，由供应商承担全部责任，采购人保留追究相关损失的权利。 2.供应商所供货物送达项目现场时须提供本批次的货物检验报告，采购人有权拒收不合格的货物。</w:t>
            </w:r>
          </w:p>
          <w:p>
            <w:pPr>
              <w:pStyle w:val="null3"/>
              <w:ind w:firstLine="640"/>
              <w:jc w:val="both"/>
            </w:pPr>
            <w:r>
              <w:rPr>
                <w:rFonts w:ascii="simsun" w:hAnsi="simsun" w:cs="simsun" w:eastAsia="simsun"/>
                <w:color w:val="000000"/>
              </w:rPr>
              <w:t>（七）售后服务</w:t>
            </w:r>
          </w:p>
          <w:p>
            <w:pPr>
              <w:pStyle w:val="null3"/>
              <w:ind w:firstLine="640"/>
              <w:jc w:val="both"/>
            </w:pPr>
            <w:r>
              <w:rPr>
                <w:rFonts w:ascii="simsun" w:hAnsi="simsun" w:cs="simsun" w:eastAsia="simsun"/>
                <w:color w:val="000000"/>
              </w:rPr>
              <w:t>（1）供应商应免费提供并安装远程监控系统，对医用液氧存量进行实时监控。</w:t>
            </w:r>
          </w:p>
          <w:p>
            <w:pPr>
              <w:pStyle w:val="null3"/>
              <w:ind w:firstLine="640"/>
              <w:jc w:val="both"/>
            </w:pPr>
            <w:r>
              <w:rPr>
                <w:rFonts w:ascii="simsun" w:hAnsi="simsun" w:cs="simsun" w:eastAsia="simsun"/>
                <w:color w:val="000000"/>
              </w:rPr>
              <w:t>（2）医用液氧末端供养设备（阀门、计量表等）由供应商每月检修、维护一次，并留有 记录。阀门、计量表等由供应商负责送相关部门校验。</w:t>
            </w:r>
          </w:p>
          <w:p>
            <w:pPr>
              <w:pStyle w:val="null3"/>
              <w:ind w:firstLine="640"/>
              <w:jc w:val="both"/>
            </w:pPr>
            <w:r>
              <w:rPr>
                <w:rFonts w:ascii="simsun" w:hAnsi="simsun" w:cs="simsun" w:eastAsia="simsun"/>
                <w:color w:val="000000"/>
              </w:rPr>
              <w:t>（3）供应商负责协助医院制定液氧存储槽安全管理实施办法、安全管理制度、安全操作 流程、事故（故障）应急处置预案等。负责对医院相关管理人员进行安全、操作培训，并留 有相关培训记录。</w:t>
            </w:r>
          </w:p>
          <w:p>
            <w:pPr>
              <w:pStyle w:val="null3"/>
              <w:ind w:firstLine="640"/>
              <w:jc w:val="both"/>
            </w:pPr>
            <w:r>
              <w:rPr>
                <w:rFonts w:ascii="simsun" w:hAnsi="simsun" w:cs="simsun" w:eastAsia="simsun"/>
                <w:color w:val="000000"/>
              </w:rPr>
              <w:t>（4）医用液氧存储设备发生故障时，供应商维保人员应在接医院通知30分钟内响应，2 小时内到达现场进行故障排除，紧急情况需要供应医用液氧时，需在2小时内提供到位。</w:t>
            </w:r>
          </w:p>
          <w:p>
            <w:pPr>
              <w:pStyle w:val="null3"/>
              <w:ind w:firstLine="640"/>
              <w:jc w:val="both"/>
            </w:pPr>
            <w:r>
              <w:rPr>
                <w:rFonts w:ascii="simsun" w:hAnsi="simsun" w:cs="simsun" w:eastAsia="simsun"/>
                <w:color w:val="000000"/>
              </w:rPr>
              <w:t>（5）每批次交货时间：供应商须在接到采购人通知后24小时内完成采购人要求配送的标的。</w:t>
            </w:r>
          </w:p>
          <w:p>
            <w:pPr>
              <w:pStyle w:val="null3"/>
              <w:ind w:firstLine="640"/>
              <w:jc w:val="both"/>
            </w:pPr>
            <w:r>
              <w:rPr>
                <w:rFonts w:ascii="simsun" w:hAnsi="simsun" w:cs="simsun" w:eastAsia="simsun"/>
                <w:color w:val="000000"/>
              </w:rPr>
              <w:t>(八）其他要求</w:t>
            </w:r>
          </w:p>
          <w:p>
            <w:pPr>
              <w:pStyle w:val="null3"/>
              <w:ind w:firstLine="640"/>
              <w:jc w:val="both"/>
            </w:pPr>
            <w:r>
              <w:rPr>
                <w:rFonts w:ascii="simsun" w:hAnsi="simsun" w:cs="simsun" w:eastAsia="simsun"/>
                <w:color w:val="000000"/>
              </w:rPr>
              <w:t xml:space="preserve"> 1. 供应商在供应合同履行期间，由供应商负责每年为医院办理安全阀、压力表等的 定期检验和更换。</w:t>
            </w:r>
          </w:p>
          <w:p>
            <w:pPr>
              <w:pStyle w:val="null3"/>
              <w:ind w:firstLine="640"/>
              <w:jc w:val="both"/>
            </w:pPr>
            <w:r>
              <w:rPr>
                <w:rFonts w:ascii="simsun" w:hAnsi="simsun" w:cs="simsun" w:eastAsia="simsun"/>
                <w:color w:val="000000"/>
              </w:rPr>
              <w:t xml:space="preserve"> 2. 供应商运输时需提供运输服务上岗人员的《道路危险货物运输驾驶员资格证》和 《道路危险货物运输押运人员资格证》。</w:t>
            </w:r>
          </w:p>
          <w:p>
            <w:pPr>
              <w:pStyle w:val="null3"/>
              <w:jc w:val="left"/>
            </w:pPr>
            <w:r>
              <w:rPr/>
              <w:t xml:space="preserve"> </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自合同签订之日起365日（1年），（供应商接到采购人订单需求后 48 小时 内完成供货，紧急情况 2 小时内完成供货。）</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华蓥市人民医院指定地点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1、每个季度支付一次,成交供应商每个季度的月底提供相应金额的正式完税发票给采购人，采购人收到发票后通过转账方式支付于成交供应商，达到付款条件起15日内，据实情况说明为根据实际使用量进行结算</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项目每阶段或最后履约具备完成验收条件的，成交人向采购人代表提供完整的资料 及其请求验收的报告。采购人代表接到报告后七个工作日内按相关验收条件核实已完成情 况，组织验收，并在组织验收前通知成交人，成交人应为验收提供便利条件并派有关人员 参加，采购人应在验收后七个工作日内给予批复或提出修改意见。 2.验收标准：按国家有关(《财政部关于进一步加强政府采购需求和履约验收管理 的指导意见》(财库〔2016〕205 号)和广市财采【2021】275 号等国家、地方或行业标 准)规定以及采购文件的质量要求和技术服务要求、投标文件及承诺与本合同约定标准进 行验收；如对质量要求和技术服务要求的约定标准有相互抵触或异议的事项，由采购人在 采购文件和响应文件中按质量要求和技术服务要求比较优胜的原则确定该项的约定标准进行验收。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按合同约定执行</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违约责任：如因供应商工作人员在履行职务过 程中的的疏忽、失职、过错等故意或者过失原因给采购人造成损失或侵害，包括但不限于 采购人本身的财产损失、由此而导致的采购人对任何第三方的法律责任等，供应商对此均 应承担全部的赔偿责任。解决争议的方法：在执行本合同中发生的或与本合同有关的争 端，双方应通过友好协商解决，经协商在30天内不能达成协议时，向项目所在地有管辖权 的人民法院提起诉讼。在诉讼期间，中标供应商不得停止服务，并应保证政府采购合同的 继续履行执行。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使用已身份认证并具备签章功能的证书，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四、询价小组按照询价通知书规定的评审程序、评审方法和评审标准进行评审，并独立履行下列职责：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（七）向采购人、代理机构或者有关部门报告非法干预评审工作的行为；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询价小组正式评审前，应当对询价通知书进行熟悉和理解，内容主要包括询价通知书中供应商的采购项目技术、服务和商务要求、评审方法和标准以及可能涉及签订政府采购合同的内容等。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组织单位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响应文件开启解密完成后，由询价小组依据法律法规和询价通知书的规定，对成功解密的响应文件中供应商资格证明等进行审查，出具资格审查报告。资格审查标准及要求如下：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①供应商若为企业法人：提供“统一社会信用代 码营业执照”；未换证的提供“营业执照、税务 登记证、组织机构代码证或三证合一的营业执 照”；②若为事业法人：提供“统一社会信用代码 法人登记证书”；未换证的提交“事业法人登记 证书、组织机构代码证”；③若为其他组织：提 供“对应主管部门颁发的准许执业证明文件或营 业执照”；④若为个体工商户：提供“统一社会信 用代码营业执照副本”或“营业执照、税务登记 证”⑤若为自然人：提供“身份证明材料”。</w:t>
            </w:r>
          </w:p>
        </w:tc>
        <w:tc>
          <w:tcPr>
            <w:tcW w:type="dxa" w:w="1910"/>
          </w:tcPr>
          <w:p>
            <w:pPr>
              <w:pStyle w:val="null3"/>
              <w:jc w:val="left"/>
            </w:pPr>
            <w:r>
              <w:rPr/>
              <w:t>响应文件封面 供应商应提交的相关证明材料 供应商应提交的相关资格证明材料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供应商应提交的相关证明材料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t>供应商应提交的其他相关证明材料 中小企业声明函 残疾人福利性单位声明函 监狱企业的证明文件</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根据本项目提出的特殊要求</w:t>
            </w:r>
          </w:p>
        </w:tc>
        <w:tc>
          <w:tcPr>
            <w:tcW w:type="dxa" w:w="3322"/>
          </w:tcPr>
          <w:p>
            <w:pPr>
              <w:pStyle w:val="null3"/>
              <w:jc w:val="left"/>
            </w:pPr>
            <w:r>
              <w:rPr/>
              <w:t>(1)供应商须具有有效的主管部门颁发的《药品生产许可证》或《药品经营许可证》；</w:t>
            </w:r>
          </w:p>
        </w:tc>
        <w:tc>
          <w:tcPr>
            <w:tcW w:type="dxa" w:w="1910"/>
          </w:tcPr>
          <w:p>
            <w:pPr>
              <w:pStyle w:val="null3"/>
              <w:jc w:val="left"/>
            </w:pPr>
            <w:r>
              <w:rPr/>
              <w:t>供应商应提交的相关证明材料</w:t>
            </w:r>
          </w:p>
        </w:tc>
      </w:tr>
      <w:tr>
        <w:tc>
          <w:tcPr>
            <w:tcW w:type="dxa" w:w="581"/>
          </w:tcPr>
          <w:p>
            <w:pPr>
              <w:pStyle w:val="null3"/>
              <w:jc w:val="center"/>
            </w:pPr>
            <w:r>
              <w:rPr/>
              <w:t>2</w:t>
            </w:r>
          </w:p>
        </w:tc>
        <w:tc>
          <w:tcPr>
            <w:tcW w:type="dxa" w:w="2492"/>
          </w:tcPr>
          <w:p>
            <w:pPr>
              <w:pStyle w:val="null3"/>
              <w:jc w:val="left"/>
            </w:pPr>
            <w:r>
              <w:rPr/>
              <w:t>根据本项目提出的特殊要求</w:t>
            </w:r>
          </w:p>
        </w:tc>
        <w:tc>
          <w:tcPr>
            <w:tcW w:type="dxa" w:w="3322"/>
          </w:tcPr>
          <w:p>
            <w:pPr>
              <w:pStyle w:val="null3"/>
              <w:jc w:val="left"/>
            </w:pPr>
            <w:r>
              <w:rPr/>
              <w:t>(2)供应商须具有有效的主管部门颁发的《危险化学品经营许可证》；</w:t>
            </w:r>
          </w:p>
        </w:tc>
        <w:tc>
          <w:tcPr>
            <w:tcW w:type="dxa" w:w="1910"/>
          </w:tcPr>
          <w:p>
            <w:pPr>
              <w:pStyle w:val="null3"/>
              <w:jc w:val="left"/>
            </w:pPr>
            <w:r>
              <w:rPr/>
              <w:t>供应商应提交的相关证明材料</w:t>
            </w:r>
          </w:p>
        </w:tc>
      </w:tr>
      <w:tr>
        <w:tc>
          <w:tcPr>
            <w:tcW w:type="dxa" w:w="581"/>
          </w:tcPr>
          <w:p>
            <w:pPr>
              <w:pStyle w:val="null3"/>
              <w:jc w:val="center"/>
            </w:pPr>
            <w:r>
              <w:rPr/>
              <w:t>3</w:t>
            </w:r>
          </w:p>
        </w:tc>
        <w:tc>
          <w:tcPr>
            <w:tcW w:type="dxa" w:w="2492"/>
          </w:tcPr>
          <w:p>
            <w:pPr>
              <w:pStyle w:val="null3"/>
              <w:jc w:val="left"/>
            </w:pPr>
            <w:r>
              <w:rPr/>
              <w:t>根据本项目提出的特殊要求</w:t>
            </w:r>
          </w:p>
        </w:tc>
        <w:tc>
          <w:tcPr>
            <w:tcW w:type="dxa" w:w="3322"/>
          </w:tcPr>
          <w:p>
            <w:pPr>
              <w:pStyle w:val="null3"/>
              <w:jc w:val="left"/>
            </w:pPr>
            <w:r>
              <w:rPr/>
              <w:t>(3)供应商须具有有效的主管部门颁发的《气瓶充装许可证》；</w:t>
            </w:r>
          </w:p>
        </w:tc>
        <w:tc>
          <w:tcPr>
            <w:tcW w:type="dxa" w:w="1910"/>
          </w:tcPr>
          <w:p>
            <w:pPr>
              <w:pStyle w:val="null3"/>
              <w:jc w:val="left"/>
            </w:pPr>
            <w:r>
              <w:rPr/>
              <w:t>供应商应提交的相关证明材料</w:t>
            </w:r>
          </w:p>
        </w:tc>
      </w:tr>
      <w:tr>
        <w:tc>
          <w:tcPr>
            <w:tcW w:type="dxa" w:w="581"/>
          </w:tcPr>
          <w:p>
            <w:pPr>
              <w:pStyle w:val="null3"/>
              <w:jc w:val="center"/>
            </w:pPr>
            <w:r>
              <w:rPr/>
              <w:t>4</w:t>
            </w:r>
          </w:p>
        </w:tc>
        <w:tc>
          <w:tcPr>
            <w:tcW w:type="dxa" w:w="2492"/>
          </w:tcPr>
          <w:p>
            <w:pPr>
              <w:pStyle w:val="null3"/>
              <w:jc w:val="left"/>
            </w:pPr>
            <w:r>
              <w:rPr/>
              <w:t>根据本项目提出的特殊要求</w:t>
            </w:r>
          </w:p>
        </w:tc>
        <w:tc>
          <w:tcPr>
            <w:tcW w:type="dxa" w:w="3322"/>
          </w:tcPr>
          <w:p>
            <w:pPr>
              <w:pStyle w:val="null3"/>
              <w:jc w:val="left"/>
            </w:pPr>
            <w:r>
              <w:rPr/>
              <w:t>(4)供应商具有行政主管部门颁发的有效期内《道路运输经营许可证》（或者提供含与危险货物运输相关的《道路运输经营许可证》),也可以提供第三方合作单位相应的运输资质以及有效的合同;</w:t>
            </w:r>
          </w:p>
        </w:tc>
        <w:tc>
          <w:tcPr>
            <w:tcW w:type="dxa" w:w="1910"/>
          </w:tcPr>
          <w:p>
            <w:pPr>
              <w:pStyle w:val="null3"/>
              <w:jc w:val="left"/>
            </w:pPr>
            <w:r>
              <w:rPr/>
              <w:t>供应商应提交的相关证明材料</w:t>
            </w:r>
          </w:p>
        </w:tc>
      </w:tr>
      <w:tr>
        <w:tc>
          <w:tcPr>
            <w:tcW w:type="dxa" w:w="581"/>
          </w:tcPr>
          <w:p>
            <w:pPr>
              <w:pStyle w:val="null3"/>
              <w:jc w:val="center"/>
            </w:pPr>
            <w:r>
              <w:rPr/>
              <w:t>5</w:t>
            </w:r>
          </w:p>
        </w:tc>
        <w:tc>
          <w:tcPr>
            <w:tcW w:type="dxa" w:w="2492"/>
          </w:tcPr>
          <w:p>
            <w:pPr>
              <w:pStyle w:val="null3"/>
              <w:jc w:val="left"/>
            </w:pPr>
            <w:r>
              <w:rPr/>
              <w:t>根据本项目提出的特殊要求</w:t>
            </w:r>
          </w:p>
        </w:tc>
        <w:tc>
          <w:tcPr>
            <w:tcW w:type="dxa" w:w="3322"/>
          </w:tcPr>
          <w:p>
            <w:pPr>
              <w:pStyle w:val="null3"/>
              <w:jc w:val="left"/>
            </w:pPr>
            <w:r>
              <w:rPr/>
              <w:t>（5）供应商应具有有效的《药品注册证》或《药品注册批件》或《药品再注册批准通知书》</w:t>
            </w:r>
          </w:p>
        </w:tc>
        <w:tc>
          <w:tcPr>
            <w:tcW w:type="dxa" w:w="1910"/>
          </w:tcPr>
          <w:p>
            <w:pPr>
              <w:pStyle w:val="null3"/>
              <w:jc w:val="left"/>
            </w:pPr>
            <w:r>
              <w:rPr/>
              <w:t>供应商应提交的相关证明材料</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包含采购文件带“★”号在内的，其他符合性（实 质性）审查内容。供应商按照采购文件该项要求上 传或响应相应材料，供应商未响应的按无效处理。</w:t>
            </w:r>
          </w:p>
        </w:tc>
        <w:tc>
          <w:tcPr>
            <w:tcW w:type="dxa" w:w="1910"/>
          </w:tcPr>
          <w:p>
            <w:pPr>
              <w:pStyle w:val="null3"/>
              <w:jc w:val="left"/>
            </w:pPr>
            <w:r>
              <w:rPr/>
              <w:t>产品技术参数响应表 商务应答表 供应商应提交的相关证明材料 服务应答表 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报价合理性。供应商不能证明其报价合理性的，询价小组应当将其响应文件作为无效响应处理。</w:t>
            </w:r>
          </w:p>
        </w:tc>
        <w:tc>
          <w:tcPr>
            <w:tcW w:type="dxa" w:w="1910"/>
          </w:tcPr>
          <w:p>
            <w:pPr>
              <w:pStyle w:val="null3"/>
              <w:jc w:val="left"/>
            </w:pPr>
            <w:r>
              <w:rPr/>
              <w:t>报价一览表</w:t>
            </w:r>
          </w:p>
        </w:tc>
      </w:tr>
      <w:tr>
        <w:tc>
          <w:tcPr>
            <w:tcW w:type="dxa" w:w="581"/>
          </w:tcPr>
          <w:p>
            <w:pPr>
              <w:pStyle w:val="null3"/>
              <w:jc w:val="center"/>
            </w:pPr>
            <w:r>
              <w:rPr/>
              <w:t>3</w:t>
            </w:r>
          </w:p>
        </w:tc>
        <w:tc>
          <w:tcPr>
            <w:tcW w:type="dxa" w:w="2492"/>
          </w:tcPr>
          <w:p>
            <w:pPr>
              <w:pStyle w:val="null3"/>
              <w:jc w:val="left"/>
            </w:pPr>
            <w:r>
              <w:rPr/>
              <w:t>不属于禁止参加询价或响应无效的供应商</w:t>
            </w:r>
          </w:p>
        </w:tc>
        <w:tc>
          <w:tcPr>
            <w:tcW w:type="dxa" w:w="3322"/>
          </w:tcPr>
          <w:p>
            <w:pPr>
              <w:pStyle w:val="null3"/>
              <w:jc w:val="left"/>
            </w:pPr>
            <w:r>
              <w:rPr/>
              <w:t>1、根据采购文件的要求不属于禁止参加询价或响应无效的供应商；2、询价小组未发现或者未知晓供应商存在属于国家相关法律法规规定的禁止参加询价或响应无效的供应商。</w:t>
            </w:r>
          </w:p>
        </w:tc>
        <w:tc>
          <w:tcPr>
            <w:tcW w:type="dxa" w:w="1910"/>
          </w:tcPr>
          <w:p>
            <w:pPr>
              <w:pStyle w:val="null3"/>
              <w:jc w:val="left"/>
            </w:pPr>
            <w:r>
              <w:rPr/>
              <w:t>响应文件封面</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更正，并给予供应商必要的反馈时间。供应商应当按询价小组的要求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人参加同一合同项下响应的，以其中通过资格审查、符合性审查且报价最低的供应商人参加评审（任意一个核心产品是相同品牌时视为提供相同品牌产品的供应商）；报价相同的，由采购人或者采购人委托询价小组按照随机抽取方式确定1名供应商参加评审，其他响作无效响应处理。</w:t>
      </w:r>
    </w:p>
    <w:p>
      <w:pPr>
        <w:pStyle w:val="null3"/>
        <w:jc w:val="left"/>
        <w:outlineLvl w:val="3"/>
      </w:pPr>
      <w:r>
        <w:rPr>
          <w:b/>
          <w:sz w:val="24"/>
        </w:rPr>
        <w:t>4.3.9.出具询价报告</w:t>
      </w:r>
    </w:p>
    <w:p>
      <w:pPr>
        <w:pStyle w:val="null3"/>
        <w:ind w:firstLine="480"/>
        <w:jc w:val="left"/>
      </w:pPr>
      <w:r>
        <w:rPr/>
        <w:t>询价小组项目在交易系统中编制评审情况，生成询价报告。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签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做无效处理及其他需要共同认定的事项存在争议的，应当以少数服从多数的原则做出结论，但不得违背法律法规和询价通知书规定。有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本项目为最低评标价法，不对报价得分做评审。2、具体规则为：按供应商响应报价从低到高顺序排列，响应文件满足询价通知书全部实质性要求且响应报价最低的供应商为排名第一的成交候选供应商。成交候选供应商并列的，由询价小组根据询价通知书规定的推荐成交候选供应商数量，在排名并列的成交候选供应商中，采取随机抽取的方式确定成交候选供应商排名顺序。</w:t>
            </w:r>
          </w:p>
        </w:tc>
        <w:tc>
          <w:tcPr>
            <w:tcW w:type="dxa" w:w="2123"/>
          </w:tcPr>
          <w:p>
            <w:pPr>
              <w:pStyle w:val="null3"/>
              <w:jc w:val="left"/>
            </w:pPr>
            <w:r>
              <w:rPr/>
              <w:t>报价一览表 报价明细表 供应商应提交的相关证明材料</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jc w:val="left"/>
      </w:pPr>
      <w:r>
        <w:rPr/>
        <w:t>一、代理机构在询价结束后2个工作日内将询价报告送采购人。</w:t>
      </w:r>
    </w:p>
    <w:p>
      <w:pPr>
        <w:pStyle w:val="null3"/>
        <w:jc w:val="left"/>
      </w:pPr>
      <w:r>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t>三、采购人或者代理机构应当自成交供应商确定之日起 2 个工作日内，在四川政府采购网公告成交结果，询价通知书应当随成交结果同时公告。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详见附件：供应商应提交的其他相关证明材料</w:t>
      </w:r>
    </w:p>
    <w:p>
      <w:pPr>
        <w:pStyle w:val="null3"/>
        <w:ind w:firstLine="960"/>
        <w:jc w:val="left"/>
      </w:pPr>
      <w:r>
        <w:rPr/>
        <w:t>详见附件：供应商应提交的相关资格证明材料</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第六章 拟签订的合同文本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《询价文件》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