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489D905">
      <w:pPr>
        <w:pStyle w:val="43"/>
        <w:spacing w:line="640" w:lineRule="exact"/>
        <w:ind w:firstLine="0" w:firstLineChars="0"/>
        <w:jc w:val="center"/>
        <w:rPr>
          <w:rFonts w:ascii="宋体" w:hAnsi="宋体" w:cs="宋体"/>
          <w:b/>
          <w:bCs/>
          <w:color w:val="auto"/>
          <w:sz w:val="52"/>
          <w:szCs w:val="52"/>
          <w:lang w:val="zh-CN"/>
        </w:rPr>
      </w:pPr>
      <w:bookmarkStart w:id="0" w:name="_Hlt35717998"/>
      <w:bookmarkEnd w:id="0"/>
      <w:bookmarkStart w:id="1" w:name="_Toc171930039"/>
      <w:bookmarkStart w:id="2" w:name="_Toc185539564"/>
      <w:bookmarkStart w:id="3" w:name="_Toc191546015"/>
      <w:bookmarkStart w:id="4" w:name="_Toc191545807"/>
      <w:bookmarkStart w:id="5" w:name="_Toc183075140"/>
      <w:bookmarkStart w:id="6" w:name="_Toc185540022"/>
    </w:p>
    <w:p w14:paraId="427F03D6">
      <w:pPr>
        <w:pStyle w:val="43"/>
        <w:spacing w:line="640" w:lineRule="exact"/>
        <w:ind w:firstLine="0" w:firstLineChars="0"/>
        <w:jc w:val="center"/>
        <w:rPr>
          <w:rFonts w:ascii="宋体" w:hAnsi="宋体" w:cs="宋体"/>
          <w:color w:val="auto"/>
          <w:sz w:val="56"/>
          <w:szCs w:val="56"/>
        </w:rPr>
      </w:pPr>
      <w:r>
        <w:rPr>
          <w:rFonts w:hint="eastAsia" w:ascii="宋体" w:hAnsi="宋体" w:cs="宋体"/>
          <w:b/>
          <w:bCs/>
          <w:color w:val="auto"/>
          <w:sz w:val="52"/>
          <w:szCs w:val="52"/>
          <w:lang w:val="zh-CN"/>
        </w:rPr>
        <w:t>泸西县妇幼保健院2025年物业管理服务</w:t>
      </w:r>
      <w:r>
        <w:rPr>
          <w:rFonts w:hint="eastAsia" w:ascii="宋体" w:hAnsi="宋体" w:cs="宋体"/>
          <w:b/>
          <w:bCs/>
          <w:color w:val="auto"/>
          <w:sz w:val="52"/>
          <w:szCs w:val="52"/>
          <w:lang w:val="zh-CN"/>
        </w:rPr>
        <w:t>采购项目</w:t>
      </w:r>
    </w:p>
    <w:p w14:paraId="7F1504C2">
      <w:pPr>
        <w:pStyle w:val="43"/>
        <w:ind w:firstLine="0" w:firstLineChars="0"/>
        <w:rPr>
          <w:rFonts w:ascii="宋体" w:hAnsi="宋体" w:cs="宋体"/>
          <w:color w:val="auto"/>
          <w:sz w:val="44"/>
          <w:szCs w:val="44"/>
        </w:rPr>
      </w:pPr>
    </w:p>
    <w:p w14:paraId="68435A62">
      <w:pPr>
        <w:pStyle w:val="43"/>
        <w:ind w:firstLine="880"/>
        <w:rPr>
          <w:rFonts w:ascii="宋体" w:hAnsi="宋体" w:cs="宋体"/>
          <w:color w:val="auto"/>
          <w:sz w:val="44"/>
          <w:szCs w:val="44"/>
        </w:rPr>
      </w:pPr>
    </w:p>
    <w:p w14:paraId="2810A553">
      <w:pPr>
        <w:pStyle w:val="43"/>
        <w:ind w:firstLine="880"/>
        <w:rPr>
          <w:rFonts w:ascii="宋体" w:hAnsi="宋体" w:cs="宋体"/>
          <w:color w:val="auto"/>
          <w:sz w:val="44"/>
          <w:szCs w:val="44"/>
        </w:rPr>
      </w:pPr>
    </w:p>
    <w:p w14:paraId="1888ED71">
      <w:pPr>
        <w:pStyle w:val="42"/>
        <w:ind w:firstLine="440"/>
        <w:rPr>
          <w:rFonts w:ascii="宋体" w:hAnsi="宋体" w:cs="宋体"/>
          <w:color w:val="auto"/>
          <w:sz w:val="44"/>
          <w:szCs w:val="44"/>
        </w:rPr>
      </w:pPr>
    </w:p>
    <w:p w14:paraId="748DA7B8">
      <w:pPr>
        <w:rPr>
          <w:color w:val="auto"/>
        </w:rPr>
      </w:pPr>
    </w:p>
    <w:p w14:paraId="476425FF">
      <w:pPr>
        <w:pStyle w:val="43"/>
        <w:ind w:firstLine="880"/>
        <w:rPr>
          <w:rFonts w:ascii="宋体" w:hAnsi="宋体" w:cs="宋体"/>
          <w:color w:val="auto"/>
          <w:sz w:val="44"/>
          <w:szCs w:val="44"/>
        </w:rPr>
      </w:pPr>
    </w:p>
    <w:p w14:paraId="2E42FA9B">
      <w:pPr>
        <w:pStyle w:val="43"/>
        <w:ind w:firstLine="0" w:firstLineChars="0"/>
        <w:rPr>
          <w:rFonts w:ascii="宋体" w:hAnsi="宋体" w:cs="宋体"/>
          <w:color w:val="auto"/>
          <w:sz w:val="44"/>
          <w:szCs w:val="44"/>
        </w:rPr>
      </w:pPr>
    </w:p>
    <w:p w14:paraId="5DA91837">
      <w:pPr>
        <w:spacing w:before="156" w:beforeLines="50" w:after="156" w:afterLines="50"/>
        <w:jc w:val="center"/>
        <w:rPr>
          <w:rFonts w:ascii="宋体" w:hAnsi="宋体" w:cs="宋体"/>
          <w:b/>
          <w:bCs/>
          <w:color w:val="auto"/>
          <w:sz w:val="52"/>
          <w:szCs w:val="52"/>
        </w:rPr>
      </w:pPr>
      <w:r>
        <w:rPr>
          <w:rFonts w:hint="eastAsia" w:ascii="宋体" w:hAnsi="宋体" w:cs="宋体"/>
          <w:b/>
          <w:bCs/>
          <w:color w:val="auto"/>
          <w:sz w:val="52"/>
          <w:szCs w:val="52"/>
        </w:rPr>
        <w:t>竞争性磋商</w:t>
      </w:r>
      <w:r>
        <w:rPr>
          <w:rFonts w:hint="eastAsia" w:ascii="宋体" w:hAnsi="宋体" w:cs="宋体"/>
          <w:b/>
          <w:bCs/>
          <w:color w:val="auto"/>
          <w:sz w:val="52"/>
          <w:szCs w:val="52"/>
        </w:rPr>
        <w:t>文件</w:t>
      </w:r>
    </w:p>
    <w:p w14:paraId="1B8C5095">
      <w:pPr>
        <w:rPr>
          <w:color w:val="auto"/>
          <w:sz w:val="44"/>
          <w:szCs w:val="44"/>
        </w:rPr>
      </w:pPr>
    </w:p>
    <w:p w14:paraId="1485E407">
      <w:pPr>
        <w:pStyle w:val="2"/>
        <w:ind w:firstLine="0" w:firstLineChars="0"/>
        <w:rPr>
          <w:color w:val="auto"/>
          <w:sz w:val="44"/>
          <w:szCs w:val="44"/>
        </w:rPr>
      </w:pPr>
    </w:p>
    <w:p w14:paraId="290D0FF3">
      <w:pPr>
        <w:pStyle w:val="2"/>
        <w:rPr>
          <w:color w:val="auto"/>
        </w:rPr>
      </w:pPr>
    </w:p>
    <w:p w14:paraId="59B61644">
      <w:pPr>
        <w:pStyle w:val="27"/>
        <w:ind w:firstLine="0" w:firstLineChars="0"/>
        <w:rPr>
          <w:color w:val="auto"/>
          <w:sz w:val="44"/>
          <w:szCs w:val="44"/>
        </w:rPr>
      </w:pPr>
    </w:p>
    <w:p w14:paraId="731425AC">
      <w:pPr>
        <w:pStyle w:val="27"/>
        <w:ind w:firstLine="1320"/>
        <w:rPr>
          <w:color w:val="auto"/>
          <w:sz w:val="44"/>
          <w:szCs w:val="44"/>
        </w:rPr>
      </w:pPr>
    </w:p>
    <w:p w14:paraId="518E3752">
      <w:pPr>
        <w:pStyle w:val="27"/>
        <w:ind w:firstLine="0" w:firstLineChars="0"/>
        <w:rPr>
          <w:color w:val="auto"/>
          <w:sz w:val="44"/>
          <w:szCs w:val="44"/>
        </w:rPr>
      </w:pPr>
    </w:p>
    <w:p w14:paraId="4C44C443">
      <w:pPr>
        <w:pStyle w:val="27"/>
        <w:ind w:firstLine="0" w:firstLineChars="0"/>
        <w:rPr>
          <w:color w:val="auto"/>
          <w:sz w:val="44"/>
          <w:szCs w:val="44"/>
        </w:rPr>
      </w:pPr>
    </w:p>
    <w:p w14:paraId="19DC1878">
      <w:pPr>
        <w:pStyle w:val="27"/>
        <w:ind w:firstLine="0" w:firstLineChars="0"/>
        <w:rPr>
          <w:color w:val="auto"/>
          <w:sz w:val="44"/>
          <w:szCs w:val="44"/>
        </w:rPr>
      </w:pPr>
    </w:p>
    <w:p w14:paraId="45B99419">
      <w:pPr>
        <w:spacing w:line="360" w:lineRule="auto"/>
        <w:ind w:left="1600" w:hanging="1600" w:hangingChars="500"/>
        <w:jc w:val="left"/>
        <w:rPr>
          <w:rFonts w:ascii="宋体" w:hAnsi="宋体" w:cs="宋体"/>
          <w:bCs/>
          <w:color w:val="auto"/>
          <w:kern w:val="36"/>
          <w:sz w:val="36"/>
          <w:szCs w:val="36"/>
        </w:rPr>
      </w:pPr>
      <w:r>
        <w:rPr>
          <w:rFonts w:hint="eastAsia" w:ascii="宋体" w:hAnsi="宋体" w:cs="宋体"/>
          <w:bCs/>
          <w:color w:val="auto"/>
          <w:kern w:val="36"/>
          <w:sz w:val="32"/>
          <w:szCs w:val="32"/>
        </w:rPr>
        <w:t>项目名称：</w:t>
      </w:r>
      <w:r>
        <w:rPr>
          <w:rFonts w:hint="eastAsia" w:ascii="宋体" w:hAnsi="宋体" w:cs="宋体"/>
          <w:bCs/>
          <w:color w:val="auto"/>
          <w:kern w:val="36"/>
          <w:sz w:val="32"/>
          <w:szCs w:val="32"/>
          <w:u w:val="single"/>
        </w:rPr>
        <w:t>泸西县妇幼保健院2025年物业管理服务采购项目</w:t>
      </w:r>
      <w:r>
        <w:rPr>
          <w:rFonts w:hint="eastAsia" w:ascii="宋体" w:hAnsi="宋体" w:cs="宋体"/>
          <w:bCs/>
          <w:color w:val="auto"/>
          <w:kern w:val="36"/>
          <w:sz w:val="32"/>
          <w:szCs w:val="32"/>
          <w:u w:val="single"/>
        </w:rPr>
        <w:t xml:space="preserve">                               </w:t>
      </w:r>
    </w:p>
    <w:p w14:paraId="5D0B19C3">
      <w:pPr>
        <w:spacing w:line="360" w:lineRule="auto"/>
        <w:rPr>
          <w:rFonts w:ascii="宋体" w:hAnsi="宋体" w:cs="宋体"/>
          <w:bCs/>
          <w:color w:val="auto"/>
          <w:kern w:val="36"/>
          <w:sz w:val="32"/>
          <w:szCs w:val="32"/>
          <w:u w:val="single"/>
        </w:rPr>
      </w:pPr>
      <w:r>
        <w:rPr>
          <w:rFonts w:hint="eastAsia" w:ascii="宋体" w:hAnsi="宋体" w:cs="宋体"/>
          <w:bCs/>
          <w:color w:val="auto"/>
          <w:kern w:val="36"/>
          <w:sz w:val="32"/>
          <w:szCs w:val="32"/>
        </w:rPr>
        <w:t>采购单位：</w:t>
      </w:r>
      <w:r>
        <w:rPr>
          <w:rFonts w:hint="eastAsia" w:ascii="宋体" w:hAnsi="宋体" w:cs="宋体"/>
          <w:bCs/>
          <w:color w:val="auto"/>
          <w:kern w:val="36"/>
          <w:sz w:val="32"/>
          <w:szCs w:val="32"/>
          <w:u w:val="single"/>
        </w:rPr>
        <w:t>泸西县妇幼保健院</w:t>
      </w:r>
      <w:r>
        <w:rPr>
          <w:rFonts w:hint="eastAsia" w:ascii="宋体" w:hAnsi="宋体" w:cs="宋体"/>
          <w:bCs/>
          <w:color w:val="auto"/>
          <w:kern w:val="36"/>
          <w:sz w:val="32"/>
          <w:szCs w:val="32"/>
          <w:u w:val="single"/>
        </w:rPr>
        <w:t xml:space="preserve">                        （盖章）                  </w:t>
      </w:r>
    </w:p>
    <w:p w14:paraId="019D7586">
      <w:pPr>
        <w:spacing w:line="360" w:lineRule="auto"/>
        <w:rPr>
          <w:rFonts w:ascii="宋体" w:hAnsi="宋体" w:cs="宋体"/>
          <w:b/>
          <w:color w:val="auto"/>
          <w:sz w:val="32"/>
          <w:szCs w:val="32"/>
        </w:rPr>
      </w:pPr>
      <w:r>
        <w:rPr>
          <w:rFonts w:hint="eastAsia" w:ascii="宋体" w:hAnsi="宋体" w:cs="宋体"/>
          <w:bCs/>
          <w:color w:val="auto"/>
          <w:kern w:val="36"/>
          <w:sz w:val="32"/>
          <w:szCs w:val="32"/>
        </w:rPr>
        <w:t>采购代理机构：</w:t>
      </w:r>
      <w:r>
        <w:rPr>
          <w:rFonts w:hint="eastAsia" w:ascii="宋体" w:hAnsi="宋体" w:cs="宋体"/>
          <w:bCs/>
          <w:color w:val="auto"/>
          <w:kern w:val="36"/>
          <w:sz w:val="32"/>
          <w:szCs w:val="32"/>
          <w:u w:val="single"/>
        </w:rPr>
        <w:t>泸西县政府采购和出让中心            （盖章）</w:t>
      </w:r>
      <w:bookmarkEnd w:id="1"/>
      <w:bookmarkEnd w:id="2"/>
      <w:bookmarkEnd w:id="3"/>
      <w:bookmarkEnd w:id="4"/>
      <w:bookmarkEnd w:id="5"/>
      <w:bookmarkEnd w:id="6"/>
      <w:r>
        <w:rPr>
          <w:rFonts w:hint="eastAsia" w:ascii="宋体" w:hAnsi="宋体" w:cs="宋体"/>
          <w:bCs/>
          <w:color w:val="auto"/>
          <w:kern w:val="36"/>
          <w:sz w:val="32"/>
          <w:szCs w:val="32"/>
          <w:u w:val="single"/>
        </w:rPr>
        <w:t xml:space="preserve"> </w:t>
      </w:r>
    </w:p>
    <w:p w14:paraId="1B9BBCF8">
      <w:pPr>
        <w:pStyle w:val="27"/>
        <w:rPr>
          <w:color w:val="auto"/>
        </w:rPr>
      </w:pPr>
    </w:p>
    <w:p w14:paraId="6984F812">
      <w:pPr>
        <w:pStyle w:val="31"/>
        <w:tabs>
          <w:tab w:val="right" w:leader="dot" w:pos="9072"/>
          <w:tab w:val="clear" w:pos="8729"/>
        </w:tabs>
        <w:ind w:firstLine="824"/>
        <w:jc w:val="center"/>
        <w:rPr>
          <w:color w:val="auto"/>
          <w:sz w:val="48"/>
          <w:szCs w:val="48"/>
        </w:rPr>
      </w:pPr>
      <w:r>
        <w:rPr>
          <w:rFonts w:hint="eastAsia"/>
          <w:color w:val="auto"/>
          <w:sz w:val="48"/>
          <w:szCs w:val="48"/>
        </w:rPr>
        <w:t>目录</w:t>
      </w:r>
    </w:p>
    <w:p w14:paraId="1CC957F8">
      <w:pPr>
        <w:rPr>
          <w:color w:val="auto"/>
        </w:rPr>
      </w:pPr>
    </w:p>
    <w:p w14:paraId="533753CE">
      <w:pPr>
        <w:pStyle w:val="31"/>
        <w:tabs>
          <w:tab w:val="right" w:leader="dot" w:pos="9072"/>
          <w:tab w:val="clear" w:pos="8729"/>
        </w:tabs>
        <w:ind w:firstLine="513"/>
        <w:rPr>
          <w:color w:val="auto"/>
        </w:rPr>
      </w:pPr>
      <w:r>
        <w:rPr>
          <w:rFonts w:hint="eastAsia" w:ascii="宋体" w:hAnsi="宋体" w:cs="宋体"/>
          <w:b w:val="0"/>
          <w:color w:val="auto"/>
          <w:sz w:val="30"/>
          <w:szCs w:val="30"/>
        </w:rPr>
        <w:fldChar w:fldCharType="begin"/>
      </w:r>
      <w:r>
        <w:rPr>
          <w:rFonts w:hint="eastAsia" w:ascii="宋体" w:hAnsi="宋体" w:cs="宋体"/>
          <w:b w:val="0"/>
          <w:color w:val="auto"/>
          <w:sz w:val="30"/>
          <w:szCs w:val="30"/>
        </w:rPr>
        <w:instrText xml:space="preserve">TOC \o "1-1" \h \u </w:instrText>
      </w:r>
      <w:r>
        <w:rPr>
          <w:rFonts w:hint="eastAsia" w:ascii="宋体" w:hAnsi="宋体" w:cs="宋体"/>
          <w:b w:val="0"/>
          <w:color w:val="auto"/>
          <w:sz w:val="30"/>
          <w:szCs w:val="30"/>
        </w:rPr>
        <w:fldChar w:fldCharType="separate"/>
      </w:r>
      <w:r>
        <w:rPr>
          <w:color w:val="auto"/>
        </w:rPr>
        <w:fldChar w:fldCharType="begin"/>
      </w:r>
      <w:r>
        <w:rPr>
          <w:color w:val="auto"/>
        </w:rPr>
        <w:instrText xml:space="preserve"> HYPERLINK \l "_Toc7924" </w:instrText>
      </w:r>
      <w:r>
        <w:rPr>
          <w:color w:val="auto"/>
        </w:rPr>
        <w:fldChar w:fldCharType="separate"/>
      </w:r>
      <w:r>
        <w:rPr>
          <w:rFonts w:hint="eastAsia"/>
          <w:color w:val="auto"/>
        </w:rPr>
        <w:t>第一章 竞争性磋商公告</w:t>
      </w:r>
      <w:r>
        <w:rPr>
          <w:color w:val="auto"/>
        </w:rPr>
        <w:tab/>
      </w:r>
      <w:r>
        <w:rPr>
          <w:color w:val="auto"/>
        </w:rPr>
        <w:fldChar w:fldCharType="begin"/>
      </w:r>
      <w:r>
        <w:rPr>
          <w:color w:val="auto"/>
        </w:rPr>
        <w:instrText xml:space="preserve"> PAGEREF _Toc7924 \h </w:instrText>
      </w:r>
      <w:r>
        <w:rPr>
          <w:color w:val="auto"/>
        </w:rPr>
        <w:fldChar w:fldCharType="separate"/>
      </w:r>
      <w:r>
        <w:rPr>
          <w:color w:val="auto"/>
        </w:rPr>
        <w:t>3</w:t>
      </w:r>
      <w:r>
        <w:rPr>
          <w:color w:val="auto"/>
        </w:rPr>
        <w:fldChar w:fldCharType="end"/>
      </w:r>
      <w:r>
        <w:rPr>
          <w:color w:val="auto"/>
        </w:rPr>
        <w:fldChar w:fldCharType="end"/>
      </w:r>
    </w:p>
    <w:p w14:paraId="399685DA">
      <w:pPr>
        <w:pStyle w:val="31"/>
        <w:tabs>
          <w:tab w:val="right" w:leader="dot" w:pos="9072"/>
          <w:tab w:val="clear" w:pos="8729"/>
        </w:tabs>
        <w:ind w:firstLine="549"/>
        <w:rPr>
          <w:color w:val="auto"/>
        </w:rPr>
      </w:pPr>
      <w:r>
        <w:rPr>
          <w:color w:val="auto"/>
        </w:rPr>
        <w:fldChar w:fldCharType="begin"/>
      </w:r>
      <w:r>
        <w:rPr>
          <w:color w:val="auto"/>
        </w:rPr>
        <w:instrText xml:space="preserve"> HYPERLINK \l "_Toc829" </w:instrText>
      </w:r>
      <w:r>
        <w:rPr>
          <w:color w:val="auto"/>
        </w:rPr>
        <w:fldChar w:fldCharType="separate"/>
      </w:r>
      <w:r>
        <w:rPr>
          <w:rFonts w:hint="eastAsia"/>
          <w:color w:val="auto"/>
        </w:rPr>
        <w:t>第二章 磋商申请人须知</w:t>
      </w:r>
      <w:r>
        <w:rPr>
          <w:color w:val="auto"/>
        </w:rPr>
        <w:tab/>
      </w:r>
      <w:r>
        <w:rPr>
          <w:color w:val="auto"/>
        </w:rPr>
        <w:fldChar w:fldCharType="begin"/>
      </w:r>
      <w:r>
        <w:rPr>
          <w:color w:val="auto"/>
        </w:rPr>
        <w:instrText xml:space="preserve"> PAGEREF _Toc829 \h </w:instrText>
      </w:r>
      <w:r>
        <w:rPr>
          <w:color w:val="auto"/>
        </w:rPr>
        <w:fldChar w:fldCharType="separate"/>
      </w:r>
      <w:r>
        <w:rPr>
          <w:color w:val="auto"/>
        </w:rPr>
        <w:t>6</w:t>
      </w:r>
      <w:r>
        <w:rPr>
          <w:color w:val="auto"/>
        </w:rPr>
        <w:fldChar w:fldCharType="end"/>
      </w:r>
      <w:r>
        <w:rPr>
          <w:color w:val="auto"/>
        </w:rPr>
        <w:fldChar w:fldCharType="end"/>
      </w:r>
    </w:p>
    <w:p w14:paraId="7A1F4E26">
      <w:pPr>
        <w:pStyle w:val="31"/>
        <w:tabs>
          <w:tab w:val="right" w:leader="dot" w:pos="9072"/>
          <w:tab w:val="clear" w:pos="8729"/>
        </w:tabs>
        <w:ind w:firstLine="549"/>
        <w:rPr>
          <w:color w:val="auto"/>
        </w:rPr>
      </w:pPr>
      <w:r>
        <w:rPr>
          <w:color w:val="auto"/>
        </w:rPr>
        <w:fldChar w:fldCharType="begin"/>
      </w:r>
      <w:r>
        <w:rPr>
          <w:color w:val="auto"/>
        </w:rPr>
        <w:instrText xml:space="preserve"> HYPERLINK \l "_Toc22472" </w:instrText>
      </w:r>
      <w:r>
        <w:rPr>
          <w:color w:val="auto"/>
        </w:rPr>
        <w:fldChar w:fldCharType="separate"/>
      </w:r>
      <w:r>
        <w:rPr>
          <w:rFonts w:hint="eastAsia"/>
          <w:color w:val="auto"/>
        </w:rPr>
        <w:t>第三章 磋商程序及方法</w:t>
      </w:r>
      <w:r>
        <w:rPr>
          <w:color w:val="auto"/>
        </w:rPr>
        <w:tab/>
      </w:r>
      <w:r>
        <w:rPr>
          <w:color w:val="auto"/>
        </w:rPr>
        <w:fldChar w:fldCharType="begin"/>
      </w:r>
      <w:r>
        <w:rPr>
          <w:color w:val="auto"/>
        </w:rPr>
        <w:instrText xml:space="preserve"> PAGEREF _Toc22472 \h </w:instrText>
      </w:r>
      <w:r>
        <w:rPr>
          <w:color w:val="auto"/>
        </w:rPr>
        <w:fldChar w:fldCharType="separate"/>
      </w:r>
      <w:r>
        <w:rPr>
          <w:color w:val="auto"/>
        </w:rPr>
        <w:t>22</w:t>
      </w:r>
      <w:r>
        <w:rPr>
          <w:color w:val="auto"/>
        </w:rPr>
        <w:fldChar w:fldCharType="end"/>
      </w:r>
      <w:r>
        <w:rPr>
          <w:color w:val="auto"/>
        </w:rPr>
        <w:fldChar w:fldCharType="end"/>
      </w:r>
    </w:p>
    <w:p w14:paraId="24EFEA9F">
      <w:pPr>
        <w:pStyle w:val="31"/>
        <w:tabs>
          <w:tab w:val="right" w:leader="dot" w:pos="9072"/>
          <w:tab w:val="clear" w:pos="8729"/>
        </w:tabs>
        <w:ind w:firstLine="549"/>
        <w:rPr>
          <w:color w:val="auto"/>
        </w:rPr>
      </w:pPr>
      <w:r>
        <w:rPr>
          <w:color w:val="auto"/>
        </w:rPr>
        <w:fldChar w:fldCharType="begin"/>
      </w:r>
      <w:r>
        <w:rPr>
          <w:color w:val="auto"/>
        </w:rPr>
        <w:instrText xml:space="preserve"> HYPERLINK \l "_Toc23439" </w:instrText>
      </w:r>
      <w:r>
        <w:rPr>
          <w:color w:val="auto"/>
        </w:rPr>
        <w:fldChar w:fldCharType="separate"/>
      </w:r>
      <w:r>
        <w:rPr>
          <w:rFonts w:hint="eastAsia"/>
          <w:color w:val="auto"/>
        </w:rPr>
        <w:t>第四章 磋商响应文件格式</w:t>
      </w:r>
      <w:r>
        <w:rPr>
          <w:color w:val="auto"/>
        </w:rPr>
        <w:tab/>
      </w:r>
      <w:r>
        <w:rPr>
          <w:color w:val="auto"/>
        </w:rPr>
        <w:fldChar w:fldCharType="begin"/>
      </w:r>
      <w:r>
        <w:rPr>
          <w:color w:val="auto"/>
        </w:rPr>
        <w:instrText xml:space="preserve"> PAGEREF _Toc23439 \h </w:instrText>
      </w:r>
      <w:r>
        <w:rPr>
          <w:color w:val="auto"/>
        </w:rPr>
        <w:fldChar w:fldCharType="separate"/>
      </w:r>
      <w:r>
        <w:rPr>
          <w:color w:val="auto"/>
        </w:rPr>
        <w:t>28</w:t>
      </w:r>
      <w:r>
        <w:rPr>
          <w:color w:val="auto"/>
        </w:rPr>
        <w:fldChar w:fldCharType="end"/>
      </w:r>
      <w:r>
        <w:rPr>
          <w:color w:val="auto"/>
        </w:rPr>
        <w:fldChar w:fldCharType="end"/>
      </w:r>
    </w:p>
    <w:p w14:paraId="7FC02A01">
      <w:pPr>
        <w:pStyle w:val="31"/>
        <w:tabs>
          <w:tab w:val="right" w:leader="dot" w:pos="9072"/>
          <w:tab w:val="clear" w:pos="8729"/>
        </w:tabs>
        <w:ind w:firstLine="549"/>
        <w:rPr>
          <w:color w:val="auto"/>
        </w:rPr>
      </w:pPr>
      <w:r>
        <w:rPr>
          <w:color w:val="auto"/>
        </w:rPr>
        <w:fldChar w:fldCharType="begin"/>
      </w:r>
      <w:r>
        <w:rPr>
          <w:color w:val="auto"/>
        </w:rPr>
        <w:instrText xml:space="preserve"> HYPERLINK \l "_Toc23776" </w:instrText>
      </w:r>
      <w:r>
        <w:rPr>
          <w:color w:val="auto"/>
        </w:rPr>
        <w:fldChar w:fldCharType="separate"/>
      </w:r>
      <w:r>
        <w:rPr>
          <w:rFonts w:hint="eastAsia"/>
          <w:color w:val="auto"/>
        </w:rPr>
        <w:t>第五章 服务要求</w:t>
      </w:r>
      <w:r>
        <w:rPr>
          <w:color w:val="auto"/>
        </w:rPr>
        <w:tab/>
      </w:r>
      <w:r>
        <w:rPr>
          <w:color w:val="auto"/>
        </w:rPr>
        <w:fldChar w:fldCharType="begin"/>
      </w:r>
      <w:r>
        <w:rPr>
          <w:color w:val="auto"/>
        </w:rPr>
        <w:instrText xml:space="preserve"> PAGEREF _Toc23776 \h </w:instrText>
      </w:r>
      <w:r>
        <w:rPr>
          <w:color w:val="auto"/>
        </w:rPr>
        <w:fldChar w:fldCharType="separate"/>
      </w:r>
      <w:r>
        <w:rPr>
          <w:color w:val="auto"/>
        </w:rPr>
        <w:t>4</w:t>
      </w:r>
      <w:r>
        <w:rPr>
          <w:rFonts w:hint="eastAsia"/>
          <w:color w:val="auto"/>
          <w:lang w:val="en-US" w:eastAsia="zh-CN"/>
        </w:rPr>
        <w:t>7</w:t>
      </w:r>
      <w:r>
        <w:rPr>
          <w:color w:val="auto"/>
        </w:rPr>
        <w:fldChar w:fldCharType="end"/>
      </w:r>
      <w:r>
        <w:rPr>
          <w:color w:val="auto"/>
        </w:rPr>
        <w:fldChar w:fldCharType="end"/>
      </w:r>
    </w:p>
    <w:p w14:paraId="0232A9F8">
      <w:pPr>
        <w:pStyle w:val="31"/>
        <w:tabs>
          <w:tab w:val="right" w:leader="dot" w:pos="9072"/>
          <w:tab w:val="clear" w:pos="8729"/>
        </w:tabs>
        <w:ind w:firstLine="549"/>
        <w:rPr>
          <w:color w:val="auto"/>
        </w:rPr>
      </w:pPr>
      <w:r>
        <w:rPr>
          <w:color w:val="auto"/>
        </w:rPr>
        <w:fldChar w:fldCharType="begin"/>
      </w:r>
      <w:r>
        <w:rPr>
          <w:color w:val="auto"/>
        </w:rPr>
        <w:instrText xml:space="preserve"> HYPERLINK \l "_Toc3451" </w:instrText>
      </w:r>
      <w:r>
        <w:rPr>
          <w:color w:val="auto"/>
        </w:rPr>
        <w:fldChar w:fldCharType="separate"/>
      </w:r>
      <w:r>
        <w:rPr>
          <w:rFonts w:hint="eastAsia"/>
          <w:color w:val="auto"/>
          <w:szCs w:val="18"/>
        </w:rPr>
        <w:t>第六章 合同书样式</w:t>
      </w:r>
      <w:r>
        <w:rPr>
          <w:color w:val="auto"/>
        </w:rPr>
        <w:tab/>
      </w:r>
      <w:r>
        <w:rPr>
          <w:color w:val="auto"/>
        </w:rPr>
        <w:fldChar w:fldCharType="begin"/>
      </w:r>
      <w:r>
        <w:rPr>
          <w:color w:val="auto"/>
        </w:rPr>
        <w:instrText xml:space="preserve"> PAGEREF _Toc3451 \h </w:instrText>
      </w:r>
      <w:r>
        <w:rPr>
          <w:color w:val="auto"/>
        </w:rPr>
        <w:fldChar w:fldCharType="separate"/>
      </w:r>
      <w:r>
        <w:rPr>
          <w:color w:val="auto"/>
        </w:rPr>
        <w:t>5</w:t>
      </w:r>
      <w:r>
        <w:rPr>
          <w:rFonts w:hint="eastAsia"/>
          <w:color w:val="auto"/>
          <w:lang w:val="en-US" w:eastAsia="zh-CN"/>
        </w:rPr>
        <w:t>6</w:t>
      </w:r>
      <w:r>
        <w:rPr>
          <w:color w:val="auto"/>
        </w:rPr>
        <w:fldChar w:fldCharType="end"/>
      </w:r>
      <w:r>
        <w:rPr>
          <w:color w:val="auto"/>
        </w:rPr>
        <w:fldChar w:fldCharType="end"/>
      </w:r>
    </w:p>
    <w:p w14:paraId="5744CB6D">
      <w:pPr>
        <w:pStyle w:val="27"/>
        <w:rPr>
          <w:color w:val="auto"/>
        </w:rPr>
        <w:sectPr>
          <w:headerReference r:id="rId4" w:type="first"/>
          <w:footerReference r:id="rId6" w:type="first"/>
          <w:headerReference r:id="rId3" w:type="default"/>
          <w:footerReference r:id="rId5" w:type="default"/>
          <w:pgSz w:w="11906" w:h="16838"/>
          <w:pgMar w:top="1134" w:right="1417" w:bottom="1134" w:left="1417" w:header="851" w:footer="992" w:gutter="0"/>
          <w:pgNumType w:fmt="decimal" w:start="1"/>
          <w:cols w:space="720" w:num="1"/>
          <w:titlePg/>
          <w:docGrid w:type="lines" w:linePitch="312" w:charSpace="0"/>
        </w:sectPr>
      </w:pPr>
      <w:r>
        <w:rPr>
          <w:rFonts w:hint="eastAsia" w:ascii="宋体" w:hAnsi="宋体" w:cs="宋体"/>
          <w:color w:val="auto"/>
          <w:szCs w:val="30"/>
        </w:rPr>
        <w:fldChar w:fldCharType="end"/>
      </w:r>
    </w:p>
    <w:p w14:paraId="3B33A4EC">
      <w:pPr>
        <w:pStyle w:val="3"/>
        <w:rPr>
          <w:color w:val="auto"/>
        </w:rPr>
      </w:pPr>
      <w:bookmarkStart w:id="7" w:name="_Toc7924"/>
      <w:r>
        <w:rPr>
          <w:rFonts w:hint="eastAsia"/>
          <w:color w:val="auto"/>
        </w:rPr>
        <w:t>第一章 竞争性磋商公告</w:t>
      </w:r>
      <w:bookmarkEnd w:id="7"/>
    </w:p>
    <w:p w14:paraId="30BE1A27">
      <w:pPr>
        <w:pStyle w:val="3"/>
        <w:rPr>
          <w:bCs/>
          <w:color w:val="auto"/>
        </w:rPr>
      </w:pPr>
      <w:bookmarkStart w:id="8" w:name="_Toc2872"/>
      <w:r>
        <w:rPr>
          <w:rFonts w:hint="eastAsia"/>
          <w:bCs/>
          <w:color w:val="auto"/>
          <w:szCs w:val="32"/>
        </w:rPr>
        <w:t>泸西县妇幼保健院2025年物业管理服务</w:t>
      </w:r>
      <w:bookmarkEnd w:id="8"/>
      <w:r>
        <w:rPr>
          <w:rFonts w:hint="eastAsia"/>
          <w:bCs/>
          <w:color w:val="auto"/>
          <w:szCs w:val="32"/>
        </w:rPr>
        <w:t>采购项目</w:t>
      </w:r>
    </w:p>
    <w:p w14:paraId="485B960B">
      <w:pPr>
        <w:pBdr>
          <w:top w:val="single" w:color="auto" w:sz="4" w:space="1"/>
          <w:left w:val="single" w:color="auto" w:sz="4" w:space="4"/>
          <w:bottom w:val="single" w:color="auto" w:sz="4" w:space="1"/>
          <w:right w:val="single" w:color="auto" w:sz="4" w:space="4"/>
        </w:pBdr>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项目概况</w:t>
      </w:r>
    </w:p>
    <w:p w14:paraId="255A4D45">
      <w:pPr>
        <w:pBdr>
          <w:top w:val="single" w:color="auto" w:sz="4" w:space="1"/>
          <w:left w:val="single" w:color="auto" w:sz="4" w:space="4"/>
          <w:bottom w:val="single" w:color="auto" w:sz="4" w:space="1"/>
          <w:right w:val="single" w:color="auto" w:sz="4" w:space="4"/>
        </w:pBdr>
        <w:spacing w:after="326" w:afterLines="136"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rPr>
        <w:t>泸西县妇幼保健院2025年物业管理服务</w:t>
      </w:r>
      <w:r>
        <w:rPr>
          <w:rFonts w:hint="eastAsia" w:asciiTheme="minorEastAsia" w:hAnsiTheme="minorEastAsia" w:eastAsiaTheme="minorEastAsia" w:cstheme="minorEastAsia"/>
          <w:color w:val="auto"/>
          <w:sz w:val="24"/>
          <w:szCs w:val="24"/>
          <w:u w:val="single"/>
        </w:rPr>
        <w:t>采购项目</w:t>
      </w:r>
      <w:r>
        <w:rPr>
          <w:rFonts w:hint="eastAsia" w:asciiTheme="minorEastAsia" w:hAnsiTheme="minorEastAsia" w:eastAsiaTheme="minorEastAsia" w:cstheme="minorEastAsia"/>
          <w:color w:val="auto"/>
          <w:sz w:val="24"/>
          <w:szCs w:val="24"/>
        </w:rPr>
        <w:t>的潜在磋商申请单位应在政府采购云平台（https://www.zcygov.cn/）</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"http://www.hhzy.net）获取采购文件，并于2020年" </w:instrText>
      </w:r>
      <w:r>
        <w:rPr>
          <w:rFonts w:hint="eastAsia" w:asciiTheme="minorEastAsia" w:hAnsiTheme="minorEastAsia" w:eastAsiaTheme="minorEastAsia" w:cstheme="minorEastAsia"/>
          <w:color w:val="auto"/>
          <w:sz w:val="24"/>
          <w:szCs w:val="24"/>
        </w:rPr>
        <w:fldChar w:fldCharType="separate"/>
      </w:r>
      <w:r>
        <w:rPr>
          <w:rFonts w:hint="eastAsia" w:asciiTheme="minorEastAsia" w:hAnsiTheme="minorEastAsia" w:eastAsiaTheme="minorEastAsia" w:cstheme="minorEastAsia"/>
          <w:color w:val="auto"/>
          <w:sz w:val="24"/>
          <w:szCs w:val="24"/>
        </w:rPr>
        <w:t>获取采购文件，并于</w:t>
      </w: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rPr>
        <w:fldChar w:fldCharType="end"/>
      </w:r>
      <w:r>
        <w:rPr>
          <w:rFonts w:hint="eastAsia" w:asciiTheme="minorEastAsia" w:hAnsiTheme="minorEastAsia" w:eastAsiaTheme="minorEastAsia" w:cstheme="minorEastAsia"/>
          <w:color w:val="auto"/>
          <w:sz w:val="24"/>
          <w:szCs w:val="24"/>
        </w:rPr>
        <w:t>025年04月</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rPr>
        <w:t>日14时30分</w:t>
      </w:r>
      <w:r>
        <w:rPr>
          <w:rFonts w:hint="eastAsia" w:asciiTheme="minorEastAsia" w:hAnsiTheme="minorEastAsia" w:eastAsiaTheme="minorEastAsia" w:cstheme="minorEastAsia"/>
          <w:color w:val="auto"/>
          <w:sz w:val="24"/>
          <w:szCs w:val="24"/>
        </w:rPr>
        <w:t>（北</w:t>
      </w:r>
      <w:r>
        <w:rPr>
          <w:rFonts w:hint="eastAsia" w:asciiTheme="minorEastAsia" w:hAnsiTheme="minorEastAsia" w:eastAsiaTheme="minorEastAsia" w:cstheme="minorEastAsia"/>
          <w:bCs/>
          <w:color w:val="auto"/>
          <w:sz w:val="24"/>
          <w:szCs w:val="24"/>
        </w:rPr>
        <w:t>京时间）前提交响应文件</w:t>
      </w:r>
      <w:r>
        <w:rPr>
          <w:rFonts w:hint="eastAsia" w:asciiTheme="minorEastAsia" w:hAnsiTheme="minorEastAsia" w:eastAsiaTheme="minorEastAsia" w:cstheme="minorEastAsia"/>
          <w:color w:val="auto"/>
          <w:sz w:val="24"/>
          <w:szCs w:val="24"/>
        </w:rPr>
        <w:t>。</w:t>
      </w:r>
    </w:p>
    <w:p w14:paraId="1CD2745F">
      <w:pPr>
        <w:pStyle w:val="4"/>
        <w:spacing w:line="240" w:lineRule="auto"/>
        <w:rPr>
          <w:rFonts w:asciiTheme="minorEastAsia" w:hAnsiTheme="minorEastAsia" w:eastAsiaTheme="minorEastAsia" w:cstheme="minorEastAsia"/>
          <w:color w:val="auto"/>
          <w:szCs w:val="24"/>
        </w:rPr>
      </w:pPr>
      <w:bookmarkStart w:id="9" w:name="_Toc35393798"/>
      <w:bookmarkStart w:id="10" w:name="_Toc28359012"/>
      <w:bookmarkStart w:id="11" w:name="_Toc35393629"/>
      <w:bookmarkStart w:id="12" w:name="_Toc10367"/>
      <w:bookmarkStart w:id="13" w:name="_Toc28359089"/>
      <w:r>
        <w:rPr>
          <w:rFonts w:hint="eastAsia" w:asciiTheme="minorEastAsia" w:hAnsiTheme="minorEastAsia" w:eastAsiaTheme="minorEastAsia" w:cstheme="minorEastAsia"/>
          <w:color w:val="auto"/>
          <w:szCs w:val="24"/>
        </w:rPr>
        <w:t>一、项目基本情况</w:t>
      </w:r>
      <w:bookmarkEnd w:id="9"/>
      <w:bookmarkEnd w:id="10"/>
      <w:bookmarkEnd w:id="11"/>
      <w:bookmarkEnd w:id="12"/>
      <w:bookmarkEnd w:id="13"/>
    </w:p>
    <w:p w14:paraId="7AEAD960">
      <w:pPr>
        <w:spacing w:line="360" w:lineRule="auto"/>
        <w:ind w:firstLine="480" w:firstLineChars="200"/>
        <w:rPr>
          <w:rFonts w:asciiTheme="minorEastAsia" w:hAnsiTheme="minorEastAsia" w:eastAsiaTheme="minorEastAsia" w:cstheme="minorEastAsia"/>
          <w:color w:val="auto"/>
          <w:sz w:val="24"/>
          <w:szCs w:val="24"/>
        </w:rPr>
      </w:pPr>
      <w:bookmarkStart w:id="14" w:name="_Toc28359090"/>
      <w:bookmarkStart w:id="15" w:name="_Toc26933"/>
      <w:bookmarkStart w:id="16" w:name="_Toc28359013"/>
      <w:bookmarkStart w:id="17" w:name="_Toc35393630"/>
      <w:bookmarkStart w:id="18" w:name="_Toc35393799"/>
      <w:r>
        <w:rPr>
          <w:rFonts w:hint="eastAsia" w:asciiTheme="minorEastAsia" w:hAnsiTheme="minorEastAsia" w:eastAsiaTheme="minorEastAsia" w:cstheme="minorEastAsia"/>
          <w:color w:val="auto"/>
          <w:sz w:val="24"/>
          <w:szCs w:val="24"/>
          <w:lang w:val="en-US" w:eastAsia="zh-CN"/>
        </w:rPr>
        <w:t>项目</w:t>
      </w:r>
      <w:r>
        <w:rPr>
          <w:rFonts w:hint="eastAsia" w:asciiTheme="minorEastAsia" w:hAnsiTheme="minorEastAsia" w:eastAsiaTheme="minorEastAsia" w:cstheme="minorEastAsia"/>
          <w:color w:val="auto"/>
          <w:sz w:val="24"/>
          <w:szCs w:val="24"/>
        </w:rPr>
        <w:t>编号：</w:t>
      </w:r>
      <w:r>
        <w:rPr>
          <w:rFonts w:hint="eastAsia" w:asciiTheme="minorEastAsia" w:hAnsiTheme="minorEastAsia" w:eastAsiaTheme="minorEastAsia" w:cstheme="minorEastAsia"/>
          <w:color w:val="auto"/>
          <w:sz w:val="24"/>
          <w:szCs w:val="24"/>
        </w:rPr>
        <w:t>HHZC2025-C3-00733-LXXZ-0001</w:t>
      </w:r>
    </w:p>
    <w:p w14:paraId="44777C57">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rPr>
        <w:t>泸西县妇幼保健院2025年物业管理服务</w:t>
      </w:r>
      <w:r>
        <w:rPr>
          <w:rFonts w:hint="eastAsia" w:asciiTheme="minorEastAsia" w:hAnsiTheme="minorEastAsia" w:eastAsiaTheme="minorEastAsia" w:cstheme="minorEastAsia"/>
          <w:color w:val="auto"/>
          <w:sz w:val="24"/>
          <w:szCs w:val="24"/>
        </w:rPr>
        <w:t>采购项目</w:t>
      </w:r>
    </w:p>
    <w:p w14:paraId="443034E5">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招标方式：</w:t>
      </w:r>
      <w:r>
        <w:rPr>
          <w:rFonts w:hint="eastAsia" w:asciiTheme="minorEastAsia" w:hAnsiTheme="minorEastAsia" w:eastAsiaTheme="minorEastAsia" w:cstheme="minorEastAsia"/>
          <w:color w:val="auto"/>
          <w:sz w:val="24"/>
          <w:szCs w:val="24"/>
        </w:rPr>
        <w:t>竞争性磋商</w:t>
      </w:r>
    </w:p>
    <w:p w14:paraId="0EC64349">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项目总投资：</w:t>
      </w:r>
      <w:r>
        <w:rPr>
          <w:rFonts w:hint="eastAsia" w:asciiTheme="minorEastAsia" w:hAnsiTheme="minorEastAsia" w:eastAsiaTheme="minorEastAsia" w:cstheme="minorEastAsia"/>
          <w:color w:val="auto"/>
          <w:sz w:val="24"/>
          <w:szCs w:val="24"/>
        </w:rPr>
        <w:t>380000.00元/年（其中物业服务220000.00元，安保服务160000.00元）</w:t>
      </w:r>
    </w:p>
    <w:p w14:paraId="219C33B2">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服务内容:</w:t>
      </w:r>
    </w:p>
    <w:p w14:paraId="2916C99B">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（1）物业服务：对本单位及附属公共区域（含农贸市场办公区）的医院被褥、工作服的洗涤；公共区域的消毒工作等项目及其设备、公用设施、绿化、卫生、交通、安全、进行日常维护、清洁、管理等；</w:t>
      </w:r>
    </w:p>
    <w:p w14:paraId="63ED2719">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（2）安保服务：对本单位及附属办公区域（含农贸市场办公区）的</w:t>
      </w:r>
      <w:r>
        <w:rPr>
          <w:rFonts w:hint="eastAsia" w:ascii="宋体" w:hAnsi="宋体" w:cs="宋体"/>
          <w:color w:val="auto"/>
          <w:sz w:val="24"/>
          <w:szCs w:val="24"/>
        </w:rPr>
        <w:t>门卫值勤、安全巡逻、巡查防范、安保等工作</w:t>
      </w:r>
      <w:r>
        <w:rPr>
          <w:rFonts w:hint="eastAsia" w:asciiTheme="minorEastAsia" w:hAnsiTheme="minorEastAsia" w:eastAsiaTheme="minorEastAsia" w:cstheme="minorEastAsia"/>
          <w:color w:val="auto"/>
          <w:sz w:val="24"/>
          <w:szCs w:val="24"/>
        </w:rPr>
        <w:t>。</w:t>
      </w:r>
      <w:r>
        <w:rPr>
          <w:rFonts w:hint="eastAsia" w:ascii="宋体" w:hAnsi="宋体" w:cs="宋体"/>
          <w:color w:val="auto"/>
          <w:sz w:val="24"/>
          <w:szCs w:val="24"/>
        </w:rPr>
        <w:t>（详见“第五章  服务要求”）</w:t>
      </w:r>
    </w:p>
    <w:p w14:paraId="1894877B">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服务地点：泸西县妇幼保健院</w:t>
      </w:r>
    </w:p>
    <w:p w14:paraId="2AB7B6EB">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服务期限：合同签订之日起一年</w:t>
      </w:r>
    </w:p>
    <w:p w14:paraId="3F966943">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服务要求：</w:t>
      </w:r>
      <w:r>
        <w:rPr>
          <w:rFonts w:asciiTheme="minorEastAsia" w:hAnsiTheme="minorEastAsia" w:eastAsiaTheme="minorEastAsia" w:cstheme="minorEastAsia"/>
          <w:color w:val="auto"/>
          <w:sz w:val="24"/>
          <w:szCs w:val="24"/>
        </w:rPr>
        <w:t>符合国家及现行行业标准，满足采购人要求</w:t>
      </w:r>
      <w:r>
        <w:rPr>
          <w:rFonts w:hint="eastAsia" w:asciiTheme="minorEastAsia" w:hAnsiTheme="minorEastAsia" w:eastAsiaTheme="minorEastAsia" w:cstheme="minorEastAsia"/>
          <w:color w:val="auto"/>
          <w:sz w:val="24"/>
          <w:szCs w:val="24"/>
        </w:rPr>
        <w:t>。</w:t>
      </w:r>
    </w:p>
    <w:p w14:paraId="742097DE">
      <w:pPr>
        <w:spacing w:line="360" w:lineRule="auto"/>
        <w:ind w:firstLine="480" w:firstLineChars="200"/>
        <w:rPr>
          <w:color w:val="auto"/>
        </w:rPr>
      </w:pPr>
      <w:r>
        <w:rPr>
          <w:rFonts w:hint="eastAsia" w:asciiTheme="minorEastAsia" w:hAnsiTheme="minorEastAsia" w:eastAsiaTheme="minorEastAsia" w:cstheme="minorEastAsia"/>
          <w:color w:val="auto"/>
          <w:sz w:val="24"/>
          <w:szCs w:val="24"/>
        </w:rPr>
        <w:t>本项目</w:t>
      </w:r>
      <w:r>
        <w:rPr>
          <w:rFonts w:hint="eastAsia" w:asciiTheme="minorEastAsia" w:hAnsiTheme="minorEastAsia" w:eastAsiaTheme="minorEastAsia" w:cstheme="minorEastAsia"/>
          <w:b/>
          <w:bCs/>
          <w:color w:val="auto"/>
          <w:sz w:val="24"/>
          <w:szCs w:val="24"/>
          <w:u w:val="single"/>
        </w:rPr>
        <w:t>不</w:t>
      </w:r>
      <w:r>
        <w:rPr>
          <w:rFonts w:hint="eastAsia" w:asciiTheme="minorEastAsia" w:hAnsiTheme="minorEastAsia" w:eastAsiaTheme="minorEastAsia" w:cstheme="minorEastAsia"/>
          <w:color w:val="auto"/>
          <w:sz w:val="24"/>
          <w:szCs w:val="24"/>
        </w:rPr>
        <w:t>接受联合体</w:t>
      </w:r>
    </w:p>
    <w:p w14:paraId="428EF03A">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二、申请人的资格要求：</w:t>
      </w:r>
      <w:bookmarkEnd w:id="14"/>
      <w:bookmarkEnd w:id="15"/>
      <w:bookmarkEnd w:id="16"/>
      <w:bookmarkEnd w:id="17"/>
      <w:bookmarkEnd w:id="18"/>
    </w:p>
    <w:p w14:paraId="14F10CFC">
      <w:pPr>
        <w:spacing w:line="360" w:lineRule="auto"/>
        <w:ind w:firstLine="482" w:firstLineChars="200"/>
        <w:rPr>
          <w:rFonts w:asciiTheme="minorEastAsia" w:hAnsiTheme="minorEastAsia" w:eastAsiaTheme="minorEastAsia" w:cstheme="minorEastAsia"/>
          <w:b/>
          <w:bCs/>
          <w:color w:val="auto"/>
          <w:sz w:val="24"/>
          <w:szCs w:val="24"/>
        </w:rPr>
      </w:pPr>
      <w:bookmarkStart w:id="19" w:name="_Toc28359091"/>
      <w:bookmarkStart w:id="20" w:name="_Toc35393631"/>
      <w:bookmarkStart w:id="21" w:name="_Toc28359014"/>
      <w:bookmarkStart w:id="22" w:name="_Toc35393800"/>
      <w:bookmarkStart w:id="23" w:name="_Toc25504"/>
      <w:r>
        <w:rPr>
          <w:rFonts w:hint="eastAsia" w:asciiTheme="minorEastAsia" w:hAnsiTheme="minorEastAsia" w:eastAsiaTheme="minorEastAsia" w:cstheme="minorEastAsia"/>
          <w:b/>
          <w:bCs/>
          <w:color w:val="auto"/>
          <w:sz w:val="24"/>
          <w:szCs w:val="24"/>
        </w:rPr>
        <w:t>1.满足《中华人民共和国政府采购法》第二十二条规定：</w:t>
      </w:r>
    </w:p>
    <w:p w14:paraId="454CA2C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1.1具有独立承担民事责任的能力（提供有效的营业执照）；</w:t>
      </w:r>
    </w:p>
    <w:p w14:paraId="15B0608F">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1.2具有良好的商业信誉和健全的财务会计制度，（提供</w:t>
      </w:r>
      <w:r>
        <w:rPr>
          <w:rFonts w:hint="eastAsia" w:asciiTheme="minorEastAsia" w:hAnsiTheme="minorEastAsia" w:eastAsiaTheme="minorEastAsia" w:cstheme="minorEastAsia"/>
          <w:color w:val="auto"/>
          <w:sz w:val="24"/>
          <w:szCs w:val="24"/>
        </w:rPr>
        <w:t>2021</w:t>
      </w:r>
      <w:r>
        <w:rPr>
          <w:rFonts w:hint="eastAsia" w:asciiTheme="minorEastAsia" w:hAnsiTheme="minorEastAsia" w:eastAsiaTheme="minorEastAsia" w:cstheme="minorEastAsia"/>
          <w:color w:val="auto"/>
          <w:sz w:val="24"/>
          <w:szCs w:val="24"/>
        </w:rPr>
        <w:t>年至今任意一年经审计的财务审计报告及会计报表（含资产负债表、现金流量表、利润表），且没处于财产被冻结状况，公司成立未满一年的提供会计报表）；</w:t>
      </w:r>
    </w:p>
    <w:p w14:paraId="218D1D61">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1.3具有履行合同所必需的设备和专业技术能力（提供书面承诺）；</w:t>
      </w:r>
    </w:p>
    <w:p w14:paraId="31EFF56D">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1.4有依法缴纳税收和社会保障资金的良好记录（提供</w:t>
      </w:r>
      <w:r>
        <w:rPr>
          <w:rFonts w:hint="eastAsia" w:asciiTheme="minorEastAsia" w:hAnsiTheme="minorEastAsia" w:eastAsiaTheme="minorEastAsia" w:cstheme="minorEastAsia"/>
          <w:color w:val="auto"/>
          <w:sz w:val="24"/>
          <w:szCs w:val="24"/>
        </w:rPr>
        <w:t>2024年1月1日</w:t>
      </w:r>
      <w:r>
        <w:rPr>
          <w:rFonts w:hint="eastAsia" w:asciiTheme="minorEastAsia" w:hAnsiTheme="minorEastAsia" w:eastAsiaTheme="minorEastAsia" w:cstheme="minorEastAsia"/>
          <w:color w:val="auto"/>
          <w:sz w:val="24"/>
          <w:szCs w:val="24"/>
        </w:rPr>
        <w:t>至今任意3个月的证明材料，供应商成立不满3个月的，按实际成立至今的月份提供缴纳证明材料）；</w:t>
      </w:r>
    </w:p>
    <w:p w14:paraId="1698F8EF">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参加本次招标活动前三年内，在经营活动中没有重大违法记录（提供书面承诺。重大违法记录，是指申请人因违法经营受到刑事处罚或者责令停产停业、吊销经营许可证或者营业执照、较大数额罚款等行政处罚）；</w:t>
      </w:r>
    </w:p>
    <w:p w14:paraId="219A226F">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1.6法律、行政法规规定的其他条件</w:t>
      </w:r>
    </w:p>
    <w:p w14:paraId="3A6175BF">
      <w:pPr>
        <w:spacing w:line="360" w:lineRule="auto"/>
        <w:ind w:firstLine="480"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2.落实政府采购政策需满足的资格要求：本项目面向中小微企业</w:t>
      </w:r>
      <w:r>
        <w:rPr>
          <w:rFonts w:hint="eastAsia" w:asciiTheme="minorEastAsia" w:hAnsiTheme="minorEastAsia" w:eastAsiaTheme="minorEastAsia" w:cstheme="minorEastAsia"/>
          <w:color w:val="auto"/>
          <w:sz w:val="24"/>
          <w:szCs w:val="24"/>
          <w:lang w:eastAsia="zh-CN"/>
        </w:rPr>
        <w:t>。</w:t>
      </w:r>
    </w:p>
    <w:p w14:paraId="712E6BDC">
      <w:pPr>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    3.本项目的特定资格要求：</w:t>
      </w:r>
    </w:p>
    <w:p w14:paraId="33F0D75E">
      <w:p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w:t>
      </w:r>
      <w:r>
        <w:rPr>
          <w:rFonts w:hint="eastAsia" w:ascii="宋体" w:hAnsi="宋体" w:cs="宋体"/>
          <w:color w:val="auto"/>
          <w:sz w:val="24"/>
          <w:szCs w:val="24"/>
        </w:rPr>
        <w:t>磋商申请人须具备有效的《保安服务许可证》并且具备相应的服务范围；</w:t>
      </w:r>
    </w:p>
    <w:p w14:paraId="48CD40CD">
      <w:pPr>
        <w:spacing w:line="360" w:lineRule="auto"/>
        <w:ind w:firstLine="480"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3.2信誉要求：①企业、法定代表人不得为“信用中国”中失信被执行人、重大税收违法案件当事人无不良记录；②“中国政府采购网”中未被列入“政府采购严重违法失信行为记录名单”，若磋商申请人有失信行为，视为不满足资格要求，为无效投标</w:t>
      </w:r>
      <w:r>
        <w:rPr>
          <w:rFonts w:hint="eastAsia" w:asciiTheme="minorEastAsia" w:hAnsiTheme="minorEastAsia" w:eastAsiaTheme="minorEastAsia" w:cstheme="minorEastAsia"/>
          <w:color w:val="auto"/>
          <w:sz w:val="24"/>
          <w:szCs w:val="24"/>
          <w:lang w:eastAsia="zh-CN"/>
        </w:rPr>
        <w:t>。</w:t>
      </w:r>
    </w:p>
    <w:p w14:paraId="6300ACA5">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三、获取</w:t>
      </w:r>
      <w:bookmarkEnd w:id="19"/>
      <w:bookmarkEnd w:id="20"/>
      <w:bookmarkEnd w:id="21"/>
      <w:bookmarkEnd w:id="22"/>
      <w:r>
        <w:rPr>
          <w:rFonts w:hint="eastAsia" w:asciiTheme="minorEastAsia" w:hAnsiTheme="minorEastAsia" w:eastAsiaTheme="minorEastAsia" w:cstheme="minorEastAsia"/>
          <w:color w:val="auto"/>
          <w:szCs w:val="24"/>
        </w:rPr>
        <w:t>采购文件</w:t>
      </w:r>
      <w:bookmarkEnd w:id="23"/>
    </w:p>
    <w:p w14:paraId="14944FBF">
      <w:pPr>
        <w:spacing w:line="360" w:lineRule="auto"/>
        <w:ind w:firstLine="540"/>
        <w:rPr>
          <w:rFonts w:asciiTheme="minorEastAsia" w:hAnsiTheme="minorEastAsia" w:eastAsiaTheme="minorEastAsia" w:cstheme="minorEastAsia"/>
          <w:color w:val="auto"/>
          <w:sz w:val="24"/>
          <w:szCs w:val="24"/>
        </w:rPr>
      </w:pPr>
      <w:bookmarkStart w:id="24" w:name="_Toc17586"/>
      <w:r>
        <w:rPr>
          <w:rFonts w:hint="eastAsia" w:asciiTheme="minorEastAsia" w:hAnsiTheme="minorEastAsia" w:eastAsiaTheme="minorEastAsia" w:cstheme="minorEastAsia"/>
          <w:color w:val="auto"/>
          <w:sz w:val="24"/>
          <w:szCs w:val="24"/>
        </w:rPr>
        <w:t>时间：</w:t>
      </w:r>
      <w:r>
        <w:rPr>
          <w:rFonts w:hint="eastAsia" w:asciiTheme="minorEastAsia" w:hAnsiTheme="minorEastAsia" w:eastAsiaTheme="minorEastAsia" w:cstheme="minorEastAsia"/>
          <w:color w:val="auto"/>
          <w:sz w:val="24"/>
          <w:szCs w:val="24"/>
        </w:rPr>
        <w:t>2025年0</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01</w:t>
      </w:r>
      <w:r>
        <w:rPr>
          <w:rFonts w:hint="eastAsia" w:asciiTheme="minorEastAsia" w:hAnsiTheme="minorEastAsia" w:eastAsiaTheme="minorEastAsia" w:cstheme="minorEastAsia"/>
          <w:color w:val="auto"/>
          <w:sz w:val="24"/>
          <w:szCs w:val="24"/>
        </w:rPr>
        <w:t>日至2025年04月</w:t>
      </w:r>
      <w:r>
        <w:rPr>
          <w:rFonts w:hint="eastAsia" w:asciiTheme="minorEastAsia" w:hAnsiTheme="minorEastAsia" w:eastAsiaTheme="minorEastAsia" w:cstheme="minorEastAsia"/>
          <w:color w:val="auto"/>
          <w:sz w:val="24"/>
          <w:szCs w:val="24"/>
          <w:lang w:val="en-US" w:eastAsia="zh-CN"/>
        </w:rPr>
        <w:t>09</w:t>
      </w:r>
      <w:r>
        <w:rPr>
          <w:rFonts w:hint="eastAsia" w:asciiTheme="minorEastAsia" w:hAnsiTheme="minorEastAsia" w:eastAsiaTheme="minorEastAsia" w:cstheme="minorEastAsia"/>
          <w:color w:val="auto"/>
          <w:sz w:val="24"/>
          <w:szCs w:val="24"/>
        </w:rPr>
        <w:t>日</w:t>
      </w:r>
      <w:r>
        <w:rPr>
          <w:rFonts w:hint="eastAsia" w:asciiTheme="minorEastAsia" w:hAnsiTheme="minorEastAsia" w:eastAsiaTheme="minorEastAsia" w:cstheme="minorEastAsia"/>
          <w:color w:val="auto"/>
          <w:sz w:val="24"/>
          <w:szCs w:val="24"/>
        </w:rPr>
        <w:t>（北京时间，法定节假日除外）；</w:t>
      </w:r>
    </w:p>
    <w:p w14:paraId="11FE7D40">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地点：政府采购云平台（https://www.zcygov.cn/）</w:t>
      </w:r>
    </w:p>
    <w:p w14:paraId="30EF920A">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方式：1.凡有意参加投标者，须在政采云平台办理数字证书（CA），CA申领链接：</w:t>
      </w:r>
      <w:r>
        <w:rPr>
          <w:color w:val="auto"/>
        </w:rPr>
        <w:fldChar w:fldCharType="begin"/>
      </w:r>
      <w:r>
        <w:rPr>
          <w:color w:val="auto"/>
        </w:rPr>
        <w:instrText xml:space="preserve"> HYPERLINK "https://middle.zcygov.cn/ca/apply/list?_app_=zcy.sys，并在政采云绑定数字证书（CA）后在网上获取采购文件及其它采购资料，数字证书（CA）详见其办理流程。2.按上述要求获取文件的供应商视为合法获取了本项目采购文件，具备本项目的投标资格。" </w:instrText>
      </w:r>
      <w:r>
        <w:rPr>
          <w:color w:val="auto"/>
        </w:rPr>
        <w:fldChar w:fldCharType="separate"/>
      </w:r>
      <w:r>
        <w:rPr>
          <w:rFonts w:hint="eastAsia" w:asciiTheme="minorEastAsia" w:hAnsiTheme="minorEastAsia" w:eastAsiaTheme="minorEastAsia" w:cstheme="minorEastAsia"/>
          <w:color w:val="auto"/>
          <w:sz w:val="24"/>
          <w:szCs w:val="24"/>
        </w:rPr>
        <w:t>https://middle.zcygov.cn/ca/apply/list?_app_=zcy.sys，并在政采云绑定数字证书（CA）后在网上获取采购文件及其它采购资料，数字证书（CA）详见其办理流程。2.按上述要求获取文件的供应商视为合法获取了本项目采购文件，具备本项目的投标资格。</w:t>
      </w:r>
      <w:r>
        <w:rPr>
          <w:rFonts w:hint="eastAsia" w:asciiTheme="minorEastAsia" w:hAnsiTheme="minorEastAsia" w:eastAsiaTheme="minorEastAsia" w:cstheme="minorEastAsia"/>
          <w:color w:val="auto"/>
          <w:sz w:val="24"/>
          <w:szCs w:val="24"/>
        </w:rPr>
        <w:fldChar w:fldCharType="end"/>
      </w:r>
    </w:p>
    <w:p w14:paraId="1F17397A">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售价：0元</w:t>
      </w:r>
    </w:p>
    <w:p w14:paraId="512F31FA">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四、响应文件提交</w:t>
      </w:r>
      <w:bookmarkEnd w:id="24"/>
    </w:p>
    <w:p w14:paraId="29B13474">
      <w:pPr>
        <w:spacing w:line="360" w:lineRule="auto"/>
        <w:ind w:firstLine="540"/>
        <w:rPr>
          <w:rFonts w:asciiTheme="minorEastAsia" w:hAnsiTheme="minorEastAsia" w:eastAsiaTheme="minorEastAsia" w:cstheme="minorEastAsia"/>
          <w:color w:val="auto"/>
          <w:sz w:val="24"/>
          <w:szCs w:val="24"/>
        </w:rPr>
      </w:pPr>
      <w:bookmarkStart w:id="25" w:name="_Toc35393802"/>
      <w:bookmarkStart w:id="26" w:name="_Toc35393633"/>
      <w:bookmarkStart w:id="27" w:name="_Toc28359093"/>
      <w:bookmarkStart w:id="28" w:name="_Toc531"/>
      <w:bookmarkStart w:id="29" w:name="_Toc28359016"/>
      <w:r>
        <w:rPr>
          <w:rFonts w:hint="eastAsia" w:asciiTheme="minorEastAsia" w:hAnsiTheme="minorEastAsia" w:eastAsiaTheme="minorEastAsia" w:cstheme="minorEastAsia"/>
          <w:color w:val="auto"/>
          <w:sz w:val="24"/>
          <w:szCs w:val="24"/>
        </w:rPr>
        <w:t>截止时间：</w:t>
      </w:r>
      <w:r>
        <w:rPr>
          <w:rFonts w:hint="eastAsia" w:asciiTheme="minorEastAsia" w:hAnsiTheme="minorEastAsia" w:eastAsiaTheme="minorEastAsia" w:cstheme="minorEastAsia"/>
          <w:color w:val="auto"/>
          <w:sz w:val="24"/>
          <w:szCs w:val="24"/>
        </w:rPr>
        <w:t>2025年04月</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rPr>
        <w:t>日14时30分</w:t>
      </w:r>
      <w:r>
        <w:rPr>
          <w:rFonts w:hint="eastAsia" w:asciiTheme="minorEastAsia" w:hAnsiTheme="minorEastAsia" w:eastAsiaTheme="minorEastAsia" w:cstheme="minorEastAsia"/>
          <w:color w:val="auto"/>
          <w:sz w:val="24"/>
          <w:szCs w:val="24"/>
        </w:rPr>
        <w:t>（北京时间）</w:t>
      </w:r>
    </w:p>
    <w:p w14:paraId="091CB6B3">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地点：请登录政采云投标客户端投标</w:t>
      </w:r>
    </w:p>
    <w:p w14:paraId="2B33669C">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五、开启</w:t>
      </w:r>
      <w:bookmarkEnd w:id="25"/>
      <w:bookmarkEnd w:id="26"/>
      <w:bookmarkEnd w:id="27"/>
      <w:bookmarkEnd w:id="28"/>
      <w:bookmarkEnd w:id="29"/>
    </w:p>
    <w:p w14:paraId="0C0135BD">
      <w:pPr>
        <w:spacing w:line="360" w:lineRule="auto"/>
        <w:ind w:firstLine="540"/>
        <w:rPr>
          <w:rFonts w:asciiTheme="minorEastAsia" w:hAnsiTheme="minorEastAsia" w:eastAsiaTheme="minorEastAsia" w:cstheme="minorEastAsia"/>
          <w:color w:val="auto"/>
          <w:sz w:val="24"/>
          <w:szCs w:val="24"/>
        </w:rPr>
      </w:pPr>
      <w:bookmarkStart w:id="30" w:name="_Toc35393634"/>
      <w:bookmarkStart w:id="31" w:name="_Toc28359094"/>
      <w:bookmarkStart w:id="32" w:name="_Toc6031"/>
      <w:bookmarkStart w:id="33" w:name="_Toc28359017"/>
      <w:bookmarkStart w:id="34" w:name="_Toc35393803"/>
      <w:r>
        <w:rPr>
          <w:rFonts w:hint="eastAsia" w:asciiTheme="minorEastAsia" w:hAnsiTheme="minorEastAsia" w:eastAsiaTheme="minorEastAsia" w:cstheme="minorEastAsia"/>
          <w:color w:val="auto"/>
          <w:sz w:val="24"/>
          <w:szCs w:val="24"/>
        </w:rPr>
        <w:t>时间：</w:t>
      </w:r>
      <w:r>
        <w:rPr>
          <w:rFonts w:hint="eastAsia" w:asciiTheme="minorEastAsia" w:hAnsiTheme="minorEastAsia" w:eastAsiaTheme="minorEastAsia" w:cstheme="minorEastAsia"/>
          <w:color w:val="auto"/>
          <w:sz w:val="24"/>
          <w:szCs w:val="24"/>
        </w:rPr>
        <w:t>2025年04月</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rPr>
        <w:t>日14时30分</w:t>
      </w:r>
      <w:r>
        <w:rPr>
          <w:rFonts w:hint="eastAsia" w:asciiTheme="minorEastAsia" w:hAnsiTheme="minorEastAsia" w:eastAsiaTheme="minorEastAsia" w:cstheme="minorEastAsia"/>
          <w:color w:val="auto"/>
          <w:sz w:val="24"/>
          <w:szCs w:val="24"/>
        </w:rPr>
        <w:t>（北京时间）</w:t>
      </w:r>
    </w:p>
    <w:p w14:paraId="2785E30B">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地点：“政采云”平台网上开标(供应商无需到现场）</w:t>
      </w:r>
    </w:p>
    <w:p w14:paraId="417E8C54">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六、公告期限</w:t>
      </w:r>
      <w:bookmarkEnd w:id="30"/>
      <w:bookmarkEnd w:id="31"/>
      <w:bookmarkEnd w:id="32"/>
      <w:bookmarkEnd w:id="33"/>
      <w:bookmarkEnd w:id="34"/>
    </w:p>
    <w:p w14:paraId="6C39CB18">
      <w:pPr>
        <w:spacing w:line="360" w:lineRule="auto"/>
        <w:ind w:firstLine="480" w:firstLineChars="200"/>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自本公告发布之日起5个工作日。</w:t>
      </w:r>
      <w:bookmarkStart w:id="35" w:name="_Toc35393635"/>
      <w:bookmarkStart w:id="36" w:name="_Toc35393804"/>
    </w:p>
    <w:p w14:paraId="42887738">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七、其他补充事宜</w:t>
      </w:r>
      <w:bookmarkEnd w:id="35"/>
      <w:bookmarkEnd w:id="36"/>
      <w:bookmarkStart w:id="37" w:name="_Toc8783"/>
      <w:bookmarkStart w:id="38" w:name="_Toc18378"/>
      <w:bookmarkStart w:id="39" w:name="_Toc28359095"/>
      <w:bookmarkStart w:id="40" w:name="_Toc2331"/>
      <w:bookmarkStart w:id="41" w:name="_Toc35393636"/>
      <w:bookmarkStart w:id="42" w:name="_Toc35393805"/>
      <w:bookmarkStart w:id="43" w:name="_Toc28359018"/>
    </w:p>
    <w:p w14:paraId="4B8C8687">
      <w:pPr>
        <w:spacing w:line="360" w:lineRule="auto"/>
        <w:ind w:left="540" w:firstLine="480" w:firstLineChars="200"/>
        <w:rPr>
          <w:color w:val="auto"/>
        </w:rPr>
      </w:pPr>
      <w:r>
        <w:rPr>
          <w:rFonts w:hint="eastAsia" w:asciiTheme="minorEastAsia" w:hAnsiTheme="minorEastAsia" w:eastAsiaTheme="minorEastAsia" w:cstheme="minorEastAsia"/>
          <w:color w:val="auto"/>
          <w:sz w:val="24"/>
          <w:szCs w:val="24"/>
        </w:rPr>
        <w:t>本次招标公告在云南省政府采购网及政府采购云平台发布，采购单位及采购代理机构对其他网站或媒体转载的公告及公告内容不承担任何责任。</w:t>
      </w:r>
      <w:bookmarkEnd w:id="37"/>
      <w:bookmarkEnd w:id="38"/>
    </w:p>
    <w:p w14:paraId="058D30BE">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八、凡对本次采购提出询问，请按以下方式联系。</w:t>
      </w:r>
      <w:bookmarkEnd w:id="39"/>
      <w:bookmarkEnd w:id="40"/>
      <w:bookmarkEnd w:id="41"/>
      <w:bookmarkEnd w:id="42"/>
      <w:bookmarkEnd w:id="43"/>
    </w:p>
    <w:p w14:paraId="27BB0BBB">
      <w:pPr>
        <w:spacing w:line="360" w:lineRule="auto"/>
        <w:ind w:firstLine="540"/>
        <w:rPr>
          <w:rFonts w:asciiTheme="minorEastAsia" w:hAnsiTheme="minorEastAsia" w:eastAsiaTheme="minorEastAsia" w:cstheme="minorEastAsia"/>
          <w:color w:val="auto"/>
          <w:sz w:val="24"/>
          <w:szCs w:val="24"/>
        </w:rPr>
      </w:pPr>
      <w:bookmarkStart w:id="44" w:name="_Toc28359019"/>
      <w:bookmarkStart w:id="45" w:name="_Toc35393806"/>
      <w:bookmarkStart w:id="46" w:name="_Toc35393637"/>
      <w:bookmarkStart w:id="47" w:name="_Toc28359096"/>
      <w:bookmarkStart w:id="48" w:name="_Toc24028"/>
      <w:r>
        <w:rPr>
          <w:rFonts w:hint="eastAsia" w:asciiTheme="minorEastAsia" w:hAnsiTheme="minorEastAsia" w:eastAsiaTheme="minorEastAsia" w:cstheme="minorEastAsia"/>
          <w:color w:val="auto"/>
          <w:sz w:val="24"/>
          <w:szCs w:val="24"/>
        </w:rPr>
        <w:t>1.采购人信息</w:t>
      </w:r>
      <w:bookmarkEnd w:id="44"/>
      <w:bookmarkEnd w:id="45"/>
      <w:bookmarkEnd w:id="46"/>
      <w:bookmarkEnd w:id="47"/>
    </w:p>
    <w:p w14:paraId="06CF6F4A">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采购单位名称：</w:t>
      </w:r>
      <w:r>
        <w:rPr>
          <w:rFonts w:hint="eastAsia" w:asciiTheme="minorEastAsia" w:hAnsiTheme="minorEastAsia" w:eastAsiaTheme="minorEastAsia" w:cstheme="minorEastAsia"/>
          <w:color w:val="auto"/>
          <w:sz w:val="24"/>
          <w:szCs w:val="24"/>
        </w:rPr>
        <w:t>泸西县妇幼保健院</w:t>
      </w:r>
    </w:p>
    <w:p w14:paraId="6013B753">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    址：</w:t>
      </w:r>
      <w:r>
        <w:rPr>
          <w:rFonts w:hint="eastAsia" w:asciiTheme="minorEastAsia" w:hAnsiTheme="minorEastAsia" w:eastAsiaTheme="minorEastAsia" w:cstheme="minorEastAsia"/>
          <w:color w:val="auto"/>
          <w:sz w:val="24"/>
          <w:szCs w:val="24"/>
        </w:rPr>
        <w:t>泸西县妇幼保健院</w:t>
      </w:r>
    </w:p>
    <w:p w14:paraId="364F6414">
      <w:pPr>
        <w:spacing w:line="360" w:lineRule="auto"/>
        <w:ind w:firstLine="540"/>
        <w:rPr>
          <w:rFonts w:ascii="宋体" w:hAnsi="宋体" w:cs="宋体" w:eastAsiaTheme="minorEastAsia"/>
          <w:color w:val="auto"/>
          <w:sz w:val="24"/>
          <w:szCs w:val="24"/>
        </w:rPr>
      </w:pPr>
      <w:r>
        <w:rPr>
          <w:rFonts w:hint="eastAsia" w:asciiTheme="minorEastAsia" w:hAnsiTheme="minorEastAsia" w:eastAsiaTheme="minorEastAsia" w:cstheme="minorEastAsia"/>
          <w:color w:val="auto"/>
          <w:sz w:val="24"/>
          <w:szCs w:val="24"/>
        </w:rPr>
        <w:t>联系方式：</w:t>
      </w:r>
      <w:bookmarkStart w:id="49" w:name="_Toc28359097"/>
      <w:bookmarkStart w:id="50" w:name="_Toc35393807"/>
      <w:bookmarkStart w:id="51" w:name="_Toc35393638"/>
      <w:bookmarkStart w:id="52" w:name="_Toc28359020"/>
      <w:r>
        <w:rPr>
          <w:rFonts w:hint="eastAsia" w:asciiTheme="minorEastAsia" w:hAnsiTheme="minorEastAsia" w:eastAsiaTheme="minorEastAsia" w:cstheme="minorEastAsia"/>
          <w:color w:val="auto"/>
          <w:sz w:val="24"/>
          <w:szCs w:val="24"/>
        </w:rPr>
        <w:t>0873-6633966</w:t>
      </w:r>
    </w:p>
    <w:p w14:paraId="36C3BBFF">
      <w:pPr>
        <w:spacing w:line="360" w:lineRule="auto"/>
        <w:ind w:firstLine="540"/>
        <w:rPr>
          <w:rFonts w:ascii="宋体" w:hAnsi="宋体" w:cs="宋体"/>
          <w:color w:val="auto"/>
          <w:sz w:val="24"/>
          <w:szCs w:val="24"/>
        </w:rPr>
      </w:pPr>
    </w:p>
    <w:p w14:paraId="7634741A">
      <w:pPr>
        <w:spacing w:line="360" w:lineRule="auto"/>
        <w:ind w:firstLine="540"/>
        <w:rPr>
          <w:rFonts w:ascii="宋体" w:hAnsi="宋体" w:cs="宋体"/>
          <w:color w:val="auto"/>
          <w:sz w:val="24"/>
          <w:szCs w:val="24"/>
        </w:rPr>
      </w:pPr>
      <w:r>
        <w:rPr>
          <w:rFonts w:hint="eastAsia" w:ascii="宋体" w:hAnsi="宋体" w:cs="宋体"/>
          <w:color w:val="auto"/>
          <w:sz w:val="24"/>
          <w:szCs w:val="24"/>
        </w:rPr>
        <w:t>2.采购代理机构信息</w:t>
      </w:r>
      <w:bookmarkEnd w:id="49"/>
      <w:bookmarkEnd w:id="50"/>
      <w:bookmarkEnd w:id="51"/>
      <w:bookmarkEnd w:id="52"/>
    </w:p>
    <w:p w14:paraId="44483455">
      <w:pPr>
        <w:spacing w:line="360" w:lineRule="auto"/>
        <w:ind w:firstLine="540"/>
        <w:rPr>
          <w:rFonts w:ascii="宋体" w:hAnsi="宋体" w:cs="宋体"/>
          <w:color w:val="auto"/>
          <w:sz w:val="24"/>
          <w:szCs w:val="24"/>
        </w:rPr>
      </w:pPr>
      <w:r>
        <w:rPr>
          <w:rFonts w:hint="eastAsia" w:ascii="宋体" w:hAnsi="宋体" w:cs="宋体"/>
          <w:color w:val="auto"/>
          <w:sz w:val="24"/>
          <w:szCs w:val="24"/>
        </w:rPr>
        <w:t>名    称：泸西县政府采购和出让中心</w:t>
      </w:r>
    </w:p>
    <w:p w14:paraId="7DC4D5B3">
      <w:pPr>
        <w:spacing w:line="360" w:lineRule="auto"/>
        <w:ind w:firstLine="540"/>
        <w:rPr>
          <w:rFonts w:ascii="宋体" w:hAnsi="宋体" w:cs="宋体"/>
          <w:color w:val="auto"/>
          <w:sz w:val="24"/>
          <w:szCs w:val="24"/>
        </w:rPr>
      </w:pPr>
      <w:r>
        <w:rPr>
          <w:rFonts w:hint="eastAsia" w:ascii="宋体" w:hAnsi="宋体" w:cs="宋体"/>
          <w:color w:val="auto"/>
          <w:sz w:val="24"/>
          <w:szCs w:val="24"/>
        </w:rPr>
        <w:t>地　　址：泸西县中枢镇人民路8号</w:t>
      </w:r>
    </w:p>
    <w:p w14:paraId="3B3BB526">
      <w:pPr>
        <w:spacing w:line="360" w:lineRule="auto"/>
        <w:ind w:firstLine="540"/>
        <w:rPr>
          <w:rFonts w:ascii="宋体" w:hAnsi="宋体" w:cs="宋体"/>
          <w:color w:val="auto"/>
          <w:sz w:val="24"/>
          <w:szCs w:val="24"/>
        </w:rPr>
      </w:pPr>
      <w:r>
        <w:rPr>
          <w:rFonts w:hint="eastAsia" w:ascii="宋体" w:hAnsi="宋体" w:cs="宋体"/>
          <w:color w:val="auto"/>
          <w:sz w:val="24"/>
          <w:szCs w:val="24"/>
        </w:rPr>
        <w:t>联系方式：0873-</w:t>
      </w:r>
      <w:bookmarkStart w:id="53" w:name="_Toc28359098"/>
      <w:bookmarkStart w:id="54" w:name="_Toc35393808"/>
      <w:bookmarkStart w:id="55" w:name="_Toc35393639"/>
      <w:bookmarkStart w:id="56" w:name="_Toc28359021"/>
      <w:r>
        <w:rPr>
          <w:rFonts w:hint="eastAsia" w:ascii="宋体" w:hAnsi="宋体" w:cs="宋体"/>
          <w:color w:val="auto"/>
          <w:sz w:val="24"/>
          <w:szCs w:val="24"/>
        </w:rPr>
        <w:t>3149386</w:t>
      </w:r>
    </w:p>
    <w:p w14:paraId="76D42412">
      <w:pPr>
        <w:spacing w:line="360" w:lineRule="auto"/>
        <w:ind w:firstLine="540"/>
        <w:rPr>
          <w:rFonts w:ascii="宋体" w:hAnsi="宋体" w:cs="宋体"/>
          <w:color w:val="auto"/>
          <w:sz w:val="24"/>
          <w:szCs w:val="24"/>
        </w:rPr>
      </w:pPr>
    </w:p>
    <w:p w14:paraId="26B71112">
      <w:pPr>
        <w:spacing w:line="360" w:lineRule="auto"/>
        <w:ind w:firstLine="540"/>
        <w:rPr>
          <w:rFonts w:ascii="宋体" w:hAnsi="宋体" w:cs="宋体"/>
          <w:color w:val="auto"/>
          <w:sz w:val="24"/>
          <w:szCs w:val="24"/>
        </w:rPr>
      </w:pPr>
      <w:r>
        <w:rPr>
          <w:rFonts w:hint="eastAsia" w:ascii="宋体" w:hAnsi="宋体" w:cs="宋体"/>
          <w:color w:val="auto"/>
          <w:sz w:val="24"/>
          <w:szCs w:val="24"/>
        </w:rPr>
        <w:t>3.项目联系方式</w:t>
      </w:r>
      <w:bookmarkEnd w:id="53"/>
      <w:bookmarkEnd w:id="54"/>
      <w:bookmarkEnd w:id="55"/>
      <w:bookmarkEnd w:id="56"/>
    </w:p>
    <w:p w14:paraId="42B77064">
      <w:pPr>
        <w:spacing w:line="360" w:lineRule="auto"/>
        <w:ind w:firstLine="540"/>
        <w:rPr>
          <w:rFonts w:hint="eastAsia" w:ascii="宋体" w:hAnsi="宋体" w:eastAsia="宋体" w:cs="宋体"/>
          <w:color w:val="auto"/>
          <w:sz w:val="24"/>
          <w:szCs w:val="24"/>
          <w:lang w:eastAsia="zh-CN"/>
        </w:rPr>
      </w:pPr>
      <w:r>
        <w:rPr>
          <w:rFonts w:hint="eastAsia" w:ascii="宋体" w:hAnsi="宋体" w:cs="宋体"/>
          <w:color w:val="auto"/>
          <w:sz w:val="24"/>
          <w:szCs w:val="24"/>
        </w:rPr>
        <w:t>项目联系人：熊师</w:t>
      </w:r>
      <w:r>
        <w:rPr>
          <w:rFonts w:hint="eastAsia" w:ascii="宋体" w:hAnsi="宋体" w:cs="宋体"/>
          <w:color w:val="auto"/>
          <w:sz w:val="24"/>
          <w:szCs w:val="24"/>
          <w:lang w:eastAsia="zh-CN"/>
        </w:rPr>
        <w:t>、王师</w:t>
      </w:r>
    </w:p>
    <w:p w14:paraId="5EC7EB75">
      <w:pPr>
        <w:spacing w:line="360" w:lineRule="auto"/>
        <w:ind w:firstLine="54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　　  话：13769346538</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color w:val="auto"/>
          <w:sz w:val="24"/>
          <w:szCs w:val="24"/>
        </w:rPr>
        <w:t>13887562468</w:t>
      </w:r>
    </w:p>
    <w:p w14:paraId="7922237C">
      <w:pPr>
        <w:pStyle w:val="3"/>
        <w:jc w:val="right"/>
        <w:rPr>
          <w:rFonts w:asciiTheme="minorEastAsia" w:hAnsiTheme="minorEastAsia" w:eastAsiaTheme="minorEastAsia" w:cstheme="minorEastAsia"/>
          <w:b w:val="0"/>
          <w:color w:val="auto"/>
          <w:sz w:val="24"/>
          <w:szCs w:val="24"/>
        </w:rPr>
      </w:pPr>
      <w:bookmarkStart w:id="57" w:name="_Toc28682"/>
      <w:bookmarkStart w:id="58" w:name="_Toc20067"/>
    </w:p>
    <w:p w14:paraId="7FC43F5B">
      <w:pPr>
        <w:pStyle w:val="3"/>
        <w:jc w:val="right"/>
        <w:rPr>
          <w:rFonts w:hint="eastAsia" w:asciiTheme="minorEastAsia" w:hAnsiTheme="minorEastAsia" w:eastAsiaTheme="minorEastAsia" w:cstheme="minorEastAsia"/>
          <w:b w:val="0"/>
          <w:color w:val="auto"/>
          <w:kern w:val="2"/>
          <w:sz w:val="24"/>
          <w:szCs w:val="24"/>
          <w:lang w:val="en-US" w:eastAsia="zh-CN" w:bidi="ar-SA"/>
        </w:rPr>
      </w:pPr>
      <w:bookmarkStart w:id="59" w:name="_Toc8659"/>
      <w:bookmarkStart w:id="60" w:name="_Toc3453"/>
      <w:r>
        <w:rPr>
          <w:rFonts w:hint="eastAsia" w:asciiTheme="minorEastAsia" w:hAnsiTheme="minorEastAsia" w:eastAsiaTheme="minorEastAsia" w:cstheme="minorEastAsia"/>
          <w:b w:val="0"/>
          <w:color w:val="auto"/>
          <w:kern w:val="2"/>
          <w:sz w:val="24"/>
          <w:szCs w:val="24"/>
          <w:lang w:val="en-US" w:eastAsia="zh-CN" w:bidi="ar-SA"/>
        </w:rPr>
        <w:t>2025年03月31日</w:t>
      </w:r>
      <w:bookmarkEnd w:id="57"/>
      <w:bookmarkEnd w:id="58"/>
      <w:bookmarkEnd w:id="59"/>
      <w:bookmarkEnd w:id="60"/>
    </w:p>
    <w:p w14:paraId="0F18FB6B">
      <w:pPr>
        <w:pStyle w:val="3"/>
        <w:rPr>
          <w:color w:val="auto"/>
        </w:rPr>
      </w:pPr>
    </w:p>
    <w:p w14:paraId="2562E50D">
      <w:pPr>
        <w:rPr>
          <w:color w:val="auto"/>
        </w:rPr>
      </w:pPr>
    </w:p>
    <w:p w14:paraId="2AEDF852">
      <w:pPr>
        <w:rPr>
          <w:color w:val="auto"/>
        </w:rPr>
      </w:pPr>
    </w:p>
    <w:p w14:paraId="237E030E">
      <w:pPr>
        <w:rPr>
          <w:color w:val="auto"/>
        </w:rPr>
      </w:pPr>
    </w:p>
    <w:p w14:paraId="5695274A">
      <w:pPr>
        <w:rPr>
          <w:color w:val="auto"/>
        </w:rPr>
      </w:pPr>
    </w:p>
    <w:p w14:paraId="7784D24D">
      <w:pPr>
        <w:rPr>
          <w:color w:val="auto"/>
        </w:rPr>
      </w:pPr>
    </w:p>
    <w:p w14:paraId="73E10478">
      <w:pPr>
        <w:rPr>
          <w:color w:val="auto"/>
        </w:rPr>
      </w:pPr>
    </w:p>
    <w:p w14:paraId="2AF99933">
      <w:pPr>
        <w:rPr>
          <w:color w:val="auto"/>
        </w:rPr>
      </w:pPr>
    </w:p>
    <w:p w14:paraId="3083CD37">
      <w:pPr>
        <w:rPr>
          <w:color w:val="auto"/>
        </w:rPr>
      </w:pPr>
    </w:p>
    <w:p w14:paraId="1BCA66F5">
      <w:pPr>
        <w:rPr>
          <w:color w:val="auto"/>
        </w:rPr>
      </w:pPr>
    </w:p>
    <w:p w14:paraId="3BAEC121">
      <w:pPr>
        <w:rPr>
          <w:rFonts w:hint="eastAsia"/>
          <w:color w:val="auto"/>
        </w:rPr>
      </w:pPr>
    </w:p>
    <w:p w14:paraId="20988B8C">
      <w:pPr>
        <w:pStyle w:val="2"/>
        <w:rPr>
          <w:rFonts w:hint="eastAsia"/>
          <w:color w:val="auto"/>
        </w:rPr>
      </w:pPr>
    </w:p>
    <w:p w14:paraId="72AE2C41">
      <w:pPr>
        <w:pStyle w:val="2"/>
        <w:rPr>
          <w:color w:val="auto"/>
        </w:rPr>
      </w:pPr>
    </w:p>
    <w:p w14:paraId="64D11F44">
      <w:pPr>
        <w:rPr>
          <w:color w:val="auto"/>
        </w:rPr>
      </w:pPr>
    </w:p>
    <w:p w14:paraId="4200024A">
      <w:pPr>
        <w:pStyle w:val="3"/>
        <w:rPr>
          <w:color w:val="auto"/>
        </w:rPr>
      </w:pPr>
      <w:bookmarkStart w:id="61" w:name="_Toc829"/>
      <w:r>
        <w:rPr>
          <w:rFonts w:hint="eastAsia"/>
          <w:color w:val="auto"/>
        </w:rPr>
        <w:t>第二章 磋商申请人须知</w:t>
      </w:r>
      <w:bookmarkEnd w:id="48"/>
      <w:bookmarkEnd w:id="61"/>
    </w:p>
    <w:p w14:paraId="1DAA040C">
      <w:pPr>
        <w:pStyle w:val="4"/>
        <w:spacing w:before="240" w:after="240" w:line="440" w:lineRule="exact"/>
        <w:ind w:firstLine="3092" w:firstLineChars="1100"/>
        <w:jc w:val="both"/>
        <w:rPr>
          <w:rFonts w:ascii="宋体" w:hAnsi="宋体" w:cs="宋体"/>
          <w:color w:val="auto"/>
          <w:sz w:val="28"/>
          <w:szCs w:val="28"/>
        </w:rPr>
      </w:pPr>
      <w:bookmarkStart w:id="62" w:name="_Toc14720"/>
      <w:bookmarkStart w:id="63" w:name="_Toc6803"/>
      <w:bookmarkStart w:id="64" w:name="_Toc15529"/>
      <w:bookmarkStart w:id="65" w:name="_Toc427339167"/>
      <w:bookmarkStart w:id="66" w:name="_Toc10144"/>
      <w:bookmarkStart w:id="67" w:name="_Toc373844095"/>
      <w:bookmarkStart w:id="68" w:name="_Toc24877"/>
      <w:bookmarkStart w:id="69" w:name="_Toc1539"/>
      <w:bookmarkStart w:id="70" w:name="_Toc373844162"/>
      <w:bookmarkStart w:id="71" w:name="_Toc762"/>
      <w:bookmarkStart w:id="72" w:name="_Toc20627"/>
      <w:bookmarkStart w:id="73" w:name="_Toc427306786"/>
      <w:bookmarkStart w:id="74" w:name="_Toc86124039"/>
      <w:bookmarkStart w:id="75" w:name="_Toc348011922"/>
      <w:bookmarkStart w:id="76" w:name="_Toc32523"/>
      <w:r>
        <w:rPr>
          <w:rFonts w:hint="eastAsia" w:ascii="宋体" w:hAnsi="宋体" w:cs="宋体"/>
          <w:color w:val="auto"/>
          <w:sz w:val="28"/>
          <w:szCs w:val="28"/>
        </w:rPr>
        <w:t>磋商申请人须知前附表</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tbl>
      <w:tblPr>
        <w:tblStyle w:val="44"/>
        <w:tblW w:w="9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2265"/>
        <w:gridCol w:w="6859"/>
      </w:tblGrid>
      <w:tr w14:paraId="6531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4A2FE376">
            <w:pPr>
              <w:pStyle w:val="24"/>
              <w:spacing w:line="360" w:lineRule="exact"/>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条款号</w:t>
            </w:r>
          </w:p>
        </w:tc>
        <w:tc>
          <w:tcPr>
            <w:tcW w:w="2265" w:type="dxa"/>
            <w:vAlign w:val="center"/>
          </w:tcPr>
          <w:p w14:paraId="66B0BFB7">
            <w:pPr>
              <w:pStyle w:val="24"/>
              <w:spacing w:line="360" w:lineRule="exact"/>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条 款 名 称</w:t>
            </w:r>
          </w:p>
        </w:tc>
        <w:tc>
          <w:tcPr>
            <w:tcW w:w="6859" w:type="dxa"/>
            <w:vAlign w:val="center"/>
          </w:tcPr>
          <w:p w14:paraId="5A922FA4">
            <w:pPr>
              <w:pStyle w:val="24"/>
              <w:spacing w:line="360" w:lineRule="exact"/>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编 列 内 容</w:t>
            </w:r>
          </w:p>
        </w:tc>
      </w:tr>
      <w:tr w14:paraId="1364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58" w:type="dxa"/>
            <w:vMerge w:val="restart"/>
            <w:vAlign w:val="center"/>
          </w:tcPr>
          <w:p w14:paraId="3C2FD484">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2265" w:type="dxa"/>
            <w:vAlign w:val="center"/>
          </w:tcPr>
          <w:p w14:paraId="4D80861A">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采购单位</w:t>
            </w:r>
          </w:p>
        </w:tc>
        <w:tc>
          <w:tcPr>
            <w:tcW w:w="6859" w:type="dxa"/>
            <w:vAlign w:val="center"/>
          </w:tcPr>
          <w:p w14:paraId="0740B8C3">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采购单位名称：</w:t>
            </w:r>
            <w:r>
              <w:rPr>
                <w:rFonts w:hint="eastAsia" w:asciiTheme="minorEastAsia" w:hAnsiTheme="minorEastAsia" w:eastAsiaTheme="minorEastAsia" w:cstheme="minorEastAsia"/>
                <w:color w:val="auto"/>
                <w:kern w:val="2"/>
                <w:sz w:val="24"/>
                <w:szCs w:val="24"/>
                <w:lang w:val="en-US" w:eastAsia="zh-CN" w:bidi="ar-SA"/>
              </w:rPr>
              <w:t>泸西县妇幼保健院</w:t>
            </w:r>
          </w:p>
          <w:p w14:paraId="7AB24E67">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eastAsiaTheme="minorEastAsia" w:cstheme="minorEastAsia"/>
                <w:color w:val="auto"/>
                <w:kern w:val="2"/>
                <w:sz w:val="24"/>
                <w:szCs w:val="24"/>
                <w:lang w:val="en-US" w:eastAsia="zh-CN" w:bidi="ar-SA"/>
              </w:rPr>
              <w:t>李  师</w:t>
            </w:r>
            <w:r>
              <w:rPr>
                <w:rFonts w:hint="eastAsia" w:asciiTheme="minorEastAsia" w:hAnsiTheme="minorEastAsia" w:eastAsiaTheme="minorEastAsia" w:cstheme="minorEastAsia"/>
                <w:color w:val="auto"/>
                <w:sz w:val="24"/>
                <w:szCs w:val="24"/>
              </w:rPr>
              <w:t xml:space="preserve"> </w:t>
            </w:r>
          </w:p>
          <w:p w14:paraId="23B15F87">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联系方式：</w:t>
            </w:r>
            <w:r>
              <w:rPr>
                <w:rFonts w:hint="eastAsia" w:asciiTheme="minorEastAsia" w:hAnsiTheme="minorEastAsia" w:eastAsiaTheme="minorEastAsia" w:cstheme="minorEastAsia"/>
                <w:color w:val="auto"/>
                <w:kern w:val="2"/>
                <w:sz w:val="24"/>
                <w:szCs w:val="24"/>
                <w:lang w:val="en-US" w:eastAsia="zh-CN" w:bidi="ar-SA"/>
              </w:rPr>
              <w:t>0873-6633966</w:t>
            </w:r>
          </w:p>
        </w:tc>
      </w:tr>
      <w:tr w14:paraId="7B0C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vAlign w:val="center"/>
          </w:tcPr>
          <w:p w14:paraId="671198A9">
            <w:pPr>
              <w:spacing w:line="360" w:lineRule="exact"/>
              <w:jc w:val="center"/>
              <w:rPr>
                <w:rFonts w:asciiTheme="minorEastAsia" w:hAnsiTheme="minorEastAsia" w:eastAsiaTheme="minorEastAsia" w:cstheme="minorEastAsia"/>
                <w:color w:val="auto"/>
                <w:sz w:val="24"/>
                <w:szCs w:val="24"/>
              </w:rPr>
            </w:pPr>
          </w:p>
        </w:tc>
        <w:tc>
          <w:tcPr>
            <w:tcW w:w="2265" w:type="dxa"/>
            <w:vAlign w:val="center"/>
          </w:tcPr>
          <w:p w14:paraId="3B728942">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采购代理机构</w:t>
            </w:r>
          </w:p>
        </w:tc>
        <w:tc>
          <w:tcPr>
            <w:tcW w:w="6859" w:type="dxa"/>
            <w:vAlign w:val="center"/>
          </w:tcPr>
          <w:p w14:paraId="3E4AB2D7">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采购代理机构：泸西县政府采购和出让中心</w:t>
            </w:r>
          </w:p>
          <w:p w14:paraId="094B5E1B">
            <w:pPr>
              <w:pStyle w:val="24"/>
              <w:spacing w:line="360" w:lineRule="exact"/>
              <w:jc w:val="left"/>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联系人：熊师</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王师</w:t>
            </w:r>
          </w:p>
          <w:p w14:paraId="1B476AED">
            <w:pPr>
              <w:pStyle w:val="24"/>
              <w:spacing w:line="360" w:lineRule="exact"/>
              <w:jc w:val="left"/>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联系方式：0873-3149386、13769346538</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13887562468</w:t>
            </w:r>
          </w:p>
        </w:tc>
      </w:tr>
      <w:tr w14:paraId="33570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vAlign w:val="center"/>
          </w:tcPr>
          <w:p w14:paraId="1F30B02F">
            <w:pPr>
              <w:spacing w:line="360" w:lineRule="exact"/>
              <w:jc w:val="center"/>
              <w:rPr>
                <w:rFonts w:asciiTheme="minorEastAsia" w:hAnsiTheme="minorEastAsia" w:eastAsiaTheme="minorEastAsia" w:cstheme="minorEastAsia"/>
                <w:color w:val="auto"/>
                <w:sz w:val="24"/>
                <w:szCs w:val="24"/>
              </w:rPr>
            </w:pPr>
          </w:p>
        </w:tc>
        <w:tc>
          <w:tcPr>
            <w:tcW w:w="2265" w:type="dxa"/>
            <w:vAlign w:val="center"/>
          </w:tcPr>
          <w:p w14:paraId="4685166F">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p>
        </w:tc>
        <w:tc>
          <w:tcPr>
            <w:tcW w:w="6859" w:type="dxa"/>
            <w:vAlign w:val="center"/>
          </w:tcPr>
          <w:p w14:paraId="744F8EFD">
            <w:pPr>
              <w:pStyle w:val="24"/>
              <w:spacing w:line="360" w:lineRule="exact"/>
              <w:jc w:val="left"/>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kern w:val="2"/>
                <w:sz w:val="24"/>
                <w:szCs w:val="24"/>
                <w:lang w:val="en-US" w:eastAsia="zh-CN" w:bidi="ar-SA"/>
              </w:rPr>
              <w:t>泸西县妇幼保健院2025年物业管理服务</w:t>
            </w:r>
          </w:p>
        </w:tc>
      </w:tr>
      <w:tr w14:paraId="4CBF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Merge w:val="continue"/>
            <w:vAlign w:val="center"/>
          </w:tcPr>
          <w:p w14:paraId="0576D9C2">
            <w:pPr>
              <w:spacing w:line="360" w:lineRule="exact"/>
              <w:jc w:val="center"/>
              <w:rPr>
                <w:rFonts w:asciiTheme="minorEastAsia" w:hAnsiTheme="minorEastAsia" w:eastAsiaTheme="minorEastAsia" w:cstheme="minorEastAsia"/>
                <w:color w:val="auto"/>
                <w:sz w:val="24"/>
                <w:szCs w:val="24"/>
              </w:rPr>
            </w:pPr>
          </w:p>
        </w:tc>
        <w:tc>
          <w:tcPr>
            <w:tcW w:w="2265" w:type="dxa"/>
            <w:vAlign w:val="center"/>
          </w:tcPr>
          <w:p w14:paraId="41C66B56">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项目</w:t>
            </w:r>
            <w:r>
              <w:rPr>
                <w:rFonts w:hint="eastAsia" w:asciiTheme="minorEastAsia" w:hAnsiTheme="minorEastAsia" w:eastAsiaTheme="minorEastAsia" w:cstheme="minorEastAsia"/>
                <w:color w:val="auto"/>
                <w:sz w:val="24"/>
                <w:szCs w:val="24"/>
              </w:rPr>
              <w:t>编号</w:t>
            </w:r>
          </w:p>
        </w:tc>
        <w:tc>
          <w:tcPr>
            <w:tcW w:w="6859" w:type="dxa"/>
            <w:vAlign w:val="center"/>
          </w:tcPr>
          <w:p w14:paraId="7F863E99">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SA"/>
              </w:rPr>
              <w:t>HHZC2025-C3-00733-LXXZ-0001</w:t>
            </w:r>
          </w:p>
        </w:tc>
      </w:tr>
      <w:tr w14:paraId="1A13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Merge w:val="continue"/>
            <w:vAlign w:val="center"/>
          </w:tcPr>
          <w:p w14:paraId="68CA5E9B">
            <w:pPr>
              <w:spacing w:line="360" w:lineRule="exact"/>
              <w:jc w:val="center"/>
              <w:rPr>
                <w:rFonts w:asciiTheme="minorEastAsia" w:hAnsiTheme="minorEastAsia" w:eastAsiaTheme="minorEastAsia" w:cstheme="minorEastAsia"/>
                <w:color w:val="auto"/>
                <w:sz w:val="24"/>
                <w:szCs w:val="24"/>
              </w:rPr>
            </w:pPr>
          </w:p>
        </w:tc>
        <w:tc>
          <w:tcPr>
            <w:tcW w:w="2265" w:type="dxa"/>
            <w:vAlign w:val="center"/>
          </w:tcPr>
          <w:p w14:paraId="7476FC52">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服务地点</w:t>
            </w:r>
          </w:p>
        </w:tc>
        <w:tc>
          <w:tcPr>
            <w:tcW w:w="6859" w:type="dxa"/>
            <w:vAlign w:val="center"/>
          </w:tcPr>
          <w:p w14:paraId="390C4D44">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SA"/>
              </w:rPr>
              <w:t>泸西县妇幼保健院</w:t>
            </w:r>
          </w:p>
        </w:tc>
      </w:tr>
      <w:tr w14:paraId="6355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5FD83228">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2265" w:type="dxa"/>
            <w:vAlign w:val="center"/>
          </w:tcPr>
          <w:p w14:paraId="2291A400">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项目总投资</w:t>
            </w:r>
          </w:p>
        </w:tc>
        <w:tc>
          <w:tcPr>
            <w:tcW w:w="6859" w:type="dxa"/>
            <w:vAlign w:val="center"/>
          </w:tcPr>
          <w:p w14:paraId="7B0A3DD9">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SA"/>
              </w:rPr>
              <w:t>380000.00元/年（其中物业服务220000.00元，安保服务160000.00元）</w:t>
            </w:r>
          </w:p>
        </w:tc>
      </w:tr>
      <w:tr w14:paraId="5E02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6B034FAE">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2265" w:type="dxa"/>
            <w:vAlign w:val="center"/>
          </w:tcPr>
          <w:p w14:paraId="5EC66B9E">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资金情况</w:t>
            </w:r>
          </w:p>
        </w:tc>
        <w:tc>
          <w:tcPr>
            <w:tcW w:w="6859" w:type="dxa"/>
            <w:vAlign w:val="center"/>
          </w:tcPr>
          <w:p w14:paraId="6A23D04B">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资金落实情况：已落实</w:t>
            </w:r>
          </w:p>
        </w:tc>
      </w:tr>
      <w:tr w14:paraId="4331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3CACAB5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2265" w:type="dxa"/>
            <w:vAlign w:val="center"/>
          </w:tcPr>
          <w:p w14:paraId="5923A636">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报价说明</w:t>
            </w:r>
          </w:p>
        </w:tc>
        <w:tc>
          <w:tcPr>
            <w:tcW w:w="6859" w:type="dxa"/>
            <w:vAlign w:val="center"/>
          </w:tcPr>
          <w:p w14:paraId="380EDA06">
            <w:pPr>
              <w:spacing w:line="360" w:lineRule="exact"/>
              <w:jc w:val="left"/>
              <w:rPr>
                <w:rFonts w:ascii="宋体" w:hAnsi="宋体" w:cs="宋体"/>
                <w:color w:val="auto"/>
                <w:sz w:val="24"/>
                <w:szCs w:val="24"/>
              </w:rPr>
            </w:pPr>
            <w:r>
              <w:rPr>
                <w:rFonts w:hint="eastAsia" w:ascii="宋体" w:hAnsi="宋体" w:cs="宋体"/>
                <w:color w:val="auto"/>
                <w:sz w:val="24"/>
                <w:szCs w:val="24"/>
              </w:rPr>
              <w:t>(1)报价方式：总价报价方式报价。</w:t>
            </w:r>
          </w:p>
          <w:p w14:paraId="74B9BD38">
            <w:pPr>
              <w:spacing w:line="360" w:lineRule="exact"/>
              <w:jc w:val="left"/>
              <w:rPr>
                <w:rFonts w:ascii="宋体" w:hAnsi="宋体" w:cs="宋体"/>
                <w:color w:val="auto"/>
                <w:sz w:val="24"/>
                <w:szCs w:val="24"/>
              </w:rPr>
            </w:pPr>
            <w:r>
              <w:rPr>
                <w:rFonts w:hint="eastAsia" w:ascii="宋体" w:hAnsi="宋体" w:cs="宋体"/>
                <w:color w:val="auto"/>
                <w:sz w:val="24"/>
                <w:szCs w:val="24"/>
              </w:rPr>
              <w:t>(2)投标报价说明：投标报价应是本项目招标范围服务内容全部费用。</w:t>
            </w:r>
          </w:p>
          <w:p w14:paraId="37D767EB">
            <w:pPr>
              <w:spacing w:line="360" w:lineRule="exact"/>
              <w:jc w:val="left"/>
              <w:rPr>
                <w:rFonts w:ascii="宋体" w:hAnsi="宋体" w:cs="宋体"/>
                <w:color w:val="auto"/>
                <w:sz w:val="24"/>
                <w:szCs w:val="24"/>
              </w:rPr>
            </w:pPr>
            <w:r>
              <w:rPr>
                <w:rFonts w:hint="eastAsia" w:ascii="宋体" w:hAnsi="宋体" w:cs="宋体"/>
                <w:color w:val="auto"/>
                <w:sz w:val="24"/>
                <w:szCs w:val="24"/>
              </w:rPr>
              <w:t>(3)磋商申请人须结合市场因素，并根据自身水平及实力，合理列报投标报价，磋商申请人应充分考虑本项目合同实施期间可能发生的一切费用，并承担由此而带来的风险。凡磋商申请人在报价中未列明但又为本次招标必备的项目或遗漏项目，采购单位将一律视为已包括在其报价中，在合同执行中将不予考虑。</w:t>
            </w:r>
          </w:p>
          <w:p w14:paraId="637D9F41">
            <w:pPr>
              <w:spacing w:line="360" w:lineRule="exact"/>
              <w:jc w:val="left"/>
              <w:rPr>
                <w:rFonts w:ascii="宋体" w:hAnsi="宋体" w:cs="宋体"/>
                <w:color w:val="auto"/>
                <w:sz w:val="24"/>
                <w:szCs w:val="24"/>
              </w:rPr>
            </w:pPr>
            <w:r>
              <w:rPr>
                <w:rFonts w:hint="eastAsia" w:ascii="宋体" w:hAnsi="宋体" w:cs="宋体"/>
                <w:color w:val="auto"/>
                <w:sz w:val="24"/>
                <w:szCs w:val="24"/>
              </w:rPr>
              <w:t>(4)采购单位不承诺投标报价最低者中标。</w:t>
            </w:r>
          </w:p>
          <w:p w14:paraId="1558849F">
            <w:pPr>
              <w:pStyle w:val="24"/>
              <w:spacing w:line="360" w:lineRule="exact"/>
              <w:jc w:val="left"/>
              <w:rPr>
                <w:rFonts w:asciiTheme="minorEastAsia" w:hAnsiTheme="minorEastAsia" w:eastAsiaTheme="minorEastAsia" w:cstheme="minorEastAsia"/>
                <w:color w:val="auto"/>
                <w:sz w:val="24"/>
                <w:szCs w:val="24"/>
              </w:rPr>
            </w:pPr>
            <w:r>
              <w:rPr>
                <w:rFonts w:hint="eastAsia" w:hAnsi="宋体" w:cs="宋体"/>
                <w:color w:val="auto"/>
                <w:sz w:val="24"/>
                <w:szCs w:val="24"/>
              </w:rPr>
              <w:t>(5)超出最高限价，作无效标处理。</w:t>
            </w:r>
          </w:p>
        </w:tc>
      </w:tr>
      <w:tr w14:paraId="7FA2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1F35615F">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2265" w:type="dxa"/>
            <w:vAlign w:val="center"/>
          </w:tcPr>
          <w:p w14:paraId="1439CCD7">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服务内容</w:t>
            </w:r>
          </w:p>
        </w:tc>
        <w:tc>
          <w:tcPr>
            <w:tcW w:w="6859" w:type="dxa"/>
            <w:vAlign w:val="center"/>
          </w:tcPr>
          <w:p w14:paraId="69DB070B">
            <w:pPr>
              <w:pStyle w:val="24"/>
              <w:spacing w:line="360" w:lineRule="exact"/>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物业服务：对本单位及附属公共区域（含农贸市场办公区）的医院被褥、工作服的洗涤；公共区域的消毒工作等项目及其设备、公用设施、绿化、卫生、交通、安全、进行日常维护、清洁、管理等；</w:t>
            </w:r>
          </w:p>
          <w:p w14:paraId="48D17E35">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SA"/>
              </w:rPr>
              <w:t>安保服务：对本单位及附属办公区域（含农贸市场办公区）的门卫值勤、安全巡逻、巡查防范、安保等工作。（详见“第五章  服务要求”）</w:t>
            </w:r>
          </w:p>
        </w:tc>
      </w:tr>
      <w:tr w14:paraId="6A86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03FE2241">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2265" w:type="dxa"/>
            <w:vAlign w:val="center"/>
          </w:tcPr>
          <w:p w14:paraId="6412D22A">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服务期限</w:t>
            </w:r>
          </w:p>
        </w:tc>
        <w:tc>
          <w:tcPr>
            <w:tcW w:w="6859" w:type="dxa"/>
            <w:vAlign w:val="center"/>
          </w:tcPr>
          <w:p w14:paraId="58860986">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合同签订之日起一年</w:t>
            </w:r>
          </w:p>
        </w:tc>
      </w:tr>
      <w:tr w14:paraId="15C4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2F243F55">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2265" w:type="dxa"/>
            <w:vAlign w:val="center"/>
          </w:tcPr>
          <w:p w14:paraId="4F89ECA0">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服务要求</w:t>
            </w:r>
          </w:p>
        </w:tc>
        <w:tc>
          <w:tcPr>
            <w:tcW w:w="6859" w:type="dxa"/>
            <w:vAlign w:val="center"/>
          </w:tcPr>
          <w:p w14:paraId="4AA69292">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符合国家及现行行业标准，满足采购人要求</w:t>
            </w:r>
          </w:p>
        </w:tc>
      </w:tr>
      <w:tr w14:paraId="433F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3B01881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2265" w:type="dxa"/>
            <w:vAlign w:val="center"/>
          </w:tcPr>
          <w:p w14:paraId="12198E69">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标段划分</w:t>
            </w:r>
          </w:p>
        </w:tc>
        <w:tc>
          <w:tcPr>
            <w:tcW w:w="6859" w:type="dxa"/>
            <w:vAlign w:val="center"/>
          </w:tcPr>
          <w:p w14:paraId="678033E4">
            <w:pPr>
              <w:autoSpaceDE w:val="0"/>
              <w:autoSpaceDN w:val="0"/>
              <w:snapToGrid w:val="0"/>
              <w:spacing w:line="360" w:lineRule="exac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本次招标只为一个标段，标段内容不可拆分</w:t>
            </w:r>
          </w:p>
        </w:tc>
      </w:tr>
      <w:tr w14:paraId="630AE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654DE57C">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2265" w:type="dxa"/>
            <w:vAlign w:val="center"/>
          </w:tcPr>
          <w:p w14:paraId="2020607B">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是否接受联合体投标</w:t>
            </w:r>
          </w:p>
        </w:tc>
        <w:tc>
          <w:tcPr>
            <w:tcW w:w="6859" w:type="dxa"/>
            <w:vAlign w:val="center"/>
          </w:tcPr>
          <w:p w14:paraId="79574963">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不接受</w:t>
            </w:r>
          </w:p>
        </w:tc>
      </w:tr>
      <w:tr w14:paraId="1B3C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67F5C756">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2265" w:type="dxa"/>
            <w:vAlign w:val="center"/>
          </w:tcPr>
          <w:p w14:paraId="0017F0F1">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磋商申请人资格要求</w:t>
            </w:r>
          </w:p>
        </w:tc>
        <w:tc>
          <w:tcPr>
            <w:tcW w:w="6859" w:type="dxa"/>
            <w:vAlign w:val="center"/>
          </w:tcPr>
          <w:p w14:paraId="51E33AEA">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详见“第一章 竞争性磋商公告”磋商申请人资格要求</w:t>
            </w:r>
          </w:p>
        </w:tc>
      </w:tr>
      <w:tr w14:paraId="7C85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647BDB62">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2265" w:type="dxa"/>
            <w:vAlign w:val="center"/>
          </w:tcPr>
          <w:p w14:paraId="46827C79">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踏勘现场</w:t>
            </w:r>
          </w:p>
        </w:tc>
        <w:tc>
          <w:tcPr>
            <w:tcW w:w="6859" w:type="dxa"/>
            <w:vAlign w:val="center"/>
          </w:tcPr>
          <w:p w14:paraId="22795B15">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不组织，自行踏勘</w:t>
            </w:r>
          </w:p>
        </w:tc>
      </w:tr>
      <w:tr w14:paraId="5F430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5CC10F5A">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2265" w:type="dxa"/>
            <w:vAlign w:val="center"/>
          </w:tcPr>
          <w:p w14:paraId="5A1A8385">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磋商预备会</w:t>
            </w:r>
          </w:p>
        </w:tc>
        <w:tc>
          <w:tcPr>
            <w:tcW w:w="6859" w:type="dxa"/>
            <w:vAlign w:val="center"/>
          </w:tcPr>
          <w:p w14:paraId="40449DE6">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不召开</w:t>
            </w:r>
          </w:p>
        </w:tc>
      </w:tr>
      <w:tr w14:paraId="2952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16BDF114">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c>
          <w:tcPr>
            <w:tcW w:w="2265" w:type="dxa"/>
            <w:vAlign w:val="center"/>
          </w:tcPr>
          <w:p w14:paraId="0F94669C">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是否允许递交备选磋商方案</w:t>
            </w:r>
          </w:p>
        </w:tc>
        <w:tc>
          <w:tcPr>
            <w:tcW w:w="6859" w:type="dxa"/>
            <w:vAlign w:val="center"/>
          </w:tcPr>
          <w:p w14:paraId="6F1FBD71">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不允许</w:t>
            </w:r>
          </w:p>
        </w:tc>
      </w:tr>
      <w:tr w14:paraId="47A3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445590D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w:t>
            </w:r>
          </w:p>
        </w:tc>
        <w:tc>
          <w:tcPr>
            <w:tcW w:w="2265" w:type="dxa"/>
            <w:vAlign w:val="center"/>
          </w:tcPr>
          <w:p w14:paraId="1474EAD5">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分包</w:t>
            </w:r>
          </w:p>
        </w:tc>
        <w:tc>
          <w:tcPr>
            <w:tcW w:w="6859" w:type="dxa"/>
            <w:vAlign w:val="center"/>
          </w:tcPr>
          <w:p w14:paraId="1B396841">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不允许</w:t>
            </w:r>
          </w:p>
        </w:tc>
      </w:tr>
      <w:tr w14:paraId="473A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624EAFAC">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w:t>
            </w:r>
          </w:p>
        </w:tc>
        <w:tc>
          <w:tcPr>
            <w:tcW w:w="2265" w:type="dxa"/>
            <w:vAlign w:val="center"/>
          </w:tcPr>
          <w:p w14:paraId="7BF338D4">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偏离</w:t>
            </w:r>
          </w:p>
        </w:tc>
        <w:tc>
          <w:tcPr>
            <w:tcW w:w="6859" w:type="dxa"/>
            <w:vAlign w:val="center"/>
          </w:tcPr>
          <w:p w14:paraId="65FC0DE0">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允许，磋商申请人可在磋商文件要求的条件上，作出正偏离的承诺（如服务期限延长、质量标准提高，处罚额度增大等）</w:t>
            </w:r>
          </w:p>
        </w:tc>
      </w:tr>
      <w:tr w14:paraId="700A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8" w:type="dxa"/>
            <w:vAlign w:val="center"/>
          </w:tcPr>
          <w:p w14:paraId="3524660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w:t>
            </w:r>
          </w:p>
        </w:tc>
        <w:tc>
          <w:tcPr>
            <w:tcW w:w="2265" w:type="dxa"/>
            <w:vAlign w:val="center"/>
          </w:tcPr>
          <w:p w14:paraId="32EAD777">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磋商申请人要求澄清磋商文件的截止时间</w:t>
            </w:r>
          </w:p>
        </w:tc>
        <w:tc>
          <w:tcPr>
            <w:tcW w:w="6859" w:type="dxa"/>
            <w:vAlign w:val="center"/>
          </w:tcPr>
          <w:p w14:paraId="7EEE892F">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投标截止时间5日前</w:t>
            </w:r>
          </w:p>
        </w:tc>
      </w:tr>
      <w:tr w14:paraId="1D41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8" w:type="dxa"/>
            <w:vAlign w:val="center"/>
          </w:tcPr>
          <w:p w14:paraId="20A25303">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w:t>
            </w:r>
          </w:p>
        </w:tc>
        <w:tc>
          <w:tcPr>
            <w:tcW w:w="2265" w:type="dxa"/>
            <w:vAlign w:val="center"/>
          </w:tcPr>
          <w:p w14:paraId="1C1FD306">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磋商申请人确认收到磋商文件澄清的时间</w:t>
            </w:r>
          </w:p>
        </w:tc>
        <w:tc>
          <w:tcPr>
            <w:tcW w:w="6859" w:type="dxa"/>
            <w:vAlign w:val="center"/>
          </w:tcPr>
          <w:p w14:paraId="0FFA9511">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磋商申请人疑问发出后1个工作日内</w:t>
            </w:r>
          </w:p>
        </w:tc>
      </w:tr>
      <w:tr w14:paraId="494DB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8" w:type="dxa"/>
            <w:vAlign w:val="center"/>
          </w:tcPr>
          <w:p w14:paraId="4A421569">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18</w:t>
            </w:r>
          </w:p>
        </w:tc>
        <w:tc>
          <w:tcPr>
            <w:tcW w:w="2265" w:type="dxa"/>
            <w:vAlign w:val="center"/>
          </w:tcPr>
          <w:p w14:paraId="1E545E2A">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磋商申请人确认收到磋商文件修改的时间</w:t>
            </w:r>
          </w:p>
        </w:tc>
        <w:tc>
          <w:tcPr>
            <w:tcW w:w="6859" w:type="dxa"/>
            <w:vAlign w:val="center"/>
          </w:tcPr>
          <w:p w14:paraId="594797CD">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磋商申请人疑问发出后1个工作日内</w:t>
            </w:r>
          </w:p>
        </w:tc>
      </w:tr>
      <w:tr w14:paraId="79312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417A3640">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19</w:t>
            </w:r>
          </w:p>
        </w:tc>
        <w:tc>
          <w:tcPr>
            <w:tcW w:w="2265" w:type="dxa"/>
            <w:vAlign w:val="center"/>
          </w:tcPr>
          <w:p w14:paraId="114929E7">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磋商有效期</w:t>
            </w:r>
          </w:p>
        </w:tc>
        <w:tc>
          <w:tcPr>
            <w:tcW w:w="6859" w:type="dxa"/>
            <w:vAlign w:val="center"/>
          </w:tcPr>
          <w:p w14:paraId="77A888F8">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0 日历天（从递交磋商申请文件截止之日算起）</w:t>
            </w:r>
          </w:p>
        </w:tc>
      </w:tr>
      <w:tr w14:paraId="7A476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5954E17C">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w:t>
            </w:r>
          </w:p>
        </w:tc>
        <w:tc>
          <w:tcPr>
            <w:tcW w:w="2265" w:type="dxa"/>
            <w:vAlign w:val="center"/>
          </w:tcPr>
          <w:p w14:paraId="52284477">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投标保证金</w:t>
            </w:r>
          </w:p>
        </w:tc>
        <w:tc>
          <w:tcPr>
            <w:tcW w:w="6859" w:type="dxa"/>
            <w:vAlign w:val="center"/>
          </w:tcPr>
          <w:p w14:paraId="53A80D8A">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本项目不收取投标保证金</w:t>
            </w:r>
          </w:p>
        </w:tc>
      </w:tr>
      <w:tr w14:paraId="1709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355C6E80">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w:t>
            </w:r>
          </w:p>
        </w:tc>
        <w:tc>
          <w:tcPr>
            <w:tcW w:w="2265" w:type="dxa"/>
            <w:vAlign w:val="center"/>
          </w:tcPr>
          <w:p w14:paraId="524918DE">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签字或盖章要求</w:t>
            </w:r>
          </w:p>
        </w:tc>
        <w:tc>
          <w:tcPr>
            <w:tcW w:w="6859" w:type="dxa"/>
            <w:vAlign w:val="center"/>
          </w:tcPr>
          <w:p w14:paraId="4788D11E">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（1）磋商申请文件应按磋商文件格式要求，由磋商申请人的法定代表人或其委托代理人签字或盖章(或电子章)，并加盖单位公章(或电子章)。没有按磋商文件要求签字或盖章的磋商申请文件将被拒绝；</w:t>
            </w:r>
          </w:p>
          <w:p w14:paraId="1EDA82DD">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（2）由委托代理人签字或盖章的，磋商申请文件中应附有法定代表人的授权委托书，其授权委托书必须由法定代表人及委托代理人签字或盖公章。</w:t>
            </w:r>
          </w:p>
        </w:tc>
      </w:tr>
      <w:tr w14:paraId="2B4C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5544690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w:t>
            </w:r>
          </w:p>
        </w:tc>
        <w:tc>
          <w:tcPr>
            <w:tcW w:w="2265" w:type="dxa"/>
            <w:vAlign w:val="center"/>
          </w:tcPr>
          <w:p w14:paraId="703AA18C">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磋商申请文件份数</w:t>
            </w:r>
          </w:p>
        </w:tc>
        <w:tc>
          <w:tcPr>
            <w:tcW w:w="6859" w:type="dxa"/>
            <w:vAlign w:val="center"/>
          </w:tcPr>
          <w:p w14:paraId="6ABB0CB8">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一份电子文件上传至政府采购云平台（https://www.zcygov.cn/），</w:t>
            </w:r>
            <w:r>
              <w:rPr>
                <w:rFonts w:hint="eastAsia" w:asciiTheme="minorEastAsia" w:hAnsiTheme="minorEastAsia" w:eastAsiaTheme="minorEastAsia" w:cstheme="minorEastAsia"/>
                <w:b/>
                <w:bCs/>
                <w:color w:val="auto"/>
                <w:sz w:val="24"/>
                <w:szCs w:val="24"/>
              </w:rPr>
              <w:t>中标人领取中标通知书时必须提供2份与网上上传的电子投标文件完全一致的纸质标书</w:t>
            </w:r>
            <w:r>
              <w:rPr>
                <w:rFonts w:hint="eastAsia" w:asciiTheme="minorEastAsia" w:hAnsiTheme="minorEastAsia" w:eastAsiaTheme="minorEastAsia" w:cstheme="minorEastAsia"/>
                <w:color w:val="auto"/>
                <w:sz w:val="24"/>
                <w:szCs w:val="24"/>
              </w:rPr>
              <w:t>。</w:t>
            </w:r>
          </w:p>
        </w:tc>
      </w:tr>
      <w:tr w14:paraId="162B0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427E8909">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w:t>
            </w:r>
          </w:p>
        </w:tc>
        <w:tc>
          <w:tcPr>
            <w:tcW w:w="2265" w:type="dxa"/>
            <w:vAlign w:val="center"/>
          </w:tcPr>
          <w:p w14:paraId="5FB60D42">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提交响应文件截止时间</w:t>
            </w:r>
          </w:p>
        </w:tc>
        <w:tc>
          <w:tcPr>
            <w:tcW w:w="6859" w:type="dxa"/>
            <w:vAlign w:val="center"/>
          </w:tcPr>
          <w:p w14:paraId="41AD50F8">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2025年04月</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rPr>
              <w:t>日14时30分</w:t>
            </w:r>
            <w:r>
              <w:rPr>
                <w:rFonts w:hint="eastAsia" w:asciiTheme="minorEastAsia" w:hAnsiTheme="minorEastAsia" w:eastAsiaTheme="minorEastAsia" w:cstheme="minorEastAsia"/>
                <w:color w:val="auto"/>
                <w:sz w:val="24"/>
                <w:szCs w:val="24"/>
              </w:rPr>
              <w:t>（北京时间）</w:t>
            </w:r>
          </w:p>
        </w:tc>
      </w:tr>
      <w:tr w14:paraId="393F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6FFF62D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w:t>
            </w:r>
          </w:p>
        </w:tc>
        <w:tc>
          <w:tcPr>
            <w:tcW w:w="2265" w:type="dxa"/>
            <w:vAlign w:val="center"/>
          </w:tcPr>
          <w:p w14:paraId="03F176A6">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开标时间和地点</w:t>
            </w:r>
          </w:p>
        </w:tc>
        <w:tc>
          <w:tcPr>
            <w:tcW w:w="6859" w:type="dxa"/>
            <w:vAlign w:val="center"/>
          </w:tcPr>
          <w:p w14:paraId="2595301D">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开标时间：</w:t>
            </w:r>
            <w:r>
              <w:rPr>
                <w:rFonts w:hint="eastAsia" w:asciiTheme="minorEastAsia" w:hAnsiTheme="minorEastAsia" w:eastAsiaTheme="minorEastAsia" w:cstheme="minorEastAsia"/>
                <w:color w:val="auto"/>
                <w:sz w:val="24"/>
                <w:szCs w:val="24"/>
              </w:rPr>
              <w:t>2025年04月</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rPr>
              <w:t>日14时30分</w:t>
            </w:r>
            <w:r>
              <w:rPr>
                <w:rFonts w:hint="eastAsia" w:asciiTheme="minorEastAsia" w:hAnsiTheme="minorEastAsia" w:eastAsiaTheme="minorEastAsia" w:cstheme="minorEastAsia"/>
                <w:color w:val="auto"/>
                <w:sz w:val="24"/>
                <w:szCs w:val="24"/>
              </w:rPr>
              <w:t>（北京时间）</w:t>
            </w:r>
          </w:p>
          <w:p w14:paraId="497A4C97">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开标地点：“政采云”平台网上开标</w:t>
            </w:r>
          </w:p>
        </w:tc>
      </w:tr>
      <w:tr w14:paraId="0EFE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318F00A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w:t>
            </w:r>
          </w:p>
        </w:tc>
        <w:tc>
          <w:tcPr>
            <w:tcW w:w="2265" w:type="dxa"/>
            <w:vAlign w:val="center"/>
          </w:tcPr>
          <w:p w14:paraId="372F6C31">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评标委员会的组建</w:t>
            </w:r>
          </w:p>
        </w:tc>
        <w:tc>
          <w:tcPr>
            <w:tcW w:w="6859" w:type="dxa"/>
            <w:vAlign w:val="center"/>
          </w:tcPr>
          <w:p w14:paraId="5AE76327">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评标委员会构成：由采购单位或代理机构负责组建，成员为3人及以上单数，其中采购人或采购代理机构代表不超过1/3，技术、经济等方面的专家不少于成员总数的2/3.</w:t>
            </w:r>
          </w:p>
          <w:p w14:paraId="54E0551E">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评标专家确定方式：随机抽取</w:t>
            </w:r>
          </w:p>
        </w:tc>
      </w:tr>
      <w:tr w14:paraId="7DB9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8" w:type="dxa"/>
            <w:vAlign w:val="center"/>
          </w:tcPr>
          <w:p w14:paraId="48C15DF8">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w:t>
            </w:r>
          </w:p>
        </w:tc>
        <w:tc>
          <w:tcPr>
            <w:tcW w:w="2265" w:type="dxa"/>
            <w:vAlign w:val="center"/>
          </w:tcPr>
          <w:p w14:paraId="7D464070">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定标说明</w:t>
            </w:r>
          </w:p>
        </w:tc>
        <w:tc>
          <w:tcPr>
            <w:tcW w:w="6859" w:type="dxa"/>
            <w:vAlign w:val="center"/>
          </w:tcPr>
          <w:p w14:paraId="6E4C2B6F">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磋商小组按响应文件满足磋商文件全部实质性要求且综合评分得分由高到低的顺序推荐成交候选人。</w:t>
            </w:r>
          </w:p>
        </w:tc>
      </w:tr>
      <w:tr w14:paraId="77A1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2DC6A04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w:t>
            </w:r>
          </w:p>
        </w:tc>
        <w:tc>
          <w:tcPr>
            <w:tcW w:w="2265" w:type="dxa"/>
            <w:vAlign w:val="center"/>
          </w:tcPr>
          <w:p w14:paraId="0D1596DF">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是否授权磋商小组确定中标人</w:t>
            </w:r>
          </w:p>
        </w:tc>
        <w:tc>
          <w:tcPr>
            <w:tcW w:w="6859" w:type="dxa"/>
            <w:vAlign w:val="center"/>
          </w:tcPr>
          <w:p w14:paraId="7224BD54">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否；</w:t>
            </w:r>
          </w:p>
          <w:p w14:paraId="584DB37E">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由磋商小组根据磋商办法的相关规定推荐1～3名中标候选人，采购单位根据相关规定确定中标人。</w:t>
            </w:r>
          </w:p>
        </w:tc>
      </w:tr>
      <w:tr w14:paraId="34683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48636F71">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w:t>
            </w:r>
          </w:p>
        </w:tc>
        <w:tc>
          <w:tcPr>
            <w:tcW w:w="2265" w:type="dxa"/>
            <w:vAlign w:val="center"/>
          </w:tcPr>
          <w:p w14:paraId="61C360CA">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投标报价下限</w:t>
            </w:r>
          </w:p>
        </w:tc>
        <w:tc>
          <w:tcPr>
            <w:tcW w:w="6859" w:type="dxa"/>
            <w:vAlign w:val="center"/>
          </w:tcPr>
          <w:p w14:paraId="7540CB11">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评标过程中，若发现磋商申请人的投标明显低于其他投标报价，且其投标文件的投标报价分析不能说明清楚，将要求磋商申请人做出书面说明，并按评标委员会要求提供相关证明材料。若磋商申请人不能合理说明或者不能提供相关证明材料的，由评标委员会认定该磋商申请人以低于成本报价竞标，经评标委员会审定否决其投标</w:t>
            </w:r>
          </w:p>
        </w:tc>
      </w:tr>
      <w:tr w14:paraId="2F29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Align w:val="center"/>
          </w:tcPr>
          <w:p w14:paraId="1E0BA7B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29</w:t>
            </w:r>
          </w:p>
        </w:tc>
        <w:tc>
          <w:tcPr>
            <w:tcW w:w="2265" w:type="dxa"/>
            <w:vAlign w:val="center"/>
          </w:tcPr>
          <w:p w14:paraId="567CEC44">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评标方法</w:t>
            </w:r>
          </w:p>
        </w:tc>
        <w:tc>
          <w:tcPr>
            <w:tcW w:w="6859" w:type="dxa"/>
            <w:vAlign w:val="center"/>
          </w:tcPr>
          <w:p w14:paraId="6BE5315D">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资格后审，综合评分法</w:t>
            </w:r>
          </w:p>
        </w:tc>
      </w:tr>
      <w:tr w14:paraId="0500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58" w:type="dxa"/>
            <w:vAlign w:val="center"/>
          </w:tcPr>
          <w:p w14:paraId="630CF15F">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w:t>
            </w:r>
          </w:p>
        </w:tc>
        <w:tc>
          <w:tcPr>
            <w:tcW w:w="2265" w:type="dxa"/>
            <w:vAlign w:val="center"/>
          </w:tcPr>
          <w:p w14:paraId="0E6F83FE">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备选方案</w:t>
            </w:r>
          </w:p>
        </w:tc>
        <w:tc>
          <w:tcPr>
            <w:tcW w:w="6859" w:type="dxa"/>
            <w:vAlign w:val="center"/>
          </w:tcPr>
          <w:p w14:paraId="299998A1">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不接受</w:t>
            </w:r>
          </w:p>
        </w:tc>
      </w:tr>
      <w:tr w14:paraId="5C40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58" w:type="dxa"/>
            <w:vAlign w:val="center"/>
          </w:tcPr>
          <w:p w14:paraId="4009CEE6">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w:t>
            </w:r>
          </w:p>
        </w:tc>
        <w:tc>
          <w:tcPr>
            <w:tcW w:w="2265" w:type="dxa"/>
            <w:vAlign w:val="center"/>
          </w:tcPr>
          <w:p w14:paraId="34F884F8">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磋商响应文件的退还</w:t>
            </w:r>
          </w:p>
        </w:tc>
        <w:tc>
          <w:tcPr>
            <w:tcW w:w="6859" w:type="dxa"/>
            <w:vAlign w:val="center"/>
          </w:tcPr>
          <w:p w14:paraId="199BED8B">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不予退还</w:t>
            </w:r>
          </w:p>
        </w:tc>
      </w:tr>
      <w:tr w14:paraId="1616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58" w:type="dxa"/>
            <w:vAlign w:val="center"/>
          </w:tcPr>
          <w:p w14:paraId="7F7264CE">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w:t>
            </w:r>
          </w:p>
        </w:tc>
        <w:tc>
          <w:tcPr>
            <w:tcW w:w="2265" w:type="dxa"/>
            <w:vAlign w:val="center"/>
          </w:tcPr>
          <w:p w14:paraId="1A5526CD">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构成磋商响应文件的其他材料</w:t>
            </w:r>
          </w:p>
        </w:tc>
        <w:tc>
          <w:tcPr>
            <w:tcW w:w="6859" w:type="dxa"/>
            <w:vAlign w:val="center"/>
          </w:tcPr>
          <w:p w14:paraId="7376D421">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采购单位以书面形式发出的答疑书、补遗书或通知等。</w:t>
            </w:r>
          </w:p>
        </w:tc>
      </w:tr>
      <w:tr w14:paraId="0366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58" w:type="dxa"/>
            <w:vAlign w:val="center"/>
          </w:tcPr>
          <w:p w14:paraId="5C57B5D2">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33</w:t>
            </w:r>
          </w:p>
        </w:tc>
        <w:tc>
          <w:tcPr>
            <w:tcW w:w="2265" w:type="dxa"/>
            <w:vAlign w:val="center"/>
          </w:tcPr>
          <w:p w14:paraId="027CE50F">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重新招标</w:t>
            </w:r>
          </w:p>
        </w:tc>
        <w:tc>
          <w:tcPr>
            <w:tcW w:w="6859" w:type="dxa"/>
            <w:vAlign w:val="center"/>
          </w:tcPr>
          <w:p w14:paraId="37EF5C03">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除磋商须知正文规定的情形外，除非已经产生中标候选人，在磋商时间截止前响应磋商申请人少于三个的，采购单位应当依法重新招标。</w:t>
            </w:r>
          </w:p>
        </w:tc>
      </w:tr>
      <w:tr w14:paraId="041D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4B4B079E">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34</w:t>
            </w:r>
          </w:p>
        </w:tc>
        <w:tc>
          <w:tcPr>
            <w:tcW w:w="2265" w:type="dxa"/>
            <w:vAlign w:val="center"/>
          </w:tcPr>
          <w:p w14:paraId="5D847D08">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知识产权</w:t>
            </w:r>
          </w:p>
        </w:tc>
        <w:tc>
          <w:tcPr>
            <w:tcW w:w="6859" w:type="dxa"/>
            <w:vAlign w:val="center"/>
          </w:tcPr>
          <w:p w14:paraId="559C9327">
            <w:pPr>
              <w:pStyle w:val="24"/>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构成本磋商文件各个组成部分的文件，未经采购单位书面同意，磋商申请人不得擅自复印和用于非本磋商项目所需的其他目的。采购单位全部或者部分使用未中标人磋商申请文件中的技术成果或技术方案时，需征得其书面同意，并不得擅自复印或提供给第三人。</w:t>
            </w:r>
          </w:p>
        </w:tc>
      </w:tr>
      <w:tr w14:paraId="42F18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302787DD">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35</w:t>
            </w:r>
          </w:p>
        </w:tc>
        <w:tc>
          <w:tcPr>
            <w:tcW w:w="2265" w:type="dxa"/>
            <w:vAlign w:val="center"/>
          </w:tcPr>
          <w:p w14:paraId="6433C134">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同义词语</w:t>
            </w:r>
          </w:p>
        </w:tc>
        <w:tc>
          <w:tcPr>
            <w:tcW w:w="6859" w:type="dxa"/>
            <w:vAlign w:val="center"/>
          </w:tcPr>
          <w:p w14:paraId="2E8C0FAA">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构成磋商文件组成部分的“通用合同条款”、“专用合同条款”、“技术标准和要求”和“采购参数”等章节中出现的措辞“发包人”和“承包人”，在招标投标阶段应当分别按“采购单位”和“磋商申请人”进行理解。</w:t>
            </w:r>
          </w:p>
        </w:tc>
      </w:tr>
      <w:tr w14:paraId="181A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11795907">
            <w:pPr>
              <w:pStyle w:val="24"/>
              <w:spacing w:line="36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36</w:t>
            </w:r>
          </w:p>
        </w:tc>
        <w:tc>
          <w:tcPr>
            <w:tcW w:w="2265" w:type="dxa"/>
            <w:vAlign w:val="center"/>
          </w:tcPr>
          <w:p w14:paraId="12A8983A">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解释权</w:t>
            </w:r>
          </w:p>
        </w:tc>
        <w:tc>
          <w:tcPr>
            <w:tcW w:w="6859" w:type="dxa"/>
            <w:vAlign w:val="center"/>
          </w:tcPr>
          <w:p w14:paraId="7B28DB01">
            <w:pPr>
              <w:autoSpaceDE w:val="0"/>
              <w:autoSpaceDN w:val="0"/>
              <w:snapToGrid w:val="0"/>
              <w:spacing w:line="360" w:lineRule="exact"/>
              <w:jc w:val="left"/>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本磋商文件的最终解释权属采购单位</w:t>
            </w:r>
          </w:p>
        </w:tc>
      </w:tr>
      <w:tr w14:paraId="529D1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Align w:val="center"/>
          </w:tcPr>
          <w:p w14:paraId="1684113E">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37</w:t>
            </w:r>
          </w:p>
        </w:tc>
        <w:tc>
          <w:tcPr>
            <w:tcW w:w="9124" w:type="dxa"/>
            <w:gridSpan w:val="2"/>
            <w:vAlign w:val="center"/>
          </w:tcPr>
          <w:p w14:paraId="0468443A">
            <w:pPr>
              <w:autoSpaceDE w:val="0"/>
              <w:autoSpaceDN w:val="0"/>
              <w:snapToGrid w:val="0"/>
              <w:spacing w:line="360" w:lineRule="exact"/>
              <w:jc w:val="center"/>
              <w:textAlignment w:val="bottom"/>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需要补充的其他内容</w:t>
            </w:r>
          </w:p>
        </w:tc>
      </w:tr>
      <w:tr w14:paraId="6708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9982" w:type="dxa"/>
            <w:gridSpan w:val="3"/>
            <w:vAlign w:val="center"/>
          </w:tcPr>
          <w:p w14:paraId="30EAE79F">
            <w:pPr>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违法违规查处法规依据：</w:t>
            </w:r>
          </w:p>
          <w:p w14:paraId="67EF28A0">
            <w:pPr>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1.《中华人民共和国政府采购法》、《中华人民共和国政府采购法实施条例》、《政府采购货物和服务招标投标管理办法（财政部87号令）》、《政府采购非招标采购方式管理办法（财政部74号令）》；</w:t>
            </w:r>
          </w:p>
          <w:p w14:paraId="0F466869">
            <w:pPr>
              <w:spacing w:line="360" w:lineRule="exact"/>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2.本次竞争性磋商文件未尽事宜，按国家现行法律、法规及云南省、红河州的地方性法规及规范性文件执行。</w:t>
            </w:r>
          </w:p>
        </w:tc>
      </w:tr>
    </w:tbl>
    <w:p w14:paraId="27907EE4">
      <w:pPr>
        <w:rPr>
          <w:rFonts w:ascii="宋体" w:hAnsi="宋体" w:cs="宋体"/>
          <w:color w:val="auto"/>
        </w:rPr>
      </w:pPr>
      <w:bookmarkStart w:id="77" w:name="_Toc373844163"/>
      <w:bookmarkStart w:id="78" w:name="_Toc427306787"/>
      <w:bookmarkStart w:id="79" w:name="_Toc29337"/>
      <w:bookmarkStart w:id="80" w:name="_Toc348011923"/>
      <w:bookmarkStart w:id="81" w:name="_Toc373844096"/>
      <w:bookmarkStart w:id="82" w:name="_Toc427339168"/>
    </w:p>
    <w:p w14:paraId="2B8EE921">
      <w:pPr>
        <w:rPr>
          <w:color w:val="auto"/>
          <w:lang w:val="zh-CN"/>
        </w:rPr>
      </w:pPr>
      <w:bookmarkStart w:id="83" w:name="_Toc26033"/>
      <w:bookmarkStart w:id="84" w:name="_Toc9892"/>
    </w:p>
    <w:p w14:paraId="472A0D89">
      <w:pPr>
        <w:pStyle w:val="3"/>
        <w:spacing w:line="360" w:lineRule="auto"/>
        <w:rPr>
          <w:color w:val="auto"/>
          <w:lang w:val="zh-CN"/>
        </w:rPr>
      </w:pPr>
      <w:bookmarkStart w:id="85" w:name="_Toc2303"/>
      <w:bookmarkStart w:id="86" w:name="_Toc10897"/>
      <w:bookmarkStart w:id="87" w:name="_Toc28547"/>
      <w:r>
        <w:rPr>
          <w:rFonts w:hint="eastAsia"/>
          <w:color w:val="auto"/>
          <w:lang w:val="zh-CN"/>
        </w:rPr>
        <w:t>总则</w:t>
      </w:r>
      <w:bookmarkEnd w:id="77"/>
      <w:bookmarkEnd w:id="78"/>
      <w:bookmarkEnd w:id="79"/>
      <w:bookmarkEnd w:id="80"/>
      <w:bookmarkEnd w:id="81"/>
      <w:bookmarkEnd w:id="82"/>
      <w:bookmarkEnd w:id="83"/>
      <w:bookmarkEnd w:id="84"/>
      <w:bookmarkEnd w:id="85"/>
      <w:bookmarkEnd w:id="86"/>
      <w:bookmarkEnd w:id="87"/>
    </w:p>
    <w:p w14:paraId="03BD6190">
      <w:pPr>
        <w:pStyle w:val="4"/>
        <w:numPr>
          <w:ilvl w:val="0"/>
          <w:numId w:val="6"/>
        </w:numPr>
        <w:spacing w:line="360" w:lineRule="auto"/>
        <w:rPr>
          <w:rFonts w:asciiTheme="minorEastAsia" w:hAnsiTheme="minorEastAsia" w:eastAsiaTheme="minorEastAsia" w:cstheme="minorEastAsia"/>
          <w:color w:val="auto"/>
          <w:szCs w:val="24"/>
          <w:lang w:val="zh-CN"/>
        </w:rPr>
      </w:pPr>
      <w:bookmarkStart w:id="88" w:name="_Toc477696855"/>
      <w:bookmarkStart w:id="89" w:name="_Toc460575537"/>
      <w:bookmarkStart w:id="90" w:name="_Toc478045028"/>
      <w:bookmarkStart w:id="91" w:name="_Toc477695228"/>
      <w:bookmarkStart w:id="92" w:name="_Toc479109876"/>
      <w:bookmarkStart w:id="93" w:name="_Toc479145598"/>
      <w:bookmarkStart w:id="94" w:name="_Toc16147"/>
      <w:bookmarkStart w:id="95" w:name="_Toc477705174"/>
      <w:bookmarkStart w:id="96" w:name="_Toc479109499"/>
      <w:bookmarkStart w:id="97" w:name="_Toc479146053"/>
      <w:bookmarkStart w:id="98" w:name="_Toc494521391"/>
      <w:bookmarkStart w:id="99" w:name="_Toc13993"/>
      <w:r>
        <w:rPr>
          <w:rFonts w:hint="eastAsia" w:asciiTheme="minorEastAsia" w:hAnsiTheme="minorEastAsia" w:eastAsiaTheme="minorEastAsia" w:cstheme="minorEastAsia"/>
          <w:color w:val="auto"/>
          <w:szCs w:val="24"/>
          <w:lang w:val="zh-CN"/>
        </w:rPr>
        <w:t>项目概况</w:t>
      </w:r>
      <w:bookmarkEnd w:id="88"/>
      <w:bookmarkEnd w:id="89"/>
      <w:bookmarkEnd w:id="90"/>
      <w:bookmarkEnd w:id="91"/>
      <w:bookmarkEnd w:id="92"/>
      <w:bookmarkEnd w:id="93"/>
      <w:bookmarkEnd w:id="94"/>
      <w:bookmarkEnd w:id="95"/>
      <w:bookmarkEnd w:id="96"/>
      <w:bookmarkEnd w:id="97"/>
      <w:bookmarkEnd w:id="98"/>
      <w:bookmarkEnd w:id="99"/>
    </w:p>
    <w:p w14:paraId="475B85C3">
      <w:pPr>
        <w:pStyle w:val="4"/>
        <w:spacing w:line="360" w:lineRule="auto"/>
        <w:rPr>
          <w:rFonts w:asciiTheme="minorEastAsia" w:hAnsiTheme="minorEastAsia" w:eastAsiaTheme="minorEastAsia" w:cstheme="minorEastAsia"/>
          <w:color w:val="auto"/>
          <w:szCs w:val="24"/>
        </w:rPr>
      </w:pPr>
      <w:bookmarkStart w:id="100" w:name="_Toc10760"/>
      <w:r>
        <w:rPr>
          <w:rFonts w:hint="eastAsia" w:asciiTheme="minorEastAsia" w:hAnsiTheme="minorEastAsia" w:eastAsiaTheme="minorEastAsia" w:cstheme="minorEastAsia"/>
          <w:color w:val="auto"/>
          <w:szCs w:val="24"/>
        </w:rPr>
        <w:t>1.1项目基本信息</w:t>
      </w:r>
      <w:bookmarkEnd w:id="100"/>
    </w:p>
    <w:p w14:paraId="52499AF6">
      <w:pPr>
        <w:spacing w:line="360" w:lineRule="auto"/>
        <w:ind w:firstLine="480" w:firstLineChars="200"/>
        <w:rPr>
          <w:rFonts w:asciiTheme="minorEastAsia" w:hAnsiTheme="minorEastAsia" w:eastAsiaTheme="minorEastAsia" w:cstheme="minorEastAsia"/>
          <w:color w:val="auto"/>
          <w:sz w:val="24"/>
          <w:szCs w:val="24"/>
          <w:lang w:val="zh-CN"/>
        </w:rPr>
      </w:pPr>
      <w:bookmarkStart w:id="101" w:name="_Toc494521392"/>
      <w:bookmarkStart w:id="102" w:name="_Toc24078"/>
      <w:bookmarkStart w:id="103" w:name="_Toc477705175"/>
      <w:bookmarkStart w:id="104" w:name="_Toc477696856"/>
      <w:bookmarkStart w:id="105" w:name="_Toc479109877"/>
      <w:bookmarkStart w:id="106" w:name="_Toc479145599"/>
      <w:bookmarkStart w:id="107" w:name="_Toc330807409"/>
      <w:bookmarkStart w:id="108" w:name="_Toc3653"/>
      <w:bookmarkStart w:id="109" w:name="_Toc22634"/>
      <w:bookmarkStart w:id="110" w:name="_Toc1816"/>
      <w:bookmarkStart w:id="111" w:name="_Toc478045029"/>
      <w:bookmarkStart w:id="112" w:name="_Toc479109500"/>
      <w:bookmarkStart w:id="113" w:name="_Toc477695229"/>
      <w:bookmarkStart w:id="114" w:name="_Toc333852763"/>
      <w:bookmarkStart w:id="115" w:name="_Toc479146054"/>
      <w:bookmarkStart w:id="116" w:name="_Toc229994461"/>
      <w:bookmarkStart w:id="117" w:name="_Toc460575538"/>
      <w:r>
        <w:rPr>
          <w:rFonts w:hint="eastAsia" w:asciiTheme="minorEastAsia" w:hAnsiTheme="minorEastAsia" w:eastAsiaTheme="minorEastAsia" w:cstheme="minorEastAsia"/>
          <w:color w:val="auto"/>
          <w:sz w:val="24"/>
          <w:szCs w:val="24"/>
          <w:lang w:val="zh-CN"/>
        </w:rPr>
        <w:t>根据《中华人民共和国政府采购法》、《云南省政府采购管理暂行办法》、《政府采购竞争性磋商采购方式管理暂行办法》（财库〔2014〕214号）等法律法规的规定，我公司受</w:t>
      </w:r>
      <w:r>
        <w:rPr>
          <w:rFonts w:hint="eastAsia" w:asciiTheme="minorEastAsia" w:hAnsiTheme="minorEastAsia" w:eastAsiaTheme="minorEastAsia" w:cstheme="minorEastAsia"/>
          <w:color w:val="auto"/>
          <w:sz w:val="24"/>
          <w:szCs w:val="24"/>
        </w:rPr>
        <w:t>泸西县妇幼保健院</w:t>
      </w:r>
      <w:r>
        <w:rPr>
          <w:rFonts w:hint="eastAsia" w:asciiTheme="minorEastAsia" w:hAnsiTheme="minorEastAsia" w:eastAsiaTheme="minorEastAsia" w:cstheme="minorEastAsia"/>
          <w:color w:val="auto"/>
          <w:sz w:val="24"/>
          <w:szCs w:val="24"/>
          <w:lang w:val="zh-CN"/>
        </w:rPr>
        <w:t>（以下简称“采购</w:t>
      </w:r>
      <w:r>
        <w:rPr>
          <w:rFonts w:hint="eastAsia" w:asciiTheme="minorEastAsia" w:hAnsiTheme="minorEastAsia" w:eastAsiaTheme="minorEastAsia" w:cstheme="minorEastAsia"/>
          <w:color w:val="auto"/>
          <w:sz w:val="24"/>
          <w:szCs w:val="24"/>
        </w:rPr>
        <w:t>单位</w:t>
      </w:r>
      <w:r>
        <w:rPr>
          <w:rFonts w:hint="eastAsia" w:asciiTheme="minorEastAsia" w:hAnsiTheme="minorEastAsia" w:eastAsiaTheme="minorEastAsia" w:cstheme="minorEastAsia"/>
          <w:color w:val="auto"/>
          <w:sz w:val="24"/>
          <w:szCs w:val="24"/>
          <w:lang w:val="zh-CN"/>
        </w:rPr>
        <w:t>”）的委托，组织对本项目进行竞争性磋商采购，本项目已具备竞争性磋商条件，现对本项目进行竞争性磋商采购。</w:t>
      </w:r>
    </w:p>
    <w:p w14:paraId="4B95B31D">
      <w:pPr>
        <w:spacing w:line="360" w:lineRule="auto"/>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1.2 本项目采购</w:t>
      </w:r>
      <w:r>
        <w:rPr>
          <w:rFonts w:hint="eastAsia" w:asciiTheme="minorEastAsia" w:hAnsiTheme="minorEastAsia" w:eastAsiaTheme="minorEastAsia" w:cstheme="minorEastAsia"/>
          <w:color w:val="auto"/>
          <w:sz w:val="24"/>
          <w:szCs w:val="24"/>
        </w:rPr>
        <w:t>单位</w:t>
      </w:r>
      <w:r>
        <w:rPr>
          <w:rFonts w:hint="eastAsia" w:asciiTheme="minorEastAsia" w:hAnsiTheme="minorEastAsia" w:eastAsiaTheme="minorEastAsia" w:cstheme="minorEastAsia"/>
          <w:color w:val="auto"/>
          <w:sz w:val="24"/>
          <w:szCs w:val="24"/>
          <w:lang w:val="zh-CN"/>
        </w:rPr>
        <w:t>、采购代理机构、项目名称及项目编号：见“磋商申请人须知前附表”。</w:t>
      </w:r>
    </w:p>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14:paraId="5A3769E5">
      <w:pPr>
        <w:pStyle w:val="4"/>
        <w:spacing w:line="240" w:lineRule="auto"/>
        <w:rPr>
          <w:rFonts w:asciiTheme="minorEastAsia" w:hAnsiTheme="minorEastAsia" w:eastAsiaTheme="minorEastAsia" w:cstheme="minorEastAsia"/>
          <w:color w:val="auto"/>
          <w:szCs w:val="24"/>
          <w:lang w:val="zh-CN"/>
        </w:rPr>
      </w:pPr>
      <w:bookmarkStart w:id="118" w:name="_Toc23245"/>
      <w:bookmarkStart w:id="119" w:name="_Toc692"/>
      <w:bookmarkStart w:id="120" w:name="_Toc9506"/>
      <w:bookmarkStart w:id="121" w:name="_Toc18997"/>
      <w:bookmarkStart w:id="122" w:name="_Toc31096"/>
      <w:bookmarkStart w:id="123" w:name="_Toc26947"/>
      <w:bookmarkStart w:id="124" w:name="_Toc477705192"/>
      <w:bookmarkStart w:id="125" w:name="_Toc479146071"/>
      <w:bookmarkStart w:id="126" w:name="_Toc479145616"/>
      <w:bookmarkStart w:id="127" w:name="_Toc227991433"/>
      <w:bookmarkStart w:id="128" w:name="_Toc477696873"/>
      <w:bookmarkStart w:id="129" w:name="_Toc478045046"/>
      <w:bookmarkStart w:id="130" w:name="_Toc30451"/>
      <w:bookmarkStart w:id="131" w:name="_Toc229994478"/>
      <w:bookmarkStart w:id="132" w:name="_Toc12675"/>
      <w:bookmarkStart w:id="133" w:name="_Toc479109517"/>
      <w:bookmarkStart w:id="134" w:name="_Toc12910"/>
      <w:bookmarkStart w:id="135" w:name="_Toc333852780"/>
      <w:bookmarkStart w:id="136" w:name="_Toc330807426"/>
      <w:bookmarkStart w:id="137" w:name="_Toc460575555"/>
      <w:bookmarkStart w:id="138" w:name="_Toc494521409"/>
      <w:bookmarkStart w:id="139" w:name="_Toc477695246"/>
      <w:bookmarkStart w:id="140" w:name="_Toc479109894"/>
      <w:r>
        <w:rPr>
          <w:rFonts w:hint="eastAsia" w:asciiTheme="minorEastAsia" w:hAnsiTheme="minorEastAsia" w:eastAsiaTheme="minorEastAsia" w:cstheme="minorEastAsia"/>
          <w:color w:val="auto"/>
          <w:szCs w:val="24"/>
          <w:lang w:val="zh-CN"/>
        </w:rPr>
        <w:t>1.2资金来源落实情况</w:t>
      </w:r>
      <w:bookmarkEnd w:id="118"/>
      <w:bookmarkEnd w:id="119"/>
      <w:bookmarkEnd w:id="120"/>
      <w:bookmarkEnd w:id="121"/>
      <w:bookmarkEnd w:id="122"/>
      <w:bookmarkEnd w:id="123"/>
    </w:p>
    <w:p w14:paraId="0C4B1AB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1.2.1本项目的资金来源：见磋商申请人须知前附表。</w:t>
      </w:r>
    </w:p>
    <w:p w14:paraId="320E0A3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1.2.</w:t>
      </w: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zh-CN"/>
        </w:rPr>
        <w:t>本项目的资金落实情况：见磋商申请人须知前附表。</w:t>
      </w:r>
    </w:p>
    <w:p w14:paraId="68FD123A">
      <w:pPr>
        <w:pStyle w:val="4"/>
        <w:spacing w:line="240" w:lineRule="auto"/>
        <w:rPr>
          <w:rFonts w:asciiTheme="minorEastAsia" w:hAnsiTheme="minorEastAsia" w:eastAsiaTheme="minorEastAsia" w:cstheme="minorEastAsia"/>
          <w:color w:val="auto"/>
          <w:szCs w:val="24"/>
          <w:lang w:val="zh-CN"/>
        </w:rPr>
      </w:pPr>
      <w:bookmarkStart w:id="141" w:name="_Toc333852764"/>
      <w:bookmarkStart w:id="142" w:name="_Toc460575539"/>
      <w:bookmarkStart w:id="143" w:name="_Toc479109878"/>
      <w:bookmarkStart w:id="144" w:name="_Toc477696857"/>
      <w:bookmarkStart w:id="145" w:name="_Toc479109501"/>
      <w:bookmarkStart w:id="146" w:name="_Toc330807410"/>
      <w:bookmarkStart w:id="147" w:name="_Toc479145600"/>
      <w:bookmarkStart w:id="148" w:name="_Toc229994462"/>
      <w:bookmarkStart w:id="149" w:name="_Toc477705176"/>
      <w:bookmarkStart w:id="150" w:name="_Toc478045030"/>
      <w:bookmarkStart w:id="151" w:name="_Toc477695230"/>
      <w:bookmarkStart w:id="152" w:name="_Toc494521393"/>
      <w:bookmarkStart w:id="153" w:name="_Toc227991416"/>
      <w:bookmarkStart w:id="154" w:name="_Toc479146055"/>
      <w:bookmarkStart w:id="155" w:name="_Toc9616"/>
      <w:bookmarkStart w:id="156" w:name="_Toc9449"/>
      <w:bookmarkStart w:id="157" w:name="_Toc20008"/>
      <w:bookmarkStart w:id="158" w:name="_Toc30516"/>
      <w:bookmarkStart w:id="159" w:name="_Toc30213"/>
      <w:bookmarkStart w:id="160" w:name="_Toc24711"/>
      <w:bookmarkStart w:id="161" w:name="_Toc6772"/>
      <w:bookmarkStart w:id="162" w:name="_Toc6090"/>
      <w:r>
        <w:rPr>
          <w:rFonts w:hint="eastAsia" w:asciiTheme="minorEastAsia" w:hAnsiTheme="minorEastAsia" w:eastAsiaTheme="minorEastAsia" w:cstheme="minorEastAsia"/>
          <w:color w:val="auto"/>
          <w:szCs w:val="24"/>
          <w:lang w:val="zh-CN"/>
        </w:rPr>
        <w:t>1.3</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hint="eastAsia" w:asciiTheme="minorEastAsia" w:hAnsiTheme="minorEastAsia" w:eastAsiaTheme="minorEastAsia" w:cstheme="minorEastAsia"/>
          <w:color w:val="auto"/>
          <w:szCs w:val="24"/>
          <w:lang w:val="zh-CN"/>
        </w:rPr>
        <w:t>项目服务期限和质量要求</w:t>
      </w:r>
      <w:bookmarkEnd w:id="155"/>
      <w:bookmarkEnd w:id="156"/>
      <w:bookmarkEnd w:id="157"/>
      <w:bookmarkEnd w:id="158"/>
      <w:bookmarkEnd w:id="159"/>
      <w:bookmarkEnd w:id="160"/>
      <w:bookmarkEnd w:id="161"/>
      <w:bookmarkEnd w:id="162"/>
    </w:p>
    <w:p w14:paraId="4DFC0ABD">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1.3.</w:t>
      </w: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zh-CN"/>
        </w:rPr>
        <w:t>本项目</w:t>
      </w:r>
      <w:r>
        <w:rPr>
          <w:rFonts w:hint="eastAsia" w:asciiTheme="minorEastAsia" w:hAnsiTheme="minorEastAsia" w:eastAsiaTheme="minorEastAsia" w:cstheme="minorEastAsia"/>
          <w:color w:val="auto"/>
          <w:sz w:val="24"/>
          <w:szCs w:val="24"/>
        </w:rPr>
        <w:t>项目服务期限</w:t>
      </w:r>
      <w:r>
        <w:rPr>
          <w:rFonts w:hint="eastAsia" w:asciiTheme="minorEastAsia" w:hAnsiTheme="minorEastAsia" w:eastAsiaTheme="minorEastAsia" w:cstheme="minorEastAsia"/>
          <w:color w:val="auto"/>
          <w:sz w:val="24"/>
          <w:szCs w:val="24"/>
          <w:lang w:val="zh-CN"/>
        </w:rPr>
        <w:t>：见磋商申请人须知前附表。</w:t>
      </w:r>
    </w:p>
    <w:p w14:paraId="1F97A00F">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1.3.</w:t>
      </w: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zh-CN"/>
        </w:rPr>
        <w:t xml:space="preserve"> 本项目质量要求：见磋商申请人须知前附表。</w:t>
      </w:r>
    </w:p>
    <w:p w14:paraId="18EDE404">
      <w:pPr>
        <w:pStyle w:val="4"/>
        <w:spacing w:line="240" w:lineRule="auto"/>
        <w:rPr>
          <w:rFonts w:asciiTheme="minorEastAsia" w:hAnsiTheme="minorEastAsia" w:eastAsiaTheme="minorEastAsia" w:cstheme="minorEastAsia"/>
          <w:color w:val="auto"/>
          <w:szCs w:val="24"/>
          <w:lang w:val="zh-CN"/>
        </w:rPr>
      </w:pPr>
      <w:bookmarkStart w:id="163" w:name="_Toc30843"/>
      <w:bookmarkStart w:id="164" w:name="_Toc17965"/>
      <w:bookmarkStart w:id="165" w:name="_Toc479146056"/>
      <w:bookmarkStart w:id="166" w:name="_Toc477695231"/>
      <w:bookmarkStart w:id="167" w:name="_Toc478045031"/>
      <w:bookmarkStart w:id="168" w:name="_Toc2425"/>
      <w:bookmarkStart w:id="169" w:name="_Toc330807411"/>
      <w:bookmarkStart w:id="170" w:name="_Toc477696858"/>
      <w:bookmarkStart w:id="171" w:name="_Toc7182"/>
      <w:bookmarkStart w:id="172" w:name="_Toc229994463"/>
      <w:bookmarkStart w:id="173" w:name="_Toc494521394"/>
      <w:bookmarkStart w:id="174" w:name="_Toc479109879"/>
      <w:bookmarkStart w:id="175" w:name="_Toc320"/>
      <w:bookmarkStart w:id="176" w:name="_Toc460575540"/>
      <w:bookmarkStart w:id="177" w:name="_Toc227991417"/>
      <w:bookmarkStart w:id="178" w:name="_Toc479109502"/>
      <w:bookmarkStart w:id="179" w:name="_Toc477705177"/>
      <w:bookmarkStart w:id="180" w:name="_Toc23816"/>
      <w:bookmarkStart w:id="181" w:name="_Toc479145601"/>
      <w:bookmarkStart w:id="182" w:name="_Toc11608"/>
      <w:bookmarkStart w:id="183" w:name="_Toc22053"/>
      <w:bookmarkStart w:id="184" w:name="_Toc333852765"/>
      <w:r>
        <w:rPr>
          <w:rFonts w:hint="eastAsia" w:asciiTheme="minorEastAsia" w:hAnsiTheme="minorEastAsia" w:eastAsiaTheme="minorEastAsia" w:cstheme="minorEastAsia"/>
          <w:color w:val="auto"/>
          <w:szCs w:val="24"/>
          <w:lang w:val="zh-CN"/>
        </w:rPr>
        <w:t>1.4磋商申请人资格要求</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6A28112D">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1.4.1磋商申请人财务要求、信誉要求、其它要求：见磋商申请人须知前附表。</w:t>
      </w:r>
    </w:p>
    <w:p w14:paraId="69850898">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1.4.2磋商申请人须知前附表规定接受联合体磋商的，除应符合本章第1.4.1项和磋商申请人须知前附表的要求外，还应遵守以下规定：</w:t>
      </w:r>
    </w:p>
    <w:p w14:paraId="328DB32E">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（1）联合体各方应按磋商文件提供的格式签订联合体协议书，明确联合体牵头人和各方权利义务；</w:t>
      </w:r>
    </w:p>
    <w:p w14:paraId="29AB52B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（2）由同一专业的单位组成的联合体，按照资质等级较低的单位确定资质等级；</w:t>
      </w:r>
    </w:p>
    <w:p w14:paraId="717970E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（3）联合体各方不得再以自己名义单独或参加其他联合体在同一标段中磋商。</w:t>
      </w:r>
    </w:p>
    <w:p w14:paraId="58FFAEC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1.4.3磋商申请人不得存在下列情形之一：</w:t>
      </w:r>
    </w:p>
    <w:p w14:paraId="7DE8629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（1）为采购单位不具有独立法人资格的附属机构（单位）；</w:t>
      </w:r>
    </w:p>
    <w:p w14:paraId="0E4A089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（2）不同公司法定代表人为同一个人的；母公司和全资子公司、母公司及其控股公司参加同标的磋商响应的，属于同一母公司的全资子公司或控股公司参加同一标的磋商响应的。</w:t>
      </w:r>
    </w:p>
    <w:p w14:paraId="6DD9B8AD">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（3）为本标段提供</w:t>
      </w:r>
      <w:r>
        <w:rPr>
          <w:rFonts w:hint="eastAsia" w:asciiTheme="minorEastAsia" w:hAnsiTheme="minorEastAsia" w:eastAsiaTheme="minorEastAsia" w:cstheme="minorEastAsia"/>
          <w:color w:val="auto"/>
          <w:sz w:val="24"/>
          <w:szCs w:val="24"/>
        </w:rPr>
        <w:t>招标</w:t>
      </w:r>
      <w:r>
        <w:rPr>
          <w:rFonts w:hint="eastAsia" w:asciiTheme="minorEastAsia" w:hAnsiTheme="minorEastAsia" w:eastAsiaTheme="minorEastAsia" w:cstheme="minorEastAsia"/>
          <w:color w:val="auto"/>
          <w:sz w:val="24"/>
          <w:szCs w:val="24"/>
          <w:lang w:val="zh-CN"/>
        </w:rPr>
        <w:t>代理服务的；</w:t>
      </w:r>
    </w:p>
    <w:p w14:paraId="44CFC54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（4）与本项目的采购代理机构同为一个法定代表人的；</w:t>
      </w:r>
    </w:p>
    <w:p w14:paraId="6B005CE8">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（5）与本项目的采购代理机构相互控股或参股的；</w:t>
      </w:r>
    </w:p>
    <w:p w14:paraId="527FD1F7">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lang w:val="zh-CN"/>
        </w:rPr>
        <w:t>）与本项目的采购代理机构相互任职或工作的；</w:t>
      </w:r>
    </w:p>
    <w:p w14:paraId="159793B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（7）被责令停业的；</w:t>
      </w:r>
    </w:p>
    <w:p w14:paraId="493AC4D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（8）被暂停或取消磋商资格的；</w:t>
      </w:r>
    </w:p>
    <w:p w14:paraId="1B62E4F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（9）财产被接管或冻结的；</w:t>
      </w:r>
    </w:p>
    <w:p w14:paraId="12BCDD30">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（10）在最近三年内有骗取</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或严重违约或重大质量问题的。</w:t>
      </w:r>
    </w:p>
    <w:p w14:paraId="34AB16DE">
      <w:pPr>
        <w:pStyle w:val="4"/>
        <w:spacing w:line="240" w:lineRule="auto"/>
        <w:rPr>
          <w:rFonts w:asciiTheme="minorEastAsia" w:hAnsiTheme="minorEastAsia" w:eastAsiaTheme="minorEastAsia" w:cstheme="minorEastAsia"/>
          <w:color w:val="auto"/>
          <w:szCs w:val="24"/>
          <w:lang w:val="zh-CN"/>
        </w:rPr>
      </w:pPr>
      <w:bookmarkStart w:id="185" w:name="_Toc229994464"/>
      <w:bookmarkStart w:id="186" w:name="_Toc13400"/>
      <w:bookmarkStart w:id="187" w:name="_Toc479145602"/>
      <w:bookmarkStart w:id="188" w:name="_Toc479109880"/>
      <w:bookmarkStart w:id="189" w:name="_Toc6154"/>
      <w:bookmarkStart w:id="190" w:name="_Toc4277"/>
      <w:bookmarkStart w:id="191" w:name="_Toc477696859"/>
      <w:bookmarkStart w:id="192" w:name="_Toc3044"/>
      <w:bookmarkStart w:id="193" w:name="_Toc478045032"/>
      <w:bookmarkStart w:id="194" w:name="_Toc28854"/>
      <w:bookmarkStart w:id="195" w:name="_Toc460575541"/>
      <w:bookmarkStart w:id="196" w:name="_Toc479109503"/>
      <w:bookmarkStart w:id="197" w:name="_Toc13863"/>
      <w:bookmarkStart w:id="198" w:name="_Toc333852766"/>
      <w:bookmarkStart w:id="199" w:name="_Toc3894"/>
      <w:bookmarkStart w:id="200" w:name="_Toc479146057"/>
      <w:bookmarkStart w:id="201" w:name="_Toc494521395"/>
      <w:bookmarkStart w:id="202" w:name="_Toc477695232"/>
      <w:bookmarkStart w:id="203" w:name="_Toc330807412"/>
      <w:bookmarkStart w:id="204" w:name="_Toc477705178"/>
      <w:bookmarkStart w:id="205" w:name="_Toc227991419"/>
      <w:bookmarkStart w:id="206" w:name="_Toc21419"/>
      <w:r>
        <w:rPr>
          <w:rFonts w:hint="eastAsia" w:asciiTheme="minorEastAsia" w:hAnsiTheme="minorEastAsia" w:eastAsiaTheme="minorEastAsia" w:cstheme="minorEastAsia"/>
          <w:color w:val="auto"/>
          <w:szCs w:val="24"/>
          <w:lang w:val="zh-CN"/>
        </w:rPr>
        <w:t>1.5费用承担</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2CDF752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磋商申请人准备和参加磋商活动发生的费用自理。</w:t>
      </w:r>
    </w:p>
    <w:p w14:paraId="1499ABB4">
      <w:pPr>
        <w:pStyle w:val="4"/>
        <w:spacing w:line="240" w:lineRule="auto"/>
        <w:rPr>
          <w:rFonts w:asciiTheme="minorEastAsia" w:hAnsiTheme="minorEastAsia" w:eastAsiaTheme="minorEastAsia" w:cstheme="minorEastAsia"/>
          <w:color w:val="auto"/>
          <w:szCs w:val="24"/>
          <w:lang w:val="zh-CN"/>
        </w:rPr>
      </w:pPr>
      <w:bookmarkStart w:id="207" w:name="_Toc479146058"/>
      <w:bookmarkStart w:id="208" w:name="_Toc227991420"/>
      <w:bookmarkStart w:id="209" w:name="_Toc330807413"/>
      <w:bookmarkStart w:id="210" w:name="_Toc477696860"/>
      <w:bookmarkStart w:id="211" w:name="_Toc479145603"/>
      <w:bookmarkStart w:id="212" w:name="_Toc12150"/>
      <w:bookmarkStart w:id="213" w:name="_Toc479109504"/>
      <w:bookmarkStart w:id="214" w:name="_Toc477695233"/>
      <w:bookmarkStart w:id="215" w:name="_Toc23811"/>
      <w:bookmarkStart w:id="216" w:name="_Toc477705179"/>
      <w:bookmarkStart w:id="217" w:name="_Toc14004"/>
      <w:bookmarkStart w:id="218" w:name="_Toc6000"/>
      <w:bookmarkStart w:id="219" w:name="_Toc460575542"/>
      <w:bookmarkStart w:id="220" w:name="_Toc13548"/>
      <w:bookmarkStart w:id="221" w:name="_Toc494521396"/>
      <w:bookmarkStart w:id="222" w:name="_Toc15553"/>
      <w:bookmarkStart w:id="223" w:name="_Toc18910"/>
      <w:bookmarkStart w:id="224" w:name="_Toc479109881"/>
      <w:bookmarkStart w:id="225" w:name="_Toc478045033"/>
      <w:bookmarkStart w:id="226" w:name="_Toc23094"/>
      <w:bookmarkStart w:id="227" w:name="_Toc333852767"/>
      <w:bookmarkStart w:id="228" w:name="_Toc229994465"/>
      <w:r>
        <w:rPr>
          <w:rFonts w:hint="eastAsia" w:asciiTheme="minorEastAsia" w:hAnsiTheme="minorEastAsia" w:eastAsiaTheme="minorEastAsia" w:cstheme="minorEastAsia"/>
          <w:color w:val="auto"/>
          <w:szCs w:val="24"/>
          <w:lang w:val="zh-CN"/>
        </w:rPr>
        <w:t>1.6保密</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4F0C68AB">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参与磋商活动的各方应对磋商文件和磋商响应文件中的商业和技术等秘密保密，违者应对由此造成的后果承担法律责任。</w:t>
      </w:r>
    </w:p>
    <w:p w14:paraId="4CB62E16">
      <w:pPr>
        <w:pStyle w:val="4"/>
        <w:spacing w:line="240" w:lineRule="auto"/>
        <w:rPr>
          <w:rFonts w:asciiTheme="minorEastAsia" w:hAnsiTheme="minorEastAsia" w:eastAsiaTheme="minorEastAsia" w:cstheme="minorEastAsia"/>
          <w:color w:val="auto"/>
          <w:szCs w:val="24"/>
          <w:lang w:val="zh-CN"/>
        </w:rPr>
      </w:pPr>
      <w:bookmarkStart w:id="229" w:name="_Toc330807414"/>
      <w:bookmarkStart w:id="230" w:name="_Toc14984"/>
      <w:bookmarkStart w:id="231" w:name="_Toc460575543"/>
      <w:bookmarkStart w:id="232" w:name="_Toc479109882"/>
      <w:bookmarkStart w:id="233" w:name="_Toc10333"/>
      <w:bookmarkStart w:id="234" w:name="_Toc24768"/>
      <w:bookmarkStart w:id="235" w:name="_Toc333852768"/>
      <w:bookmarkStart w:id="236" w:name="_Toc30198"/>
      <w:bookmarkStart w:id="237" w:name="_Toc479145604"/>
      <w:bookmarkStart w:id="238" w:name="_Toc31683"/>
      <w:bookmarkStart w:id="239" w:name="_Toc227991421"/>
      <w:bookmarkStart w:id="240" w:name="_Toc479109505"/>
      <w:bookmarkStart w:id="241" w:name="_Toc229994466"/>
      <w:bookmarkStart w:id="242" w:name="_Toc30764"/>
      <w:bookmarkStart w:id="243" w:name="_Toc12318"/>
      <w:bookmarkStart w:id="244" w:name="_Toc477705180"/>
      <w:bookmarkStart w:id="245" w:name="_Toc479146059"/>
      <w:bookmarkStart w:id="246" w:name="_Toc477696861"/>
      <w:bookmarkStart w:id="247" w:name="_Toc478045034"/>
      <w:bookmarkStart w:id="248" w:name="_Toc477695234"/>
      <w:bookmarkStart w:id="249" w:name="_Toc10024"/>
      <w:bookmarkStart w:id="250" w:name="_Toc494521397"/>
      <w:r>
        <w:rPr>
          <w:rFonts w:hint="eastAsia" w:asciiTheme="minorEastAsia" w:hAnsiTheme="minorEastAsia" w:eastAsiaTheme="minorEastAsia" w:cstheme="minorEastAsia"/>
          <w:color w:val="auto"/>
          <w:szCs w:val="24"/>
          <w:lang w:val="zh-CN"/>
        </w:rPr>
        <w:t>1.7语言文字</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375DE62F">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除专用术语外，与招标磋商有关的语言均使用中文。必要时专用术语应附有中文注释。</w:t>
      </w:r>
    </w:p>
    <w:p w14:paraId="0AC77AAB">
      <w:pPr>
        <w:pStyle w:val="4"/>
        <w:spacing w:line="240" w:lineRule="auto"/>
        <w:rPr>
          <w:rFonts w:asciiTheme="minorEastAsia" w:hAnsiTheme="minorEastAsia" w:eastAsiaTheme="minorEastAsia" w:cstheme="minorEastAsia"/>
          <w:color w:val="auto"/>
          <w:szCs w:val="24"/>
          <w:lang w:val="zh-CN"/>
        </w:rPr>
      </w:pPr>
      <w:bookmarkStart w:id="251" w:name="_Toc478045035"/>
      <w:bookmarkStart w:id="252" w:name="_Toc3117"/>
      <w:bookmarkStart w:id="253" w:name="_Toc333852769"/>
      <w:bookmarkStart w:id="254" w:name="_Toc479109883"/>
      <w:bookmarkStart w:id="255" w:name="_Toc477705181"/>
      <w:bookmarkStart w:id="256" w:name="_Toc229994467"/>
      <w:bookmarkStart w:id="257" w:name="_Toc19747"/>
      <w:bookmarkStart w:id="258" w:name="_Toc477695235"/>
      <w:bookmarkStart w:id="259" w:name="_Toc330807415"/>
      <w:bookmarkStart w:id="260" w:name="_Toc479146060"/>
      <w:bookmarkStart w:id="261" w:name="_Toc227991422"/>
      <w:bookmarkStart w:id="262" w:name="_Toc4859"/>
      <w:bookmarkStart w:id="263" w:name="_Toc479145605"/>
      <w:bookmarkStart w:id="264" w:name="_Toc25455"/>
      <w:bookmarkStart w:id="265" w:name="_Toc32669"/>
      <w:bookmarkStart w:id="266" w:name="_Toc2572"/>
      <w:bookmarkStart w:id="267" w:name="_Toc479109506"/>
      <w:bookmarkStart w:id="268" w:name="_Toc28650"/>
      <w:bookmarkStart w:id="269" w:name="_Toc477696862"/>
      <w:bookmarkStart w:id="270" w:name="_Toc494521398"/>
      <w:bookmarkStart w:id="271" w:name="_Toc460575544"/>
      <w:bookmarkStart w:id="272" w:name="_Toc2641"/>
      <w:r>
        <w:rPr>
          <w:rFonts w:hint="eastAsia" w:asciiTheme="minorEastAsia" w:hAnsiTheme="minorEastAsia" w:eastAsiaTheme="minorEastAsia" w:cstheme="minorEastAsia"/>
          <w:color w:val="auto"/>
          <w:szCs w:val="24"/>
          <w:lang w:val="zh-CN"/>
        </w:rPr>
        <w:t>1.8计量单位</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2A51F35B">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所有计量均采用中华人民共和国法定计量单位。</w:t>
      </w:r>
    </w:p>
    <w:p w14:paraId="50B756CA">
      <w:pPr>
        <w:pStyle w:val="4"/>
        <w:spacing w:line="240" w:lineRule="auto"/>
        <w:rPr>
          <w:rFonts w:asciiTheme="minorEastAsia" w:hAnsiTheme="minorEastAsia" w:eastAsiaTheme="minorEastAsia" w:cstheme="minorEastAsia"/>
          <w:color w:val="auto"/>
          <w:szCs w:val="24"/>
          <w:lang w:val="zh-CN"/>
        </w:rPr>
      </w:pPr>
      <w:bookmarkStart w:id="273" w:name="_Toc22521"/>
      <w:bookmarkStart w:id="274" w:name="_Toc6274"/>
      <w:bookmarkStart w:id="275" w:name="_Toc479109884"/>
      <w:bookmarkStart w:id="276" w:name="_Toc477696863"/>
      <w:bookmarkStart w:id="277" w:name="_Toc479109507"/>
      <w:bookmarkStart w:id="278" w:name="_Toc15912"/>
      <w:bookmarkStart w:id="279" w:name="_Toc479145606"/>
      <w:bookmarkStart w:id="280" w:name="_Toc229994468"/>
      <w:bookmarkStart w:id="281" w:name="_Toc25140"/>
      <w:bookmarkStart w:id="282" w:name="_Toc16624"/>
      <w:bookmarkStart w:id="283" w:name="_Toc477705182"/>
      <w:bookmarkStart w:id="284" w:name="_Toc330807416"/>
      <w:bookmarkStart w:id="285" w:name="_Toc227991423"/>
      <w:bookmarkStart w:id="286" w:name="_Toc479146061"/>
      <w:bookmarkStart w:id="287" w:name="_Toc460575545"/>
      <w:bookmarkStart w:id="288" w:name="_Toc19829"/>
      <w:bookmarkStart w:id="289" w:name="_Toc478045036"/>
      <w:bookmarkStart w:id="290" w:name="_Toc333852770"/>
      <w:bookmarkStart w:id="291" w:name="_Toc477695236"/>
      <w:bookmarkStart w:id="292" w:name="_Toc494521399"/>
      <w:bookmarkStart w:id="293" w:name="_Toc5419"/>
      <w:bookmarkStart w:id="294" w:name="_Toc29098"/>
      <w:r>
        <w:rPr>
          <w:rFonts w:hint="eastAsia" w:asciiTheme="minorEastAsia" w:hAnsiTheme="minorEastAsia" w:eastAsiaTheme="minorEastAsia" w:cstheme="minorEastAsia"/>
          <w:color w:val="auto"/>
          <w:szCs w:val="24"/>
          <w:lang w:val="zh-CN"/>
        </w:rPr>
        <w:t>1.9踏勘现场</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598C9A15">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1.9.1磋商申请人须知前附表规定组织踏勘现场的，采购单位按磋商申请人须知前附表规定的时间、地点组织磋商申请人踏勘项目现场。</w:t>
      </w:r>
    </w:p>
    <w:p w14:paraId="5EC6D42B">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1.9.2磋商申请人踏勘现场发生的费用自理。</w:t>
      </w:r>
    </w:p>
    <w:p w14:paraId="15D0F9A0">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1.9.3除采购单位的原因外，磋商申请人自行负责在踏勘现场中所发生的人员伤亡和财产损失。</w:t>
      </w:r>
    </w:p>
    <w:p w14:paraId="53F95C2E">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1.9.4采购单位在踏勘现场中介绍的工程场地和相关的周边环境情况，供磋商申请人在编制磋商文件时参考，采购单位不对磋商申请人据此作出的判断和决策负责。</w:t>
      </w:r>
    </w:p>
    <w:p w14:paraId="45DA7AE5">
      <w:pPr>
        <w:pStyle w:val="4"/>
        <w:spacing w:line="240" w:lineRule="auto"/>
        <w:rPr>
          <w:rFonts w:asciiTheme="minorEastAsia" w:hAnsiTheme="minorEastAsia" w:eastAsiaTheme="minorEastAsia" w:cstheme="minorEastAsia"/>
          <w:color w:val="auto"/>
          <w:szCs w:val="24"/>
          <w:lang w:val="zh-CN"/>
        </w:rPr>
      </w:pPr>
      <w:bookmarkStart w:id="295" w:name="_Toc479109508"/>
      <w:bookmarkStart w:id="296" w:name="_Toc479145607"/>
      <w:bookmarkStart w:id="297" w:name="_Toc333852771"/>
      <w:bookmarkStart w:id="298" w:name="_Toc479146062"/>
      <w:bookmarkStart w:id="299" w:name="_Toc330807417"/>
      <w:bookmarkStart w:id="300" w:name="_Toc477695237"/>
      <w:bookmarkStart w:id="301" w:name="_Toc479109885"/>
      <w:bookmarkStart w:id="302" w:name="_Toc229994469"/>
      <w:bookmarkStart w:id="303" w:name="_Toc227991424"/>
      <w:bookmarkStart w:id="304" w:name="_Toc460575546"/>
      <w:bookmarkStart w:id="305" w:name="_Toc477705183"/>
      <w:bookmarkStart w:id="306" w:name="_Toc478045037"/>
      <w:bookmarkStart w:id="307" w:name="_Toc477696864"/>
      <w:bookmarkStart w:id="308" w:name="_Toc1702"/>
      <w:bookmarkStart w:id="309" w:name="_Toc11326"/>
      <w:bookmarkStart w:id="310" w:name="_Toc16670"/>
      <w:bookmarkStart w:id="311" w:name="_Toc27131"/>
      <w:bookmarkStart w:id="312" w:name="_Toc22711"/>
      <w:bookmarkStart w:id="313" w:name="_Toc27745"/>
      <w:bookmarkStart w:id="314" w:name="_Toc13907"/>
      <w:bookmarkStart w:id="315" w:name="_Toc28395"/>
      <w:bookmarkStart w:id="316" w:name="_Toc494521400"/>
      <w:r>
        <w:rPr>
          <w:rFonts w:hint="eastAsia" w:asciiTheme="minorEastAsia" w:hAnsiTheme="minorEastAsia" w:eastAsiaTheme="minorEastAsia" w:cstheme="minorEastAsia"/>
          <w:color w:val="auto"/>
          <w:szCs w:val="24"/>
          <w:lang w:val="zh-CN"/>
        </w:rPr>
        <w:t>1.10磋商预备会</w:t>
      </w:r>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asciiTheme="minorEastAsia" w:hAnsiTheme="minorEastAsia" w:eastAsiaTheme="minorEastAsia" w:cstheme="minorEastAsia"/>
          <w:color w:val="auto"/>
          <w:szCs w:val="24"/>
          <w:lang w:val="zh-CN"/>
        </w:rPr>
        <w:t>（本项目不适用）</w:t>
      </w:r>
      <w:bookmarkEnd w:id="308"/>
      <w:bookmarkEnd w:id="309"/>
      <w:bookmarkEnd w:id="310"/>
      <w:bookmarkEnd w:id="311"/>
      <w:bookmarkEnd w:id="312"/>
      <w:bookmarkEnd w:id="313"/>
      <w:bookmarkEnd w:id="314"/>
      <w:bookmarkEnd w:id="315"/>
      <w:bookmarkEnd w:id="316"/>
    </w:p>
    <w:p w14:paraId="4A2C3157">
      <w:pPr>
        <w:pStyle w:val="4"/>
        <w:spacing w:line="240" w:lineRule="auto"/>
        <w:rPr>
          <w:rFonts w:asciiTheme="minorEastAsia" w:hAnsiTheme="minorEastAsia" w:eastAsiaTheme="minorEastAsia" w:cstheme="minorEastAsia"/>
          <w:color w:val="auto"/>
          <w:szCs w:val="24"/>
          <w:lang w:val="zh-CN"/>
        </w:rPr>
      </w:pPr>
      <w:bookmarkStart w:id="317" w:name="_Toc3429"/>
      <w:bookmarkStart w:id="318" w:name="_Toc477695238"/>
      <w:bookmarkStart w:id="319" w:name="_Toc330807418"/>
      <w:bookmarkStart w:id="320" w:name="_Toc477705184"/>
      <w:bookmarkStart w:id="321" w:name="_Toc479109509"/>
      <w:bookmarkStart w:id="322" w:name="_Toc229994470"/>
      <w:bookmarkStart w:id="323" w:name="_Toc24365"/>
      <w:bookmarkStart w:id="324" w:name="_Toc478045038"/>
      <w:bookmarkStart w:id="325" w:name="_Toc479146063"/>
      <w:bookmarkStart w:id="326" w:name="_Toc16358"/>
      <w:bookmarkStart w:id="327" w:name="_Toc10887"/>
      <w:bookmarkStart w:id="328" w:name="_Toc477696865"/>
      <w:bookmarkStart w:id="329" w:name="_Toc479145608"/>
      <w:bookmarkStart w:id="330" w:name="_Toc460575547"/>
      <w:bookmarkStart w:id="331" w:name="_Toc17334"/>
      <w:bookmarkStart w:id="332" w:name="_Toc24042"/>
      <w:bookmarkStart w:id="333" w:name="_Toc16466"/>
      <w:bookmarkStart w:id="334" w:name="_Toc227991425"/>
      <w:bookmarkStart w:id="335" w:name="_Toc333852772"/>
      <w:bookmarkStart w:id="336" w:name="_Toc494521401"/>
      <w:bookmarkStart w:id="337" w:name="_Toc479109886"/>
      <w:bookmarkStart w:id="338" w:name="_Toc22791"/>
      <w:r>
        <w:rPr>
          <w:rFonts w:hint="eastAsia" w:asciiTheme="minorEastAsia" w:hAnsiTheme="minorEastAsia" w:eastAsiaTheme="minorEastAsia" w:cstheme="minorEastAsia"/>
          <w:color w:val="auto"/>
          <w:szCs w:val="24"/>
          <w:lang w:val="zh-CN"/>
        </w:rPr>
        <w:t>1.11分包</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447715CD">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磋商申请人拟在</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后将</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项目的部分非主体、非关键性工作进行分包的，应符合磋商申请人须知前附表规定的分包内容、分包金额和接受分包的第三人资质要求等限制性条件。未经发包人、承包人两方合同约定，承包人不得擅自分包。</w:t>
      </w:r>
    </w:p>
    <w:p w14:paraId="686B5CE9">
      <w:pPr>
        <w:pStyle w:val="4"/>
        <w:spacing w:line="240" w:lineRule="auto"/>
        <w:rPr>
          <w:rFonts w:asciiTheme="minorEastAsia" w:hAnsiTheme="minorEastAsia" w:eastAsiaTheme="minorEastAsia" w:cstheme="minorEastAsia"/>
          <w:color w:val="auto"/>
          <w:szCs w:val="24"/>
          <w:lang w:val="zh-CN"/>
        </w:rPr>
      </w:pPr>
      <w:bookmarkStart w:id="339" w:name="_Toc479146064"/>
      <w:bookmarkStart w:id="340" w:name="_Toc477696866"/>
      <w:bookmarkStart w:id="341" w:name="_Toc478045039"/>
      <w:bookmarkStart w:id="342" w:name="_Toc18368"/>
      <w:bookmarkStart w:id="343" w:name="_Toc494521402"/>
      <w:bookmarkStart w:id="344" w:name="_Toc27323"/>
      <w:bookmarkStart w:id="345" w:name="_Toc477695239"/>
      <w:bookmarkStart w:id="346" w:name="_Toc229994471"/>
      <w:bookmarkStart w:id="347" w:name="_Toc479109887"/>
      <w:bookmarkStart w:id="348" w:name="_Toc333852773"/>
      <w:bookmarkStart w:id="349" w:name="_Toc19751"/>
      <w:bookmarkStart w:id="350" w:name="_Toc479109510"/>
      <w:bookmarkStart w:id="351" w:name="_Toc460575548"/>
      <w:bookmarkStart w:id="352" w:name="_Toc477705185"/>
      <w:bookmarkStart w:id="353" w:name="_Toc10704"/>
      <w:bookmarkStart w:id="354" w:name="_Toc227991426"/>
      <w:bookmarkStart w:id="355" w:name="_Toc330807419"/>
      <w:bookmarkStart w:id="356" w:name="_Toc13946"/>
      <w:bookmarkStart w:id="357" w:name="_Toc30712"/>
      <w:bookmarkStart w:id="358" w:name="_Toc30974"/>
      <w:bookmarkStart w:id="359" w:name="_Toc17523"/>
      <w:bookmarkStart w:id="360" w:name="_Toc479145609"/>
      <w:r>
        <w:rPr>
          <w:rFonts w:hint="eastAsia" w:asciiTheme="minorEastAsia" w:hAnsiTheme="minorEastAsia" w:eastAsiaTheme="minorEastAsia" w:cstheme="minorEastAsia"/>
          <w:color w:val="auto"/>
          <w:szCs w:val="24"/>
          <w:lang w:val="zh-CN"/>
        </w:rPr>
        <w:t>1.12偏离</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202E110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磋商申请人须知前附表允许磋商响应文件偏离磋商文件某些要求的，偏离应当符合磋商文件规定的偏离范围和幅度。</w:t>
      </w:r>
      <w:bookmarkStart w:id="361" w:name="_Toc229994472"/>
      <w:bookmarkStart w:id="362" w:name="_Toc330807420"/>
      <w:bookmarkStart w:id="363" w:name="_Toc227991427"/>
    </w:p>
    <w:p w14:paraId="78BDCA89">
      <w:pPr>
        <w:pStyle w:val="4"/>
        <w:spacing w:line="240" w:lineRule="auto"/>
        <w:rPr>
          <w:rFonts w:asciiTheme="minorEastAsia" w:hAnsiTheme="minorEastAsia" w:eastAsiaTheme="minorEastAsia" w:cstheme="minorEastAsia"/>
          <w:color w:val="auto"/>
          <w:szCs w:val="24"/>
          <w:lang w:val="zh-CN"/>
        </w:rPr>
      </w:pPr>
      <w:bookmarkStart w:id="364" w:name="_Toc19828"/>
      <w:bookmarkStart w:id="365" w:name="_Toc479109511"/>
      <w:bookmarkStart w:id="366" w:name="_Toc479145610"/>
      <w:bookmarkStart w:id="367" w:name="_Toc460575549"/>
      <w:bookmarkStart w:id="368" w:name="_Toc14070"/>
      <w:bookmarkStart w:id="369" w:name="_Toc14591"/>
      <w:bookmarkStart w:id="370" w:name="_Toc494521403"/>
      <w:bookmarkStart w:id="371" w:name="_Toc479109888"/>
      <w:bookmarkStart w:id="372" w:name="_Toc478045040"/>
      <w:bookmarkStart w:id="373" w:name="_Toc479146065"/>
      <w:bookmarkStart w:id="374" w:name="_Toc261"/>
      <w:bookmarkStart w:id="375" w:name="_Toc27112"/>
      <w:bookmarkStart w:id="376" w:name="_Toc477705186"/>
      <w:bookmarkStart w:id="377" w:name="_Toc477695240"/>
      <w:bookmarkStart w:id="378" w:name="_Toc477696867"/>
      <w:bookmarkStart w:id="379" w:name="_Toc27818"/>
      <w:bookmarkStart w:id="380" w:name="_Toc19561"/>
      <w:bookmarkStart w:id="381" w:name="_Toc333852774"/>
      <w:r>
        <w:rPr>
          <w:rFonts w:hint="eastAsia" w:asciiTheme="minorEastAsia" w:hAnsiTheme="minorEastAsia" w:eastAsiaTheme="minorEastAsia" w:cstheme="minorEastAsia"/>
          <w:color w:val="auto"/>
          <w:szCs w:val="24"/>
          <w:lang w:val="zh-CN"/>
        </w:rPr>
        <w:t>2.磋商文件</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5EBC536F">
      <w:pPr>
        <w:pStyle w:val="4"/>
        <w:spacing w:line="240" w:lineRule="auto"/>
        <w:rPr>
          <w:rFonts w:asciiTheme="minorEastAsia" w:hAnsiTheme="minorEastAsia" w:eastAsiaTheme="minorEastAsia" w:cstheme="minorEastAsia"/>
          <w:color w:val="auto"/>
          <w:szCs w:val="24"/>
          <w:lang w:val="zh-CN"/>
        </w:rPr>
      </w:pPr>
      <w:bookmarkStart w:id="382" w:name="_Toc31171"/>
      <w:bookmarkStart w:id="383" w:name="_Toc6996"/>
      <w:bookmarkStart w:id="384" w:name="_Toc478045041"/>
      <w:bookmarkStart w:id="385" w:name="_Toc31661"/>
      <w:bookmarkStart w:id="386" w:name="_Toc330807421"/>
      <w:bookmarkStart w:id="387" w:name="_Toc479109889"/>
      <w:bookmarkStart w:id="388" w:name="_Toc460575550"/>
      <w:bookmarkStart w:id="389" w:name="_Toc10724"/>
      <w:bookmarkStart w:id="390" w:name="_Toc479109512"/>
      <w:bookmarkStart w:id="391" w:name="_Toc29642"/>
      <w:bookmarkStart w:id="392" w:name="_Toc229994473"/>
      <w:bookmarkStart w:id="393" w:name="_Toc1602"/>
      <w:bookmarkStart w:id="394" w:name="_Toc494521404"/>
      <w:bookmarkStart w:id="395" w:name="_Toc479146066"/>
      <w:bookmarkStart w:id="396" w:name="_Toc32453"/>
      <w:bookmarkStart w:id="397" w:name="_Toc227991428"/>
      <w:bookmarkStart w:id="398" w:name="_Toc477695241"/>
      <w:bookmarkStart w:id="399" w:name="_Toc23290"/>
      <w:bookmarkStart w:id="400" w:name="_Toc477705187"/>
      <w:bookmarkStart w:id="401" w:name="_Toc479145611"/>
      <w:bookmarkStart w:id="402" w:name="_Toc477696868"/>
      <w:bookmarkStart w:id="403" w:name="_Toc333852775"/>
      <w:r>
        <w:rPr>
          <w:rFonts w:hint="eastAsia" w:asciiTheme="minorEastAsia" w:hAnsiTheme="minorEastAsia" w:eastAsiaTheme="minorEastAsia" w:cstheme="minorEastAsia"/>
          <w:color w:val="auto"/>
          <w:szCs w:val="24"/>
          <w:lang w:val="zh-CN"/>
        </w:rPr>
        <w:t>2.1磋商文件的组成</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036BBA7B">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本磋商文件包括：</w:t>
      </w:r>
    </w:p>
    <w:p w14:paraId="0582676F">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fldChar w:fldCharType="begin"/>
      </w:r>
      <w:r>
        <w:rPr>
          <w:rFonts w:hint="eastAsia" w:asciiTheme="minorEastAsia" w:hAnsiTheme="minorEastAsia" w:eastAsiaTheme="minorEastAsia" w:cstheme="minorEastAsia"/>
          <w:color w:val="auto"/>
          <w:sz w:val="24"/>
          <w:szCs w:val="24"/>
          <w:lang w:val="zh-CN"/>
        </w:rPr>
        <w:instrText xml:space="preserve"> HYPERLINK \l "_Toc1597" </w:instrText>
      </w:r>
      <w:r>
        <w:rPr>
          <w:rFonts w:hint="eastAsia" w:asciiTheme="minorEastAsia" w:hAnsiTheme="minorEastAsia" w:eastAsiaTheme="minorEastAsia" w:cstheme="minorEastAsia"/>
          <w:color w:val="auto"/>
          <w:sz w:val="24"/>
          <w:szCs w:val="24"/>
          <w:lang w:val="zh-CN"/>
        </w:rPr>
        <w:fldChar w:fldCharType="separate"/>
      </w:r>
      <w:r>
        <w:rPr>
          <w:rFonts w:hint="eastAsia" w:asciiTheme="minorEastAsia" w:hAnsiTheme="minorEastAsia" w:eastAsiaTheme="minorEastAsia" w:cstheme="minorEastAsia"/>
          <w:color w:val="auto"/>
          <w:sz w:val="24"/>
          <w:szCs w:val="24"/>
          <w:lang w:val="zh-CN"/>
        </w:rPr>
        <w:t>第一章 竞争性磋商公告</w:t>
      </w:r>
      <w:r>
        <w:rPr>
          <w:rFonts w:hint="eastAsia" w:asciiTheme="minorEastAsia" w:hAnsiTheme="minorEastAsia" w:eastAsiaTheme="minorEastAsia" w:cstheme="minorEastAsia"/>
          <w:color w:val="auto"/>
          <w:sz w:val="24"/>
          <w:szCs w:val="24"/>
          <w:lang w:val="zh-CN"/>
        </w:rPr>
        <w:fldChar w:fldCharType="end"/>
      </w:r>
    </w:p>
    <w:p w14:paraId="60D74698">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fldChar w:fldCharType="begin"/>
      </w:r>
      <w:r>
        <w:rPr>
          <w:rFonts w:hint="eastAsia" w:asciiTheme="minorEastAsia" w:hAnsiTheme="minorEastAsia" w:eastAsiaTheme="minorEastAsia" w:cstheme="minorEastAsia"/>
          <w:color w:val="auto"/>
          <w:sz w:val="24"/>
          <w:szCs w:val="24"/>
          <w:lang w:val="zh-CN"/>
        </w:rPr>
        <w:instrText xml:space="preserve"> HYPERLINK \l "_Toc19614" </w:instrText>
      </w:r>
      <w:r>
        <w:rPr>
          <w:rFonts w:hint="eastAsia" w:asciiTheme="minorEastAsia" w:hAnsiTheme="minorEastAsia" w:eastAsiaTheme="minorEastAsia" w:cstheme="minorEastAsia"/>
          <w:color w:val="auto"/>
          <w:sz w:val="24"/>
          <w:szCs w:val="24"/>
          <w:lang w:val="zh-CN"/>
        </w:rPr>
        <w:fldChar w:fldCharType="separate"/>
      </w:r>
      <w:r>
        <w:rPr>
          <w:rFonts w:hint="eastAsia" w:asciiTheme="minorEastAsia" w:hAnsiTheme="minorEastAsia" w:eastAsiaTheme="minorEastAsia" w:cstheme="minorEastAsia"/>
          <w:color w:val="auto"/>
          <w:sz w:val="24"/>
          <w:szCs w:val="24"/>
          <w:lang w:val="zh-CN"/>
        </w:rPr>
        <w:t>第二章 磋商申请人须知</w:t>
      </w:r>
      <w:r>
        <w:rPr>
          <w:rFonts w:hint="eastAsia" w:asciiTheme="minorEastAsia" w:hAnsiTheme="minorEastAsia" w:eastAsiaTheme="minorEastAsia" w:cstheme="minorEastAsia"/>
          <w:color w:val="auto"/>
          <w:sz w:val="24"/>
          <w:szCs w:val="24"/>
          <w:lang w:val="zh-CN"/>
        </w:rPr>
        <w:fldChar w:fldCharType="end"/>
      </w:r>
    </w:p>
    <w:p w14:paraId="7C3E450F">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fldChar w:fldCharType="begin"/>
      </w:r>
      <w:r>
        <w:rPr>
          <w:rFonts w:hint="eastAsia" w:asciiTheme="minorEastAsia" w:hAnsiTheme="minorEastAsia" w:eastAsiaTheme="minorEastAsia" w:cstheme="minorEastAsia"/>
          <w:color w:val="auto"/>
          <w:sz w:val="24"/>
          <w:szCs w:val="24"/>
          <w:lang w:val="zh-CN"/>
        </w:rPr>
        <w:instrText xml:space="preserve"> HYPERLINK \l "_Toc29185" </w:instrText>
      </w:r>
      <w:r>
        <w:rPr>
          <w:rFonts w:hint="eastAsia" w:asciiTheme="minorEastAsia" w:hAnsiTheme="minorEastAsia" w:eastAsiaTheme="minorEastAsia" w:cstheme="minorEastAsia"/>
          <w:color w:val="auto"/>
          <w:sz w:val="24"/>
          <w:szCs w:val="24"/>
          <w:lang w:val="zh-CN"/>
        </w:rPr>
        <w:fldChar w:fldCharType="separate"/>
      </w:r>
      <w:r>
        <w:rPr>
          <w:rFonts w:hint="eastAsia" w:asciiTheme="minorEastAsia" w:hAnsiTheme="minorEastAsia" w:eastAsiaTheme="minorEastAsia" w:cstheme="minorEastAsia"/>
          <w:color w:val="auto"/>
          <w:sz w:val="24"/>
          <w:szCs w:val="24"/>
          <w:lang w:val="zh-CN"/>
        </w:rPr>
        <w:t>第三章 磋商程序及方法</w:t>
      </w:r>
      <w:r>
        <w:rPr>
          <w:rFonts w:hint="eastAsia" w:asciiTheme="minorEastAsia" w:hAnsiTheme="minorEastAsia" w:eastAsiaTheme="minorEastAsia" w:cstheme="minorEastAsia"/>
          <w:color w:val="auto"/>
          <w:sz w:val="24"/>
          <w:szCs w:val="24"/>
          <w:lang w:val="zh-CN"/>
        </w:rPr>
        <w:fldChar w:fldCharType="end"/>
      </w:r>
    </w:p>
    <w:p w14:paraId="02CC1EBD">
      <w:pPr>
        <w:spacing w:line="400" w:lineRule="exact"/>
        <w:ind w:firstLine="480" w:firstLineChars="200"/>
        <w:rPr>
          <w:rFonts w:hint="eastAsia" w:asciiTheme="minorEastAsia" w:hAnsiTheme="minorEastAsia" w:eastAsiaTheme="minorEastAsia" w:cstheme="minorEastAsia"/>
          <w:color w:val="auto"/>
          <w:sz w:val="24"/>
          <w:szCs w:val="24"/>
          <w:lang w:val="zh-CN"/>
        </w:rPr>
      </w:pPr>
      <w:bookmarkStart w:id="404" w:name="_Toc30869"/>
      <w:r>
        <w:rPr>
          <w:rFonts w:hint="eastAsia" w:asciiTheme="minorEastAsia" w:hAnsiTheme="minorEastAsia" w:eastAsiaTheme="minorEastAsia" w:cstheme="minorEastAsia"/>
          <w:color w:val="auto"/>
          <w:sz w:val="24"/>
          <w:szCs w:val="24"/>
          <w:lang w:val="zh-CN"/>
        </w:rPr>
        <w:fldChar w:fldCharType="begin"/>
      </w:r>
      <w:r>
        <w:rPr>
          <w:rFonts w:hint="eastAsia" w:asciiTheme="minorEastAsia" w:hAnsiTheme="minorEastAsia" w:eastAsiaTheme="minorEastAsia" w:cstheme="minorEastAsia"/>
          <w:color w:val="auto"/>
          <w:sz w:val="24"/>
          <w:szCs w:val="24"/>
          <w:lang w:val="zh-CN"/>
        </w:rPr>
        <w:instrText xml:space="preserve"> HYPERLINK \l _Toc5211 </w:instrText>
      </w:r>
      <w:r>
        <w:rPr>
          <w:rFonts w:hint="eastAsia" w:asciiTheme="minorEastAsia" w:hAnsiTheme="minorEastAsia" w:eastAsiaTheme="minorEastAsia" w:cstheme="minorEastAsia"/>
          <w:color w:val="auto"/>
          <w:sz w:val="24"/>
          <w:szCs w:val="24"/>
          <w:lang w:val="zh-CN"/>
        </w:rPr>
        <w:fldChar w:fldCharType="separate"/>
      </w:r>
      <w:r>
        <w:rPr>
          <w:rFonts w:hint="eastAsia" w:asciiTheme="minorEastAsia" w:hAnsiTheme="minorEastAsia" w:eastAsiaTheme="minorEastAsia" w:cstheme="minorEastAsia"/>
          <w:color w:val="auto"/>
          <w:sz w:val="24"/>
          <w:szCs w:val="24"/>
          <w:lang w:val="zh-CN"/>
        </w:rPr>
        <w:t>第四章 磋商响应文件格式</w:t>
      </w:r>
      <w:r>
        <w:rPr>
          <w:rFonts w:hint="eastAsia" w:asciiTheme="minorEastAsia" w:hAnsiTheme="minorEastAsia" w:eastAsiaTheme="minorEastAsia" w:cstheme="minorEastAsia"/>
          <w:color w:val="auto"/>
          <w:sz w:val="24"/>
          <w:szCs w:val="24"/>
          <w:lang w:val="zh-CN"/>
        </w:rPr>
        <w:fldChar w:fldCharType="end"/>
      </w:r>
    </w:p>
    <w:p w14:paraId="36D0F379">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fldChar w:fldCharType="begin"/>
      </w:r>
      <w:r>
        <w:rPr>
          <w:rFonts w:hint="eastAsia" w:asciiTheme="minorEastAsia" w:hAnsiTheme="minorEastAsia" w:eastAsiaTheme="minorEastAsia" w:cstheme="minorEastAsia"/>
          <w:color w:val="auto"/>
          <w:sz w:val="24"/>
          <w:szCs w:val="24"/>
          <w:lang w:val="zh-CN"/>
        </w:rPr>
        <w:instrText xml:space="preserve"> HYPERLINK \l "_Toc3764" </w:instrText>
      </w:r>
      <w:r>
        <w:rPr>
          <w:rFonts w:hint="eastAsia" w:asciiTheme="minorEastAsia" w:hAnsiTheme="minorEastAsia" w:eastAsiaTheme="minorEastAsia" w:cstheme="minorEastAsia"/>
          <w:color w:val="auto"/>
          <w:sz w:val="24"/>
          <w:szCs w:val="24"/>
          <w:lang w:val="zh-CN"/>
        </w:rPr>
        <w:fldChar w:fldCharType="separate"/>
      </w:r>
      <w:r>
        <w:rPr>
          <w:rFonts w:hint="eastAsia" w:asciiTheme="minorEastAsia" w:hAnsiTheme="minorEastAsia" w:eastAsiaTheme="minorEastAsia" w:cstheme="minorEastAsia"/>
          <w:color w:val="auto"/>
          <w:sz w:val="24"/>
          <w:szCs w:val="24"/>
          <w:lang w:val="zh-CN"/>
        </w:rPr>
        <w:t xml:space="preserve">第五章 </w:t>
      </w:r>
      <w:r>
        <w:rPr>
          <w:rFonts w:hint="eastAsia" w:asciiTheme="minorEastAsia" w:hAnsiTheme="minorEastAsia" w:eastAsiaTheme="minorEastAsia" w:cstheme="minorEastAsia"/>
          <w:color w:val="auto"/>
          <w:sz w:val="24"/>
          <w:szCs w:val="24"/>
          <w:lang w:val="zh-CN"/>
        </w:rPr>
        <w:fldChar w:fldCharType="end"/>
      </w:r>
      <w:r>
        <w:rPr>
          <w:rFonts w:hint="eastAsia" w:asciiTheme="minorEastAsia" w:hAnsiTheme="minorEastAsia" w:eastAsiaTheme="minorEastAsia" w:cstheme="minorEastAsia"/>
          <w:color w:val="auto"/>
          <w:sz w:val="24"/>
          <w:szCs w:val="24"/>
          <w:lang w:val="zh-CN"/>
        </w:rPr>
        <w:t>合同书样式（参考文本）</w:t>
      </w:r>
    </w:p>
    <w:p w14:paraId="69DEB350">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第六章 </w:t>
      </w:r>
      <w:bookmarkEnd w:id="404"/>
      <w:r>
        <w:rPr>
          <w:rFonts w:hint="eastAsia" w:asciiTheme="minorEastAsia" w:hAnsiTheme="minorEastAsia" w:eastAsiaTheme="minorEastAsia" w:cstheme="minorEastAsia"/>
          <w:color w:val="auto"/>
          <w:sz w:val="24"/>
          <w:szCs w:val="24"/>
          <w:lang w:val="zh-CN"/>
        </w:rPr>
        <w:t>服务要求</w:t>
      </w:r>
    </w:p>
    <w:p w14:paraId="58840120">
      <w:pPr>
        <w:spacing w:line="400" w:lineRule="exact"/>
        <w:ind w:firstLine="480" w:firstLineChars="20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根据本章第2.2款和第2.3款对磋商文件所作的澄清、修改，构成磋商文件的组成部分。</w:t>
      </w:r>
      <w:bookmarkStart w:id="405" w:name="_Toc479145612"/>
      <w:bookmarkStart w:id="406" w:name="_Toc477696869"/>
      <w:bookmarkStart w:id="407" w:name="_Toc330807422"/>
      <w:bookmarkStart w:id="408" w:name="_Toc479146067"/>
      <w:bookmarkStart w:id="409" w:name="_Toc479109513"/>
      <w:bookmarkStart w:id="410" w:name="_Toc460575551"/>
      <w:bookmarkStart w:id="411" w:name="_Toc477705188"/>
      <w:bookmarkStart w:id="412" w:name="_Toc479109890"/>
      <w:bookmarkStart w:id="413" w:name="_Toc477695242"/>
      <w:bookmarkStart w:id="414" w:name="_Toc229994474"/>
      <w:bookmarkStart w:id="415" w:name="_Toc227991429"/>
      <w:bookmarkStart w:id="416" w:name="_Toc478045042"/>
      <w:bookmarkStart w:id="417" w:name="_Toc494521405"/>
      <w:bookmarkStart w:id="418" w:name="_Toc333852776"/>
    </w:p>
    <w:p w14:paraId="5B2404AA">
      <w:pPr>
        <w:pStyle w:val="4"/>
        <w:spacing w:line="240" w:lineRule="auto"/>
        <w:rPr>
          <w:rFonts w:asciiTheme="minorEastAsia" w:hAnsiTheme="minorEastAsia" w:eastAsiaTheme="minorEastAsia" w:cstheme="minorEastAsia"/>
          <w:color w:val="auto"/>
          <w:szCs w:val="24"/>
          <w:lang w:val="zh-CN"/>
        </w:rPr>
      </w:pPr>
      <w:bookmarkStart w:id="419" w:name="_Toc3213"/>
      <w:bookmarkStart w:id="420" w:name="_Toc28769"/>
      <w:bookmarkStart w:id="421" w:name="_Toc26723"/>
      <w:bookmarkStart w:id="422" w:name="_Toc27862"/>
      <w:bookmarkStart w:id="423" w:name="_Toc160"/>
      <w:bookmarkStart w:id="424" w:name="_Toc23751"/>
      <w:bookmarkStart w:id="425" w:name="_Toc12196"/>
      <w:bookmarkStart w:id="426" w:name="_Toc18853"/>
      <w:r>
        <w:rPr>
          <w:rFonts w:hint="eastAsia" w:asciiTheme="minorEastAsia" w:hAnsiTheme="minorEastAsia" w:eastAsiaTheme="minorEastAsia" w:cstheme="minorEastAsia"/>
          <w:color w:val="auto"/>
          <w:szCs w:val="24"/>
          <w:lang w:val="zh-CN"/>
        </w:rPr>
        <w:t>2.2磋商文件的澄清</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457503EA">
      <w:pPr>
        <w:spacing w:line="400" w:lineRule="exact"/>
        <w:ind w:firstLine="480" w:firstLineChars="200"/>
        <w:rPr>
          <w:rFonts w:asciiTheme="minorEastAsia" w:hAnsiTheme="minorEastAsia" w:eastAsiaTheme="minorEastAsia" w:cstheme="minorEastAsia"/>
          <w:color w:val="auto"/>
          <w:sz w:val="24"/>
          <w:szCs w:val="24"/>
          <w:lang w:val="zh-CN"/>
        </w:rPr>
      </w:pPr>
      <w:bookmarkStart w:id="427" w:name="_Toc28037"/>
      <w:bookmarkStart w:id="428" w:name="_Toc333852777"/>
      <w:bookmarkStart w:id="429" w:name="_Toc460575552"/>
      <w:bookmarkStart w:id="430" w:name="_Toc227991430"/>
      <w:bookmarkStart w:id="431" w:name="_Toc14441"/>
      <w:bookmarkStart w:id="432" w:name="_Toc479109891"/>
      <w:bookmarkStart w:id="433" w:name="_Toc479109514"/>
      <w:bookmarkStart w:id="434" w:name="_Toc479145613"/>
      <w:bookmarkStart w:id="435" w:name="_Toc479146068"/>
      <w:bookmarkStart w:id="436" w:name="_Toc330807423"/>
      <w:bookmarkStart w:id="437" w:name="_Toc14254"/>
      <w:bookmarkStart w:id="438" w:name="_Toc6115"/>
      <w:bookmarkStart w:id="439" w:name="_Toc29214"/>
      <w:bookmarkStart w:id="440" w:name="_Toc16790"/>
      <w:bookmarkStart w:id="441" w:name="_Toc477705189"/>
      <w:bookmarkStart w:id="442" w:name="_Toc477696870"/>
      <w:bookmarkStart w:id="443" w:name="_Toc494521406"/>
      <w:bookmarkStart w:id="444" w:name="_Toc229994475"/>
      <w:bookmarkStart w:id="445" w:name="_Toc477695243"/>
      <w:bookmarkStart w:id="446" w:name="_Toc9709"/>
      <w:bookmarkStart w:id="447" w:name="_Toc478045043"/>
      <w:bookmarkStart w:id="448" w:name="_Toc229994476"/>
      <w:bookmarkStart w:id="449" w:name="_Toc477695244"/>
      <w:bookmarkStart w:id="450" w:name="_Toc479109892"/>
      <w:bookmarkStart w:id="451" w:name="_Toc477696871"/>
      <w:bookmarkStart w:id="452" w:name="_Toc479146069"/>
      <w:bookmarkStart w:id="453" w:name="_Toc479109515"/>
      <w:bookmarkStart w:id="454" w:name="_Toc330807424"/>
      <w:bookmarkStart w:id="455" w:name="_Toc460575553"/>
      <w:bookmarkStart w:id="456" w:name="_Toc10821"/>
      <w:bookmarkStart w:id="457" w:name="_Toc28060"/>
      <w:bookmarkStart w:id="458" w:name="_Toc333852778"/>
      <w:bookmarkStart w:id="459" w:name="_Toc479145614"/>
      <w:bookmarkStart w:id="460" w:name="_Toc478045044"/>
      <w:bookmarkStart w:id="461" w:name="_Toc494521407"/>
      <w:bookmarkStart w:id="462" w:name="_Toc227991431"/>
      <w:bookmarkStart w:id="463" w:name="_Toc25785"/>
      <w:bookmarkStart w:id="464" w:name="_Toc477705190"/>
      <w:r>
        <w:rPr>
          <w:rFonts w:hint="eastAsia" w:asciiTheme="minorEastAsia" w:hAnsiTheme="minorEastAsia" w:eastAsiaTheme="minorEastAsia" w:cstheme="minorEastAsia"/>
          <w:color w:val="auto"/>
          <w:sz w:val="24"/>
          <w:szCs w:val="24"/>
          <w:lang w:val="zh-CN"/>
        </w:rPr>
        <w:t>2.2.1磋商申请人应仔细阅读和检查磋商文件的全部内容。如发现缺页或附件不全，应及时向</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提出，以便补齐。如有疑问，应在磋商申请人须知前附表规定的时间前以书面形式（包括信函、电报、传真等可以有形地表现所载内容的形式，下同），要求</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对磋商文件予以澄清。</w:t>
      </w:r>
    </w:p>
    <w:p w14:paraId="6DC3F030">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2.2.2磋商文件的澄清应当在磋商申请人须知前附表规定的磋商截止时间</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zh-CN"/>
        </w:rPr>
        <w:t>日前以书面形式发给所有购买磋商文件的磋商申请人，但不指明澄清问题的来源。如果澄清发出的时间距磋商截止时间不足</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zh-CN"/>
        </w:rPr>
        <w:t>日，如果磋商申请人认为足以影响其编制磋商响应文件的，磋商申请人必须书面向</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提出顺延磋商截止时间的申请，磋商申请人不提出申请，视为磋商申请人同意磋商文件(包括澄清文件)规定的磋商响应文件递交的截止时间。</w:t>
      </w:r>
    </w:p>
    <w:p w14:paraId="29B28B5C">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2.2.3磋商申请人在收到澄清后，应在磋商申请人须知前附表规定的时间内以书面形式通知</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，确认已收到该澄清。</w:t>
      </w:r>
    </w:p>
    <w:p w14:paraId="3E5011F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2.2.4特别说明：决定参加磋商的</w:t>
      </w: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sz w:val="24"/>
          <w:szCs w:val="24"/>
          <w:lang w:val="zh-CN"/>
        </w:rPr>
        <w:t>若认为磋商文件的资格要求和技术要求有倾向性或不公正性，可在磋商截止</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zh-CN"/>
        </w:rPr>
        <w:t>日前提出。对于没有提出澄清又参与了该项目的</w:t>
      </w: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sz w:val="24"/>
          <w:szCs w:val="24"/>
          <w:lang w:val="zh-CN"/>
        </w:rPr>
        <w:t>将被视为完全认同该项目的磋商文件，磋商开始后不再受理针对磋商文件的相关质疑及投诉。</w:t>
      </w:r>
    </w:p>
    <w:p w14:paraId="2B1587FF">
      <w:pPr>
        <w:pStyle w:val="4"/>
        <w:spacing w:line="240" w:lineRule="auto"/>
        <w:rPr>
          <w:rFonts w:asciiTheme="minorEastAsia" w:hAnsiTheme="minorEastAsia" w:eastAsiaTheme="minorEastAsia" w:cstheme="minorEastAsia"/>
          <w:color w:val="auto"/>
          <w:szCs w:val="24"/>
          <w:lang w:val="zh-CN"/>
        </w:rPr>
      </w:pPr>
      <w:bookmarkStart w:id="465" w:name="_Toc28129"/>
      <w:bookmarkStart w:id="466" w:name="_Toc18639"/>
      <w:bookmarkStart w:id="467" w:name="_Toc11409"/>
      <w:bookmarkStart w:id="468" w:name="_Toc9725"/>
      <w:r>
        <w:rPr>
          <w:rFonts w:hint="eastAsia" w:asciiTheme="minorEastAsia" w:hAnsiTheme="minorEastAsia" w:eastAsiaTheme="minorEastAsia" w:cstheme="minorEastAsia"/>
          <w:color w:val="auto"/>
          <w:szCs w:val="24"/>
          <w:lang w:val="zh-CN"/>
        </w:rPr>
        <w:t>2.3磋商文件的修改</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65"/>
      <w:bookmarkEnd w:id="466"/>
      <w:bookmarkEnd w:id="467"/>
      <w:bookmarkEnd w:id="468"/>
    </w:p>
    <w:p w14:paraId="28FA8480">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2.3.1在磋商截止时间</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zh-CN"/>
        </w:rPr>
        <w:t>日前，</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可以书面形式修改磋商文件，并通知所有已</w:t>
      </w:r>
      <w:r>
        <w:rPr>
          <w:rFonts w:hint="eastAsia" w:asciiTheme="minorEastAsia" w:hAnsiTheme="minorEastAsia" w:eastAsiaTheme="minorEastAsia" w:cstheme="minorEastAsia"/>
          <w:color w:val="auto"/>
          <w:sz w:val="24"/>
          <w:szCs w:val="24"/>
        </w:rPr>
        <w:t>获取</w:t>
      </w:r>
      <w:r>
        <w:rPr>
          <w:rFonts w:hint="eastAsia" w:asciiTheme="minorEastAsia" w:hAnsiTheme="minorEastAsia" w:eastAsiaTheme="minorEastAsia" w:cstheme="minorEastAsia"/>
          <w:color w:val="auto"/>
          <w:sz w:val="24"/>
          <w:szCs w:val="24"/>
          <w:lang w:val="zh-CN"/>
        </w:rPr>
        <w:t>磋商文件的磋商申请人。如果修改磋商文件的时间距磋商截止时间不足</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zh-CN"/>
        </w:rPr>
        <w:t>日，磋商申请人认为足以影响其编制磋商文件的，磋商申请人必须书面向</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提出顺延磋商截止时间的申请，磋商申请人不提出申请，视为磋商申请人同意磋商文件(包括修改文件)规定的磋商响应文件递交的截止时间。</w:t>
      </w:r>
    </w:p>
    <w:p w14:paraId="34ACF311">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2.3.2磋商申请人收到修改内容后，应在磋商申请人须知前附表规定的时间内以书面形式通知</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，确认已收到该修改。</w:t>
      </w:r>
    </w:p>
    <w:p w14:paraId="6DF89067">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2.3.3</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对磋商文件中的</w:t>
      </w:r>
      <w:r>
        <w:rPr>
          <w:rFonts w:hint="eastAsia" w:asciiTheme="minorEastAsia" w:hAnsiTheme="minorEastAsia" w:eastAsiaTheme="minorEastAsia" w:cstheme="minorEastAsia"/>
          <w:color w:val="auto"/>
          <w:sz w:val="24"/>
          <w:szCs w:val="24"/>
        </w:rPr>
        <w:t>采购内容</w:t>
      </w:r>
      <w:r>
        <w:rPr>
          <w:rFonts w:hint="eastAsia" w:asciiTheme="minorEastAsia" w:hAnsiTheme="minorEastAsia" w:eastAsiaTheme="minorEastAsia" w:cstheme="minorEastAsia"/>
          <w:color w:val="auto"/>
          <w:sz w:val="24"/>
          <w:szCs w:val="24"/>
          <w:lang w:val="zh-CN"/>
        </w:rPr>
        <w:t>、评标办法、评审项目等重要评审内容做出变更，将同时发布补遗文件进行说明以保证各</w:t>
      </w: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sz w:val="24"/>
          <w:szCs w:val="24"/>
          <w:lang w:val="zh-CN"/>
        </w:rPr>
        <w:t>都能重新编制磋商响应文件。</w:t>
      </w:r>
    </w:p>
    <w:p w14:paraId="39CBC3D1">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2.3.4</w:t>
      </w: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sz w:val="24"/>
          <w:szCs w:val="24"/>
          <w:lang w:val="zh-CN"/>
        </w:rPr>
        <w:t>在收到</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书面答疑和澄清后，</w:t>
      </w:r>
      <w:r>
        <w:rPr>
          <w:rFonts w:hint="eastAsia" w:asciiTheme="minorEastAsia" w:hAnsiTheme="minorEastAsia" w:eastAsiaTheme="minorEastAsia" w:cstheme="minorEastAsia"/>
          <w:color w:val="auto"/>
          <w:sz w:val="24"/>
          <w:szCs w:val="24"/>
        </w:rPr>
        <w:t>以书面形式回复确认收到答疑澄清的通知</w:t>
      </w:r>
      <w:r>
        <w:rPr>
          <w:rFonts w:hint="eastAsia" w:asciiTheme="minorEastAsia" w:hAnsiTheme="minorEastAsia" w:eastAsiaTheme="minorEastAsia" w:cstheme="minorEastAsia"/>
          <w:color w:val="auto"/>
          <w:sz w:val="24"/>
          <w:szCs w:val="24"/>
          <w:lang w:val="zh-CN"/>
        </w:rPr>
        <w:t>。</w:t>
      </w:r>
    </w:p>
    <w:p w14:paraId="6963760B">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2.3.5为使磋商申请人编写磋商响应文件时有充分时间对磋商文件的修改部分进行研究，</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可以自行决定，酌情延长磋商截止日期。</w:t>
      </w:r>
    </w:p>
    <w:p w14:paraId="4919964D">
      <w:pPr>
        <w:pStyle w:val="4"/>
        <w:numPr>
          <w:ilvl w:val="0"/>
          <w:numId w:val="7"/>
        </w:numPr>
        <w:spacing w:line="240" w:lineRule="auto"/>
        <w:rPr>
          <w:rFonts w:asciiTheme="minorEastAsia" w:hAnsiTheme="minorEastAsia" w:eastAsiaTheme="minorEastAsia" w:cstheme="minorEastAsia"/>
          <w:color w:val="auto"/>
          <w:szCs w:val="24"/>
          <w:lang w:val="zh-CN"/>
        </w:rPr>
      </w:pPr>
      <w:bookmarkStart w:id="469" w:name="_Toc29991"/>
      <w:bookmarkStart w:id="470" w:name="_Toc16983"/>
      <w:bookmarkStart w:id="471" w:name="_Toc9626"/>
      <w:bookmarkStart w:id="472" w:name="_Toc18951"/>
      <w:r>
        <w:rPr>
          <w:rFonts w:hint="eastAsia" w:asciiTheme="minorEastAsia" w:hAnsiTheme="minorEastAsia" w:eastAsiaTheme="minorEastAsia" w:cstheme="minorEastAsia"/>
          <w:color w:val="auto"/>
          <w:szCs w:val="24"/>
          <w:lang w:val="zh-CN"/>
        </w:rPr>
        <w:t>磋商响应文件</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9"/>
      <w:bookmarkEnd w:id="470"/>
      <w:bookmarkEnd w:id="471"/>
      <w:bookmarkEnd w:id="472"/>
    </w:p>
    <w:p w14:paraId="4405BB22">
      <w:pPr>
        <w:spacing w:line="400" w:lineRule="exact"/>
        <w:outlineLvl w:val="1"/>
        <w:rPr>
          <w:rFonts w:asciiTheme="minorEastAsia" w:hAnsiTheme="minorEastAsia" w:eastAsiaTheme="minorEastAsia" w:cstheme="minorEastAsia"/>
          <w:b/>
          <w:bCs/>
          <w:color w:val="auto"/>
          <w:sz w:val="24"/>
          <w:szCs w:val="24"/>
        </w:rPr>
      </w:pPr>
      <w:bookmarkStart w:id="473" w:name="_Toc24610"/>
      <w:bookmarkStart w:id="474" w:name="_Toc18743"/>
      <w:bookmarkStart w:id="475" w:name="_Toc17684"/>
      <w:r>
        <w:rPr>
          <w:rFonts w:hint="eastAsia" w:asciiTheme="minorEastAsia" w:hAnsiTheme="minorEastAsia" w:eastAsiaTheme="minorEastAsia" w:cstheme="minorEastAsia"/>
          <w:b/>
          <w:bCs/>
          <w:color w:val="auto"/>
          <w:sz w:val="24"/>
          <w:szCs w:val="24"/>
        </w:rPr>
        <w:t>3.1响应文件组成：</w:t>
      </w:r>
      <w:bookmarkEnd w:id="473"/>
      <w:bookmarkEnd w:id="474"/>
      <w:bookmarkEnd w:id="475"/>
    </w:p>
    <w:p w14:paraId="5609C643">
      <w:pPr>
        <w:pStyle w:val="42"/>
        <w:ind w:firstLine="240"/>
        <w:rPr>
          <w:color w:val="auto"/>
          <w:sz w:val="24"/>
          <w:szCs w:val="22"/>
        </w:rPr>
      </w:pPr>
      <w:r>
        <w:rPr>
          <w:rFonts w:hint="eastAsia"/>
          <w:color w:val="auto"/>
          <w:sz w:val="24"/>
          <w:szCs w:val="22"/>
        </w:rPr>
        <w:t>一、开 标（唱 标）一 览 表</w:t>
      </w:r>
    </w:p>
    <w:p w14:paraId="7594D401">
      <w:pPr>
        <w:pStyle w:val="42"/>
        <w:ind w:firstLine="240"/>
        <w:rPr>
          <w:color w:val="auto"/>
          <w:sz w:val="24"/>
          <w:szCs w:val="22"/>
        </w:rPr>
      </w:pPr>
      <w:r>
        <w:rPr>
          <w:rFonts w:hint="eastAsia"/>
          <w:color w:val="auto"/>
          <w:sz w:val="24"/>
          <w:szCs w:val="22"/>
        </w:rPr>
        <w:t>二、投  标  函</w:t>
      </w:r>
    </w:p>
    <w:p w14:paraId="03C30DFE">
      <w:pPr>
        <w:pStyle w:val="42"/>
        <w:ind w:firstLine="240"/>
        <w:rPr>
          <w:color w:val="auto"/>
          <w:sz w:val="24"/>
          <w:szCs w:val="22"/>
        </w:rPr>
      </w:pPr>
      <w:r>
        <w:rPr>
          <w:rFonts w:hint="eastAsia"/>
          <w:color w:val="auto"/>
          <w:sz w:val="24"/>
          <w:szCs w:val="22"/>
        </w:rPr>
        <w:t>三、法定代表人身份证明书</w:t>
      </w:r>
    </w:p>
    <w:p w14:paraId="40E79011">
      <w:pPr>
        <w:pStyle w:val="42"/>
        <w:ind w:firstLine="240"/>
        <w:rPr>
          <w:color w:val="auto"/>
          <w:sz w:val="24"/>
          <w:szCs w:val="22"/>
        </w:rPr>
      </w:pPr>
      <w:r>
        <w:rPr>
          <w:rFonts w:hint="eastAsia"/>
          <w:color w:val="auto"/>
          <w:sz w:val="24"/>
          <w:szCs w:val="22"/>
        </w:rPr>
        <w:t>四、授权委托书</w:t>
      </w:r>
    </w:p>
    <w:p w14:paraId="27E0AF02">
      <w:pPr>
        <w:pStyle w:val="42"/>
        <w:ind w:firstLine="240"/>
        <w:rPr>
          <w:color w:val="auto"/>
          <w:sz w:val="24"/>
          <w:szCs w:val="22"/>
        </w:rPr>
      </w:pPr>
      <w:r>
        <w:rPr>
          <w:rFonts w:hint="eastAsia"/>
          <w:color w:val="auto"/>
          <w:sz w:val="24"/>
          <w:szCs w:val="22"/>
        </w:rPr>
        <w:t>五、投标文件资格审查部分格式</w:t>
      </w:r>
    </w:p>
    <w:p w14:paraId="35EFDBFA">
      <w:pPr>
        <w:pStyle w:val="42"/>
        <w:ind w:firstLine="240"/>
        <w:rPr>
          <w:color w:val="auto"/>
          <w:sz w:val="24"/>
          <w:szCs w:val="22"/>
        </w:rPr>
      </w:pPr>
      <w:r>
        <w:rPr>
          <w:rFonts w:hint="eastAsia"/>
          <w:color w:val="auto"/>
          <w:sz w:val="24"/>
          <w:szCs w:val="22"/>
        </w:rPr>
        <w:t>（1）磋商申请人基本情况表</w:t>
      </w:r>
    </w:p>
    <w:p w14:paraId="7FB26287">
      <w:pPr>
        <w:pStyle w:val="42"/>
        <w:ind w:firstLine="240"/>
        <w:rPr>
          <w:color w:val="auto"/>
          <w:sz w:val="24"/>
          <w:szCs w:val="22"/>
        </w:rPr>
      </w:pPr>
      <w:r>
        <w:rPr>
          <w:rFonts w:hint="eastAsia"/>
          <w:color w:val="auto"/>
          <w:sz w:val="24"/>
          <w:szCs w:val="22"/>
        </w:rPr>
        <w:t>（2）社保、纳税、财务状况</w:t>
      </w:r>
    </w:p>
    <w:p w14:paraId="72F1C7D1">
      <w:pPr>
        <w:pStyle w:val="42"/>
        <w:ind w:firstLine="240"/>
        <w:rPr>
          <w:color w:val="auto"/>
          <w:sz w:val="24"/>
          <w:szCs w:val="22"/>
        </w:rPr>
      </w:pPr>
      <w:r>
        <w:rPr>
          <w:rFonts w:hint="eastAsia"/>
          <w:color w:val="auto"/>
          <w:sz w:val="24"/>
          <w:szCs w:val="22"/>
        </w:rPr>
        <w:t>（3）参加政府采购活动前三年内在经营活动中没有重大违法记录的声明</w:t>
      </w:r>
    </w:p>
    <w:p w14:paraId="19D3E4E5">
      <w:pPr>
        <w:pStyle w:val="42"/>
        <w:ind w:firstLine="240"/>
        <w:rPr>
          <w:color w:val="auto"/>
          <w:sz w:val="24"/>
          <w:szCs w:val="22"/>
          <w:lang w:val="zh-CN"/>
        </w:rPr>
      </w:pPr>
      <w:r>
        <w:rPr>
          <w:rFonts w:hint="eastAsia"/>
          <w:color w:val="auto"/>
          <w:sz w:val="24"/>
          <w:szCs w:val="22"/>
        </w:rPr>
        <w:t>（4）中小企业声明函</w:t>
      </w:r>
    </w:p>
    <w:p w14:paraId="6E2BEA22">
      <w:pPr>
        <w:pStyle w:val="42"/>
        <w:ind w:firstLine="240"/>
        <w:rPr>
          <w:color w:val="auto"/>
          <w:sz w:val="24"/>
          <w:szCs w:val="22"/>
        </w:rPr>
      </w:pPr>
      <w:r>
        <w:rPr>
          <w:rFonts w:hint="eastAsia"/>
          <w:color w:val="auto"/>
          <w:sz w:val="24"/>
          <w:szCs w:val="22"/>
        </w:rPr>
        <w:t>（5）残疾人福利性单位声明函</w:t>
      </w:r>
    </w:p>
    <w:p w14:paraId="0FD08803">
      <w:pPr>
        <w:pStyle w:val="42"/>
        <w:ind w:firstLine="240"/>
        <w:rPr>
          <w:color w:val="auto"/>
          <w:sz w:val="24"/>
          <w:szCs w:val="22"/>
        </w:rPr>
      </w:pPr>
      <w:r>
        <w:rPr>
          <w:rFonts w:hint="eastAsia"/>
          <w:color w:val="auto"/>
          <w:sz w:val="24"/>
          <w:szCs w:val="22"/>
        </w:rPr>
        <w:t>（6）其他材料</w:t>
      </w:r>
    </w:p>
    <w:p w14:paraId="28157072">
      <w:pPr>
        <w:pStyle w:val="42"/>
        <w:ind w:firstLine="240"/>
        <w:rPr>
          <w:color w:val="auto"/>
          <w:sz w:val="24"/>
          <w:szCs w:val="22"/>
        </w:rPr>
      </w:pPr>
      <w:r>
        <w:rPr>
          <w:rFonts w:hint="eastAsia"/>
          <w:color w:val="auto"/>
          <w:sz w:val="24"/>
          <w:szCs w:val="22"/>
        </w:rPr>
        <w:t>六、服务方案</w:t>
      </w:r>
    </w:p>
    <w:p w14:paraId="45332AD7">
      <w:pPr>
        <w:pStyle w:val="42"/>
        <w:ind w:firstLine="240"/>
        <w:rPr>
          <w:color w:val="auto"/>
          <w:sz w:val="24"/>
          <w:szCs w:val="22"/>
        </w:rPr>
      </w:pPr>
      <w:r>
        <w:rPr>
          <w:rFonts w:hint="eastAsia"/>
          <w:color w:val="auto"/>
          <w:sz w:val="24"/>
          <w:szCs w:val="22"/>
        </w:rPr>
        <w:t>七、人员配置</w:t>
      </w:r>
    </w:p>
    <w:p w14:paraId="148448E4">
      <w:pPr>
        <w:pStyle w:val="42"/>
        <w:numPr>
          <w:ilvl w:val="0"/>
          <w:numId w:val="8"/>
        </w:numPr>
        <w:ind w:firstLine="240"/>
        <w:rPr>
          <w:color w:val="auto"/>
          <w:sz w:val="24"/>
          <w:szCs w:val="22"/>
        </w:rPr>
      </w:pPr>
      <w:r>
        <w:rPr>
          <w:rFonts w:hint="eastAsia"/>
          <w:color w:val="auto"/>
          <w:sz w:val="24"/>
          <w:szCs w:val="22"/>
        </w:rPr>
        <w:t>设备工具配置</w:t>
      </w:r>
    </w:p>
    <w:p w14:paraId="69C984DB">
      <w:pPr>
        <w:pStyle w:val="42"/>
        <w:numPr>
          <w:ilvl w:val="0"/>
          <w:numId w:val="8"/>
        </w:numPr>
        <w:ind w:firstLine="240"/>
        <w:rPr>
          <w:color w:val="auto"/>
          <w:sz w:val="24"/>
          <w:szCs w:val="22"/>
        </w:rPr>
      </w:pPr>
      <w:r>
        <w:rPr>
          <w:rFonts w:hint="eastAsia"/>
          <w:color w:val="auto"/>
          <w:sz w:val="24"/>
          <w:szCs w:val="22"/>
        </w:rPr>
        <w:t>服务承诺</w:t>
      </w:r>
    </w:p>
    <w:p w14:paraId="7F3E33A3">
      <w:pPr>
        <w:pStyle w:val="42"/>
        <w:numPr>
          <w:ilvl w:val="0"/>
          <w:numId w:val="8"/>
        </w:numPr>
        <w:ind w:firstLine="240"/>
        <w:rPr>
          <w:color w:val="auto"/>
          <w:sz w:val="24"/>
          <w:szCs w:val="22"/>
        </w:rPr>
      </w:pPr>
      <w:r>
        <w:rPr>
          <w:rFonts w:hint="eastAsia"/>
          <w:color w:val="auto"/>
          <w:sz w:val="24"/>
          <w:szCs w:val="22"/>
        </w:rPr>
        <w:t>规章管理制度</w:t>
      </w:r>
    </w:p>
    <w:p w14:paraId="70A30FE5">
      <w:pPr>
        <w:pStyle w:val="42"/>
        <w:numPr>
          <w:ilvl w:val="0"/>
          <w:numId w:val="8"/>
        </w:numPr>
        <w:ind w:firstLine="240"/>
        <w:rPr>
          <w:color w:val="auto"/>
          <w:sz w:val="24"/>
          <w:szCs w:val="22"/>
        </w:rPr>
      </w:pPr>
      <w:r>
        <w:rPr>
          <w:rFonts w:hint="eastAsia"/>
          <w:color w:val="auto"/>
          <w:sz w:val="24"/>
          <w:szCs w:val="22"/>
        </w:rPr>
        <w:t>企业综合实力</w:t>
      </w:r>
    </w:p>
    <w:p w14:paraId="4B87D72B">
      <w:pPr>
        <w:pStyle w:val="42"/>
        <w:ind w:firstLine="240"/>
        <w:rPr>
          <w:color w:val="auto"/>
          <w:sz w:val="24"/>
          <w:szCs w:val="22"/>
        </w:rPr>
      </w:pPr>
      <w:r>
        <w:rPr>
          <w:rFonts w:hint="eastAsia"/>
          <w:color w:val="auto"/>
          <w:sz w:val="24"/>
          <w:szCs w:val="22"/>
        </w:rPr>
        <w:t>十二、磋商申请人认为须提供的其他证明材料（格式自拟）</w:t>
      </w:r>
    </w:p>
    <w:p w14:paraId="5B9F03D6">
      <w:pPr>
        <w:pStyle w:val="4"/>
        <w:spacing w:line="36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3.2磋商报价</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35F167B8">
      <w:pPr>
        <w:spacing w:line="400" w:lineRule="exact"/>
        <w:ind w:firstLine="480" w:firstLineChars="200"/>
        <w:rPr>
          <w:rFonts w:asciiTheme="minorEastAsia" w:hAnsiTheme="minorEastAsia" w:eastAsiaTheme="minorEastAsia" w:cstheme="minorEastAsia"/>
          <w:color w:val="auto"/>
          <w:sz w:val="24"/>
          <w:szCs w:val="24"/>
          <w:lang w:val="zh-CN"/>
        </w:rPr>
      </w:pPr>
      <w:bookmarkStart w:id="476" w:name="_Toc18452"/>
      <w:bookmarkStart w:id="477" w:name="_Toc23866"/>
      <w:r>
        <w:rPr>
          <w:rFonts w:hint="eastAsia" w:asciiTheme="minorEastAsia" w:hAnsiTheme="minorEastAsia" w:eastAsiaTheme="minorEastAsia" w:cstheme="minorEastAsia"/>
          <w:color w:val="auto"/>
          <w:sz w:val="24"/>
          <w:szCs w:val="24"/>
        </w:rPr>
        <w:t>3.2.1</w:t>
      </w:r>
      <w:r>
        <w:rPr>
          <w:rFonts w:hint="eastAsia" w:asciiTheme="minorEastAsia" w:hAnsiTheme="minorEastAsia" w:eastAsiaTheme="minorEastAsia" w:cstheme="minorEastAsia"/>
          <w:color w:val="auto"/>
          <w:sz w:val="24"/>
          <w:szCs w:val="24"/>
          <w:lang w:val="zh-CN"/>
        </w:rPr>
        <w:t>报价方式：总价报价方式报价。</w:t>
      </w:r>
    </w:p>
    <w:p w14:paraId="7BD9D14B">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3.2.2</w:t>
      </w:r>
      <w:r>
        <w:rPr>
          <w:rFonts w:hint="eastAsia" w:asciiTheme="minorEastAsia" w:hAnsiTheme="minorEastAsia" w:eastAsiaTheme="minorEastAsia" w:cstheme="minorEastAsia"/>
          <w:color w:val="auto"/>
          <w:sz w:val="24"/>
          <w:szCs w:val="24"/>
          <w:lang w:val="zh-CN"/>
        </w:rPr>
        <w:t>投标报价说明：投标报价应是本项目招标范围服务内容全部费用。</w:t>
      </w:r>
    </w:p>
    <w:p w14:paraId="6A5C1455">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3.2.3</w:t>
      </w:r>
      <w:r>
        <w:rPr>
          <w:rFonts w:hint="eastAsia" w:asciiTheme="minorEastAsia" w:hAnsiTheme="minorEastAsia" w:eastAsiaTheme="minorEastAsia" w:cstheme="minorEastAsia"/>
          <w:color w:val="auto"/>
          <w:sz w:val="24"/>
          <w:szCs w:val="24"/>
          <w:lang w:val="zh-CN"/>
        </w:rPr>
        <w:t>磋商申请人须结合市场因素，并根据自身水平及实力，合理列报投标报价，磋商申请人应充分考虑本项目合同实施期间可能发生的一切费用，并承担由此而带来的风险。凡磋商申请人在报价中未列明但又为本次招标必备的项目或遗漏项目，采购单位将一律视为已包括在其报价中，在合同执行中将不予考虑。</w:t>
      </w:r>
    </w:p>
    <w:p w14:paraId="440393EC">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3.2.4</w:t>
      </w:r>
      <w:r>
        <w:rPr>
          <w:rFonts w:hint="eastAsia" w:asciiTheme="minorEastAsia" w:hAnsiTheme="minorEastAsia" w:eastAsiaTheme="minorEastAsia" w:cstheme="minorEastAsia"/>
          <w:color w:val="auto"/>
          <w:sz w:val="24"/>
          <w:szCs w:val="24"/>
          <w:lang w:val="zh-CN"/>
        </w:rPr>
        <w:t>采购单位不承诺投标报价最低者中标。</w:t>
      </w:r>
    </w:p>
    <w:p w14:paraId="0336CC15">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3.2.5</w:t>
      </w:r>
      <w:r>
        <w:rPr>
          <w:rFonts w:hint="eastAsia" w:asciiTheme="minorEastAsia" w:hAnsiTheme="minorEastAsia" w:eastAsiaTheme="minorEastAsia" w:cstheme="minorEastAsia"/>
          <w:color w:val="auto"/>
          <w:sz w:val="24"/>
          <w:szCs w:val="24"/>
          <w:lang w:val="zh-CN"/>
        </w:rPr>
        <w:t>超出最高限价，作无效标处理。</w:t>
      </w:r>
    </w:p>
    <w:p w14:paraId="057FE4C2">
      <w:pPr>
        <w:pStyle w:val="4"/>
        <w:spacing w:line="240" w:lineRule="auto"/>
        <w:rPr>
          <w:rFonts w:asciiTheme="minorEastAsia" w:hAnsiTheme="minorEastAsia" w:eastAsiaTheme="minorEastAsia" w:cstheme="minorEastAsia"/>
          <w:color w:val="auto"/>
          <w:szCs w:val="24"/>
          <w:lang w:val="zh-CN"/>
        </w:rPr>
      </w:pPr>
      <w:r>
        <w:rPr>
          <w:rFonts w:hint="eastAsia" w:asciiTheme="minorEastAsia" w:hAnsiTheme="minorEastAsia" w:eastAsiaTheme="minorEastAsia" w:cstheme="minorEastAsia"/>
          <w:color w:val="auto"/>
          <w:szCs w:val="24"/>
          <w:lang w:val="zh-CN"/>
        </w:rPr>
        <w:t>3.</w:t>
      </w:r>
      <w:r>
        <w:rPr>
          <w:rFonts w:hint="eastAsia" w:asciiTheme="minorEastAsia" w:hAnsiTheme="minorEastAsia" w:eastAsiaTheme="minorEastAsia" w:cstheme="minorEastAsia"/>
          <w:color w:val="auto"/>
          <w:szCs w:val="24"/>
        </w:rPr>
        <w:t>3</w:t>
      </w:r>
      <w:r>
        <w:rPr>
          <w:rFonts w:hint="eastAsia" w:asciiTheme="minorEastAsia" w:hAnsiTheme="minorEastAsia" w:eastAsiaTheme="minorEastAsia" w:cstheme="minorEastAsia"/>
          <w:color w:val="auto"/>
          <w:szCs w:val="24"/>
          <w:lang w:val="zh-CN"/>
        </w:rPr>
        <w:t>磋商有效期</w:t>
      </w:r>
      <w:bookmarkEnd w:id="476"/>
    </w:p>
    <w:p w14:paraId="50BEC1EF">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zh-CN"/>
        </w:rPr>
        <w:t>.1在磋商申请人须知前附表规定的磋商有效期内，磋商申请人不得要求撤销或修改其磋商响应文件。</w:t>
      </w:r>
    </w:p>
    <w:p w14:paraId="5F6DDBE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zh-CN"/>
        </w:rPr>
        <w:t>.2出现特殊情况需要延长磋商有效期的，采购单位以书面形式通知所有磋商申请人延长有效期。磋商申请人同意延长的，应相应延长其投标保证金的有效期，但不得要求或被允许修改或撤销其磋商文件；磋商申请人拒绝延长的，其磋商失效，但磋商申请人有权收回其投标保证金。</w:t>
      </w:r>
    </w:p>
    <w:p w14:paraId="7571EA5B">
      <w:pPr>
        <w:pStyle w:val="4"/>
        <w:spacing w:line="240" w:lineRule="auto"/>
        <w:rPr>
          <w:rFonts w:asciiTheme="minorEastAsia" w:hAnsiTheme="minorEastAsia" w:eastAsiaTheme="minorEastAsia" w:cstheme="minorEastAsia"/>
          <w:color w:val="auto"/>
          <w:szCs w:val="24"/>
          <w:lang w:val="zh-CN"/>
        </w:rPr>
      </w:pPr>
      <w:bookmarkStart w:id="478" w:name="_Toc478045048"/>
      <w:bookmarkStart w:id="479" w:name="_Toc477695248"/>
      <w:bookmarkStart w:id="480" w:name="_Toc479109519"/>
      <w:bookmarkStart w:id="481" w:name="_Toc479109896"/>
      <w:bookmarkStart w:id="482" w:name="_Toc330807428"/>
      <w:bookmarkStart w:id="483" w:name="_Toc479145618"/>
      <w:bookmarkStart w:id="484" w:name="_Toc477696875"/>
      <w:bookmarkStart w:id="485" w:name="_Toc460575557"/>
      <w:bookmarkStart w:id="486" w:name="_Toc477705194"/>
      <w:bookmarkStart w:id="487" w:name="_Toc229994480"/>
      <w:bookmarkStart w:id="488" w:name="_Toc494521411"/>
      <w:bookmarkStart w:id="489" w:name="_Toc479146073"/>
      <w:bookmarkStart w:id="490" w:name="_Toc333852782"/>
      <w:bookmarkStart w:id="491" w:name="_Toc227991435"/>
      <w:bookmarkStart w:id="492" w:name="_Toc20520"/>
      <w:bookmarkStart w:id="493" w:name="_Toc22489"/>
      <w:bookmarkStart w:id="494" w:name="_Toc22451"/>
      <w:bookmarkStart w:id="495" w:name="_Toc15413"/>
      <w:bookmarkStart w:id="496" w:name="_Toc5924"/>
      <w:bookmarkStart w:id="497" w:name="_Toc30820"/>
      <w:bookmarkStart w:id="498" w:name="_Toc6666"/>
      <w:bookmarkStart w:id="499" w:name="_Toc24401"/>
      <w:r>
        <w:rPr>
          <w:rFonts w:hint="eastAsia" w:asciiTheme="minorEastAsia" w:hAnsiTheme="minorEastAsia" w:eastAsiaTheme="minorEastAsia" w:cstheme="minorEastAsia"/>
          <w:color w:val="auto"/>
          <w:szCs w:val="24"/>
          <w:lang w:val="zh-CN"/>
        </w:rPr>
        <w:t>3.</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hint="eastAsia" w:asciiTheme="minorEastAsia" w:hAnsiTheme="minorEastAsia" w:eastAsiaTheme="minorEastAsia" w:cstheme="minorEastAsia"/>
          <w:color w:val="auto"/>
          <w:szCs w:val="24"/>
        </w:rPr>
        <w:t>4</w:t>
      </w:r>
      <w:r>
        <w:rPr>
          <w:rFonts w:hint="eastAsia" w:asciiTheme="minorEastAsia" w:hAnsiTheme="minorEastAsia" w:eastAsiaTheme="minorEastAsia" w:cstheme="minorEastAsia"/>
          <w:color w:val="auto"/>
          <w:szCs w:val="24"/>
          <w:lang w:val="zh-CN"/>
        </w:rPr>
        <w:t>投标保证金</w:t>
      </w:r>
      <w:bookmarkEnd w:id="492"/>
      <w:bookmarkEnd w:id="493"/>
      <w:bookmarkEnd w:id="494"/>
      <w:bookmarkEnd w:id="495"/>
      <w:bookmarkEnd w:id="496"/>
      <w:bookmarkEnd w:id="497"/>
      <w:bookmarkEnd w:id="498"/>
      <w:bookmarkEnd w:id="499"/>
    </w:p>
    <w:p w14:paraId="3F824BAC">
      <w:pPr>
        <w:ind w:firstLine="480" w:firstLineChars="200"/>
        <w:rPr>
          <w:color w:val="auto"/>
        </w:rPr>
      </w:pPr>
      <w:r>
        <w:rPr>
          <w:rFonts w:hint="eastAsia" w:asciiTheme="minorEastAsia" w:hAnsiTheme="minorEastAsia" w:eastAsiaTheme="minorEastAsia" w:cstheme="minorEastAsia"/>
          <w:color w:val="auto"/>
          <w:sz w:val="24"/>
          <w:szCs w:val="24"/>
        </w:rPr>
        <w:t>本项目不收取投标保证金</w:t>
      </w:r>
    </w:p>
    <w:p w14:paraId="19673351">
      <w:pPr>
        <w:pStyle w:val="4"/>
        <w:spacing w:line="240" w:lineRule="auto"/>
        <w:rPr>
          <w:rFonts w:asciiTheme="minorEastAsia" w:hAnsiTheme="minorEastAsia" w:eastAsiaTheme="minorEastAsia" w:cstheme="minorEastAsia"/>
          <w:color w:val="auto"/>
          <w:szCs w:val="24"/>
          <w:lang w:val="zh-CN"/>
        </w:rPr>
      </w:pPr>
      <w:bookmarkStart w:id="500" w:name="_Toc11989"/>
      <w:bookmarkStart w:id="501" w:name="_Toc5891"/>
      <w:bookmarkStart w:id="502" w:name="_Toc7525"/>
      <w:bookmarkStart w:id="503" w:name="_Toc501437471"/>
      <w:bookmarkStart w:id="504" w:name="_Toc1331"/>
      <w:bookmarkStart w:id="505" w:name="_Toc11202"/>
      <w:bookmarkStart w:id="506" w:name="_Toc26660"/>
      <w:bookmarkStart w:id="507" w:name="_Toc31578"/>
      <w:r>
        <w:rPr>
          <w:rFonts w:hint="eastAsia" w:asciiTheme="minorEastAsia" w:hAnsiTheme="minorEastAsia" w:eastAsiaTheme="minorEastAsia" w:cstheme="minorEastAsia"/>
          <w:color w:val="auto"/>
          <w:szCs w:val="24"/>
          <w:lang w:val="zh-CN"/>
        </w:rPr>
        <w:t>3.</w:t>
      </w:r>
      <w:r>
        <w:rPr>
          <w:rFonts w:hint="eastAsia" w:asciiTheme="minorEastAsia" w:hAnsiTheme="minorEastAsia" w:eastAsiaTheme="minorEastAsia" w:cstheme="minorEastAsia"/>
          <w:color w:val="auto"/>
          <w:szCs w:val="24"/>
        </w:rPr>
        <w:t>5</w:t>
      </w:r>
      <w:r>
        <w:rPr>
          <w:rFonts w:hint="eastAsia" w:asciiTheme="minorEastAsia" w:hAnsiTheme="minorEastAsia" w:eastAsiaTheme="minorEastAsia" w:cstheme="minorEastAsia"/>
          <w:color w:val="auto"/>
          <w:szCs w:val="24"/>
          <w:lang w:val="zh-CN"/>
        </w:rPr>
        <w:t>资格审查资料</w:t>
      </w:r>
      <w:bookmarkEnd w:id="500"/>
      <w:bookmarkEnd w:id="501"/>
      <w:bookmarkEnd w:id="502"/>
      <w:bookmarkEnd w:id="503"/>
      <w:bookmarkEnd w:id="504"/>
      <w:bookmarkEnd w:id="505"/>
      <w:bookmarkEnd w:id="506"/>
      <w:bookmarkEnd w:id="507"/>
      <w:bookmarkStart w:id="508" w:name="_Toc333852784"/>
      <w:bookmarkStart w:id="509" w:name="_Toc330807430"/>
      <w:bookmarkStart w:id="510" w:name="_Toc494521412"/>
      <w:bookmarkStart w:id="511" w:name="_Toc479109897"/>
      <w:bookmarkStart w:id="512" w:name="_Toc477696876"/>
      <w:bookmarkStart w:id="513" w:name="_Toc479145619"/>
      <w:bookmarkStart w:id="514" w:name="_Toc477695249"/>
      <w:bookmarkStart w:id="515" w:name="_Toc479146074"/>
      <w:bookmarkStart w:id="516" w:name="_Toc477705195"/>
      <w:bookmarkStart w:id="517" w:name="_Toc229994482"/>
      <w:bookmarkStart w:id="518" w:name="_Toc460575559"/>
      <w:bookmarkStart w:id="519" w:name="_Toc479109520"/>
      <w:bookmarkStart w:id="520" w:name="_Toc478045049"/>
      <w:bookmarkStart w:id="521" w:name="_Toc227991438"/>
    </w:p>
    <w:p w14:paraId="5E5139F7">
      <w:pPr>
        <w:spacing w:line="400" w:lineRule="exact"/>
        <w:ind w:firstLine="480" w:firstLineChars="200"/>
        <w:rPr>
          <w:rFonts w:asciiTheme="minorEastAsia" w:hAnsiTheme="minorEastAsia" w:eastAsiaTheme="minorEastAsia" w:cstheme="minorEastAsia"/>
          <w:color w:val="auto"/>
          <w:sz w:val="24"/>
          <w:szCs w:val="24"/>
        </w:rPr>
      </w:pPr>
      <w:bookmarkStart w:id="522" w:name="_Toc23937"/>
      <w:r>
        <w:rPr>
          <w:rFonts w:hint="eastAsia" w:asciiTheme="minorEastAsia" w:hAnsiTheme="minorEastAsia" w:eastAsiaTheme="minorEastAsia" w:cstheme="minorEastAsia"/>
          <w:color w:val="auto"/>
          <w:sz w:val="24"/>
          <w:szCs w:val="24"/>
        </w:rPr>
        <w:t>磋商申请人按第三章磋商程序及方法中“资格审查标准”要求提供相应证明材料。</w:t>
      </w:r>
    </w:p>
    <w:p w14:paraId="0AC79C4D">
      <w:pPr>
        <w:pStyle w:val="4"/>
        <w:spacing w:line="240" w:lineRule="auto"/>
        <w:rPr>
          <w:rFonts w:asciiTheme="minorEastAsia" w:hAnsiTheme="minorEastAsia" w:eastAsiaTheme="minorEastAsia" w:cstheme="minorEastAsia"/>
          <w:color w:val="auto"/>
          <w:szCs w:val="24"/>
          <w:lang w:val="zh-CN"/>
        </w:rPr>
      </w:pPr>
      <w:bookmarkStart w:id="523" w:name="_Toc24662"/>
      <w:bookmarkStart w:id="524" w:name="_Toc11333"/>
      <w:bookmarkStart w:id="525" w:name="_Toc26003"/>
      <w:bookmarkStart w:id="526" w:name="_Toc7281"/>
      <w:bookmarkStart w:id="527" w:name="_Toc32247"/>
      <w:bookmarkStart w:id="528" w:name="_Toc8307"/>
      <w:bookmarkStart w:id="529" w:name="_Toc20721"/>
      <w:r>
        <w:rPr>
          <w:rFonts w:hint="eastAsia" w:asciiTheme="minorEastAsia" w:hAnsiTheme="minorEastAsia" w:eastAsiaTheme="minorEastAsia" w:cstheme="minorEastAsia"/>
          <w:color w:val="auto"/>
          <w:szCs w:val="24"/>
          <w:lang w:val="zh-CN"/>
        </w:rPr>
        <w:t>3.</w:t>
      </w:r>
      <w:r>
        <w:rPr>
          <w:rFonts w:hint="eastAsia" w:asciiTheme="minorEastAsia" w:hAnsiTheme="minorEastAsia" w:eastAsiaTheme="minorEastAsia" w:cstheme="minorEastAsia"/>
          <w:color w:val="auto"/>
          <w:szCs w:val="24"/>
        </w:rPr>
        <w:t>6</w:t>
      </w:r>
      <w:r>
        <w:rPr>
          <w:rFonts w:hint="eastAsia" w:asciiTheme="minorEastAsia" w:hAnsiTheme="minorEastAsia" w:eastAsiaTheme="minorEastAsia" w:cstheme="minorEastAsia"/>
          <w:color w:val="auto"/>
          <w:szCs w:val="24"/>
          <w:lang w:val="zh-CN"/>
        </w:rPr>
        <w:t>备选磋商方案</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54B4DFE5">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除磋商申请人须知前附表另有规定外，磋商申请人不得递交备选磋商方案。允许磋商申请人递交备选磋商方案的，只有中标人所递交的备选磋商方案可予以考虑。评标委员会认为</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的备选磋商方案优于其按照磋商文件要求编制的磋商方案的，采购单位可以接受该备选磋商方案。</w:t>
      </w:r>
    </w:p>
    <w:p w14:paraId="592B723D">
      <w:pPr>
        <w:pStyle w:val="4"/>
        <w:spacing w:line="240" w:lineRule="auto"/>
        <w:rPr>
          <w:rFonts w:asciiTheme="minorEastAsia" w:hAnsiTheme="minorEastAsia" w:eastAsiaTheme="minorEastAsia" w:cstheme="minorEastAsia"/>
          <w:color w:val="auto"/>
          <w:szCs w:val="24"/>
          <w:lang w:val="zh-CN"/>
        </w:rPr>
      </w:pPr>
      <w:bookmarkStart w:id="530" w:name="_Toc477696877"/>
      <w:bookmarkStart w:id="531" w:name="_Toc479109521"/>
      <w:bookmarkStart w:id="532" w:name="_Toc20473"/>
      <w:bookmarkStart w:id="533" w:name="_Toc479146075"/>
      <w:bookmarkStart w:id="534" w:name="_Toc479109898"/>
      <w:bookmarkStart w:id="535" w:name="_Toc333852785"/>
      <w:bookmarkStart w:id="536" w:name="_Toc19136"/>
      <w:bookmarkStart w:id="537" w:name="_Toc19502"/>
      <w:bookmarkStart w:id="538" w:name="_Toc29781"/>
      <w:bookmarkStart w:id="539" w:name="_Toc479145620"/>
      <w:bookmarkStart w:id="540" w:name="_Toc227991439"/>
      <w:bookmarkStart w:id="541" w:name="_Toc478045050"/>
      <w:bookmarkStart w:id="542" w:name="_Toc12764"/>
      <w:bookmarkStart w:id="543" w:name="_Toc24373"/>
      <w:bookmarkStart w:id="544" w:name="_Toc330807431"/>
      <w:bookmarkStart w:id="545" w:name="_Toc229994483"/>
      <w:bookmarkStart w:id="546" w:name="_Toc460575560"/>
      <w:bookmarkStart w:id="547" w:name="_Toc21659"/>
      <w:bookmarkStart w:id="548" w:name="_Toc477695250"/>
      <w:bookmarkStart w:id="549" w:name="_Toc477705196"/>
      <w:bookmarkStart w:id="550" w:name="_Toc494521413"/>
      <w:bookmarkStart w:id="551" w:name="_Toc7151"/>
      <w:r>
        <w:rPr>
          <w:rFonts w:hint="eastAsia" w:asciiTheme="minorEastAsia" w:hAnsiTheme="minorEastAsia" w:eastAsiaTheme="minorEastAsia" w:cstheme="minorEastAsia"/>
          <w:color w:val="auto"/>
          <w:szCs w:val="24"/>
          <w:lang w:val="zh-CN"/>
        </w:rPr>
        <w:t>3.</w:t>
      </w:r>
      <w:r>
        <w:rPr>
          <w:rFonts w:hint="eastAsia" w:asciiTheme="minorEastAsia" w:hAnsiTheme="minorEastAsia" w:eastAsiaTheme="minorEastAsia" w:cstheme="minorEastAsia"/>
          <w:color w:val="auto"/>
          <w:szCs w:val="24"/>
        </w:rPr>
        <w:t>7</w:t>
      </w:r>
      <w:r>
        <w:rPr>
          <w:rFonts w:hint="eastAsia" w:asciiTheme="minorEastAsia" w:hAnsiTheme="minorEastAsia" w:eastAsiaTheme="minorEastAsia" w:cstheme="minorEastAsia"/>
          <w:color w:val="auto"/>
          <w:szCs w:val="24"/>
          <w:lang w:val="zh-CN"/>
        </w:rPr>
        <w:t>磋商响应文件的编制</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Start w:id="552" w:name="_Toc477696878"/>
      <w:bookmarkStart w:id="553" w:name="_Toc330807432"/>
      <w:bookmarkStart w:id="554" w:name="_Toc479109522"/>
      <w:bookmarkStart w:id="555" w:name="_Toc479145621"/>
      <w:bookmarkStart w:id="556" w:name="_Toc333852786"/>
      <w:bookmarkStart w:id="557" w:name="_Toc477695251"/>
      <w:bookmarkStart w:id="558" w:name="_Toc478045051"/>
      <w:bookmarkStart w:id="559" w:name="_Toc477705197"/>
      <w:bookmarkStart w:id="560" w:name="_Toc479146076"/>
      <w:bookmarkStart w:id="561" w:name="_Toc460575561"/>
      <w:bookmarkStart w:id="562" w:name="_Toc227991440"/>
      <w:bookmarkStart w:id="563" w:name="_Toc479109899"/>
      <w:bookmarkStart w:id="564" w:name="_Toc229994484"/>
    </w:p>
    <w:p w14:paraId="457A1BB4">
      <w:pPr>
        <w:spacing w:line="400" w:lineRule="exact"/>
        <w:ind w:firstLine="480" w:firstLineChars="200"/>
        <w:rPr>
          <w:rFonts w:asciiTheme="minorEastAsia" w:hAnsiTheme="minorEastAsia" w:eastAsiaTheme="minorEastAsia" w:cstheme="minorEastAsia"/>
          <w:color w:val="auto"/>
          <w:sz w:val="24"/>
          <w:szCs w:val="24"/>
          <w:lang w:val="zh-CN"/>
        </w:rPr>
      </w:pPr>
      <w:bookmarkStart w:id="565" w:name="_Toc16315"/>
      <w:bookmarkStart w:id="566" w:name="_Toc25562"/>
      <w:bookmarkStart w:id="567" w:name="_Toc13878"/>
      <w:bookmarkStart w:id="568" w:name="_Toc28261"/>
      <w:bookmarkStart w:id="569" w:name="_Toc30779"/>
      <w:bookmarkStart w:id="570" w:name="_Toc10355"/>
      <w:r>
        <w:rPr>
          <w:rFonts w:hint="eastAsia" w:asciiTheme="minorEastAsia" w:hAnsiTheme="minorEastAsia" w:eastAsiaTheme="minorEastAsia" w:cstheme="minorEastAsia"/>
          <w:color w:val="auto"/>
          <w:sz w:val="24"/>
          <w:szCs w:val="24"/>
          <w:lang w:val="zh-CN"/>
        </w:rPr>
        <w:t>3.</w:t>
      </w:r>
      <w:r>
        <w:rPr>
          <w:rFonts w:hint="eastAsia" w:asciiTheme="minorEastAsia" w:hAnsiTheme="minorEastAsia" w:eastAsiaTheme="minorEastAsia" w:cstheme="minorEastAsia"/>
          <w:color w:val="auto"/>
          <w:sz w:val="24"/>
          <w:szCs w:val="24"/>
        </w:rPr>
        <w:t>7</w:t>
      </w:r>
      <w:r>
        <w:rPr>
          <w:rFonts w:hint="eastAsia" w:asciiTheme="minorEastAsia" w:hAnsiTheme="minorEastAsia" w:eastAsiaTheme="minorEastAsia" w:cstheme="minorEastAsia"/>
          <w:color w:val="auto"/>
          <w:sz w:val="24"/>
          <w:szCs w:val="24"/>
          <w:lang w:val="zh-CN"/>
        </w:rPr>
        <w:t>.1磋商响应文件应按第</w:t>
      </w:r>
      <w:r>
        <w:rPr>
          <w:rFonts w:hint="eastAsia" w:asciiTheme="minorEastAsia" w:hAnsiTheme="minorEastAsia" w:eastAsiaTheme="minorEastAsia" w:cstheme="minorEastAsia"/>
          <w:color w:val="auto"/>
          <w:sz w:val="24"/>
          <w:szCs w:val="24"/>
        </w:rPr>
        <w:t>四</w:t>
      </w:r>
      <w:r>
        <w:rPr>
          <w:rFonts w:hint="eastAsia" w:asciiTheme="minorEastAsia" w:hAnsiTheme="minorEastAsia" w:eastAsiaTheme="minorEastAsia" w:cstheme="minorEastAsia"/>
          <w:color w:val="auto"/>
          <w:sz w:val="24"/>
          <w:szCs w:val="24"/>
          <w:lang w:val="zh-CN"/>
        </w:rPr>
        <w:t>章“磋商响应文件格式”进行编写，如有必要，可以增加附页，作为磋商响应文件的组成部分。其中，投标函在满足磋商文件实质性要求的基础上，可以提出比磋商文件要求更有利于采购单位的承诺。</w:t>
      </w:r>
    </w:p>
    <w:p w14:paraId="1DC3DDCF">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w:t>
      </w:r>
      <w:r>
        <w:rPr>
          <w:rFonts w:hint="eastAsia" w:asciiTheme="minorEastAsia" w:hAnsiTheme="minorEastAsia" w:eastAsiaTheme="minorEastAsia" w:cstheme="minorEastAsia"/>
          <w:color w:val="auto"/>
          <w:sz w:val="24"/>
          <w:szCs w:val="24"/>
        </w:rPr>
        <w:t>7</w:t>
      </w:r>
      <w:r>
        <w:rPr>
          <w:rFonts w:hint="eastAsia" w:asciiTheme="minorEastAsia" w:hAnsiTheme="minorEastAsia" w:eastAsiaTheme="minorEastAsia" w:cstheme="minorEastAsia"/>
          <w:color w:val="auto"/>
          <w:sz w:val="24"/>
          <w:szCs w:val="24"/>
          <w:lang w:val="zh-CN"/>
        </w:rPr>
        <w:t>.2磋商响应文件应当对磋商文件有关</w:t>
      </w:r>
      <w:r>
        <w:rPr>
          <w:rFonts w:hint="eastAsia" w:asciiTheme="minorEastAsia" w:hAnsiTheme="minorEastAsia" w:eastAsiaTheme="minorEastAsia" w:cstheme="minorEastAsia"/>
          <w:color w:val="auto"/>
          <w:sz w:val="24"/>
          <w:szCs w:val="24"/>
        </w:rPr>
        <w:t>服务期限</w:t>
      </w:r>
      <w:r>
        <w:rPr>
          <w:rFonts w:hint="eastAsia" w:asciiTheme="minorEastAsia" w:hAnsiTheme="minorEastAsia" w:eastAsiaTheme="minorEastAsia" w:cstheme="minorEastAsia"/>
          <w:color w:val="auto"/>
          <w:sz w:val="24"/>
          <w:szCs w:val="24"/>
          <w:lang w:val="zh-CN"/>
        </w:rPr>
        <w:t>、磋商有效期、质量要求、技术标准和要求等实质性内容作出响应。</w:t>
      </w:r>
    </w:p>
    <w:p w14:paraId="0FD001EF">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w:t>
      </w:r>
      <w:r>
        <w:rPr>
          <w:rFonts w:hint="eastAsia" w:asciiTheme="minorEastAsia" w:hAnsiTheme="minorEastAsia" w:eastAsiaTheme="minorEastAsia" w:cstheme="minorEastAsia"/>
          <w:color w:val="auto"/>
          <w:sz w:val="24"/>
          <w:szCs w:val="24"/>
        </w:rPr>
        <w:t>7</w:t>
      </w:r>
      <w:r>
        <w:rPr>
          <w:rFonts w:hint="eastAsia" w:asciiTheme="minorEastAsia" w:hAnsiTheme="minorEastAsia" w:eastAsiaTheme="minorEastAsia" w:cstheme="minorEastAsia"/>
          <w:color w:val="auto"/>
          <w:sz w:val="24"/>
          <w:szCs w:val="24"/>
          <w:lang w:val="zh-CN"/>
        </w:rPr>
        <w:t>.3磋商响应文件应由磋商申请人的法定代表人或其委托代理人签章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zh-CN"/>
        </w:rPr>
        <w:t>并加盖单位章。委托代理人签字的，磋商响应文件应附法定代表人签署的授权委托书。磋商响应文件应尽量避免涂改、行间插字或删除。如果出现上述情况，改动之处应加盖单位章，且由磋商申请人的法定代表人或其授权的代理人签字确认。签章的具体要求见磋商申请人须知前附表。</w:t>
      </w:r>
    </w:p>
    <w:p w14:paraId="47E4ABCD">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w:t>
      </w:r>
      <w:r>
        <w:rPr>
          <w:rFonts w:hint="eastAsia" w:asciiTheme="minorEastAsia" w:hAnsiTheme="minorEastAsia" w:eastAsiaTheme="minorEastAsia" w:cstheme="minorEastAsia"/>
          <w:color w:val="auto"/>
          <w:sz w:val="24"/>
          <w:szCs w:val="24"/>
        </w:rPr>
        <w:t>7</w:t>
      </w:r>
      <w:r>
        <w:rPr>
          <w:rFonts w:hint="eastAsia" w:asciiTheme="minorEastAsia" w:hAnsiTheme="minorEastAsia" w:eastAsiaTheme="minorEastAsia" w:cstheme="minorEastAsia"/>
          <w:color w:val="auto"/>
          <w:sz w:val="24"/>
          <w:szCs w:val="24"/>
          <w:lang w:val="zh-CN"/>
        </w:rPr>
        <w:t>.4磋商响应文件份数见磋商申请人须知前附表。</w:t>
      </w:r>
    </w:p>
    <w:bookmarkEnd w:id="565"/>
    <w:bookmarkEnd w:id="566"/>
    <w:bookmarkEnd w:id="567"/>
    <w:bookmarkEnd w:id="568"/>
    <w:bookmarkEnd w:id="569"/>
    <w:bookmarkEnd w:id="570"/>
    <w:p w14:paraId="0DE18199">
      <w:pPr>
        <w:pStyle w:val="4"/>
        <w:spacing w:line="240" w:lineRule="auto"/>
        <w:rPr>
          <w:rFonts w:asciiTheme="minorEastAsia" w:hAnsiTheme="minorEastAsia" w:eastAsiaTheme="minorEastAsia" w:cstheme="minorEastAsia"/>
          <w:color w:val="auto"/>
          <w:szCs w:val="24"/>
          <w:lang w:val="zh-CN"/>
        </w:rPr>
      </w:pPr>
      <w:bookmarkStart w:id="571" w:name="_Toc494521414"/>
      <w:bookmarkStart w:id="572" w:name="_Toc26810"/>
      <w:bookmarkStart w:id="573" w:name="_Toc2661"/>
      <w:bookmarkStart w:id="574" w:name="_Toc6543"/>
      <w:bookmarkStart w:id="575" w:name="_Toc20414"/>
      <w:bookmarkStart w:id="576" w:name="_Toc3943"/>
      <w:bookmarkStart w:id="577" w:name="_Toc16965"/>
      <w:bookmarkStart w:id="578" w:name="_Toc9024"/>
      <w:r>
        <w:rPr>
          <w:rFonts w:hint="eastAsia" w:asciiTheme="minorEastAsia" w:hAnsiTheme="minorEastAsia" w:eastAsiaTheme="minorEastAsia" w:cstheme="minorEastAsia"/>
          <w:color w:val="auto"/>
          <w:szCs w:val="24"/>
          <w:lang w:val="zh-CN"/>
        </w:rPr>
        <w:t>4.</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71"/>
      <w:r>
        <w:rPr>
          <w:rFonts w:hint="eastAsia" w:asciiTheme="minorEastAsia" w:hAnsiTheme="minorEastAsia" w:eastAsiaTheme="minorEastAsia" w:cstheme="minorEastAsia"/>
          <w:color w:val="auto"/>
          <w:szCs w:val="24"/>
          <w:lang w:val="zh-CN"/>
        </w:rPr>
        <w:t>投标</w:t>
      </w:r>
      <w:bookmarkEnd w:id="572"/>
      <w:bookmarkEnd w:id="573"/>
      <w:bookmarkEnd w:id="574"/>
      <w:bookmarkEnd w:id="575"/>
      <w:bookmarkEnd w:id="576"/>
      <w:bookmarkEnd w:id="577"/>
      <w:bookmarkEnd w:id="578"/>
    </w:p>
    <w:p w14:paraId="1C52601C">
      <w:pPr>
        <w:pStyle w:val="4"/>
        <w:spacing w:line="240" w:lineRule="auto"/>
        <w:rPr>
          <w:rFonts w:asciiTheme="minorEastAsia" w:hAnsiTheme="minorEastAsia" w:eastAsiaTheme="minorEastAsia" w:cstheme="minorEastAsia"/>
          <w:color w:val="auto"/>
          <w:szCs w:val="24"/>
          <w:lang w:val="zh-CN"/>
        </w:rPr>
      </w:pPr>
      <w:bookmarkStart w:id="579" w:name="_Toc477705198"/>
      <w:bookmarkStart w:id="580" w:name="_Toc227991441"/>
      <w:bookmarkStart w:id="581" w:name="_Toc479109523"/>
      <w:bookmarkStart w:id="582" w:name="_Toc479145622"/>
      <w:bookmarkStart w:id="583" w:name="_Toc229994485"/>
      <w:bookmarkStart w:id="584" w:name="_Toc478045052"/>
      <w:bookmarkStart w:id="585" w:name="_Toc494521415"/>
      <w:bookmarkStart w:id="586" w:name="_Toc477695252"/>
      <w:bookmarkStart w:id="587" w:name="_Toc330807433"/>
      <w:bookmarkStart w:id="588" w:name="_Toc479109900"/>
      <w:bookmarkStart w:id="589" w:name="_Toc477696879"/>
      <w:bookmarkStart w:id="590" w:name="_Toc460575562"/>
      <w:bookmarkStart w:id="591" w:name="_Toc333852787"/>
      <w:bookmarkStart w:id="592" w:name="_Toc479146077"/>
      <w:bookmarkStart w:id="593" w:name="_Toc16382"/>
      <w:bookmarkStart w:id="594" w:name="_Toc28506"/>
      <w:bookmarkStart w:id="595" w:name="_Toc19218"/>
      <w:bookmarkStart w:id="596" w:name="_Toc30798"/>
      <w:bookmarkStart w:id="597" w:name="_Toc14833"/>
      <w:bookmarkStart w:id="598" w:name="_Toc23534"/>
      <w:bookmarkStart w:id="599" w:name="_Toc24414"/>
      <w:bookmarkStart w:id="600" w:name="_Toc24679"/>
      <w:r>
        <w:rPr>
          <w:rFonts w:hint="eastAsia" w:asciiTheme="minorEastAsia" w:hAnsiTheme="minorEastAsia" w:eastAsiaTheme="minorEastAsia" w:cstheme="minorEastAsia"/>
          <w:color w:val="auto"/>
          <w:szCs w:val="24"/>
          <w:lang w:val="zh-CN"/>
        </w:rPr>
        <w:t>4.1 磋商响应文件的密封</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rPr>
          <w:rFonts w:hint="eastAsia" w:asciiTheme="minorEastAsia" w:hAnsiTheme="minorEastAsia" w:eastAsiaTheme="minorEastAsia" w:cstheme="minorEastAsia"/>
          <w:color w:val="auto"/>
          <w:szCs w:val="24"/>
          <w:lang w:val="zh-CN"/>
        </w:rPr>
        <w:t>和标识</w:t>
      </w:r>
      <w:bookmarkEnd w:id="593"/>
      <w:bookmarkEnd w:id="594"/>
      <w:bookmarkEnd w:id="595"/>
      <w:bookmarkEnd w:id="596"/>
      <w:bookmarkEnd w:id="597"/>
      <w:bookmarkEnd w:id="598"/>
      <w:bookmarkEnd w:id="599"/>
      <w:bookmarkEnd w:id="600"/>
    </w:p>
    <w:p w14:paraId="699CD119">
      <w:pPr>
        <w:spacing w:line="400" w:lineRule="exact"/>
        <w:ind w:firstLine="480" w:firstLineChars="200"/>
        <w:rPr>
          <w:rFonts w:asciiTheme="minorEastAsia" w:hAnsiTheme="minorEastAsia" w:eastAsiaTheme="minorEastAsia" w:cstheme="minorEastAsia"/>
          <w:color w:val="auto"/>
          <w:sz w:val="24"/>
          <w:szCs w:val="24"/>
          <w:lang w:val="zh-CN"/>
        </w:rPr>
      </w:pPr>
      <w:bookmarkStart w:id="601" w:name="_Toc4592"/>
      <w:bookmarkStart w:id="602" w:name="_Toc460575563"/>
      <w:bookmarkStart w:id="603" w:name="_Toc333852788"/>
      <w:bookmarkStart w:id="604" w:name="_Toc477695253"/>
      <w:bookmarkStart w:id="605" w:name="_Toc479109524"/>
      <w:bookmarkStart w:id="606" w:name="_Toc478045053"/>
      <w:bookmarkStart w:id="607" w:name="_Toc494521416"/>
      <w:bookmarkStart w:id="608" w:name="_Toc330807434"/>
      <w:bookmarkStart w:id="609" w:name="_Toc479145623"/>
      <w:bookmarkStart w:id="610" w:name="_Toc477705199"/>
      <w:bookmarkStart w:id="611" w:name="_Toc479109901"/>
      <w:bookmarkStart w:id="612" w:name="_Toc229994486"/>
      <w:bookmarkStart w:id="613" w:name="_Toc479146078"/>
      <w:bookmarkStart w:id="614" w:name="_Toc477696880"/>
      <w:bookmarkStart w:id="615" w:name="_Toc227991442"/>
      <w:r>
        <w:rPr>
          <w:rFonts w:hint="eastAsia" w:asciiTheme="minorEastAsia" w:hAnsiTheme="minorEastAsia" w:eastAsiaTheme="minorEastAsia" w:cstheme="minorEastAsia"/>
          <w:color w:val="auto"/>
          <w:sz w:val="24"/>
          <w:szCs w:val="24"/>
          <w:lang w:val="zh-CN"/>
        </w:rPr>
        <w:t>4.1.1</w:t>
      </w:r>
      <w:r>
        <w:rPr>
          <w:rFonts w:hint="eastAsia" w:asciiTheme="minorEastAsia" w:hAnsiTheme="minorEastAsia" w:eastAsiaTheme="minorEastAsia" w:cstheme="minorEastAsia"/>
          <w:color w:val="auto"/>
          <w:sz w:val="24"/>
          <w:szCs w:val="24"/>
        </w:rPr>
        <w:t>现场</w:t>
      </w:r>
      <w:r>
        <w:rPr>
          <w:rFonts w:hint="eastAsia" w:asciiTheme="minorEastAsia" w:hAnsiTheme="minorEastAsia" w:eastAsiaTheme="minorEastAsia" w:cstheme="minorEastAsia"/>
          <w:color w:val="auto"/>
          <w:sz w:val="24"/>
          <w:szCs w:val="24"/>
          <w:lang w:val="zh-CN"/>
        </w:rPr>
        <w:t>递交的磋商响应文件需要对磋商响应文件进行</w:t>
      </w:r>
      <w:r>
        <w:rPr>
          <w:rFonts w:hint="eastAsia" w:asciiTheme="minorEastAsia" w:hAnsiTheme="minorEastAsia" w:eastAsiaTheme="minorEastAsia" w:cstheme="minorEastAsia"/>
          <w:color w:val="auto"/>
          <w:sz w:val="24"/>
          <w:szCs w:val="24"/>
        </w:rPr>
        <w:t>密封</w:t>
      </w:r>
      <w:r>
        <w:rPr>
          <w:rFonts w:hint="eastAsia" w:asciiTheme="minorEastAsia" w:hAnsiTheme="minorEastAsia" w:eastAsiaTheme="minorEastAsia" w:cstheme="minorEastAsia"/>
          <w:color w:val="auto"/>
          <w:sz w:val="24"/>
          <w:szCs w:val="24"/>
          <w:lang w:val="zh-CN"/>
        </w:rPr>
        <w:t>。</w:t>
      </w:r>
      <w:bookmarkEnd w:id="601"/>
    </w:p>
    <w:p w14:paraId="4871B63B">
      <w:pPr>
        <w:spacing w:line="400" w:lineRule="exact"/>
        <w:ind w:firstLine="480" w:firstLineChars="200"/>
        <w:rPr>
          <w:rFonts w:asciiTheme="minorEastAsia" w:hAnsiTheme="minorEastAsia" w:eastAsiaTheme="minorEastAsia" w:cstheme="minorEastAsia"/>
          <w:color w:val="auto"/>
          <w:sz w:val="24"/>
          <w:szCs w:val="24"/>
          <w:lang w:val="zh-CN"/>
        </w:rPr>
      </w:pPr>
      <w:bookmarkStart w:id="616" w:name="_Toc4028"/>
      <w:r>
        <w:rPr>
          <w:rFonts w:hint="eastAsia" w:asciiTheme="minorEastAsia" w:hAnsiTheme="minorEastAsia" w:eastAsiaTheme="minorEastAsia" w:cstheme="minorEastAsia"/>
          <w:color w:val="auto"/>
          <w:sz w:val="24"/>
          <w:szCs w:val="24"/>
          <w:lang w:val="zh-CN"/>
        </w:rPr>
        <w:t>4.1.2磋商响应文件的密封袋上写明的其他内容见磋商申请人须知前附表。</w:t>
      </w:r>
      <w:bookmarkEnd w:id="616"/>
    </w:p>
    <w:p w14:paraId="78CBE360">
      <w:pPr>
        <w:pStyle w:val="4"/>
        <w:spacing w:line="240" w:lineRule="auto"/>
        <w:rPr>
          <w:rFonts w:asciiTheme="minorEastAsia" w:hAnsiTheme="minorEastAsia" w:eastAsiaTheme="minorEastAsia" w:cstheme="minorEastAsia"/>
          <w:color w:val="auto"/>
          <w:szCs w:val="24"/>
          <w:lang w:val="zh-CN"/>
        </w:rPr>
      </w:pPr>
      <w:bookmarkStart w:id="617" w:name="_Toc31512"/>
      <w:bookmarkStart w:id="618" w:name="_Toc23324"/>
      <w:bookmarkStart w:id="619" w:name="_Toc6127"/>
      <w:bookmarkStart w:id="620" w:name="_Toc6384"/>
      <w:bookmarkStart w:id="621" w:name="_Toc24643"/>
      <w:bookmarkStart w:id="622" w:name="_Toc12272"/>
      <w:bookmarkStart w:id="623" w:name="_Toc21030"/>
      <w:bookmarkStart w:id="624" w:name="_Toc2716"/>
      <w:r>
        <w:rPr>
          <w:rFonts w:hint="eastAsia" w:asciiTheme="minorEastAsia" w:hAnsiTheme="minorEastAsia" w:eastAsiaTheme="minorEastAsia" w:cstheme="minorEastAsia"/>
          <w:color w:val="auto"/>
          <w:szCs w:val="24"/>
          <w:lang w:val="zh-CN"/>
        </w:rPr>
        <w:t>4.2磋商响应文件的递交</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7"/>
      <w:bookmarkEnd w:id="618"/>
      <w:bookmarkEnd w:id="619"/>
      <w:bookmarkEnd w:id="620"/>
      <w:bookmarkEnd w:id="621"/>
      <w:bookmarkEnd w:id="622"/>
      <w:bookmarkEnd w:id="623"/>
      <w:bookmarkEnd w:id="624"/>
    </w:p>
    <w:p w14:paraId="14B1878D">
      <w:pPr>
        <w:spacing w:line="400" w:lineRule="exact"/>
        <w:ind w:firstLine="480" w:firstLineChars="200"/>
        <w:rPr>
          <w:rFonts w:asciiTheme="minorEastAsia" w:hAnsiTheme="minorEastAsia" w:eastAsiaTheme="minorEastAsia" w:cstheme="minorEastAsia"/>
          <w:color w:val="auto"/>
          <w:sz w:val="24"/>
          <w:szCs w:val="24"/>
          <w:lang w:val="zh-CN"/>
        </w:rPr>
      </w:pPr>
      <w:bookmarkStart w:id="625" w:name="_Toc333852789"/>
      <w:bookmarkStart w:id="626" w:name="_Toc494521417"/>
      <w:bookmarkStart w:id="627" w:name="_Toc479109525"/>
      <w:bookmarkStart w:id="628" w:name="_Toc229994487"/>
      <w:bookmarkStart w:id="629" w:name="_Toc477696881"/>
      <w:bookmarkStart w:id="630" w:name="_Toc479146079"/>
      <w:bookmarkStart w:id="631" w:name="_Toc478045054"/>
      <w:bookmarkStart w:id="632" w:name="_Toc330807435"/>
      <w:bookmarkStart w:id="633" w:name="_Toc227991443"/>
      <w:bookmarkStart w:id="634" w:name="_Toc479109902"/>
      <w:bookmarkStart w:id="635" w:name="_Toc477695254"/>
      <w:bookmarkStart w:id="636" w:name="_Toc477705200"/>
      <w:bookmarkStart w:id="637" w:name="_Toc479145624"/>
      <w:bookmarkStart w:id="638" w:name="_Toc460575564"/>
      <w:r>
        <w:rPr>
          <w:rFonts w:hint="eastAsia" w:asciiTheme="minorEastAsia" w:hAnsiTheme="minorEastAsia" w:eastAsiaTheme="minorEastAsia" w:cstheme="minorEastAsia"/>
          <w:color w:val="auto"/>
          <w:sz w:val="24"/>
          <w:szCs w:val="24"/>
          <w:lang w:val="zh-CN"/>
        </w:rPr>
        <w:t>4.2.1</w:t>
      </w:r>
      <w:bookmarkStart w:id="639" w:name="_Toc440441570"/>
      <w:bookmarkStart w:id="640" w:name="_Toc440911861"/>
      <w:r>
        <w:rPr>
          <w:rFonts w:hint="eastAsia" w:asciiTheme="minorEastAsia" w:hAnsiTheme="minorEastAsia" w:eastAsiaTheme="minorEastAsia" w:cstheme="minorEastAsia"/>
          <w:color w:val="auto"/>
          <w:sz w:val="24"/>
          <w:szCs w:val="24"/>
          <w:lang w:val="zh-CN"/>
        </w:rPr>
        <w:t>磋商响应文件递交截止时间：见磋商申请人须知前附表。</w:t>
      </w:r>
    </w:p>
    <w:p w14:paraId="7DDC666F">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4.2.2</w:t>
      </w:r>
      <w:bookmarkEnd w:id="639"/>
      <w:bookmarkEnd w:id="640"/>
      <w:r>
        <w:rPr>
          <w:rFonts w:hint="eastAsia" w:asciiTheme="minorEastAsia" w:hAnsiTheme="minorEastAsia" w:eastAsiaTheme="minorEastAsia" w:cstheme="minorEastAsia"/>
          <w:color w:val="auto"/>
          <w:sz w:val="24"/>
          <w:szCs w:val="24"/>
          <w:lang w:val="zh-CN"/>
        </w:rPr>
        <w:t>磋商申请人递交磋商响应文件的地点：见磋商申请人须知前附表。</w:t>
      </w:r>
    </w:p>
    <w:p w14:paraId="7681EE4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4.2.3除磋商申请人须知前附表另有规定外，磋商申请人所递交的磋商响应文件不予退还。</w:t>
      </w:r>
    </w:p>
    <w:p w14:paraId="1BDB1186">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4.2.4磋商申请人递交磋商响应文件，在统一的签送表上签字确认。</w:t>
      </w:r>
    </w:p>
    <w:p w14:paraId="4B7B459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4.2.5逾期送达的或者未送达指定地点的磋商响应文件，采购单位不予受理。</w:t>
      </w:r>
    </w:p>
    <w:p w14:paraId="77BF5845">
      <w:pPr>
        <w:pStyle w:val="4"/>
        <w:spacing w:line="240" w:lineRule="auto"/>
        <w:rPr>
          <w:rFonts w:asciiTheme="minorEastAsia" w:hAnsiTheme="minorEastAsia" w:eastAsiaTheme="minorEastAsia" w:cstheme="minorEastAsia"/>
          <w:color w:val="auto"/>
          <w:szCs w:val="24"/>
          <w:lang w:val="zh-CN"/>
        </w:rPr>
      </w:pPr>
      <w:bookmarkStart w:id="641" w:name="_Toc31831"/>
      <w:bookmarkStart w:id="642" w:name="_Toc4986"/>
      <w:bookmarkStart w:id="643" w:name="_Toc4889"/>
      <w:bookmarkStart w:id="644" w:name="_Toc18129"/>
      <w:bookmarkStart w:id="645" w:name="_Toc23808"/>
      <w:bookmarkStart w:id="646" w:name="_Toc31302"/>
      <w:bookmarkStart w:id="647" w:name="_Toc447"/>
      <w:bookmarkStart w:id="648" w:name="_Toc22673"/>
      <w:r>
        <w:rPr>
          <w:rFonts w:hint="eastAsia" w:asciiTheme="minorEastAsia" w:hAnsiTheme="minorEastAsia" w:eastAsiaTheme="minorEastAsia" w:cstheme="minorEastAsia"/>
          <w:color w:val="auto"/>
          <w:szCs w:val="24"/>
          <w:lang w:val="zh-CN"/>
        </w:rPr>
        <w:t>4.3磋商响应文件的修改与撤回</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41"/>
      <w:bookmarkEnd w:id="642"/>
      <w:bookmarkEnd w:id="643"/>
      <w:bookmarkEnd w:id="644"/>
      <w:bookmarkEnd w:id="645"/>
      <w:bookmarkEnd w:id="646"/>
      <w:bookmarkEnd w:id="647"/>
      <w:bookmarkEnd w:id="648"/>
    </w:p>
    <w:p w14:paraId="0F24CAD8">
      <w:pPr>
        <w:spacing w:line="400" w:lineRule="exact"/>
        <w:ind w:firstLine="480" w:firstLineChars="200"/>
        <w:rPr>
          <w:rFonts w:asciiTheme="minorEastAsia" w:hAnsiTheme="minorEastAsia" w:eastAsiaTheme="minorEastAsia" w:cstheme="minorEastAsia"/>
          <w:color w:val="auto"/>
          <w:sz w:val="24"/>
          <w:szCs w:val="24"/>
          <w:lang w:val="zh-CN"/>
        </w:rPr>
      </w:pPr>
      <w:bookmarkStart w:id="649" w:name="_Toc229994488"/>
      <w:bookmarkStart w:id="650" w:name="_Toc330807436"/>
      <w:bookmarkStart w:id="651" w:name="_Toc227991444"/>
      <w:r>
        <w:rPr>
          <w:rFonts w:hint="eastAsia" w:asciiTheme="minorEastAsia" w:hAnsiTheme="minorEastAsia" w:eastAsiaTheme="minorEastAsia" w:cstheme="minorEastAsia"/>
          <w:color w:val="auto"/>
          <w:sz w:val="24"/>
          <w:szCs w:val="24"/>
          <w:lang w:val="zh-CN"/>
        </w:rPr>
        <w:t>4.3.1本章第4.2.1款规定的截止时间前，磋商申请人可以修改或撤回已递交的磋商响应文件，但应以书面形式通知采购单位。</w:t>
      </w:r>
    </w:p>
    <w:p w14:paraId="0D56D857">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4.3.2磋商申请人修改或撤回已递交磋商响应文件的书面通知应按照本章第3.7.3款的要求签章。</w:t>
      </w:r>
    </w:p>
    <w:p w14:paraId="542C642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4.3.3修改的内容为磋商响应文件的组成部分。修改的磋商响应文件应按照本章第3款、第4款规定进行编制、密封、标记和递交，并标明“修改”字样。</w:t>
      </w:r>
    </w:p>
    <w:p w14:paraId="4BE67C4B">
      <w:pPr>
        <w:pStyle w:val="4"/>
        <w:spacing w:line="240" w:lineRule="auto"/>
        <w:rPr>
          <w:rFonts w:asciiTheme="minorEastAsia" w:hAnsiTheme="minorEastAsia" w:eastAsiaTheme="minorEastAsia" w:cstheme="minorEastAsia"/>
          <w:color w:val="auto"/>
          <w:szCs w:val="24"/>
          <w:lang w:val="zh-CN"/>
        </w:rPr>
      </w:pPr>
      <w:bookmarkStart w:id="652" w:name="_Toc333852790"/>
      <w:bookmarkStart w:id="653" w:name="_Toc494521418"/>
      <w:bookmarkStart w:id="654" w:name="_Toc479145625"/>
      <w:bookmarkStart w:id="655" w:name="_Toc479146080"/>
      <w:bookmarkStart w:id="656" w:name="_Toc16898"/>
      <w:bookmarkStart w:id="657" w:name="_Toc31133"/>
      <w:bookmarkStart w:id="658" w:name="_Toc460575565"/>
      <w:bookmarkStart w:id="659" w:name="_Toc479109526"/>
      <w:bookmarkStart w:id="660" w:name="_Toc479109903"/>
      <w:bookmarkStart w:id="661" w:name="_Toc477695255"/>
      <w:bookmarkStart w:id="662" w:name="_Toc477705201"/>
      <w:bookmarkStart w:id="663" w:name="_Toc26502"/>
      <w:bookmarkStart w:id="664" w:name="_Toc19804"/>
      <w:bookmarkStart w:id="665" w:name="_Toc15478"/>
      <w:bookmarkStart w:id="666" w:name="_Toc25686"/>
      <w:bookmarkStart w:id="667" w:name="_Toc15693"/>
      <w:bookmarkStart w:id="668" w:name="_Toc477696882"/>
      <w:bookmarkStart w:id="669" w:name="_Toc478045055"/>
      <w:r>
        <w:rPr>
          <w:rFonts w:hint="eastAsia" w:asciiTheme="minorEastAsia" w:hAnsiTheme="minorEastAsia" w:eastAsiaTheme="minorEastAsia" w:cstheme="minorEastAsia"/>
          <w:color w:val="auto"/>
          <w:szCs w:val="24"/>
          <w:lang w:val="zh-CN"/>
        </w:rPr>
        <w:t>5.开标</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1540D0C9">
      <w:pPr>
        <w:pStyle w:val="4"/>
        <w:spacing w:line="240" w:lineRule="auto"/>
        <w:rPr>
          <w:rFonts w:asciiTheme="minorEastAsia" w:hAnsiTheme="minorEastAsia" w:eastAsiaTheme="minorEastAsia" w:cstheme="minorEastAsia"/>
          <w:color w:val="auto"/>
          <w:szCs w:val="24"/>
          <w:lang w:val="zh-CN"/>
        </w:rPr>
      </w:pPr>
      <w:bookmarkStart w:id="670" w:name="_Toc479146081"/>
      <w:bookmarkStart w:id="671" w:name="_Toc479145626"/>
      <w:bookmarkStart w:id="672" w:name="_Toc494521419"/>
      <w:bookmarkStart w:id="673" w:name="_Toc479109904"/>
      <w:bookmarkStart w:id="674" w:name="_Toc478045056"/>
      <w:bookmarkStart w:id="675" w:name="_Toc19231"/>
      <w:bookmarkStart w:id="676" w:name="_Toc477695256"/>
      <w:bookmarkStart w:id="677" w:name="_Toc330807437"/>
      <w:bookmarkStart w:id="678" w:name="_Toc477696883"/>
      <w:bookmarkStart w:id="679" w:name="_Toc333852791"/>
      <w:bookmarkStart w:id="680" w:name="_Toc227991445"/>
      <w:bookmarkStart w:id="681" w:name="_Toc3386"/>
      <w:bookmarkStart w:id="682" w:name="_Toc24731"/>
      <w:bookmarkStart w:id="683" w:name="_Toc27469"/>
      <w:bookmarkStart w:id="684" w:name="_Toc460575566"/>
      <w:bookmarkStart w:id="685" w:name="_Toc479109527"/>
      <w:bookmarkStart w:id="686" w:name="_Toc229994489"/>
      <w:bookmarkStart w:id="687" w:name="_Toc13685"/>
      <w:bookmarkStart w:id="688" w:name="_Toc477705202"/>
      <w:bookmarkStart w:id="689" w:name="_Toc29968"/>
      <w:bookmarkStart w:id="690" w:name="_Toc22140"/>
      <w:bookmarkStart w:id="691" w:name="_Toc4490"/>
      <w:r>
        <w:rPr>
          <w:rFonts w:hint="eastAsia" w:asciiTheme="minorEastAsia" w:hAnsiTheme="minorEastAsia" w:eastAsiaTheme="minorEastAsia" w:cstheme="minorEastAsia"/>
          <w:color w:val="auto"/>
          <w:szCs w:val="24"/>
          <w:lang w:val="zh-CN"/>
        </w:rPr>
        <w:t>5.1 开标时间和地点</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7CDFFD0C">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采购单位在磋商申请人须知前附表第</w:t>
      </w:r>
      <w:r>
        <w:rPr>
          <w:rFonts w:hint="eastAsia" w:asciiTheme="minorEastAsia" w:hAnsiTheme="minorEastAsia" w:eastAsiaTheme="minorEastAsia" w:cstheme="minorEastAsia"/>
          <w:color w:val="auto"/>
          <w:sz w:val="24"/>
          <w:szCs w:val="24"/>
        </w:rPr>
        <w:t>24</w:t>
      </w:r>
      <w:r>
        <w:rPr>
          <w:rFonts w:hint="eastAsia" w:asciiTheme="minorEastAsia" w:hAnsiTheme="minorEastAsia" w:eastAsiaTheme="minorEastAsia" w:cstheme="minorEastAsia"/>
          <w:color w:val="auto"/>
          <w:sz w:val="24"/>
          <w:szCs w:val="24"/>
          <w:lang w:val="zh-CN"/>
        </w:rPr>
        <w:t>项规定的磋商截止时间（开标时间）和磋商申请人须知前附表规定的地点进行开标，并邀请所有磋商申请人的法定代表人或其委托代理人准时参加，如磋商申请人未出席开标会的，由此产生的后果由磋商申请人自行负责。</w:t>
      </w:r>
    </w:p>
    <w:p w14:paraId="0A45C42F">
      <w:pPr>
        <w:pStyle w:val="4"/>
        <w:spacing w:line="240" w:lineRule="auto"/>
        <w:rPr>
          <w:rFonts w:asciiTheme="minorEastAsia" w:hAnsiTheme="minorEastAsia" w:eastAsiaTheme="minorEastAsia" w:cstheme="minorEastAsia"/>
          <w:color w:val="auto"/>
          <w:szCs w:val="24"/>
          <w:lang w:val="zh-CN"/>
        </w:rPr>
      </w:pPr>
      <w:bookmarkStart w:id="692" w:name="_Toc477705203"/>
      <w:bookmarkStart w:id="693" w:name="_Toc31734"/>
      <w:bookmarkStart w:id="694" w:name="_Toc333852792"/>
      <w:bookmarkStart w:id="695" w:name="_Toc479109528"/>
      <w:bookmarkStart w:id="696" w:name="_Toc5369"/>
      <w:bookmarkStart w:id="697" w:name="_Toc460575567"/>
      <w:bookmarkStart w:id="698" w:name="_Toc229994490"/>
      <w:bookmarkStart w:id="699" w:name="_Toc479109905"/>
      <w:bookmarkStart w:id="700" w:name="_Toc12908"/>
      <w:bookmarkStart w:id="701" w:name="_Toc227991446"/>
      <w:bookmarkStart w:id="702" w:name="_Toc477696884"/>
      <w:bookmarkStart w:id="703" w:name="_Toc477695257"/>
      <w:bookmarkStart w:id="704" w:name="_Toc14447"/>
      <w:bookmarkStart w:id="705" w:name="_Toc330807438"/>
      <w:bookmarkStart w:id="706" w:name="_Toc479146082"/>
      <w:bookmarkStart w:id="707" w:name="_Toc478045057"/>
      <w:bookmarkStart w:id="708" w:name="_Toc6523"/>
      <w:bookmarkStart w:id="709" w:name="_Toc10574"/>
      <w:bookmarkStart w:id="710" w:name="_Toc494521420"/>
      <w:bookmarkStart w:id="711" w:name="_Toc4979"/>
      <w:bookmarkStart w:id="712" w:name="_Toc479145627"/>
      <w:r>
        <w:rPr>
          <w:rFonts w:hint="eastAsia" w:asciiTheme="minorEastAsia" w:hAnsiTheme="minorEastAsia" w:eastAsiaTheme="minorEastAsia" w:cstheme="minorEastAsia"/>
          <w:color w:val="auto"/>
          <w:szCs w:val="24"/>
          <w:lang w:val="zh-CN"/>
        </w:rPr>
        <w:t>5.2 开标程序</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3BFBF730">
      <w:pPr>
        <w:spacing w:line="400" w:lineRule="exact"/>
        <w:ind w:firstLine="480" w:firstLineChars="200"/>
        <w:rPr>
          <w:rFonts w:asciiTheme="minorEastAsia" w:hAnsiTheme="minorEastAsia" w:eastAsiaTheme="minorEastAsia" w:cstheme="minorEastAsia"/>
          <w:color w:val="auto"/>
          <w:sz w:val="24"/>
          <w:szCs w:val="24"/>
          <w:lang w:val="zh-CN"/>
        </w:rPr>
      </w:pPr>
      <w:bookmarkStart w:id="713" w:name="_Toc330807439"/>
      <w:bookmarkStart w:id="714" w:name="_Toc479146083"/>
      <w:bookmarkStart w:id="715" w:name="_Toc460575568"/>
      <w:bookmarkStart w:id="716" w:name="_Toc477705204"/>
      <w:bookmarkStart w:id="717" w:name="_Toc22871"/>
      <w:bookmarkStart w:id="718" w:name="_Toc333852793"/>
      <w:bookmarkStart w:id="719" w:name="_Toc229994491"/>
      <w:bookmarkStart w:id="720" w:name="_Toc2330"/>
      <w:bookmarkStart w:id="721" w:name="_Toc477695258"/>
      <w:bookmarkStart w:id="722" w:name="_Toc479109529"/>
      <w:bookmarkStart w:id="723" w:name="_Toc1586"/>
      <w:bookmarkStart w:id="724" w:name="_Toc227991447"/>
      <w:bookmarkStart w:id="725" w:name="_Toc494521421"/>
      <w:bookmarkStart w:id="726" w:name="_Toc479109906"/>
      <w:bookmarkStart w:id="727" w:name="_Toc479145628"/>
      <w:bookmarkStart w:id="728" w:name="_Toc478045058"/>
      <w:bookmarkStart w:id="729" w:name="_Toc477696885"/>
      <w:r>
        <w:rPr>
          <w:rFonts w:hint="eastAsia" w:asciiTheme="minorEastAsia" w:hAnsiTheme="minorEastAsia" w:eastAsiaTheme="minorEastAsia" w:cstheme="minorEastAsia"/>
          <w:color w:val="auto"/>
          <w:sz w:val="24"/>
          <w:szCs w:val="24"/>
          <w:lang w:val="zh-CN"/>
        </w:rPr>
        <w:t>开标会议由</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委托</w:t>
      </w:r>
      <w:r>
        <w:rPr>
          <w:rFonts w:hint="eastAsia" w:asciiTheme="minorEastAsia" w:hAnsiTheme="minorEastAsia" w:eastAsiaTheme="minorEastAsia" w:cstheme="minorEastAsia"/>
          <w:color w:val="auto"/>
          <w:sz w:val="24"/>
          <w:szCs w:val="24"/>
        </w:rPr>
        <w:t>采购代理机构</w:t>
      </w:r>
      <w:r>
        <w:rPr>
          <w:rFonts w:hint="eastAsia" w:asciiTheme="minorEastAsia" w:hAnsiTheme="minorEastAsia" w:eastAsiaTheme="minorEastAsia" w:cstheme="minorEastAsia"/>
          <w:color w:val="auto"/>
          <w:sz w:val="24"/>
          <w:szCs w:val="24"/>
          <w:lang w:val="zh-CN"/>
        </w:rPr>
        <w:t>代表主持，主持人按下列程序进行开标：</w:t>
      </w:r>
    </w:p>
    <w:p w14:paraId="3E65BD4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（1）宣布开标纪律；</w:t>
      </w:r>
    </w:p>
    <w:p w14:paraId="593391E6">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（2）公布在磋商截止时间前递交磋商响应文件的磋商申请人名称；</w:t>
      </w:r>
    </w:p>
    <w:p w14:paraId="149DD1C1">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（3）宣布唱标人、</w:t>
      </w:r>
      <w:r>
        <w:rPr>
          <w:rFonts w:hint="eastAsia" w:asciiTheme="minorEastAsia" w:hAnsiTheme="minorEastAsia" w:eastAsiaTheme="minorEastAsia" w:cstheme="minorEastAsia"/>
          <w:color w:val="auto"/>
          <w:sz w:val="24"/>
          <w:szCs w:val="24"/>
        </w:rPr>
        <w:t>采购单位等相关单位</w:t>
      </w:r>
      <w:r>
        <w:rPr>
          <w:rFonts w:hint="eastAsia" w:asciiTheme="minorEastAsia" w:hAnsiTheme="minorEastAsia" w:eastAsiaTheme="minorEastAsia" w:cstheme="minorEastAsia"/>
          <w:color w:val="auto"/>
          <w:sz w:val="24"/>
          <w:szCs w:val="24"/>
          <w:lang w:val="zh-CN"/>
        </w:rPr>
        <w:t>；</w:t>
      </w:r>
    </w:p>
    <w:p w14:paraId="3C5F20B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（4）按照</w:t>
      </w:r>
      <w:r>
        <w:rPr>
          <w:rFonts w:hint="eastAsia" w:asciiTheme="minorEastAsia" w:hAnsiTheme="minorEastAsia" w:eastAsiaTheme="minorEastAsia" w:cstheme="minorEastAsia"/>
          <w:color w:val="auto"/>
          <w:sz w:val="24"/>
          <w:szCs w:val="24"/>
        </w:rPr>
        <w:t>政府采购云平台开标流程进行解密并开标</w:t>
      </w:r>
      <w:r>
        <w:rPr>
          <w:rFonts w:hint="eastAsia" w:asciiTheme="minorEastAsia" w:hAnsiTheme="minorEastAsia" w:eastAsiaTheme="minorEastAsia" w:cstheme="minorEastAsia"/>
          <w:color w:val="auto"/>
          <w:sz w:val="24"/>
          <w:szCs w:val="24"/>
          <w:lang w:val="zh-CN"/>
        </w:rPr>
        <w:t>；</w:t>
      </w:r>
    </w:p>
    <w:p w14:paraId="5B4AFB3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（5）按照宣布的开标顺序当众开标，公布磋商申请人名称、磋商报价、</w:t>
      </w:r>
      <w:r>
        <w:rPr>
          <w:rFonts w:hint="eastAsia" w:asciiTheme="minorEastAsia" w:hAnsiTheme="minorEastAsia" w:eastAsiaTheme="minorEastAsia" w:cstheme="minorEastAsia"/>
          <w:color w:val="auto"/>
          <w:sz w:val="24"/>
          <w:szCs w:val="24"/>
        </w:rPr>
        <w:t>服务期限</w:t>
      </w:r>
      <w:r>
        <w:rPr>
          <w:rFonts w:hint="eastAsia" w:asciiTheme="minorEastAsia" w:hAnsiTheme="minorEastAsia" w:eastAsiaTheme="minorEastAsia" w:cstheme="minorEastAsia"/>
          <w:color w:val="auto"/>
          <w:sz w:val="24"/>
          <w:szCs w:val="24"/>
          <w:lang w:val="zh-CN"/>
        </w:rPr>
        <w:t>、质量承诺，并记录在案；</w:t>
      </w:r>
    </w:p>
    <w:p w14:paraId="041623A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开启电子签名，由磋商申请人在网上进行签章确认</w:t>
      </w:r>
      <w:r>
        <w:rPr>
          <w:rFonts w:hint="eastAsia" w:asciiTheme="minorEastAsia" w:hAnsiTheme="minorEastAsia" w:eastAsiaTheme="minorEastAsia" w:cstheme="minorEastAsia"/>
          <w:color w:val="auto"/>
          <w:sz w:val="24"/>
          <w:szCs w:val="24"/>
          <w:lang w:val="zh-CN"/>
        </w:rPr>
        <w:t>；</w:t>
      </w:r>
    </w:p>
    <w:p w14:paraId="7A50B12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7</w:t>
      </w:r>
      <w:r>
        <w:rPr>
          <w:rFonts w:hint="eastAsia" w:asciiTheme="minorEastAsia" w:hAnsiTheme="minorEastAsia" w:eastAsiaTheme="minorEastAsia" w:cstheme="minorEastAsia"/>
          <w:color w:val="auto"/>
          <w:sz w:val="24"/>
          <w:szCs w:val="24"/>
          <w:lang w:val="zh-CN"/>
        </w:rPr>
        <w:t>）开标结束。</w:t>
      </w:r>
    </w:p>
    <w:p w14:paraId="5B4723CA">
      <w:pPr>
        <w:pStyle w:val="4"/>
        <w:spacing w:line="240" w:lineRule="auto"/>
        <w:rPr>
          <w:rFonts w:asciiTheme="minorEastAsia" w:hAnsiTheme="minorEastAsia" w:eastAsiaTheme="minorEastAsia" w:cstheme="minorEastAsia"/>
          <w:color w:val="auto"/>
          <w:szCs w:val="24"/>
          <w:lang w:val="zh-CN"/>
        </w:rPr>
      </w:pPr>
      <w:bookmarkStart w:id="730" w:name="_Toc4006"/>
      <w:bookmarkStart w:id="731" w:name="_Toc9035"/>
      <w:bookmarkStart w:id="732" w:name="_Toc21144"/>
      <w:bookmarkStart w:id="733" w:name="_Toc6344"/>
      <w:r>
        <w:rPr>
          <w:rFonts w:hint="eastAsia" w:asciiTheme="minorEastAsia" w:hAnsiTheme="minorEastAsia" w:eastAsiaTheme="minorEastAsia" w:cstheme="minorEastAsia"/>
          <w:color w:val="auto"/>
          <w:szCs w:val="24"/>
          <w:lang w:val="zh-CN"/>
        </w:rPr>
        <w:t>6.评标</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14:paraId="587C7FF8">
      <w:pPr>
        <w:pStyle w:val="4"/>
        <w:spacing w:line="240" w:lineRule="auto"/>
        <w:rPr>
          <w:rFonts w:asciiTheme="minorEastAsia" w:hAnsiTheme="minorEastAsia" w:eastAsiaTheme="minorEastAsia" w:cstheme="minorEastAsia"/>
          <w:color w:val="auto"/>
          <w:szCs w:val="24"/>
          <w:lang w:val="zh-CN"/>
        </w:rPr>
      </w:pPr>
      <w:bookmarkStart w:id="734" w:name="_Toc460575569"/>
      <w:bookmarkStart w:id="735" w:name="_Toc477695259"/>
      <w:bookmarkStart w:id="736" w:name="_Toc479146084"/>
      <w:bookmarkStart w:id="737" w:name="_Toc902"/>
      <w:bookmarkStart w:id="738" w:name="_Toc229994492"/>
      <w:bookmarkStart w:id="739" w:name="_Toc479109907"/>
      <w:bookmarkStart w:id="740" w:name="_Toc10628"/>
      <w:bookmarkStart w:id="741" w:name="_Toc26328"/>
      <w:bookmarkStart w:id="742" w:name="_Toc478045059"/>
      <w:bookmarkStart w:id="743" w:name="_Toc30369"/>
      <w:bookmarkStart w:id="744" w:name="_Toc3578"/>
      <w:bookmarkStart w:id="745" w:name="_Toc330807440"/>
      <w:bookmarkStart w:id="746" w:name="_Toc13338"/>
      <w:bookmarkStart w:id="747" w:name="_Toc494521422"/>
      <w:bookmarkStart w:id="748" w:name="_Toc479145629"/>
      <w:bookmarkStart w:id="749" w:name="_Toc5940"/>
      <w:bookmarkStart w:id="750" w:name="_Toc479109530"/>
      <w:bookmarkStart w:id="751" w:name="_Toc333852794"/>
      <w:bookmarkStart w:id="752" w:name="_Toc227991448"/>
      <w:bookmarkStart w:id="753" w:name="_Toc477696886"/>
      <w:bookmarkStart w:id="754" w:name="_Toc477705205"/>
      <w:bookmarkStart w:id="755" w:name="_Toc13653"/>
      <w:r>
        <w:rPr>
          <w:rFonts w:hint="eastAsia" w:asciiTheme="minorEastAsia" w:hAnsiTheme="minorEastAsia" w:eastAsiaTheme="minorEastAsia" w:cstheme="minorEastAsia"/>
          <w:color w:val="auto"/>
          <w:szCs w:val="24"/>
          <w:lang w:val="zh-CN"/>
        </w:rPr>
        <w:t>6.1评标委员会</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14:paraId="6D77E798">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6.1.1评标由采购单位依法组建的评标委员会负责。评标委员会由熟悉相关业务有关技术、经济等方面的专家组成。评标委员会成员人数以及技术、经济等方面专家的确定方式见磋商申请人须知前附表。</w:t>
      </w:r>
    </w:p>
    <w:p w14:paraId="142FB5A0">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6.1.2评标委员会成员有下列情形之一的，应当回避：</w:t>
      </w:r>
    </w:p>
    <w:p w14:paraId="68A11FD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（1）采购单位或磋商申请人的主要负责人的近亲属；</w:t>
      </w:r>
    </w:p>
    <w:p w14:paraId="62C2853A">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（2）项目主管部门或者行政监督部门的人员；</w:t>
      </w:r>
    </w:p>
    <w:p w14:paraId="69A7850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（3）与磋商申请人有经济利益关系，可能影响对磋商公正评审的；</w:t>
      </w:r>
    </w:p>
    <w:p w14:paraId="005AB2DA">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（4）曾因在招标、评标以及其他与招标磋商有关活动中从事违法而受过行政处罚或刑事处罚的。</w:t>
      </w:r>
    </w:p>
    <w:p w14:paraId="3688F179">
      <w:pPr>
        <w:pStyle w:val="4"/>
        <w:spacing w:line="240" w:lineRule="auto"/>
        <w:rPr>
          <w:rFonts w:asciiTheme="minorEastAsia" w:hAnsiTheme="minorEastAsia" w:eastAsiaTheme="minorEastAsia" w:cstheme="minorEastAsia"/>
          <w:color w:val="auto"/>
          <w:szCs w:val="24"/>
          <w:lang w:val="zh-CN"/>
        </w:rPr>
      </w:pPr>
      <w:bookmarkStart w:id="756" w:name="_Toc330807441"/>
      <w:bookmarkStart w:id="757" w:name="_Toc32363"/>
      <w:bookmarkStart w:id="758" w:name="_Toc477695260"/>
      <w:bookmarkStart w:id="759" w:name="_Toc478045060"/>
      <w:bookmarkStart w:id="760" w:name="_Toc333852795"/>
      <w:bookmarkStart w:id="761" w:name="_Toc24694"/>
      <w:bookmarkStart w:id="762" w:name="_Toc479146085"/>
      <w:bookmarkStart w:id="763" w:name="_Toc477705206"/>
      <w:bookmarkStart w:id="764" w:name="_Toc11524"/>
      <w:bookmarkStart w:id="765" w:name="_Toc479109908"/>
      <w:bookmarkStart w:id="766" w:name="_Toc477696887"/>
      <w:bookmarkStart w:id="767" w:name="_Toc227991449"/>
      <w:bookmarkStart w:id="768" w:name="_Toc14431"/>
      <w:bookmarkStart w:id="769" w:name="_Toc479109531"/>
      <w:bookmarkStart w:id="770" w:name="_Toc28837"/>
      <w:bookmarkStart w:id="771" w:name="_Toc229994493"/>
      <w:bookmarkStart w:id="772" w:name="_Toc9782"/>
      <w:bookmarkStart w:id="773" w:name="_Toc494521423"/>
      <w:bookmarkStart w:id="774" w:name="_Toc20405"/>
      <w:bookmarkStart w:id="775" w:name="_Toc460575570"/>
      <w:bookmarkStart w:id="776" w:name="_Toc17122"/>
      <w:bookmarkStart w:id="777" w:name="_Toc479145630"/>
      <w:r>
        <w:rPr>
          <w:rFonts w:hint="eastAsia" w:asciiTheme="minorEastAsia" w:hAnsiTheme="minorEastAsia" w:eastAsiaTheme="minorEastAsia" w:cstheme="minorEastAsia"/>
          <w:color w:val="auto"/>
          <w:szCs w:val="24"/>
          <w:lang w:val="zh-CN"/>
        </w:rPr>
        <w:t>6.2评标原则</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0DAC7C11">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评标活动遵循公平、公正、科学和择优的原则。</w:t>
      </w:r>
    </w:p>
    <w:p w14:paraId="668D2247">
      <w:pPr>
        <w:pStyle w:val="4"/>
        <w:spacing w:line="240" w:lineRule="auto"/>
        <w:rPr>
          <w:rFonts w:asciiTheme="minorEastAsia" w:hAnsiTheme="minorEastAsia" w:eastAsiaTheme="minorEastAsia" w:cstheme="minorEastAsia"/>
          <w:color w:val="auto"/>
          <w:szCs w:val="24"/>
          <w:lang w:val="zh-CN"/>
        </w:rPr>
      </w:pPr>
      <w:bookmarkStart w:id="778" w:name="_Toc31155"/>
      <w:bookmarkStart w:id="779" w:name="_Toc5794"/>
      <w:bookmarkStart w:id="780" w:name="_Toc479109918"/>
      <w:bookmarkStart w:id="781" w:name="_Toc29611"/>
      <w:bookmarkStart w:id="782" w:name="_Toc479146095"/>
      <w:bookmarkStart w:id="783" w:name="_Toc24101"/>
      <w:bookmarkStart w:id="784" w:name="_Toc10971"/>
      <w:bookmarkStart w:id="785" w:name="_Toc479109541"/>
      <w:bookmarkStart w:id="786" w:name="_Toc494521433"/>
      <w:bookmarkStart w:id="787" w:name="_Toc477695270"/>
      <w:bookmarkStart w:id="788" w:name="_Toc460575583"/>
      <w:bookmarkStart w:id="789" w:name="_Toc479145640"/>
      <w:bookmarkStart w:id="790" w:name="_Toc32650"/>
      <w:bookmarkStart w:id="791" w:name="_Toc478045070"/>
      <w:bookmarkStart w:id="792" w:name="_Toc30499"/>
      <w:bookmarkStart w:id="793" w:name="_Toc330807454"/>
      <w:bookmarkStart w:id="794" w:name="_Toc333852808"/>
      <w:bookmarkStart w:id="795" w:name="_Toc227991462"/>
      <w:bookmarkStart w:id="796" w:name="_Toc229994506"/>
      <w:bookmarkStart w:id="797" w:name="_Toc11577"/>
      <w:bookmarkStart w:id="798" w:name="_Toc477705216"/>
      <w:bookmarkStart w:id="799" w:name="_Toc477696897"/>
      <w:bookmarkStart w:id="800" w:name="_Toc479146086"/>
      <w:bookmarkStart w:id="801" w:name="_Toc494521424"/>
      <w:bookmarkStart w:id="802" w:name="_Toc229994494"/>
      <w:bookmarkStart w:id="803" w:name="_Toc477705207"/>
      <w:bookmarkStart w:id="804" w:name="_Toc479109532"/>
      <w:bookmarkStart w:id="805" w:name="_Toc460575571"/>
      <w:bookmarkStart w:id="806" w:name="_Toc2408"/>
      <w:bookmarkStart w:id="807" w:name="_Toc330807442"/>
      <w:bookmarkStart w:id="808" w:name="_Toc227991450"/>
      <w:bookmarkStart w:id="809" w:name="_Toc479109909"/>
      <w:bookmarkStart w:id="810" w:name="_Toc31482"/>
      <w:bookmarkStart w:id="811" w:name="_Toc333852796"/>
      <w:bookmarkStart w:id="812" w:name="_Toc477696888"/>
      <w:bookmarkStart w:id="813" w:name="_Toc477695261"/>
      <w:bookmarkStart w:id="814" w:name="_Toc479145631"/>
      <w:bookmarkStart w:id="815" w:name="_Toc478045061"/>
      <w:r>
        <w:rPr>
          <w:rFonts w:hint="eastAsia" w:asciiTheme="minorEastAsia" w:hAnsiTheme="minorEastAsia" w:eastAsiaTheme="minorEastAsia" w:cstheme="minorEastAsia"/>
          <w:color w:val="auto"/>
          <w:szCs w:val="24"/>
        </w:rPr>
        <w:t>6.3</w:t>
      </w:r>
      <w:r>
        <w:rPr>
          <w:rFonts w:hint="eastAsia" w:asciiTheme="minorEastAsia" w:hAnsiTheme="minorEastAsia" w:eastAsiaTheme="minorEastAsia" w:cstheme="minorEastAsia"/>
          <w:color w:val="auto"/>
          <w:szCs w:val="24"/>
          <w:lang w:val="zh-CN"/>
        </w:rPr>
        <w:t>对评标委员会成员的纪律要求</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14:paraId="767089D8">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评标委员会成员不得收受他人的财物或者其他好处，不得向他人透漏对磋商文件的评审和比较、中标候选人的推荐情况以及评标有关的其他情况。在评标活动中，评标委员会成员不得擅离职守，影响评标程序正常进行，不得使用第三章“磋商</w:t>
      </w:r>
      <w:r>
        <w:rPr>
          <w:rFonts w:hint="eastAsia" w:asciiTheme="minorEastAsia" w:hAnsiTheme="minorEastAsia" w:eastAsiaTheme="minorEastAsia" w:cstheme="minorEastAsia"/>
          <w:color w:val="auto"/>
          <w:sz w:val="24"/>
          <w:szCs w:val="24"/>
        </w:rPr>
        <w:t>程序及方</w:t>
      </w:r>
      <w:r>
        <w:rPr>
          <w:rFonts w:hint="eastAsia" w:asciiTheme="minorEastAsia" w:hAnsiTheme="minorEastAsia" w:eastAsiaTheme="minorEastAsia" w:cstheme="minorEastAsia"/>
          <w:color w:val="auto"/>
          <w:sz w:val="24"/>
          <w:szCs w:val="24"/>
          <w:lang w:val="zh-CN"/>
        </w:rPr>
        <w:t>法”没有规定的评审因素和标准进行评标。</w:t>
      </w:r>
    </w:p>
    <w:p w14:paraId="36428DCF">
      <w:pPr>
        <w:pStyle w:val="4"/>
        <w:spacing w:line="240" w:lineRule="auto"/>
        <w:rPr>
          <w:rFonts w:asciiTheme="minorEastAsia" w:hAnsiTheme="minorEastAsia" w:eastAsiaTheme="minorEastAsia" w:cstheme="minorEastAsia"/>
          <w:color w:val="auto"/>
          <w:szCs w:val="24"/>
          <w:lang w:val="zh-CN"/>
        </w:rPr>
      </w:pPr>
      <w:bookmarkStart w:id="816" w:name="_Toc936"/>
      <w:bookmarkStart w:id="817" w:name="_Toc16652"/>
      <w:bookmarkStart w:id="818" w:name="_Toc9019"/>
      <w:bookmarkStart w:id="819" w:name="_Toc11879"/>
      <w:bookmarkStart w:id="820" w:name="_Toc18970"/>
      <w:r>
        <w:rPr>
          <w:rFonts w:hint="eastAsia" w:asciiTheme="minorEastAsia" w:hAnsiTheme="minorEastAsia" w:eastAsiaTheme="minorEastAsia" w:cstheme="minorEastAsia"/>
          <w:color w:val="auto"/>
          <w:szCs w:val="24"/>
        </w:rPr>
        <w:t>6.4</w:t>
      </w:r>
      <w:r>
        <w:rPr>
          <w:rFonts w:hint="eastAsia" w:asciiTheme="minorEastAsia" w:hAnsiTheme="minorEastAsia" w:eastAsiaTheme="minorEastAsia" w:cstheme="minorEastAsia"/>
          <w:color w:val="auto"/>
          <w:szCs w:val="24"/>
          <w:lang w:val="zh-CN"/>
        </w:rPr>
        <w:t>评标</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55D27FCC">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6.</w:t>
      </w:r>
      <w:r>
        <w:rPr>
          <w:rFonts w:hint="eastAsia" w:asciiTheme="minorEastAsia" w:hAnsiTheme="minorEastAsia" w:eastAsiaTheme="minorEastAsia" w:cstheme="minorEastAsia"/>
          <w:color w:val="auto"/>
          <w:sz w:val="24"/>
          <w:szCs w:val="24"/>
        </w:rPr>
        <w:t>4</w:t>
      </w:r>
      <w:r>
        <w:rPr>
          <w:rFonts w:hint="eastAsia" w:asciiTheme="minorEastAsia" w:hAnsiTheme="minorEastAsia" w:eastAsiaTheme="minorEastAsia" w:cstheme="minorEastAsia"/>
          <w:color w:val="auto"/>
          <w:sz w:val="24"/>
          <w:szCs w:val="24"/>
          <w:lang w:val="zh-CN"/>
        </w:rPr>
        <w:t>.1评标标准和办法：见磋商申请人须知前附表及第三章“磋商</w:t>
      </w:r>
      <w:r>
        <w:rPr>
          <w:rFonts w:hint="eastAsia" w:asciiTheme="minorEastAsia" w:hAnsiTheme="minorEastAsia" w:eastAsiaTheme="minorEastAsia" w:cstheme="minorEastAsia"/>
          <w:color w:val="auto"/>
          <w:sz w:val="24"/>
          <w:szCs w:val="24"/>
        </w:rPr>
        <w:t>程序及方</w:t>
      </w:r>
      <w:r>
        <w:rPr>
          <w:rFonts w:hint="eastAsia" w:asciiTheme="minorEastAsia" w:hAnsiTheme="minorEastAsia" w:eastAsiaTheme="minorEastAsia" w:cstheme="minorEastAsia"/>
          <w:color w:val="auto"/>
          <w:sz w:val="24"/>
          <w:szCs w:val="24"/>
          <w:lang w:val="zh-CN"/>
        </w:rPr>
        <w:t>法”。</w:t>
      </w:r>
    </w:p>
    <w:p w14:paraId="6B903768">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6.</w:t>
      </w:r>
      <w:r>
        <w:rPr>
          <w:rFonts w:hint="eastAsia" w:asciiTheme="minorEastAsia" w:hAnsiTheme="minorEastAsia" w:eastAsiaTheme="minorEastAsia" w:cstheme="minorEastAsia"/>
          <w:color w:val="auto"/>
          <w:sz w:val="24"/>
          <w:szCs w:val="24"/>
        </w:rPr>
        <w:t>4</w:t>
      </w:r>
      <w:r>
        <w:rPr>
          <w:rFonts w:hint="eastAsia" w:asciiTheme="minorEastAsia" w:hAnsiTheme="minorEastAsia" w:eastAsiaTheme="minorEastAsia" w:cstheme="minorEastAsia"/>
          <w:color w:val="auto"/>
          <w:sz w:val="24"/>
          <w:szCs w:val="24"/>
          <w:lang w:val="zh-CN"/>
        </w:rPr>
        <w:t>.2评标委员会按照第三章“磋商</w:t>
      </w:r>
      <w:r>
        <w:rPr>
          <w:rFonts w:hint="eastAsia" w:asciiTheme="minorEastAsia" w:hAnsiTheme="minorEastAsia" w:eastAsiaTheme="minorEastAsia" w:cstheme="minorEastAsia"/>
          <w:color w:val="auto"/>
          <w:sz w:val="24"/>
          <w:szCs w:val="24"/>
        </w:rPr>
        <w:t>程序及</w:t>
      </w:r>
      <w:r>
        <w:rPr>
          <w:rFonts w:hint="eastAsia" w:asciiTheme="minorEastAsia" w:hAnsiTheme="minorEastAsia" w:eastAsiaTheme="minorEastAsia" w:cstheme="minorEastAsia"/>
          <w:color w:val="auto"/>
          <w:sz w:val="24"/>
          <w:szCs w:val="24"/>
          <w:lang w:val="zh-CN"/>
        </w:rPr>
        <w:t>办法”规定的方法、评审因素、标准和程序对磋商文件进行评审。第三章“磋商</w:t>
      </w:r>
      <w:r>
        <w:rPr>
          <w:rFonts w:hint="eastAsia" w:asciiTheme="minorEastAsia" w:hAnsiTheme="minorEastAsia" w:eastAsiaTheme="minorEastAsia" w:cstheme="minorEastAsia"/>
          <w:color w:val="auto"/>
          <w:sz w:val="24"/>
          <w:szCs w:val="24"/>
        </w:rPr>
        <w:t>程序及</w:t>
      </w:r>
      <w:r>
        <w:rPr>
          <w:rFonts w:hint="eastAsia" w:asciiTheme="minorEastAsia" w:hAnsiTheme="minorEastAsia" w:eastAsiaTheme="minorEastAsia" w:cstheme="minorEastAsia"/>
          <w:color w:val="auto"/>
          <w:sz w:val="24"/>
          <w:szCs w:val="24"/>
          <w:lang w:val="zh-CN"/>
        </w:rPr>
        <w:t>办法”没有规定的方法、评审因素和标准，不作为评标依据。</w:t>
      </w:r>
      <w:bookmarkStart w:id="821" w:name="_Toc227991451"/>
      <w:bookmarkStart w:id="822" w:name="_Toc330807443"/>
      <w:bookmarkStart w:id="823" w:name="_Toc229994495"/>
    </w:p>
    <w:p w14:paraId="604D87FE">
      <w:pPr>
        <w:pStyle w:val="4"/>
        <w:spacing w:line="240" w:lineRule="auto"/>
        <w:rPr>
          <w:rFonts w:asciiTheme="minorEastAsia" w:hAnsiTheme="minorEastAsia" w:eastAsiaTheme="minorEastAsia" w:cstheme="minorEastAsia"/>
          <w:color w:val="auto"/>
          <w:szCs w:val="24"/>
          <w:lang w:val="zh-CN"/>
        </w:rPr>
      </w:pPr>
      <w:bookmarkStart w:id="824" w:name="_Toc479146087"/>
      <w:bookmarkStart w:id="825" w:name="_Toc21479"/>
      <w:bookmarkStart w:id="826" w:name="_Toc333852797"/>
      <w:bookmarkStart w:id="827" w:name="_Toc460575572"/>
      <w:bookmarkStart w:id="828" w:name="_Toc494521425"/>
      <w:bookmarkStart w:id="829" w:name="_Toc12576"/>
      <w:bookmarkStart w:id="830" w:name="_Toc10633"/>
      <w:bookmarkStart w:id="831" w:name="_Toc479109533"/>
      <w:bookmarkStart w:id="832" w:name="_Toc479109910"/>
      <w:bookmarkStart w:id="833" w:name="_Toc477705208"/>
      <w:bookmarkStart w:id="834" w:name="_Toc14982"/>
      <w:bookmarkStart w:id="835" w:name="_Toc477695262"/>
      <w:bookmarkStart w:id="836" w:name="_Toc20092"/>
      <w:bookmarkStart w:id="837" w:name="_Toc477696889"/>
      <w:bookmarkStart w:id="838" w:name="_Toc478045062"/>
      <w:bookmarkStart w:id="839" w:name="_Toc479145632"/>
      <w:bookmarkStart w:id="840" w:name="_Toc13422"/>
      <w:bookmarkStart w:id="841" w:name="_Toc31077"/>
      <w:r>
        <w:rPr>
          <w:rFonts w:hint="eastAsia" w:asciiTheme="minorEastAsia" w:hAnsiTheme="minorEastAsia" w:eastAsiaTheme="minorEastAsia" w:cstheme="minorEastAsia"/>
          <w:color w:val="auto"/>
          <w:szCs w:val="24"/>
          <w:lang w:val="zh-CN"/>
        </w:rPr>
        <w:t>7.合同授予</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14:paraId="31D7FA10">
      <w:pPr>
        <w:pStyle w:val="4"/>
        <w:spacing w:line="240" w:lineRule="auto"/>
        <w:rPr>
          <w:rFonts w:asciiTheme="minorEastAsia" w:hAnsiTheme="minorEastAsia" w:eastAsiaTheme="minorEastAsia" w:cstheme="minorEastAsia"/>
          <w:color w:val="auto"/>
          <w:szCs w:val="24"/>
          <w:lang w:val="zh-CN"/>
        </w:rPr>
      </w:pPr>
      <w:bookmarkStart w:id="842" w:name="_Toc477696890"/>
      <w:bookmarkStart w:id="843" w:name="_Toc2935"/>
      <w:bookmarkStart w:id="844" w:name="_Toc477695263"/>
      <w:bookmarkStart w:id="845" w:name="_Toc227991452"/>
      <w:bookmarkStart w:id="846" w:name="_Toc229994496"/>
      <w:bookmarkStart w:id="847" w:name="_Toc19979"/>
      <w:bookmarkStart w:id="848" w:name="_Toc479145633"/>
      <w:bookmarkStart w:id="849" w:name="_Toc333852798"/>
      <w:bookmarkStart w:id="850" w:name="_Toc1535"/>
      <w:bookmarkStart w:id="851" w:name="_Toc478045063"/>
      <w:bookmarkStart w:id="852" w:name="_Toc494521426"/>
      <w:bookmarkStart w:id="853" w:name="_Toc479146088"/>
      <w:bookmarkStart w:id="854" w:name="_Toc460575573"/>
      <w:bookmarkStart w:id="855" w:name="_Toc15057"/>
      <w:bookmarkStart w:id="856" w:name="_Toc6288"/>
      <w:bookmarkStart w:id="857" w:name="_Toc477705209"/>
      <w:bookmarkStart w:id="858" w:name="_Toc26240"/>
      <w:bookmarkStart w:id="859" w:name="_Toc330807444"/>
      <w:bookmarkStart w:id="860" w:name="_Toc4399"/>
      <w:bookmarkStart w:id="861" w:name="_Toc479109534"/>
      <w:bookmarkStart w:id="862" w:name="_Toc29473"/>
      <w:bookmarkStart w:id="863" w:name="_Toc479109911"/>
      <w:r>
        <w:rPr>
          <w:rFonts w:hint="eastAsia" w:asciiTheme="minorEastAsia" w:hAnsiTheme="minorEastAsia" w:eastAsiaTheme="minorEastAsia" w:cstheme="minorEastAsia"/>
          <w:color w:val="auto"/>
          <w:szCs w:val="24"/>
          <w:lang w:val="zh-CN"/>
        </w:rPr>
        <w:t>7.1定标方式</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14:paraId="3D6EE18E">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除磋商申请人须知前附表规定评标委员会直接确定中标人外，采购单位依据评标委员会推荐的</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候选人确定中标人。</w:t>
      </w:r>
    </w:p>
    <w:p w14:paraId="25EDD336">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7.1.1是否授权评标委员会确定中标人：见磋商申请人须知前附表。</w:t>
      </w:r>
    </w:p>
    <w:p w14:paraId="6499635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7.1.2</w:t>
      </w:r>
      <w:r>
        <w:rPr>
          <w:rFonts w:hint="eastAsia" w:asciiTheme="minorEastAsia" w:hAnsiTheme="minorEastAsia" w:eastAsiaTheme="minorEastAsia" w:cstheme="minorEastAsia"/>
          <w:color w:val="auto"/>
          <w:sz w:val="24"/>
          <w:szCs w:val="24"/>
          <w:lang w:val="zh-CN"/>
        </w:rPr>
        <w:t>采购代理机构应当自评审结束之日起2个工作日内将评审报告送交采购单位。</w:t>
      </w:r>
    </w:p>
    <w:p w14:paraId="74DFFB3C">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7.1.</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zh-CN"/>
        </w:rPr>
        <w:t>采购单位应当自收到评审报告之日起5个工作日内在评审报告推荐的中标候选人按顺序确定中标人。</w:t>
      </w:r>
    </w:p>
    <w:p w14:paraId="4A31E58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7.1.</w:t>
      </w:r>
      <w:r>
        <w:rPr>
          <w:rFonts w:hint="eastAsia" w:asciiTheme="minorEastAsia" w:hAnsiTheme="minorEastAsia" w:eastAsiaTheme="minorEastAsia" w:cstheme="minorEastAsia"/>
          <w:color w:val="auto"/>
          <w:sz w:val="24"/>
          <w:szCs w:val="24"/>
        </w:rPr>
        <w:t>4</w:t>
      </w:r>
      <w:r>
        <w:rPr>
          <w:rFonts w:hint="eastAsia" w:asciiTheme="minorEastAsia" w:hAnsiTheme="minorEastAsia" w:eastAsiaTheme="minorEastAsia" w:cstheme="minorEastAsia"/>
          <w:color w:val="auto"/>
          <w:sz w:val="24"/>
          <w:szCs w:val="24"/>
          <w:lang w:val="zh-CN"/>
        </w:rPr>
        <w:t>采购代理机构应当自中标人确定之日起</w:t>
      </w: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zh-CN"/>
        </w:rPr>
        <w:t>个工作日内，在竞争性磋商公告发布的媒体上发布</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结果，</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结果公示结束后，向中标人发出中标通知书。</w:t>
      </w:r>
    </w:p>
    <w:p w14:paraId="74A0B33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7.1.</w:t>
      </w:r>
      <w:r>
        <w:rPr>
          <w:rFonts w:hint="eastAsia" w:asciiTheme="minorEastAsia" w:hAnsiTheme="minorEastAsia" w:eastAsiaTheme="minorEastAsia" w:cstheme="minorEastAsia"/>
          <w:color w:val="auto"/>
          <w:sz w:val="24"/>
          <w:szCs w:val="24"/>
        </w:rPr>
        <w:t>5中标</w:t>
      </w:r>
      <w:r>
        <w:rPr>
          <w:rFonts w:hint="eastAsia" w:asciiTheme="minorEastAsia" w:hAnsiTheme="minorEastAsia" w:eastAsiaTheme="minorEastAsia" w:cstheme="minorEastAsia"/>
          <w:color w:val="auto"/>
          <w:sz w:val="24"/>
          <w:szCs w:val="24"/>
          <w:lang w:val="zh-CN"/>
        </w:rPr>
        <w:t>结果公告内容应当包括采购单位和采购代理机构的名称、地址、联系方式，项目名称和项目编号，</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磋商申请人名称、地址和</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金额，主要中标标的名称等相关要求信息以及评审专家名单。</w:t>
      </w:r>
    </w:p>
    <w:p w14:paraId="2E5DAEEC">
      <w:pPr>
        <w:pStyle w:val="4"/>
        <w:spacing w:line="240" w:lineRule="auto"/>
        <w:rPr>
          <w:rFonts w:asciiTheme="minorEastAsia" w:hAnsiTheme="minorEastAsia" w:eastAsiaTheme="minorEastAsia" w:cstheme="minorEastAsia"/>
          <w:color w:val="auto"/>
          <w:szCs w:val="24"/>
          <w:lang w:val="zh-CN"/>
        </w:rPr>
      </w:pPr>
      <w:bookmarkStart w:id="864" w:name="_Toc479109912"/>
      <w:bookmarkStart w:id="865" w:name="_Toc479109535"/>
      <w:bookmarkStart w:id="866" w:name="_Toc19338"/>
      <w:bookmarkStart w:id="867" w:name="_Toc477695264"/>
      <w:bookmarkStart w:id="868" w:name="_Toc460575574"/>
      <w:bookmarkStart w:id="869" w:name="_Toc2487"/>
      <w:bookmarkStart w:id="870" w:name="_Toc477696891"/>
      <w:bookmarkStart w:id="871" w:name="_Toc479145634"/>
      <w:bookmarkStart w:id="872" w:name="_Toc477705210"/>
      <w:bookmarkStart w:id="873" w:name="_Toc8055"/>
      <w:bookmarkStart w:id="874" w:name="_Toc17170"/>
      <w:bookmarkStart w:id="875" w:name="_Toc478045064"/>
      <w:bookmarkStart w:id="876" w:name="_Toc229994497"/>
      <w:bookmarkStart w:id="877" w:name="_Toc333852799"/>
      <w:bookmarkStart w:id="878" w:name="_Toc2578"/>
      <w:bookmarkStart w:id="879" w:name="_Toc10870"/>
      <w:bookmarkStart w:id="880" w:name="_Toc494521427"/>
      <w:bookmarkStart w:id="881" w:name="_Toc330807445"/>
      <w:bookmarkStart w:id="882" w:name="_Toc479146089"/>
      <w:bookmarkStart w:id="883" w:name="_Toc17121"/>
      <w:bookmarkStart w:id="884" w:name="_Toc227991453"/>
      <w:bookmarkStart w:id="885" w:name="_Toc23278"/>
      <w:r>
        <w:rPr>
          <w:rFonts w:hint="eastAsia" w:asciiTheme="minorEastAsia" w:hAnsiTheme="minorEastAsia" w:eastAsiaTheme="minorEastAsia" w:cstheme="minorEastAsia"/>
          <w:color w:val="auto"/>
          <w:szCs w:val="24"/>
          <w:lang w:val="zh-CN"/>
        </w:rPr>
        <w:t>7.2</w:t>
      </w:r>
      <w:r>
        <w:rPr>
          <w:rFonts w:hint="eastAsia" w:asciiTheme="minorEastAsia" w:hAnsiTheme="minorEastAsia" w:eastAsiaTheme="minorEastAsia" w:cstheme="minorEastAsia"/>
          <w:color w:val="auto"/>
          <w:szCs w:val="24"/>
        </w:rPr>
        <w:t>中标</w:t>
      </w:r>
      <w:r>
        <w:rPr>
          <w:rFonts w:hint="eastAsia" w:asciiTheme="minorEastAsia" w:hAnsiTheme="minorEastAsia" w:eastAsiaTheme="minorEastAsia" w:cstheme="minorEastAsia"/>
          <w:color w:val="auto"/>
          <w:szCs w:val="24"/>
          <w:lang w:val="zh-CN"/>
        </w:rPr>
        <w:t>通知</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563D5B7A">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在本章第3.3.1款规定的磋商有效期内，采购单位以书面形式向中标人发出中标通知书。</w:t>
      </w:r>
    </w:p>
    <w:p w14:paraId="7BCB2E6F">
      <w:pPr>
        <w:pStyle w:val="4"/>
        <w:spacing w:line="240" w:lineRule="auto"/>
        <w:rPr>
          <w:rFonts w:asciiTheme="minorEastAsia" w:hAnsiTheme="minorEastAsia" w:eastAsiaTheme="minorEastAsia" w:cstheme="minorEastAsia"/>
          <w:color w:val="auto"/>
          <w:szCs w:val="24"/>
          <w:lang w:val="zh-CN"/>
        </w:rPr>
      </w:pPr>
      <w:bookmarkStart w:id="886" w:name="_Toc478045065"/>
      <w:bookmarkStart w:id="887" w:name="_Toc21425"/>
      <w:bookmarkStart w:id="888" w:name="_Toc15308"/>
      <w:bookmarkStart w:id="889" w:name="_Toc29011"/>
      <w:bookmarkStart w:id="890" w:name="_Toc479145635"/>
      <w:bookmarkStart w:id="891" w:name="_Toc18567"/>
      <w:bookmarkStart w:id="892" w:name="_Toc479109913"/>
      <w:bookmarkStart w:id="893" w:name="_Toc460575575"/>
      <w:bookmarkStart w:id="894" w:name="_Toc229994498"/>
      <w:bookmarkStart w:id="895" w:name="_Toc330807446"/>
      <w:bookmarkStart w:id="896" w:name="_Toc479146090"/>
      <w:bookmarkStart w:id="897" w:name="_Toc18583"/>
      <w:bookmarkStart w:id="898" w:name="_Toc333852800"/>
      <w:bookmarkStart w:id="899" w:name="_Toc477695265"/>
      <w:bookmarkStart w:id="900" w:name="_Toc477696892"/>
      <w:bookmarkStart w:id="901" w:name="_Toc227991454"/>
      <w:bookmarkStart w:id="902" w:name="_Toc28689"/>
      <w:bookmarkStart w:id="903" w:name="_Toc3387"/>
      <w:bookmarkStart w:id="904" w:name="_Toc479109536"/>
      <w:bookmarkStart w:id="905" w:name="_Toc20936"/>
      <w:bookmarkStart w:id="906" w:name="_Toc477705211"/>
      <w:bookmarkStart w:id="907" w:name="_Toc494521428"/>
      <w:r>
        <w:rPr>
          <w:rFonts w:hint="eastAsia" w:asciiTheme="minorEastAsia" w:hAnsiTheme="minorEastAsia" w:eastAsiaTheme="minorEastAsia" w:cstheme="minorEastAsia"/>
          <w:color w:val="auto"/>
          <w:szCs w:val="24"/>
          <w:lang w:val="zh-CN"/>
        </w:rPr>
        <w:t>7.3履约担保</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55F4A909">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履约担保的形式与金额由采购人与成交供应商商定。</w:t>
      </w:r>
    </w:p>
    <w:p w14:paraId="7D289EA7">
      <w:pPr>
        <w:pStyle w:val="4"/>
        <w:spacing w:line="240" w:lineRule="auto"/>
        <w:rPr>
          <w:rFonts w:asciiTheme="minorEastAsia" w:hAnsiTheme="minorEastAsia" w:eastAsiaTheme="minorEastAsia" w:cstheme="minorEastAsia"/>
          <w:color w:val="auto"/>
          <w:szCs w:val="24"/>
          <w:lang w:val="zh-CN"/>
        </w:rPr>
      </w:pPr>
      <w:bookmarkStart w:id="908" w:name="_Toc479109914"/>
      <w:bookmarkStart w:id="909" w:name="_Toc479146091"/>
      <w:bookmarkStart w:id="910" w:name="_Toc479109537"/>
      <w:bookmarkStart w:id="911" w:name="_Toc477705212"/>
      <w:bookmarkStart w:id="912" w:name="_Toc34"/>
      <w:bookmarkStart w:id="913" w:name="_Toc20010"/>
      <w:bookmarkStart w:id="914" w:name="_Toc477696893"/>
      <w:bookmarkStart w:id="915" w:name="_Toc494521429"/>
      <w:bookmarkStart w:id="916" w:name="_Toc460575576"/>
      <w:bookmarkStart w:id="917" w:name="_Toc478045066"/>
      <w:bookmarkStart w:id="918" w:name="_Toc229994499"/>
      <w:bookmarkStart w:id="919" w:name="_Toc479145636"/>
      <w:bookmarkStart w:id="920" w:name="_Toc227991455"/>
      <w:bookmarkStart w:id="921" w:name="_Toc939"/>
      <w:bookmarkStart w:id="922" w:name="_Toc333852801"/>
      <w:bookmarkStart w:id="923" w:name="_Toc23905"/>
      <w:bookmarkStart w:id="924" w:name="_Toc477695266"/>
      <w:bookmarkStart w:id="925" w:name="_Toc30523"/>
      <w:bookmarkStart w:id="926" w:name="_Toc330807447"/>
      <w:bookmarkStart w:id="927" w:name="_Toc1223"/>
      <w:bookmarkStart w:id="928" w:name="_Toc20523"/>
      <w:bookmarkStart w:id="929" w:name="_Toc2691"/>
      <w:r>
        <w:rPr>
          <w:rFonts w:hint="eastAsia" w:asciiTheme="minorEastAsia" w:hAnsiTheme="minorEastAsia" w:eastAsiaTheme="minorEastAsia" w:cstheme="minorEastAsia"/>
          <w:color w:val="auto"/>
          <w:szCs w:val="24"/>
          <w:lang w:val="zh-CN"/>
        </w:rPr>
        <w:t>7.4签订合同</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5E7B3947">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采购单位和中标人应当自中标通知书发出之日起30天内，根据磋商文件和中标人的磋商响应文件订立书面合同。中标人无正当理由拒签合同的，采购单位取消其</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资格，其投标保证金不予退还；给采购单位造成的损失超过投标保证金数额的，中标人还应当对超过部分予以赔偿。</w:t>
      </w:r>
      <w:bookmarkStart w:id="930" w:name="_Toc227991459"/>
      <w:bookmarkStart w:id="931" w:name="_Toc330807451"/>
      <w:bookmarkStart w:id="932" w:name="_Toc229994503"/>
    </w:p>
    <w:p w14:paraId="4938CBA8">
      <w:pPr>
        <w:pStyle w:val="4"/>
        <w:spacing w:line="240" w:lineRule="auto"/>
        <w:rPr>
          <w:rFonts w:asciiTheme="minorEastAsia" w:hAnsiTheme="minorEastAsia" w:eastAsiaTheme="minorEastAsia" w:cstheme="minorEastAsia"/>
          <w:color w:val="auto"/>
          <w:szCs w:val="24"/>
          <w:lang w:val="zh-CN"/>
        </w:rPr>
      </w:pPr>
      <w:bookmarkStart w:id="933" w:name="_Toc11488"/>
      <w:bookmarkStart w:id="934" w:name="_Toc22575"/>
      <w:bookmarkStart w:id="935" w:name="_Toc25982"/>
      <w:bookmarkStart w:id="936" w:name="_Toc501437491"/>
      <w:bookmarkStart w:id="937" w:name="_Toc29549"/>
      <w:bookmarkStart w:id="938" w:name="_Toc9181"/>
      <w:bookmarkStart w:id="939" w:name="_Toc4524"/>
      <w:bookmarkStart w:id="940" w:name="_Toc17825"/>
      <w:r>
        <w:rPr>
          <w:rFonts w:hint="eastAsia" w:asciiTheme="minorEastAsia" w:hAnsiTheme="minorEastAsia" w:eastAsiaTheme="minorEastAsia" w:cstheme="minorEastAsia"/>
          <w:color w:val="auto"/>
          <w:szCs w:val="24"/>
          <w:lang w:val="zh-CN"/>
        </w:rPr>
        <w:t>8.重新招标</w:t>
      </w:r>
      <w:bookmarkEnd w:id="933"/>
      <w:bookmarkEnd w:id="934"/>
      <w:bookmarkEnd w:id="935"/>
      <w:bookmarkEnd w:id="936"/>
      <w:bookmarkEnd w:id="937"/>
      <w:bookmarkEnd w:id="938"/>
      <w:bookmarkEnd w:id="939"/>
      <w:bookmarkEnd w:id="940"/>
    </w:p>
    <w:p w14:paraId="16892324">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有下列情形之一的，采购单位将重新招标：</w:t>
      </w:r>
    </w:p>
    <w:p w14:paraId="0364C873">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（1）磋商截止时间止，</w:t>
      </w:r>
      <w:bookmarkStart w:id="941" w:name="_Toc333852802"/>
      <w:bookmarkStart w:id="942" w:name="_Toc227991456"/>
      <w:bookmarkStart w:id="943" w:name="_Toc330807448"/>
      <w:bookmarkStart w:id="944" w:name="_Toc229994500"/>
      <w:r>
        <w:rPr>
          <w:rFonts w:hint="eastAsia" w:asciiTheme="minorEastAsia" w:hAnsiTheme="minorEastAsia" w:eastAsiaTheme="minorEastAsia" w:cstheme="minorEastAsia"/>
          <w:color w:val="auto"/>
          <w:sz w:val="24"/>
          <w:szCs w:val="24"/>
          <w:lang w:val="zh-CN"/>
        </w:rPr>
        <w:t>磋商申请人少于3个的；</w:t>
      </w:r>
    </w:p>
    <w:p w14:paraId="79E35027">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（2）经评</w:t>
      </w:r>
      <w:bookmarkEnd w:id="941"/>
      <w:bookmarkEnd w:id="942"/>
      <w:bookmarkEnd w:id="943"/>
      <w:bookmarkEnd w:id="944"/>
      <w:r>
        <w:rPr>
          <w:rFonts w:hint="eastAsia" w:asciiTheme="minorEastAsia" w:hAnsiTheme="minorEastAsia" w:eastAsiaTheme="minorEastAsia" w:cstheme="minorEastAsia"/>
          <w:color w:val="auto"/>
          <w:sz w:val="24"/>
          <w:szCs w:val="24"/>
          <w:lang w:val="zh-CN"/>
        </w:rPr>
        <w:t>标</w:t>
      </w:r>
      <w:bookmarkStart w:id="945" w:name="_Toc440911876"/>
      <w:bookmarkStart w:id="946" w:name="_Toc330807449"/>
      <w:bookmarkStart w:id="947" w:name="_Toc440441585"/>
      <w:bookmarkStart w:id="948" w:name="_Toc229994501"/>
      <w:bookmarkStart w:id="949" w:name="_Toc227991457"/>
      <w:bookmarkStart w:id="950" w:name="_Toc333852803"/>
      <w:r>
        <w:rPr>
          <w:rFonts w:hint="eastAsia" w:asciiTheme="minorEastAsia" w:hAnsiTheme="minorEastAsia" w:eastAsiaTheme="minorEastAsia" w:cstheme="minorEastAsia"/>
          <w:color w:val="auto"/>
          <w:sz w:val="24"/>
          <w:szCs w:val="24"/>
          <w:lang w:val="zh-CN"/>
        </w:rPr>
        <w:t>委员会评审后否决</w:t>
      </w:r>
      <w:bookmarkEnd w:id="945"/>
      <w:bookmarkEnd w:id="946"/>
      <w:bookmarkEnd w:id="947"/>
      <w:bookmarkEnd w:id="948"/>
      <w:bookmarkEnd w:id="949"/>
      <w:bookmarkEnd w:id="950"/>
      <w:r>
        <w:rPr>
          <w:rFonts w:hint="eastAsia" w:asciiTheme="minorEastAsia" w:hAnsiTheme="minorEastAsia" w:eastAsiaTheme="minorEastAsia" w:cstheme="minorEastAsia"/>
          <w:color w:val="auto"/>
          <w:sz w:val="24"/>
          <w:szCs w:val="24"/>
          <w:lang w:val="zh-CN"/>
        </w:rPr>
        <w:t>所有投标。</w:t>
      </w:r>
    </w:p>
    <w:p w14:paraId="71FAB335">
      <w:pPr>
        <w:pStyle w:val="4"/>
        <w:spacing w:line="240" w:lineRule="auto"/>
        <w:rPr>
          <w:rFonts w:asciiTheme="minorEastAsia" w:hAnsiTheme="minorEastAsia" w:eastAsiaTheme="minorEastAsia" w:cstheme="minorEastAsia"/>
          <w:color w:val="auto"/>
          <w:szCs w:val="24"/>
          <w:lang w:val="zh-CN"/>
        </w:rPr>
      </w:pPr>
      <w:bookmarkStart w:id="951" w:name="_Toc477695267"/>
      <w:bookmarkStart w:id="952" w:name="_Toc479109915"/>
      <w:bookmarkStart w:id="953" w:name="_Toc479109538"/>
      <w:bookmarkStart w:id="954" w:name="_Toc479146092"/>
      <w:bookmarkStart w:id="955" w:name="_Toc29191"/>
      <w:bookmarkStart w:id="956" w:name="_Toc333852805"/>
      <w:bookmarkStart w:id="957" w:name="_Toc479145637"/>
      <w:bookmarkStart w:id="958" w:name="_Toc3912"/>
      <w:bookmarkStart w:id="959" w:name="_Toc478045067"/>
      <w:bookmarkStart w:id="960" w:name="_Toc460575580"/>
      <w:bookmarkStart w:id="961" w:name="_Toc477696894"/>
      <w:bookmarkStart w:id="962" w:name="_Toc477705213"/>
      <w:bookmarkStart w:id="963" w:name="_Toc494521430"/>
      <w:bookmarkStart w:id="964" w:name="_Toc13746"/>
      <w:r>
        <w:rPr>
          <w:rFonts w:hint="eastAsia" w:asciiTheme="minorEastAsia" w:hAnsiTheme="minorEastAsia" w:eastAsiaTheme="minorEastAsia" w:cstheme="minorEastAsia"/>
          <w:color w:val="auto"/>
          <w:szCs w:val="24"/>
        </w:rPr>
        <mc:AlternateContent>
          <mc:Choice Requires="wps">
            <w:drawing>
              <wp:anchor distT="0" distB="0" distL="114300" distR="114300" simplePos="0" relativeHeight="251660288"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KGD_Gobal1" descr="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"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" style="position:absolute;left:0pt;margin-left:-66.7pt;margin-top:-46.7pt;height:5pt;width:5pt;visibility:hidden;z-index:251660288;v-text-anchor:middle;mso-width-relative:page;mso-height-relative:page;" fillcolor="#4F81BD [3204]" filled="t" stroked="t" coordsize="21600,21600" o:gfxdata="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">
                <v:fill on="t" focussize="0,0"/>
                <v:stroke weight="2pt" color="#385D8A [3204]" joinstyle="round"/>
                <v:imagedata o:title=""/>
                <o:lock v:ext="edit" aspectratio="f"/>
              </v:rect>
            </w:pict>
          </mc:Fallback>
        </mc:AlternateContent>
      </w:r>
      <w:r>
        <w:rPr>
          <w:rFonts w:hint="eastAsia" w:asciiTheme="minorEastAsia" w:hAnsiTheme="minorEastAsia" w:eastAsiaTheme="minorEastAsia" w:cstheme="minorEastAsia"/>
          <w:color w:val="auto"/>
          <w:szCs w:val="24"/>
        </w:rPr>
        <w:t>9</w:t>
      </w:r>
      <w:r>
        <w:rPr>
          <w:rFonts w:hint="eastAsia" w:asciiTheme="minorEastAsia" w:hAnsiTheme="minorEastAsia" w:eastAsiaTheme="minorEastAsia" w:cstheme="minorEastAsia"/>
          <w:color w:val="auto"/>
          <w:szCs w:val="24"/>
          <w:lang w:val="zh-CN"/>
        </w:rPr>
        <w:t>.纪律和监督</w:t>
      </w:r>
      <w:bookmarkEnd w:id="930"/>
      <w:bookmarkEnd w:id="931"/>
      <w:bookmarkEnd w:id="932"/>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p w14:paraId="79396ED3">
      <w:pPr>
        <w:pStyle w:val="4"/>
        <w:spacing w:line="240" w:lineRule="auto"/>
        <w:rPr>
          <w:rFonts w:asciiTheme="minorEastAsia" w:hAnsiTheme="minorEastAsia" w:eastAsiaTheme="minorEastAsia" w:cstheme="minorEastAsia"/>
          <w:color w:val="auto"/>
          <w:szCs w:val="24"/>
          <w:lang w:val="zh-CN"/>
        </w:rPr>
      </w:pPr>
      <w:bookmarkStart w:id="965" w:name="_Toc479145638"/>
      <w:bookmarkStart w:id="966" w:name="_Toc30903"/>
      <w:bookmarkStart w:id="967" w:name="_Toc494521431"/>
      <w:bookmarkStart w:id="968" w:name="_Toc227991460"/>
      <w:bookmarkStart w:id="969" w:name="_Toc15930"/>
      <w:bookmarkStart w:id="970" w:name="_Toc477696895"/>
      <w:bookmarkStart w:id="971" w:name="_Toc7781"/>
      <w:bookmarkStart w:id="972" w:name="_Toc479109539"/>
      <w:bookmarkStart w:id="973" w:name="_Toc17081"/>
      <w:bookmarkStart w:id="974" w:name="_Toc333852806"/>
      <w:bookmarkStart w:id="975" w:name="_Toc478045068"/>
      <w:bookmarkStart w:id="976" w:name="_Toc479109916"/>
      <w:bookmarkStart w:id="977" w:name="_Toc479146093"/>
      <w:bookmarkStart w:id="978" w:name="_Toc22497"/>
      <w:bookmarkStart w:id="979" w:name="_Toc31688"/>
      <w:bookmarkStart w:id="980" w:name="_Toc4801"/>
      <w:bookmarkStart w:id="981" w:name="_Toc229994504"/>
      <w:bookmarkStart w:id="982" w:name="_Toc477705214"/>
      <w:bookmarkStart w:id="983" w:name="_Toc460575581"/>
      <w:bookmarkStart w:id="984" w:name="_Toc11510"/>
      <w:bookmarkStart w:id="985" w:name="_Toc477695268"/>
      <w:bookmarkStart w:id="986" w:name="_Toc330807452"/>
      <w:r>
        <w:rPr>
          <w:rFonts w:hint="eastAsia" w:asciiTheme="minorEastAsia" w:hAnsiTheme="minorEastAsia" w:eastAsiaTheme="minorEastAsia" w:cstheme="minorEastAsia"/>
          <w:color w:val="auto"/>
          <w:szCs w:val="24"/>
        </w:rPr>
        <w:t>9</w:t>
      </w:r>
      <w:r>
        <w:rPr>
          <w:rFonts w:hint="eastAsia" w:asciiTheme="minorEastAsia" w:hAnsiTheme="minorEastAsia" w:eastAsiaTheme="minorEastAsia" w:cstheme="minorEastAsia"/>
          <w:color w:val="auto"/>
          <w:szCs w:val="24"/>
          <w:lang w:val="zh-CN"/>
        </w:rPr>
        <w:t>.1对采购单位或采购代理机构的纪律要求</w:t>
      </w:r>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p w14:paraId="167F51B2">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采购单位或采购代理机构不得泄漏磋商活动中应当保密的情况和资料，不得与磋商申请人串通损害国家利益、社会公共利益或者他人合法权益。</w:t>
      </w:r>
    </w:p>
    <w:p w14:paraId="391B23AB">
      <w:pPr>
        <w:pStyle w:val="4"/>
        <w:spacing w:line="240" w:lineRule="auto"/>
        <w:rPr>
          <w:rFonts w:asciiTheme="minorEastAsia" w:hAnsiTheme="minorEastAsia" w:eastAsiaTheme="minorEastAsia" w:cstheme="minorEastAsia"/>
          <w:color w:val="auto"/>
          <w:szCs w:val="24"/>
          <w:lang w:val="zh-CN"/>
        </w:rPr>
      </w:pPr>
      <w:bookmarkStart w:id="987" w:name="_Toc494521432"/>
      <w:bookmarkStart w:id="988" w:name="_Toc10176"/>
      <w:bookmarkStart w:id="989" w:name="_Toc479109917"/>
      <w:bookmarkStart w:id="990" w:name="_Toc479145639"/>
      <w:bookmarkStart w:id="991" w:name="_Toc479109540"/>
      <w:bookmarkStart w:id="992" w:name="_Toc29420"/>
      <w:bookmarkStart w:id="993" w:name="_Toc4441"/>
      <w:bookmarkStart w:id="994" w:name="_Toc330807453"/>
      <w:bookmarkStart w:id="995" w:name="_Toc30338"/>
      <w:bookmarkStart w:id="996" w:name="_Toc22734"/>
      <w:bookmarkStart w:id="997" w:name="_Toc30365"/>
      <w:bookmarkStart w:id="998" w:name="_Toc477696896"/>
      <w:bookmarkStart w:id="999" w:name="_Toc227991461"/>
      <w:bookmarkStart w:id="1000" w:name="_Toc229994505"/>
      <w:bookmarkStart w:id="1001" w:name="_Toc479146094"/>
      <w:bookmarkStart w:id="1002" w:name="_Toc477695269"/>
      <w:bookmarkStart w:id="1003" w:name="_Toc17217"/>
      <w:bookmarkStart w:id="1004" w:name="_Toc17671"/>
      <w:bookmarkStart w:id="1005" w:name="_Toc333852807"/>
      <w:bookmarkStart w:id="1006" w:name="_Toc460575582"/>
      <w:bookmarkStart w:id="1007" w:name="_Toc478045069"/>
      <w:bookmarkStart w:id="1008" w:name="_Toc477705215"/>
      <w:r>
        <w:rPr>
          <w:rFonts w:hint="eastAsia" w:asciiTheme="minorEastAsia" w:hAnsiTheme="minorEastAsia" w:eastAsiaTheme="minorEastAsia" w:cstheme="minorEastAsia"/>
          <w:color w:val="auto"/>
          <w:szCs w:val="24"/>
        </w:rPr>
        <w:t>9</w:t>
      </w:r>
      <w:r>
        <w:rPr>
          <w:rFonts w:hint="eastAsia" w:asciiTheme="minorEastAsia" w:hAnsiTheme="minorEastAsia" w:eastAsiaTheme="minorEastAsia" w:cstheme="minorEastAsia"/>
          <w:color w:val="auto"/>
          <w:szCs w:val="24"/>
          <w:lang w:val="zh-CN"/>
        </w:rPr>
        <w:t>.2对磋商申请人的纪律要求</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p w14:paraId="29A3505D">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磋商申请人不得相互串通磋商或者与采购单位串通磋商，不得向采购单位或者评标委员会成员行贿谋取</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，不得以他人名义磋商或者以其他方式弄虚作假骗取</w:t>
      </w:r>
      <w:r>
        <w:rPr>
          <w:rFonts w:hint="eastAsia" w:asciiTheme="minorEastAsia" w:hAnsiTheme="minorEastAsia" w:eastAsiaTheme="minorEastAsia" w:cstheme="minorEastAsia"/>
          <w:color w:val="auto"/>
          <w:sz w:val="24"/>
          <w:szCs w:val="24"/>
        </w:rPr>
        <w:t>中标</w:t>
      </w:r>
      <w:r>
        <w:rPr>
          <w:rFonts w:hint="eastAsia" w:asciiTheme="minorEastAsia" w:hAnsiTheme="minorEastAsia" w:eastAsiaTheme="minorEastAsia" w:cstheme="minorEastAsia"/>
          <w:color w:val="auto"/>
          <w:sz w:val="24"/>
          <w:szCs w:val="24"/>
          <w:lang w:val="zh-CN"/>
        </w:rPr>
        <w:t>；磋商申请人不得以任何方式干扰、影响评标工作。</w:t>
      </w:r>
    </w:p>
    <w:p w14:paraId="673184FE">
      <w:pPr>
        <w:pStyle w:val="4"/>
        <w:spacing w:line="240" w:lineRule="auto"/>
        <w:rPr>
          <w:rFonts w:asciiTheme="minorEastAsia" w:hAnsiTheme="minorEastAsia" w:eastAsiaTheme="minorEastAsia" w:cstheme="minorEastAsia"/>
          <w:color w:val="auto"/>
          <w:szCs w:val="24"/>
          <w:lang w:val="zh-CN"/>
        </w:rPr>
      </w:pPr>
      <w:bookmarkStart w:id="1009" w:name="_Toc478045071"/>
      <w:bookmarkStart w:id="1010" w:name="_Toc13382"/>
      <w:bookmarkStart w:id="1011" w:name="_Toc477696898"/>
      <w:bookmarkStart w:id="1012" w:name="_Toc477705217"/>
      <w:bookmarkStart w:id="1013" w:name="_Toc479146096"/>
      <w:bookmarkStart w:id="1014" w:name="_Toc479145641"/>
      <w:bookmarkStart w:id="1015" w:name="_Toc23990"/>
      <w:bookmarkStart w:id="1016" w:name="_Toc479109919"/>
      <w:bookmarkStart w:id="1017" w:name="_Toc361"/>
      <w:bookmarkStart w:id="1018" w:name="_Toc17672"/>
      <w:bookmarkStart w:id="1019" w:name="_Toc494521434"/>
      <w:bookmarkStart w:id="1020" w:name="_Toc477695271"/>
      <w:bookmarkStart w:id="1021" w:name="_Toc7765"/>
      <w:bookmarkStart w:id="1022" w:name="_Toc333852809"/>
      <w:bookmarkStart w:id="1023" w:name="_Toc460575584"/>
      <w:bookmarkStart w:id="1024" w:name="_Toc4810"/>
      <w:bookmarkStart w:id="1025" w:name="_Toc330807455"/>
      <w:bookmarkStart w:id="1026" w:name="_Toc227991463"/>
      <w:bookmarkStart w:id="1027" w:name="_Toc14000"/>
      <w:bookmarkStart w:id="1028" w:name="_Toc479109542"/>
      <w:bookmarkStart w:id="1029" w:name="_Toc229994507"/>
      <w:bookmarkStart w:id="1030" w:name="_Toc8438"/>
      <w:r>
        <w:rPr>
          <w:rFonts w:hint="eastAsia" w:asciiTheme="minorEastAsia" w:hAnsiTheme="minorEastAsia" w:eastAsiaTheme="minorEastAsia" w:cstheme="minorEastAsia"/>
          <w:color w:val="auto"/>
          <w:szCs w:val="24"/>
        </w:rPr>
        <w:t>9</w:t>
      </w:r>
      <w:r>
        <w:rPr>
          <w:rFonts w:hint="eastAsia" w:asciiTheme="minorEastAsia" w:hAnsiTheme="minorEastAsia" w:eastAsiaTheme="minorEastAsia" w:cstheme="minorEastAsia"/>
          <w:color w:val="auto"/>
          <w:szCs w:val="24"/>
          <w:lang w:val="zh-CN"/>
        </w:rPr>
        <w:t>.</w:t>
      </w:r>
      <w:r>
        <w:rPr>
          <w:rFonts w:hint="eastAsia" w:asciiTheme="minorEastAsia" w:hAnsiTheme="minorEastAsia" w:eastAsiaTheme="minorEastAsia" w:cstheme="minorEastAsia"/>
          <w:color w:val="auto"/>
          <w:szCs w:val="24"/>
        </w:rPr>
        <w:t>3</w:t>
      </w:r>
      <w:r>
        <w:rPr>
          <w:rFonts w:hint="eastAsia" w:asciiTheme="minorEastAsia" w:hAnsiTheme="minorEastAsia" w:eastAsiaTheme="minorEastAsia" w:cstheme="minorEastAsia"/>
          <w:color w:val="auto"/>
          <w:szCs w:val="24"/>
          <w:lang w:val="zh-CN"/>
        </w:rPr>
        <w:t>对与评标活动有关的工作人员的纪律要求</w:t>
      </w:r>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14:paraId="78AAD8BC">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与评标活动有关的工作人员不得收受他人的财物或者其他好处，不得向他人透漏对磋商文件的评审和比较、中标候选人的推荐情况以及评标有关的其他情况。在评标活动中，与评标活动有关的工作人员不得擅离职守，影响评标程序正常进行。</w:t>
      </w:r>
    </w:p>
    <w:p w14:paraId="761F721A">
      <w:pPr>
        <w:pStyle w:val="4"/>
        <w:spacing w:line="240" w:lineRule="auto"/>
        <w:rPr>
          <w:rFonts w:asciiTheme="minorEastAsia" w:hAnsiTheme="minorEastAsia" w:eastAsiaTheme="minorEastAsia" w:cstheme="minorEastAsia"/>
          <w:color w:val="auto"/>
          <w:szCs w:val="24"/>
          <w:lang w:val="zh-CN"/>
        </w:rPr>
      </w:pPr>
      <w:bookmarkStart w:id="1031" w:name="_Toc479145642"/>
      <w:bookmarkStart w:id="1032" w:name="_Toc5966"/>
      <w:bookmarkStart w:id="1033" w:name="_Toc333852810"/>
      <w:bookmarkStart w:id="1034" w:name="_Toc13634"/>
      <w:bookmarkStart w:id="1035" w:name="_Toc24587"/>
      <w:bookmarkStart w:id="1036" w:name="_Toc30385"/>
      <w:bookmarkStart w:id="1037" w:name="_Toc227991464"/>
      <w:bookmarkStart w:id="1038" w:name="_Toc477696899"/>
      <w:bookmarkStart w:id="1039" w:name="_Toc11750"/>
      <w:bookmarkStart w:id="1040" w:name="_Toc477695272"/>
      <w:bookmarkStart w:id="1041" w:name="_Toc330807456"/>
      <w:bookmarkStart w:id="1042" w:name="_Toc477705218"/>
      <w:bookmarkStart w:id="1043" w:name="_Toc229994508"/>
      <w:bookmarkStart w:id="1044" w:name="_Toc5104"/>
      <w:bookmarkStart w:id="1045" w:name="_Toc479109920"/>
      <w:bookmarkStart w:id="1046" w:name="_Toc494521435"/>
      <w:bookmarkStart w:id="1047" w:name="_Toc478045072"/>
      <w:bookmarkStart w:id="1048" w:name="_Toc479109543"/>
      <w:bookmarkStart w:id="1049" w:name="_Toc12111"/>
      <w:bookmarkStart w:id="1050" w:name="_Toc1391"/>
      <w:bookmarkStart w:id="1051" w:name="_Toc479146097"/>
      <w:bookmarkStart w:id="1052" w:name="_Toc460575585"/>
      <w:r>
        <w:rPr>
          <w:rFonts w:hint="eastAsia" w:asciiTheme="minorEastAsia" w:hAnsiTheme="minorEastAsia" w:eastAsiaTheme="minorEastAsia" w:cstheme="minorEastAsia"/>
          <w:color w:val="auto"/>
          <w:szCs w:val="24"/>
        </w:rPr>
        <w:t>9</w:t>
      </w:r>
      <w:r>
        <w:rPr>
          <w:rFonts w:hint="eastAsia" w:asciiTheme="minorEastAsia" w:hAnsiTheme="minorEastAsia" w:eastAsiaTheme="minorEastAsia" w:cstheme="minorEastAsia"/>
          <w:color w:val="auto"/>
          <w:szCs w:val="24"/>
          <w:lang w:val="zh-CN"/>
        </w:rPr>
        <w:t>.</w:t>
      </w:r>
      <w:r>
        <w:rPr>
          <w:rFonts w:hint="eastAsia" w:asciiTheme="minorEastAsia" w:hAnsiTheme="minorEastAsia" w:eastAsiaTheme="minorEastAsia" w:cstheme="minorEastAsia"/>
          <w:color w:val="auto"/>
          <w:szCs w:val="24"/>
        </w:rPr>
        <w:t>4</w:t>
      </w:r>
      <w:r>
        <w:rPr>
          <w:rFonts w:hint="eastAsia" w:asciiTheme="minorEastAsia" w:hAnsiTheme="minorEastAsia" w:eastAsiaTheme="minorEastAsia" w:cstheme="minorEastAsia"/>
          <w:color w:val="auto"/>
          <w:szCs w:val="24"/>
          <w:lang w:val="zh-CN"/>
        </w:rPr>
        <w:t>投诉</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p>
    <w:p w14:paraId="6284AEEB">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磋商申请人和其他利害关系人认为本次招标活动违反法律、法规和规章规定的，有权向有关行政监督部门投诉。</w:t>
      </w:r>
      <w:bookmarkStart w:id="1053" w:name="_Toc227991465"/>
      <w:bookmarkStart w:id="1054" w:name="_Toc330807457"/>
      <w:bookmarkStart w:id="1055" w:name="_Toc229994509"/>
    </w:p>
    <w:p w14:paraId="431532AA">
      <w:pPr>
        <w:pStyle w:val="4"/>
        <w:spacing w:line="240" w:lineRule="auto"/>
        <w:rPr>
          <w:rFonts w:asciiTheme="minorEastAsia" w:hAnsiTheme="minorEastAsia" w:eastAsiaTheme="minorEastAsia" w:cstheme="minorEastAsia"/>
          <w:color w:val="auto"/>
          <w:szCs w:val="24"/>
          <w:lang w:val="zh-CN"/>
        </w:rPr>
      </w:pPr>
      <w:bookmarkStart w:id="1056" w:name="_Toc477705219"/>
      <w:bookmarkStart w:id="1057" w:name="_Toc477696900"/>
      <w:bookmarkStart w:id="1058" w:name="_Toc479109921"/>
      <w:bookmarkStart w:id="1059" w:name="_Toc460575586"/>
      <w:bookmarkStart w:id="1060" w:name="_Toc333852811"/>
      <w:bookmarkStart w:id="1061" w:name="_Toc494521436"/>
      <w:bookmarkStart w:id="1062" w:name="_Toc440"/>
      <w:bookmarkStart w:id="1063" w:name="_Toc479145643"/>
      <w:bookmarkStart w:id="1064" w:name="_Toc479146098"/>
      <w:bookmarkStart w:id="1065" w:name="_Toc477695273"/>
      <w:bookmarkStart w:id="1066" w:name="_Toc12720"/>
      <w:bookmarkStart w:id="1067" w:name="_Toc8286"/>
      <w:bookmarkStart w:id="1068" w:name="_Toc479109544"/>
      <w:bookmarkStart w:id="1069" w:name="_Toc478045073"/>
      <w:r>
        <w:rPr>
          <w:rFonts w:hint="eastAsia" w:asciiTheme="minorEastAsia" w:hAnsiTheme="minorEastAsia" w:eastAsiaTheme="minorEastAsia" w:cstheme="minorEastAsia"/>
          <w:color w:val="auto"/>
          <w:szCs w:val="24"/>
        </w:rPr>
        <w:t>10</w:t>
      </w:r>
      <w:r>
        <w:rPr>
          <w:rFonts w:hint="eastAsia" w:asciiTheme="minorEastAsia" w:hAnsiTheme="minorEastAsia" w:eastAsiaTheme="minorEastAsia" w:cstheme="minorEastAsia"/>
          <w:color w:val="auto"/>
          <w:szCs w:val="24"/>
          <w:lang w:val="zh-CN"/>
        </w:rPr>
        <w:t>.需要补充的其他内容</w:t>
      </w:r>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p>
    <w:p w14:paraId="0A2BE321">
      <w:pPr>
        <w:spacing w:line="400" w:lineRule="exact"/>
        <w:ind w:firstLine="480" w:firstLineChars="200"/>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见磋商申请人须知前附表。</w:t>
      </w:r>
    </w:p>
    <w:p w14:paraId="2CD043AE">
      <w:pPr>
        <w:pStyle w:val="27"/>
        <w:ind w:firstLine="720"/>
        <w:rPr>
          <w:rFonts w:ascii="宋体" w:hAnsi="宋体" w:cs="宋体"/>
          <w:color w:val="auto"/>
          <w:sz w:val="24"/>
          <w:lang w:val="zh-CN"/>
        </w:rPr>
      </w:pPr>
    </w:p>
    <w:p w14:paraId="199932C2">
      <w:pPr>
        <w:pStyle w:val="4"/>
        <w:spacing w:line="240" w:lineRule="auto"/>
        <w:rPr>
          <w:rFonts w:asciiTheme="minorEastAsia" w:hAnsiTheme="minorEastAsia" w:eastAsiaTheme="minorEastAsia" w:cstheme="minorEastAsia"/>
          <w:color w:val="auto"/>
          <w:szCs w:val="24"/>
        </w:rPr>
      </w:pPr>
      <w:bookmarkStart w:id="1070" w:name="_Toc30421"/>
      <w:bookmarkStart w:id="1071" w:name="_Toc18668"/>
    </w:p>
    <w:p w14:paraId="5CDCC07C">
      <w:pPr>
        <w:pStyle w:val="4"/>
        <w:spacing w:line="240" w:lineRule="auto"/>
        <w:rPr>
          <w:rFonts w:hint="eastAsia" w:asciiTheme="minorEastAsia" w:hAnsiTheme="minorEastAsia" w:eastAsiaTheme="minorEastAsia" w:cstheme="minorEastAsia"/>
          <w:color w:val="auto"/>
          <w:szCs w:val="24"/>
        </w:rPr>
      </w:pPr>
      <w:bookmarkStart w:id="1072" w:name="_Toc2992"/>
      <w:bookmarkStart w:id="1073" w:name="_Toc20968"/>
    </w:p>
    <w:p w14:paraId="6780768C">
      <w:pPr>
        <w:rPr>
          <w:rFonts w:hint="eastAsia"/>
          <w:color w:val="auto"/>
        </w:rPr>
      </w:pPr>
    </w:p>
    <w:p w14:paraId="1C3DAF87">
      <w:pPr>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br w:type="page"/>
      </w:r>
    </w:p>
    <w:p w14:paraId="6C514F06">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附件一：                     磋商文件澄清申请函</w:t>
      </w:r>
      <w:bookmarkEnd w:id="1070"/>
      <w:bookmarkEnd w:id="1071"/>
      <w:bookmarkEnd w:id="1072"/>
      <w:bookmarkEnd w:id="1073"/>
    </w:p>
    <w:p w14:paraId="411761FB">
      <w:pPr>
        <w:autoSpaceDE w:val="0"/>
        <w:autoSpaceDN w:val="0"/>
        <w:adjustRightInd w:val="0"/>
        <w:spacing w:line="360" w:lineRule="auto"/>
        <w:ind w:firstLine="4560" w:firstLineChars="190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编号:</w:t>
      </w:r>
    </w:p>
    <w:p w14:paraId="6175E8F4">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(采购单位名称):</w:t>
      </w:r>
    </w:p>
    <w:p w14:paraId="0EE96E11">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经过仔细阅读</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(项目名称)</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（项目编号）磋商文件后，我方申请对以下问题予以澄清：</w:t>
      </w:r>
    </w:p>
    <w:p w14:paraId="44215566">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p w14:paraId="02512456">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p w14:paraId="21C75113">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w:t>
      </w:r>
    </w:p>
    <w:p w14:paraId="00BB9DBB">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p>
    <w:p w14:paraId="112BC1F9">
      <w:pPr>
        <w:autoSpaceDE w:val="0"/>
        <w:autoSpaceDN w:val="0"/>
        <w:adjustRightInd w:val="0"/>
        <w:spacing w:line="360" w:lineRule="auto"/>
        <w:ind w:firstLine="420"/>
        <w:jc w:val="left"/>
        <w:rPr>
          <w:rFonts w:asciiTheme="minorEastAsia" w:hAnsiTheme="minorEastAsia" w:eastAsiaTheme="minorEastAsia" w:cstheme="minorEastAsia"/>
          <w:color w:val="auto"/>
          <w:spacing w:val="-2"/>
          <w:kern w:val="0"/>
          <w:sz w:val="24"/>
          <w:szCs w:val="24"/>
        </w:rPr>
      </w:pPr>
    </w:p>
    <w:p w14:paraId="211814A7">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4DFC134E">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4905CB12">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217D40FC">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0D6FAC76">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4BD365B1">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磋商申请人:</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(单位盖章)</w:t>
      </w:r>
    </w:p>
    <w:p w14:paraId="63ABEFD0">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p>
    <w:p w14:paraId="0A380085">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w:t>
      </w:r>
    </w:p>
    <w:p w14:paraId="3CDF91C3">
      <w:pPr>
        <w:spacing w:line="360" w:lineRule="auto"/>
        <w:jc w:val="center"/>
        <w:rPr>
          <w:rFonts w:asciiTheme="minorEastAsia" w:hAnsiTheme="minorEastAsia" w:eastAsiaTheme="minorEastAsia" w:cstheme="minorEastAsia"/>
          <w:color w:val="auto"/>
          <w:kern w:val="0"/>
          <w:sz w:val="24"/>
          <w:szCs w:val="24"/>
        </w:rPr>
      </w:pPr>
    </w:p>
    <w:p w14:paraId="3AEF5BAF">
      <w:pPr>
        <w:spacing w:line="360" w:lineRule="auto"/>
        <w:jc w:val="center"/>
        <w:rPr>
          <w:rFonts w:asciiTheme="minorEastAsia" w:hAnsiTheme="minorEastAsia" w:eastAsiaTheme="minorEastAsia" w:cstheme="minorEastAsia"/>
          <w:color w:val="auto"/>
          <w:kern w:val="0"/>
          <w:sz w:val="24"/>
          <w:szCs w:val="24"/>
        </w:rPr>
      </w:pPr>
    </w:p>
    <w:p w14:paraId="692DE0F9">
      <w:pPr>
        <w:spacing w:line="360" w:lineRule="auto"/>
        <w:jc w:val="center"/>
        <w:rPr>
          <w:rFonts w:asciiTheme="minorEastAsia" w:hAnsiTheme="minorEastAsia" w:eastAsiaTheme="minorEastAsia" w:cstheme="minorEastAsia"/>
          <w:color w:val="auto"/>
          <w:kern w:val="0"/>
          <w:sz w:val="24"/>
          <w:szCs w:val="24"/>
        </w:rPr>
      </w:pPr>
    </w:p>
    <w:p w14:paraId="3C5ABA2D">
      <w:pPr>
        <w:spacing w:line="360" w:lineRule="auto"/>
        <w:jc w:val="center"/>
        <w:rPr>
          <w:rFonts w:asciiTheme="minorEastAsia" w:hAnsiTheme="minorEastAsia" w:eastAsiaTheme="minorEastAsia" w:cstheme="minorEastAsia"/>
          <w:color w:val="auto"/>
          <w:kern w:val="0"/>
          <w:sz w:val="24"/>
          <w:szCs w:val="24"/>
        </w:rPr>
      </w:pPr>
    </w:p>
    <w:p w14:paraId="33DA226D">
      <w:pPr>
        <w:autoSpaceDE w:val="0"/>
        <w:autoSpaceDN w:val="0"/>
        <w:adjustRightInd w:val="0"/>
        <w:spacing w:line="360" w:lineRule="auto"/>
        <w:ind w:right="42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注：磋商申请人要求采购单位澄清</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有关问题时，适用于本格式。</w:t>
      </w:r>
    </w:p>
    <w:p w14:paraId="245DF239">
      <w:pPr>
        <w:pStyle w:val="2"/>
        <w:rPr>
          <w:rFonts w:hint="eastAsia"/>
          <w:color w:val="auto"/>
        </w:rPr>
      </w:pPr>
    </w:p>
    <w:p w14:paraId="1CDFD305">
      <w:pPr>
        <w:pStyle w:val="2"/>
        <w:rPr>
          <w:rFonts w:hint="eastAsia"/>
          <w:color w:val="auto"/>
        </w:rPr>
      </w:pPr>
    </w:p>
    <w:p w14:paraId="5C4604D5">
      <w:pPr>
        <w:pStyle w:val="2"/>
        <w:rPr>
          <w:rFonts w:hint="eastAsia"/>
          <w:color w:val="auto"/>
        </w:rPr>
      </w:pPr>
    </w:p>
    <w:p w14:paraId="777FF96C">
      <w:pPr>
        <w:pStyle w:val="2"/>
        <w:rPr>
          <w:rFonts w:hint="eastAsia"/>
          <w:color w:val="auto"/>
        </w:rPr>
      </w:pPr>
    </w:p>
    <w:p w14:paraId="29CE937D">
      <w:pPr>
        <w:pStyle w:val="2"/>
        <w:rPr>
          <w:rFonts w:hint="eastAsia"/>
          <w:color w:val="auto"/>
        </w:rPr>
      </w:pPr>
    </w:p>
    <w:p w14:paraId="24BC9658">
      <w:pPr>
        <w:pStyle w:val="2"/>
        <w:rPr>
          <w:rFonts w:hint="eastAsia"/>
          <w:color w:val="auto"/>
        </w:rPr>
      </w:pPr>
    </w:p>
    <w:p w14:paraId="2F760229">
      <w:pPr>
        <w:pStyle w:val="2"/>
        <w:rPr>
          <w:rFonts w:hint="eastAsia"/>
          <w:color w:val="auto"/>
        </w:rPr>
      </w:pPr>
    </w:p>
    <w:p w14:paraId="3678550C">
      <w:pPr>
        <w:pStyle w:val="2"/>
        <w:rPr>
          <w:rFonts w:hint="eastAsia"/>
          <w:color w:val="auto"/>
        </w:rPr>
      </w:pPr>
    </w:p>
    <w:p w14:paraId="292ECC6A">
      <w:pPr>
        <w:pStyle w:val="2"/>
        <w:rPr>
          <w:rFonts w:hint="eastAsia"/>
          <w:color w:val="auto"/>
        </w:rPr>
      </w:pPr>
    </w:p>
    <w:p w14:paraId="72249FCB">
      <w:pPr>
        <w:pStyle w:val="2"/>
        <w:rPr>
          <w:color w:val="auto"/>
        </w:rPr>
      </w:pPr>
    </w:p>
    <w:p w14:paraId="38868381">
      <w:pPr>
        <w:pStyle w:val="4"/>
        <w:spacing w:line="240" w:lineRule="auto"/>
        <w:rPr>
          <w:rFonts w:asciiTheme="minorEastAsia" w:hAnsiTheme="minorEastAsia" w:eastAsiaTheme="minorEastAsia" w:cstheme="minorEastAsia"/>
          <w:color w:val="auto"/>
          <w:szCs w:val="24"/>
        </w:rPr>
      </w:pPr>
      <w:bookmarkStart w:id="1074" w:name="_Toc31574"/>
      <w:bookmarkStart w:id="1075" w:name="_Toc16873"/>
      <w:bookmarkStart w:id="1076" w:name="_Toc22324"/>
      <w:bookmarkStart w:id="1077" w:name="_Toc23740"/>
      <w:bookmarkStart w:id="1078" w:name="_Toc15868"/>
      <w:r>
        <w:rPr>
          <w:rFonts w:hint="eastAsia" w:asciiTheme="minorEastAsia" w:hAnsiTheme="minorEastAsia" w:eastAsiaTheme="minorEastAsia" w:cstheme="minorEastAsia"/>
          <w:color w:val="auto"/>
          <w:szCs w:val="24"/>
        </w:rPr>
        <w:t>附件二：                     招 标 文 件 澄 清 通 知</w:t>
      </w:r>
      <w:bookmarkEnd w:id="1074"/>
      <w:bookmarkEnd w:id="1075"/>
      <w:bookmarkEnd w:id="1076"/>
      <w:bookmarkEnd w:id="1077"/>
      <w:bookmarkEnd w:id="1078"/>
    </w:p>
    <w:p w14:paraId="70214CC8">
      <w:pPr>
        <w:autoSpaceDE w:val="0"/>
        <w:autoSpaceDN w:val="0"/>
        <w:adjustRightInd w:val="0"/>
        <w:spacing w:line="360" w:lineRule="auto"/>
        <w:ind w:firstLine="4560" w:firstLineChars="190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编号:</w:t>
      </w:r>
    </w:p>
    <w:p w14:paraId="0DAECA06">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p>
    <w:p w14:paraId="7F76964D">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p>
    <w:p w14:paraId="0BDF5F8B">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(磋商申请人名称):</w:t>
      </w:r>
    </w:p>
    <w:p w14:paraId="7A55E807">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经研究，对</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(项目名称)</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（项目编号）</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，作如下澄清：</w:t>
      </w:r>
    </w:p>
    <w:p w14:paraId="19495FB0">
      <w:pPr>
        <w:autoSpaceDE w:val="0"/>
        <w:autoSpaceDN w:val="0"/>
        <w:adjustRightInd w:val="0"/>
        <w:spacing w:line="360" w:lineRule="auto"/>
        <w:ind w:firstLine="420"/>
        <w:jc w:val="left"/>
        <w:outlineLvl w:val="0"/>
        <w:rPr>
          <w:rFonts w:asciiTheme="minorEastAsia" w:hAnsiTheme="minorEastAsia" w:eastAsiaTheme="minorEastAsia" w:cstheme="minorEastAsia"/>
          <w:color w:val="auto"/>
          <w:kern w:val="0"/>
          <w:sz w:val="24"/>
          <w:szCs w:val="24"/>
        </w:rPr>
      </w:pPr>
      <w:bookmarkStart w:id="1079" w:name="_Toc12600"/>
      <w:bookmarkStart w:id="1080" w:name="_Toc27983"/>
      <w:bookmarkStart w:id="1081" w:name="_Toc51663622"/>
      <w:bookmarkStart w:id="1082" w:name="_Toc13278"/>
      <w:bookmarkStart w:id="1083" w:name="_Toc10226"/>
      <w:bookmarkStart w:id="1084" w:name="_Toc29296"/>
      <w:bookmarkStart w:id="1085" w:name="_Toc4709"/>
      <w:bookmarkStart w:id="1086" w:name="_Toc20069"/>
      <w:bookmarkStart w:id="1087" w:name="_Toc30218"/>
      <w:bookmarkStart w:id="1088" w:name="_Toc6515"/>
      <w:r>
        <w:rPr>
          <w:rFonts w:hint="eastAsia" w:asciiTheme="minorEastAsia" w:hAnsiTheme="minorEastAsia" w:eastAsiaTheme="minorEastAsia" w:cstheme="minorEastAsia"/>
          <w:color w:val="auto"/>
          <w:kern w:val="0"/>
          <w:sz w:val="24"/>
          <w:szCs w:val="24"/>
        </w:rPr>
        <w:t>1．……</w:t>
      </w:r>
      <w:bookmarkEnd w:id="1079"/>
      <w:bookmarkEnd w:id="1080"/>
      <w:bookmarkEnd w:id="1081"/>
      <w:bookmarkEnd w:id="1082"/>
      <w:bookmarkEnd w:id="1083"/>
      <w:bookmarkEnd w:id="1084"/>
      <w:bookmarkEnd w:id="1085"/>
      <w:bookmarkEnd w:id="1086"/>
      <w:bookmarkEnd w:id="1087"/>
      <w:bookmarkEnd w:id="1088"/>
    </w:p>
    <w:p w14:paraId="67C98C25">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 ……</w:t>
      </w:r>
    </w:p>
    <w:p w14:paraId="0354374A">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w:t>
      </w:r>
    </w:p>
    <w:p w14:paraId="33B4F00E">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p>
    <w:p w14:paraId="5DF5E8CB">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09EDF79D">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61AD0EA7">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45D6DD62">
      <w:pPr>
        <w:autoSpaceDE w:val="0"/>
        <w:autoSpaceDN w:val="0"/>
        <w:adjustRightInd w:val="0"/>
        <w:spacing w:line="360" w:lineRule="auto"/>
        <w:ind w:firstLine="480" w:firstLineChars="200"/>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请收到本通知后以书面形式按</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第二章附件四格式在</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日前回复确认，同时采用传真方式至</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w:t>
      </w:r>
    </w:p>
    <w:p w14:paraId="0FE47078">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19D639B4">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235D63A1">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2382E621">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30FF40CD">
      <w:pPr>
        <w:autoSpaceDE w:val="0"/>
        <w:autoSpaceDN w:val="0"/>
        <w:adjustRightInd w:val="0"/>
        <w:spacing w:line="360" w:lineRule="auto"/>
        <w:ind w:firstLine="4920" w:firstLineChars="2050"/>
        <w:jc w:val="right"/>
        <w:rPr>
          <w:rFonts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采购单位:</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(盖单位章)</w:t>
      </w:r>
    </w:p>
    <w:p w14:paraId="23F7D6FE">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p>
    <w:p w14:paraId="64BBD6DE">
      <w:pPr>
        <w:autoSpaceDE w:val="0"/>
        <w:autoSpaceDN w:val="0"/>
        <w:adjustRightInd w:val="0"/>
        <w:spacing w:line="360" w:lineRule="auto"/>
        <w:jc w:val="righ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w:t>
      </w:r>
    </w:p>
    <w:p w14:paraId="11358E43">
      <w:pPr>
        <w:spacing w:line="360" w:lineRule="auto"/>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 </w:t>
      </w:r>
    </w:p>
    <w:p w14:paraId="1CED3E1E">
      <w:pPr>
        <w:spacing w:line="360" w:lineRule="auto"/>
        <w:rPr>
          <w:rFonts w:asciiTheme="minorEastAsia" w:hAnsiTheme="minorEastAsia" w:eastAsiaTheme="minorEastAsia" w:cstheme="minorEastAsia"/>
          <w:color w:val="auto"/>
          <w:kern w:val="0"/>
          <w:sz w:val="24"/>
          <w:szCs w:val="24"/>
        </w:rPr>
      </w:pPr>
    </w:p>
    <w:p w14:paraId="76106324">
      <w:pPr>
        <w:spacing w:line="360" w:lineRule="auto"/>
        <w:ind w:firstLine="480" w:firstLineChars="20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注：采购单位对</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有关问题澄清时，适用于本格式。采购单位可根据需要将附件二与附件三内容和并发出。</w:t>
      </w:r>
    </w:p>
    <w:p w14:paraId="72130B65">
      <w:pPr>
        <w:pStyle w:val="2"/>
        <w:rPr>
          <w:rFonts w:hint="eastAsia"/>
          <w:color w:val="auto"/>
        </w:rPr>
      </w:pPr>
    </w:p>
    <w:p w14:paraId="557EC222">
      <w:pPr>
        <w:pStyle w:val="2"/>
        <w:rPr>
          <w:rFonts w:hint="eastAsia"/>
          <w:color w:val="auto"/>
        </w:rPr>
      </w:pPr>
    </w:p>
    <w:p w14:paraId="5FB82632">
      <w:pPr>
        <w:pStyle w:val="2"/>
        <w:rPr>
          <w:rFonts w:hint="eastAsia"/>
          <w:color w:val="auto"/>
        </w:rPr>
      </w:pPr>
    </w:p>
    <w:p w14:paraId="0C271568">
      <w:pPr>
        <w:pStyle w:val="2"/>
        <w:rPr>
          <w:rFonts w:hint="eastAsia"/>
          <w:color w:val="auto"/>
        </w:rPr>
      </w:pPr>
    </w:p>
    <w:p w14:paraId="5A73D3EB">
      <w:pPr>
        <w:pStyle w:val="2"/>
        <w:rPr>
          <w:rFonts w:hint="eastAsia"/>
          <w:color w:val="auto"/>
        </w:rPr>
      </w:pPr>
    </w:p>
    <w:p w14:paraId="3E440F10">
      <w:pPr>
        <w:pStyle w:val="4"/>
        <w:spacing w:line="240" w:lineRule="auto"/>
        <w:jc w:val="both"/>
        <w:rPr>
          <w:rFonts w:asciiTheme="minorEastAsia" w:hAnsiTheme="minorEastAsia" w:eastAsiaTheme="minorEastAsia" w:cstheme="minorEastAsia"/>
          <w:color w:val="auto"/>
          <w:szCs w:val="24"/>
        </w:rPr>
      </w:pPr>
      <w:bookmarkStart w:id="1089" w:name="_Toc10476"/>
      <w:bookmarkStart w:id="1090" w:name="_Toc19907"/>
      <w:bookmarkStart w:id="1091" w:name="_Toc20503"/>
      <w:bookmarkStart w:id="1092" w:name="_Toc3037"/>
      <w:bookmarkStart w:id="1093" w:name="_Toc3658"/>
      <w:r>
        <w:rPr>
          <w:rFonts w:hint="eastAsia" w:asciiTheme="minorEastAsia" w:hAnsiTheme="minorEastAsia" w:eastAsiaTheme="minorEastAsia" w:cstheme="minorEastAsia"/>
          <w:color w:val="auto"/>
          <w:szCs w:val="24"/>
        </w:rPr>
        <w:t>附件三：                     招 标 文 件 修 改 通 知</w:t>
      </w:r>
      <w:bookmarkEnd w:id="1089"/>
      <w:bookmarkEnd w:id="1090"/>
      <w:bookmarkEnd w:id="1091"/>
      <w:bookmarkEnd w:id="1092"/>
      <w:bookmarkEnd w:id="1093"/>
    </w:p>
    <w:p w14:paraId="5752F79D">
      <w:pPr>
        <w:autoSpaceDE w:val="0"/>
        <w:autoSpaceDN w:val="0"/>
        <w:adjustRightInd w:val="0"/>
        <w:spacing w:line="360" w:lineRule="auto"/>
        <w:ind w:firstLine="4560" w:firstLineChars="190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编号:</w:t>
      </w:r>
    </w:p>
    <w:p w14:paraId="65C297BA">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p>
    <w:p w14:paraId="4D821A2C">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p>
    <w:p w14:paraId="041EEC6C">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w:t>
      </w: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kern w:val="0"/>
          <w:sz w:val="24"/>
          <w:szCs w:val="24"/>
        </w:rPr>
        <w:t>名称):</w:t>
      </w:r>
    </w:p>
    <w:p w14:paraId="5333DA77">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经研究，对</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(项目名称)</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（项目编号）</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，作如下修改：</w:t>
      </w:r>
    </w:p>
    <w:p w14:paraId="79821065">
      <w:pPr>
        <w:autoSpaceDE w:val="0"/>
        <w:autoSpaceDN w:val="0"/>
        <w:adjustRightInd w:val="0"/>
        <w:spacing w:line="360" w:lineRule="auto"/>
        <w:ind w:firstLine="420"/>
        <w:jc w:val="left"/>
        <w:outlineLvl w:val="0"/>
        <w:rPr>
          <w:rFonts w:asciiTheme="minorEastAsia" w:hAnsiTheme="minorEastAsia" w:eastAsiaTheme="minorEastAsia" w:cstheme="minorEastAsia"/>
          <w:color w:val="auto"/>
          <w:kern w:val="0"/>
          <w:sz w:val="24"/>
          <w:szCs w:val="24"/>
        </w:rPr>
      </w:pPr>
      <w:bookmarkStart w:id="1094" w:name="_Toc6699"/>
      <w:bookmarkStart w:id="1095" w:name="_Toc25248"/>
      <w:bookmarkStart w:id="1096" w:name="_Toc19022"/>
      <w:bookmarkStart w:id="1097" w:name="_Toc21820"/>
      <w:bookmarkStart w:id="1098" w:name="_Toc455"/>
      <w:bookmarkStart w:id="1099" w:name="_Toc19825"/>
      <w:bookmarkStart w:id="1100" w:name="_Toc51663623"/>
      <w:bookmarkStart w:id="1101" w:name="_Toc20325"/>
      <w:bookmarkStart w:id="1102" w:name="_Toc14264"/>
      <w:bookmarkStart w:id="1103" w:name="_Toc16838"/>
      <w:r>
        <w:rPr>
          <w:rFonts w:hint="eastAsia" w:asciiTheme="minorEastAsia" w:hAnsiTheme="minorEastAsia" w:eastAsiaTheme="minorEastAsia" w:cstheme="minorEastAsia"/>
          <w:color w:val="auto"/>
          <w:kern w:val="0"/>
          <w:sz w:val="24"/>
          <w:szCs w:val="24"/>
        </w:rPr>
        <w:t>1．……</w:t>
      </w:r>
      <w:bookmarkEnd w:id="1094"/>
      <w:bookmarkEnd w:id="1095"/>
      <w:bookmarkEnd w:id="1096"/>
      <w:bookmarkEnd w:id="1097"/>
      <w:bookmarkEnd w:id="1098"/>
      <w:bookmarkEnd w:id="1099"/>
      <w:bookmarkEnd w:id="1100"/>
      <w:bookmarkEnd w:id="1101"/>
      <w:bookmarkEnd w:id="1102"/>
      <w:bookmarkEnd w:id="1103"/>
    </w:p>
    <w:p w14:paraId="6D8EE464">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 ……</w:t>
      </w:r>
    </w:p>
    <w:p w14:paraId="19FDEE74">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w:t>
      </w:r>
    </w:p>
    <w:p w14:paraId="136F080A">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p>
    <w:p w14:paraId="1AC7F24D">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2BDBD121">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040E780B">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746FD9B6">
      <w:pPr>
        <w:autoSpaceDE w:val="0"/>
        <w:autoSpaceDN w:val="0"/>
        <w:adjustRightInd w:val="0"/>
        <w:spacing w:line="360" w:lineRule="auto"/>
        <w:ind w:firstLine="480" w:firstLineChars="200"/>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请收到本通知后以书面形式按</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第二章附件四格式在</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日前回复确认，同时采用传真方式至</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w:t>
      </w:r>
    </w:p>
    <w:p w14:paraId="6C321E5F">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635D303D">
      <w:pPr>
        <w:autoSpaceDE w:val="0"/>
        <w:autoSpaceDN w:val="0"/>
        <w:adjustRightInd w:val="0"/>
        <w:spacing w:line="360" w:lineRule="auto"/>
        <w:rPr>
          <w:rFonts w:asciiTheme="minorEastAsia" w:hAnsiTheme="minorEastAsia" w:eastAsiaTheme="minorEastAsia" w:cstheme="minorEastAsia"/>
          <w:color w:val="auto"/>
          <w:kern w:val="0"/>
          <w:sz w:val="24"/>
          <w:szCs w:val="24"/>
        </w:rPr>
      </w:pPr>
    </w:p>
    <w:p w14:paraId="29419748">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118D2A10">
      <w:pPr>
        <w:autoSpaceDE w:val="0"/>
        <w:autoSpaceDN w:val="0"/>
        <w:adjustRightInd w:val="0"/>
        <w:spacing w:line="360" w:lineRule="auto"/>
        <w:ind w:firstLine="4920" w:firstLineChars="2050"/>
        <w:jc w:val="right"/>
        <w:rPr>
          <w:rFonts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采购单位:</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(盖单位章)</w:t>
      </w:r>
    </w:p>
    <w:p w14:paraId="27F1482B">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p>
    <w:p w14:paraId="67A2D206">
      <w:pPr>
        <w:autoSpaceDE w:val="0"/>
        <w:autoSpaceDN w:val="0"/>
        <w:adjustRightInd w:val="0"/>
        <w:spacing w:line="360" w:lineRule="auto"/>
        <w:jc w:val="righ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w:t>
      </w:r>
    </w:p>
    <w:p w14:paraId="1E042B31">
      <w:pPr>
        <w:spacing w:line="360" w:lineRule="auto"/>
        <w:jc w:val="center"/>
        <w:rPr>
          <w:rFonts w:asciiTheme="minorEastAsia" w:hAnsiTheme="minorEastAsia" w:eastAsiaTheme="minorEastAsia" w:cstheme="minorEastAsia"/>
          <w:color w:val="auto"/>
          <w:kern w:val="0"/>
          <w:sz w:val="24"/>
          <w:szCs w:val="24"/>
        </w:rPr>
      </w:pPr>
    </w:p>
    <w:p w14:paraId="2EFACC92">
      <w:pPr>
        <w:spacing w:line="360" w:lineRule="auto"/>
        <w:rPr>
          <w:rFonts w:asciiTheme="minorEastAsia" w:hAnsiTheme="minorEastAsia" w:eastAsiaTheme="minorEastAsia" w:cstheme="minorEastAsia"/>
          <w:color w:val="auto"/>
          <w:kern w:val="0"/>
          <w:sz w:val="24"/>
          <w:szCs w:val="24"/>
        </w:rPr>
      </w:pPr>
    </w:p>
    <w:p w14:paraId="2BA506C6">
      <w:pPr>
        <w:spacing w:line="360" w:lineRule="auto"/>
        <w:rPr>
          <w:rFonts w:asciiTheme="minorEastAsia" w:hAnsiTheme="minorEastAsia" w:eastAsiaTheme="minorEastAsia" w:cstheme="minorEastAsia"/>
          <w:color w:val="auto"/>
          <w:kern w:val="0"/>
          <w:sz w:val="24"/>
          <w:szCs w:val="24"/>
        </w:rPr>
      </w:pPr>
    </w:p>
    <w:p w14:paraId="7961A101">
      <w:pPr>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注：采购单位对</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修改时，适用于本格式。</w:t>
      </w:r>
      <w:bookmarkStart w:id="1104" w:name="_Toc3780"/>
      <w:bookmarkStart w:id="1105" w:name="_Toc22484"/>
      <w:bookmarkStart w:id="1106" w:name="_Toc15439"/>
      <w:bookmarkStart w:id="1107" w:name="_Toc3233"/>
      <w:bookmarkStart w:id="1108" w:name="_Toc30207"/>
    </w:p>
    <w:p w14:paraId="2DE65ED3">
      <w:pPr>
        <w:pStyle w:val="2"/>
        <w:rPr>
          <w:rFonts w:hint="eastAsia"/>
          <w:color w:val="auto"/>
        </w:rPr>
      </w:pPr>
    </w:p>
    <w:p w14:paraId="764D8D18">
      <w:pPr>
        <w:pStyle w:val="2"/>
        <w:rPr>
          <w:rFonts w:hint="eastAsia"/>
          <w:color w:val="auto"/>
        </w:rPr>
      </w:pPr>
    </w:p>
    <w:p w14:paraId="72F40B10">
      <w:pPr>
        <w:pStyle w:val="2"/>
        <w:rPr>
          <w:rFonts w:hint="eastAsia"/>
          <w:color w:val="auto"/>
        </w:rPr>
      </w:pPr>
    </w:p>
    <w:p w14:paraId="212B16AF">
      <w:pPr>
        <w:pStyle w:val="2"/>
        <w:rPr>
          <w:rFonts w:hint="eastAsia"/>
          <w:color w:val="auto"/>
        </w:rPr>
      </w:pPr>
    </w:p>
    <w:p w14:paraId="492807F2">
      <w:pPr>
        <w:pStyle w:val="2"/>
        <w:rPr>
          <w:rFonts w:hint="eastAsia"/>
          <w:color w:val="auto"/>
        </w:rPr>
      </w:pPr>
    </w:p>
    <w:p w14:paraId="3C096A75">
      <w:pPr>
        <w:pStyle w:val="2"/>
        <w:rPr>
          <w:rFonts w:hint="eastAsia"/>
          <w:color w:val="auto"/>
        </w:rPr>
      </w:pPr>
    </w:p>
    <w:p w14:paraId="37AB6B3B">
      <w:pPr>
        <w:pStyle w:val="2"/>
        <w:rPr>
          <w:rFonts w:hint="eastAsia"/>
          <w:color w:val="auto"/>
        </w:rPr>
      </w:pPr>
    </w:p>
    <w:p w14:paraId="5B6849B8">
      <w:pPr>
        <w:pStyle w:val="2"/>
        <w:rPr>
          <w:rFonts w:hint="eastAsia"/>
          <w:color w:val="auto"/>
        </w:rPr>
      </w:pPr>
    </w:p>
    <w:p w14:paraId="59DC3B33">
      <w:pPr>
        <w:pStyle w:val="4"/>
        <w:spacing w:line="240" w:lineRule="auto"/>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附件四：                 磋商文件澄清通知、修改通知确认函</w:t>
      </w:r>
      <w:bookmarkEnd w:id="1104"/>
      <w:bookmarkEnd w:id="1105"/>
      <w:bookmarkEnd w:id="1106"/>
      <w:bookmarkEnd w:id="1107"/>
      <w:bookmarkEnd w:id="1108"/>
    </w:p>
    <w:p w14:paraId="705E4D11">
      <w:pPr>
        <w:autoSpaceDE w:val="0"/>
        <w:autoSpaceDN w:val="0"/>
        <w:adjustRightInd w:val="0"/>
        <w:spacing w:line="360" w:lineRule="auto"/>
        <w:ind w:firstLine="4560" w:firstLineChars="190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编号:</w:t>
      </w:r>
    </w:p>
    <w:p w14:paraId="6B49FD64">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p>
    <w:p w14:paraId="09704B0C">
      <w:pPr>
        <w:autoSpaceDE w:val="0"/>
        <w:autoSpaceDN w:val="0"/>
        <w:adjustRightInd w:val="0"/>
        <w:spacing w:line="360" w:lineRule="auto"/>
        <w:jc w:val="left"/>
        <w:rPr>
          <w:rFonts w:asciiTheme="minorEastAsia" w:hAnsiTheme="minorEastAsia" w:eastAsiaTheme="minorEastAsia" w:cstheme="minorEastAsia"/>
          <w:color w:val="auto"/>
          <w:kern w:val="0"/>
          <w:sz w:val="24"/>
          <w:szCs w:val="24"/>
          <w:u w:val="single"/>
        </w:rPr>
      </w:pPr>
    </w:p>
    <w:p w14:paraId="3CE2CBEF">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(采购单位名称):</w:t>
      </w:r>
    </w:p>
    <w:p w14:paraId="47E5DF31">
      <w:pPr>
        <w:autoSpaceDE w:val="0"/>
        <w:autoSpaceDN w:val="0"/>
        <w:adjustRightInd w:val="0"/>
        <w:spacing w:line="360" w:lineRule="auto"/>
        <w:ind w:firstLine="480" w:firstLineChars="20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你方</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日发送的</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(项目名称)</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（项目编号）磋商文件问题（澄清通知/修改通知），我方己于</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日收到，通知的主要内容如下：</w:t>
      </w:r>
    </w:p>
    <w:p w14:paraId="3F7C5081">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（文件名称及编号），共</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（页码总数）</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（条款总数）；</w:t>
      </w:r>
    </w:p>
    <w:p w14:paraId="4BE02655">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w:t>
      </w:r>
    </w:p>
    <w:p w14:paraId="601740EC">
      <w:pPr>
        <w:autoSpaceDE w:val="0"/>
        <w:autoSpaceDN w:val="0"/>
        <w:adjustRightInd w:val="0"/>
        <w:spacing w:line="360" w:lineRule="auto"/>
        <w:ind w:firstLine="420"/>
        <w:jc w:val="lef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特此确认。</w:t>
      </w:r>
    </w:p>
    <w:p w14:paraId="52042B04">
      <w:pPr>
        <w:autoSpaceDE w:val="0"/>
        <w:autoSpaceDN w:val="0"/>
        <w:adjustRightInd w:val="0"/>
        <w:spacing w:line="360" w:lineRule="auto"/>
        <w:rPr>
          <w:rFonts w:asciiTheme="minorEastAsia" w:hAnsiTheme="minorEastAsia" w:eastAsiaTheme="minorEastAsia" w:cstheme="minorEastAsia"/>
          <w:color w:val="auto"/>
          <w:spacing w:val="-2"/>
          <w:kern w:val="0"/>
          <w:sz w:val="24"/>
          <w:szCs w:val="24"/>
        </w:rPr>
      </w:pPr>
    </w:p>
    <w:p w14:paraId="78F717F2">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315460BB">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0F290C44">
      <w:pPr>
        <w:autoSpaceDE w:val="0"/>
        <w:autoSpaceDN w:val="0"/>
        <w:adjustRightInd w:val="0"/>
        <w:spacing w:line="360" w:lineRule="auto"/>
        <w:ind w:firstLine="3960" w:firstLineChars="1650"/>
        <w:rPr>
          <w:rFonts w:asciiTheme="minorEastAsia" w:hAnsiTheme="minorEastAsia" w:eastAsiaTheme="minorEastAsia" w:cstheme="minorEastAsia"/>
          <w:color w:val="auto"/>
          <w:kern w:val="0"/>
          <w:sz w:val="24"/>
          <w:szCs w:val="24"/>
        </w:rPr>
      </w:pPr>
    </w:p>
    <w:p w14:paraId="3D45D61C">
      <w:pPr>
        <w:autoSpaceDE w:val="0"/>
        <w:autoSpaceDN w:val="0"/>
        <w:adjustRightInd w:val="0"/>
        <w:spacing w:line="360" w:lineRule="auto"/>
        <w:ind w:firstLine="4920" w:firstLineChars="2050"/>
        <w:jc w:val="right"/>
        <w:rPr>
          <w:rFonts w:asciiTheme="minorEastAsia" w:hAnsiTheme="minorEastAsia" w:eastAsiaTheme="minorEastAsia" w:cstheme="minorEastAsia"/>
          <w:color w:val="auto"/>
          <w:kern w:val="0"/>
          <w:sz w:val="24"/>
          <w:szCs w:val="24"/>
        </w:rPr>
      </w:pPr>
    </w:p>
    <w:p w14:paraId="51CEEA72">
      <w:pPr>
        <w:autoSpaceDE w:val="0"/>
        <w:autoSpaceDN w:val="0"/>
        <w:adjustRightInd w:val="0"/>
        <w:spacing w:line="360" w:lineRule="auto"/>
        <w:ind w:firstLine="4920" w:firstLineChars="2050"/>
        <w:jc w:val="right"/>
        <w:rPr>
          <w:rFonts w:asciiTheme="minorEastAsia" w:hAnsiTheme="minorEastAsia" w:eastAsiaTheme="minorEastAsia" w:cstheme="minorEastAsia"/>
          <w:color w:val="auto"/>
          <w:kern w:val="0"/>
          <w:sz w:val="24"/>
          <w:szCs w:val="24"/>
        </w:rPr>
      </w:pPr>
    </w:p>
    <w:p w14:paraId="63F29537">
      <w:pPr>
        <w:autoSpaceDE w:val="0"/>
        <w:autoSpaceDN w:val="0"/>
        <w:adjustRightInd w:val="0"/>
        <w:spacing w:line="360" w:lineRule="auto"/>
        <w:ind w:firstLine="4920" w:firstLineChars="2050"/>
        <w:jc w:val="right"/>
        <w:rPr>
          <w:rFonts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采购单位:</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 xml:space="preserve"> (盖单位章)</w:t>
      </w:r>
    </w:p>
    <w:p w14:paraId="4DF447FA">
      <w:pPr>
        <w:autoSpaceDE w:val="0"/>
        <w:autoSpaceDN w:val="0"/>
        <w:adjustRightInd w:val="0"/>
        <w:spacing w:line="360" w:lineRule="auto"/>
        <w:jc w:val="left"/>
        <w:rPr>
          <w:rFonts w:asciiTheme="minorEastAsia" w:hAnsiTheme="minorEastAsia" w:eastAsiaTheme="minorEastAsia" w:cstheme="minorEastAsia"/>
          <w:color w:val="auto"/>
          <w:kern w:val="0"/>
          <w:sz w:val="24"/>
          <w:szCs w:val="24"/>
        </w:rPr>
      </w:pPr>
    </w:p>
    <w:p w14:paraId="1A2FD79F">
      <w:pPr>
        <w:autoSpaceDE w:val="0"/>
        <w:autoSpaceDN w:val="0"/>
        <w:adjustRightInd w:val="0"/>
        <w:spacing w:line="360" w:lineRule="auto"/>
        <w:jc w:val="right"/>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w:t>
      </w:r>
    </w:p>
    <w:p w14:paraId="27915104">
      <w:pPr>
        <w:spacing w:line="360" w:lineRule="auto"/>
        <w:jc w:val="center"/>
        <w:rPr>
          <w:rFonts w:asciiTheme="minorEastAsia" w:hAnsiTheme="minorEastAsia" w:eastAsiaTheme="minorEastAsia" w:cstheme="minorEastAsia"/>
          <w:color w:val="auto"/>
          <w:kern w:val="0"/>
          <w:sz w:val="24"/>
          <w:szCs w:val="24"/>
        </w:rPr>
      </w:pPr>
    </w:p>
    <w:p w14:paraId="59FC77F1">
      <w:pPr>
        <w:spacing w:line="360" w:lineRule="auto"/>
        <w:jc w:val="center"/>
        <w:rPr>
          <w:rFonts w:asciiTheme="minorEastAsia" w:hAnsiTheme="minorEastAsia" w:eastAsiaTheme="minorEastAsia" w:cstheme="minorEastAsia"/>
          <w:color w:val="auto"/>
          <w:kern w:val="0"/>
          <w:sz w:val="24"/>
          <w:szCs w:val="24"/>
        </w:rPr>
      </w:pPr>
    </w:p>
    <w:p w14:paraId="3DB4B46A">
      <w:pPr>
        <w:spacing w:line="360" w:lineRule="auto"/>
        <w:jc w:val="center"/>
        <w:rPr>
          <w:rFonts w:asciiTheme="minorEastAsia" w:hAnsiTheme="minorEastAsia" w:eastAsiaTheme="minorEastAsia" w:cstheme="minorEastAsia"/>
          <w:color w:val="auto"/>
          <w:kern w:val="0"/>
          <w:sz w:val="24"/>
          <w:szCs w:val="24"/>
        </w:rPr>
      </w:pPr>
    </w:p>
    <w:p w14:paraId="188B4C87">
      <w:pPr>
        <w:spacing w:line="360" w:lineRule="auto"/>
        <w:jc w:val="center"/>
        <w:rPr>
          <w:rFonts w:asciiTheme="minorEastAsia" w:hAnsiTheme="minorEastAsia" w:eastAsiaTheme="minorEastAsia" w:cstheme="minorEastAsia"/>
          <w:color w:val="auto"/>
          <w:kern w:val="0"/>
          <w:sz w:val="24"/>
          <w:szCs w:val="24"/>
        </w:rPr>
      </w:pPr>
    </w:p>
    <w:p w14:paraId="1FF9E90B">
      <w:pPr>
        <w:spacing w:line="360" w:lineRule="auto"/>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注：收到</w:t>
      </w:r>
      <w:r>
        <w:rPr>
          <w:rFonts w:hint="eastAsia" w:asciiTheme="minorEastAsia" w:hAnsiTheme="minorEastAsia" w:eastAsiaTheme="minorEastAsia" w:cstheme="minorEastAsia"/>
          <w:color w:val="auto"/>
          <w:sz w:val="24"/>
          <w:szCs w:val="24"/>
        </w:rPr>
        <w:t>磋商文件</w:t>
      </w:r>
      <w:r>
        <w:rPr>
          <w:rFonts w:hint="eastAsia" w:asciiTheme="minorEastAsia" w:hAnsiTheme="minorEastAsia" w:eastAsiaTheme="minorEastAsia" w:cstheme="minorEastAsia"/>
          <w:color w:val="auto"/>
          <w:kern w:val="0"/>
          <w:sz w:val="24"/>
          <w:szCs w:val="24"/>
        </w:rPr>
        <w:t>澄清通知或修改通知后，</w:t>
      </w: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kern w:val="0"/>
          <w:sz w:val="24"/>
          <w:szCs w:val="24"/>
        </w:rPr>
        <w:t>向采购单位发出确认函时，适用于本格式。</w:t>
      </w:r>
    </w:p>
    <w:p w14:paraId="69187DFB">
      <w:pPr>
        <w:rPr>
          <w:rFonts w:asciiTheme="minorEastAsia" w:hAnsiTheme="minorEastAsia" w:eastAsiaTheme="minorEastAsia" w:cstheme="minorEastAsia"/>
          <w:color w:val="auto"/>
          <w:sz w:val="24"/>
          <w:szCs w:val="24"/>
        </w:rPr>
      </w:pPr>
    </w:p>
    <w:p w14:paraId="59ED7C13">
      <w:pPr>
        <w:rPr>
          <w:rFonts w:hint="eastAsia"/>
          <w:color w:val="auto"/>
        </w:rPr>
      </w:pPr>
      <w:bookmarkStart w:id="1109" w:name="_Toc22472"/>
      <w:r>
        <w:rPr>
          <w:rFonts w:hint="eastAsia"/>
          <w:color w:val="auto"/>
        </w:rPr>
        <w:br w:type="page"/>
      </w:r>
    </w:p>
    <w:p w14:paraId="41F54CAB">
      <w:pPr>
        <w:pStyle w:val="3"/>
        <w:rPr>
          <w:color w:val="auto"/>
        </w:rPr>
      </w:pPr>
      <w:r>
        <w:rPr>
          <w:rFonts w:hint="eastAsia"/>
          <w:color w:val="auto"/>
        </w:rPr>
        <w:t>第三章 磋商程序及方法</w:t>
      </w:r>
      <w:bookmarkEnd w:id="477"/>
      <w:bookmarkEnd w:id="1109"/>
    </w:p>
    <w:p w14:paraId="39EA7CED">
      <w:pPr>
        <w:pStyle w:val="4"/>
        <w:spacing w:before="0" w:after="0" w:line="360" w:lineRule="auto"/>
        <w:jc w:val="center"/>
        <w:rPr>
          <w:rFonts w:ascii="宋体" w:hAnsi="宋体" w:cs="宋体"/>
          <w:color w:val="auto"/>
          <w:sz w:val="28"/>
          <w:szCs w:val="28"/>
        </w:rPr>
      </w:pPr>
      <w:bookmarkStart w:id="1110" w:name="_Toc32400"/>
      <w:bookmarkStart w:id="1111" w:name="_Toc1145"/>
      <w:bookmarkStart w:id="1112" w:name="_Toc16113"/>
      <w:bookmarkStart w:id="1113" w:name="_Toc25087"/>
      <w:r>
        <w:rPr>
          <w:rFonts w:hint="eastAsia" w:ascii="宋体" w:hAnsi="宋体" w:cs="宋体"/>
          <w:color w:val="auto"/>
          <w:sz w:val="28"/>
          <w:szCs w:val="28"/>
        </w:rPr>
        <w:t>磋商程序和方法前附表</w:t>
      </w:r>
      <w:bookmarkEnd w:id="1110"/>
      <w:bookmarkEnd w:id="1111"/>
      <w:bookmarkEnd w:id="1112"/>
      <w:bookmarkEnd w:id="1113"/>
    </w:p>
    <w:tbl>
      <w:tblPr>
        <w:tblStyle w:val="44"/>
        <w:tblW w:w="10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2484"/>
        <w:gridCol w:w="7287"/>
      </w:tblGrid>
      <w:tr w14:paraId="559E5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5BF53049">
            <w:pPr>
              <w:spacing w:line="400" w:lineRule="exact"/>
              <w:jc w:val="center"/>
              <w:rPr>
                <w:rFonts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条款号</w:t>
            </w:r>
          </w:p>
        </w:tc>
        <w:tc>
          <w:tcPr>
            <w:tcW w:w="2484" w:type="dxa"/>
            <w:tcBorders>
              <w:top w:val="single" w:color="auto" w:sz="4" w:space="0"/>
              <w:left w:val="single" w:color="auto" w:sz="4" w:space="0"/>
              <w:bottom w:val="single" w:color="auto" w:sz="4" w:space="0"/>
              <w:right w:val="single" w:color="auto" w:sz="4" w:space="0"/>
            </w:tcBorders>
            <w:vAlign w:val="center"/>
          </w:tcPr>
          <w:p w14:paraId="2469E808">
            <w:pPr>
              <w:spacing w:line="400" w:lineRule="exact"/>
              <w:jc w:val="center"/>
              <w:rPr>
                <w:rFonts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评 审 因 素</w:t>
            </w:r>
          </w:p>
        </w:tc>
        <w:tc>
          <w:tcPr>
            <w:tcW w:w="7287" w:type="dxa"/>
            <w:tcBorders>
              <w:top w:val="single" w:color="auto" w:sz="4" w:space="0"/>
              <w:left w:val="single" w:color="auto" w:sz="4" w:space="0"/>
              <w:bottom w:val="single" w:color="auto" w:sz="4" w:space="0"/>
              <w:right w:val="single" w:color="auto" w:sz="4" w:space="0"/>
            </w:tcBorders>
            <w:vAlign w:val="center"/>
          </w:tcPr>
          <w:p w14:paraId="7DB5C77A">
            <w:pPr>
              <w:spacing w:line="400" w:lineRule="exact"/>
              <w:jc w:val="center"/>
              <w:rPr>
                <w:rFonts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评 审 标 准</w:t>
            </w:r>
          </w:p>
        </w:tc>
      </w:tr>
      <w:tr w14:paraId="58CF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restart"/>
            <w:tcBorders>
              <w:top w:val="single" w:color="auto" w:sz="4" w:space="0"/>
              <w:left w:val="single" w:color="auto" w:sz="4" w:space="0"/>
              <w:right w:val="single" w:color="auto" w:sz="4" w:space="0"/>
            </w:tcBorders>
            <w:vAlign w:val="center"/>
          </w:tcPr>
          <w:p w14:paraId="0F288214">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形式性评审</w:t>
            </w:r>
          </w:p>
        </w:tc>
        <w:tc>
          <w:tcPr>
            <w:tcW w:w="2484" w:type="dxa"/>
            <w:tcBorders>
              <w:top w:val="single" w:color="auto" w:sz="4" w:space="0"/>
              <w:left w:val="single" w:color="auto" w:sz="4" w:space="0"/>
              <w:bottom w:val="single" w:color="auto" w:sz="4" w:space="0"/>
              <w:right w:val="single" w:color="auto" w:sz="4" w:space="0"/>
            </w:tcBorders>
            <w:vAlign w:val="center"/>
          </w:tcPr>
          <w:p w14:paraId="1306F478">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磋商响应文件的递交</w:t>
            </w:r>
          </w:p>
        </w:tc>
        <w:tc>
          <w:tcPr>
            <w:tcW w:w="7287" w:type="dxa"/>
            <w:tcBorders>
              <w:top w:val="single" w:color="auto" w:sz="4" w:space="0"/>
              <w:left w:val="single" w:color="auto" w:sz="4" w:space="0"/>
              <w:bottom w:val="single" w:color="auto" w:sz="4" w:space="0"/>
              <w:right w:val="single" w:color="auto" w:sz="4" w:space="0"/>
            </w:tcBorders>
            <w:vAlign w:val="center"/>
          </w:tcPr>
          <w:p w14:paraId="5B9604AF">
            <w:pPr>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投标截止时间前</w:t>
            </w:r>
          </w:p>
        </w:tc>
      </w:tr>
      <w:tr w14:paraId="3989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690" w:type="dxa"/>
            <w:vMerge w:val="continue"/>
            <w:tcBorders>
              <w:left w:val="single" w:color="auto" w:sz="4" w:space="0"/>
              <w:right w:val="single" w:color="auto" w:sz="4" w:space="0"/>
            </w:tcBorders>
            <w:vAlign w:val="center"/>
          </w:tcPr>
          <w:p w14:paraId="49365863">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16BBA8A6">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磋商响应文件份数</w:t>
            </w:r>
          </w:p>
        </w:tc>
        <w:tc>
          <w:tcPr>
            <w:tcW w:w="7287" w:type="dxa"/>
            <w:tcBorders>
              <w:top w:val="single" w:color="auto" w:sz="4" w:space="0"/>
              <w:left w:val="single" w:color="auto" w:sz="4" w:space="0"/>
              <w:bottom w:val="single" w:color="auto" w:sz="4" w:space="0"/>
              <w:right w:val="single" w:color="auto" w:sz="4" w:space="0"/>
            </w:tcBorders>
            <w:vAlign w:val="center"/>
          </w:tcPr>
          <w:p w14:paraId="0EAB879A">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符合第二章“磋商申请人须知”第</w:t>
            </w:r>
            <w:r>
              <w:rPr>
                <w:rFonts w:hint="eastAsia" w:asciiTheme="minorEastAsia" w:hAnsiTheme="minorEastAsia" w:eastAsiaTheme="minorEastAsia" w:cstheme="minorEastAsia"/>
                <w:color w:val="auto"/>
                <w:sz w:val="24"/>
                <w:szCs w:val="24"/>
              </w:rPr>
              <w:t>22</w:t>
            </w:r>
            <w:r>
              <w:rPr>
                <w:rFonts w:hint="eastAsia" w:asciiTheme="minorEastAsia" w:hAnsiTheme="minorEastAsia" w:eastAsiaTheme="minorEastAsia" w:cstheme="minorEastAsia"/>
                <w:color w:val="auto"/>
                <w:sz w:val="24"/>
                <w:szCs w:val="24"/>
                <w:lang w:val="zh-CN"/>
              </w:rPr>
              <w:t>项规定</w:t>
            </w:r>
          </w:p>
        </w:tc>
      </w:tr>
      <w:tr w14:paraId="228BF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71496E79">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5E3BB95C">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磋商申请人名称</w:t>
            </w:r>
          </w:p>
        </w:tc>
        <w:tc>
          <w:tcPr>
            <w:tcW w:w="7287" w:type="dxa"/>
            <w:tcBorders>
              <w:top w:val="single" w:color="auto" w:sz="4" w:space="0"/>
              <w:left w:val="single" w:color="auto" w:sz="4" w:space="0"/>
              <w:bottom w:val="single" w:color="auto" w:sz="4" w:space="0"/>
              <w:right w:val="single" w:color="auto" w:sz="4" w:space="0"/>
            </w:tcBorders>
            <w:vAlign w:val="center"/>
          </w:tcPr>
          <w:p w14:paraId="0D51891C">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与营业执照一致</w:t>
            </w:r>
          </w:p>
        </w:tc>
      </w:tr>
      <w:tr w14:paraId="4654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70ED962B">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05E6ECA6">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磋商申请函签字盖章</w:t>
            </w:r>
          </w:p>
        </w:tc>
        <w:tc>
          <w:tcPr>
            <w:tcW w:w="7287" w:type="dxa"/>
            <w:tcBorders>
              <w:top w:val="single" w:color="auto" w:sz="4" w:space="0"/>
              <w:left w:val="single" w:color="auto" w:sz="4" w:space="0"/>
              <w:bottom w:val="single" w:color="auto" w:sz="4" w:space="0"/>
              <w:right w:val="single" w:color="auto" w:sz="4" w:space="0"/>
            </w:tcBorders>
            <w:vAlign w:val="center"/>
          </w:tcPr>
          <w:p w14:paraId="1A241C11">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有法定代表人或其委托代理人签字或盖章并加盖单位公章</w:t>
            </w:r>
          </w:p>
        </w:tc>
      </w:tr>
      <w:tr w14:paraId="486F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4CA03643">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05079222">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磋商响应文件格式</w:t>
            </w:r>
          </w:p>
        </w:tc>
        <w:tc>
          <w:tcPr>
            <w:tcW w:w="7287" w:type="dxa"/>
            <w:tcBorders>
              <w:top w:val="single" w:color="auto" w:sz="4" w:space="0"/>
              <w:left w:val="single" w:color="auto" w:sz="4" w:space="0"/>
              <w:bottom w:val="single" w:color="auto" w:sz="4" w:space="0"/>
              <w:right w:val="single" w:color="auto" w:sz="4" w:space="0"/>
            </w:tcBorders>
            <w:vAlign w:val="center"/>
          </w:tcPr>
          <w:p w14:paraId="50A4249A">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符合第</w:t>
            </w:r>
            <w:r>
              <w:rPr>
                <w:rFonts w:hint="eastAsia" w:asciiTheme="minorEastAsia" w:hAnsiTheme="minorEastAsia" w:eastAsiaTheme="minorEastAsia" w:cstheme="minorEastAsia"/>
                <w:color w:val="auto"/>
                <w:sz w:val="24"/>
                <w:szCs w:val="24"/>
              </w:rPr>
              <w:t>四</w:t>
            </w:r>
            <w:r>
              <w:rPr>
                <w:rFonts w:hint="eastAsia" w:asciiTheme="minorEastAsia" w:hAnsiTheme="minorEastAsia" w:eastAsiaTheme="minorEastAsia" w:cstheme="minorEastAsia"/>
                <w:color w:val="auto"/>
                <w:sz w:val="24"/>
                <w:szCs w:val="24"/>
                <w:lang w:val="zh-CN"/>
              </w:rPr>
              <w:t>章“磋商响应文件格式”的要求</w:t>
            </w:r>
          </w:p>
        </w:tc>
      </w:tr>
      <w:tr w14:paraId="5209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90" w:type="dxa"/>
            <w:vMerge w:val="continue"/>
            <w:tcBorders>
              <w:left w:val="single" w:color="auto" w:sz="4" w:space="0"/>
              <w:right w:val="single" w:color="auto" w:sz="4" w:space="0"/>
            </w:tcBorders>
            <w:vAlign w:val="center"/>
          </w:tcPr>
          <w:p w14:paraId="687D769E">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21645029">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报价唯一</w:t>
            </w:r>
          </w:p>
        </w:tc>
        <w:tc>
          <w:tcPr>
            <w:tcW w:w="7287" w:type="dxa"/>
            <w:tcBorders>
              <w:top w:val="single" w:color="auto" w:sz="4" w:space="0"/>
              <w:left w:val="single" w:color="auto" w:sz="4" w:space="0"/>
              <w:bottom w:val="single" w:color="auto" w:sz="4" w:space="0"/>
              <w:right w:val="single" w:color="auto" w:sz="4" w:space="0"/>
            </w:tcBorders>
            <w:vAlign w:val="center"/>
          </w:tcPr>
          <w:p w14:paraId="246B9EB7">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只能有一个有效报价</w:t>
            </w:r>
          </w:p>
        </w:tc>
      </w:tr>
      <w:tr w14:paraId="3800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0" w:type="dxa"/>
            <w:vMerge w:val="continue"/>
            <w:tcBorders>
              <w:left w:val="single" w:color="auto" w:sz="4" w:space="0"/>
              <w:right w:val="single" w:color="auto" w:sz="4" w:space="0"/>
            </w:tcBorders>
            <w:vAlign w:val="center"/>
          </w:tcPr>
          <w:p w14:paraId="74A8E78E">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706D47AB">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磋商响应文件比较</w:t>
            </w:r>
          </w:p>
        </w:tc>
        <w:tc>
          <w:tcPr>
            <w:tcW w:w="7287" w:type="dxa"/>
            <w:tcBorders>
              <w:top w:val="single" w:color="auto" w:sz="4" w:space="0"/>
              <w:left w:val="single" w:color="auto" w:sz="4" w:space="0"/>
              <w:bottom w:val="single" w:color="auto" w:sz="4" w:space="0"/>
              <w:right w:val="single" w:color="auto" w:sz="4" w:space="0"/>
            </w:tcBorders>
            <w:vAlign w:val="center"/>
          </w:tcPr>
          <w:p w14:paraId="1612ABB7">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不同磋商申请人的磋商响应文件无内容、数据50％以上雷同或其他明显串通投标行为</w:t>
            </w:r>
          </w:p>
        </w:tc>
      </w:tr>
      <w:tr w14:paraId="4536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6787864B">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3B68B794">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细微偏差补正</w:t>
            </w:r>
          </w:p>
        </w:tc>
        <w:tc>
          <w:tcPr>
            <w:tcW w:w="7287" w:type="dxa"/>
            <w:tcBorders>
              <w:top w:val="single" w:color="auto" w:sz="4" w:space="0"/>
              <w:left w:val="single" w:color="auto" w:sz="4" w:space="0"/>
              <w:bottom w:val="single" w:color="auto" w:sz="4" w:space="0"/>
              <w:right w:val="single" w:color="auto" w:sz="4" w:space="0"/>
            </w:tcBorders>
            <w:vAlign w:val="center"/>
          </w:tcPr>
          <w:p w14:paraId="129C3837">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磋商申请人接受对磋商响应文件的细微偏差补正</w:t>
            </w:r>
          </w:p>
        </w:tc>
      </w:tr>
      <w:tr w14:paraId="4FA3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18FF5249">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772B9208">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违规行为检查</w:t>
            </w:r>
          </w:p>
        </w:tc>
        <w:tc>
          <w:tcPr>
            <w:tcW w:w="7287" w:type="dxa"/>
            <w:tcBorders>
              <w:top w:val="single" w:color="auto" w:sz="4" w:space="0"/>
              <w:left w:val="single" w:color="auto" w:sz="4" w:space="0"/>
              <w:bottom w:val="single" w:color="auto" w:sz="4" w:space="0"/>
              <w:right w:val="single" w:color="auto" w:sz="4" w:space="0"/>
            </w:tcBorders>
            <w:vAlign w:val="center"/>
          </w:tcPr>
          <w:p w14:paraId="6891BFD0">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《云南省人民政府办公厅关于印发云南省招标投标活动中串通投标行为认定处理办法和云南省招标投标活动投诉处理办法的通知》（云政办发 [2010]106号）</w:t>
            </w:r>
          </w:p>
        </w:tc>
      </w:tr>
      <w:tr w14:paraId="4BB0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74AA8199">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0DEFA3B0">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开标（磋商）会议</w:t>
            </w:r>
          </w:p>
        </w:tc>
        <w:tc>
          <w:tcPr>
            <w:tcW w:w="7287" w:type="dxa"/>
            <w:tcBorders>
              <w:top w:val="single" w:color="auto" w:sz="4" w:space="0"/>
              <w:left w:val="single" w:color="auto" w:sz="4" w:space="0"/>
              <w:bottom w:val="single" w:color="auto" w:sz="4" w:space="0"/>
              <w:right w:val="single" w:color="auto" w:sz="4" w:space="0"/>
            </w:tcBorders>
            <w:vAlign w:val="center"/>
          </w:tcPr>
          <w:p w14:paraId="61AB2363">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磋商申请人法定代表人或其授权委托代理人按时参加开标（磋商）会议</w:t>
            </w:r>
          </w:p>
        </w:tc>
      </w:tr>
      <w:tr w14:paraId="4F10E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bottom w:val="single" w:color="auto" w:sz="4" w:space="0"/>
              <w:right w:val="single" w:color="auto" w:sz="4" w:space="0"/>
            </w:tcBorders>
            <w:vAlign w:val="center"/>
          </w:tcPr>
          <w:p w14:paraId="078BD399">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277FA36B">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磋商报价</w:t>
            </w:r>
          </w:p>
        </w:tc>
        <w:tc>
          <w:tcPr>
            <w:tcW w:w="7287" w:type="dxa"/>
            <w:tcBorders>
              <w:top w:val="single" w:color="auto" w:sz="4" w:space="0"/>
              <w:left w:val="single" w:color="auto" w:sz="4" w:space="0"/>
              <w:bottom w:val="single" w:color="auto" w:sz="4" w:space="0"/>
              <w:right w:val="single" w:color="auto" w:sz="4" w:space="0"/>
            </w:tcBorders>
            <w:vAlign w:val="center"/>
          </w:tcPr>
          <w:p w14:paraId="2EFFB302">
            <w:pPr>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磋商报价不得超过最高限价</w:t>
            </w:r>
          </w:p>
        </w:tc>
      </w:tr>
      <w:tr w14:paraId="5A63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restart"/>
            <w:tcBorders>
              <w:top w:val="single" w:color="auto" w:sz="4" w:space="0"/>
              <w:left w:val="single" w:color="auto" w:sz="4" w:space="0"/>
              <w:right w:val="single" w:color="auto" w:sz="4" w:space="0"/>
            </w:tcBorders>
            <w:vAlign w:val="center"/>
          </w:tcPr>
          <w:p w14:paraId="3E3AA2F9">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资</w:t>
            </w:r>
          </w:p>
          <w:p w14:paraId="3F872620">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格</w:t>
            </w:r>
          </w:p>
          <w:p w14:paraId="47231FC5">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性</w:t>
            </w:r>
          </w:p>
          <w:p w14:paraId="23832F04">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w:t>
            </w:r>
          </w:p>
          <w:p w14:paraId="2118063B">
            <w:pPr>
              <w:spacing w:line="400" w:lineRule="exact"/>
              <w:jc w:val="center"/>
              <w:rPr>
                <w:rFonts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rPr>
              <w:t>审</w:t>
            </w:r>
          </w:p>
          <w:p w14:paraId="2B19B9ED">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p w14:paraId="6B735470">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2E4B9921">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满足《中华人民共和国政府采购法》第二十二条规定</w:t>
            </w:r>
          </w:p>
        </w:tc>
        <w:tc>
          <w:tcPr>
            <w:tcW w:w="7287" w:type="dxa"/>
            <w:tcBorders>
              <w:top w:val="single" w:color="auto" w:sz="4" w:space="0"/>
              <w:left w:val="single" w:color="auto" w:sz="4" w:space="0"/>
              <w:bottom w:val="single" w:color="auto" w:sz="4" w:space="0"/>
              <w:right w:val="single" w:color="auto" w:sz="4" w:space="0"/>
            </w:tcBorders>
            <w:vAlign w:val="center"/>
          </w:tcPr>
          <w:p w14:paraId="4A49D821">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具有独立承担民事责任的能力（</w:t>
            </w:r>
            <w:r>
              <w:rPr>
                <w:rFonts w:hint="eastAsia" w:asciiTheme="minorEastAsia" w:hAnsiTheme="minorEastAsia" w:eastAsiaTheme="minorEastAsia" w:cstheme="minorEastAsia"/>
                <w:color w:val="auto"/>
                <w:sz w:val="24"/>
                <w:szCs w:val="24"/>
              </w:rPr>
              <w:t>提供有效的营业执照）</w:t>
            </w:r>
            <w:r>
              <w:rPr>
                <w:rFonts w:hint="eastAsia" w:asciiTheme="minorEastAsia" w:hAnsiTheme="minorEastAsia" w:eastAsiaTheme="minorEastAsia" w:cstheme="minorEastAsia"/>
                <w:color w:val="auto"/>
                <w:sz w:val="24"/>
                <w:szCs w:val="24"/>
                <w:lang w:val="zh-CN"/>
              </w:rPr>
              <w:t>；</w:t>
            </w:r>
          </w:p>
          <w:p w14:paraId="5AF0FFD9">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具有良好的商业信誉和健全的财务会计制度，（提供</w:t>
            </w:r>
            <w:r>
              <w:rPr>
                <w:rFonts w:hint="eastAsia" w:asciiTheme="minorEastAsia" w:hAnsiTheme="minorEastAsia" w:eastAsiaTheme="minorEastAsia" w:cstheme="minorEastAsia"/>
                <w:color w:val="auto"/>
                <w:sz w:val="24"/>
                <w:szCs w:val="24"/>
              </w:rPr>
              <w:t>2021</w:t>
            </w:r>
            <w:r>
              <w:rPr>
                <w:rFonts w:hint="eastAsia" w:asciiTheme="minorEastAsia" w:hAnsiTheme="minorEastAsia" w:eastAsiaTheme="minorEastAsia" w:cstheme="minorEastAsia"/>
                <w:color w:val="auto"/>
                <w:sz w:val="24"/>
                <w:szCs w:val="24"/>
              </w:rPr>
              <w:t>年至今任意一年经审计的财务审计报告及会计报表（含资产负债表、现金流量表、利润表），且没处于财产被冻结状况，公司成立未满一年的提供会计报表</w:t>
            </w:r>
            <w:r>
              <w:rPr>
                <w:rFonts w:hint="eastAsia" w:asciiTheme="minorEastAsia" w:hAnsiTheme="minorEastAsia" w:eastAsiaTheme="minorEastAsia" w:cstheme="minorEastAsia"/>
                <w:color w:val="auto"/>
                <w:sz w:val="24"/>
                <w:szCs w:val="24"/>
                <w:lang w:val="zh-CN"/>
              </w:rPr>
              <w:t>；</w:t>
            </w:r>
          </w:p>
          <w:p w14:paraId="0EEC10B3">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具有履行合同所必需的设备和专业技术能力（提供书面承诺）</w:t>
            </w:r>
            <w:r>
              <w:rPr>
                <w:rFonts w:hint="eastAsia" w:asciiTheme="minorEastAsia" w:hAnsiTheme="minorEastAsia" w:eastAsiaTheme="minorEastAsia" w:cstheme="minorEastAsia"/>
                <w:color w:val="auto"/>
                <w:sz w:val="24"/>
                <w:szCs w:val="24"/>
                <w:lang w:val="zh-CN"/>
              </w:rPr>
              <w:t>；</w:t>
            </w:r>
          </w:p>
          <w:p w14:paraId="7BF9C7EA">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4</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有依法缴纳税收和社会保障资金的良好记录（提供</w:t>
            </w:r>
            <w:r>
              <w:rPr>
                <w:rFonts w:hint="eastAsia" w:asciiTheme="minorEastAsia" w:hAnsiTheme="minorEastAsia" w:eastAsiaTheme="minorEastAsia" w:cstheme="minorEastAsia"/>
                <w:color w:val="auto"/>
                <w:sz w:val="24"/>
                <w:szCs w:val="24"/>
              </w:rPr>
              <w:t>2024年1月1日</w:t>
            </w:r>
            <w:r>
              <w:rPr>
                <w:rFonts w:hint="eastAsia" w:asciiTheme="minorEastAsia" w:hAnsiTheme="minorEastAsia" w:eastAsiaTheme="minorEastAsia" w:cstheme="minorEastAsia"/>
                <w:color w:val="auto"/>
                <w:sz w:val="24"/>
                <w:szCs w:val="24"/>
              </w:rPr>
              <w:t>至今任意3个月的证明材料，供应商成立不满3个月的，按实际成立至今的月份提供缴纳证明材料）</w:t>
            </w:r>
            <w:r>
              <w:rPr>
                <w:rFonts w:hint="eastAsia" w:asciiTheme="minorEastAsia" w:hAnsiTheme="minorEastAsia" w:eastAsiaTheme="minorEastAsia" w:cstheme="minorEastAsia"/>
                <w:color w:val="auto"/>
                <w:sz w:val="24"/>
                <w:szCs w:val="24"/>
                <w:lang w:val="zh-CN"/>
              </w:rPr>
              <w:t>；</w:t>
            </w:r>
          </w:p>
          <w:p w14:paraId="046ACF5A">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5</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参加本次招标活动前三年内，在经营活动中没有重大违法记录（提供书面承诺。重大违法记录，是指申请人因违法经营受到刑事处罚或者责令停产停业、吊销经营许可证或者营业执照、较大数额罚款等行政处罚）</w:t>
            </w:r>
            <w:r>
              <w:rPr>
                <w:rFonts w:hint="eastAsia" w:asciiTheme="minorEastAsia" w:hAnsiTheme="minorEastAsia" w:eastAsiaTheme="minorEastAsia" w:cstheme="minorEastAsia"/>
                <w:color w:val="auto"/>
                <w:sz w:val="24"/>
                <w:szCs w:val="24"/>
                <w:lang w:val="zh-CN"/>
              </w:rPr>
              <w:t>；</w:t>
            </w:r>
          </w:p>
          <w:p w14:paraId="683EE71A">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rPr>
              <w:t>6</w:t>
            </w:r>
            <w:r>
              <w:rPr>
                <w:rFonts w:hint="eastAsia" w:asciiTheme="minorEastAsia" w:hAnsiTheme="minorEastAsia" w:eastAsiaTheme="minorEastAsia" w:cstheme="minorEastAsia"/>
                <w:color w:val="auto"/>
                <w:sz w:val="24"/>
                <w:szCs w:val="24"/>
                <w:lang w:val="zh-CN"/>
              </w:rPr>
              <w:t>）法律、行政法规规定的其他条件</w:t>
            </w:r>
          </w:p>
        </w:tc>
      </w:tr>
      <w:tr w14:paraId="241CB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0" w:type="dxa"/>
            <w:vMerge w:val="continue"/>
            <w:tcBorders>
              <w:left w:val="single" w:color="auto" w:sz="4" w:space="0"/>
              <w:right w:val="single" w:color="auto" w:sz="4" w:space="0"/>
            </w:tcBorders>
            <w:vAlign w:val="center"/>
          </w:tcPr>
          <w:p w14:paraId="1E15859C">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728AECE4">
            <w:pPr>
              <w:spacing w:line="40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信誉要求</w:t>
            </w:r>
          </w:p>
        </w:tc>
        <w:tc>
          <w:tcPr>
            <w:tcW w:w="7287" w:type="dxa"/>
            <w:tcBorders>
              <w:top w:val="single" w:color="auto" w:sz="4" w:space="0"/>
              <w:left w:val="single" w:color="auto" w:sz="4" w:space="0"/>
              <w:bottom w:val="single" w:color="auto" w:sz="4" w:space="0"/>
              <w:right w:val="single" w:color="auto" w:sz="4" w:space="0"/>
            </w:tcBorders>
            <w:vAlign w:val="center"/>
          </w:tcPr>
          <w:p w14:paraId="7E03A97F">
            <w:pPr>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企业、法定代表人不得为“信用中国”中失信被执行人、重大税收违法案件当事人无不良记录；②“中国政府采购网”中未被列入“政府采购严重违法失信行为记录名单”，若磋商申请人有失信行为，视为不满足资格要求，为无效投标；</w:t>
            </w:r>
          </w:p>
        </w:tc>
      </w:tr>
      <w:tr w14:paraId="6F70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0" w:type="dxa"/>
            <w:vMerge w:val="continue"/>
            <w:tcBorders>
              <w:left w:val="single" w:color="auto" w:sz="4" w:space="0"/>
              <w:right w:val="single" w:color="auto" w:sz="4" w:space="0"/>
            </w:tcBorders>
            <w:vAlign w:val="center"/>
          </w:tcPr>
          <w:p w14:paraId="7C450273">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56938EDF">
            <w:pPr>
              <w:spacing w:line="40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资质能力</w:t>
            </w:r>
          </w:p>
        </w:tc>
        <w:tc>
          <w:tcPr>
            <w:tcW w:w="7287" w:type="dxa"/>
            <w:tcBorders>
              <w:top w:val="single" w:color="auto" w:sz="4" w:space="0"/>
              <w:left w:val="single" w:color="auto" w:sz="4" w:space="0"/>
              <w:bottom w:val="single" w:color="auto" w:sz="4" w:space="0"/>
              <w:right w:val="single" w:color="auto" w:sz="4" w:space="0"/>
            </w:tcBorders>
            <w:vAlign w:val="center"/>
          </w:tcPr>
          <w:p w14:paraId="38E08610">
            <w:pPr>
              <w:spacing w:line="400" w:lineRule="exact"/>
              <w:rPr>
                <w:rFonts w:asciiTheme="minorEastAsia" w:hAnsiTheme="minorEastAsia" w:eastAsiaTheme="minorEastAsia" w:cstheme="minorEastAsia"/>
                <w:color w:val="auto"/>
                <w:sz w:val="24"/>
                <w:szCs w:val="24"/>
              </w:rPr>
            </w:pPr>
            <w:r>
              <w:rPr>
                <w:rFonts w:hint="eastAsia" w:ascii="宋体" w:hAnsi="宋体" w:cs="宋体"/>
                <w:color w:val="auto"/>
                <w:sz w:val="24"/>
                <w:szCs w:val="24"/>
              </w:rPr>
              <w:t>磋商申请人须具备有效的《保安服务许可证》并且具备相应的服务范围</w:t>
            </w:r>
          </w:p>
        </w:tc>
      </w:tr>
      <w:tr w14:paraId="29F7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7AF602DE">
            <w:pPr>
              <w:spacing w:line="400" w:lineRule="exact"/>
              <w:ind w:firstLine="482" w:firstLineChars="200"/>
              <w:jc w:val="center"/>
              <w:rPr>
                <w:rFonts w:asciiTheme="minorEastAsia" w:hAnsiTheme="minorEastAsia" w:eastAsiaTheme="minorEastAsia" w:cstheme="minorEastAsia"/>
                <w:b/>
                <w:bCs/>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6E8CF050">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其他资格要求</w:t>
            </w:r>
          </w:p>
        </w:tc>
        <w:tc>
          <w:tcPr>
            <w:tcW w:w="7287" w:type="dxa"/>
            <w:tcBorders>
              <w:top w:val="single" w:color="auto" w:sz="4" w:space="0"/>
              <w:left w:val="single" w:color="auto" w:sz="4" w:space="0"/>
              <w:bottom w:val="single" w:color="auto" w:sz="4" w:space="0"/>
              <w:right w:val="single" w:color="auto" w:sz="4" w:space="0"/>
            </w:tcBorders>
            <w:vAlign w:val="center"/>
          </w:tcPr>
          <w:p w14:paraId="7E219674">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符合第二章“磋商申请人须知”第1.4.3项规定</w:t>
            </w:r>
          </w:p>
        </w:tc>
      </w:tr>
      <w:tr w14:paraId="25D5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restart"/>
            <w:tcBorders>
              <w:top w:val="single" w:color="auto" w:sz="4" w:space="0"/>
              <w:left w:val="single" w:color="auto" w:sz="4" w:space="0"/>
              <w:right w:val="single" w:color="auto" w:sz="4" w:space="0"/>
            </w:tcBorders>
            <w:vAlign w:val="center"/>
          </w:tcPr>
          <w:p w14:paraId="12963B85">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符</w:t>
            </w:r>
          </w:p>
          <w:p w14:paraId="24B041E6">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合</w:t>
            </w:r>
          </w:p>
          <w:p w14:paraId="326F7822">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性</w:t>
            </w:r>
          </w:p>
          <w:p w14:paraId="268392FB">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w:t>
            </w:r>
          </w:p>
          <w:p w14:paraId="306FD4D5">
            <w:pPr>
              <w:spacing w:line="4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审</w:t>
            </w:r>
          </w:p>
        </w:tc>
        <w:tc>
          <w:tcPr>
            <w:tcW w:w="2484" w:type="dxa"/>
            <w:tcBorders>
              <w:top w:val="single" w:color="auto" w:sz="4" w:space="0"/>
              <w:left w:val="single" w:color="auto" w:sz="4" w:space="0"/>
              <w:bottom w:val="single" w:color="auto" w:sz="4" w:space="0"/>
              <w:right w:val="single" w:color="auto" w:sz="4" w:space="0"/>
            </w:tcBorders>
            <w:vAlign w:val="center"/>
          </w:tcPr>
          <w:p w14:paraId="7834EAB2">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服务期限</w:t>
            </w:r>
          </w:p>
        </w:tc>
        <w:tc>
          <w:tcPr>
            <w:tcW w:w="7287" w:type="dxa"/>
            <w:tcBorders>
              <w:top w:val="single" w:color="auto" w:sz="4" w:space="0"/>
              <w:left w:val="single" w:color="auto" w:sz="4" w:space="0"/>
              <w:bottom w:val="single" w:color="auto" w:sz="4" w:space="0"/>
              <w:right w:val="single" w:color="auto" w:sz="4" w:space="0"/>
            </w:tcBorders>
            <w:vAlign w:val="center"/>
          </w:tcPr>
          <w:p w14:paraId="28A69D77">
            <w:pPr>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合同签订之日起一年</w:t>
            </w:r>
          </w:p>
        </w:tc>
      </w:tr>
      <w:tr w14:paraId="2E6D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60D728B5">
            <w:pPr>
              <w:spacing w:line="400" w:lineRule="exact"/>
              <w:ind w:firstLine="480" w:firstLineChars="200"/>
              <w:rPr>
                <w:rFonts w:asciiTheme="minorEastAsia" w:hAnsiTheme="minorEastAsia" w:eastAsiaTheme="minorEastAsia" w:cstheme="minorEastAsia"/>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317F7B45">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服务要求</w:t>
            </w:r>
          </w:p>
        </w:tc>
        <w:tc>
          <w:tcPr>
            <w:tcW w:w="7287" w:type="dxa"/>
            <w:tcBorders>
              <w:top w:val="single" w:color="auto" w:sz="4" w:space="0"/>
              <w:left w:val="single" w:color="auto" w:sz="4" w:space="0"/>
              <w:bottom w:val="single" w:color="auto" w:sz="4" w:space="0"/>
              <w:right w:val="single" w:color="auto" w:sz="4" w:space="0"/>
            </w:tcBorders>
            <w:vAlign w:val="center"/>
          </w:tcPr>
          <w:p w14:paraId="5475A488">
            <w:pPr>
              <w:spacing w:line="400" w:lineRule="exact"/>
              <w:rPr>
                <w:rFonts w:asciiTheme="minorEastAsia" w:hAnsiTheme="minorEastAsia" w:eastAsiaTheme="minorEastAsia" w:cstheme="minorEastAsia"/>
                <w:color w:val="auto"/>
                <w:sz w:val="24"/>
                <w:szCs w:val="24"/>
                <w:lang w:val="zh-CN"/>
              </w:rPr>
            </w:pPr>
            <w:r>
              <w:rPr>
                <w:rFonts w:asciiTheme="minorEastAsia" w:hAnsiTheme="minorEastAsia" w:eastAsiaTheme="minorEastAsia" w:cstheme="minorEastAsia"/>
                <w:color w:val="auto"/>
                <w:sz w:val="24"/>
                <w:szCs w:val="24"/>
              </w:rPr>
              <w:t>符合国家及现行行业标准，满足采购人要求</w:t>
            </w:r>
          </w:p>
        </w:tc>
      </w:tr>
      <w:tr w14:paraId="1C88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right w:val="single" w:color="auto" w:sz="4" w:space="0"/>
            </w:tcBorders>
            <w:vAlign w:val="center"/>
          </w:tcPr>
          <w:p w14:paraId="6E408C6A">
            <w:pPr>
              <w:spacing w:line="400" w:lineRule="exact"/>
              <w:ind w:firstLine="480" w:firstLineChars="200"/>
              <w:rPr>
                <w:rFonts w:asciiTheme="minorEastAsia" w:hAnsiTheme="minorEastAsia" w:eastAsiaTheme="minorEastAsia" w:cstheme="minorEastAsia"/>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3A5B24F7">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磋商有效期</w:t>
            </w:r>
          </w:p>
        </w:tc>
        <w:tc>
          <w:tcPr>
            <w:tcW w:w="7287" w:type="dxa"/>
            <w:tcBorders>
              <w:top w:val="single" w:color="auto" w:sz="4" w:space="0"/>
              <w:left w:val="single" w:color="auto" w:sz="4" w:space="0"/>
              <w:bottom w:val="single" w:color="auto" w:sz="4" w:space="0"/>
              <w:right w:val="single" w:color="auto" w:sz="4" w:space="0"/>
            </w:tcBorders>
            <w:vAlign w:val="center"/>
          </w:tcPr>
          <w:p w14:paraId="24E71250">
            <w:pPr>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0 日历天（从递交磋商申请文件截止之日算起）</w:t>
            </w:r>
          </w:p>
        </w:tc>
      </w:tr>
      <w:tr w14:paraId="0C24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0" w:type="dxa"/>
            <w:vMerge w:val="continue"/>
            <w:tcBorders>
              <w:left w:val="single" w:color="auto" w:sz="4" w:space="0"/>
              <w:bottom w:val="single" w:color="auto" w:sz="4" w:space="0"/>
              <w:right w:val="single" w:color="auto" w:sz="4" w:space="0"/>
            </w:tcBorders>
            <w:vAlign w:val="center"/>
          </w:tcPr>
          <w:p w14:paraId="717A99B0">
            <w:pPr>
              <w:spacing w:line="400" w:lineRule="exact"/>
              <w:ind w:firstLine="480" w:firstLineChars="200"/>
              <w:rPr>
                <w:rFonts w:asciiTheme="minorEastAsia" w:hAnsiTheme="minorEastAsia" w:eastAsiaTheme="minorEastAsia" w:cstheme="minorEastAsia"/>
                <w:color w:val="auto"/>
                <w:sz w:val="24"/>
                <w:szCs w:val="24"/>
                <w:lang w:val="zh-CN"/>
              </w:rPr>
            </w:pPr>
          </w:p>
        </w:tc>
        <w:tc>
          <w:tcPr>
            <w:tcW w:w="2484" w:type="dxa"/>
            <w:tcBorders>
              <w:top w:val="single" w:color="auto" w:sz="4" w:space="0"/>
              <w:left w:val="single" w:color="auto" w:sz="4" w:space="0"/>
              <w:bottom w:val="single" w:color="auto" w:sz="4" w:space="0"/>
              <w:right w:val="single" w:color="auto" w:sz="4" w:space="0"/>
            </w:tcBorders>
            <w:vAlign w:val="center"/>
          </w:tcPr>
          <w:p w14:paraId="13A1E3F2">
            <w:pPr>
              <w:spacing w:line="400" w:lineRule="exact"/>
              <w:jc w:val="center"/>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其他内容</w:t>
            </w:r>
          </w:p>
        </w:tc>
        <w:tc>
          <w:tcPr>
            <w:tcW w:w="7287" w:type="dxa"/>
            <w:tcBorders>
              <w:top w:val="single" w:color="auto" w:sz="4" w:space="0"/>
              <w:left w:val="single" w:color="auto" w:sz="4" w:space="0"/>
              <w:bottom w:val="single" w:color="auto" w:sz="4" w:space="0"/>
              <w:right w:val="single" w:color="auto" w:sz="4" w:space="0"/>
            </w:tcBorders>
            <w:vAlign w:val="center"/>
          </w:tcPr>
          <w:p w14:paraId="4F525EFF">
            <w:pPr>
              <w:spacing w:line="400" w:lineRule="exact"/>
              <w:rPr>
                <w:rFonts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符合竞争性磋商文件中规定的其他内容和磋商响应文件未有</w:t>
            </w:r>
            <w:r>
              <w:rPr>
                <w:rFonts w:hint="eastAsia" w:asciiTheme="minorEastAsia" w:hAnsiTheme="minorEastAsia" w:eastAsiaTheme="minorEastAsia" w:cstheme="minorEastAsia"/>
                <w:color w:val="auto"/>
                <w:sz w:val="24"/>
                <w:szCs w:val="24"/>
              </w:rPr>
              <w:t>采购单位</w:t>
            </w:r>
            <w:r>
              <w:rPr>
                <w:rFonts w:hint="eastAsia" w:asciiTheme="minorEastAsia" w:hAnsiTheme="minorEastAsia" w:eastAsiaTheme="minorEastAsia" w:cstheme="minorEastAsia"/>
                <w:color w:val="auto"/>
                <w:sz w:val="24"/>
                <w:szCs w:val="24"/>
                <w:lang w:val="zh-CN"/>
              </w:rPr>
              <w:t>不能接受的附加条件。</w:t>
            </w:r>
          </w:p>
        </w:tc>
      </w:tr>
      <w:tr w14:paraId="2372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3174" w:type="dxa"/>
            <w:gridSpan w:val="2"/>
            <w:tcBorders>
              <w:top w:val="single" w:color="auto" w:sz="4" w:space="0"/>
              <w:left w:val="single" w:color="auto" w:sz="4" w:space="0"/>
              <w:bottom w:val="single" w:color="auto" w:sz="4" w:space="0"/>
              <w:right w:val="single" w:color="auto" w:sz="4" w:space="0"/>
            </w:tcBorders>
            <w:vAlign w:val="center"/>
          </w:tcPr>
          <w:p w14:paraId="1B1C88CA">
            <w:pPr>
              <w:spacing w:line="400" w:lineRule="exact"/>
              <w:jc w:val="center"/>
              <w:rPr>
                <w:rFonts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分值构成与评分标准</w:t>
            </w:r>
          </w:p>
        </w:tc>
        <w:tc>
          <w:tcPr>
            <w:tcW w:w="7287" w:type="dxa"/>
            <w:tcBorders>
              <w:top w:val="single" w:color="auto" w:sz="4" w:space="0"/>
              <w:left w:val="single" w:color="auto" w:sz="4" w:space="0"/>
              <w:bottom w:val="single" w:color="auto" w:sz="4" w:space="0"/>
              <w:right w:val="single" w:color="auto" w:sz="4" w:space="0"/>
            </w:tcBorders>
            <w:vAlign w:val="center"/>
          </w:tcPr>
          <w:p w14:paraId="336A9E72">
            <w:pPr>
              <w:spacing w:line="400" w:lineRule="exact"/>
              <w:rPr>
                <w:rFonts w:asciiTheme="minorEastAsia" w:hAnsiTheme="minorEastAsia" w:eastAsiaTheme="minorEastAsia" w:cstheme="minorEastAsia"/>
                <w:color w:val="auto"/>
                <w:sz w:val="22"/>
                <w:szCs w:val="22"/>
                <w:lang w:val="zh-CN"/>
              </w:rPr>
            </w:pPr>
            <w:r>
              <w:rPr>
                <w:rFonts w:hint="eastAsia" w:asciiTheme="minorEastAsia" w:hAnsiTheme="minorEastAsia" w:eastAsiaTheme="minorEastAsia" w:cstheme="minorEastAsia"/>
                <w:color w:val="auto"/>
                <w:sz w:val="24"/>
                <w:szCs w:val="24"/>
                <w:lang w:val="zh-CN"/>
              </w:rPr>
              <w:t>详见附件</w:t>
            </w:r>
          </w:p>
        </w:tc>
      </w:tr>
    </w:tbl>
    <w:p w14:paraId="3521FD6D">
      <w:pPr>
        <w:pStyle w:val="4"/>
        <w:spacing w:line="240" w:lineRule="auto"/>
        <w:rPr>
          <w:color w:val="auto"/>
          <w:szCs w:val="24"/>
          <w:lang w:val="zh-CN"/>
        </w:rPr>
      </w:pPr>
      <w:bookmarkStart w:id="1114" w:name="_Toc17692"/>
      <w:r>
        <w:rPr>
          <w:rFonts w:hint="eastAsia"/>
          <w:color w:val="auto"/>
          <w:szCs w:val="24"/>
          <w:lang w:val="zh-CN"/>
        </w:rPr>
        <w:t>一、磋商方法</w:t>
      </w:r>
      <w:bookmarkEnd w:id="1114"/>
    </w:p>
    <w:p w14:paraId="37704B49">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根据《中华人民共和国政府采购法》、《中华人民共和国政府采购法实施条例》、《政府采购竞争性磋商采购方式管理暂行办法》及相关现行法律、法规的规定，磋商小组成员按照客观、公正、谨慎的原则，根据磋商文件规定的评审程序、评审方法和评审标准进行独立评审。根据排名先后</w:t>
      </w:r>
      <w:r>
        <w:rPr>
          <w:rFonts w:hint="eastAsia" w:ascii="宋体" w:hAnsi="宋体" w:cs="宋体"/>
          <w:color w:val="auto"/>
          <w:sz w:val="24"/>
          <w:szCs w:val="24"/>
        </w:rPr>
        <w:t>推荐中标</w:t>
      </w:r>
      <w:r>
        <w:rPr>
          <w:rFonts w:hint="eastAsia" w:ascii="宋体" w:hAnsi="宋体" w:cs="宋体"/>
          <w:color w:val="auto"/>
          <w:sz w:val="24"/>
          <w:szCs w:val="24"/>
          <w:lang w:val="zh-CN"/>
        </w:rPr>
        <w:t>候选人。</w:t>
      </w:r>
    </w:p>
    <w:p w14:paraId="17818C50">
      <w:pPr>
        <w:pStyle w:val="4"/>
        <w:spacing w:line="240" w:lineRule="auto"/>
        <w:rPr>
          <w:color w:val="auto"/>
          <w:szCs w:val="24"/>
          <w:lang w:val="zh-CN"/>
        </w:rPr>
      </w:pPr>
      <w:bookmarkStart w:id="1115" w:name="_Toc27267"/>
      <w:r>
        <w:rPr>
          <w:rFonts w:hint="eastAsia"/>
          <w:color w:val="auto"/>
          <w:szCs w:val="24"/>
          <w:lang w:val="zh-CN"/>
        </w:rPr>
        <w:t>二、磋商工作程序</w:t>
      </w:r>
      <w:bookmarkEnd w:id="1115"/>
    </w:p>
    <w:p w14:paraId="60E46DDE">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1.</w:t>
      </w:r>
      <w:r>
        <w:rPr>
          <w:rFonts w:hint="eastAsia" w:ascii="宋体" w:hAnsi="宋体" w:cs="宋体"/>
          <w:color w:val="auto"/>
          <w:sz w:val="24"/>
          <w:szCs w:val="24"/>
          <w:lang w:val="zh-CN"/>
        </w:rPr>
        <w:t>按随机顺序开启磋商响应文件进行第一轮报价的唱标，唱标结束后由</w:t>
      </w:r>
      <w:r>
        <w:rPr>
          <w:rFonts w:hint="eastAsia" w:ascii="宋体" w:hAnsi="宋体" w:cs="宋体"/>
          <w:color w:val="auto"/>
          <w:sz w:val="24"/>
          <w:szCs w:val="24"/>
        </w:rPr>
        <w:t>磋商申请人</w:t>
      </w:r>
      <w:r>
        <w:rPr>
          <w:rFonts w:hint="eastAsia" w:ascii="宋体" w:hAnsi="宋体" w:cs="宋体"/>
          <w:color w:val="auto"/>
          <w:sz w:val="24"/>
          <w:szCs w:val="24"/>
          <w:lang w:val="zh-CN"/>
        </w:rPr>
        <w:t>代表随机抽取磋商顺序。如在评审中未通过形式性评审</w:t>
      </w:r>
      <w:r>
        <w:rPr>
          <w:rFonts w:hint="eastAsia" w:ascii="宋体" w:hAnsi="宋体" w:cs="宋体"/>
          <w:color w:val="auto"/>
          <w:sz w:val="24"/>
          <w:szCs w:val="24"/>
        </w:rPr>
        <w:t>、</w:t>
      </w:r>
      <w:r>
        <w:rPr>
          <w:rFonts w:hint="eastAsia" w:ascii="宋体" w:hAnsi="宋体" w:cs="宋体"/>
          <w:color w:val="auto"/>
          <w:sz w:val="24"/>
          <w:szCs w:val="24"/>
          <w:lang w:val="zh-CN"/>
        </w:rPr>
        <w:t>资格性</w:t>
      </w:r>
      <w:r>
        <w:rPr>
          <w:rFonts w:hint="eastAsia" w:ascii="宋体" w:hAnsi="宋体" w:cs="宋体"/>
          <w:color w:val="auto"/>
          <w:sz w:val="24"/>
          <w:szCs w:val="24"/>
        </w:rPr>
        <w:t>评审</w:t>
      </w:r>
      <w:r>
        <w:rPr>
          <w:rFonts w:hint="eastAsia" w:ascii="宋体" w:hAnsi="宋体" w:cs="宋体"/>
          <w:color w:val="auto"/>
          <w:sz w:val="24"/>
          <w:szCs w:val="24"/>
          <w:lang w:val="zh-CN"/>
        </w:rPr>
        <w:t>、符合性审查，不得参与磋商的，磋商顺序顺延。</w:t>
      </w:r>
    </w:p>
    <w:p w14:paraId="7A8DC899">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2.</w:t>
      </w:r>
      <w:r>
        <w:rPr>
          <w:rFonts w:hint="eastAsia" w:ascii="宋体" w:hAnsi="宋体" w:cs="宋体"/>
          <w:color w:val="auto"/>
          <w:sz w:val="24"/>
          <w:szCs w:val="24"/>
          <w:lang w:val="zh-CN"/>
        </w:rPr>
        <w:t>磋商小组依据磋商文件的规定，对响应文件的有效性、完整性和对磋商文件的响应程度进行审查，以确定是否对磋商文件的要求做出实质性响应。未对磋商文件做实质性响应的</w:t>
      </w:r>
      <w:r>
        <w:rPr>
          <w:rFonts w:hint="eastAsia" w:ascii="宋体" w:hAnsi="宋体" w:cs="宋体"/>
          <w:color w:val="auto"/>
          <w:sz w:val="24"/>
          <w:szCs w:val="24"/>
        </w:rPr>
        <w:t>磋商申请人</w:t>
      </w:r>
      <w:r>
        <w:rPr>
          <w:rFonts w:hint="eastAsia" w:ascii="宋体" w:hAnsi="宋体" w:cs="宋体"/>
          <w:color w:val="auto"/>
          <w:sz w:val="24"/>
          <w:szCs w:val="24"/>
          <w:lang w:val="zh-CN"/>
        </w:rPr>
        <w:t>，不得进入具体磋商程序。形式性评审</w:t>
      </w:r>
      <w:r>
        <w:rPr>
          <w:rFonts w:hint="eastAsia" w:ascii="宋体" w:hAnsi="宋体" w:cs="宋体"/>
          <w:color w:val="auto"/>
          <w:sz w:val="24"/>
          <w:szCs w:val="24"/>
        </w:rPr>
        <w:t>标准、</w:t>
      </w:r>
      <w:r>
        <w:rPr>
          <w:rFonts w:hint="eastAsia" w:ascii="宋体" w:hAnsi="宋体" w:cs="宋体"/>
          <w:color w:val="auto"/>
          <w:sz w:val="24"/>
          <w:szCs w:val="24"/>
          <w:lang w:val="zh-CN"/>
        </w:rPr>
        <w:t>资格性评审标准及符合性评审标准详见“磋商程序和方法前附表”</w:t>
      </w:r>
    </w:p>
    <w:p w14:paraId="4F6209A0">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3.</w:t>
      </w:r>
      <w:r>
        <w:rPr>
          <w:rFonts w:hint="eastAsia" w:ascii="宋体" w:hAnsi="宋体" w:cs="宋体"/>
          <w:color w:val="auto"/>
          <w:sz w:val="24"/>
          <w:szCs w:val="24"/>
          <w:lang w:val="zh-CN"/>
        </w:rPr>
        <w:t>磋商小组所有成员集中与单一</w:t>
      </w:r>
      <w:r>
        <w:rPr>
          <w:rFonts w:hint="eastAsia" w:ascii="宋体" w:hAnsi="宋体" w:cs="宋体"/>
          <w:color w:val="auto"/>
          <w:sz w:val="24"/>
          <w:szCs w:val="24"/>
        </w:rPr>
        <w:t>磋商申请人</w:t>
      </w:r>
      <w:r>
        <w:rPr>
          <w:rFonts w:hint="eastAsia" w:ascii="宋体" w:hAnsi="宋体" w:cs="宋体"/>
          <w:color w:val="auto"/>
          <w:sz w:val="24"/>
          <w:szCs w:val="24"/>
          <w:lang w:val="zh-CN"/>
        </w:rPr>
        <w:t>按照抽签决定的磋商次序分别进行磋商，并给予通过实质性审查的</w:t>
      </w:r>
      <w:r>
        <w:rPr>
          <w:rFonts w:hint="eastAsia" w:ascii="宋体" w:hAnsi="宋体" w:cs="宋体"/>
          <w:color w:val="auto"/>
          <w:sz w:val="24"/>
          <w:szCs w:val="24"/>
        </w:rPr>
        <w:t>磋商申请人</w:t>
      </w:r>
      <w:r>
        <w:rPr>
          <w:rFonts w:hint="eastAsia" w:ascii="宋体" w:hAnsi="宋体" w:cs="宋体"/>
          <w:color w:val="auto"/>
          <w:sz w:val="24"/>
          <w:szCs w:val="24"/>
          <w:lang w:val="zh-CN"/>
        </w:rPr>
        <w:t>平等的磋商机会。</w:t>
      </w:r>
    </w:p>
    <w:p w14:paraId="71F3F246">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3.1</w:t>
      </w:r>
      <w:r>
        <w:rPr>
          <w:rFonts w:hint="eastAsia" w:ascii="宋体" w:hAnsi="宋体" w:cs="宋体"/>
          <w:color w:val="auto"/>
          <w:sz w:val="24"/>
          <w:szCs w:val="24"/>
          <w:lang w:val="zh-CN"/>
        </w:rPr>
        <w:t>在磋商过程中，磋商小组可以根据磋商文件和磋商情况实质性变动采购需求中的技术、服务、</w:t>
      </w:r>
      <w:r>
        <w:rPr>
          <w:rFonts w:hint="eastAsia" w:ascii="宋体" w:hAnsi="宋体" w:cs="宋体"/>
          <w:color w:val="auto"/>
          <w:sz w:val="24"/>
          <w:szCs w:val="24"/>
        </w:rPr>
        <w:t>施工</w:t>
      </w:r>
      <w:r>
        <w:rPr>
          <w:rFonts w:hint="eastAsia" w:ascii="宋体" w:hAnsi="宋体" w:cs="宋体"/>
          <w:color w:val="auto"/>
          <w:sz w:val="24"/>
          <w:szCs w:val="24"/>
          <w:lang w:val="zh-CN"/>
        </w:rPr>
        <w:t>要求以及合同草案条款，但不得变动磋商文件中的其他内容。实质性变动的内容，须经采购单位代表确认。</w:t>
      </w:r>
    </w:p>
    <w:p w14:paraId="31C69FBA">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3.2</w:t>
      </w:r>
      <w:r>
        <w:rPr>
          <w:rFonts w:hint="eastAsia" w:ascii="宋体" w:hAnsi="宋体" w:cs="宋体"/>
          <w:color w:val="auto"/>
          <w:sz w:val="24"/>
          <w:szCs w:val="24"/>
          <w:lang w:val="zh-CN"/>
        </w:rPr>
        <w:t>对磋商文件作出的实质性变动是磋商文件的有效组成部分，磋商小组应当及时以书面形式同时通知所有参加磋商的</w:t>
      </w:r>
      <w:r>
        <w:rPr>
          <w:rFonts w:hint="eastAsia" w:ascii="宋体" w:hAnsi="宋体" w:cs="宋体"/>
          <w:color w:val="auto"/>
          <w:sz w:val="24"/>
          <w:szCs w:val="24"/>
        </w:rPr>
        <w:t>磋商申请人</w:t>
      </w:r>
      <w:r>
        <w:rPr>
          <w:rFonts w:hint="eastAsia" w:ascii="宋体" w:hAnsi="宋体" w:cs="宋体"/>
          <w:color w:val="auto"/>
          <w:sz w:val="24"/>
          <w:szCs w:val="24"/>
          <w:lang w:val="zh-CN"/>
        </w:rPr>
        <w:t>。</w:t>
      </w:r>
    </w:p>
    <w:p w14:paraId="7648D9C0">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3.3磋商申请人</w:t>
      </w:r>
      <w:r>
        <w:rPr>
          <w:rFonts w:hint="eastAsia" w:ascii="宋体" w:hAnsi="宋体" w:cs="宋体"/>
          <w:color w:val="auto"/>
          <w:sz w:val="24"/>
          <w:szCs w:val="24"/>
          <w:lang w:val="zh-CN"/>
        </w:rPr>
        <w:t>应当按照磋商文件的变动情况和磋商小组的要求重新提交响应文件，并由其全权代表签章。</w:t>
      </w:r>
    </w:p>
    <w:p w14:paraId="4BE0D38F">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4.</w:t>
      </w:r>
      <w:r>
        <w:rPr>
          <w:rFonts w:hint="eastAsia" w:ascii="宋体" w:hAnsi="宋体" w:cs="宋体"/>
          <w:color w:val="auto"/>
          <w:sz w:val="24"/>
          <w:szCs w:val="24"/>
          <w:lang w:val="zh-CN"/>
        </w:rPr>
        <w:t>各</w:t>
      </w:r>
      <w:r>
        <w:rPr>
          <w:rFonts w:hint="eastAsia" w:ascii="宋体" w:hAnsi="宋体" w:cs="宋体"/>
          <w:color w:val="auto"/>
          <w:sz w:val="24"/>
          <w:szCs w:val="24"/>
        </w:rPr>
        <w:t>磋商申请人</w:t>
      </w:r>
      <w:r>
        <w:rPr>
          <w:rFonts w:hint="eastAsia" w:ascii="宋体" w:hAnsi="宋体" w:cs="宋体"/>
          <w:color w:val="auto"/>
          <w:sz w:val="24"/>
          <w:szCs w:val="24"/>
          <w:lang w:val="zh-CN"/>
        </w:rPr>
        <w:t>进行报价：</w:t>
      </w:r>
    </w:p>
    <w:p w14:paraId="1DDDCAB6">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磋商结束后，参加磋商的</w:t>
      </w:r>
      <w:r>
        <w:rPr>
          <w:rFonts w:hint="eastAsia" w:ascii="宋体" w:hAnsi="宋体" w:cs="宋体"/>
          <w:color w:val="auto"/>
          <w:sz w:val="24"/>
          <w:szCs w:val="24"/>
        </w:rPr>
        <w:t>磋商申请人</w:t>
      </w:r>
      <w:r>
        <w:rPr>
          <w:rFonts w:hint="eastAsia" w:ascii="宋体" w:hAnsi="宋体" w:cs="宋体"/>
          <w:color w:val="auto"/>
          <w:sz w:val="24"/>
          <w:szCs w:val="24"/>
          <w:lang w:val="zh-CN"/>
        </w:rPr>
        <w:t>应当对磋商的承诺以书面形式确认，并由其法定代表人或授权代表签字确认。</w:t>
      </w:r>
    </w:p>
    <w:p w14:paraId="2832C577">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5.</w:t>
      </w:r>
      <w:r>
        <w:rPr>
          <w:rFonts w:hint="eastAsia" w:ascii="宋体" w:hAnsi="宋体" w:cs="宋体"/>
          <w:color w:val="auto"/>
          <w:sz w:val="24"/>
          <w:szCs w:val="24"/>
          <w:lang w:val="zh-CN"/>
        </w:rPr>
        <w:t>由磋商小组采用综合评分法对提交最后报价的</w:t>
      </w:r>
      <w:r>
        <w:rPr>
          <w:rFonts w:hint="eastAsia" w:ascii="宋体" w:hAnsi="宋体" w:cs="宋体"/>
          <w:color w:val="auto"/>
          <w:sz w:val="24"/>
          <w:szCs w:val="24"/>
        </w:rPr>
        <w:t>磋商申请人</w:t>
      </w:r>
      <w:r>
        <w:rPr>
          <w:rFonts w:hint="eastAsia" w:ascii="宋体" w:hAnsi="宋体" w:cs="宋体"/>
          <w:color w:val="auto"/>
          <w:sz w:val="24"/>
          <w:szCs w:val="24"/>
          <w:lang w:val="zh-CN"/>
        </w:rPr>
        <w:t>的响应文件和最后报价进行综合评分。</w:t>
      </w:r>
    </w:p>
    <w:p w14:paraId="428D36DA">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6.</w:t>
      </w:r>
      <w:r>
        <w:rPr>
          <w:rFonts w:hint="eastAsia" w:ascii="宋体" w:hAnsi="宋体" w:cs="宋体"/>
          <w:color w:val="auto"/>
          <w:sz w:val="24"/>
          <w:szCs w:val="24"/>
          <w:lang w:val="zh-CN"/>
        </w:rPr>
        <w:t>提出</w:t>
      </w:r>
      <w:r>
        <w:rPr>
          <w:rFonts w:hint="eastAsia" w:ascii="宋体" w:hAnsi="宋体" w:cs="宋体"/>
          <w:color w:val="auto"/>
          <w:sz w:val="24"/>
          <w:szCs w:val="24"/>
        </w:rPr>
        <w:t>中标候选人</w:t>
      </w:r>
      <w:r>
        <w:rPr>
          <w:rFonts w:hint="eastAsia" w:ascii="宋体" w:hAnsi="宋体" w:cs="宋体"/>
          <w:color w:val="auto"/>
          <w:sz w:val="24"/>
          <w:szCs w:val="24"/>
          <w:lang w:val="zh-CN"/>
        </w:rPr>
        <w:t>排序。</w:t>
      </w:r>
    </w:p>
    <w:p w14:paraId="09A82299">
      <w:pPr>
        <w:pStyle w:val="4"/>
        <w:spacing w:line="240" w:lineRule="auto"/>
        <w:rPr>
          <w:color w:val="auto"/>
          <w:szCs w:val="24"/>
          <w:lang w:val="zh-CN"/>
        </w:rPr>
      </w:pPr>
      <w:bookmarkStart w:id="1116" w:name="_Toc25867"/>
      <w:r>
        <w:rPr>
          <w:rFonts w:hint="eastAsia"/>
          <w:color w:val="auto"/>
          <w:szCs w:val="24"/>
          <w:lang w:val="zh-CN"/>
        </w:rPr>
        <w:t>三、磋商内容</w:t>
      </w:r>
      <w:bookmarkEnd w:id="1116"/>
    </w:p>
    <w:p w14:paraId="19D0F3F8">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招标</w:t>
      </w:r>
      <w:r>
        <w:rPr>
          <w:rFonts w:hint="eastAsia" w:ascii="宋体" w:hAnsi="宋体" w:cs="宋体"/>
          <w:color w:val="auto"/>
          <w:sz w:val="24"/>
          <w:szCs w:val="24"/>
          <w:lang w:val="zh-CN"/>
        </w:rPr>
        <w:t>项目的服务方案、价格、其他条件等内容。</w:t>
      </w:r>
    </w:p>
    <w:p w14:paraId="451BBC6A">
      <w:pPr>
        <w:pStyle w:val="4"/>
        <w:spacing w:line="240" w:lineRule="auto"/>
        <w:rPr>
          <w:color w:val="auto"/>
          <w:szCs w:val="24"/>
          <w:lang w:val="zh-CN"/>
        </w:rPr>
      </w:pPr>
      <w:bookmarkStart w:id="1117" w:name="_Toc4904"/>
      <w:r>
        <w:rPr>
          <w:rFonts w:hint="eastAsia"/>
          <w:color w:val="auto"/>
          <w:szCs w:val="24"/>
          <w:lang w:val="zh-CN"/>
        </w:rPr>
        <w:t>四、评审原则</w:t>
      </w:r>
      <w:bookmarkEnd w:id="1117"/>
    </w:p>
    <w:p w14:paraId="4460ADFE">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1.</w:t>
      </w:r>
      <w:r>
        <w:rPr>
          <w:rFonts w:hint="eastAsia" w:ascii="宋体" w:hAnsi="宋体" w:cs="宋体"/>
          <w:color w:val="auto"/>
          <w:sz w:val="24"/>
          <w:szCs w:val="24"/>
          <w:lang w:val="zh-CN"/>
        </w:rPr>
        <w:t>评审原则</w:t>
      </w:r>
    </w:p>
    <w:p w14:paraId="0EAADC95">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1.1</w:t>
      </w:r>
      <w:r>
        <w:rPr>
          <w:rFonts w:hint="eastAsia" w:ascii="宋体" w:hAnsi="宋体" w:cs="宋体"/>
          <w:color w:val="auto"/>
          <w:sz w:val="24"/>
          <w:szCs w:val="24"/>
          <w:lang w:val="zh-CN"/>
        </w:rPr>
        <w:t>本次磋商遵循公开透明、公平竞争、公正和诚实信用的原则。磋商小组成员按照客观、公正、审慎的原则，根据磋商文件规定的评审程序、评审方法和评审标准进行独立评审。未实质性响应磋商文件的响应文件按无效响应处理，磋商顺序顺延。</w:t>
      </w:r>
    </w:p>
    <w:p w14:paraId="32ECBA43">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1.2</w:t>
      </w:r>
      <w:r>
        <w:rPr>
          <w:rFonts w:hint="eastAsia" w:ascii="宋体" w:hAnsi="宋体" w:cs="宋体"/>
          <w:color w:val="auto"/>
          <w:sz w:val="24"/>
          <w:szCs w:val="24"/>
          <w:lang w:val="zh-CN"/>
        </w:rPr>
        <w:t>磋商小组应当根据综合评分情况，按照评审得分由高到低顺序推荐不多余3名</w:t>
      </w:r>
      <w:r>
        <w:rPr>
          <w:rFonts w:hint="eastAsia" w:ascii="宋体" w:hAnsi="宋体" w:cs="宋体"/>
          <w:color w:val="auto"/>
          <w:sz w:val="24"/>
          <w:szCs w:val="24"/>
        </w:rPr>
        <w:t>中标</w:t>
      </w:r>
      <w:r>
        <w:rPr>
          <w:rFonts w:hint="eastAsia" w:ascii="宋体" w:hAnsi="宋体" w:cs="宋体"/>
          <w:color w:val="auto"/>
          <w:sz w:val="24"/>
          <w:szCs w:val="24"/>
          <w:lang w:val="zh-CN"/>
        </w:rPr>
        <w:t>候选人，并编写评审报告。评审得分相同的，按照最后报价由低到高的顺序推荐。评审得分且最后报价相同的，按照技术指标优劣顺序推荐。</w:t>
      </w:r>
    </w:p>
    <w:p w14:paraId="5E33BAAB">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1.3</w:t>
      </w:r>
      <w:r>
        <w:rPr>
          <w:rFonts w:hint="eastAsia" w:ascii="宋体" w:hAnsi="宋体" w:cs="宋体"/>
          <w:color w:val="auto"/>
          <w:sz w:val="24"/>
          <w:szCs w:val="24"/>
          <w:lang w:val="zh-CN"/>
        </w:rPr>
        <w:t>评审报告应当由磋商小组全体人员签字认可。磋商小组成员对评审报告有异议的，磋商小组按照少数服从多数的原则推荐</w:t>
      </w:r>
      <w:r>
        <w:rPr>
          <w:rFonts w:hint="eastAsia" w:ascii="宋体" w:hAnsi="宋体" w:cs="宋体"/>
          <w:color w:val="auto"/>
          <w:sz w:val="24"/>
          <w:szCs w:val="24"/>
        </w:rPr>
        <w:t>中标</w:t>
      </w:r>
      <w:r>
        <w:rPr>
          <w:rFonts w:hint="eastAsia" w:ascii="宋体" w:hAnsi="宋体" w:cs="宋体"/>
          <w:color w:val="auto"/>
          <w:sz w:val="24"/>
          <w:szCs w:val="24"/>
          <w:lang w:val="zh-CN"/>
        </w:rPr>
        <w:t>候选人，</w:t>
      </w:r>
      <w:r>
        <w:rPr>
          <w:rFonts w:hint="eastAsia" w:ascii="宋体" w:hAnsi="宋体" w:cs="宋体"/>
          <w:color w:val="auto"/>
          <w:sz w:val="24"/>
          <w:szCs w:val="24"/>
        </w:rPr>
        <w:t>评审</w:t>
      </w:r>
      <w:r>
        <w:rPr>
          <w:rFonts w:hint="eastAsia" w:ascii="宋体" w:hAnsi="宋体" w:cs="宋体"/>
          <w:color w:val="auto"/>
          <w:sz w:val="24"/>
          <w:szCs w:val="24"/>
          <w:lang w:val="zh-CN"/>
        </w:rPr>
        <w:t>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F8E2633">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2.</w:t>
      </w:r>
      <w:r>
        <w:rPr>
          <w:rFonts w:hint="eastAsia" w:ascii="宋体" w:hAnsi="宋体" w:cs="宋体"/>
          <w:color w:val="auto"/>
          <w:sz w:val="24"/>
          <w:szCs w:val="24"/>
          <w:lang w:val="zh-CN"/>
        </w:rPr>
        <w:t>评审标准</w:t>
      </w:r>
    </w:p>
    <w:p w14:paraId="073A6DD2">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2.1</w:t>
      </w:r>
      <w:r>
        <w:rPr>
          <w:rFonts w:hint="eastAsia" w:ascii="宋体" w:hAnsi="宋体" w:cs="宋体"/>
          <w:color w:val="auto"/>
          <w:sz w:val="24"/>
          <w:szCs w:val="24"/>
          <w:lang w:val="zh-CN"/>
        </w:rPr>
        <w:t>具体评审标准如下：</w:t>
      </w:r>
    </w:p>
    <w:p w14:paraId="73D78A7D">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 xml:space="preserve">   本次磋商采用综合评分法，是指响应文件满足磋商文件全部实质性要求且按评审因素的量化指标评审得分最高的</w:t>
      </w:r>
      <w:r>
        <w:rPr>
          <w:rFonts w:hint="eastAsia" w:ascii="宋体" w:hAnsi="宋体" w:cs="宋体"/>
          <w:color w:val="auto"/>
          <w:sz w:val="24"/>
          <w:szCs w:val="24"/>
        </w:rPr>
        <w:t>磋商申请人</w:t>
      </w:r>
      <w:r>
        <w:rPr>
          <w:rFonts w:hint="eastAsia" w:ascii="宋体" w:hAnsi="宋体" w:cs="宋体"/>
          <w:color w:val="auto"/>
          <w:sz w:val="24"/>
          <w:szCs w:val="24"/>
          <w:lang w:val="zh-CN"/>
        </w:rPr>
        <w:t>为</w:t>
      </w:r>
      <w:r>
        <w:rPr>
          <w:rFonts w:hint="eastAsia" w:ascii="宋体" w:hAnsi="宋体" w:cs="宋体"/>
          <w:color w:val="auto"/>
          <w:sz w:val="24"/>
          <w:szCs w:val="24"/>
        </w:rPr>
        <w:t>中标</w:t>
      </w:r>
      <w:r>
        <w:rPr>
          <w:rFonts w:hint="eastAsia" w:ascii="宋体" w:hAnsi="宋体" w:cs="宋体"/>
          <w:color w:val="auto"/>
          <w:sz w:val="24"/>
          <w:szCs w:val="24"/>
          <w:lang w:val="zh-CN"/>
        </w:rPr>
        <w:t>候选人的评审方法。</w:t>
      </w:r>
    </w:p>
    <w:p w14:paraId="6AE93A44">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2.2</w:t>
      </w:r>
      <w:r>
        <w:rPr>
          <w:rFonts w:hint="eastAsia" w:ascii="宋体" w:hAnsi="宋体" w:cs="宋体"/>
          <w:color w:val="auto"/>
          <w:sz w:val="24"/>
          <w:szCs w:val="24"/>
          <w:lang w:val="zh-CN"/>
        </w:rPr>
        <w:t>评审标准，详见附表一</w:t>
      </w:r>
    </w:p>
    <w:p w14:paraId="0127B708">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2.3</w:t>
      </w:r>
      <w:r>
        <w:rPr>
          <w:rFonts w:hint="eastAsia" w:ascii="宋体" w:hAnsi="宋体" w:cs="宋体"/>
          <w:color w:val="auto"/>
          <w:sz w:val="24"/>
          <w:szCs w:val="24"/>
          <w:lang w:val="zh-CN"/>
        </w:rPr>
        <w:t>评分要求和统计分数原则</w:t>
      </w:r>
    </w:p>
    <w:p w14:paraId="5CDB262F">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 xml:space="preserve">   各评审专家在充分审阅</w:t>
      </w:r>
      <w:r>
        <w:rPr>
          <w:rFonts w:hint="eastAsia" w:ascii="宋体" w:hAnsi="宋体" w:cs="宋体"/>
          <w:color w:val="auto"/>
          <w:sz w:val="24"/>
          <w:szCs w:val="24"/>
        </w:rPr>
        <w:t>磋商</w:t>
      </w:r>
      <w:r>
        <w:rPr>
          <w:rFonts w:hint="eastAsia" w:ascii="宋体" w:hAnsi="宋体" w:cs="宋体"/>
          <w:color w:val="auto"/>
          <w:sz w:val="24"/>
          <w:szCs w:val="24"/>
          <w:lang w:val="zh-CN"/>
        </w:rPr>
        <w:t>响应文件的基础上，按照评审标准对每个</w:t>
      </w:r>
      <w:r>
        <w:rPr>
          <w:rFonts w:hint="eastAsia" w:ascii="宋体" w:hAnsi="宋体" w:cs="宋体"/>
          <w:color w:val="auto"/>
          <w:sz w:val="24"/>
          <w:szCs w:val="24"/>
        </w:rPr>
        <w:t>磋商申请人</w:t>
      </w:r>
      <w:r>
        <w:rPr>
          <w:rFonts w:hint="eastAsia" w:ascii="宋体" w:hAnsi="宋体" w:cs="宋体"/>
          <w:color w:val="auto"/>
          <w:sz w:val="24"/>
          <w:szCs w:val="24"/>
          <w:lang w:val="zh-CN"/>
        </w:rPr>
        <w:t>进行打分，评委打分的算术平均值为该</w:t>
      </w:r>
      <w:r>
        <w:rPr>
          <w:rFonts w:hint="eastAsia" w:ascii="宋体" w:hAnsi="宋体" w:cs="宋体"/>
          <w:color w:val="auto"/>
          <w:sz w:val="24"/>
          <w:szCs w:val="24"/>
        </w:rPr>
        <w:t>磋商申请人</w:t>
      </w:r>
      <w:r>
        <w:rPr>
          <w:rFonts w:hint="eastAsia" w:ascii="宋体" w:hAnsi="宋体" w:cs="宋体"/>
          <w:color w:val="auto"/>
          <w:sz w:val="24"/>
          <w:szCs w:val="24"/>
          <w:lang w:val="zh-CN"/>
        </w:rPr>
        <w:t>的评审得分，评议标书得分相加合计为各</w:t>
      </w:r>
      <w:r>
        <w:rPr>
          <w:rFonts w:hint="eastAsia" w:ascii="宋体" w:hAnsi="宋体" w:cs="宋体"/>
          <w:color w:val="auto"/>
          <w:sz w:val="24"/>
          <w:szCs w:val="24"/>
        </w:rPr>
        <w:t>磋商申请人</w:t>
      </w:r>
      <w:r>
        <w:rPr>
          <w:rFonts w:hint="eastAsia" w:ascii="宋体" w:hAnsi="宋体" w:cs="宋体"/>
          <w:color w:val="auto"/>
          <w:sz w:val="24"/>
          <w:szCs w:val="24"/>
          <w:lang w:val="zh-CN"/>
        </w:rPr>
        <w:t>的评审得分（小数点后保留2位有效数字），按评审得分由高到低顺序推荐</w:t>
      </w:r>
      <w:r>
        <w:rPr>
          <w:rFonts w:hint="eastAsia" w:ascii="宋体" w:hAnsi="宋体" w:cs="宋体"/>
          <w:color w:val="auto"/>
          <w:sz w:val="24"/>
          <w:szCs w:val="24"/>
        </w:rPr>
        <w:t>中标</w:t>
      </w:r>
      <w:r>
        <w:rPr>
          <w:rFonts w:hint="eastAsia" w:ascii="宋体" w:hAnsi="宋体" w:cs="宋体"/>
          <w:color w:val="auto"/>
          <w:sz w:val="24"/>
          <w:szCs w:val="24"/>
          <w:lang w:val="zh-CN"/>
        </w:rPr>
        <w:t>候选人，评审得分相同的情况下，按技术指标优劣顺序推荐排序。</w:t>
      </w:r>
    </w:p>
    <w:p w14:paraId="3BB0FB1E">
      <w:pPr>
        <w:pStyle w:val="4"/>
        <w:spacing w:line="240" w:lineRule="auto"/>
        <w:rPr>
          <w:color w:val="auto"/>
          <w:szCs w:val="24"/>
          <w:lang w:val="zh-CN"/>
        </w:rPr>
      </w:pPr>
      <w:bookmarkStart w:id="1118" w:name="_Toc21988"/>
      <w:r>
        <w:rPr>
          <w:rFonts w:hint="eastAsia"/>
          <w:color w:val="auto"/>
          <w:szCs w:val="24"/>
          <w:lang w:val="zh-CN"/>
        </w:rPr>
        <w:t>五、磋商小组</w:t>
      </w:r>
      <w:bookmarkEnd w:id="1118"/>
    </w:p>
    <w:p w14:paraId="42072EE1">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磋商小组由采购单位代表和评审专家共同组成，采购单位代表不得担任评审委员会组长。评审专家应当从评审专家库内相关专业的专家名单中随机抽取。</w:t>
      </w:r>
    </w:p>
    <w:p w14:paraId="52C02AE5">
      <w:pPr>
        <w:pStyle w:val="4"/>
        <w:spacing w:line="240" w:lineRule="auto"/>
        <w:rPr>
          <w:color w:val="auto"/>
          <w:szCs w:val="24"/>
          <w:lang w:val="zh-CN"/>
        </w:rPr>
      </w:pPr>
      <w:bookmarkStart w:id="1119" w:name="_Toc29667"/>
      <w:r>
        <w:rPr>
          <w:rFonts w:hint="eastAsia"/>
          <w:color w:val="auto"/>
          <w:szCs w:val="24"/>
          <w:lang w:val="zh-CN"/>
        </w:rPr>
        <w:t>六、磋商评审纪律</w:t>
      </w:r>
      <w:bookmarkEnd w:id="1119"/>
    </w:p>
    <w:p w14:paraId="30073285">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1.</w:t>
      </w:r>
      <w:r>
        <w:rPr>
          <w:rFonts w:hint="eastAsia" w:ascii="宋体" w:hAnsi="宋体" w:cs="宋体"/>
          <w:color w:val="auto"/>
          <w:sz w:val="24"/>
          <w:szCs w:val="24"/>
          <w:lang w:val="zh-CN"/>
        </w:rPr>
        <w:t>磋商小组成员内部讨论的情况和意见必须保密，任何人不得以任何形式透露给</w:t>
      </w:r>
      <w:r>
        <w:rPr>
          <w:rFonts w:hint="eastAsia" w:ascii="宋体" w:hAnsi="宋体" w:cs="宋体"/>
          <w:color w:val="auto"/>
          <w:sz w:val="24"/>
          <w:szCs w:val="24"/>
        </w:rPr>
        <w:t>磋商申请人</w:t>
      </w:r>
      <w:r>
        <w:rPr>
          <w:rFonts w:hint="eastAsia" w:ascii="宋体" w:hAnsi="宋体" w:cs="宋体"/>
          <w:color w:val="auto"/>
          <w:sz w:val="24"/>
          <w:szCs w:val="24"/>
          <w:lang w:val="zh-CN"/>
        </w:rPr>
        <w:t>或与磋商申请人有关的单位或个人；</w:t>
      </w:r>
    </w:p>
    <w:p w14:paraId="0211731E">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2.</w:t>
      </w:r>
      <w:r>
        <w:rPr>
          <w:rFonts w:hint="eastAsia" w:ascii="宋体" w:hAnsi="宋体" w:cs="宋体"/>
          <w:color w:val="auto"/>
          <w:sz w:val="24"/>
          <w:szCs w:val="24"/>
          <w:lang w:val="zh-CN"/>
        </w:rPr>
        <w:t>在磋商过程中，磋商申请人不得以任何形式对磋商小组成员进行旨在影响磋商结果的私下接触，否则取消其磋商资格；</w:t>
      </w:r>
    </w:p>
    <w:p w14:paraId="6DE2C97C">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rPr>
        <w:t>3.</w:t>
      </w:r>
      <w:r>
        <w:rPr>
          <w:rFonts w:hint="eastAsia" w:ascii="宋体" w:hAnsi="宋体" w:cs="宋体"/>
          <w:color w:val="auto"/>
          <w:sz w:val="24"/>
          <w:szCs w:val="24"/>
          <w:lang w:val="zh-CN"/>
        </w:rPr>
        <w:t>磋商小组采用以及与磋商有关的人员应当对评审情况和评审过程中获悉的国家秘密、商业秘密予以保密。</w:t>
      </w:r>
    </w:p>
    <w:p w14:paraId="48BB9DFA">
      <w:pPr>
        <w:spacing w:line="400" w:lineRule="exact"/>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本文件未尽事宜，按现行法律法规执行</w:t>
      </w:r>
    </w:p>
    <w:p w14:paraId="373D2FB4">
      <w:pPr>
        <w:spacing w:line="400" w:lineRule="exact"/>
        <w:ind w:firstLine="482" w:firstLineChars="200"/>
        <w:outlineLvl w:val="0"/>
        <w:rPr>
          <w:rFonts w:ascii="宋体" w:hAnsi="宋体" w:cs="宋体"/>
          <w:b/>
          <w:bCs/>
          <w:color w:val="auto"/>
          <w:sz w:val="24"/>
          <w:szCs w:val="24"/>
        </w:rPr>
      </w:pPr>
      <w:bookmarkStart w:id="1120" w:name="_Toc2659"/>
      <w:bookmarkStart w:id="1121" w:name="_Toc2948"/>
      <w:bookmarkStart w:id="1122" w:name="_Toc14006"/>
      <w:bookmarkStart w:id="1123" w:name="_Toc26809"/>
      <w:r>
        <w:rPr>
          <w:rFonts w:hint="eastAsia" w:ascii="宋体" w:hAnsi="宋体" w:cs="宋体"/>
          <w:b/>
          <w:bCs/>
          <w:color w:val="auto"/>
          <w:sz w:val="24"/>
          <w:szCs w:val="24"/>
        </w:rPr>
        <w:t>附表一</w:t>
      </w:r>
      <w:bookmarkEnd w:id="1120"/>
      <w:bookmarkEnd w:id="1121"/>
      <w:bookmarkEnd w:id="1122"/>
      <w:bookmarkEnd w:id="1123"/>
    </w:p>
    <w:tbl>
      <w:tblPr>
        <w:tblStyle w:val="44"/>
        <w:tblW w:w="9153" w:type="dxa"/>
        <w:jc w:val="center"/>
        <w:tblLayout w:type="fixed"/>
        <w:tblCellMar>
          <w:top w:w="0" w:type="dxa"/>
          <w:left w:w="0" w:type="dxa"/>
          <w:bottom w:w="0" w:type="dxa"/>
          <w:right w:w="0" w:type="dxa"/>
        </w:tblCellMar>
      </w:tblPr>
      <w:tblGrid>
        <w:gridCol w:w="1357"/>
        <w:gridCol w:w="1005"/>
        <w:gridCol w:w="6791"/>
      </w:tblGrid>
      <w:tr w14:paraId="769450BF">
        <w:tblPrEx>
          <w:tblCellMar>
            <w:top w:w="0" w:type="dxa"/>
            <w:left w:w="0" w:type="dxa"/>
            <w:bottom w:w="0" w:type="dxa"/>
            <w:right w:w="0" w:type="dxa"/>
          </w:tblCellMar>
        </w:tblPrEx>
        <w:trPr>
          <w:cantSplit/>
          <w:trHeight w:val="402"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76EA523">
            <w:pPr>
              <w:spacing w:before="100" w:beforeAutospacing="1" w:after="100" w:afterAutospacing="1" w:line="400" w:lineRule="atLeas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评分因素</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E1A4866">
            <w:pPr>
              <w:spacing w:before="100" w:beforeAutospacing="1" w:after="100" w:afterAutospacing="1" w:line="400" w:lineRule="atLeast"/>
              <w:ind w:firstLine="2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分值</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8120568">
            <w:pPr>
              <w:spacing w:before="100" w:beforeAutospacing="1" w:after="100" w:afterAutospacing="1" w:line="400" w:lineRule="atLeast"/>
              <w:ind w:firstLine="2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评分标准</w:t>
            </w:r>
          </w:p>
        </w:tc>
      </w:tr>
      <w:tr w14:paraId="56314F33">
        <w:tblPrEx>
          <w:tblCellMar>
            <w:top w:w="0" w:type="dxa"/>
            <w:left w:w="0" w:type="dxa"/>
            <w:bottom w:w="0" w:type="dxa"/>
            <w:right w:w="0" w:type="dxa"/>
          </w:tblCellMar>
        </w:tblPrEx>
        <w:trPr>
          <w:cantSplit/>
          <w:trHeight w:val="402"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47DADAD">
            <w:pPr>
              <w:spacing w:before="100" w:beforeAutospacing="1" w:after="100" w:afterAutospacing="1" w:line="400" w:lineRule="atLeast"/>
              <w:ind w:firstLine="2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投标报价</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BD56BF3">
            <w:pPr>
              <w:spacing w:before="100" w:beforeAutospacing="1" w:after="100" w:afterAutospacing="1" w:line="400" w:lineRule="atLeast"/>
              <w:ind w:firstLine="2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9AF9CE2">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(评标基准价/投标报价)×10，（小数点保留两位）</w:t>
            </w:r>
          </w:p>
          <w:p w14:paraId="0F1A0B66">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标基准价：以满足磋商文件要求且投标价格最低的有效投标报价为评标基准价，其价格分为满分。其他磋商申请人的价格统一按上述投标报价公式计算。超计划投资的投标报价为无效投标报价,不得分,同时其响应文件将不进行综合评审。</w:t>
            </w:r>
          </w:p>
          <w:p w14:paraId="3985BB00">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w:t>
            </w:r>
          </w:p>
          <w:p w14:paraId="66E2D5DA">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1、因落实政府采购政策进行价格调整的，以调整后的价格计算评标基准价和投标报价；</w:t>
            </w:r>
          </w:p>
          <w:p w14:paraId="02CB2A44">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2、若货物为</w:t>
            </w:r>
            <w:r>
              <w:rPr>
                <w:rFonts w:hint="eastAsia" w:asciiTheme="minorEastAsia" w:hAnsiTheme="minorEastAsia" w:eastAsiaTheme="minorEastAsia" w:cstheme="minorEastAsia"/>
                <w:color w:val="auto"/>
                <w:spacing w:val="6"/>
                <w:sz w:val="24"/>
                <w:szCs w:val="24"/>
              </w:rPr>
              <w:t>小微型企业（</w:t>
            </w:r>
            <w:r>
              <w:rPr>
                <w:rFonts w:hint="eastAsia" w:asciiTheme="minorEastAsia" w:hAnsiTheme="minorEastAsia" w:eastAsiaTheme="minorEastAsia" w:cstheme="minorEastAsia"/>
                <w:color w:val="auto"/>
                <w:sz w:val="24"/>
                <w:szCs w:val="24"/>
              </w:rPr>
              <w:t>残疾人福利性单位、监狱企业</w:t>
            </w:r>
            <w:r>
              <w:rPr>
                <w:rFonts w:hint="eastAsia" w:asciiTheme="minorEastAsia" w:hAnsiTheme="minorEastAsia" w:eastAsiaTheme="minorEastAsia" w:cstheme="minorEastAsia"/>
                <w:color w:val="auto"/>
                <w:spacing w:val="6"/>
                <w:sz w:val="24"/>
                <w:szCs w:val="24"/>
              </w:rPr>
              <w:t>）产品、服务，请在投标分项报价表备注栏中标明并同时提供证明材料，经评标委员会核实</w:t>
            </w:r>
            <w:r>
              <w:rPr>
                <w:rFonts w:hint="eastAsia" w:asciiTheme="minorEastAsia" w:hAnsiTheme="minorEastAsia" w:eastAsiaTheme="minorEastAsia" w:cstheme="minorEastAsia"/>
                <w:color w:val="auto"/>
                <w:sz w:val="24"/>
                <w:szCs w:val="24"/>
              </w:rPr>
              <w:t>方可获得价格扣除；</w:t>
            </w:r>
          </w:p>
          <w:p w14:paraId="7FBDB20F">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3、</w:t>
            </w:r>
            <w:r>
              <w:rPr>
                <w:rFonts w:hint="eastAsia" w:asciiTheme="minorEastAsia" w:hAnsiTheme="minorEastAsia" w:eastAsiaTheme="minorEastAsia" w:cstheme="minorEastAsia"/>
                <w:color w:val="auto"/>
                <w:sz w:val="24"/>
                <w:szCs w:val="24"/>
              </w:rPr>
              <w:t>评审时小型和微型企业货物或服务采购项目享受10%的价格折扣，监狱企业、残疾人福利性单位视同小型、微型企业；</w:t>
            </w:r>
          </w:p>
          <w:p w14:paraId="506CF3D6">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4、磋商申请人仅能获得一种政策的价格扣除，不重复享受。</w:t>
            </w:r>
          </w:p>
        </w:tc>
      </w:tr>
      <w:tr w14:paraId="7552A3E5">
        <w:tblPrEx>
          <w:tblCellMar>
            <w:top w:w="0" w:type="dxa"/>
            <w:left w:w="0" w:type="dxa"/>
            <w:bottom w:w="0" w:type="dxa"/>
            <w:right w:w="0" w:type="dxa"/>
          </w:tblCellMar>
        </w:tblPrEx>
        <w:trPr>
          <w:cantSplit/>
          <w:trHeight w:val="663"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C593F8E">
            <w:pPr>
              <w:spacing w:before="100" w:beforeAutospacing="1" w:after="100" w:afterAutospacing="1" w:line="400" w:lineRule="atLeas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服务方案</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5B355DA">
            <w:pPr>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0CCC24D">
            <w:pPr>
              <w:tabs>
                <w:tab w:val="left" w:pos="312"/>
              </w:tabs>
              <w:spacing w:line="330" w:lineRule="exact"/>
              <w:ind w:firstLine="480" w:firstLineChars="200"/>
              <w:rPr>
                <w:rFonts w:ascii="宋体" w:hAnsi="宋体"/>
                <w:color w:val="auto"/>
                <w:sz w:val="24"/>
              </w:rPr>
            </w:pPr>
            <w:r>
              <w:rPr>
                <w:rFonts w:hint="eastAsia" w:ascii="宋体" w:hAnsi="宋体"/>
                <w:color w:val="auto"/>
                <w:sz w:val="24"/>
              </w:rPr>
              <w:t>潜在供应商根据项目的实际情况编制项目工作服务方案包括：服务管理计划、</w:t>
            </w:r>
            <w:r>
              <w:rPr>
                <w:bCs/>
                <w:color w:val="auto"/>
                <w:sz w:val="24"/>
              </w:rPr>
              <w:t>发生事故责任承诺</w:t>
            </w:r>
            <w:r>
              <w:rPr>
                <w:rFonts w:hint="eastAsia"/>
                <w:bCs/>
                <w:color w:val="auto"/>
                <w:sz w:val="24"/>
              </w:rPr>
              <w:t>、发生突发事件处置预案</w:t>
            </w:r>
            <w:r>
              <w:rPr>
                <w:rFonts w:hint="eastAsia" w:ascii="宋体" w:hAnsi="宋体"/>
                <w:color w:val="auto"/>
                <w:sz w:val="24"/>
              </w:rPr>
              <w:t>、人员培训计划、安全和文明管理计划及</w:t>
            </w:r>
            <w:r>
              <w:rPr>
                <w:color w:val="auto"/>
                <w:sz w:val="24"/>
              </w:rPr>
              <w:t>具体违约</w:t>
            </w:r>
            <w:r>
              <w:rPr>
                <w:rFonts w:hint="eastAsia"/>
                <w:color w:val="auto"/>
                <w:sz w:val="24"/>
              </w:rPr>
              <w:t>责任处罚</w:t>
            </w:r>
            <w:r>
              <w:rPr>
                <w:color w:val="auto"/>
                <w:sz w:val="24"/>
              </w:rPr>
              <w:t>承诺</w:t>
            </w:r>
            <w:r>
              <w:rPr>
                <w:rFonts w:hint="eastAsia"/>
                <w:color w:val="auto"/>
                <w:sz w:val="24"/>
              </w:rPr>
              <w:t>、质量保证措施及</w:t>
            </w:r>
            <w:r>
              <w:rPr>
                <w:color w:val="auto"/>
                <w:sz w:val="24"/>
              </w:rPr>
              <w:t>具体违约</w:t>
            </w:r>
            <w:r>
              <w:rPr>
                <w:rFonts w:hint="eastAsia"/>
                <w:color w:val="auto"/>
                <w:sz w:val="24"/>
              </w:rPr>
              <w:t>责任处罚</w:t>
            </w:r>
            <w:r>
              <w:rPr>
                <w:color w:val="auto"/>
                <w:sz w:val="24"/>
              </w:rPr>
              <w:t>承诺</w:t>
            </w:r>
            <w:r>
              <w:rPr>
                <w:rFonts w:hint="eastAsia" w:ascii="宋体" w:hAnsi="宋体"/>
                <w:color w:val="auto"/>
                <w:sz w:val="24"/>
              </w:rPr>
              <w:t>。</w:t>
            </w:r>
          </w:p>
          <w:p w14:paraId="6EB83A5F">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第一档次：</w:t>
            </w:r>
            <w:r>
              <w:rPr>
                <w:rFonts w:hint="eastAsia" w:ascii="宋体" w:hAnsi="宋体"/>
                <w:color w:val="auto"/>
                <w:sz w:val="24"/>
              </w:rPr>
              <w:t>符合项目实际情况，对项目的工作服务方案编制具体、针对性强、合理，有利于项目顺利实施的可得17-25分</w:t>
            </w:r>
            <w:r>
              <w:rPr>
                <w:rFonts w:hint="eastAsia" w:ascii="宋体" w:hAnsi="宋体" w:cs="宋体"/>
                <w:color w:val="auto"/>
                <w:sz w:val="24"/>
              </w:rPr>
              <w:t>；</w:t>
            </w:r>
          </w:p>
          <w:p w14:paraId="08CCA06D">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第二档次：基本</w:t>
            </w:r>
            <w:r>
              <w:rPr>
                <w:rFonts w:hint="eastAsia" w:ascii="宋体" w:hAnsi="宋体"/>
                <w:color w:val="auto"/>
                <w:sz w:val="24"/>
              </w:rPr>
              <w:t>符合项目实际情况，对项目的工作服务方案编制一般、针对性不强、基本合理的可得</w:t>
            </w:r>
            <w:r>
              <w:rPr>
                <w:rFonts w:hint="eastAsia" w:ascii="宋体" w:hAnsi="宋体" w:cs="宋体"/>
                <w:color w:val="auto"/>
                <w:sz w:val="24"/>
              </w:rPr>
              <w:t>8-16分；</w:t>
            </w:r>
          </w:p>
          <w:p w14:paraId="588AA7A0">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第三档次：</w:t>
            </w:r>
            <w:r>
              <w:rPr>
                <w:rFonts w:hint="eastAsia" w:ascii="宋体" w:hAnsi="宋体"/>
                <w:color w:val="auto"/>
                <w:sz w:val="24"/>
              </w:rPr>
              <w:t>不符合项目实际情况，对项目的工作服务方案编制不可行、无针对性、合理性的可得1</w:t>
            </w:r>
            <w:r>
              <w:rPr>
                <w:rFonts w:hint="eastAsia" w:ascii="宋体" w:hAnsi="宋体" w:cs="宋体"/>
                <w:color w:val="auto"/>
                <w:sz w:val="24"/>
              </w:rPr>
              <w:t>-7分；</w:t>
            </w:r>
          </w:p>
          <w:p w14:paraId="649F28B5">
            <w:pPr>
              <w:pStyle w:val="43"/>
              <w:ind w:firstLine="480"/>
              <w:jc w:val="left"/>
              <w:rPr>
                <w:rFonts w:asciiTheme="minorEastAsia" w:hAnsiTheme="minorEastAsia" w:eastAsiaTheme="minorEastAsia" w:cstheme="minorEastAsia"/>
                <w:color w:val="auto"/>
                <w:sz w:val="24"/>
                <w:szCs w:val="24"/>
              </w:rPr>
            </w:pPr>
            <w:r>
              <w:rPr>
                <w:rFonts w:hint="eastAsia" w:ascii="宋体" w:hAnsi="宋体" w:cs="宋体"/>
                <w:color w:val="auto"/>
                <w:sz w:val="24"/>
              </w:rPr>
              <w:t>第四档次：未提供工作服务方案措施的本项不得分。</w:t>
            </w:r>
          </w:p>
        </w:tc>
      </w:tr>
      <w:tr w14:paraId="0A71CA88">
        <w:tblPrEx>
          <w:tblCellMar>
            <w:top w:w="0" w:type="dxa"/>
            <w:left w:w="0" w:type="dxa"/>
            <w:bottom w:w="0" w:type="dxa"/>
            <w:right w:w="0" w:type="dxa"/>
          </w:tblCellMar>
        </w:tblPrEx>
        <w:trPr>
          <w:cantSplit/>
          <w:trHeight w:val="1165"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1765E94">
            <w:pPr>
              <w:spacing w:before="100" w:beforeAutospacing="1" w:after="100" w:afterAutospacing="1" w:line="400" w:lineRule="atLeas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人员配备</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993AE86">
            <w:pPr>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4D0E1B2">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根据磋商申请人的人员配备按档次进行打分：</w:t>
            </w:r>
          </w:p>
          <w:p w14:paraId="63AC0728">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人员配置包括但不限于日常工作开展、</w:t>
            </w:r>
            <w:r>
              <w:rPr>
                <w:rFonts w:hint="eastAsia" w:ascii="宋体" w:hAnsi="宋体"/>
                <w:color w:val="auto"/>
                <w:sz w:val="24"/>
              </w:rPr>
              <w:t>各岗位定员、各岗位责任、奖罚措施</w:t>
            </w:r>
            <w:r>
              <w:rPr>
                <w:rFonts w:hint="eastAsia" w:ascii="宋体" w:hAnsi="宋体" w:cs="宋体"/>
                <w:color w:val="auto"/>
                <w:sz w:val="24"/>
              </w:rPr>
              <w:t>等。</w:t>
            </w:r>
          </w:p>
          <w:p w14:paraId="538BE3A1">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第一档次：</w:t>
            </w:r>
            <w:r>
              <w:rPr>
                <w:rFonts w:hint="eastAsia" w:ascii="宋体" w:hAnsi="宋体"/>
                <w:color w:val="auto"/>
                <w:sz w:val="24"/>
              </w:rPr>
              <w:t>人员配置情况合理，</w:t>
            </w:r>
            <w:r>
              <w:rPr>
                <w:rFonts w:hint="eastAsia" w:ascii="宋体" w:hAnsi="宋体" w:cs="宋体"/>
                <w:color w:val="auto"/>
                <w:sz w:val="24"/>
              </w:rPr>
              <w:t>能完全满足日常工作开展需要、</w:t>
            </w:r>
            <w:r>
              <w:rPr>
                <w:rFonts w:hint="eastAsia" w:ascii="宋体" w:hAnsi="宋体"/>
                <w:color w:val="auto"/>
                <w:sz w:val="24"/>
              </w:rPr>
              <w:t>对各岗位、岗位定员、各岗位责任、奖罚措施有明确规定的得11-15分</w:t>
            </w:r>
            <w:r>
              <w:rPr>
                <w:rFonts w:hint="eastAsia" w:ascii="宋体" w:hAnsi="宋体" w:cs="宋体"/>
                <w:color w:val="auto"/>
                <w:sz w:val="24"/>
              </w:rPr>
              <w:t>；</w:t>
            </w:r>
          </w:p>
          <w:p w14:paraId="53C14B45">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第二档次：</w:t>
            </w:r>
            <w:r>
              <w:rPr>
                <w:rFonts w:hint="eastAsia" w:ascii="宋体" w:hAnsi="宋体"/>
                <w:color w:val="auto"/>
                <w:sz w:val="24"/>
              </w:rPr>
              <w:t>人员配置情况基本合理，可以</w:t>
            </w:r>
            <w:r>
              <w:rPr>
                <w:rFonts w:hint="eastAsia" w:ascii="宋体" w:hAnsi="宋体" w:cs="宋体"/>
                <w:color w:val="auto"/>
                <w:sz w:val="24"/>
              </w:rPr>
              <w:t>满足日常工作开展需要、</w:t>
            </w:r>
            <w:r>
              <w:rPr>
                <w:rFonts w:hint="eastAsia" w:ascii="宋体" w:hAnsi="宋体"/>
                <w:color w:val="auto"/>
                <w:sz w:val="24"/>
              </w:rPr>
              <w:t>对各岗位、岗位定员、各岗位责任、奖罚措施有规定的得6-10分</w:t>
            </w:r>
            <w:r>
              <w:rPr>
                <w:rFonts w:hint="eastAsia" w:ascii="宋体" w:hAnsi="宋体" w:cs="宋体"/>
                <w:color w:val="auto"/>
                <w:sz w:val="24"/>
              </w:rPr>
              <w:t>；</w:t>
            </w:r>
          </w:p>
          <w:p w14:paraId="24561277">
            <w:pPr>
              <w:tabs>
                <w:tab w:val="left" w:pos="312"/>
              </w:tabs>
              <w:spacing w:line="330" w:lineRule="exact"/>
              <w:ind w:firstLine="480" w:firstLineChars="200"/>
              <w:rPr>
                <w:rFonts w:ascii="宋体" w:hAnsi="宋体" w:cs="宋体"/>
                <w:color w:val="auto"/>
                <w:sz w:val="24"/>
              </w:rPr>
            </w:pPr>
            <w:r>
              <w:rPr>
                <w:rFonts w:hint="eastAsia" w:ascii="宋体" w:hAnsi="宋体" w:cs="宋体"/>
                <w:color w:val="auto"/>
                <w:sz w:val="24"/>
              </w:rPr>
              <w:t>第三档次：</w:t>
            </w:r>
            <w:r>
              <w:rPr>
                <w:rFonts w:hint="eastAsia" w:ascii="宋体" w:hAnsi="宋体"/>
                <w:color w:val="auto"/>
                <w:sz w:val="24"/>
              </w:rPr>
              <w:t>人员配置情况不合理，无法</w:t>
            </w:r>
            <w:r>
              <w:rPr>
                <w:rFonts w:hint="eastAsia" w:ascii="宋体" w:hAnsi="宋体" w:cs="宋体"/>
                <w:color w:val="auto"/>
                <w:sz w:val="24"/>
              </w:rPr>
              <w:t>满足日常工作开展需要、</w:t>
            </w:r>
            <w:r>
              <w:rPr>
                <w:rFonts w:hint="eastAsia" w:ascii="宋体" w:hAnsi="宋体"/>
                <w:color w:val="auto"/>
                <w:sz w:val="24"/>
              </w:rPr>
              <w:t>对各岗位、岗位定员、各岗位责任、奖罚措施有规定，但不具体的得1</w:t>
            </w:r>
            <w:r>
              <w:rPr>
                <w:rFonts w:hint="eastAsia" w:ascii="宋体" w:hAnsi="宋体" w:cs="宋体"/>
                <w:color w:val="auto"/>
                <w:sz w:val="24"/>
              </w:rPr>
              <w:t>-5分；</w:t>
            </w:r>
          </w:p>
          <w:p w14:paraId="3322A545">
            <w:pPr>
              <w:ind w:firstLine="480" w:firstLineChars="200"/>
              <w:jc w:val="left"/>
              <w:rPr>
                <w:rFonts w:asciiTheme="minorEastAsia" w:hAnsiTheme="minorEastAsia" w:eastAsiaTheme="minorEastAsia" w:cstheme="minorEastAsia"/>
                <w:color w:val="auto"/>
                <w:sz w:val="24"/>
                <w:szCs w:val="24"/>
              </w:rPr>
            </w:pPr>
            <w:r>
              <w:rPr>
                <w:rFonts w:hint="eastAsia" w:ascii="宋体" w:hAnsi="宋体" w:cs="宋体"/>
                <w:color w:val="auto"/>
                <w:sz w:val="24"/>
              </w:rPr>
              <w:t>第四档次：未提供人员配置的本项不得分。</w:t>
            </w:r>
          </w:p>
        </w:tc>
      </w:tr>
      <w:tr w14:paraId="0E6CDA5D">
        <w:tblPrEx>
          <w:tblCellMar>
            <w:top w:w="0" w:type="dxa"/>
            <w:left w:w="0" w:type="dxa"/>
            <w:bottom w:w="0" w:type="dxa"/>
            <w:right w:w="0" w:type="dxa"/>
          </w:tblCellMar>
        </w:tblPrEx>
        <w:trPr>
          <w:cantSplit/>
          <w:trHeight w:val="1165"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CAAA84F">
            <w:pPr>
              <w:spacing w:line="340" w:lineRule="exact"/>
              <w:ind w:left="25" w:leftChars="12" w:right="31" w:rightChars="15"/>
              <w:jc w:val="center"/>
              <w:rPr>
                <w:rFonts w:ascii="宋体" w:hAnsi="宋体" w:cs="宋体"/>
                <w:color w:val="auto"/>
                <w:sz w:val="24"/>
              </w:rPr>
            </w:pPr>
            <w:r>
              <w:rPr>
                <w:rFonts w:hint="eastAsia" w:ascii="宋体" w:hAnsi="宋体" w:cs="宋体"/>
                <w:color w:val="auto"/>
                <w:sz w:val="24"/>
              </w:rPr>
              <w:t>设备工具配置</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579B650">
            <w:pPr>
              <w:spacing w:before="100" w:beforeAutospacing="1" w:after="100" w:afterAutospacing="1" w:line="400" w:lineRule="atLeas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C6B0953">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根据磋商申请人的设备工具配置按档次进行打分：</w:t>
            </w:r>
          </w:p>
          <w:p w14:paraId="65D2E215">
            <w:pPr>
              <w:spacing w:line="340" w:lineRule="exact"/>
              <w:ind w:left="25" w:leftChars="12" w:right="31" w:rightChars="15" w:firstLine="480" w:firstLineChars="200"/>
              <w:rPr>
                <w:rFonts w:ascii="宋体" w:hAnsi="宋体"/>
                <w:color w:val="auto"/>
                <w:sz w:val="24"/>
              </w:rPr>
            </w:pPr>
            <w:r>
              <w:rPr>
                <w:rFonts w:hint="eastAsia" w:ascii="宋体" w:hAnsi="宋体" w:cs="宋体"/>
                <w:color w:val="auto"/>
                <w:sz w:val="24"/>
              </w:rPr>
              <w:t>潜在供应商设备工具配置承诺包括但不限于本次服务中设备的难点及特点、自身理解和经验提出较好的解决措施、拟投入本项目的各类器械、工具、服装装备等</w:t>
            </w:r>
            <w:r>
              <w:rPr>
                <w:rFonts w:hint="eastAsia" w:ascii="宋体" w:hAnsi="宋体"/>
                <w:color w:val="auto"/>
                <w:sz w:val="24"/>
              </w:rPr>
              <w:t>；</w:t>
            </w:r>
          </w:p>
          <w:p w14:paraId="73EB2D86">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第一档次：潜在供应商设备工具配置承诺能体现本次服务中设备的难点及特点、能结合自身理解和经验提出较好的解决措施、拟投入本项目的各类器械、工具、服装装备完全满足本次服务需要，且搭配适当</w:t>
            </w:r>
            <w:r>
              <w:rPr>
                <w:color w:val="auto"/>
                <w:sz w:val="24"/>
              </w:rPr>
              <w:t>的</w:t>
            </w:r>
            <w:r>
              <w:rPr>
                <w:rFonts w:hint="eastAsia" w:ascii="宋体" w:hAnsi="宋体"/>
                <w:color w:val="auto"/>
                <w:sz w:val="24"/>
              </w:rPr>
              <w:t>得7-10分</w:t>
            </w:r>
            <w:r>
              <w:rPr>
                <w:rFonts w:hint="eastAsia" w:ascii="宋体" w:hAnsi="宋体" w:cs="宋体"/>
                <w:color w:val="auto"/>
                <w:sz w:val="24"/>
              </w:rPr>
              <w:t>；</w:t>
            </w:r>
          </w:p>
          <w:p w14:paraId="05B8F7AD">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第二档次：潜在供应商设备工具配置承诺基本能体现本次服务中设备的难点及特点、基本可以结合自身理解和经验提出解决措施、拟投入本项目的各类器械、工具、服装装备部分满足本次服务需要</w:t>
            </w:r>
            <w:r>
              <w:rPr>
                <w:color w:val="auto"/>
                <w:sz w:val="24"/>
              </w:rPr>
              <w:t>的</w:t>
            </w:r>
            <w:r>
              <w:rPr>
                <w:rFonts w:hint="eastAsia" w:ascii="宋体" w:hAnsi="宋体"/>
                <w:color w:val="auto"/>
                <w:sz w:val="24"/>
              </w:rPr>
              <w:t>得4-6分</w:t>
            </w:r>
            <w:r>
              <w:rPr>
                <w:rFonts w:hint="eastAsia" w:ascii="宋体" w:hAnsi="宋体" w:cs="宋体"/>
                <w:color w:val="auto"/>
                <w:sz w:val="24"/>
              </w:rPr>
              <w:t>；</w:t>
            </w:r>
          </w:p>
          <w:p w14:paraId="6DC06278">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第三档次：潜在供应商设备工具配置承诺不能体现本次服务中设备的难点及特点、结合自身理解和经验未提出解决措施、拟投入本项目的各类器械、工具、服装装备无法满足本次服务需要</w:t>
            </w:r>
            <w:r>
              <w:rPr>
                <w:color w:val="auto"/>
                <w:sz w:val="24"/>
              </w:rPr>
              <w:t>的</w:t>
            </w:r>
            <w:r>
              <w:rPr>
                <w:rFonts w:hint="eastAsia" w:ascii="宋体" w:hAnsi="宋体"/>
                <w:color w:val="auto"/>
                <w:sz w:val="24"/>
              </w:rPr>
              <w:t>得1-3分</w:t>
            </w:r>
            <w:r>
              <w:rPr>
                <w:rFonts w:hint="eastAsia" w:ascii="宋体" w:hAnsi="宋体" w:cs="宋体"/>
                <w:color w:val="auto"/>
                <w:sz w:val="24"/>
              </w:rPr>
              <w:t>；</w:t>
            </w:r>
          </w:p>
          <w:p w14:paraId="70376CD0">
            <w:pPr>
              <w:pStyle w:val="43"/>
              <w:ind w:firstLine="0" w:firstLineChars="0"/>
              <w:rPr>
                <w:rFonts w:asciiTheme="minorEastAsia" w:hAnsiTheme="minorEastAsia" w:eastAsiaTheme="minorEastAsia" w:cstheme="minorEastAsia"/>
                <w:color w:val="auto"/>
                <w:sz w:val="24"/>
                <w:szCs w:val="24"/>
              </w:rPr>
            </w:pPr>
            <w:r>
              <w:rPr>
                <w:rFonts w:hint="eastAsia" w:ascii="宋体" w:hAnsi="宋体" w:cs="宋体"/>
                <w:color w:val="auto"/>
                <w:sz w:val="24"/>
              </w:rPr>
              <w:t>第四档次：未提供设备工具配置的本项不得分。</w:t>
            </w:r>
          </w:p>
        </w:tc>
      </w:tr>
      <w:tr w14:paraId="262BA505">
        <w:tblPrEx>
          <w:tblCellMar>
            <w:top w:w="0" w:type="dxa"/>
            <w:left w:w="0" w:type="dxa"/>
            <w:bottom w:w="0" w:type="dxa"/>
            <w:right w:w="0" w:type="dxa"/>
          </w:tblCellMar>
        </w:tblPrEx>
        <w:trPr>
          <w:cantSplit/>
          <w:trHeight w:val="1165"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A2B2E2F">
            <w:pPr>
              <w:autoSpaceDE w:val="0"/>
              <w:autoSpaceDN w:val="0"/>
              <w:adjustRightInd w:val="0"/>
              <w:spacing w:line="288"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服务承诺</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09E7DF0">
            <w:pPr>
              <w:autoSpaceDE w:val="0"/>
              <w:autoSpaceDN w:val="0"/>
              <w:adjustRightInd w:val="0"/>
              <w:spacing w:line="288"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62468F1">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根据磋商申请人的服务承诺按档次进行打分：</w:t>
            </w:r>
          </w:p>
          <w:p w14:paraId="17343784">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合同履行期限承诺满足磋商文件要求，包括但不限于进度计划、应急处理措施、处理程序、应急响应时间、具体的违约奖罚措施办法等。</w:t>
            </w:r>
          </w:p>
          <w:p w14:paraId="19B34E76">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第一档次：项目进度计划编制完整、流程清晰、安排合理，有具体的应急措施及违约奖罚措施办法的得11-15分；</w:t>
            </w:r>
          </w:p>
          <w:p w14:paraId="7A0AD4B0">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第二档次：项目进度计划编制基本可行、安排基本合理，有应急措施及违约奖罚措施办法，但针对性一般的得6-10分；</w:t>
            </w:r>
          </w:p>
          <w:p w14:paraId="495E9464">
            <w:pPr>
              <w:tabs>
                <w:tab w:val="left" w:pos="312"/>
              </w:tabs>
              <w:spacing w:line="340" w:lineRule="exact"/>
              <w:ind w:firstLine="480" w:firstLineChars="200"/>
              <w:rPr>
                <w:rFonts w:ascii="宋体" w:hAnsi="宋体" w:cs="宋体"/>
                <w:color w:val="auto"/>
                <w:sz w:val="24"/>
              </w:rPr>
            </w:pPr>
            <w:r>
              <w:rPr>
                <w:rFonts w:hint="eastAsia" w:ascii="宋体" w:hAnsi="宋体" w:cs="宋体"/>
                <w:color w:val="auto"/>
                <w:sz w:val="24"/>
              </w:rPr>
              <w:t>第三档次：有项目进度计划编制、应急措施及违约奖罚措施办法，但缺乏针对性或不合理的得1-5分；</w:t>
            </w:r>
          </w:p>
          <w:p w14:paraId="1F50AA18">
            <w:pPr>
              <w:pStyle w:val="43"/>
              <w:ind w:firstLine="0" w:firstLineChars="0"/>
              <w:rPr>
                <w:rFonts w:asciiTheme="minorEastAsia" w:hAnsiTheme="minorEastAsia" w:eastAsiaTheme="minorEastAsia" w:cstheme="minorEastAsia"/>
                <w:color w:val="auto"/>
                <w:sz w:val="24"/>
                <w:szCs w:val="24"/>
              </w:rPr>
            </w:pPr>
            <w:r>
              <w:rPr>
                <w:rFonts w:hint="eastAsia" w:ascii="宋体" w:hAnsi="宋体" w:cs="宋体"/>
                <w:color w:val="auto"/>
                <w:sz w:val="24"/>
              </w:rPr>
              <w:t>第四档次：未提供合同履行期限保证措施的本项不得分。</w:t>
            </w:r>
          </w:p>
        </w:tc>
      </w:tr>
      <w:tr w14:paraId="0E55A6FC">
        <w:tblPrEx>
          <w:tblCellMar>
            <w:top w:w="0" w:type="dxa"/>
            <w:left w:w="0" w:type="dxa"/>
            <w:bottom w:w="0" w:type="dxa"/>
            <w:right w:w="0" w:type="dxa"/>
          </w:tblCellMar>
        </w:tblPrEx>
        <w:trPr>
          <w:cantSplit/>
          <w:trHeight w:val="209"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7DCCAF7">
            <w:pPr>
              <w:autoSpaceDE w:val="0"/>
              <w:autoSpaceDN w:val="0"/>
              <w:adjustRightInd w:val="0"/>
              <w:spacing w:line="288"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规章管理制度</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41079AC">
            <w:pPr>
              <w:autoSpaceDE w:val="0"/>
              <w:autoSpaceDN w:val="0"/>
              <w:adjustRightInd w:val="0"/>
              <w:spacing w:line="288"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7分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F869CE2">
            <w:pPr>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根据磋商申请人的规章管理制度按档次进行打分：</w:t>
            </w:r>
          </w:p>
          <w:p w14:paraId="76EB1297">
            <w:pPr>
              <w:spacing w:line="340" w:lineRule="exact"/>
              <w:ind w:firstLine="480" w:firstLineChars="200"/>
              <w:jc w:val="left"/>
              <w:rPr>
                <w:rFonts w:ascii="宋体" w:hAnsi="宋体" w:cs="宋体"/>
                <w:color w:val="auto"/>
                <w:sz w:val="24"/>
              </w:rPr>
            </w:pPr>
            <w:r>
              <w:rPr>
                <w:rFonts w:hint="eastAsia" w:ascii="宋体" w:hAnsi="宋体" w:cs="宋体"/>
                <w:color w:val="auto"/>
                <w:sz w:val="24"/>
              </w:rPr>
              <w:t>管理规章制度及管理档案建立包括但不限于管理规章制度及管理档案建立方案、处理措施等。</w:t>
            </w:r>
          </w:p>
          <w:p w14:paraId="06576CE0">
            <w:pPr>
              <w:tabs>
                <w:tab w:val="left" w:pos="312"/>
              </w:tabs>
              <w:spacing w:line="340" w:lineRule="exact"/>
              <w:ind w:firstLine="480" w:firstLineChars="200"/>
              <w:jc w:val="left"/>
              <w:rPr>
                <w:rFonts w:ascii="宋体" w:hAnsi="宋体" w:cs="宋体"/>
                <w:color w:val="auto"/>
                <w:sz w:val="24"/>
              </w:rPr>
            </w:pPr>
            <w:r>
              <w:rPr>
                <w:rFonts w:hint="eastAsia" w:ascii="宋体" w:hAnsi="宋体" w:cs="宋体"/>
                <w:color w:val="auto"/>
                <w:sz w:val="24"/>
              </w:rPr>
              <w:t>第一档次：</w:t>
            </w:r>
            <w:r>
              <w:rPr>
                <w:rFonts w:hint="eastAsia" w:ascii="宋体" w:hAnsi="宋体"/>
                <w:color w:val="auto"/>
                <w:sz w:val="24"/>
              </w:rPr>
              <w:t>根据项目的实际情况编制完整、规范的管理规章制度及管理档案建立的</w:t>
            </w:r>
            <w:r>
              <w:rPr>
                <w:color w:val="auto"/>
                <w:sz w:val="24"/>
              </w:rPr>
              <w:t>得</w:t>
            </w:r>
            <w:r>
              <w:rPr>
                <w:rFonts w:hint="eastAsia" w:ascii="宋体" w:hAnsi="宋体" w:cs="宋体"/>
                <w:color w:val="auto"/>
                <w:sz w:val="24"/>
              </w:rPr>
              <w:t>5-7分；</w:t>
            </w:r>
          </w:p>
          <w:p w14:paraId="7863ED4B">
            <w:pPr>
              <w:tabs>
                <w:tab w:val="left" w:pos="312"/>
              </w:tabs>
              <w:spacing w:line="340" w:lineRule="exact"/>
              <w:ind w:firstLine="480" w:firstLineChars="200"/>
              <w:jc w:val="left"/>
              <w:rPr>
                <w:rFonts w:ascii="宋体" w:hAnsi="宋体" w:cs="宋体"/>
                <w:color w:val="auto"/>
                <w:sz w:val="24"/>
              </w:rPr>
            </w:pPr>
            <w:r>
              <w:rPr>
                <w:rFonts w:hint="eastAsia" w:ascii="宋体" w:hAnsi="宋体" w:cs="宋体"/>
                <w:color w:val="auto"/>
                <w:sz w:val="24"/>
              </w:rPr>
              <w:t>第二档次：</w:t>
            </w:r>
            <w:r>
              <w:rPr>
                <w:rFonts w:hint="eastAsia" w:ascii="宋体" w:hAnsi="宋体"/>
                <w:color w:val="auto"/>
                <w:sz w:val="24"/>
              </w:rPr>
              <w:t>根据项目的实际情况编制较为完整、规范的管理规章制度及管理档案建立的</w:t>
            </w:r>
            <w:r>
              <w:rPr>
                <w:color w:val="auto"/>
                <w:sz w:val="24"/>
              </w:rPr>
              <w:t>得</w:t>
            </w:r>
            <w:r>
              <w:rPr>
                <w:rFonts w:hint="eastAsia" w:ascii="宋体" w:hAnsi="宋体" w:cs="宋体"/>
                <w:color w:val="auto"/>
                <w:sz w:val="24"/>
              </w:rPr>
              <w:t>2-4分；</w:t>
            </w:r>
          </w:p>
          <w:p w14:paraId="5B9F0371">
            <w:pPr>
              <w:tabs>
                <w:tab w:val="left" w:pos="312"/>
              </w:tabs>
              <w:spacing w:line="340" w:lineRule="exact"/>
              <w:ind w:firstLine="480" w:firstLineChars="200"/>
              <w:jc w:val="left"/>
              <w:rPr>
                <w:rFonts w:ascii="宋体" w:hAnsi="宋体" w:cs="宋体"/>
                <w:color w:val="auto"/>
                <w:sz w:val="24"/>
              </w:rPr>
            </w:pPr>
            <w:r>
              <w:rPr>
                <w:rFonts w:hint="eastAsia" w:ascii="宋体" w:hAnsi="宋体" w:cs="宋体"/>
                <w:color w:val="auto"/>
                <w:sz w:val="24"/>
              </w:rPr>
              <w:t>第三档次：</w:t>
            </w:r>
            <w:r>
              <w:rPr>
                <w:rFonts w:hint="eastAsia" w:ascii="宋体" w:hAnsi="宋体"/>
                <w:color w:val="auto"/>
                <w:sz w:val="24"/>
              </w:rPr>
              <w:t>根据项目的实际情况编制的管理规章制度及管理档案建立不详细的</w:t>
            </w:r>
            <w:r>
              <w:rPr>
                <w:color w:val="auto"/>
                <w:sz w:val="24"/>
              </w:rPr>
              <w:t>得</w:t>
            </w:r>
            <w:r>
              <w:rPr>
                <w:rFonts w:hint="eastAsia" w:ascii="宋体" w:hAnsi="宋体" w:cs="宋体"/>
                <w:color w:val="auto"/>
                <w:sz w:val="24"/>
              </w:rPr>
              <w:t>1分；</w:t>
            </w:r>
          </w:p>
          <w:p w14:paraId="79E9F5FA">
            <w:pPr>
              <w:pStyle w:val="43"/>
              <w:ind w:firstLine="0" w:firstLineChars="0"/>
              <w:rPr>
                <w:rFonts w:asciiTheme="minorEastAsia" w:hAnsiTheme="minorEastAsia" w:eastAsiaTheme="minorEastAsia" w:cstheme="minorEastAsia"/>
                <w:bCs/>
                <w:color w:val="auto"/>
                <w:sz w:val="24"/>
                <w:szCs w:val="24"/>
              </w:rPr>
            </w:pPr>
            <w:r>
              <w:rPr>
                <w:rFonts w:hint="eastAsia" w:ascii="宋体" w:hAnsi="宋体" w:cs="宋体"/>
                <w:color w:val="auto"/>
                <w:sz w:val="24"/>
              </w:rPr>
              <w:t>第四档次：未提供管理规章制度及管理档案建立的本项不得分。</w:t>
            </w:r>
          </w:p>
        </w:tc>
      </w:tr>
      <w:tr w14:paraId="419750ED">
        <w:tblPrEx>
          <w:tblCellMar>
            <w:top w:w="0" w:type="dxa"/>
            <w:left w:w="0" w:type="dxa"/>
            <w:bottom w:w="0" w:type="dxa"/>
            <w:right w:w="0" w:type="dxa"/>
          </w:tblCellMar>
        </w:tblPrEx>
        <w:trPr>
          <w:cantSplit/>
          <w:trHeight w:val="209" w:hRule="atLeast"/>
          <w:jc w:val="center"/>
        </w:trPr>
        <w:tc>
          <w:tcPr>
            <w:tcW w:w="13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4E5688C">
            <w:pPr>
              <w:autoSpaceDE w:val="0"/>
              <w:autoSpaceDN w:val="0"/>
              <w:adjustRightInd w:val="0"/>
              <w:spacing w:line="288"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企业综合实力</w:t>
            </w:r>
          </w:p>
        </w:tc>
        <w:tc>
          <w:tcPr>
            <w:tcW w:w="10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FC3C0AB">
            <w:pPr>
              <w:autoSpaceDE w:val="0"/>
              <w:autoSpaceDN w:val="0"/>
              <w:adjustRightInd w:val="0"/>
              <w:spacing w:line="288" w:lineRule="auto"/>
              <w:jc w:val="center"/>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rPr>
              <w:t>18</w:t>
            </w:r>
            <w:r>
              <w:rPr>
                <w:rFonts w:hint="eastAsia" w:asciiTheme="minorEastAsia" w:hAnsiTheme="minorEastAsia" w:eastAsiaTheme="minorEastAsia" w:cstheme="minorEastAsia"/>
                <w:bCs/>
                <w:color w:val="auto"/>
                <w:sz w:val="24"/>
                <w:szCs w:val="24"/>
                <w:lang w:val="en-US" w:eastAsia="zh-CN"/>
              </w:rPr>
              <w:t>分</w:t>
            </w:r>
          </w:p>
        </w:tc>
        <w:tc>
          <w:tcPr>
            <w:tcW w:w="679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00A4903">
            <w:pP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1、投标人的信誉良好的，无不良记录的得2分。</w:t>
            </w:r>
          </w:p>
          <w:p w14:paraId="6782FDDB">
            <w:pP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2、拟派物业管理项目负责人、工作经验、以往工作经验实绩丰富的，取得物业相关证书的，得4分。</w:t>
            </w:r>
          </w:p>
          <w:p w14:paraId="473EC4AF">
            <w:pP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3、拟派安保管理项目负责人、工作经验、以往工作经验实绩丰富的，取得安保相关证书的，得4分。</w:t>
            </w:r>
          </w:p>
          <w:p w14:paraId="31490D31">
            <w:pPr>
              <w:rPr>
                <w:rFonts w:ascii="宋体" w:hAnsi="宋体" w:cs="宋体"/>
                <w:color w:val="auto"/>
                <w:sz w:val="24"/>
              </w:rPr>
            </w:pPr>
            <w:r>
              <w:rPr>
                <w:rFonts w:hint="eastAsia" w:asciiTheme="minorEastAsia" w:hAnsiTheme="minorEastAsia" w:eastAsiaTheme="minorEastAsia" w:cstheme="minorEastAsia"/>
                <w:bCs/>
                <w:color w:val="auto"/>
                <w:sz w:val="24"/>
                <w:szCs w:val="24"/>
              </w:rPr>
              <w:t>4、供应商提供近三年内服务过的同类型业务用户，其业主在服务期的综合评价书面证明，每提供一个的，得2分，本项最多得8分。</w:t>
            </w:r>
          </w:p>
        </w:tc>
      </w:tr>
    </w:tbl>
    <w:p w14:paraId="3D0B99C3">
      <w:pPr>
        <w:pStyle w:val="43"/>
        <w:ind w:firstLine="720"/>
        <w:rPr>
          <w:rFonts w:ascii="宋体" w:hAnsi="宋体" w:cs="宋体"/>
          <w:color w:val="auto"/>
          <w:sz w:val="36"/>
          <w:szCs w:val="36"/>
          <w:lang w:val="zh-CN"/>
        </w:rPr>
      </w:pPr>
    </w:p>
    <w:p w14:paraId="2B267087">
      <w:pPr>
        <w:pStyle w:val="43"/>
        <w:ind w:firstLine="720"/>
        <w:rPr>
          <w:rFonts w:ascii="宋体" w:hAnsi="宋体" w:cs="宋体"/>
          <w:color w:val="auto"/>
          <w:sz w:val="36"/>
          <w:szCs w:val="36"/>
          <w:lang w:val="zh-CN"/>
        </w:rPr>
      </w:pPr>
    </w:p>
    <w:p w14:paraId="5E243C29">
      <w:pPr>
        <w:spacing w:line="360" w:lineRule="auto"/>
        <w:ind w:left="240" w:hanging="240" w:hangingChars="100"/>
        <w:rPr>
          <w:color w:val="auto"/>
        </w:rPr>
      </w:pPr>
      <w:r>
        <w:rPr>
          <w:rFonts w:hint="eastAsia" w:ascii="宋体" w:hAnsi="宋体" w:cs="宋体"/>
          <w:color w:val="auto"/>
          <w:sz w:val="24"/>
        </w:rPr>
        <w:br w:type="page"/>
      </w:r>
    </w:p>
    <w:p w14:paraId="23977A94">
      <w:pPr>
        <w:pStyle w:val="43"/>
        <w:ind w:firstLine="560"/>
        <w:rPr>
          <w:color w:val="auto"/>
        </w:rPr>
      </w:pPr>
    </w:p>
    <w:p w14:paraId="294B4E66">
      <w:pPr>
        <w:pStyle w:val="3"/>
        <w:rPr>
          <w:color w:val="auto"/>
        </w:rPr>
      </w:pPr>
      <w:bookmarkStart w:id="1124" w:name="_Toc5294"/>
      <w:bookmarkStart w:id="1125" w:name="_Toc185540056"/>
      <w:bookmarkStart w:id="1126" w:name="_Toc427339177"/>
      <w:bookmarkStart w:id="1127" w:name="_Toc209516063"/>
      <w:bookmarkStart w:id="1128" w:name="_Toc427306796"/>
      <w:bookmarkStart w:id="1129" w:name="_Toc23439"/>
      <w:r>
        <w:rPr>
          <w:rFonts w:hint="eastAsia"/>
          <w:color w:val="auto"/>
        </w:rPr>
        <w:t>第四章 磋商响应文件格式</w:t>
      </w:r>
      <w:bookmarkEnd w:id="1124"/>
      <w:bookmarkEnd w:id="1125"/>
      <w:bookmarkEnd w:id="1126"/>
      <w:bookmarkEnd w:id="1127"/>
      <w:bookmarkEnd w:id="1128"/>
      <w:bookmarkEnd w:id="1129"/>
    </w:p>
    <w:p w14:paraId="3A686AA9">
      <w:pPr>
        <w:spacing w:line="360" w:lineRule="auto"/>
        <w:rPr>
          <w:rFonts w:ascii="宋体" w:hAnsi="宋体" w:cs="宋体"/>
          <w:color w:val="auto"/>
          <w:szCs w:val="21"/>
        </w:rPr>
      </w:pPr>
    </w:p>
    <w:p w14:paraId="60237BDC">
      <w:pPr>
        <w:spacing w:line="360" w:lineRule="auto"/>
        <w:jc w:val="center"/>
        <w:rPr>
          <w:rFonts w:ascii="宋体" w:hAnsi="宋体" w:cs="宋体"/>
          <w:color w:val="auto"/>
          <w:szCs w:val="21"/>
        </w:rPr>
      </w:pPr>
      <w:r>
        <w:rPr>
          <w:rFonts w:hint="eastAsia" w:ascii="宋体" w:hAnsi="宋体" w:cs="宋体"/>
          <w:color w:val="auto"/>
          <w:szCs w:val="21"/>
        </w:rPr>
        <w:t>（未提供格式的部分由磋商申请人自行编制）</w:t>
      </w:r>
      <w:bookmarkStart w:id="1130" w:name="q14"/>
      <w:bookmarkEnd w:id="1130"/>
      <w:bookmarkStart w:id="1131" w:name="_Toc28312"/>
      <w:bookmarkStart w:id="1132" w:name="_Toc427339178"/>
      <w:bookmarkStart w:id="1133" w:name="_Toc21833"/>
      <w:bookmarkStart w:id="1134" w:name="_Toc183075172"/>
    </w:p>
    <w:p w14:paraId="0D0FB558">
      <w:pPr>
        <w:spacing w:line="360" w:lineRule="auto"/>
        <w:jc w:val="center"/>
        <w:rPr>
          <w:rFonts w:ascii="宋体" w:hAnsi="宋体" w:cs="宋体"/>
          <w:b/>
          <w:color w:val="auto"/>
          <w:sz w:val="30"/>
          <w:szCs w:val="30"/>
        </w:rPr>
      </w:pPr>
      <w:r>
        <w:rPr>
          <w:rFonts w:hint="eastAsia" w:ascii="宋体" w:hAnsi="宋体" w:cs="宋体"/>
          <w:b/>
          <w:color w:val="auto"/>
          <w:sz w:val="30"/>
          <w:szCs w:val="30"/>
        </w:rPr>
        <w:t>响应文件封面</w:t>
      </w:r>
      <w:bookmarkEnd w:id="1131"/>
      <w:bookmarkEnd w:id="1132"/>
      <w:bookmarkEnd w:id="1133"/>
    </w:p>
    <w:p w14:paraId="00270E25">
      <w:pPr>
        <w:spacing w:line="360" w:lineRule="auto"/>
        <w:rPr>
          <w:rFonts w:ascii="宋体" w:hAnsi="宋体" w:cs="宋体"/>
          <w:color w:val="auto"/>
          <w:sz w:val="36"/>
          <w:szCs w:val="36"/>
          <w:u w:val="single"/>
        </w:rPr>
      </w:pPr>
    </w:p>
    <w:p w14:paraId="75BB2635">
      <w:pPr>
        <w:pStyle w:val="27"/>
        <w:ind w:firstLine="0" w:firstLineChars="0"/>
        <w:jc w:val="center"/>
        <w:rPr>
          <w:rFonts w:ascii="宋体" w:hAnsi="宋体" w:cs="宋体"/>
          <w:b/>
          <w:bCs/>
          <w:color w:val="auto"/>
          <w:sz w:val="48"/>
          <w:szCs w:val="48"/>
        </w:rPr>
      </w:pPr>
      <w:r>
        <w:rPr>
          <w:rFonts w:hint="eastAsia" w:ascii="宋体" w:hAnsi="宋体" w:cs="宋体"/>
          <w:b/>
          <w:bCs/>
          <w:color w:val="auto"/>
          <w:sz w:val="48"/>
          <w:szCs w:val="48"/>
        </w:rPr>
        <w:t>泸西县妇幼保健院2025年物业管理服务</w:t>
      </w:r>
    </w:p>
    <w:p w14:paraId="0929A29D">
      <w:pPr>
        <w:pStyle w:val="27"/>
        <w:ind w:firstLine="0" w:firstLineChars="0"/>
        <w:jc w:val="center"/>
        <w:rPr>
          <w:rFonts w:ascii="宋体" w:hAnsi="宋体" w:cs="宋体"/>
          <w:b/>
          <w:bCs/>
          <w:color w:val="auto"/>
          <w:sz w:val="48"/>
          <w:szCs w:val="48"/>
        </w:rPr>
      </w:pPr>
      <w:r>
        <w:rPr>
          <w:rFonts w:hint="eastAsia" w:ascii="宋体" w:hAnsi="宋体" w:cs="宋体"/>
          <w:b/>
          <w:bCs/>
          <w:color w:val="auto"/>
          <w:sz w:val="48"/>
          <w:szCs w:val="48"/>
        </w:rPr>
        <w:t>采购项目</w:t>
      </w:r>
    </w:p>
    <w:p w14:paraId="45A36E0D">
      <w:pPr>
        <w:pStyle w:val="27"/>
        <w:ind w:firstLine="1446"/>
        <w:rPr>
          <w:rFonts w:ascii="宋体" w:hAnsi="宋体" w:cs="宋体"/>
          <w:b/>
          <w:bCs/>
          <w:color w:val="auto"/>
          <w:sz w:val="48"/>
          <w:szCs w:val="48"/>
        </w:rPr>
      </w:pPr>
    </w:p>
    <w:p w14:paraId="21B4E56F">
      <w:pPr>
        <w:spacing w:line="360" w:lineRule="auto"/>
        <w:jc w:val="center"/>
        <w:rPr>
          <w:rFonts w:ascii="宋体" w:hAnsi="宋体" w:cs="宋体"/>
          <w:b/>
          <w:color w:val="auto"/>
          <w:sz w:val="84"/>
          <w:szCs w:val="84"/>
        </w:rPr>
      </w:pPr>
      <w:r>
        <w:rPr>
          <w:rFonts w:hint="eastAsia" w:ascii="宋体" w:hAnsi="宋体" w:cs="宋体"/>
          <w:b/>
          <w:color w:val="auto"/>
          <w:sz w:val="84"/>
          <w:szCs w:val="84"/>
        </w:rPr>
        <w:t>响应文件</w:t>
      </w:r>
    </w:p>
    <w:p w14:paraId="4CE1DD66">
      <w:pPr>
        <w:spacing w:line="360" w:lineRule="auto"/>
        <w:jc w:val="center"/>
        <w:rPr>
          <w:rFonts w:ascii="宋体" w:hAnsi="宋体" w:cs="宋体"/>
          <w:b/>
          <w:bCs/>
          <w:color w:val="auto"/>
          <w:sz w:val="32"/>
          <w:szCs w:val="32"/>
        </w:rPr>
      </w:pPr>
      <w:r>
        <w:rPr>
          <w:rFonts w:hint="eastAsia" w:ascii="宋体" w:hAnsi="宋体" w:cs="宋体"/>
          <w:b/>
          <w:bCs/>
          <w:color w:val="auto"/>
          <w:sz w:val="32"/>
          <w:szCs w:val="32"/>
        </w:rPr>
        <w:t>项目编号：</w:t>
      </w:r>
    </w:p>
    <w:p w14:paraId="4DEC73F9">
      <w:pPr>
        <w:spacing w:line="360" w:lineRule="auto"/>
        <w:jc w:val="center"/>
        <w:rPr>
          <w:rFonts w:ascii="宋体" w:hAnsi="宋体" w:cs="宋体"/>
          <w:b/>
          <w:bCs/>
          <w:color w:val="auto"/>
          <w:sz w:val="32"/>
          <w:szCs w:val="32"/>
        </w:rPr>
      </w:pPr>
    </w:p>
    <w:p w14:paraId="572DF6D2">
      <w:pPr>
        <w:spacing w:line="360" w:lineRule="auto"/>
        <w:rPr>
          <w:rFonts w:ascii="宋体" w:hAnsi="宋体" w:cs="宋体"/>
          <w:color w:val="auto"/>
          <w:szCs w:val="21"/>
        </w:rPr>
      </w:pPr>
    </w:p>
    <w:p w14:paraId="63C4A33E">
      <w:pPr>
        <w:spacing w:line="360" w:lineRule="auto"/>
        <w:jc w:val="center"/>
        <w:rPr>
          <w:rFonts w:ascii="宋体" w:hAnsi="宋体" w:cs="宋体"/>
          <w:color w:val="auto"/>
          <w:szCs w:val="21"/>
        </w:rPr>
      </w:pPr>
    </w:p>
    <w:p w14:paraId="60014BB7">
      <w:pPr>
        <w:pStyle w:val="27"/>
        <w:rPr>
          <w:rFonts w:ascii="宋体" w:hAnsi="宋体" w:cs="宋体"/>
          <w:color w:val="auto"/>
          <w:szCs w:val="21"/>
        </w:rPr>
      </w:pPr>
    </w:p>
    <w:p w14:paraId="0815803A">
      <w:pPr>
        <w:pStyle w:val="27"/>
        <w:rPr>
          <w:rFonts w:ascii="宋体" w:hAnsi="宋体" w:cs="宋体"/>
          <w:color w:val="auto"/>
          <w:szCs w:val="21"/>
        </w:rPr>
      </w:pPr>
    </w:p>
    <w:p w14:paraId="4581A1EA">
      <w:pPr>
        <w:pStyle w:val="27"/>
        <w:rPr>
          <w:rFonts w:ascii="宋体" w:hAnsi="宋体" w:cs="宋体"/>
          <w:color w:val="auto"/>
          <w:szCs w:val="21"/>
        </w:rPr>
      </w:pPr>
    </w:p>
    <w:p w14:paraId="5557B603">
      <w:pPr>
        <w:spacing w:line="360" w:lineRule="auto"/>
        <w:ind w:firstLine="480" w:firstLineChars="200"/>
        <w:rPr>
          <w:rFonts w:ascii="宋体" w:hAnsi="宋体" w:cs="宋体"/>
          <w:color w:val="auto"/>
          <w:sz w:val="24"/>
        </w:rPr>
      </w:pPr>
    </w:p>
    <w:p w14:paraId="273FDFCC">
      <w:pPr>
        <w:spacing w:line="360" w:lineRule="auto"/>
        <w:ind w:firstLine="900" w:firstLineChars="300"/>
        <w:rPr>
          <w:rFonts w:ascii="宋体" w:hAnsi="宋体" w:cs="宋体"/>
          <w:color w:val="auto"/>
          <w:sz w:val="30"/>
          <w:szCs w:val="30"/>
        </w:rPr>
      </w:pPr>
      <w:r>
        <w:rPr>
          <w:rFonts w:hint="eastAsia" w:ascii="宋体" w:hAnsi="宋体" w:cs="宋体"/>
          <w:color w:val="auto"/>
          <w:kern w:val="0"/>
          <w:sz w:val="30"/>
          <w:szCs w:val="30"/>
        </w:rPr>
        <w:t>磋商申请人</w:t>
      </w:r>
      <w:r>
        <w:rPr>
          <w:rFonts w:hint="eastAsia" w:ascii="宋体" w:hAnsi="宋体" w:cs="宋体"/>
          <w:color w:val="auto"/>
          <w:sz w:val="30"/>
          <w:szCs w:val="30"/>
        </w:rPr>
        <w:t>：</w:t>
      </w:r>
      <w:r>
        <w:rPr>
          <w:rFonts w:hint="eastAsia" w:ascii="宋体" w:hAnsi="宋体" w:cs="宋体"/>
          <w:color w:val="auto"/>
          <w:sz w:val="30"/>
          <w:szCs w:val="30"/>
          <w:u w:val="single"/>
        </w:rPr>
        <w:t xml:space="preserve">                               （加盖鲜章）</w:t>
      </w:r>
    </w:p>
    <w:p w14:paraId="7D11FE4C">
      <w:pPr>
        <w:wordWrap w:val="0"/>
        <w:spacing w:line="360" w:lineRule="auto"/>
        <w:ind w:firstLine="900" w:firstLineChars="300"/>
        <w:rPr>
          <w:rFonts w:ascii="宋体" w:hAnsi="宋体" w:cs="宋体"/>
          <w:color w:val="auto"/>
          <w:sz w:val="30"/>
          <w:szCs w:val="30"/>
        </w:rPr>
      </w:pPr>
      <w:r>
        <w:rPr>
          <w:rFonts w:hint="eastAsia" w:ascii="宋体" w:hAnsi="宋体" w:cs="宋体"/>
          <w:color w:val="auto"/>
          <w:sz w:val="30"/>
          <w:szCs w:val="30"/>
        </w:rPr>
        <w:t>法定代表人或其授权代理人：</w:t>
      </w:r>
      <w:r>
        <w:rPr>
          <w:rFonts w:hint="eastAsia" w:ascii="宋体" w:hAnsi="宋体" w:cs="宋体"/>
          <w:color w:val="auto"/>
          <w:sz w:val="30"/>
          <w:szCs w:val="30"/>
          <w:u w:val="single"/>
        </w:rPr>
        <w:t xml:space="preserve">               （签字或盖章）</w:t>
      </w:r>
    </w:p>
    <w:p w14:paraId="147FD9D8">
      <w:pPr>
        <w:wordWrap w:val="0"/>
        <w:spacing w:line="360" w:lineRule="auto"/>
        <w:ind w:firstLine="900" w:firstLineChars="300"/>
        <w:rPr>
          <w:rFonts w:ascii="宋体" w:hAnsi="宋体" w:cs="宋体"/>
          <w:color w:val="auto"/>
          <w:sz w:val="30"/>
          <w:szCs w:val="30"/>
        </w:rPr>
      </w:pPr>
      <w:r>
        <w:rPr>
          <w:rFonts w:hint="eastAsia" w:ascii="宋体" w:hAnsi="宋体" w:cs="宋体"/>
          <w:color w:val="auto"/>
          <w:sz w:val="30"/>
          <w:szCs w:val="30"/>
        </w:rPr>
        <w:t>日     期：</w:t>
      </w:r>
      <w:r>
        <w:rPr>
          <w:rFonts w:hint="eastAsia" w:ascii="宋体" w:hAnsi="宋体" w:cs="宋体"/>
          <w:color w:val="auto"/>
          <w:sz w:val="30"/>
          <w:szCs w:val="30"/>
          <w:u w:val="single"/>
        </w:rPr>
        <w:t xml:space="preserve">    </w:t>
      </w:r>
      <w:r>
        <w:rPr>
          <w:rFonts w:hint="eastAsia" w:ascii="宋体" w:hAnsi="宋体" w:cs="宋体"/>
          <w:color w:val="auto"/>
          <w:sz w:val="30"/>
          <w:szCs w:val="30"/>
        </w:rPr>
        <w:t>年</w:t>
      </w:r>
      <w:r>
        <w:rPr>
          <w:rFonts w:hint="eastAsia" w:ascii="宋体" w:hAnsi="宋体" w:cs="宋体"/>
          <w:color w:val="auto"/>
          <w:sz w:val="30"/>
          <w:szCs w:val="30"/>
          <w:u w:val="single"/>
        </w:rPr>
        <w:t xml:space="preserve">    </w:t>
      </w:r>
      <w:r>
        <w:rPr>
          <w:rFonts w:hint="eastAsia" w:ascii="宋体" w:hAnsi="宋体" w:cs="宋体"/>
          <w:color w:val="auto"/>
          <w:sz w:val="30"/>
          <w:szCs w:val="30"/>
        </w:rPr>
        <w:t>月</w:t>
      </w:r>
      <w:r>
        <w:rPr>
          <w:rFonts w:hint="eastAsia" w:ascii="宋体" w:hAnsi="宋体" w:cs="宋体"/>
          <w:color w:val="auto"/>
          <w:sz w:val="30"/>
          <w:szCs w:val="30"/>
          <w:u w:val="single"/>
        </w:rPr>
        <w:t xml:space="preserve">    </w:t>
      </w:r>
      <w:r>
        <w:rPr>
          <w:rFonts w:hint="eastAsia" w:ascii="宋体" w:hAnsi="宋体" w:cs="宋体"/>
          <w:color w:val="auto"/>
          <w:sz w:val="30"/>
          <w:szCs w:val="30"/>
        </w:rPr>
        <w:t>日</w:t>
      </w:r>
    </w:p>
    <w:p w14:paraId="0AFAEF58">
      <w:pPr>
        <w:widowControl/>
        <w:jc w:val="left"/>
        <w:rPr>
          <w:rFonts w:ascii="宋体" w:hAnsi="宋体" w:cs="宋体"/>
          <w:color w:val="auto"/>
          <w:sz w:val="30"/>
          <w:szCs w:val="30"/>
        </w:rPr>
      </w:pPr>
      <w:r>
        <w:rPr>
          <w:rFonts w:hint="eastAsia" w:ascii="宋体" w:hAnsi="宋体" w:cs="宋体"/>
          <w:color w:val="auto"/>
          <w:sz w:val="30"/>
          <w:szCs w:val="30"/>
        </w:rPr>
        <w:br w:type="page"/>
      </w:r>
    </w:p>
    <w:p w14:paraId="55D7E78C">
      <w:pPr>
        <w:pStyle w:val="43"/>
        <w:ind w:firstLine="560"/>
        <w:rPr>
          <w:color w:val="auto"/>
        </w:rPr>
      </w:pPr>
    </w:p>
    <w:p w14:paraId="44C3AD60">
      <w:pPr>
        <w:jc w:val="center"/>
        <w:rPr>
          <w:color w:val="auto"/>
          <w:sz w:val="40"/>
          <w:szCs w:val="36"/>
        </w:rPr>
      </w:pPr>
      <w:bookmarkStart w:id="1135" w:name="_Toc12267"/>
      <w:bookmarkStart w:id="1136" w:name="_Toc11237"/>
      <w:bookmarkStart w:id="1137" w:name="_Toc23399"/>
      <w:bookmarkStart w:id="1138" w:name="_Toc19734"/>
      <w:bookmarkStart w:id="1139" w:name="_Toc11838"/>
      <w:bookmarkStart w:id="1140" w:name="_Toc20867"/>
      <w:r>
        <w:rPr>
          <w:rFonts w:hint="eastAsia"/>
          <w:color w:val="auto"/>
          <w:sz w:val="40"/>
          <w:szCs w:val="36"/>
        </w:rPr>
        <w:t>目录</w:t>
      </w:r>
      <w:bookmarkEnd w:id="1135"/>
      <w:bookmarkEnd w:id="1136"/>
      <w:bookmarkEnd w:id="1137"/>
      <w:bookmarkEnd w:id="1138"/>
      <w:bookmarkEnd w:id="1139"/>
      <w:bookmarkEnd w:id="1140"/>
    </w:p>
    <w:p w14:paraId="0A15B613">
      <w:pPr>
        <w:rPr>
          <w:color w:val="auto"/>
          <w:sz w:val="32"/>
          <w:szCs w:val="28"/>
        </w:rPr>
      </w:pPr>
      <w:r>
        <w:rPr>
          <w:rFonts w:hint="eastAsia"/>
          <w:color w:val="auto"/>
          <w:sz w:val="32"/>
          <w:szCs w:val="28"/>
        </w:rPr>
        <w:t>一、开 标（唱 标）一 览 表</w:t>
      </w:r>
    </w:p>
    <w:p w14:paraId="1094CB4E">
      <w:pPr>
        <w:rPr>
          <w:color w:val="auto"/>
          <w:sz w:val="32"/>
          <w:szCs w:val="28"/>
        </w:rPr>
      </w:pPr>
      <w:r>
        <w:rPr>
          <w:rFonts w:hint="eastAsia"/>
          <w:color w:val="auto"/>
          <w:sz w:val="32"/>
          <w:szCs w:val="28"/>
        </w:rPr>
        <w:t>二、投  标  函</w:t>
      </w:r>
    </w:p>
    <w:p w14:paraId="6764CB56">
      <w:pPr>
        <w:rPr>
          <w:color w:val="auto"/>
          <w:sz w:val="32"/>
          <w:szCs w:val="28"/>
        </w:rPr>
      </w:pPr>
      <w:r>
        <w:rPr>
          <w:rFonts w:hint="eastAsia"/>
          <w:color w:val="auto"/>
          <w:sz w:val="32"/>
          <w:szCs w:val="28"/>
        </w:rPr>
        <w:t>三、法定代表人身份证明书</w:t>
      </w:r>
    </w:p>
    <w:p w14:paraId="57F27D1F">
      <w:pPr>
        <w:rPr>
          <w:color w:val="auto"/>
          <w:sz w:val="32"/>
          <w:szCs w:val="28"/>
        </w:rPr>
      </w:pPr>
      <w:r>
        <w:rPr>
          <w:rFonts w:hint="eastAsia"/>
          <w:color w:val="auto"/>
          <w:sz w:val="32"/>
          <w:szCs w:val="28"/>
        </w:rPr>
        <w:t>四、授权委托书</w:t>
      </w:r>
    </w:p>
    <w:p w14:paraId="1E579D34">
      <w:pPr>
        <w:rPr>
          <w:color w:val="auto"/>
          <w:sz w:val="32"/>
          <w:szCs w:val="28"/>
        </w:rPr>
      </w:pPr>
      <w:r>
        <w:rPr>
          <w:rFonts w:hint="eastAsia"/>
          <w:color w:val="auto"/>
          <w:sz w:val="32"/>
          <w:szCs w:val="28"/>
        </w:rPr>
        <w:t>五、投标文件资格审查部分格式</w:t>
      </w:r>
    </w:p>
    <w:p w14:paraId="5A6460D5">
      <w:pPr>
        <w:rPr>
          <w:color w:val="auto"/>
          <w:sz w:val="32"/>
          <w:szCs w:val="28"/>
        </w:rPr>
      </w:pPr>
      <w:r>
        <w:rPr>
          <w:rFonts w:hint="eastAsia"/>
          <w:color w:val="auto"/>
          <w:sz w:val="32"/>
          <w:szCs w:val="28"/>
        </w:rPr>
        <w:t>（1）磋商申请人基本情况表</w:t>
      </w:r>
    </w:p>
    <w:p w14:paraId="697C6789">
      <w:pPr>
        <w:rPr>
          <w:color w:val="auto"/>
          <w:sz w:val="32"/>
          <w:szCs w:val="28"/>
        </w:rPr>
      </w:pPr>
      <w:r>
        <w:rPr>
          <w:rFonts w:hint="eastAsia"/>
          <w:color w:val="auto"/>
          <w:sz w:val="32"/>
          <w:szCs w:val="28"/>
        </w:rPr>
        <w:t>（2）社保、纳税、财务状况</w:t>
      </w:r>
    </w:p>
    <w:p w14:paraId="6B1F44B7">
      <w:pPr>
        <w:rPr>
          <w:color w:val="auto"/>
          <w:sz w:val="32"/>
          <w:szCs w:val="28"/>
        </w:rPr>
      </w:pPr>
      <w:r>
        <w:rPr>
          <w:rFonts w:hint="eastAsia"/>
          <w:color w:val="auto"/>
          <w:sz w:val="32"/>
          <w:szCs w:val="28"/>
        </w:rPr>
        <w:t>（3）参加政府采购活动前三年内在经营活动中没有重大违法记录的声明</w:t>
      </w:r>
    </w:p>
    <w:p w14:paraId="37036551">
      <w:pPr>
        <w:rPr>
          <w:color w:val="auto"/>
          <w:sz w:val="32"/>
          <w:szCs w:val="28"/>
        </w:rPr>
      </w:pPr>
      <w:r>
        <w:rPr>
          <w:rFonts w:hint="eastAsia"/>
          <w:color w:val="auto"/>
          <w:sz w:val="32"/>
          <w:szCs w:val="28"/>
        </w:rPr>
        <w:t>（4）中小企业声明函</w:t>
      </w:r>
    </w:p>
    <w:p w14:paraId="4FF990CC">
      <w:pPr>
        <w:rPr>
          <w:color w:val="auto"/>
          <w:sz w:val="32"/>
          <w:szCs w:val="28"/>
        </w:rPr>
      </w:pPr>
      <w:r>
        <w:rPr>
          <w:rFonts w:hint="eastAsia"/>
          <w:color w:val="auto"/>
          <w:sz w:val="32"/>
          <w:szCs w:val="28"/>
        </w:rPr>
        <w:t>（5）残疾人福利性单位声明函</w:t>
      </w:r>
    </w:p>
    <w:p w14:paraId="089C9670">
      <w:pPr>
        <w:rPr>
          <w:color w:val="auto"/>
          <w:sz w:val="32"/>
          <w:szCs w:val="28"/>
        </w:rPr>
      </w:pPr>
      <w:r>
        <w:rPr>
          <w:rFonts w:hint="eastAsia"/>
          <w:color w:val="auto"/>
          <w:sz w:val="32"/>
          <w:szCs w:val="28"/>
        </w:rPr>
        <w:t>（6）其他材料</w:t>
      </w:r>
    </w:p>
    <w:p w14:paraId="6F74105F">
      <w:pPr>
        <w:rPr>
          <w:color w:val="auto"/>
          <w:sz w:val="32"/>
          <w:szCs w:val="28"/>
        </w:rPr>
      </w:pPr>
      <w:r>
        <w:rPr>
          <w:rFonts w:hint="eastAsia"/>
          <w:color w:val="auto"/>
          <w:sz w:val="32"/>
          <w:szCs w:val="28"/>
        </w:rPr>
        <w:t>六、服务方案</w:t>
      </w:r>
    </w:p>
    <w:p w14:paraId="5BAB74A3">
      <w:pPr>
        <w:rPr>
          <w:color w:val="auto"/>
          <w:sz w:val="32"/>
          <w:szCs w:val="28"/>
        </w:rPr>
      </w:pPr>
      <w:r>
        <w:rPr>
          <w:rFonts w:hint="eastAsia"/>
          <w:color w:val="auto"/>
          <w:sz w:val="32"/>
          <w:szCs w:val="28"/>
        </w:rPr>
        <w:t>七、人员配置</w:t>
      </w:r>
    </w:p>
    <w:p w14:paraId="4222938E">
      <w:pPr>
        <w:rPr>
          <w:color w:val="auto"/>
          <w:sz w:val="32"/>
          <w:szCs w:val="28"/>
        </w:rPr>
      </w:pPr>
      <w:r>
        <w:rPr>
          <w:rFonts w:hint="eastAsia"/>
          <w:color w:val="auto"/>
          <w:sz w:val="32"/>
          <w:szCs w:val="28"/>
        </w:rPr>
        <w:t>八、设备工具配置</w:t>
      </w:r>
    </w:p>
    <w:p w14:paraId="3FAF8F8A">
      <w:pPr>
        <w:rPr>
          <w:color w:val="auto"/>
          <w:sz w:val="32"/>
          <w:szCs w:val="28"/>
        </w:rPr>
      </w:pPr>
      <w:r>
        <w:rPr>
          <w:rFonts w:hint="eastAsia"/>
          <w:color w:val="auto"/>
          <w:sz w:val="32"/>
          <w:szCs w:val="28"/>
        </w:rPr>
        <w:t>九、服务承诺</w:t>
      </w:r>
    </w:p>
    <w:p w14:paraId="5506C74B">
      <w:pPr>
        <w:rPr>
          <w:color w:val="auto"/>
          <w:sz w:val="32"/>
          <w:szCs w:val="28"/>
        </w:rPr>
      </w:pPr>
      <w:r>
        <w:rPr>
          <w:rFonts w:hint="eastAsia"/>
          <w:color w:val="auto"/>
          <w:sz w:val="32"/>
          <w:szCs w:val="28"/>
        </w:rPr>
        <w:t>十、规章管理制度</w:t>
      </w:r>
    </w:p>
    <w:p w14:paraId="5268D29E">
      <w:pPr>
        <w:rPr>
          <w:color w:val="auto"/>
          <w:sz w:val="32"/>
          <w:szCs w:val="28"/>
        </w:rPr>
      </w:pPr>
      <w:r>
        <w:rPr>
          <w:rFonts w:hint="eastAsia"/>
          <w:color w:val="auto"/>
          <w:sz w:val="32"/>
          <w:szCs w:val="28"/>
        </w:rPr>
        <w:t>十一、企业综合实力</w:t>
      </w:r>
    </w:p>
    <w:p w14:paraId="7A4488BC">
      <w:pPr>
        <w:rPr>
          <w:color w:val="auto"/>
          <w:sz w:val="32"/>
          <w:szCs w:val="28"/>
        </w:rPr>
      </w:pPr>
      <w:r>
        <w:rPr>
          <w:rFonts w:hint="eastAsia"/>
          <w:color w:val="auto"/>
          <w:sz w:val="32"/>
          <w:szCs w:val="28"/>
        </w:rPr>
        <w:t>十二、磋商申请人认为须提供的其他证明材料（格式自拟）</w:t>
      </w:r>
    </w:p>
    <w:p w14:paraId="28E8AE9D">
      <w:pPr>
        <w:pStyle w:val="2"/>
        <w:rPr>
          <w:color w:val="auto"/>
        </w:rPr>
      </w:pPr>
    </w:p>
    <w:p w14:paraId="7958987E">
      <w:pPr>
        <w:spacing w:line="360" w:lineRule="auto"/>
        <w:ind w:firstLine="482" w:firstLineChars="200"/>
        <w:rPr>
          <w:rFonts w:ascii="宋体" w:hAnsi="宋体" w:cs="宋体"/>
          <w:b/>
          <w:bCs/>
          <w:color w:val="auto"/>
          <w:sz w:val="24"/>
          <w:szCs w:val="24"/>
        </w:rPr>
      </w:pPr>
    </w:p>
    <w:p w14:paraId="6BE5072A">
      <w:pPr>
        <w:spacing w:line="360" w:lineRule="auto"/>
        <w:ind w:firstLine="482" w:firstLineChars="200"/>
        <w:rPr>
          <w:rFonts w:ascii="宋体" w:hAnsi="宋体" w:cs="宋体"/>
          <w:b/>
          <w:bCs/>
          <w:color w:val="auto"/>
          <w:sz w:val="24"/>
          <w:szCs w:val="24"/>
        </w:rPr>
      </w:pPr>
    </w:p>
    <w:p w14:paraId="07687038">
      <w:pPr>
        <w:spacing w:line="360" w:lineRule="auto"/>
        <w:ind w:firstLine="643" w:firstLineChars="200"/>
        <w:rPr>
          <w:rFonts w:ascii="宋体" w:hAnsi="宋体" w:cs="宋体"/>
          <w:b/>
          <w:bCs/>
          <w:color w:val="auto"/>
          <w:sz w:val="32"/>
          <w:szCs w:val="32"/>
        </w:rPr>
      </w:pPr>
      <w:r>
        <w:rPr>
          <w:rFonts w:hint="eastAsia" w:ascii="宋体" w:hAnsi="宋体" w:cs="宋体"/>
          <w:b/>
          <w:bCs/>
          <w:color w:val="auto"/>
          <w:sz w:val="32"/>
          <w:szCs w:val="32"/>
        </w:rPr>
        <w:t>注：响应文件内容须按照以上目录顺序进行编制，并每页连续标注页码。</w:t>
      </w:r>
    </w:p>
    <w:p w14:paraId="542E4FDA">
      <w:pPr>
        <w:autoSpaceDE w:val="0"/>
        <w:autoSpaceDN w:val="0"/>
        <w:adjustRightInd w:val="0"/>
        <w:spacing w:line="360" w:lineRule="auto"/>
        <w:jc w:val="center"/>
        <w:outlineLvl w:val="0"/>
        <w:rPr>
          <w:rFonts w:ascii="宋体" w:hAnsi="宋体" w:cs="宋体"/>
          <w:b/>
          <w:bCs/>
          <w:color w:val="auto"/>
          <w:kern w:val="0"/>
          <w:sz w:val="36"/>
          <w:szCs w:val="36"/>
        </w:rPr>
      </w:pPr>
      <w:bookmarkStart w:id="1141" w:name="_Toc12004"/>
    </w:p>
    <w:p w14:paraId="1C7F1F10">
      <w:pPr>
        <w:pStyle w:val="4"/>
        <w:rPr>
          <w:rFonts w:ascii="宋体" w:hAnsi="宋体" w:cs="宋体"/>
          <w:bCs/>
          <w:color w:val="auto"/>
          <w:kern w:val="0"/>
          <w:sz w:val="36"/>
          <w:szCs w:val="36"/>
        </w:rPr>
      </w:pPr>
    </w:p>
    <w:p w14:paraId="24D917E1">
      <w:pPr>
        <w:rPr>
          <w:rFonts w:ascii="宋体" w:hAnsi="宋体" w:cs="宋体"/>
          <w:b/>
          <w:bCs/>
          <w:color w:val="auto"/>
          <w:kern w:val="0"/>
          <w:sz w:val="36"/>
          <w:szCs w:val="36"/>
        </w:rPr>
      </w:pPr>
    </w:p>
    <w:bookmarkEnd w:id="1141"/>
    <w:p w14:paraId="4B692F5F">
      <w:pPr>
        <w:autoSpaceDE w:val="0"/>
        <w:autoSpaceDN w:val="0"/>
        <w:adjustRightInd w:val="0"/>
        <w:spacing w:line="360" w:lineRule="auto"/>
        <w:jc w:val="center"/>
        <w:outlineLvl w:val="0"/>
        <w:rPr>
          <w:rFonts w:ascii="宋体" w:hAnsi="宋体" w:cs="宋体"/>
          <w:b/>
          <w:bCs/>
          <w:color w:val="auto"/>
          <w:kern w:val="0"/>
          <w:sz w:val="28"/>
          <w:szCs w:val="28"/>
        </w:rPr>
      </w:pPr>
      <w:bookmarkStart w:id="1142" w:name="_Toc491"/>
      <w:bookmarkStart w:id="1143" w:name="_Toc26377"/>
      <w:bookmarkStart w:id="1144" w:name="_Toc356328061"/>
      <w:bookmarkStart w:id="1145" w:name="_Toc452023700"/>
      <w:bookmarkStart w:id="1146" w:name="_Toc452024099"/>
      <w:bookmarkStart w:id="1147" w:name="_Toc28740"/>
    </w:p>
    <w:p w14:paraId="33F03455">
      <w:pPr>
        <w:autoSpaceDE w:val="0"/>
        <w:autoSpaceDN w:val="0"/>
        <w:adjustRightInd w:val="0"/>
        <w:spacing w:line="360" w:lineRule="auto"/>
        <w:jc w:val="center"/>
        <w:outlineLvl w:val="0"/>
        <w:rPr>
          <w:rFonts w:ascii="宋体" w:hAnsi="宋体" w:cs="宋体"/>
          <w:b/>
          <w:bCs/>
          <w:color w:val="auto"/>
          <w:kern w:val="0"/>
          <w:sz w:val="28"/>
          <w:szCs w:val="28"/>
        </w:rPr>
      </w:pPr>
      <w:r>
        <w:rPr>
          <w:rFonts w:hint="eastAsia" w:ascii="宋体" w:hAnsi="宋体" w:cs="宋体"/>
          <w:b/>
          <w:bCs/>
          <w:color w:val="auto"/>
          <w:kern w:val="0"/>
          <w:sz w:val="28"/>
          <w:szCs w:val="28"/>
        </w:rPr>
        <w:t>一、开 标（唱 标）一 览 表</w:t>
      </w:r>
      <w:bookmarkEnd w:id="1142"/>
      <w:bookmarkEnd w:id="1143"/>
    </w:p>
    <w:p w14:paraId="4F83A371">
      <w:pPr>
        <w:pStyle w:val="43"/>
        <w:ind w:firstLine="0" w:firstLineChars="0"/>
        <w:rPr>
          <w:rFonts w:ascii="宋体" w:hAnsi="宋体" w:cs="宋体"/>
          <w:color w:val="auto"/>
        </w:rPr>
      </w:pPr>
    </w:p>
    <w:tbl>
      <w:tblPr>
        <w:tblStyle w:val="44"/>
        <w:tblW w:w="91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02"/>
        <w:gridCol w:w="6660"/>
      </w:tblGrid>
      <w:tr w14:paraId="6FB4A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2502" w:type="dxa"/>
            <w:vAlign w:val="center"/>
          </w:tcPr>
          <w:p w14:paraId="74382963">
            <w:pPr>
              <w:jc w:val="center"/>
              <w:rPr>
                <w:rFonts w:ascii="宋体" w:hAnsi="宋体" w:cs="宋体"/>
                <w:color w:val="auto"/>
                <w:sz w:val="24"/>
                <w:szCs w:val="24"/>
              </w:rPr>
            </w:pPr>
            <w:r>
              <w:rPr>
                <w:rFonts w:hint="eastAsia" w:ascii="宋体" w:hAnsi="宋体" w:cs="宋体"/>
                <w:color w:val="auto"/>
                <w:sz w:val="24"/>
                <w:szCs w:val="24"/>
              </w:rPr>
              <w:t>磋商申请人名称</w:t>
            </w:r>
          </w:p>
        </w:tc>
        <w:tc>
          <w:tcPr>
            <w:tcW w:w="6660" w:type="dxa"/>
            <w:vAlign w:val="center"/>
          </w:tcPr>
          <w:p w14:paraId="644E93B4">
            <w:pPr>
              <w:jc w:val="center"/>
              <w:rPr>
                <w:rFonts w:ascii="宋体" w:hAnsi="宋体" w:cs="宋体"/>
                <w:color w:val="auto"/>
                <w:sz w:val="24"/>
                <w:szCs w:val="24"/>
              </w:rPr>
            </w:pPr>
          </w:p>
          <w:p w14:paraId="51E7FBAD">
            <w:pPr>
              <w:jc w:val="center"/>
              <w:rPr>
                <w:rFonts w:ascii="宋体" w:hAnsi="宋体" w:cs="宋体"/>
                <w:color w:val="auto"/>
                <w:sz w:val="24"/>
                <w:szCs w:val="24"/>
              </w:rPr>
            </w:pPr>
          </w:p>
          <w:p w14:paraId="2077250D">
            <w:pPr>
              <w:jc w:val="center"/>
              <w:rPr>
                <w:rFonts w:ascii="宋体" w:hAnsi="宋体" w:cs="宋体"/>
                <w:color w:val="auto"/>
                <w:sz w:val="24"/>
                <w:szCs w:val="24"/>
              </w:rPr>
            </w:pPr>
          </w:p>
        </w:tc>
      </w:tr>
      <w:tr w14:paraId="1E1800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7" w:hRule="atLeast"/>
          <w:jc w:val="center"/>
        </w:trPr>
        <w:tc>
          <w:tcPr>
            <w:tcW w:w="2502" w:type="dxa"/>
            <w:vMerge w:val="restart"/>
            <w:vAlign w:val="center"/>
          </w:tcPr>
          <w:p w14:paraId="2094D131">
            <w:pPr>
              <w:jc w:val="center"/>
              <w:rPr>
                <w:rFonts w:ascii="宋体" w:hAnsi="宋体" w:cs="宋体"/>
                <w:color w:val="auto"/>
                <w:sz w:val="24"/>
                <w:szCs w:val="24"/>
              </w:rPr>
            </w:pPr>
            <w:r>
              <w:rPr>
                <w:rFonts w:hint="eastAsia" w:ascii="宋体" w:hAnsi="宋体" w:cs="宋体"/>
                <w:color w:val="auto"/>
                <w:sz w:val="24"/>
                <w:szCs w:val="24"/>
              </w:rPr>
              <w:t>投标总报价（元）</w:t>
            </w:r>
          </w:p>
        </w:tc>
        <w:tc>
          <w:tcPr>
            <w:tcW w:w="6660" w:type="dxa"/>
          </w:tcPr>
          <w:p w14:paraId="708BF47F">
            <w:pPr>
              <w:spacing w:line="500" w:lineRule="exact"/>
              <w:rPr>
                <w:rFonts w:ascii="宋体" w:hAnsi="宋体" w:cs="宋体"/>
                <w:color w:val="auto"/>
                <w:sz w:val="24"/>
                <w:szCs w:val="24"/>
                <w:u w:val="single"/>
              </w:rPr>
            </w:pPr>
            <w:r>
              <w:rPr>
                <w:rFonts w:hint="eastAsia" w:ascii="宋体" w:hAnsi="宋体" w:cs="宋体"/>
                <w:color w:val="auto"/>
                <w:sz w:val="24"/>
                <w:szCs w:val="24"/>
              </w:rPr>
              <w:t>人民币（大写）：</w:t>
            </w:r>
          </w:p>
        </w:tc>
      </w:tr>
      <w:tr w14:paraId="304A3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7" w:hRule="atLeast"/>
          <w:jc w:val="center"/>
        </w:trPr>
        <w:tc>
          <w:tcPr>
            <w:tcW w:w="2502" w:type="dxa"/>
            <w:vMerge w:val="continue"/>
            <w:vAlign w:val="center"/>
          </w:tcPr>
          <w:p w14:paraId="5135C250">
            <w:pPr>
              <w:jc w:val="center"/>
              <w:rPr>
                <w:rFonts w:ascii="宋体" w:hAnsi="宋体" w:cs="宋体"/>
                <w:color w:val="auto"/>
                <w:sz w:val="24"/>
                <w:szCs w:val="24"/>
              </w:rPr>
            </w:pPr>
          </w:p>
        </w:tc>
        <w:tc>
          <w:tcPr>
            <w:tcW w:w="6660" w:type="dxa"/>
          </w:tcPr>
          <w:p w14:paraId="5A1201B0">
            <w:pPr>
              <w:rPr>
                <w:rFonts w:ascii="宋体" w:hAnsi="宋体" w:cs="宋体"/>
                <w:color w:val="auto"/>
                <w:sz w:val="24"/>
                <w:szCs w:val="24"/>
              </w:rPr>
            </w:pPr>
          </w:p>
          <w:p w14:paraId="3FF5F55A">
            <w:pPr>
              <w:rPr>
                <w:rFonts w:ascii="宋体" w:hAnsi="宋体" w:cs="宋体"/>
                <w:color w:val="auto"/>
                <w:sz w:val="24"/>
                <w:szCs w:val="24"/>
                <w:u w:val="single"/>
              </w:rPr>
            </w:pPr>
            <w:r>
              <w:rPr>
                <w:rFonts w:hint="eastAsia" w:ascii="宋体" w:hAnsi="宋体" w:cs="宋体"/>
                <w:color w:val="auto"/>
                <w:sz w:val="24"/>
                <w:szCs w:val="24"/>
              </w:rPr>
              <w:t xml:space="preserve">人民币（小写）：              </w:t>
            </w:r>
          </w:p>
        </w:tc>
      </w:tr>
      <w:tr w14:paraId="151503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5" w:hRule="atLeast"/>
          <w:jc w:val="center"/>
        </w:trPr>
        <w:tc>
          <w:tcPr>
            <w:tcW w:w="2502" w:type="dxa"/>
            <w:vAlign w:val="center"/>
          </w:tcPr>
          <w:p w14:paraId="6A385222">
            <w:pPr>
              <w:jc w:val="center"/>
              <w:rPr>
                <w:rFonts w:ascii="宋体" w:hAnsi="宋体" w:cs="宋体"/>
                <w:color w:val="auto"/>
                <w:sz w:val="24"/>
                <w:szCs w:val="24"/>
              </w:rPr>
            </w:pPr>
            <w:r>
              <w:rPr>
                <w:rFonts w:hint="eastAsia" w:ascii="宋体" w:hAnsi="宋体" w:cs="宋体"/>
                <w:color w:val="auto"/>
                <w:sz w:val="24"/>
                <w:szCs w:val="24"/>
              </w:rPr>
              <w:t>服务期限</w:t>
            </w:r>
          </w:p>
        </w:tc>
        <w:tc>
          <w:tcPr>
            <w:tcW w:w="6660" w:type="dxa"/>
            <w:vAlign w:val="center"/>
          </w:tcPr>
          <w:p w14:paraId="62C755DC">
            <w:pPr>
              <w:rPr>
                <w:rFonts w:ascii="宋体" w:hAnsi="宋体" w:cs="宋体"/>
                <w:color w:val="auto"/>
                <w:sz w:val="24"/>
                <w:szCs w:val="24"/>
              </w:rPr>
            </w:pPr>
          </w:p>
        </w:tc>
      </w:tr>
      <w:tr w14:paraId="6B1657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1" w:hRule="atLeast"/>
          <w:jc w:val="center"/>
        </w:trPr>
        <w:tc>
          <w:tcPr>
            <w:tcW w:w="2502" w:type="dxa"/>
            <w:vAlign w:val="center"/>
          </w:tcPr>
          <w:p w14:paraId="05317860">
            <w:pPr>
              <w:jc w:val="center"/>
              <w:rPr>
                <w:rFonts w:ascii="宋体" w:hAnsi="宋体" w:cs="宋体"/>
                <w:color w:val="auto"/>
                <w:sz w:val="24"/>
                <w:szCs w:val="24"/>
              </w:rPr>
            </w:pPr>
            <w:r>
              <w:rPr>
                <w:rFonts w:hint="eastAsia" w:ascii="宋体" w:hAnsi="宋体" w:cs="宋体"/>
                <w:color w:val="auto"/>
                <w:sz w:val="24"/>
                <w:szCs w:val="24"/>
              </w:rPr>
              <w:t>服务承诺</w:t>
            </w:r>
          </w:p>
        </w:tc>
        <w:tc>
          <w:tcPr>
            <w:tcW w:w="6660" w:type="dxa"/>
            <w:vAlign w:val="center"/>
          </w:tcPr>
          <w:p w14:paraId="631630A7">
            <w:pPr>
              <w:rPr>
                <w:rFonts w:ascii="宋体" w:hAnsi="宋体" w:cs="宋体"/>
                <w:color w:val="auto"/>
                <w:sz w:val="24"/>
                <w:szCs w:val="24"/>
              </w:rPr>
            </w:pPr>
          </w:p>
        </w:tc>
      </w:tr>
      <w:tr w14:paraId="08451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86" w:hRule="atLeast"/>
          <w:jc w:val="center"/>
        </w:trPr>
        <w:tc>
          <w:tcPr>
            <w:tcW w:w="2502" w:type="dxa"/>
            <w:tcBorders>
              <w:bottom w:val="single" w:color="auto" w:sz="12" w:space="0"/>
            </w:tcBorders>
            <w:vAlign w:val="center"/>
          </w:tcPr>
          <w:p w14:paraId="33D4F29A">
            <w:pPr>
              <w:jc w:val="center"/>
              <w:rPr>
                <w:rFonts w:ascii="宋体" w:hAnsi="宋体" w:cs="宋体"/>
                <w:color w:val="auto"/>
                <w:sz w:val="24"/>
                <w:szCs w:val="24"/>
              </w:rPr>
            </w:pPr>
            <w:r>
              <w:rPr>
                <w:rFonts w:hint="eastAsia" w:ascii="宋体" w:hAnsi="宋体" w:cs="宋体"/>
                <w:color w:val="auto"/>
                <w:sz w:val="24"/>
                <w:szCs w:val="24"/>
              </w:rPr>
              <w:t>其他说明</w:t>
            </w:r>
          </w:p>
        </w:tc>
        <w:tc>
          <w:tcPr>
            <w:tcW w:w="6660" w:type="dxa"/>
            <w:tcBorders>
              <w:bottom w:val="single" w:color="auto" w:sz="12" w:space="0"/>
            </w:tcBorders>
            <w:vAlign w:val="center"/>
          </w:tcPr>
          <w:p w14:paraId="18B5B173">
            <w:pPr>
              <w:jc w:val="center"/>
              <w:rPr>
                <w:rFonts w:ascii="宋体" w:hAnsi="宋体" w:cs="宋体"/>
                <w:color w:val="auto"/>
                <w:sz w:val="24"/>
                <w:szCs w:val="24"/>
              </w:rPr>
            </w:pPr>
          </w:p>
        </w:tc>
      </w:tr>
    </w:tbl>
    <w:p w14:paraId="6F0A8493">
      <w:pPr>
        <w:spacing w:line="360" w:lineRule="auto"/>
        <w:rPr>
          <w:rFonts w:ascii="宋体" w:hAnsi="宋体" w:cs="宋体"/>
          <w:b/>
          <w:bCs/>
          <w:color w:val="auto"/>
          <w:sz w:val="24"/>
          <w:szCs w:val="24"/>
        </w:rPr>
      </w:pPr>
    </w:p>
    <w:p w14:paraId="5B1BFCAE">
      <w:pPr>
        <w:spacing w:line="360" w:lineRule="auto"/>
        <w:rPr>
          <w:rFonts w:ascii="宋体" w:hAnsi="宋体" w:cs="宋体"/>
          <w:color w:val="auto"/>
          <w:sz w:val="24"/>
          <w:szCs w:val="24"/>
        </w:rPr>
      </w:pPr>
      <w:r>
        <w:rPr>
          <w:rFonts w:hint="eastAsia" w:ascii="宋体" w:hAnsi="宋体" w:cs="宋体"/>
          <w:b/>
          <w:bCs/>
          <w:color w:val="auto"/>
          <w:sz w:val="24"/>
          <w:szCs w:val="24"/>
        </w:rPr>
        <w:t>备注：</w:t>
      </w:r>
      <w:r>
        <w:rPr>
          <w:rFonts w:hint="eastAsia" w:ascii="宋体" w:hAnsi="宋体" w:cs="宋体"/>
          <w:color w:val="auto"/>
          <w:sz w:val="24"/>
          <w:szCs w:val="24"/>
        </w:rPr>
        <w:t xml:space="preserve"> </w:t>
      </w:r>
    </w:p>
    <w:p w14:paraId="08FF0A82">
      <w:pPr>
        <w:spacing w:line="360" w:lineRule="auto"/>
        <w:rPr>
          <w:rFonts w:ascii="宋体" w:hAnsi="宋体" w:cs="宋体"/>
          <w:color w:val="auto"/>
          <w:sz w:val="24"/>
          <w:szCs w:val="24"/>
        </w:rPr>
      </w:pPr>
      <w:r>
        <w:rPr>
          <w:rFonts w:hint="eastAsia" w:ascii="宋体" w:hAnsi="宋体" w:cs="宋体"/>
          <w:color w:val="auto"/>
          <w:sz w:val="24"/>
          <w:szCs w:val="24"/>
        </w:rPr>
        <w:t>1、此表应装订在投标文件的首页；</w:t>
      </w:r>
    </w:p>
    <w:p w14:paraId="425682CB">
      <w:pPr>
        <w:spacing w:line="360" w:lineRule="auto"/>
        <w:rPr>
          <w:rFonts w:ascii="宋体" w:hAnsi="宋体" w:cs="宋体"/>
          <w:color w:val="auto"/>
          <w:sz w:val="24"/>
          <w:szCs w:val="24"/>
        </w:rPr>
      </w:pPr>
      <w:r>
        <w:rPr>
          <w:rFonts w:hint="eastAsia" w:ascii="宋体" w:hAnsi="宋体" w:cs="宋体"/>
          <w:color w:val="auto"/>
          <w:sz w:val="24"/>
          <w:szCs w:val="24"/>
        </w:rPr>
        <w:t>2、投标报价四舍五入，保留两位小数；</w:t>
      </w:r>
    </w:p>
    <w:p w14:paraId="6C46D575">
      <w:pPr>
        <w:pStyle w:val="43"/>
        <w:ind w:firstLine="480"/>
        <w:rPr>
          <w:rFonts w:ascii="宋体" w:hAnsi="宋体" w:cs="宋体"/>
          <w:color w:val="auto"/>
          <w:sz w:val="24"/>
          <w:szCs w:val="24"/>
        </w:rPr>
      </w:pPr>
    </w:p>
    <w:p w14:paraId="68757E1E">
      <w:pPr>
        <w:pStyle w:val="42"/>
        <w:ind w:firstLine="240"/>
        <w:rPr>
          <w:rFonts w:ascii="宋体" w:hAnsi="宋体" w:cs="宋体"/>
          <w:color w:val="auto"/>
          <w:sz w:val="24"/>
          <w:szCs w:val="24"/>
        </w:rPr>
      </w:pPr>
    </w:p>
    <w:p w14:paraId="67A0E99F">
      <w:pPr>
        <w:spacing w:line="360" w:lineRule="auto"/>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（盖单位章）     </w:t>
      </w:r>
    </w:p>
    <w:p w14:paraId="707B197B">
      <w:pPr>
        <w:spacing w:line="360" w:lineRule="auto"/>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（签字或盖章）  </w:t>
      </w:r>
    </w:p>
    <w:p w14:paraId="28119092">
      <w:pPr>
        <w:spacing w:line="360" w:lineRule="auto"/>
        <w:rPr>
          <w:rFonts w:ascii="宋体" w:hAnsi="宋体" w:cs="宋体"/>
          <w:b/>
          <w:bCs/>
          <w:color w:val="auto"/>
          <w:sz w:val="24"/>
          <w:szCs w:val="24"/>
        </w:rPr>
      </w:pPr>
      <w:r>
        <w:rPr>
          <w:rFonts w:hint="eastAsia" w:ascii="宋体" w:hAnsi="宋体" w:cs="宋体"/>
          <w:color w:val="auto"/>
          <w:sz w:val="24"/>
          <w:szCs w:val="24"/>
        </w:rPr>
        <w:t>日  期：</w:t>
      </w:r>
    </w:p>
    <w:p w14:paraId="793E5319">
      <w:pPr>
        <w:rPr>
          <w:color w:val="auto"/>
        </w:rPr>
      </w:pPr>
    </w:p>
    <w:p w14:paraId="3EF5FBF2">
      <w:pPr>
        <w:pStyle w:val="2"/>
        <w:rPr>
          <w:color w:val="auto"/>
        </w:rPr>
      </w:pPr>
    </w:p>
    <w:p w14:paraId="45A4B291">
      <w:pPr>
        <w:pStyle w:val="2"/>
        <w:ind w:firstLine="0" w:firstLineChars="0"/>
        <w:rPr>
          <w:color w:val="auto"/>
        </w:rPr>
      </w:pPr>
    </w:p>
    <w:p w14:paraId="0AC93E57">
      <w:pPr>
        <w:pStyle w:val="2"/>
        <w:rPr>
          <w:color w:val="auto"/>
        </w:rPr>
      </w:pPr>
    </w:p>
    <w:p w14:paraId="790BE8C9">
      <w:pPr>
        <w:rPr>
          <w:color w:val="auto"/>
        </w:rPr>
      </w:pPr>
    </w:p>
    <w:p w14:paraId="47B7058B">
      <w:pPr>
        <w:autoSpaceDE w:val="0"/>
        <w:autoSpaceDN w:val="0"/>
        <w:adjustRightInd w:val="0"/>
        <w:spacing w:line="360" w:lineRule="auto"/>
        <w:jc w:val="center"/>
        <w:outlineLvl w:val="0"/>
        <w:rPr>
          <w:rFonts w:asciiTheme="minorEastAsia" w:hAnsiTheme="minorEastAsia" w:eastAsiaTheme="minorEastAsia" w:cstheme="minorEastAsia"/>
          <w:b/>
          <w:bCs/>
          <w:color w:val="auto"/>
          <w:kern w:val="0"/>
          <w:sz w:val="24"/>
          <w:szCs w:val="24"/>
        </w:rPr>
      </w:pPr>
      <w:bookmarkStart w:id="1148" w:name="_Toc13120"/>
      <w:bookmarkStart w:id="1149" w:name="_Toc22967"/>
    </w:p>
    <w:p w14:paraId="090C1B4B">
      <w:pPr>
        <w:autoSpaceDE w:val="0"/>
        <w:autoSpaceDN w:val="0"/>
        <w:adjustRightInd w:val="0"/>
        <w:spacing w:line="360" w:lineRule="auto"/>
        <w:jc w:val="center"/>
        <w:outlineLvl w:val="0"/>
        <w:rPr>
          <w:rFonts w:asciiTheme="minorEastAsia" w:hAnsiTheme="minorEastAsia" w:eastAsiaTheme="minorEastAsia" w:cstheme="minorEastAsia"/>
          <w:b/>
          <w:bCs/>
          <w:color w:val="auto"/>
          <w:kern w:val="0"/>
          <w:sz w:val="24"/>
          <w:szCs w:val="24"/>
        </w:rPr>
      </w:pPr>
    </w:p>
    <w:p w14:paraId="6ADFDDE4">
      <w:pPr>
        <w:autoSpaceDE w:val="0"/>
        <w:autoSpaceDN w:val="0"/>
        <w:adjustRightInd w:val="0"/>
        <w:spacing w:line="360" w:lineRule="auto"/>
        <w:jc w:val="center"/>
        <w:outlineLvl w:val="0"/>
        <w:rPr>
          <w:rFonts w:asciiTheme="minorEastAsia" w:hAnsiTheme="minorEastAsia" w:eastAsiaTheme="minorEastAsia" w:cstheme="minorEastAsia"/>
          <w:b/>
          <w:bCs/>
          <w:color w:val="auto"/>
          <w:kern w:val="0"/>
          <w:sz w:val="24"/>
          <w:szCs w:val="24"/>
        </w:rPr>
      </w:pPr>
    </w:p>
    <w:p w14:paraId="04892B7C">
      <w:pPr>
        <w:autoSpaceDE w:val="0"/>
        <w:autoSpaceDN w:val="0"/>
        <w:adjustRightInd w:val="0"/>
        <w:spacing w:line="360" w:lineRule="auto"/>
        <w:jc w:val="center"/>
        <w:outlineLvl w:val="0"/>
        <w:rPr>
          <w:rFonts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二、投  标  函</w:t>
      </w:r>
      <w:bookmarkEnd w:id="1144"/>
      <w:bookmarkEnd w:id="1145"/>
      <w:bookmarkEnd w:id="1146"/>
      <w:bookmarkEnd w:id="1147"/>
      <w:bookmarkEnd w:id="1148"/>
      <w:bookmarkEnd w:id="1149"/>
    </w:p>
    <w:p w14:paraId="4DD60E56">
      <w:pPr>
        <w:pStyle w:val="24"/>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（采购单位名称）</w:t>
      </w:r>
    </w:p>
    <w:p w14:paraId="1CF65DA3">
      <w:pPr>
        <w:pStyle w:val="24"/>
        <w:snapToGrid w:val="0"/>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1．根据已收到的项目编号为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的__________________项目的采购文件，我方经考察现场和研究上述项目采购文件和其他有关工程文件后，愿意按采购文件和其他有关工程文件的要求及条件承包上述项目的工作。</w:t>
      </w:r>
    </w:p>
    <w:p w14:paraId="311C77C5">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2.我方同意在磋商申请人须知规定的开标日期起遵循本投标文件，并在投标有效期满之前均具有约束力。如果我方投标被接受，则至合同履行完毕、质保期满为止，本投标函保持有效。</w:t>
      </w:r>
    </w:p>
    <w:p w14:paraId="65265B8C">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 我方承诺已经具备《中华人民共和国政府采购法》中规定的参加政府采购活动的磋商申请人应当具备的条件。</w:t>
      </w:r>
    </w:p>
    <w:p w14:paraId="01BAF08C">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 我方承诺严格遵守采购文件中的各项要求及合同条款，在合同生效后日内完工，并承担合同规定的责任义务。</w:t>
      </w:r>
    </w:p>
    <w:p w14:paraId="77E8115A">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 我方已详细审核采购文件，我方对采购文件各项条款和评标办法无异议，知道必须放弃提出含糊不清或误解问题的权利。</w:t>
      </w:r>
    </w:p>
    <w:p w14:paraId="6AE6C003">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 如果在投标文件有效期内撤回投标或者有其他违约行为。</w:t>
      </w:r>
    </w:p>
    <w:p w14:paraId="7629BD08">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 同意应贵方要求提供与本投标有关的任何数据和资料，并保证数据和资料的完整性和真实性，若有违反，我方愿意承担一切后果。</w:t>
      </w:r>
    </w:p>
    <w:p w14:paraId="51002031">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 我方完全理解贵方不一定要接受最低报价的磋商申请人为中标人的行为。</w:t>
      </w:r>
    </w:p>
    <w:p w14:paraId="0797705B">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 若贵方需要，我方愿意提供我方作出的一切承诺的证明材料。</w:t>
      </w:r>
    </w:p>
    <w:p w14:paraId="3B7ED30E">
      <w:pPr>
        <w:spacing w:line="360" w:lineRule="auto"/>
        <w:ind w:firstLine="48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与本投标有关的正式通讯地址为：</w:t>
      </w:r>
    </w:p>
    <w:p w14:paraId="5DF7039A">
      <w:pPr>
        <w:ind w:firstLine="480"/>
        <w:rPr>
          <w:rFonts w:asciiTheme="minorEastAsia" w:hAnsiTheme="minorEastAsia" w:eastAsiaTheme="minorEastAsia" w:cstheme="minorEastAsia"/>
          <w:color w:val="auto"/>
          <w:sz w:val="24"/>
          <w:szCs w:val="24"/>
        </w:rPr>
      </w:pPr>
    </w:p>
    <w:p w14:paraId="6F99F3D3">
      <w:pPr>
        <w:ind w:firstLine="480"/>
        <w:rPr>
          <w:rFonts w:asciiTheme="minorEastAsia" w:hAnsiTheme="minorEastAsia" w:eastAsiaTheme="minorEastAsia" w:cstheme="minorEastAsia"/>
          <w:color w:val="auto"/>
          <w:sz w:val="24"/>
          <w:szCs w:val="24"/>
        </w:rPr>
      </w:pPr>
    </w:p>
    <w:p w14:paraId="735431FF">
      <w:pPr>
        <w:ind w:firstLine="48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p>
    <w:p w14:paraId="74913F64">
      <w:pPr>
        <w:ind w:firstLine="48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电话：</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w:t>
      </w:r>
    </w:p>
    <w:p w14:paraId="69959934">
      <w:pPr>
        <w:ind w:firstLine="48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w:t>
      </w:r>
      <w:r>
        <w:rPr>
          <w:rFonts w:hint="eastAsia" w:asciiTheme="minorEastAsia" w:hAnsiTheme="minorEastAsia" w:eastAsiaTheme="minorEastAsia" w:cstheme="minorEastAsia"/>
          <w:color w:val="auto"/>
          <w:sz w:val="24"/>
          <w:szCs w:val="24"/>
          <w:u w:val="single"/>
        </w:rPr>
        <w:t>　　　　　　　　</w:t>
      </w:r>
      <w:r>
        <w:rPr>
          <w:rFonts w:hint="eastAsia" w:ascii="宋体" w:hAnsi="宋体" w:cs="宋体"/>
          <w:color w:val="auto"/>
          <w:sz w:val="24"/>
          <w:szCs w:val="24"/>
        </w:rPr>
        <w:t>（盖单位章）</w:t>
      </w:r>
    </w:p>
    <w:p w14:paraId="6C977B44">
      <w:pPr>
        <w:ind w:firstLine="48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法定代表人或其委托代理人：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（签字或签章）</w:t>
      </w:r>
    </w:p>
    <w:p w14:paraId="329C1AF3">
      <w:pPr>
        <w:ind w:firstLine="48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投标日期：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日</w:t>
      </w:r>
    </w:p>
    <w:p w14:paraId="38E0989B">
      <w:pPr>
        <w:pStyle w:val="43"/>
        <w:ind w:firstLine="480"/>
        <w:rPr>
          <w:rFonts w:asciiTheme="minorEastAsia" w:hAnsiTheme="minorEastAsia" w:eastAsiaTheme="minorEastAsia" w:cstheme="minorEastAsia"/>
          <w:color w:val="auto"/>
          <w:sz w:val="24"/>
          <w:szCs w:val="24"/>
        </w:rPr>
      </w:pPr>
    </w:p>
    <w:p w14:paraId="28C2AAD3">
      <w:pPr>
        <w:pStyle w:val="42"/>
        <w:ind w:firstLine="0" w:firstLineChars="0"/>
        <w:rPr>
          <w:rFonts w:asciiTheme="minorEastAsia" w:hAnsiTheme="minorEastAsia" w:eastAsiaTheme="minorEastAsia" w:cstheme="minorEastAsia"/>
          <w:color w:val="auto"/>
          <w:sz w:val="24"/>
          <w:szCs w:val="24"/>
        </w:rPr>
      </w:pPr>
    </w:p>
    <w:p w14:paraId="0FBD58CC">
      <w:pPr>
        <w:spacing w:line="400" w:lineRule="exact"/>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注：未按照本投标函的格式要求填写投标函的，将造成非实质响应投标，从而导致该磋商申请人投标无效。</w:t>
      </w:r>
    </w:p>
    <w:bookmarkEnd w:id="1134"/>
    <w:p w14:paraId="7F70E551">
      <w:pPr>
        <w:autoSpaceDE w:val="0"/>
        <w:autoSpaceDN w:val="0"/>
        <w:adjustRightInd w:val="0"/>
        <w:spacing w:line="360" w:lineRule="auto"/>
        <w:outlineLvl w:val="0"/>
        <w:rPr>
          <w:rFonts w:ascii="宋体" w:hAnsi="宋体" w:cs="宋体"/>
          <w:b/>
          <w:bCs/>
          <w:color w:val="auto"/>
          <w:kern w:val="0"/>
          <w:sz w:val="28"/>
          <w:szCs w:val="28"/>
        </w:rPr>
      </w:pPr>
    </w:p>
    <w:p w14:paraId="31BCAC6D">
      <w:pPr>
        <w:pStyle w:val="43"/>
        <w:ind w:firstLine="560"/>
        <w:rPr>
          <w:color w:val="auto"/>
        </w:rPr>
      </w:pPr>
    </w:p>
    <w:p w14:paraId="2EE43D7D">
      <w:pPr>
        <w:rPr>
          <w:color w:val="auto"/>
        </w:rPr>
      </w:pPr>
      <w:bookmarkStart w:id="1150" w:name="_Toc51288987"/>
      <w:bookmarkStart w:id="1151" w:name="_Toc213141106"/>
      <w:bookmarkStart w:id="1152" w:name="_Toc272421901"/>
    </w:p>
    <w:p w14:paraId="66555A43">
      <w:pPr>
        <w:autoSpaceDE w:val="0"/>
        <w:autoSpaceDN w:val="0"/>
        <w:adjustRightInd w:val="0"/>
        <w:spacing w:line="360" w:lineRule="auto"/>
        <w:jc w:val="center"/>
        <w:outlineLvl w:val="0"/>
        <w:rPr>
          <w:rFonts w:ascii="宋体" w:hAnsi="宋体" w:cs="宋体"/>
          <w:b/>
          <w:bCs/>
          <w:color w:val="auto"/>
          <w:kern w:val="0"/>
          <w:sz w:val="28"/>
          <w:szCs w:val="28"/>
        </w:rPr>
      </w:pPr>
      <w:bookmarkStart w:id="1153" w:name="_Toc14283"/>
      <w:bookmarkStart w:id="1154" w:name="_Toc24684"/>
      <w:bookmarkStart w:id="1155" w:name="_Toc30923"/>
      <w:bookmarkStart w:id="1156" w:name="_Toc14416"/>
      <w:r>
        <w:rPr>
          <w:rFonts w:hint="eastAsia" w:ascii="宋体" w:hAnsi="宋体" w:cs="宋体"/>
          <w:b/>
          <w:bCs/>
          <w:color w:val="auto"/>
          <w:kern w:val="0"/>
          <w:sz w:val="28"/>
          <w:szCs w:val="28"/>
        </w:rPr>
        <w:t>三、法定代表人身份证明书</w:t>
      </w:r>
      <w:bookmarkEnd w:id="1150"/>
      <w:bookmarkEnd w:id="1151"/>
      <w:bookmarkEnd w:id="1152"/>
      <w:bookmarkEnd w:id="1153"/>
      <w:bookmarkEnd w:id="1154"/>
      <w:bookmarkEnd w:id="1155"/>
      <w:bookmarkEnd w:id="1156"/>
    </w:p>
    <w:p w14:paraId="1FAF8DF2">
      <w:pPr>
        <w:pStyle w:val="43"/>
        <w:ind w:firstLine="0" w:firstLineChars="0"/>
        <w:rPr>
          <w:color w:val="auto"/>
        </w:rPr>
      </w:pPr>
    </w:p>
    <w:p w14:paraId="2ADCC6C1">
      <w:pPr>
        <w:pStyle w:val="42"/>
        <w:ind w:firstLine="210"/>
        <w:rPr>
          <w:color w:val="auto"/>
        </w:rPr>
      </w:pPr>
    </w:p>
    <w:p w14:paraId="734575CB">
      <w:pPr>
        <w:spacing w:line="400" w:lineRule="exact"/>
        <w:ind w:firstLine="612"/>
        <w:rPr>
          <w:rFonts w:ascii="宋体" w:hAnsi="宋体" w:cs="宋体"/>
          <w:color w:val="auto"/>
          <w:sz w:val="24"/>
          <w:szCs w:val="24"/>
          <w:u w:val="single"/>
        </w:rPr>
      </w:pPr>
      <w:r>
        <w:rPr>
          <w:rFonts w:hint="eastAsia" w:ascii="宋体" w:hAnsi="宋体" w:cs="宋体"/>
          <w:color w:val="auto"/>
          <w:sz w:val="24"/>
          <w:szCs w:val="24"/>
        </w:rPr>
        <w:t>磋商申请人名称：</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p>
    <w:p w14:paraId="450C2898">
      <w:pPr>
        <w:spacing w:line="400" w:lineRule="exact"/>
        <w:ind w:firstLine="612"/>
        <w:rPr>
          <w:rFonts w:ascii="宋体" w:hAnsi="宋体" w:cs="宋体"/>
          <w:color w:val="auto"/>
          <w:sz w:val="24"/>
          <w:szCs w:val="24"/>
        </w:rPr>
      </w:pPr>
    </w:p>
    <w:p w14:paraId="5062E713">
      <w:pPr>
        <w:spacing w:line="400" w:lineRule="exact"/>
        <w:ind w:firstLine="610"/>
        <w:rPr>
          <w:rFonts w:ascii="宋体" w:hAnsi="宋体" w:cs="宋体"/>
          <w:color w:val="auto"/>
          <w:sz w:val="24"/>
          <w:szCs w:val="24"/>
          <w:u w:val="single"/>
        </w:rPr>
      </w:pPr>
      <w:r>
        <w:rPr>
          <w:rFonts w:hint="eastAsia" w:ascii="宋体" w:hAnsi="宋体" w:cs="宋体"/>
          <w:color w:val="auto"/>
          <w:sz w:val="24"/>
          <w:szCs w:val="24"/>
        </w:rPr>
        <w:t>单位性质：</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p>
    <w:p w14:paraId="1EF30C4A">
      <w:pPr>
        <w:spacing w:line="400" w:lineRule="exact"/>
        <w:ind w:firstLine="610"/>
        <w:rPr>
          <w:rFonts w:ascii="宋体" w:hAnsi="宋体" w:cs="宋体"/>
          <w:color w:val="auto"/>
          <w:sz w:val="24"/>
          <w:szCs w:val="24"/>
        </w:rPr>
      </w:pPr>
    </w:p>
    <w:p w14:paraId="3D9BA2CC">
      <w:pPr>
        <w:spacing w:line="400" w:lineRule="exact"/>
        <w:ind w:firstLine="610"/>
        <w:rPr>
          <w:rFonts w:ascii="宋体" w:hAnsi="宋体" w:cs="宋体"/>
          <w:color w:val="auto"/>
          <w:sz w:val="24"/>
          <w:szCs w:val="24"/>
          <w:u w:val="single"/>
        </w:rPr>
      </w:pPr>
      <w:r>
        <w:rPr>
          <w:rFonts w:hint="eastAsia" w:ascii="宋体" w:hAnsi="宋体" w:cs="宋体"/>
          <w:color w:val="auto"/>
          <w:sz w:val="24"/>
          <w:szCs w:val="24"/>
        </w:rPr>
        <w:t>地    址：</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p>
    <w:p w14:paraId="255820C0">
      <w:pPr>
        <w:spacing w:line="400" w:lineRule="exact"/>
        <w:ind w:firstLine="610"/>
        <w:rPr>
          <w:rFonts w:ascii="宋体" w:hAnsi="宋体" w:cs="宋体"/>
          <w:color w:val="auto"/>
          <w:sz w:val="24"/>
          <w:szCs w:val="24"/>
        </w:rPr>
      </w:pPr>
    </w:p>
    <w:p w14:paraId="4FCAEE7C">
      <w:pPr>
        <w:spacing w:line="400" w:lineRule="exact"/>
        <w:ind w:firstLine="610"/>
        <w:rPr>
          <w:rFonts w:ascii="宋体" w:hAnsi="宋体" w:cs="宋体"/>
          <w:color w:val="auto"/>
          <w:sz w:val="24"/>
          <w:szCs w:val="24"/>
        </w:rPr>
      </w:pPr>
      <w:r>
        <w:rPr>
          <w:rFonts w:hint="eastAsia" w:ascii="宋体" w:hAnsi="宋体" w:cs="宋体"/>
          <w:color w:val="auto"/>
          <w:sz w:val="24"/>
          <w:szCs w:val="24"/>
        </w:rPr>
        <w:t>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25F31A02">
      <w:pPr>
        <w:spacing w:line="400" w:lineRule="exact"/>
        <w:ind w:firstLine="610"/>
        <w:rPr>
          <w:rFonts w:ascii="宋体" w:hAnsi="宋体" w:cs="宋体"/>
          <w:color w:val="auto"/>
          <w:sz w:val="24"/>
          <w:szCs w:val="24"/>
        </w:rPr>
      </w:pPr>
    </w:p>
    <w:p w14:paraId="1993359C">
      <w:pPr>
        <w:spacing w:line="400" w:lineRule="exact"/>
        <w:ind w:firstLine="610"/>
        <w:rPr>
          <w:rFonts w:ascii="宋体" w:hAnsi="宋体" w:cs="宋体"/>
          <w:color w:val="auto"/>
          <w:sz w:val="24"/>
          <w:szCs w:val="24"/>
          <w:u w:val="single"/>
        </w:rPr>
      </w:pPr>
      <w:r>
        <w:rPr>
          <w:rFonts w:hint="eastAsia" w:ascii="宋体" w:hAnsi="宋体" w:cs="宋体"/>
          <w:color w:val="auto"/>
          <w:sz w:val="24"/>
          <w:szCs w:val="24"/>
        </w:rPr>
        <w:t>经营期限：</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p>
    <w:p w14:paraId="67F19A4F">
      <w:pPr>
        <w:spacing w:line="400" w:lineRule="exact"/>
        <w:ind w:firstLine="610"/>
        <w:rPr>
          <w:rFonts w:ascii="宋体" w:hAnsi="宋体" w:cs="宋体"/>
          <w:color w:val="auto"/>
          <w:sz w:val="24"/>
          <w:szCs w:val="24"/>
        </w:rPr>
      </w:pPr>
    </w:p>
    <w:p w14:paraId="1C284959">
      <w:pPr>
        <w:spacing w:line="400" w:lineRule="exact"/>
        <w:ind w:firstLine="610"/>
        <w:rPr>
          <w:rFonts w:ascii="宋体" w:hAnsi="宋体" w:cs="宋体"/>
          <w:color w:val="auto"/>
          <w:sz w:val="24"/>
          <w:szCs w:val="24"/>
          <w:u w:val="single"/>
        </w:rPr>
      </w:pPr>
      <w:r>
        <w:rPr>
          <w:rFonts w:hint="eastAsia" w:ascii="宋体" w:hAnsi="宋体" w:cs="宋体"/>
          <w:color w:val="auto"/>
          <w:sz w:val="24"/>
          <w:szCs w:val="24"/>
        </w:rPr>
        <w:t>姓    名：</w:t>
      </w:r>
      <w:r>
        <w:rPr>
          <w:rFonts w:hint="eastAsia" w:ascii="宋体" w:hAnsi="宋体" w:cs="宋体"/>
          <w:color w:val="auto"/>
          <w:sz w:val="24"/>
          <w:szCs w:val="24"/>
          <w:u w:val="single"/>
        </w:rPr>
        <w:t xml:space="preserve">        </w:t>
      </w:r>
      <w:r>
        <w:rPr>
          <w:rFonts w:hint="eastAsia" w:ascii="宋体" w:hAnsi="宋体" w:cs="宋体"/>
          <w:color w:val="auto"/>
          <w:sz w:val="24"/>
          <w:szCs w:val="24"/>
        </w:rPr>
        <w:t>性别：</w:t>
      </w:r>
      <w:r>
        <w:rPr>
          <w:rFonts w:hint="eastAsia" w:ascii="宋体" w:hAnsi="宋体" w:cs="宋体"/>
          <w:color w:val="auto"/>
          <w:sz w:val="24"/>
          <w:szCs w:val="24"/>
          <w:u w:val="single"/>
        </w:rPr>
        <w:t xml:space="preserve">      </w:t>
      </w:r>
      <w:r>
        <w:rPr>
          <w:rFonts w:hint="eastAsia" w:ascii="宋体" w:hAnsi="宋体" w:cs="宋体"/>
          <w:color w:val="auto"/>
          <w:sz w:val="24"/>
          <w:szCs w:val="24"/>
        </w:rPr>
        <w:t>年龄：</w:t>
      </w:r>
      <w:r>
        <w:rPr>
          <w:rFonts w:hint="eastAsia" w:ascii="宋体" w:hAnsi="宋体" w:cs="宋体"/>
          <w:color w:val="auto"/>
          <w:sz w:val="24"/>
          <w:szCs w:val="24"/>
          <w:u w:val="single"/>
        </w:rPr>
        <w:t xml:space="preserve">        </w:t>
      </w:r>
      <w:r>
        <w:rPr>
          <w:rFonts w:hint="eastAsia" w:ascii="宋体" w:hAnsi="宋体" w:cs="宋体"/>
          <w:color w:val="auto"/>
          <w:sz w:val="24"/>
          <w:szCs w:val="24"/>
        </w:rPr>
        <w:t>职务：</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p>
    <w:p w14:paraId="1EF93CB9">
      <w:pPr>
        <w:spacing w:line="400" w:lineRule="exact"/>
        <w:ind w:firstLine="610"/>
        <w:rPr>
          <w:rFonts w:ascii="宋体" w:hAnsi="宋体" w:cs="宋体"/>
          <w:color w:val="auto"/>
          <w:sz w:val="24"/>
          <w:szCs w:val="24"/>
        </w:rPr>
      </w:pPr>
    </w:p>
    <w:p w14:paraId="41E43659">
      <w:pPr>
        <w:spacing w:line="400" w:lineRule="exact"/>
        <w:ind w:firstLine="610"/>
        <w:rPr>
          <w:rFonts w:ascii="宋体" w:hAnsi="宋体" w:cs="宋体"/>
          <w:color w:val="auto"/>
          <w:sz w:val="24"/>
          <w:szCs w:val="24"/>
        </w:rPr>
      </w:pPr>
      <w:r>
        <w:rPr>
          <w:rFonts w:hint="eastAsia" w:ascii="宋体" w:hAnsi="宋体" w:cs="宋体"/>
          <w:color w:val="auto"/>
          <w:sz w:val="24"/>
          <w:szCs w:val="24"/>
        </w:rPr>
        <w:t>系</w:t>
      </w:r>
      <w:r>
        <w:rPr>
          <w:rFonts w:hint="eastAsia" w:ascii="宋体" w:hAnsi="宋体" w:cs="宋体"/>
          <w:color w:val="auto"/>
          <w:sz w:val="24"/>
          <w:szCs w:val="24"/>
          <w:u w:val="single"/>
        </w:rPr>
        <w:t xml:space="preserve">          （磋商申请人名称）         </w:t>
      </w:r>
      <w:r>
        <w:rPr>
          <w:rFonts w:hint="eastAsia" w:ascii="宋体" w:hAnsi="宋体" w:cs="宋体"/>
          <w:color w:val="auto"/>
          <w:sz w:val="24"/>
          <w:szCs w:val="24"/>
        </w:rPr>
        <w:t>的法定代表人。</w:t>
      </w:r>
    </w:p>
    <w:p w14:paraId="5E501BA1">
      <w:pPr>
        <w:spacing w:line="400" w:lineRule="exact"/>
        <w:ind w:firstLine="610"/>
        <w:rPr>
          <w:rFonts w:ascii="宋体" w:hAnsi="宋体" w:cs="宋体"/>
          <w:color w:val="auto"/>
          <w:sz w:val="24"/>
          <w:szCs w:val="24"/>
        </w:rPr>
      </w:pPr>
    </w:p>
    <w:p w14:paraId="2F9A8A12">
      <w:pPr>
        <w:spacing w:line="400" w:lineRule="exact"/>
        <w:ind w:firstLine="1089" w:firstLineChars="454"/>
        <w:rPr>
          <w:rFonts w:ascii="宋体" w:hAnsi="宋体" w:cs="宋体"/>
          <w:color w:val="auto"/>
          <w:sz w:val="24"/>
          <w:szCs w:val="24"/>
        </w:rPr>
      </w:pPr>
    </w:p>
    <w:p w14:paraId="083E1BE7">
      <w:pPr>
        <w:spacing w:line="400" w:lineRule="exact"/>
        <w:ind w:firstLine="1089" w:firstLineChars="454"/>
        <w:rPr>
          <w:rFonts w:ascii="宋体" w:hAnsi="宋体" w:cs="宋体"/>
          <w:color w:val="auto"/>
          <w:sz w:val="24"/>
          <w:szCs w:val="24"/>
        </w:rPr>
      </w:pPr>
    </w:p>
    <w:p w14:paraId="5D40CAED">
      <w:pPr>
        <w:spacing w:line="400" w:lineRule="exact"/>
        <w:ind w:firstLine="1089" w:firstLineChars="454"/>
        <w:rPr>
          <w:rFonts w:ascii="宋体" w:hAnsi="宋体" w:cs="宋体"/>
          <w:color w:val="auto"/>
          <w:sz w:val="24"/>
          <w:szCs w:val="24"/>
        </w:rPr>
      </w:pPr>
      <w:r>
        <w:rPr>
          <w:rFonts w:hint="eastAsia" w:ascii="宋体" w:hAnsi="宋体" w:cs="宋体"/>
          <w:color w:val="auto"/>
          <w:sz w:val="24"/>
          <w:szCs w:val="24"/>
        </w:rPr>
        <w:t>特此证明。</w:t>
      </w:r>
    </w:p>
    <w:p w14:paraId="37C1A233">
      <w:pPr>
        <w:spacing w:line="360" w:lineRule="auto"/>
        <w:rPr>
          <w:rFonts w:ascii="宋体" w:hAnsi="宋体" w:cs="宋体"/>
          <w:color w:val="auto"/>
          <w:sz w:val="24"/>
          <w:szCs w:val="24"/>
        </w:rPr>
      </w:pPr>
    </w:p>
    <w:p w14:paraId="6671F3A7">
      <w:pPr>
        <w:spacing w:line="360" w:lineRule="auto"/>
        <w:jc w:val="left"/>
        <w:rPr>
          <w:rFonts w:ascii="宋体" w:hAnsi="宋体" w:cs="宋体"/>
          <w:color w:val="auto"/>
          <w:sz w:val="24"/>
          <w:szCs w:val="24"/>
        </w:rPr>
      </w:pPr>
    </w:p>
    <w:p w14:paraId="6AECBCE2">
      <w:pPr>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磋商申请人：（盖单位章）</w:t>
      </w:r>
    </w:p>
    <w:p w14:paraId="4B56A27A">
      <w:pPr>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1E2ACB15">
      <w:pPr>
        <w:spacing w:line="400" w:lineRule="exact"/>
        <w:ind w:firstLine="610"/>
        <w:rPr>
          <w:rFonts w:ascii="宋体" w:hAnsi="宋体" w:cs="宋体"/>
          <w:color w:val="auto"/>
          <w:sz w:val="24"/>
          <w:szCs w:val="24"/>
        </w:rPr>
      </w:pPr>
    </w:p>
    <w:p w14:paraId="68D290EB">
      <w:pPr>
        <w:spacing w:line="400" w:lineRule="exact"/>
        <w:ind w:firstLine="610"/>
        <w:rPr>
          <w:rFonts w:ascii="宋体" w:hAnsi="宋体" w:cs="宋体"/>
          <w:color w:val="auto"/>
          <w:sz w:val="24"/>
          <w:szCs w:val="24"/>
        </w:rPr>
      </w:pPr>
    </w:p>
    <w:p w14:paraId="6172CBA8">
      <w:pPr>
        <w:spacing w:line="400" w:lineRule="exact"/>
        <w:ind w:firstLine="610"/>
        <w:rPr>
          <w:rFonts w:ascii="宋体" w:hAnsi="宋体" w:cs="宋体"/>
          <w:color w:val="auto"/>
          <w:sz w:val="24"/>
          <w:szCs w:val="24"/>
        </w:rPr>
      </w:pPr>
      <w:r>
        <w:rPr>
          <w:rFonts w:hint="eastAsia" w:ascii="宋体" w:hAnsi="宋体" w:cs="宋体"/>
          <w:color w:val="auto"/>
          <w:sz w:val="24"/>
          <w:szCs w:val="24"/>
        </w:rPr>
        <w:t>附：法定代表人身份证复印件</w:t>
      </w:r>
    </w:p>
    <w:p w14:paraId="635C6D8E">
      <w:pPr>
        <w:pStyle w:val="4"/>
        <w:rPr>
          <w:rFonts w:ascii="宋体" w:hAnsi="宋体" w:cs="宋体"/>
          <w:color w:val="auto"/>
        </w:rPr>
      </w:pPr>
    </w:p>
    <w:p w14:paraId="30650C17">
      <w:pPr>
        <w:pStyle w:val="24"/>
        <w:spacing w:line="360" w:lineRule="auto"/>
        <w:rPr>
          <w:rFonts w:hAnsi="宋体" w:cs="宋体"/>
          <w:b/>
          <w:color w:val="auto"/>
          <w:sz w:val="28"/>
          <w:szCs w:val="28"/>
        </w:rPr>
      </w:pPr>
      <w:r>
        <w:rPr>
          <w:rFonts w:hint="eastAsia" w:hAnsi="宋体" w:cs="宋体"/>
          <w:b/>
          <w:color w:val="auto"/>
          <w:sz w:val="28"/>
          <w:szCs w:val="28"/>
        </w:rPr>
        <w:br w:type="page"/>
      </w:r>
    </w:p>
    <w:p w14:paraId="435BBD3B">
      <w:pPr>
        <w:autoSpaceDE w:val="0"/>
        <w:autoSpaceDN w:val="0"/>
        <w:adjustRightInd w:val="0"/>
        <w:spacing w:line="360" w:lineRule="auto"/>
        <w:jc w:val="center"/>
        <w:outlineLvl w:val="0"/>
        <w:rPr>
          <w:rFonts w:ascii="宋体" w:hAnsi="宋体" w:cs="宋体"/>
          <w:b/>
          <w:bCs/>
          <w:color w:val="auto"/>
          <w:kern w:val="0"/>
          <w:sz w:val="28"/>
          <w:szCs w:val="28"/>
        </w:rPr>
      </w:pPr>
      <w:bookmarkStart w:id="1157" w:name="_Toc31710"/>
      <w:bookmarkStart w:id="1158" w:name="_Toc204749336"/>
      <w:bookmarkStart w:id="1159" w:name="_Toc6906"/>
      <w:bookmarkStart w:id="1160" w:name="_Toc19504"/>
      <w:bookmarkStart w:id="1161" w:name="_Toc272421902"/>
      <w:bookmarkStart w:id="1162" w:name="_Toc3166"/>
      <w:bookmarkStart w:id="1163" w:name="_Toc21217"/>
      <w:bookmarkStart w:id="1164" w:name="_Toc205017031"/>
      <w:bookmarkStart w:id="1165" w:name="_Toc432112799"/>
      <w:r>
        <w:rPr>
          <w:rFonts w:hint="eastAsia" w:ascii="宋体" w:hAnsi="宋体" w:cs="宋体"/>
          <w:b/>
          <w:bCs/>
          <w:color w:val="auto"/>
          <w:kern w:val="0"/>
          <w:sz w:val="28"/>
          <w:szCs w:val="28"/>
        </w:rPr>
        <w:t>四、授权委托书</w:t>
      </w:r>
      <w:bookmarkEnd w:id="1157"/>
      <w:bookmarkEnd w:id="1158"/>
      <w:bookmarkEnd w:id="1159"/>
      <w:bookmarkEnd w:id="1160"/>
      <w:bookmarkEnd w:id="1161"/>
      <w:bookmarkEnd w:id="1162"/>
      <w:bookmarkEnd w:id="1163"/>
      <w:bookmarkEnd w:id="1164"/>
      <w:bookmarkEnd w:id="1165"/>
    </w:p>
    <w:p w14:paraId="4AECAE5E">
      <w:pPr>
        <w:spacing w:line="720" w:lineRule="exact"/>
        <w:ind w:firstLine="612"/>
        <w:rPr>
          <w:rFonts w:ascii="宋体" w:hAnsi="宋体" w:cs="宋体"/>
          <w:color w:val="auto"/>
          <w:sz w:val="24"/>
          <w:szCs w:val="24"/>
        </w:rPr>
      </w:pPr>
      <w:bookmarkStart w:id="1166" w:name="_Toc223860530"/>
      <w:bookmarkStart w:id="1167" w:name="_Toc51288990"/>
      <w:bookmarkStart w:id="1168" w:name="_Toc213141110"/>
      <w:bookmarkStart w:id="1169" w:name="_Toc213141109"/>
      <w:r>
        <w:rPr>
          <w:rFonts w:hint="eastAsia" w:ascii="宋体" w:hAnsi="宋体" w:cs="宋体"/>
          <w:color w:val="auto"/>
          <w:sz w:val="24"/>
          <w:szCs w:val="24"/>
        </w:rPr>
        <w:t>本授权委托书声明：本人</w:t>
      </w:r>
      <w:r>
        <w:rPr>
          <w:rFonts w:hint="eastAsia" w:ascii="宋体" w:hAnsi="宋体" w:cs="宋体"/>
          <w:color w:val="auto"/>
          <w:sz w:val="24"/>
          <w:szCs w:val="24"/>
          <w:u w:val="single"/>
        </w:rPr>
        <w:t xml:space="preserve">  （姓名）  </w:t>
      </w:r>
      <w:r>
        <w:rPr>
          <w:rFonts w:hint="eastAsia" w:ascii="宋体" w:hAnsi="宋体" w:cs="宋体"/>
          <w:color w:val="auto"/>
          <w:sz w:val="24"/>
          <w:szCs w:val="24"/>
        </w:rPr>
        <w:t>系</w:t>
      </w:r>
      <w:r>
        <w:rPr>
          <w:rFonts w:hint="eastAsia" w:ascii="宋体" w:hAnsi="宋体" w:cs="宋体"/>
          <w:color w:val="auto"/>
          <w:sz w:val="24"/>
          <w:szCs w:val="24"/>
          <w:u w:val="single"/>
        </w:rPr>
        <w:t xml:space="preserve">  （磋商申请人名称）  </w:t>
      </w:r>
      <w:r>
        <w:rPr>
          <w:rFonts w:hint="eastAsia" w:ascii="宋体" w:hAnsi="宋体" w:cs="宋体"/>
          <w:color w:val="auto"/>
          <w:sz w:val="24"/>
          <w:szCs w:val="24"/>
        </w:rPr>
        <w:t>的法定代表人，现授权委托</w:t>
      </w:r>
      <w:r>
        <w:rPr>
          <w:rFonts w:hint="eastAsia" w:ascii="宋体" w:hAnsi="宋体" w:cs="宋体"/>
          <w:color w:val="auto"/>
          <w:sz w:val="24"/>
          <w:szCs w:val="24"/>
          <w:u w:val="single"/>
        </w:rPr>
        <w:t xml:space="preserve">    （姓名）    </w:t>
      </w:r>
      <w:r>
        <w:rPr>
          <w:rFonts w:hint="eastAsia" w:ascii="宋体" w:hAnsi="宋体" w:cs="宋体"/>
          <w:color w:val="auto"/>
          <w:sz w:val="24"/>
          <w:szCs w:val="24"/>
        </w:rPr>
        <w:t>为我方代理人。代理人根据授权，以我方名义签署、澄清、说明、补正、递交、修改</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竞争性磋商响应文件、签订合同和处理有关事宜，其法律后果由我方承担。</w:t>
      </w:r>
    </w:p>
    <w:p w14:paraId="0DA63F79">
      <w:pPr>
        <w:spacing w:line="720" w:lineRule="exact"/>
        <w:ind w:firstLine="612"/>
        <w:rPr>
          <w:rFonts w:ascii="宋体" w:hAnsi="宋体" w:cs="宋体"/>
          <w:color w:val="auto"/>
          <w:sz w:val="24"/>
          <w:szCs w:val="24"/>
        </w:rPr>
      </w:pPr>
      <w:r>
        <w:rPr>
          <w:rFonts w:hint="eastAsia" w:ascii="宋体" w:hAnsi="宋体" w:cs="宋体"/>
          <w:color w:val="auto"/>
          <w:sz w:val="24"/>
          <w:szCs w:val="24"/>
        </w:rPr>
        <w:t>委托期限：</w:t>
      </w:r>
      <w:r>
        <w:rPr>
          <w:rFonts w:hint="eastAsia" w:ascii="宋体" w:hAnsi="宋体" w:cs="宋体"/>
          <w:color w:val="auto"/>
          <w:sz w:val="24"/>
          <w:szCs w:val="24"/>
          <w:u w:val="single"/>
        </w:rPr>
        <w:t xml:space="preserve">　　　　　      </w:t>
      </w:r>
    </w:p>
    <w:p w14:paraId="28BAB941">
      <w:pPr>
        <w:spacing w:line="720" w:lineRule="exact"/>
        <w:ind w:firstLine="612"/>
        <w:rPr>
          <w:rFonts w:ascii="宋体" w:hAnsi="宋体" w:cs="宋体"/>
          <w:color w:val="auto"/>
          <w:sz w:val="24"/>
          <w:szCs w:val="24"/>
        </w:rPr>
      </w:pPr>
      <w:r>
        <w:rPr>
          <w:rFonts w:hint="eastAsia" w:ascii="宋体" w:hAnsi="宋体" w:cs="宋体"/>
          <w:color w:val="auto"/>
          <w:sz w:val="24"/>
          <w:szCs w:val="24"/>
        </w:rPr>
        <w:t>代理人无转委托权，特此委托。</w:t>
      </w:r>
    </w:p>
    <w:p w14:paraId="3453FA42">
      <w:pPr>
        <w:spacing w:line="500" w:lineRule="exact"/>
        <w:ind w:left="1260"/>
        <w:rPr>
          <w:rFonts w:ascii="宋体" w:hAnsi="宋体" w:cs="宋体"/>
          <w:color w:val="auto"/>
          <w:sz w:val="24"/>
          <w:szCs w:val="24"/>
        </w:rPr>
      </w:pPr>
    </w:p>
    <w:p w14:paraId="5EDCA57C">
      <w:pPr>
        <w:spacing w:line="500" w:lineRule="exact"/>
        <w:rPr>
          <w:rFonts w:ascii="宋体" w:hAnsi="宋体" w:cs="宋体"/>
          <w:color w:val="auto"/>
          <w:sz w:val="24"/>
          <w:szCs w:val="24"/>
        </w:rPr>
      </w:pPr>
    </w:p>
    <w:p w14:paraId="03E406CD">
      <w:pPr>
        <w:spacing w:line="500" w:lineRule="exact"/>
        <w:ind w:left="1260"/>
        <w:rPr>
          <w:rFonts w:ascii="宋体" w:hAnsi="宋体" w:cs="宋体"/>
          <w:color w:val="auto"/>
          <w:sz w:val="24"/>
          <w:szCs w:val="24"/>
        </w:rPr>
      </w:pPr>
    </w:p>
    <w:p w14:paraId="28661B0C">
      <w:pPr>
        <w:spacing w:line="720" w:lineRule="exact"/>
        <w:ind w:firstLine="480" w:firstLineChars="200"/>
        <w:rPr>
          <w:rFonts w:ascii="宋体" w:hAnsi="宋体" w:cs="宋体"/>
          <w:color w:val="auto"/>
          <w:sz w:val="24"/>
          <w:szCs w:val="24"/>
          <w:u w:val="single"/>
        </w:rPr>
      </w:pPr>
      <w:r>
        <w:rPr>
          <w:rFonts w:hint="eastAsia" w:ascii="宋体" w:hAnsi="宋体" w:cs="宋体"/>
          <w:color w:val="auto"/>
          <w:sz w:val="24"/>
          <w:szCs w:val="24"/>
        </w:rPr>
        <w:t>代理人：</w:t>
      </w:r>
      <w:r>
        <w:rPr>
          <w:rFonts w:hint="eastAsia" w:ascii="宋体" w:hAnsi="宋体" w:cs="宋体"/>
          <w:color w:val="auto"/>
          <w:sz w:val="24"/>
          <w:szCs w:val="24"/>
          <w:u w:val="single"/>
        </w:rPr>
        <w:t xml:space="preserve">   （签字）</w:t>
      </w:r>
      <w:r>
        <w:rPr>
          <w:rFonts w:hint="eastAsia" w:ascii="宋体" w:hAnsi="宋体" w:cs="宋体"/>
          <w:color w:val="auto"/>
          <w:sz w:val="24"/>
          <w:szCs w:val="24"/>
        </w:rPr>
        <w:t xml:space="preserve">   性别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年龄：</w:t>
      </w:r>
      <w:r>
        <w:rPr>
          <w:rFonts w:hint="eastAsia" w:ascii="宋体" w:hAnsi="宋体" w:cs="宋体"/>
          <w:color w:val="auto"/>
          <w:sz w:val="24"/>
          <w:szCs w:val="24"/>
          <w:u w:val="single"/>
        </w:rPr>
        <w:tab/>
      </w:r>
      <w:r>
        <w:rPr>
          <w:rFonts w:hint="eastAsia" w:ascii="宋体" w:hAnsi="宋体" w:cs="宋体"/>
          <w:color w:val="auto"/>
          <w:sz w:val="24"/>
          <w:szCs w:val="24"/>
          <w:u w:val="single"/>
        </w:rPr>
        <w:tab/>
      </w:r>
    </w:p>
    <w:p w14:paraId="5343D097">
      <w:pPr>
        <w:spacing w:line="720" w:lineRule="exact"/>
        <w:ind w:firstLine="480" w:firstLineChars="200"/>
        <w:rPr>
          <w:rFonts w:ascii="宋体" w:hAnsi="宋体" w:cs="宋体"/>
          <w:color w:val="auto"/>
          <w:sz w:val="24"/>
          <w:szCs w:val="24"/>
          <w:u w:val="single"/>
        </w:rPr>
      </w:pPr>
      <w:r>
        <w:rPr>
          <w:rFonts w:hint="eastAsia" w:ascii="宋体" w:hAnsi="宋体" w:cs="宋体"/>
          <w:color w:val="auto"/>
          <w:sz w:val="24"/>
          <w:szCs w:val="24"/>
        </w:rPr>
        <w:t>身份证号码：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职务：</w:t>
      </w:r>
      <w:r>
        <w:rPr>
          <w:rFonts w:hint="eastAsia" w:ascii="宋体" w:hAnsi="宋体" w:cs="宋体"/>
          <w:color w:val="auto"/>
          <w:sz w:val="24"/>
          <w:szCs w:val="24"/>
          <w:u w:val="single"/>
        </w:rPr>
        <w:tab/>
      </w:r>
      <w:r>
        <w:rPr>
          <w:rFonts w:hint="eastAsia" w:ascii="宋体" w:hAnsi="宋体" w:cs="宋体"/>
          <w:color w:val="auto"/>
          <w:sz w:val="24"/>
          <w:szCs w:val="24"/>
          <w:u w:val="single"/>
        </w:rPr>
        <w:tab/>
      </w:r>
    </w:p>
    <w:p w14:paraId="2FC81E4D">
      <w:pPr>
        <w:spacing w:line="720" w:lineRule="exact"/>
        <w:ind w:firstLine="480" w:firstLineChars="200"/>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0F9F8050">
      <w:pPr>
        <w:spacing w:line="720" w:lineRule="exact"/>
        <w:ind w:firstLine="480" w:firstLineChars="200"/>
        <w:rPr>
          <w:rFonts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35240B01">
      <w:pPr>
        <w:spacing w:line="720" w:lineRule="exact"/>
        <w:ind w:firstLine="480" w:firstLineChars="200"/>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29C33BD4">
      <w:pPr>
        <w:pStyle w:val="24"/>
        <w:spacing w:line="360" w:lineRule="auto"/>
        <w:rPr>
          <w:rFonts w:hAnsi="宋体" w:cs="宋体"/>
          <w:b/>
          <w:color w:val="auto"/>
          <w:sz w:val="24"/>
          <w:szCs w:val="24"/>
        </w:rPr>
      </w:pPr>
    </w:p>
    <w:p w14:paraId="22255246">
      <w:pPr>
        <w:pStyle w:val="5"/>
        <w:keepNext w:val="0"/>
        <w:keepLines w:val="0"/>
        <w:spacing w:line="500" w:lineRule="exact"/>
        <w:rPr>
          <w:rFonts w:ascii="宋体" w:hAnsi="宋体" w:cs="宋体"/>
          <w:b w:val="0"/>
          <w:color w:val="auto"/>
          <w:sz w:val="24"/>
          <w:szCs w:val="24"/>
        </w:rPr>
      </w:pPr>
      <w:bookmarkStart w:id="1170" w:name="_Toc5416"/>
      <w:bookmarkStart w:id="1171" w:name="_Toc14507"/>
      <w:bookmarkStart w:id="1172" w:name="_Toc18817"/>
      <w:bookmarkStart w:id="1173" w:name="_Toc28350"/>
      <w:bookmarkStart w:id="1174" w:name="_Toc31539"/>
      <w:bookmarkStart w:id="1175" w:name="_Toc2674"/>
      <w:bookmarkStart w:id="1176" w:name="_Toc26725"/>
      <w:bookmarkStart w:id="1177" w:name="_Toc14793"/>
      <w:bookmarkStart w:id="1178" w:name="_Toc24717"/>
      <w:bookmarkStart w:id="1179" w:name="_Toc12523"/>
      <w:bookmarkStart w:id="1180" w:name="_Toc476388350"/>
      <w:bookmarkStart w:id="1181" w:name="_Toc27343"/>
      <w:bookmarkStart w:id="1182" w:name="_Toc15481"/>
      <w:bookmarkStart w:id="1183" w:name="_Toc29997"/>
      <w:bookmarkStart w:id="1184" w:name="_Toc1146"/>
      <w:r>
        <w:rPr>
          <w:rFonts w:hint="eastAsia" w:ascii="宋体" w:hAnsi="宋体" w:cs="宋体"/>
          <w:b w:val="0"/>
          <w:color w:val="auto"/>
          <w:sz w:val="24"/>
          <w:szCs w:val="24"/>
        </w:rPr>
        <w:t>附：授权人身份证复印件</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14:paraId="68817A23">
      <w:pPr>
        <w:pStyle w:val="24"/>
        <w:spacing w:line="360" w:lineRule="auto"/>
        <w:rPr>
          <w:rFonts w:hAnsi="宋体" w:cs="宋体"/>
          <w:b/>
          <w:color w:val="auto"/>
          <w:sz w:val="28"/>
          <w:szCs w:val="28"/>
        </w:rPr>
      </w:pPr>
    </w:p>
    <w:p w14:paraId="4CD247F1">
      <w:pPr>
        <w:pStyle w:val="24"/>
        <w:spacing w:line="360" w:lineRule="auto"/>
        <w:rPr>
          <w:rFonts w:hAnsi="宋体" w:cs="宋体"/>
          <w:b/>
          <w:color w:val="auto"/>
          <w:sz w:val="28"/>
          <w:szCs w:val="28"/>
        </w:rPr>
      </w:pPr>
    </w:p>
    <w:p w14:paraId="26FEE67C">
      <w:pPr>
        <w:pStyle w:val="24"/>
        <w:spacing w:line="360" w:lineRule="auto"/>
        <w:rPr>
          <w:rFonts w:hAnsi="宋体" w:cs="宋体"/>
          <w:b/>
          <w:color w:val="auto"/>
          <w:sz w:val="28"/>
          <w:szCs w:val="28"/>
        </w:rPr>
      </w:pPr>
    </w:p>
    <w:p w14:paraId="4E0B9899">
      <w:pPr>
        <w:rPr>
          <w:rFonts w:ascii="宋体" w:hAnsi="宋体" w:cs="宋体"/>
          <w:b/>
          <w:color w:val="auto"/>
          <w:sz w:val="28"/>
          <w:szCs w:val="28"/>
        </w:rPr>
      </w:pPr>
    </w:p>
    <w:p w14:paraId="7AA0178C">
      <w:pPr>
        <w:pStyle w:val="27"/>
        <w:ind w:firstLine="843"/>
        <w:rPr>
          <w:rFonts w:ascii="宋体" w:hAnsi="宋体" w:cs="宋体"/>
          <w:b/>
          <w:color w:val="auto"/>
          <w:sz w:val="28"/>
          <w:szCs w:val="28"/>
        </w:rPr>
      </w:pPr>
    </w:p>
    <w:bookmarkEnd w:id="1166"/>
    <w:bookmarkEnd w:id="1167"/>
    <w:bookmarkEnd w:id="1168"/>
    <w:bookmarkEnd w:id="1169"/>
    <w:p w14:paraId="28668077">
      <w:pPr>
        <w:pStyle w:val="5"/>
        <w:keepNext w:val="0"/>
        <w:keepLines w:val="0"/>
        <w:spacing w:line="500" w:lineRule="exact"/>
        <w:jc w:val="center"/>
        <w:rPr>
          <w:rFonts w:ascii="宋体" w:hAnsi="宋体" w:cs="宋体"/>
          <w:bCs w:val="0"/>
          <w:color w:val="auto"/>
        </w:rPr>
      </w:pPr>
      <w:bookmarkStart w:id="1185" w:name="_Toc23201"/>
      <w:bookmarkStart w:id="1186" w:name="_Toc9642"/>
      <w:bookmarkStart w:id="1187" w:name="_Toc24546"/>
      <w:bookmarkStart w:id="1188" w:name="_Toc4756"/>
      <w:bookmarkStart w:id="1189" w:name="_Toc29002"/>
      <w:bookmarkStart w:id="1190" w:name="_Toc6564"/>
      <w:bookmarkStart w:id="1191" w:name="_Toc22410"/>
      <w:bookmarkStart w:id="1192" w:name="_Toc25499"/>
      <w:bookmarkStart w:id="1193" w:name="_Toc17023"/>
      <w:bookmarkStart w:id="1194" w:name="_Toc14085"/>
      <w:bookmarkStart w:id="1195" w:name="_Toc13268"/>
      <w:bookmarkStart w:id="1196" w:name="_Toc7586"/>
      <w:bookmarkStart w:id="1197" w:name="_Toc29836"/>
      <w:bookmarkStart w:id="1198" w:name="_Toc238310121"/>
      <w:bookmarkStart w:id="1199" w:name="_Toc357009072"/>
      <w:bookmarkStart w:id="1200" w:name="_Toc427306819"/>
      <w:bookmarkStart w:id="1201" w:name="_Toc97518719"/>
      <w:bookmarkStart w:id="1202" w:name="_Toc269218606"/>
      <w:bookmarkStart w:id="1203" w:name="_Toc427339194"/>
      <w:bookmarkStart w:id="1204" w:name="_Toc370221828"/>
      <w:bookmarkStart w:id="1205" w:name="_Toc149791939"/>
      <w:r>
        <w:rPr>
          <w:rFonts w:hint="eastAsia" w:ascii="宋体" w:hAnsi="宋体" w:cs="宋体"/>
          <w:bCs w:val="0"/>
          <w:color w:val="auto"/>
        </w:rPr>
        <w:t>五、投标文件资格审查部分格式</w:t>
      </w:r>
    </w:p>
    <w:p w14:paraId="721F8127">
      <w:pPr>
        <w:autoSpaceDE w:val="0"/>
        <w:autoSpaceDN w:val="0"/>
        <w:adjustRightInd w:val="0"/>
        <w:spacing w:line="360" w:lineRule="auto"/>
        <w:jc w:val="center"/>
        <w:outlineLvl w:val="0"/>
        <w:rPr>
          <w:rFonts w:ascii="宋体" w:hAnsi="宋体" w:cs="宋体"/>
          <w:b/>
          <w:bCs/>
          <w:color w:val="auto"/>
          <w:kern w:val="0"/>
          <w:sz w:val="28"/>
          <w:szCs w:val="28"/>
        </w:rPr>
      </w:pPr>
      <w:bookmarkStart w:id="1206" w:name="_Toc26988"/>
      <w:bookmarkStart w:id="1207" w:name="_Toc28822"/>
      <w:bookmarkStart w:id="1208" w:name="_Toc2201"/>
      <w:r>
        <w:rPr>
          <w:rFonts w:hint="eastAsia" w:ascii="宋体" w:hAnsi="宋体" w:cs="宋体"/>
          <w:b/>
          <w:bCs/>
          <w:color w:val="auto"/>
          <w:kern w:val="0"/>
          <w:sz w:val="28"/>
          <w:szCs w:val="28"/>
        </w:rPr>
        <w:t>（1）磋商申请人基本情况表</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206"/>
      <w:bookmarkEnd w:id="1207"/>
      <w:bookmarkEnd w:id="1208"/>
    </w:p>
    <w:tbl>
      <w:tblPr>
        <w:tblStyle w:val="4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1575"/>
        <w:gridCol w:w="1638"/>
        <w:gridCol w:w="1756"/>
        <w:gridCol w:w="194"/>
        <w:gridCol w:w="1240"/>
        <w:gridCol w:w="159"/>
        <w:gridCol w:w="795"/>
        <w:gridCol w:w="2199"/>
      </w:tblGrid>
      <w:tr w14:paraId="5305F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tcPr>
          <w:p w14:paraId="2E47B8B9">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单位名称</w:t>
            </w:r>
          </w:p>
        </w:tc>
        <w:tc>
          <w:tcPr>
            <w:tcW w:w="3394" w:type="dxa"/>
            <w:gridSpan w:val="2"/>
          </w:tcPr>
          <w:p w14:paraId="42281E8C">
            <w:pPr>
              <w:spacing w:line="520" w:lineRule="exact"/>
              <w:rPr>
                <w:rFonts w:asciiTheme="minorEastAsia" w:hAnsiTheme="minorEastAsia" w:eastAsiaTheme="minorEastAsia" w:cstheme="minorEastAsia"/>
                <w:color w:val="auto"/>
                <w:sz w:val="24"/>
                <w:szCs w:val="24"/>
              </w:rPr>
            </w:pPr>
          </w:p>
        </w:tc>
        <w:tc>
          <w:tcPr>
            <w:tcW w:w="1434" w:type="dxa"/>
            <w:gridSpan w:val="2"/>
          </w:tcPr>
          <w:p w14:paraId="0C0CFBF9">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所有制类型</w:t>
            </w:r>
          </w:p>
        </w:tc>
        <w:tc>
          <w:tcPr>
            <w:tcW w:w="3153" w:type="dxa"/>
            <w:gridSpan w:val="3"/>
          </w:tcPr>
          <w:p w14:paraId="78F1E312">
            <w:pPr>
              <w:spacing w:line="520" w:lineRule="exact"/>
              <w:rPr>
                <w:rFonts w:asciiTheme="minorEastAsia" w:hAnsiTheme="minorEastAsia" w:eastAsiaTheme="minorEastAsia" w:cstheme="minorEastAsia"/>
                <w:color w:val="auto"/>
                <w:sz w:val="24"/>
                <w:szCs w:val="24"/>
              </w:rPr>
            </w:pPr>
          </w:p>
        </w:tc>
      </w:tr>
      <w:tr w14:paraId="61DC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tcPr>
          <w:p w14:paraId="08406239">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成立时间</w:t>
            </w:r>
          </w:p>
        </w:tc>
        <w:tc>
          <w:tcPr>
            <w:tcW w:w="3394" w:type="dxa"/>
            <w:gridSpan w:val="2"/>
          </w:tcPr>
          <w:p w14:paraId="29F2583D">
            <w:pPr>
              <w:spacing w:line="520" w:lineRule="exact"/>
              <w:rPr>
                <w:rFonts w:asciiTheme="minorEastAsia" w:hAnsiTheme="minorEastAsia" w:eastAsiaTheme="minorEastAsia" w:cstheme="minorEastAsia"/>
                <w:color w:val="auto"/>
                <w:sz w:val="24"/>
                <w:szCs w:val="24"/>
              </w:rPr>
            </w:pPr>
          </w:p>
        </w:tc>
        <w:tc>
          <w:tcPr>
            <w:tcW w:w="1434" w:type="dxa"/>
            <w:gridSpan w:val="2"/>
          </w:tcPr>
          <w:p w14:paraId="6CE56E6D">
            <w:pPr>
              <w:spacing w:line="52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通讯地址</w:t>
            </w:r>
          </w:p>
        </w:tc>
        <w:tc>
          <w:tcPr>
            <w:tcW w:w="3153" w:type="dxa"/>
            <w:gridSpan w:val="3"/>
          </w:tcPr>
          <w:p w14:paraId="30AAADEB">
            <w:pPr>
              <w:spacing w:line="520" w:lineRule="exact"/>
              <w:rPr>
                <w:rFonts w:asciiTheme="minorEastAsia" w:hAnsiTheme="minorEastAsia" w:eastAsiaTheme="minorEastAsia" w:cstheme="minorEastAsia"/>
                <w:color w:val="auto"/>
                <w:sz w:val="24"/>
                <w:szCs w:val="24"/>
              </w:rPr>
            </w:pPr>
          </w:p>
        </w:tc>
      </w:tr>
      <w:tr w14:paraId="3408B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tcPr>
          <w:p w14:paraId="4C4E34E5">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资质等级</w:t>
            </w:r>
          </w:p>
        </w:tc>
        <w:tc>
          <w:tcPr>
            <w:tcW w:w="3394" w:type="dxa"/>
            <w:gridSpan w:val="2"/>
          </w:tcPr>
          <w:p w14:paraId="4F9499F3">
            <w:pPr>
              <w:spacing w:line="520" w:lineRule="exact"/>
              <w:rPr>
                <w:rFonts w:asciiTheme="minorEastAsia" w:hAnsiTheme="minorEastAsia" w:eastAsiaTheme="minorEastAsia" w:cstheme="minorEastAsia"/>
                <w:color w:val="auto"/>
                <w:sz w:val="24"/>
                <w:szCs w:val="24"/>
              </w:rPr>
            </w:pPr>
          </w:p>
        </w:tc>
        <w:tc>
          <w:tcPr>
            <w:tcW w:w="1434" w:type="dxa"/>
            <w:gridSpan w:val="2"/>
          </w:tcPr>
          <w:p w14:paraId="0E7316E3">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主管部门</w:t>
            </w:r>
          </w:p>
        </w:tc>
        <w:tc>
          <w:tcPr>
            <w:tcW w:w="3153" w:type="dxa"/>
            <w:gridSpan w:val="3"/>
          </w:tcPr>
          <w:p w14:paraId="576B0E17">
            <w:pPr>
              <w:spacing w:line="520" w:lineRule="exact"/>
              <w:rPr>
                <w:rFonts w:asciiTheme="minorEastAsia" w:hAnsiTheme="minorEastAsia" w:eastAsiaTheme="minorEastAsia" w:cstheme="minorEastAsia"/>
                <w:color w:val="auto"/>
                <w:sz w:val="24"/>
                <w:szCs w:val="24"/>
              </w:rPr>
            </w:pPr>
          </w:p>
        </w:tc>
      </w:tr>
      <w:tr w14:paraId="7C83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tcPr>
          <w:p w14:paraId="119DED30">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营 业 执 照</w:t>
            </w:r>
          </w:p>
          <w:p w14:paraId="5E886AA2">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发证机关及号码</w:t>
            </w:r>
          </w:p>
        </w:tc>
        <w:tc>
          <w:tcPr>
            <w:tcW w:w="7981" w:type="dxa"/>
            <w:gridSpan w:val="7"/>
            <w:vAlign w:val="center"/>
          </w:tcPr>
          <w:p w14:paraId="540DF227">
            <w:pPr>
              <w:spacing w:line="520" w:lineRule="exact"/>
              <w:jc w:val="center"/>
              <w:rPr>
                <w:rFonts w:asciiTheme="minorEastAsia" w:hAnsiTheme="minorEastAsia" w:eastAsiaTheme="minorEastAsia" w:cstheme="minorEastAsia"/>
                <w:color w:val="auto"/>
                <w:sz w:val="24"/>
                <w:szCs w:val="24"/>
              </w:rPr>
            </w:pPr>
          </w:p>
        </w:tc>
      </w:tr>
      <w:tr w14:paraId="7EAE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tcPr>
          <w:p w14:paraId="01475764">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资质等级证书</w:t>
            </w:r>
          </w:p>
          <w:p w14:paraId="0E1157CA">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发证机关及号码</w:t>
            </w:r>
          </w:p>
        </w:tc>
        <w:tc>
          <w:tcPr>
            <w:tcW w:w="7981" w:type="dxa"/>
            <w:gridSpan w:val="7"/>
          </w:tcPr>
          <w:p w14:paraId="72C94CF7">
            <w:pPr>
              <w:spacing w:line="520" w:lineRule="exact"/>
              <w:rPr>
                <w:rFonts w:asciiTheme="minorEastAsia" w:hAnsiTheme="minorEastAsia" w:eastAsiaTheme="minorEastAsia" w:cstheme="minorEastAsia"/>
                <w:color w:val="auto"/>
                <w:sz w:val="24"/>
                <w:szCs w:val="24"/>
              </w:rPr>
            </w:pPr>
          </w:p>
        </w:tc>
      </w:tr>
      <w:tr w14:paraId="66E9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vAlign w:val="center"/>
          </w:tcPr>
          <w:p w14:paraId="4136A8A8">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财务状况</w:t>
            </w:r>
          </w:p>
        </w:tc>
        <w:tc>
          <w:tcPr>
            <w:tcW w:w="3213" w:type="dxa"/>
            <w:gridSpan w:val="2"/>
          </w:tcPr>
          <w:p w14:paraId="291AAE2C">
            <w:pPr>
              <w:spacing w:line="52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资金总额</w:t>
            </w:r>
          </w:p>
        </w:tc>
        <w:tc>
          <w:tcPr>
            <w:tcW w:w="6343" w:type="dxa"/>
            <w:gridSpan w:val="6"/>
          </w:tcPr>
          <w:p w14:paraId="63FE1477">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万元</w:t>
            </w:r>
          </w:p>
        </w:tc>
      </w:tr>
      <w:tr w14:paraId="5D49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tcPr>
          <w:p w14:paraId="04A68091">
            <w:pPr>
              <w:spacing w:line="520" w:lineRule="exact"/>
              <w:rPr>
                <w:rFonts w:asciiTheme="minorEastAsia" w:hAnsiTheme="minorEastAsia" w:eastAsiaTheme="minorEastAsia" w:cstheme="minorEastAsia"/>
                <w:color w:val="auto"/>
                <w:sz w:val="24"/>
                <w:szCs w:val="24"/>
              </w:rPr>
            </w:pPr>
          </w:p>
        </w:tc>
        <w:tc>
          <w:tcPr>
            <w:tcW w:w="3213" w:type="dxa"/>
            <w:gridSpan w:val="2"/>
          </w:tcPr>
          <w:p w14:paraId="2A397F08">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其中，固定资产总额</w:t>
            </w:r>
          </w:p>
        </w:tc>
        <w:tc>
          <w:tcPr>
            <w:tcW w:w="1950" w:type="dxa"/>
            <w:gridSpan w:val="2"/>
          </w:tcPr>
          <w:p w14:paraId="7734E532">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万元</w:t>
            </w:r>
          </w:p>
        </w:tc>
        <w:tc>
          <w:tcPr>
            <w:tcW w:w="1399" w:type="dxa"/>
            <w:gridSpan w:val="2"/>
          </w:tcPr>
          <w:p w14:paraId="735BA0D2">
            <w:pPr>
              <w:spacing w:line="52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自有资金</w:t>
            </w:r>
          </w:p>
        </w:tc>
        <w:tc>
          <w:tcPr>
            <w:tcW w:w="2994" w:type="dxa"/>
            <w:gridSpan w:val="2"/>
          </w:tcPr>
          <w:p w14:paraId="4CD0B66F">
            <w:pPr>
              <w:spacing w:line="520" w:lineRule="exact"/>
              <w:ind w:firstLine="720" w:firstLineChars="3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万元</w:t>
            </w:r>
          </w:p>
        </w:tc>
      </w:tr>
      <w:tr w14:paraId="68C4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7" w:hRule="atLeast"/>
        </w:trPr>
        <w:tc>
          <w:tcPr>
            <w:tcW w:w="475" w:type="dxa"/>
            <w:vMerge w:val="continue"/>
          </w:tcPr>
          <w:p w14:paraId="6640B73F">
            <w:pPr>
              <w:spacing w:line="520" w:lineRule="exact"/>
              <w:rPr>
                <w:rFonts w:asciiTheme="minorEastAsia" w:hAnsiTheme="minorEastAsia" w:eastAsiaTheme="minorEastAsia" w:cstheme="minorEastAsia"/>
                <w:color w:val="auto"/>
                <w:sz w:val="24"/>
                <w:szCs w:val="24"/>
              </w:rPr>
            </w:pPr>
          </w:p>
        </w:tc>
        <w:tc>
          <w:tcPr>
            <w:tcW w:w="3213" w:type="dxa"/>
            <w:gridSpan w:val="2"/>
            <w:vAlign w:val="center"/>
          </w:tcPr>
          <w:p w14:paraId="24E169D0">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开户银行</w:t>
            </w:r>
          </w:p>
        </w:tc>
        <w:tc>
          <w:tcPr>
            <w:tcW w:w="1950" w:type="dxa"/>
            <w:gridSpan w:val="2"/>
            <w:vAlign w:val="center"/>
          </w:tcPr>
          <w:p w14:paraId="3483655A">
            <w:pPr>
              <w:spacing w:line="520" w:lineRule="exact"/>
              <w:jc w:val="center"/>
              <w:rPr>
                <w:rFonts w:asciiTheme="minorEastAsia" w:hAnsiTheme="minorEastAsia" w:eastAsiaTheme="minorEastAsia" w:cstheme="minorEastAsia"/>
                <w:color w:val="auto"/>
                <w:sz w:val="24"/>
                <w:szCs w:val="24"/>
              </w:rPr>
            </w:pPr>
          </w:p>
        </w:tc>
        <w:tc>
          <w:tcPr>
            <w:tcW w:w="2194" w:type="dxa"/>
            <w:gridSpan w:val="3"/>
            <w:vAlign w:val="center"/>
          </w:tcPr>
          <w:p w14:paraId="6E857B97">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开户银行账号</w:t>
            </w:r>
          </w:p>
        </w:tc>
        <w:tc>
          <w:tcPr>
            <w:tcW w:w="2199" w:type="dxa"/>
          </w:tcPr>
          <w:p w14:paraId="39F09A74">
            <w:pPr>
              <w:spacing w:line="520" w:lineRule="exact"/>
              <w:rPr>
                <w:rFonts w:asciiTheme="minorEastAsia" w:hAnsiTheme="minorEastAsia" w:eastAsiaTheme="minorEastAsia" w:cstheme="minorEastAsia"/>
                <w:color w:val="auto"/>
                <w:sz w:val="24"/>
                <w:szCs w:val="24"/>
              </w:rPr>
            </w:pPr>
          </w:p>
        </w:tc>
      </w:tr>
      <w:tr w14:paraId="3B06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0" w:hRule="atLeast"/>
        </w:trPr>
        <w:tc>
          <w:tcPr>
            <w:tcW w:w="475" w:type="dxa"/>
            <w:vAlign w:val="center"/>
          </w:tcPr>
          <w:p w14:paraId="38DEA63B">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公司简介</w:t>
            </w:r>
          </w:p>
        </w:tc>
        <w:tc>
          <w:tcPr>
            <w:tcW w:w="9556" w:type="dxa"/>
            <w:gridSpan w:val="8"/>
            <w:vAlign w:val="center"/>
          </w:tcPr>
          <w:p w14:paraId="6671CEA9">
            <w:pPr>
              <w:spacing w:line="520" w:lineRule="exact"/>
              <w:jc w:val="center"/>
              <w:rPr>
                <w:rFonts w:asciiTheme="minorEastAsia" w:hAnsiTheme="minorEastAsia" w:eastAsiaTheme="minorEastAsia" w:cstheme="minorEastAsia"/>
                <w:color w:val="auto"/>
                <w:sz w:val="24"/>
                <w:szCs w:val="24"/>
              </w:rPr>
            </w:pPr>
          </w:p>
          <w:p w14:paraId="2AD4BB1F">
            <w:pPr>
              <w:spacing w:line="520" w:lineRule="exact"/>
              <w:jc w:val="center"/>
              <w:rPr>
                <w:rFonts w:asciiTheme="minorEastAsia" w:hAnsiTheme="minorEastAsia" w:eastAsiaTheme="minorEastAsia" w:cstheme="minorEastAsia"/>
                <w:color w:val="auto"/>
                <w:sz w:val="24"/>
                <w:szCs w:val="24"/>
              </w:rPr>
            </w:pPr>
          </w:p>
          <w:p w14:paraId="04E5A9DC">
            <w:pPr>
              <w:spacing w:line="520" w:lineRule="exact"/>
              <w:jc w:val="center"/>
              <w:rPr>
                <w:rFonts w:asciiTheme="minorEastAsia" w:hAnsiTheme="minorEastAsia" w:eastAsiaTheme="minorEastAsia" w:cstheme="minorEastAsia"/>
                <w:color w:val="auto"/>
                <w:sz w:val="24"/>
                <w:szCs w:val="24"/>
              </w:rPr>
            </w:pPr>
          </w:p>
          <w:p w14:paraId="35DC796F">
            <w:pPr>
              <w:spacing w:line="520" w:lineRule="exact"/>
              <w:jc w:val="center"/>
              <w:rPr>
                <w:rFonts w:asciiTheme="minorEastAsia" w:hAnsiTheme="minorEastAsia" w:eastAsiaTheme="minorEastAsia" w:cstheme="minorEastAsia"/>
                <w:color w:val="auto"/>
                <w:sz w:val="24"/>
                <w:szCs w:val="24"/>
              </w:rPr>
            </w:pPr>
          </w:p>
          <w:p w14:paraId="452FCD3E">
            <w:pPr>
              <w:spacing w:line="520" w:lineRule="exact"/>
              <w:jc w:val="center"/>
              <w:rPr>
                <w:rFonts w:asciiTheme="minorEastAsia" w:hAnsiTheme="minorEastAsia" w:eastAsiaTheme="minorEastAsia" w:cstheme="minorEastAsia"/>
                <w:color w:val="auto"/>
                <w:sz w:val="24"/>
                <w:szCs w:val="24"/>
              </w:rPr>
            </w:pPr>
          </w:p>
        </w:tc>
      </w:tr>
      <w:tr w14:paraId="3920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0" w:hRule="atLeast"/>
        </w:trPr>
        <w:tc>
          <w:tcPr>
            <w:tcW w:w="475" w:type="dxa"/>
            <w:vAlign w:val="center"/>
          </w:tcPr>
          <w:p w14:paraId="58130082">
            <w:pPr>
              <w:spacing w:line="520" w:lineRule="exact"/>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公司人员情况</w:t>
            </w:r>
          </w:p>
        </w:tc>
        <w:tc>
          <w:tcPr>
            <w:tcW w:w="9556" w:type="dxa"/>
            <w:gridSpan w:val="8"/>
            <w:vAlign w:val="center"/>
          </w:tcPr>
          <w:p w14:paraId="6FB0AEDA">
            <w:pPr>
              <w:spacing w:line="520" w:lineRule="exact"/>
              <w:rPr>
                <w:rFonts w:asciiTheme="minorEastAsia" w:hAnsiTheme="minorEastAsia" w:eastAsiaTheme="minorEastAsia" w:cstheme="minorEastAsia"/>
                <w:color w:val="auto"/>
                <w:sz w:val="24"/>
                <w:szCs w:val="24"/>
                <w:u w:val="single"/>
              </w:rPr>
            </w:pPr>
          </w:p>
        </w:tc>
      </w:tr>
    </w:tbl>
    <w:p w14:paraId="1E7E108B">
      <w:pPr>
        <w:rPr>
          <w:rFonts w:ascii="宋体" w:hAnsi="宋体" w:cs="宋体"/>
          <w:bCs/>
          <w:color w:val="auto"/>
          <w:sz w:val="24"/>
          <w:szCs w:val="24"/>
        </w:rPr>
      </w:pPr>
      <w:bookmarkStart w:id="1209" w:name="_Toc18224"/>
      <w:bookmarkStart w:id="1210" w:name="_Toc28463"/>
      <w:bookmarkStart w:id="1211" w:name="_Toc19315"/>
      <w:bookmarkStart w:id="1212" w:name="_Toc29497"/>
      <w:bookmarkStart w:id="1213" w:name="_Toc5724"/>
      <w:bookmarkStart w:id="1214" w:name="_Toc31820"/>
      <w:r>
        <w:rPr>
          <w:rFonts w:hint="eastAsia" w:ascii="宋体" w:hAnsi="宋体" w:cs="宋体"/>
          <w:bCs/>
          <w:color w:val="auto"/>
          <w:sz w:val="24"/>
          <w:szCs w:val="24"/>
        </w:rPr>
        <w:t>附：附磋商申请人营业执照副本等材料的复印件。</w:t>
      </w:r>
      <w:bookmarkEnd w:id="1209"/>
      <w:bookmarkEnd w:id="1210"/>
      <w:bookmarkEnd w:id="1211"/>
      <w:bookmarkEnd w:id="1212"/>
      <w:bookmarkEnd w:id="1213"/>
      <w:bookmarkEnd w:id="1214"/>
    </w:p>
    <w:p w14:paraId="77AA293B">
      <w:pPr>
        <w:rPr>
          <w:rFonts w:ascii="宋体" w:hAnsi="宋体" w:cs="宋体"/>
          <w:color w:val="auto"/>
        </w:rPr>
      </w:pPr>
    </w:p>
    <w:p w14:paraId="73E485E9">
      <w:pPr>
        <w:rPr>
          <w:rFonts w:ascii="宋体" w:hAnsi="宋体" w:cs="宋体"/>
          <w:b/>
          <w:color w:val="auto"/>
          <w:sz w:val="32"/>
          <w:szCs w:val="32"/>
        </w:rPr>
      </w:pPr>
    </w:p>
    <w:p w14:paraId="1A5DB36D">
      <w:pPr>
        <w:pStyle w:val="43"/>
        <w:ind w:firstLine="480"/>
        <w:rPr>
          <w:rFonts w:ascii="宋体" w:hAnsi="宋体" w:cs="宋体"/>
          <w:color w:val="auto"/>
          <w:sz w:val="24"/>
          <w:szCs w:val="24"/>
        </w:rPr>
      </w:pPr>
    </w:p>
    <w:p w14:paraId="6287E3BF">
      <w:pPr>
        <w:autoSpaceDE w:val="0"/>
        <w:autoSpaceDN w:val="0"/>
        <w:adjustRightInd w:val="0"/>
        <w:spacing w:line="360" w:lineRule="auto"/>
        <w:jc w:val="center"/>
        <w:outlineLvl w:val="0"/>
        <w:rPr>
          <w:rFonts w:ascii="宋体" w:hAnsi="宋体" w:cs="宋体"/>
          <w:b/>
          <w:bCs/>
          <w:color w:val="auto"/>
          <w:kern w:val="0"/>
          <w:sz w:val="28"/>
          <w:szCs w:val="28"/>
        </w:rPr>
      </w:pPr>
      <w:bookmarkStart w:id="1215" w:name="_Toc4759"/>
      <w:bookmarkStart w:id="1216" w:name="_Toc22315"/>
      <w:bookmarkStart w:id="1217" w:name="_Toc19938"/>
      <w:bookmarkStart w:id="1218" w:name="_Toc683"/>
      <w:bookmarkStart w:id="1219" w:name="_Toc13129"/>
      <w:bookmarkStart w:id="1220" w:name="_Toc30404"/>
      <w:bookmarkStart w:id="1221" w:name="_Toc25588"/>
      <w:bookmarkStart w:id="1222" w:name="_Toc14303"/>
      <w:bookmarkStart w:id="1223" w:name="_Toc2810"/>
      <w:bookmarkStart w:id="1224" w:name="_Toc7601"/>
      <w:bookmarkStart w:id="1225" w:name="_Toc15897"/>
      <w:bookmarkStart w:id="1226" w:name="_Toc29262"/>
      <w:bookmarkStart w:id="1227" w:name="_Toc14401"/>
      <w:bookmarkStart w:id="1228" w:name="_Toc27200"/>
      <w:bookmarkStart w:id="1229" w:name="_Toc30005"/>
      <w:bookmarkStart w:id="1230" w:name="_Toc8117"/>
      <w:r>
        <w:rPr>
          <w:rFonts w:hint="eastAsia" w:ascii="宋体" w:hAnsi="宋体" w:cs="宋体"/>
          <w:b/>
          <w:bCs/>
          <w:color w:val="auto"/>
          <w:kern w:val="0"/>
          <w:sz w:val="28"/>
          <w:szCs w:val="28"/>
        </w:rPr>
        <w:t>（2）社保、纳税、财务状况</w:t>
      </w:r>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14:paraId="6B853729">
      <w:pPr>
        <w:pStyle w:val="184"/>
        <w:spacing w:line="360" w:lineRule="auto"/>
        <w:ind w:firstLine="420"/>
        <w:rPr>
          <w:rFonts w:ascii="宋体" w:hAnsi="宋体" w:cs="宋体"/>
          <w:bCs w:val="0"/>
          <w:color w:val="auto"/>
          <w:spacing w:val="0"/>
          <w:kern w:val="2"/>
          <w:szCs w:val="24"/>
        </w:rPr>
      </w:pPr>
      <w:r>
        <w:rPr>
          <w:rFonts w:hint="eastAsia" w:ascii="宋体" w:hAnsi="宋体" w:cs="宋体"/>
          <w:bCs w:val="0"/>
          <w:color w:val="auto"/>
          <w:spacing w:val="0"/>
          <w:kern w:val="2"/>
          <w:szCs w:val="24"/>
        </w:rPr>
        <w:t>1.</w:t>
      </w:r>
      <w:r>
        <w:rPr>
          <w:rFonts w:hint="eastAsia" w:asciiTheme="minorEastAsia" w:hAnsiTheme="minorEastAsia" w:eastAsiaTheme="minorEastAsia" w:cstheme="minorEastAsia"/>
          <w:color w:val="auto"/>
          <w:szCs w:val="24"/>
        </w:rPr>
        <w:t>具有良好的商业信誉和健全的财务会计制度，（提供</w:t>
      </w:r>
      <w:r>
        <w:rPr>
          <w:rFonts w:hint="eastAsia" w:asciiTheme="minorEastAsia" w:hAnsiTheme="minorEastAsia" w:eastAsiaTheme="minorEastAsia" w:cstheme="minorEastAsia"/>
          <w:color w:val="auto"/>
          <w:szCs w:val="24"/>
        </w:rPr>
        <w:t>2021</w:t>
      </w:r>
      <w:r>
        <w:rPr>
          <w:rFonts w:hint="eastAsia" w:asciiTheme="minorEastAsia" w:hAnsiTheme="minorEastAsia" w:eastAsiaTheme="minorEastAsia" w:cstheme="minorEastAsia"/>
          <w:color w:val="auto"/>
          <w:szCs w:val="24"/>
        </w:rPr>
        <w:t>年至今任意一年经审计的财务审计报告及会计报表（含资产负债表、现金流量表、利润表），且没处于财产被冻结状况，公司成立未满一年的提供会计报表</w:t>
      </w:r>
      <w:r>
        <w:rPr>
          <w:rFonts w:hint="eastAsia" w:ascii="宋体" w:hAnsi="宋体" w:cs="宋体"/>
          <w:bCs w:val="0"/>
          <w:color w:val="auto"/>
          <w:spacing w:val="0"/>
          <w:kern w:val="2"/>
          <w:szCs w:val="24"/>
        </w:rPr>
        <w:t>；</w:t>
      </w:r>
    </w:p>
    <w:p w14:paraId="3832F88C">
      <w:pPr>
        <w:pStyle w:val="184"/>
        <w:spacing w:line="360" w:lineRule="auto"/>
        <w:ind w:firstLine="420"/>
        <w:rPr>
          <w:rFonts w:ascii="宋体" w:hAnsi="宋体" w:cs="宋体"/>
          <w:bCs w:val="0"/>
          <w:color w:val="auto"/>
          <w:spacing w:val="0"/>
          <w:kern w:val="2"/>
          <w:szCs w:val="24"/>
        </w:rPr>
      </w:pPr>
      <w:r>
        <w:rPr>
          <w:rFonts w:hint="eastAsia" w:ascii="宋体" w:hAnsi="宋体" w:cs="宋体"/>
          <w:bCs w:val="0"/>
          <w:color w:val="auto"/>
          <w:spacing w:val="0"/>
          <w:kern w:val="2"/>
          <w:szCs w:val="24"/>
        </w:rPr>
        <w:t>2.有依法缴纳税收和社会保障资金的良好记录（提供</w:t>
      </w:r>
      <w:r>
        <w:rPr>
          <w:rFonts w:hint="eastAsia" w:ascii="宋体" w:hAnsi="宋体" w:cs="宋体"/>
          <w:bCs w:val="0"/>
          <w:color w:val="auto"/>
          <w:spacing w:val="0"/>
          <w:kern w:val="2"/>
          <w:szCs w:val="24"/>
        </w:rPr>
        <w:t>2024年1月1日</w:t>
      </w:r>
      <w:r>
        <w:rPr>
          <w:rFonts w:hint="eastAsia" w:ascii="宋体" w:hAnsi="宋体" w:cs="宋体"/>
          <w:bCs w:val="0"/>
          <w:color w:val="auto"/>
          <w:spacing w:val="0"/>
          <w:kern w:val="2"/>
          <w:szCs w:val="24"/>
        </w:rPr>
        <w:t>至今任意3个月的证明材料，供应商成立不满3个月的，按实际成立至今的月份提供缴纳证明材料）；</w:t>
      </w:r>
    </w:p>
    <w:p w14:paraId="699F4D80">
      <w:pPr>
        <w:pStyle w:val="184"/>
        <w:rPr>
          <w:rFonts w:ascii="宋体" w:hAnsi="宋体" w:cs="宋体"/>
          <w:color w:val="auto"/>
          <w:spacing w:val="0"/>
          <w:kern w:val="2"/>
          <w:szCs w:val="24"/>
        </w:rPr>
      </w:pPr>
    </w:p>
    <w:p w14:paraId="38528B10">
      <w:pPr>
        <w:pStyle w:val="184"/>
        <w:rPr>
          <w:rFonts w:ascii="宋体" w:hAnsi="宋体" w:cs="宋体"/>
          <w:color w:val="auto"/>
          <w:spacing w:val="0"/>
          <w:kern w:val="2"/>
          <w:szCs w:val="24"/>
        </w:rPr>
      </w:pPr>
    </w:p>
    <w:p w14:paraId="22B09833">
      <w:pPr>
        <w:rPr>
          <w:rFonts w:hint="eastAsia" w:ascii="宋体" w:hAnsi="宋体" w:cs="宋体"/>
          <w:b/>
          <w:bCs/>
          <w:color w:val="auto"/>
          <w:kern w:val="0"/>
          <w:sz w:val="28"/>
          <w:szCs w:val="28"/>
        </w:rPr>
      </w:pPr>
      <w:bookmarkStart w:id="1231" w:name="_Toc29979"/>
      <w:bookmarkStart w:id="1232" w:name="_Toc674"/>
      <w:bookmarkStart w:id="1233" w:name="_Toc22321"/>
      <w:r>
        <w:rPr>
          <w:rFonts w:hint="eastAsia" w:ascii="宋体" w:hAnsi="宋体" w:cs="宋体"/>
          <w:b/>
          <w:bCs/>
          <w:color w:val="auto"/>
          <w:kern w:val="0"/>
          <w:sz w:val="28"/>
          <w:szCs w:val="28"/>
        </w:rPr>
        <w:br w:type="page"/>
      </w:r>
    </w:p>
    <w:p w14:paraId="74EC903E">
      <w:pPr>
        <w:autoSpaceDE w:val="0"/>
        <w:autoSpaceDN w:val="0"/>
        <w:adjustRightInd w:val="0"/>
        <w:spacing w:line="360" w:lineRule="auto"/>
        <w:jc w:val="center"/>
        <w:outlineLvl w:val="0"/>
        <w:rPr>
          <w:rFonts w:ascii="宋体" w:hAnsi="宋体" w:cs="宋体"/>
          <w:b/>
          <w:bCs/>
          <w:color w:val="auto"/>
          <w:kern w:val="0"/>
          <w:sz w:val="28"/>
          <w:szCs w:val="28"/>
        </w:rPr>
      </w:pPr>
      <w:r>
        <w:rPr>
          <w:rFonts w:hint="eastAsia" w:ascii="宋体" w:hAnsi="宋体" w:cs="宋体"/>
          <w:b/>
          <w:bCs/>
          <w:color w:val="auto"/>
          <w:kern w:val="0"/>
          <w:sz w:val="28"/>
          <w:szCs w:val="28"/>
        </w:rPr>
        <w:t>（3）参加政府采购活动前三年内在经营活动中没有重大违法记录的声明</w:t>
      </w:r>
      <w:bookmarkEnd w:id="1231"/>
      <w:bookmarkEnd w:id="1232"/>
      <w:bookmarkEnd w:id="1233"/>
    </w:p>
    <w:p w14:paraId="4FA9240E">
      <w:pPr>
        <w:pStyle w:val="184"/>
        <w:jc w:val="center"/>
        <w:rPr>
          <w:rFonts w:ascii="宋体" w:hAnsi="宋体" w:cs="宋体"/>
          <w:b/>
          <w:bCs w:val="0"/>
          <w:color w:val="auto"/>
          <w:spacing w:val="0"/>
          <w:szCs w:val="24"/>
        </w:rPr>
      </w:pPr>
    </w:p>
    <w:p w14:paraId="66F133F1">
      <w:pPr>
        <w:pStyle w:val="184"/>
        <w:jc w:val="center"/>
        <w:rPr>
          <w:rFonts w:ascii="宋体" w:hAnsi="宋体" w:cs="宋体"/>
          <w:b/>
          <w:bCs w:val="0"/>
          <w:color w:val="auto"/>
          <w:spacing w:val="0"/>
          <w:szCs w:val="24"/>
        </w:rPr>
      </w:pPr>
    </w:p>
    <w:p w14:paraId="725CD93D">
      <w:pPr>
        <w:pStyle w:val="184"/>
        <w:ind w:firstLine="480" w:firstLineChars="200"/>
        <w:rPr>
          <w:rFonts w:ascii="宋体" w:hAnsi="宋体" w:cs="宋体"/>
          <w:bCs w:val="0"/>
          <w:color w:val="auto"/>
          <w:spacing w:val="0"/>
          <w:kern w:val="2"/>
          <w:szCs w:val="24"/>
          <w:u w:val="single"/>
        </w:rPr>
      </w:pPr>
      <w:r>
        <w:rPr>
          <w:rFonts w:hint="eastAsia" w:ascii="宋体" w:hAnsi="宋体" w:cs="宋体"/>
          <w:bCs w:val="0"/>
          <w:color w:val="auto"/>
          <w:spacing w:val="0"/>
          <w:kern w:val="2"/>
          <w:szCs w:val="24"/>
        </w:rPr>
        <w:t>致：</w:t>
      </w:r>
      <w:r>
        <w:rPr>
          <w:rFonts w:hint="eastAsia" w:ascii="宋体" w:hAnsi="宋体" w:cs="宋体"/>
          <w:b/>
          <w:color w:val="auto"/>
          <w:szCs w:val="24"/>
          <w:u w:val="single"/>
        </w:rPr>
        <w:t>采购单位</w:t>
      </w:r>
    </w:p>
    <w:p w14:paraId="0DE88FAA">
      <w:pPr>
        <w:pStyle w:val="184"/>
        <w:spacing w:line="360" w:lineRule="auto"/>
        <w:ind w:firstLine="420"/>
        <w:rPr>
          <w:rFonts w:ascii="宋体" w:hAnsi="宋体" w:cs="宋体"/>
          <w:bCs w:val="0"/>
          <w:color w:val="auto"/>
          <w:spacing w:val="0"/>
          <w:kern w:val="2"/>
          <w:szCs w:val="24"/>
        </w:rPr>
      </w:pPr>
    </w:p>
    <w:p w14:paraId="61A46636">
      <w:pPr>
        <w:pStyle w:val="184"/>
        <w:spacing w:line="360" w:lineRule="auto"/>
        <w:ind w:firstLine="420"/>
        <w:rPr>
          <w:rFonts w:ascii="宋体" w:hAnsi="宋体" w:cs="宋体"/>
          <w:bCs w:val="0"/>
          <w:color w:val="auto"/>
          <w:spacing w:val="0"/>
          <w:kern w:val="2"/>
          <w:szCs w:val="24"/>
        </w:rPr>
      </w:pPr>
      <w:r>
        <w:rPr>
          <w:rFonts w:hint="eastAsia" w:ascii="宋体" w:hAnsi="宋体" w:cs="宋体"/>
          <w:bCs w:val="0"/>
          <w:color w:val="auto"/>
          <w:spacing w:val="0"/>
          <w:kern w:val="2"/>
          <w:szCs w:val="24"/>
        </w:rPr>
        <w:t>本人以</w:t>
      </w:r>
      <w:r>
        <w:rPr>
          <w:rFonts w:hint="eastAsia" w:ascii="宋体" w:hAnsi="宋体" w:cs="宋体"/>
          <w:bCs w:val="0"/>
          <w:color w:val="auto"/>
          <w:spacing w:val="0"/>
          <w:kern w:val="2"/>
          <w:szCs w:val="24"/>
          <w:u w:val="single"/>
        </w:rPr>
        <w:t xml:space="preserve">               </w:t>
      </w:r>
      <w:r>
        <w:rPr>
          <w:rFonts w:hint="eastAsia" w:ascii="宋体" w:hAnsi="宋体" w:cs="宋体"/>
          <w:bCs w:val="0"/>
          <w:color w:val="auto"/>
          <w:spacing w:val="0"/>
          <w:kern w:val="2"/>
          <w:szCs w:val="24"/>
        </w:rPr>
        <w:t>(磋商申请人全称)法定代表人的资格，郑重承诺：</w:t>
      </w:r>
    </w:p>
    <w:p w14:paraId="513F2A6A">
      <w:pPr>
        <w:pStyle w:val="184"/>
        <w:spacing w:line="360" w:lineRule="auto"/>
        <w:ind w:firstLine="420"/>
        <w:rPr>
          <w:rFonts w:ascii="宋体" w:hAnsi="宋体" w:cs="宋体"/>
          <w:bCs w:val="0"/>
          <w:color w:val="auto"/>
          <w:spacing w:val="0"/>
          <w:kern w:val="2"/>
          <w:szCs w:val="24"/>
        </w:rPr>
      </w:pPr>
      <w:r>
        <w:rPr>
          <w:rFonts w:hint="eastAsia" w:ascii="宋体" w:hAnsi="宋体" w:cs="宋体"/>
          <w:bCs w:val="0"/>
          <w:color w:val="auto"/>
          <w:spacing w:val="0"/>
          <w:kern w:val="2"/>
          <w:szCs w:val="24"/>
        </w:rPr>
        <w:t>我公司具有履行合同要求的专业技术能力，参加本项目政府采购活动前三年内，在经营活动中无违法、违规的不良记录。若在本次项目的招投标全过程中，查实我公司提供的资料及上述承诺不属实，或提供的相关资料不属实或不满足采购文件的要求，采购单位有权取消我公司的投标及中标资格，且我公司将无条件承担由此给本次招标活动带来的一切后果(包括经济损失)。</w:t>
      </w:r>
    </w:p>
    <w:p w14:paraId="119323A8">
      <w:pPr>
        <w:pStyle w:val="184"/>
        <w:spacing w:line="360" w:lineRule="auto"/>
        <w:ind w:firstLine="420"/>
        <w:rPr>
          <w:rFonts w:ascii="宋体" w:hAnsi="宋体" w:cs="宋体"/>
          <w:bCs w:val="0"/>
          <w:color w:val="auto"/>
          <w:spacing w:val="0"/>
          <w:kern w:val="2"/>
          <w:szCs w:val="24"/>
        </w:rPr>
      </w:pPr>
      <w:r>
        <w:rPr>
          <w:rFonts w:hint="eastAsia" w:ascii="宋体" w:hAnsi="宋体" w:cs="宋体"/>
          <w:bCs w:val="0"/>
          <w:color w:val="auto"/>
          <w:spacing w:val="0"/>
          <w:kern w:val="2"/>
          <w:szCs w:val="24"/>
        </w:rPr>
        <w:t>特此声明</w:t>
      </w:r>
    </w:p>
    <w:p w14:paraId="070B6ADC">
      <w:pPr>
        <w:pStyle w:val="184"/>
        <w:spacing w:line="360" w:lineRule="auto"/>
        <w:ind w:firstLine="420"/>
        <w:rPr>
          <w:rFonts w:ascii="宋体" w:hAnsi="宋体" w:cs="宋体"/>
          <w:bCs w:val="0"/>
          <w:color w:val="auto"/>
          <w:spacing w:val="0"/>
          <w:kern w:val="2"/>
          <w:szCs w:val="24"/>
        </w:rPr>
      </w:pPr>
    </w:p>
    <w:p w14:paraId="52F95F01">
      <w:pPr>
        <w:widowControl/>
        <w:jc w:val="left"/>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51086566">
      <w:pPr>
        <w:widowControl/>
        <w:jc w:val="left"/>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5B55B0E8">
      <w:pPr>
        <w:widowControl/>
        <w:jc w:val="left"/>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52C92DAF">
      <w:pPr>
        <w:pStyle w:val="184"/>
        <w:spacing w:line="360" w:lineRule="auto"/>
        <w:ind w:firstLine="420"/>
        <w:rPr>
          <w:rFonts w:ascii="宋体" w:hAnsi="宋体" w:cs="宋体"/>
          <w:bCs w:val="0"/>
          <w:color w:val="auto"/>
          <w:spacing w:val="0"/>
          <w:kern w:val="2"/>
          <w:szCs w:val="24"/>
        </w:rPr>
      </w:pPr>
    </w:p>
    <w:p w14:paraId="585F9C1B">
      <w:pPr>
        <w:pStyle w:val="184"/>
        <w:spacing w:line="360" w:lineRule="auto"/>
        <w:ind w:firstLine="420"/>
        <w:rPr>
          <w:rFonts w:ascii="宋体" w:hAnsi="宋体" w:cs="宋体"/>
          <w:bCs w:val="0"/>
          <w:color w:val="auto"/>
          <w:spacing w:val="0"/>
          <w:kern w:val="2"/>
          <w:szCs w:val="24"/>
        </w:rPr>
      </w:pPr>
    </w:p>
    <w:p w14:paraId="5E8E6F28">
      <w:pPr>
        <w:pStyle w:val="184"/>
        <w:spacing w:line="360" w:lineRule="auto"/>
        <w:ind w:firstLine="420"/>
        <w:rPr>
          <w:rFonts w:ascii="宋体" w:hAnsi="宋体" w:cs="宋体"/>
          <w:bCs w:val="0"/>
          <w:color w:val="auto"/>
          <w:spacing w:val="0"/>
          <w:kern w:val="2"/>
          <w:szCs w:val="24"/>
        </w:rPr>
      </w:pPr>
    </w:p>
    <w:p w14:paraId="10E26F4A">
      <w:pPr>
        <w:pStyle w:val="184"/>
        <w:spacing w:line="360" w:lineRule="auto"/>
        <w:ind w:firstLine="420"/>
        <w:rPr>
          <w:rFonts w:ascii="宋体" w:hAnsi="宋体" w:cs="宋体"/>
          <w:bCs w:val="0"/>
          <w:color w:val="auto"/>
          <w:spacing w:val="0"/>
          <w:kern w:val="2"/>
          <w:szCs w:val="24"/>
        </w:rPr>
      </w:pPr>
    </w:p>
    <w:p w14:paraId="337E7DE4">
      <w:pPr>
        <w:pStyle w:val="184"/>
        <w:spacing w:line="360" w:lineRule="auto"/>
        <w:ind w:firstLine="420"/>
        <w:rPr>
          <w:rFonts w:ascii="宋体" w:hAnsi="宋体" w:cs="宋体"/>
          <w:bCs w:val="0"/>
          <w:color w:val="auto"/>
          <w:spacing w:val="0"/>
          <w:kern w:val="2"/>
          <w:szCs w:val="24"/>
        </w:rPr>
      </w:pPr>
    </w:p>
    <w:p w14:paraId="417F6CF4">
      <w:pPr>
        <w:pStyle w:val="184"/>
        <w:spacing w:line="360" w:lineRule="auto"/>
        <w:ind w:firstLine="420"/>
        <w:rPr>
          <w:rFonts w:ascii="宋体" w:hAnsi="宋体" w:cs="宋体"/>
          <w:bCs w:val="0"/>
          <w:color w:val="auto"/>
          <w:spacing w:val="0"/>
          <w:kern w:val="2"/>
          <w:szCs w:val="24"/>
        </w:rPr>
      </w:pPr>
    </w:p>
    <w:p w14:paraId="715551F5">
      <w:pPr>
        <w:pStyle w:val="184"/>
        <w:spacing w:line="360" w:lineRule="auto"/>
        <w:ind w:firstLine="420"/>
        <w:rPr>
          <w:rFonts w:ascii="宋体" w:hAnsi="宋体" w:cs="宋体"/>
          <w:bCs w:val="0"/>
          <w:color w:val="auto"/>
          <w:spacing w:val="0"/>
          <w:kern w:val="2"/>
          <w:szCs w:val="24"/>
        </w:rPr>
      </w:pPr>
    </w:p>
    <w:p w14:paraId="2D19C91D">
      <w:pPr>
        <w:autoSpaceDE w:val="0"/>
        <w:autoSpaceDN w:val="0"/>
        <w:adjustRightInd w:val="0"/>
        <w:spacing w:line="360" w:lineRule="auto"/>
        <w:outlineLvl w:val="0"/>
        <w:rPr>
          <w:rFonts w:ascii="宋体" w:hAnsi="宋体" w:cs="宋体"/>
          <w:b/>
          <w:bCs/>
          <w:color w:val="auto"/>
          <w:kern w:val="0"/>
          <w:sz w:val="28"/>
          <w:szCs w:val="28"/>
        </w:rPr>
      </w:pPr>
      <w:bookmarkStart w:id="1234" w:name="_Toc11990"/>
    </w:p>
    <w:bookmarkEnd w:id="1234"/>
    <w:p w14:paraId="79902C33">
      <w:pPr>
        <w:rPr>
          <w:rFonts w:hint="eastAsia" w:ascii="宋体" w:hAnsi="宋体" w:cs="宋体"/>
          <w:b/>
          <w:bCs/>
          <w:color w:val="auto"/>
          <w:kern w:val="0"/>
          <w:sz w:val="28"/>
          <w:szCs w:val="28"/>
        </w:rPr>
      </w:pPr>
      <w:bookmarkStart w:id="1235" w:name="_Toc21302"/>
      <w:bookmarkStart w:id="1236" w:name="_Toc20735"/>
      <w:bookmarkStart w:id="1237" w:name="_Toc25264"/>
      <w:bookmarkStart w:id="1238" w:name="_Toc30840"/>
      <w:bookmarkStart w:id="1239" w:name="_Toc17148"/>
      <w:r>
        <w:rPr>
          <w:rFonts w:hint="eastAsia" w:ascii="宋体" w:hAnsi="宋体" w:cs="宋体"/>
          <w:b/>
          <w:bCs/>
          <w:color w:val="auto"/>
          <w:kern w:val="0"/>
          <w:sz w:val="28"/>
          <w:szCs w:val="28"/>
        </w:rPr>
        <w:br w:type="page"/>
      </w:r>
    </w:p>
    <w:p w14:paraId="4818C6C7">
      <w:pPr>
        <w:autoSpaceDE w:val="0"/>
        <w:autoSpaceDN w:val="0"/>
        <w:adjustRightInd w:val="0"/>
        <w:spacing w:line="360" w:lineRule="auto"/>
        <w:jc w:val="center"/>
        <w:outlineLvl w:val="0"/>
        <w:rPr>
          <w:rFonts w:ascii="宋体" w:hAnsi="宋体" w:cs="宋体"/>
          <w:b/>
          <w:bCs/>
          <w:color w:val="auto"/>
          <w:kern w:val="0"/>
          <w:sz w:val="28"/>
          <w:szCs w:val="28"/>
          <w:lang w:val="zh-CN"/>
        </w:rPr>
      </w:pPr>
      <w:r>
        <w:rPr>
          <w:rFonts w:hint="eastAsia" w:ascii="宋体" w:hAnsi="宋体" w:cs="宋体"/>
          <w:b/>
          <w:bCs/>
          <w:color w:val="auto"/>
          <w:kern w:val="0"/>
          <w:sz w:val="28"/>
          <w:szCs w:val="28"/>
        </w:rPr>
        <w:t>（4）中小企业声明函</w:t>
      </w:r>
      <w:bookmarkEnd w:id="1235"/>
      <w:bookmarkEnd w:id="1236"/>
      <w:bookmarkEnd w:id="1237"/>
      <w:bookmarkEnd w:id="1238"/>
      <w:bookmarkEnd w:id="1239"/>
    </w:p>
    <w:p w14:paraId="0B87CAED">
      <w:pPr>
        <w:pStyle w:val="17"/>
        <w:spacing w:line="600" w:lineRule="auto"/>
        <w:ind w:right="295" w:firstLine="640"/>
        <w:rPr>
          <w:rFonts w:ascii="宋体" w:hAnsi="宋体" w:cs="宋体"/>
          <w:color w:val="auto"/>
          <w:sz w:val="24"/>
        </w:rPr>
      </w:pPr>
      <w:r>
        <w:rPr>
          <w:rFonts w:hint="eastAsia" w:ascii="宋体" w:hAnsi="宋体" w:cs="宋体"/>
          <w:color w:val="auto"/>
          <w:sz w:val="24"/>
        </w:rPr>
        <w:t>本公司郑重声明，根据《政府采购促进中小企业发展管理办法》（财库﹝2020﹞46 号）的规定，本公司参加</w:t>
      </w:r>
      <w:r>
        <w:rPr>
          <w:rFonts w:hint="eastAsia" w:ascii="宋体" w:hAnsi="宋体" w:cs="宋体"/>
          <w:iCs/>
          <w:color w:val="auto"/>
          <w:sz w:val="24"/>
          <w:u w:val="single"/>
        </w:rPr>
        <w:t>（单位名称）</w:t>
      </w:r>
      <w:r>
        <w:rPr>
          <w:rFonts w:hint="eastAsia" w:ascii="宋体" w:hAnsi="宋体" w:cs="宋体"/>
          <w:iCs/>
          <w:color w:val="auto"/>
          <w:sz w:val="24"/>
        </w:rPr>
        <w:t>的</w:t>
      </w:r>
      <w:r>
        <w:rPr>
          <w:rFonts w:hint="eastAsia" w:ascii="宋体" w:hAnsi="宋体" w:cs="宋体"/>
          <w:iCs/>
          <w:color w:val="auto"/>
          <w:sz w:val="24"/>
          <w:u w:val="single"/>
        </w:rPr>
        <w:t>（项目名称）</w:t>
      </w:r>
      <w:r>
        <w:rPr>
          <w:rFonts w:hint="eastAsia" w:ascii="宋体" w:hAnsi="宋体" w:cs="宋体"/>
          <w:color w:val="auto"/>
          <w:sz w:val="24"/>
        </w:rPr>
        <w:t>采购活动，工程的施工单位全部为符合政策要求的中小企业（或者：服务全部由符合政策要求的中小企业承接）。相关企业（含联合 体中的中小企业、签订分包意向协议的中小企业）的具体情况如下：</w:t>
      </w:r>
    </w:p>
    <w:p w14:paraId="584A9B40">
      <w:pPr>
        <w:pStyle w:val="182"/>
        <w:tabs>
          <w:tab w:val="left" w:pos="1143"/>
        </w:tabs>
        <w:spacing w:line="600" w:lineRule="auto"/>
        <w:ind w:firstLine="480"/>
        <w:rPr>
          <w:rFonts w:ascii="宋体" w:hAnsi="宋体" w:cs="宋体"/>
          <w:iCs/>
          <w:color w:val="auto"/>
          <w:sz w:val="24"/>
        </w:rPr>
      </w:pPr>
      <w:r>
        <w:rPr>
          <w:rFonts w:hint="eastAsia" w:ascii="宋体" w:hAnsi="宋体" w:cs="宋体"/>
          <w:iCs/>
          <w:color w:val="auto"/>
          <w:sz w:val="24"/>
          <w:u w:val="single"/>
        </w:rPr>
        <w:t>（标的名称）</w:t>
      </w:r>
      <w:r>
        <w:rPr>
          <w:rFonts w:hint="eastAsia" w:ascii="宋体" w:hAnsi="宋体" w:cs="宋体"/>
          <w:iCs/>
          <w:color w:val="auto"/>
          <w:sz w:val="24"/>
        </w:rPr>
        <w:t>，属于（</w:t>
      </w:r>
      <w:r>
        <w:rPr>
          <w:rFonts w:hint="eastAsia" w:ascii="宋体" w:hAnsi="宋体" w:cs="宋体"/>
          <w:iCs/>
          <w:color w:val="auto"/>
          <w:sz w:val="24"/>
          <w:u w:val="single"/>
        </w:rPr>
        <w:t>采购文件中明确的所属行业）</w:t>
      </w:r>
      <w:r>
        <w:rPr>
          <w:rFonts w:hint="eastAsia" w:ascii="宋体" w:hAnsi="宋体" w:cs="宋体"/>
          <w:iCs/>
          <w:color w:val="auto"/>
          <w:sz w:val="24"/>
        </w:rPr>
        <w:t>；承建（承接）企业为</w:t>
      </w:r>
      <w:r>
        <w:rPr>
          <w:rFonts w:hint="eastAsia" w:ascii="宋体" w:hAnsi="宋体" w:cs="宋体"/>
          <w:iCs/>
          <w:color w:val="auto"/>
          <w:sz w:val="24"/>
          <w:u w:val="single"/>
        </w:rPr>
        <w:t>（企业名称）</w:t>
      </w:r>
      <w:r>
        <w:rPr>
          <w:rFonts w:hint="eastAsia" w:ascii="宋体" w:hAnsi="宋体" w:cs="宋体"/>
          <w:iCs/>
          <w:color w:val="auto"/>
          <w:sz w:val="24"/>
        </w:rPr>
        <w:t>，从业人员</w:t>
      </w:r>
      <w:r>
        <w:rPr>
          <w:rFonts w:hint="eastAsia" w:ascii="宋体" w:hAnsi="宋体" w:cs="宋体"/>
          <w:iCs/>
          <w:color w:val="auto"/>
          <w:sz w:val="24"/>
          <w:u w:val="single"/>
        </w:rPr>
        <w:t xml:space="preserve"> </w:t>
      </w:r>
      <w:r>
        <w:rPr>
          <w:rFonts w:hint="eastAsia" w:ascii="宋体" w:hAnsi="宋体" w:cs="宋体"/>
          <w:iCs/>
          <w:color w:val="auto"/>
          <w:sz w:val="24"/>
          <w:u w:val="single"/>
        </w:rPr>
        <w:tab/>
      </w:r>
      <w:r>
        <w:rPr>
          <w:rFonts w:hint="eastAsia" w:ascii="宋体" w:hAnsi="宋体" w:cs="宋体"/>
          <w:iCs/>
          <w:color w:val="auto"/>
          <w:sz w:val="24"/>
          <w:u w:val="single"/>
        </w:rPr>
        <w:t xml:space="preserve">  </w:t>
      </w:r>
      <w:r>
        <w:rPr>
          <w:rFonts w:hint="eastAsia" w:ascii="宋体" w:hAnsi="宋体" w:cs="宋体"/>
          <w:iCs/>
          <w:color w:val="auto"/>
          <w:sz w:val="24"/>
        </w:rPr>
        <w:t>人，营业收入为</w:t>
      </w:r>
      <w:r>
        <w:rPr>
          <w:rFonts w:hint="eastAsia" w:ascii="宋体" w:hAnsi="宋体" w:cs="宋体"/>
          <w:iCs/>
          <w:color w:val="auto"/>
          <w:sz w:val="24"/>
          <w:u w:val="single"/>
        </w:rPr>
        <w:t xml:space="preserve"> </w:t>
      </w:r>
      <w:r>
        <w:rPr>
          <w:rFonts w:hint="eastAsia" w:ascii="宋体" w:hAnsi="宋体" w:cs="宋体"/>
          <w:iCs/>
          <w:color w:val="auto"/>
          <w:sz w:val="24"/>
          <w:u w:val="single"/>
        </w:rPr>
        <w:tab/>
      </w:r>
      <w:r>
        <w:rPr>
          <w:rFonts w:hint="eastAsia" w:ascii="宋体" w:hAnsi="宋体" w:cs="宋体"/>
          <w:iCs/>
          <w:color w:val="auto"/>
          <w:sz w:val="24"/>
        </w:rPr>
        <w:t>万元，资产总额为</w:t>
      </w:r>
      <w:r>
        <w:rPr>
          <w:rFonts w:hint="eastAsia" w:ascii="宋体" w:hAnsi="宋体" w:cs="宋体"/>
          <w:iCs/>
          <w:color w:val="auto"/>
          <w:sz w:val="24"/>
          <w:u w:val="single"/>
        </w:rPr>
        <w:t xml:space="preserve"> </w:t>
      </w:r>
      <w:r>
        <w:rPr>
          <w:rFonts w:hint="eastAsia" w:ascii="宋体" w:hAnsi="宋体" w:cs="宋体"/>
          <w:iCs/>
          <w:color w:val="auto"/>
          <w:sz w:val="24"/>
          <w:u w:val="single"/>
        </w:rPr>
        <w:tab/>
      </w:r>
      <w:r>
        <w:rPr>
          <w:rFonts w:hint="eastAsia" w:ascii="宋体" w:hAnsi="宋体" w:cs="宋体"/>
          <w:iCs/>
          <w:color w:val="auto"/>
          <w:sz w:val="24"/>
          <w:u w:val="single"/>
        </w:rPr>
        <w:t xml:space="preserve">  </w:t>
      </w:r>
      <w:r>
        <w:rPr>
          <w:rFonts w:hint="eastAsia" w:ascii="宋体" w:hAnsi="宋体" w:cs="宋体"/>
          <w:iCs/>
          <w:color w:val="auto"/>
          <w:sz w:val="24"/>
        </w:rPr>
        <w:t>万元，属于</w:t>
      </w:r>
      <w:r>
        <w:rPr>
          <w:rFonts w:hint="eastAsia" w:ascii="宋体" w:hAnsi="宋体" w:cs="宋体"/>
          <w:iCs/>
          <w:color w:val="auto"/>
          <w:sz w:val="24"/>
          <w:u w:val="single"/>
        </w:rPr>
        <w:t>（中型企业、小型企业、微型企业）</w:t>
      </w:r>
      <w:r>
        <w:rPr>
          <w:rFonts w:hint="eastAsia" w:ascii="宋体" w:hAnsi="宋体" w:cs="宋体"/>
          <w:iCs/>
          <w:color w:val="auto"/>
          <w:sz w:val="24"/>
        </w:rPr>
        <w:t>；</w:t>
      </w:r>
    </w:p>
    <w:p w14:paraId="546707FA">
      <w:pPr>
        <w:pStyle w:val="17"/>
        <w:spacing w:before="11" w:line="600" w:lineRule="auto"/>
        <w:ind w:left="760"/>
        <w:rPr>
          <w:rFonts w:ascii="宋体" w:hAnsi="宋体" w:cs="宋体"/>
          <w:color w:val="auto"/>
          <w:sz w:val="24"/>
        </w:rPr>
      </w:pPr>
      <w:r>
        <w:rPr>
          <w:rFonts w:hint="eastAsia" w:ascii="宋体" w:hAnsi="宋体" w:cs="宋体"/>
          <w:color w:val="auto"/>
          <w:sz w:val="24"/>
        </w:rPr>
        <w:t>……</w:t>
      </w:r>
    </w:p>
    <w:p w14:paraId="5F6AE635">
      <w:pPr>
        <w:pStyle w:val="17"/>
        <w:spacing w:before="108" w:line="600" w:lineRule="auto"/>
        <w:ind w:right="297" w:firstLine="645"/>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618C54FA">
      <w:pPr>
        <w:pStyle w:val="17"/>
        <w:spacing w:line="600" w:lineRule="auto"/>
        <w:ind w:right="255" w:firstLine="640"/>
        <w:rPr>
          <w:rFonts w:ascii="宋体" w:hAnsi="宋体" w:cs="宋体"/>
          <w:color w:val="auto"/>
          <w:sz w:val="24"/>
          <w:lang w:val="zh-CN"/>
        </w:rPr>
      </w:pPr>
      <w:r>
        <w:rPr>
          <w:rFonts w:hint="eastAsia" w:ascii="宋体" w:hAnsi="宋体" w:cs="宋体"/>
          <w:color w:val="auto"/>
          <w:sz w:val="24"/>
        </w:rPr>
        <w:t>本企业对上述声明内容的真实性负责。如有虚假，将依法承担相应责任。</w:t>
      </w:r>
    </w:p>
    <w:p w14:paraId="6C8593EE">
      <w:pPr>
        <w:pStyle w:val="43"/>
        <w:ind w:firstLine="480"/>
        <w:rPr>
          <w:rFonts w:ascii="宋体" w:hAnsi="宋体" w:cs="宋体"/>
          <w:bCs/>
          <w:color w:val="auto"/>
          <w:sz w:val="24"/>
          <w:szCs w:val="24"/>
        </w:rPr>
      </w:pPr>
    </w:p>
    <w:p w14:paraId="6A3DA88C">
      <w:pPr>
        <w:pStyle w:val="43"/>
        <w:ind w:firstLine="480"/>
        <w:rPr>
          <w:rFonts w:ascii="宋体" w:hAnsi="宋体" w:cs="宋体"/>
          <w:bCs/>
          <w:color w:val="auto"/>
          <w:sz w:val="24"/>
          <w:szCs w:val="24"/>
        </w:rPr>
      </w:pPr>
    </w:p>
    <w:p w14:paraId="3172703A">
      <w:pPr>
        <w:pStyle w:val="43"/>
        <w:ind w:firstLine="480"/>
        <w:rPr>
          <w:rFonts w:ascii="宋体" w:hAnsi="宋体" w:cs="宋体"/>
          <w:bCs/>
          <w:color w:val="auto"/>
          <w:sz w:val="24"/>
          <w:szCs w:val="24"/>
        </w:rPr>
      </w:pPr>
    </w:p>
    <w:p w14:paraId="4AD51EAF">
      <w:pPr>
        <w:widowControl/>
        <w:jc w:val="left"/>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04593804">
      <w:pPr>
        <w:widowControl/>
        <w:jc w:val="left"/>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2D1515F6">
      <w:pPr>
        <w:widowControl/>
        <w:jc w:val="left"/>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75B41029">
      <w:pPr>
        <w:rPr>
          <w:color w:val="auto"/>
        </w:rPr>
      </w:pPr>
    </w:p>
    <w:p w14:paraId="55C6F616">
      <w:pPr>
        <w:autoSpaceDE w:val="0"/>
        <w:autoSpaceDN w:val="0"/>
        <w:adjustRightInd w:val="0"/>
        <w:spacing w:line="360" w:lineRule="auto"/>
        <w:jc w:val="center"/>
        <w:outlineLvl w:val="0"/>
        <w:rPr>
          <w:rFonts w:ascii="宋体" w:hAnsi="宋体" w:cs="宋体"/>
          <w:b/>
          <w:bCs/>
          <w:color w:val="auto"/>
          <w:kern w:val="0"/>
          <w:sz w:val="28"/>
          <w:szCs w:val="28"/>
        </w:rPr>
      </w:pPr>
      <w:bookmarkStart w:id="1240" w:name="_Toc11170"/>
      <w:bookmarkStart w:id="1241" w:name="_Toc29042"/>
      <w:bookmarkStart w:id="1242" w:name="_Toc20389"/>
    </w:p>
    <w:p w14:paraId="31E82B12">
      <w:pPr>
        <w:autoSpaceDE w:val="0"/>
        <w:autoSpaceDN w:val="0"/>
        <w:adjustRightInd w:val="0"/>
        <w:spacing w:line="360" w:lineRule="auto"/>
        <w:jc w:val="center"/>
        <w:outlineLvl w:val="0"/>
        <w:rPr>
          <w:rFonts w:ascii="宋体" w:hAnsi="宋体" w:cs="宋体"/>
          <w:b/>
          <w:bCs/>
          <w:color w:val="auto"/>
          <w:kern w:val="0"/>
          <w:sz w:val="28"/>
          <w:szCs w:val="28"/>
        </w:rPr>
      </w:pPr>
    </w:p>
    <w:p w14:paraId="737CC071">
      <w:pPr>
        <w:autoSpaceDE w:val="0"/>
        <w:autoSpaceDN w:val="0"/>
        <w:adjustRightInd w:val="0"/>
        <w:spacing w:line="360" w:lineRule="auto"/>
        <w:jc w:val="center"/>
        <w:outlineLvl w:val="0"/>
        <w:rPr>
          <w:rFonts w:ascii="宋体" w:hAnsi="宋体" w:cs="宋体"/>
          <w:b/>
          <w:bCs/>
          <w:color w:val="auto"/>
          <w:kern w:val="0"/>
          <w:sz w:val="28"/>
          <w:szCs w:val="28"/>
        </w:rPr>
      </w:pPr>
    </w:p>
    <w:p w14:paraId="183EC16B">
      <w:pPr>
        <w:autoSpaceDE w:val="0"/>
        <w:autoSpaceDN w:val="0"/>
        <w:adjustRightInd w:val="0"/>
        <w:spacing w:line="360" w:lineRule="auto"/>
        <w:jc w:val="center"/>
        <w:outlineLvl w:val="0"/>
        <w:rPr>
          <w:rFonts w:hint="eastAsia" w:ascii="宋体" w:hAnsi="宋体" w:cs="宋体"/>
          <w:b/>
          <w:bCs/>
          <w:color w:val="auto"/>
          <w:kern w:val="0"/>
          <w:sz w:val="28"/>
          <w:szCs w:val="28"/>
        </w:rPr>
      </w:pPr>
    </w:p>
    <w:p w14:paraId="5AD54FA2">
      <w:pPr>
        <w:pStyle w:val="2"/>
        <w:rPr>
          <w:color w:val="auto"/>
        </w:rPr>
      </w:pPr>
    </w:p>
    <w:p w14:paraId="4130BED0">
      <w:pPr>
        <w:autoSpaceDE w:val="0"/>
        <w:autoSpaceDN w:val="0"/>
        <w:adjustRightInd w:val="0"/>
        <w:spacing w:line="360" w:lineRule="auto"/>
        <w:jc w:val="center"/>
        <w:outlineLvl w:val="0"/>
        <w:rPr>
          <w:rFonts w:ascii="宋体" w:hAnsi="宋体" w:cs="宋体"/>
          <w:b/>
          <w:bCs/>
          <w:color w:val="auto"/>
          <w:kern w:val="0"/>
          <w:sz w:val="28"/>
          <w:szCs w:val="28"/>
        </w:rPr>
      </w:pPr>
      <w:bookmarkStart w:id="1243" w:name="_Toc14686"/>
      <w:bookmarkStart w:id="1244" w:name="_Toc17740"/>
      <w:r>
        <w:rPr>
          <w:rFonts w:hint="eastAsia" w:ascii="宋体" w:hAnsi="宋体" w:cs="宋体"/>
          <w:b/>
          <w:bCs/>
          <w:color w:val="auto"/>
          <w:kern w:val="0"/>
          <w:sz w:val="28"/>
          <w:szCs w:val="28"/>
        </w:rPr>
        <w:t>（5）残疾人福利性单位声明函</w:t>
      </w:r>
      <w:bookmarkEnd w:id="1240"/>
      <w:bookmarkEnd w:id="1241"/>
      <w:bookmarkEnd w:id="1242"/>
      <w:bookmarkEnd w:id="1243"/>
      <w:bookmarkEnd w:id="1244"/>
    </w:p>
    <w:p w14:paraId="2C2CB083">
      <w:pPr>
        <w:autoSpaceDE w:val="0"/>
        <w:autoSpaceDN w:val="0"/>
        <w:spacing w:line="588" w:lineRule="exact"/>
        <w:ind w:firstLine="504"/>
        <w:rPr>
          <w:rFonts w:ascii="宋体" w:hAnsi="宋体" w:cs="宋体"/>
          <w:color w:val="auto"/>
          <w:sz w:val="24"/>
          <w:szCs w:val="24"/>
          <w:lang w:val="zh-CN"/>
        </w:rPr>
      </w:pPr>
      <w:r>
        <w:rPr>
          <w:rFonts w:hint="eastAsia" w:ascii="宋体" w:hAnsi="宋体" w:cs="宋体"/>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EC2195">
      <w:pPr>
        <w:autoSpaceDE w:val="0"/>
        <w:autoSpaceDN w:val="0"/>
        <w:spacing w:line="588" w:lineRule="exact"/>
        <w:ind w:firstLine="504"/>
        <w:rPr>
          <w:rFonts w:ascii="宋体" w:hAnsi="宋体" w:cs="宋体"/>
          <w:color w:val="auto"/>
          <w:sz w:val="24"/>
          <w:szCs w:val="24"/>
          <w:lang w:val="zh-CN"/>
        </w:rPr>
      </w:pPr>
      <w:r>
        <w:rPr>
          <w:rFonts w:hint="eastAsia" w:ascii="宋体" w:hAnsi="宋体" w:cs="宋体"/>
          <w:color w:val="auto"/>
          <w:sz w:val="24"/>
          <w:szCs w:val="24"/>
          <w:lang w:val="zh-CN"/>
        </w:rPr>
        <w:t>本单位对上述声明的真实性负责。如有虚假，将依法承担相应责任。</w:t>
      </w:r>
    </w:p>
    <w:p w14:paraId="0AB45DB5">
      <w:pPr>
        <w:pStyle w:val="4"/>
        <w:rPr>
          <w:rFonts w:ascii="宋体" w:hAnsi="宋体" w:cs="宋体"/>
          <w:color w:val="auto"/>
          <w:szCs w:val="24"/>
        </w:rPr>
      </w:pPr>
    </w:p>
    <w:p w14:paraId="62D91CF2">
      <w:pPr>
        <w:rPr>
          <w:rFonts w:ascii="宋体" w:hAnsi="宋体" w:cs="宋体"/>
          <w:color w:val="auto"/>
          <w:sz w:val="24"/>
          <w:szCs w:val="24"/>
        </w:rPr>
      </w:pPr>
    </w:p>
    <w:p w14:paraId="7EE024E7">
      <w:pPr>
        <w:pStyle w:val="4"/>
        <w:spacing w:before="0" w:after="0" w:line="360" w:lineRule="auto"/>
        <w:jc w:val="center"/>
        <w:rPr>
          <w:rFonts w:ascii="宋体" w:hAnsi="宋体" w:cs="宋体"/>
          <w:bCs/>
          <w:color w:val="auto"/>
          <w:szCs w:val="24"/>
        </w:rPr>
      </w:pPr>
    </w:p>
    <w:p w14:paraId="5B06A39A">
      <w:pPr>
        <w:rPr>
          <w:rFonts w:ascii="宋体" w:hAnsi="宋体" w:cs="宋体"/>
          <w:bCs/>
          <w:color w:val="auto"/>
          <w:sz w:val="24"/>
          <w:szCs w:val="24"/>
        </w:rPr>
      </w:pPr>
    </w:p>
    <w:p w14:paraId="77B0C77B">
      <w:pPr>
        <w:pStyle w:val="43"/>
        <w:ind w:firstLine="480"/>
        <w:rPr>
          <w:rFonts w:ascii="宋体" w:hAnsi="宋体" w:cs="宋体"/>
          <w:bCs/>
          <w:color w:val="auto"/>
          <w:sz w:val="24"/>
          <w:szCs w:val="24"/>
        </w:rPr>
      </w:pPr>
    </w:p>
    <w:p w14:paraId="635CFBCC">
      <w:pPr>
        <w:pStyle w:val="43"/>
        <w:ind w:firstLine="480"/>
        <w:rPr>
          <w:rFonts w:ascii="宋体" w:hAnsi="宋体" w:cs="宋体"/>
          <w:bCs/>
          <w:color w:val="auto"/>
          <w:sz w:val="24"/>
          <w:szCs w:val="24"/>
        </w:rPr>
      </w:pPr>
    </w:p>
    <w:p w14:paraId="6EF9EB23">
      <w:pPr>
        <w:widowControl/>
        <w:jc w:val="left"/>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592F286D">
      <w:pPr>
        <w:widowControl/>
        <w:jc w:val="left"/>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498A3DDE">
      <w:pPr>
        <w:widowControl/>
        <w:jc w:val="left"/>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639BD6F4">
      <w:pPr>
        <w:tabs>
          <w:tab w:val="left" w:pos="840"/>
        </w:tabs>
        <w:spacing w:line="500" w:lineRule="exact"/>
        <w:jc w:val="left"/>
        <w:rPr>
          <w:rFonts w:ascii="宋体" w:hAnsi="宋体" w:cs="宋体"/>
          <w:color w:val="auto"/>
          <w:sz w:val="24"/>
        </w:rPr>
      </w:pPr>
    </w:p>
    <w:p w14:paraId="586F8F60">
      <w:pPr>
        <w:pStyle w:val="43"/>
        <w:ind w:firstLine="560"/>
        <w:rPr>
          <w:rFonts w:ascii="宋体" w:hAnsi="宋体" w:cs="宋体"/>
          <w:color w:val="auto"/>
        </w:rPr>
      </w:pPr>
    </w:p>
    <w:p w14:paraId="2252D69F">
      <w:pPr>
        <w:pStyle w:val="43"/>
        <w:ind w:firstLine="560"/>
        <w:rPr>
          <w:rFonts w:ascii="宋体" w:hAnsi="宋体" w:cs="宋体"/>
          <w:color w:val="auto"/>
        </w:rPr>
      </w:pPr>
    </w:p>
    <w:p w14:paraId="525A58E2">
      <w:pPr>
        <w:pStyle w:val="43"/>
        <w:ind w:firstLine="560"/>
        <w:rPr>
          <w:rFonts w:ascii="宋体" w:hAnsi="宋体" w:cs="宋体"/>
          <w:color w:val="auto"/>
        </w:rPr>
      </w:pPr>
    </w:p>
    <w:p w14:paraId="79DAD183">
      <w:pPr>
        <w:pStyle w:val="43"/>
        <w:ind w:firstLine="560"/>
        <w:rPr>
          <w:rFonts w:ascii="宋体" w:hAnsi="宋体" w:cs="宋体"/>
          <w:color w:val="auto"/>
        </w:rPr>
      </w:pPr>
    </w:p>
    <w:p w14:paraId="4B0D4106">
      <w:pPr>
        <w:pStyle w:val="43"/>
        <w:ind w:firstLine="560"/>
        <w:rPr>
          <w:rFonts w:ascii="宋体" w:hAnsi="宋体" w:cs="宋体"/>
          <w:color w:val="auto"/>
        </w:rPr>
      </w:pPr>
    </w:p>
    <w:p w14:paraId="6B9D4C32">
      <w:pPr>
        <w:pStyle w:val="42"/>
        <w:ind w:firstLine="210"/>
        <w:rPr>
          <w:rFonts w:ascii="宋体" w:hAnsi="宋体" w:cs="宋体"/>
          <w:color w:val="auto"/>
        </w:rPr>
      </w:pPr>
    </w:p>
    <w:p w14:paraId="4A1ADE47">
      <w:pPr>
        <w:rPr>
          <w:rFonts w:ascii="宋体" w:hAnsi="宋体" w:cs="宋体"/>
          <w:color w:val="auto"/>
        </w:rPr>
      </w:pPr>
    </w:p>
    <w:p w14:paraId="6F2F5CD9">
      <w:pPr>
        <w:pStyle w:val="43"/>
        <w:ind w:firstLine="560"/>
        <w:rPr>
          <w:rFonts w:ascii="宋体" w:hAnsi="宋体" w:cs="宋体"/>
          <w:color w:val="auto"/>
        </w:rPr>
      </w:pPr>
    </w:p>
    <w:p w14:paraId="57561E76">
      <w:pPr>
        <w:pStyle w:val="42"/>
        <w:ind w:firstLine="210"/>
        <w:rPr>
          <w:rFonts w:ascii="宋体" w:hAnsi="宋体" w:cs="宋体"/>
          <w:color w:val="auto"/>
        </w:rPr>
      </w:pPr>
    </w:p>
    <w:p w14:paraId="4C572BE5">
      <w:pPr>
        <w:rPr>
          <w:rFonts w:ascii="宋体" w:hAnsi="宋体" w:cs="宋体"/>
          <w:color w:val="auto"/>
        </w:rPr>
      </w:pPr>
    </w:p>
    <w:p w14:paraId="52EA7209">
      <w:pPr>
        <w:pStyle w:val="43"/>
        <w:ind w:firstLine="560"/>
        <w:rPr>
          <w:color w:val="auto"/>
        </w:rPr>
      </w:pPr>
    </w:p>
    <w:p w14:paraId="22EE4D19">
      <w:pPr>
        <w:pStyle w:val="184"/>
        <w:jc w:val="center"/>
        <w:rPr>
          <w:rFonts w:ascii="宋体" w:hAnsi="宋体" w:cs="宋体"/>
          <w:b/>
          <w:bCs w:val="0"/>
          <w:color w:val="auto"/>
          <w:spacing w:val="0"/>
          <w:kern w:val="2"/>
          <w:szCs w:val="24"/>
        </w:rPr>
      </w:pPr>
    </w:p>
    <w:p w14:paraId="11905A13">
      <w:pPr>
        <w:pStyle w:val="184"/>
        <w:jc w:val="center"/>
        <w:rPr>
          <w:rFonts w:ascii="宋体" w:hAnsi="宋体" w:cs="宋体"/>
          <w:b/>
          <w:bCs w:val="0"/>
          <w:color w:val="auto"/>
          <w:spacing w:val="0"/>
          <w:kern w:val="2"/>
          <w:szCs w:val="24"/>
        </w:rPr>
      </w:pPr>
    </w:p>
    <w:p w14:paraId="013E8D10">
      <w:pPr>
        <w:pStyle w:val="184"/>
        <w:jc w:val="center"/>
        <w:rPr>
          <w:rFonts w:ascii="宋体" w:hAnsi="宋体" w:cs="宋体"/>
          <w:b/>
          <w:bCs w:val="0"/>
          <w:color w:val="auto"/>
          <w:spacing w:val="0"/>
          <w:kern w:val="2"/>
          <w:szCs w:val="24"/>
        </w:rPr>
      </w:pPr>
    </w:p>
    <w:p w14:paraId="6928AAFF">
      <w:pPr>
        <w:pStyle w:val="184"/>
        <w:jc w:val="center"/>
        <w:rPr>
          <w:rFonts w:ascii="宋体" w:hAnsi="宋体" w:cs="宋体"/>
          <w:b/>
          <w:bCs w:val="0"/>
          <w:color w:val="auto"/>
          <w:spacing w:val="0"/>
          <w:kern w:val="2"/>
          <w:szCs w:val="24"/>
        </w:rPr>
      </w:pPr>
    </w:p>
    <w:p w14:paraId="736381C6">
      <w:pPr>
        <w:pStyle w:val="184"/>
        <w:jc w:val="center"/>
        <w:rPr>
          <w:rFonts w:ascii="宋体" w:hAnsi="宋体" w:cs="宋体"/>
          <w:b/>
          <w:bCs w:val="0"/>
          <w:color w:val="auto"/>
          <w:spacing w:val="0"/>
          <w:kern w:val="2"/>
          <w:szCs w:val="24"/>
        </w:rPr>
      </w:pPr>
    </w:p>
    <w:p w14:paraId="7040EE12">
      <w:pPr>
        <w:autoSpaceDE w:val="0"/>
        <w:autoSpaceDN w:val="0"/>
        <w:adjustRightInd w:val="0"/>
        <w:spacing w:line="360" w:lineRule="auto"/>
        <w:jc w:val="center"/>
        <w:outlineLvl w:val="0"/>
        <w:rPr>
          <w:rFonts w:ascii="宋体" w:hAnsi="宋体" w:cs="宋体"/>
          <w:b/>
          <w:bCs/>
          <w:color w:val="auto"/>
          <w:kern w:val="0"/>
          <w:sz w:val="28"/>
          <w:szCs w:val="28"/>
        </w:rPr>
      </w:pPr>
    </w:p>
    <w:p w14:paraId="4C4DF3C7">
      <w:pPr>
        <w:autoSpaceDE w:val="0"/>
        <w:autoSpaceDN w:val="0"/>
        <w:adjustRightInd w:val="0"/>
        <w:spacing w:line="360" w:lineRule="auto"/>
        <w:jc w:val="center"/>
        <w:outlineLvl w:val="0"/>
        <w:rPr>
          <w:rFonts w:ascii="宋体" w:hAnsi="宋体" w:cs="宋体"/>
          <w:b/>
          <w:bCs/>
          <w:color w:val="auto"/>
          <w:kern w:val="0"/>
          <w:sz w:val="28"/>
          <w:szCs w:val="28"/>
        </w:rPr>
      </w:pPr>
      <w:bookmarkStart w:id="1245" w:name="_Toc27725"/>
      <w:bookmarkStart w:id="1246" w:name="_Toc22139"/>
      <w:bookmarkStart w:id="1247" w:name="_Toc10587"/>
      <w:r>
        <w:rPr>
          <w:rFonts w:hint="eastAsia" w:ascii="宋体" w:hAnsi="宋体" w:cs="宋体"/>
          <w:b/>
          <w:bCs/>
          <w:color w:val="auto"/>
          <w:kern w:val="0"/>
          <w:sz w:val="28"/>
          <w:szCs w:val="28"/>
        </w:rPr>
        <w:t>（6）其他材料</w:t>
      </w:r>
      <w:bookmarkEnd w:id="1245"/>
      <w:bookmarkEnd w:id="1246"/>
      <w:bookmarkEnd w:id="1247"/>
    </w:p>
    <w:p w14:paraId="271A23DB">
      <w:pPr>
        <w:autoSpaceDE w:val="0"/>
        <w:autoSpaceDN w:val="0"/>
        <w:spacing w:line="588" w:lineRule="exact"/>
        <w:ind w:firstLine="504"/>
        <w:rPr>
          <w:rFonts w:ascii="宋体" w:hAnsi="宋体" w:cs="宋体"/>
          <w:color w:val="auto"/>
          <w:sz w:val="24"/>
          <w:szCs w:val="24"/>
          <w:lang w:val="zh-CN"/>
        </w:rPr>
      </w:pPr>
      <w:r>
        <w:rPr>
          <w:rFonts w:hint="eastAsia" w:ascii="宋体" w:hAnsi="宋体" w:cs="宋体"/>
          <w:color w:val="auto"/>
          <w:sz w:val="24"/>
          <w:szCs w:val="24"/>
        </w:rPr>
        <w:t>1、</w:t>
      </w:r>
      <w:r>
        <w:rPr>
          <w:rFonts w:hint="eastAsia" w:ascii="宋体" w:hAnsi="宋体" w:cs="宋体"/>
          <w:color w:val="auto"/>
          <w:sz w:val="24"/>
          <w:szCs w:val="24"/>
          <w:lang w:val="zh-CN"/>
        </w:rPr>
        <w:t>信誉及履约情况</w:t>
      </w:r>
    </w:p>
    <w:p w14:paraId="54184871">
      <w:pPr>
        <w:autoSpaceDE w:val="0"/>
        <w:autoSpaceDN w:val="0"/>
        <w:spacing w:line="588" w:lineRule="exact"/>
        <w:ind w:firstLine="504"/>
        <w:rPr>
          <w:rFonts w:ascii="宋体" w:hAnsi="宋体" w:cs="宋体"/>
          <w:color w:val="auto"/>
          <w:sz w:val="24"/>
          <w:szCs w:val="24"/>
          <w:lang w:val="zh-CN"/>
        </w:rPr>
      </w:pPr>
      <w:r>
        <w:rPr>
          <w:rFonts w:hint="eastAsia" w:ascii="宋体" w:hAnsi="宋体" w:cs="宋体"/>
          <w:color w:val="auto"/>
          <w:sz w:val="24"/>
          <w:szCs w:val="24"/>
          <w:lang w:val="zh-CN"/>
        </w:rPr>
        <w:t>2、采购单位或采购代理机构发出的修改、补遗或澄清通知；</w:t>
      </w:r>
    </w:p>
    <w:p w14:paraId="68CE28AF">
      <w:pPr>
        <w:autoSpaceDE w:val="0"/>
        <w:autoSpaceDN w:val="0"/>
        <w:spacing w:line="588" w:lineRule="exact"/>
        <w:ind w:firstLine="504"/>
        <w:rPr>
          <w:rFonts w:ascii="宋体" w:hAnsi="宋体" w:cs="宋体"/>
          <w:color w:val="auto"/>
          <w:sz w:val="24"/>
          <w:szCs w:val="24"/>
          <w:lang w:val="zh-CN"/>
        </w:rPr>
      </w:pPr>
      <w:r>
        <w:rPr>
          <w:rFonts w:hint="eastAsia" w:ascii="宋体" w:hAnsi="宋体" w:cs="宋体"/>
          <w:color w:val="auto"/>
          <w:sz w:val="24"/>
          <w:szCs w:val="24"/>
          <w:lang w:val="zh-CN"/>
        </w:rPr>
        <w:t>3、磋商申请人认为还应提交的其他材料。</w:t>
      </w:r>
    </w:p>
    <w:p w14:paraId="40CCDD83">
      <w:pPr>
        <w:autoSpaceDE w:val="0"/>
        <w:autoSpaceDN w:val="0"/>
        <w:spacing w:line="588" w:lineRule="exact"/>
        <w:ind w:firstLine="504"/>
        <w:rPr>
          <w:rFonts w:ascii="宋体" w:hAnsi="宋体" w:cs="宋体"/>
          <w:color w:val="auto"/>
          <w:sz w:val="24"/>
          <w:szCs w:val="24"/>
          <w:lang w:val="zh-CN"/>
        </w:rPr>
      </w:pPr>
      <w:r>
        <w:rPr>
          <w:rFonts w:hint="eastAsia" w:ascii="宋体" w:hAnsi="宋体" w:cs="宋体"/>
          <w:color w:val="auto"/>
          <w:sz w:val="24"/>
          <w:szCs w:val="24"/>
        </w:rPr>
        <w:t>4</w:t>
      </w:r>
      <w:r>
        <w:rPr>
          <w:rFonts w:hint="eastAsia" w:ascii="宋体" w:hAnsi="宋体" w:cs="宋体"/>
          <w:color w:val="auto"/>
          <w:sz w:val="24"/>
          <w:szCs w:val="24"/>
          <w:lang w:val="zh-CN"/>
        </w:rPr>
        <w:t>、其他资料。</w:t>
      </w:r>
    </w:p>
    <w:p w14:paraId="7D0AAF7E">
      <w:pPr>
        <w:pStyle w:val="184"/>
        <w:jc w:val="both"/>
        <w:rPr>
          <w:rFonts w:ascii="宋体" w:hAnsi="宋体" w:cs="宋体"/>
          <w:b/>
          <w:bCs w:val="0"/>
          <w:color w:val="auto"/>
          <w:spacing w:val="0"/>
          <w:kern w:val="2"/>
          <w:szCs w:val="24"/>
        </w:rPr>
      </w:pPr>
    </w:p>
    <w:p w14:paraId="2726B019">
      <w:pPr>
        <w:pStyle w:val="184"/>
        <w:jc w:val="center"/>
        <w:rPr>
          <w:rFonts w:ascii="宋体" w:hAnsi="宋体" w:cs="宋体"/>
          <w:color w:val="auto"/>
          <w:spacing w:val="0"/>
          <w:kern w:val="2"/>
          <w:szCs w:val="24"/>
        </w:rPr>
      </w:pPr>
      <w:r>
        <w:rPr>
          <w:rFonts w:hint="eastAsia" w:ascii="宋体" w:hAnsi="宋体" w:cs="宋体"/>
          <w:color w:val="auto"/>
          <w:spacing w:val="0"/>
          <w:kern w:val="2"/>
          <w:szCs w:val="24"/>
        </w:rPr>
        <w:t>（磋商申请人认为有必要提供的其他资料及磋商文件中提到的未给出格式的资料，无固定格式，由磋商申请人自行提供。）</w:t>
      </w:r>
    </w:p>
    <w:p w14:paraId="23215ED6">
      <w:pPr>
        <w:pStyle w:val="184"/>
        <w:jc w:val="center"/>
        <w:rPr>
          <w:rFonts w:ascii="宋体" w:hAnsi="宋体" w:cs="宋体"/>
          <w:color w:val="auto"/>
          <w:spacing w:val="0"/>
          <w:kern w:val="2"/>
          <w:szCs w:val="24"/>
        </w:rPr>
      </w:pPr>
    </w:p>
    <w:p w14:paraId="73D2CDAD">
      <w:pPr>
        <w:pStyle w:val="184"/>
        <w:jc w:val="both"/>
        <w:rPr>
          <w:rFonts w:ascii="宋体" w:hAnsi="宋体" w:cs="宋体"/>
          <w:color w:val="auto"/>
          <w:spacing w:val="0"/>
          <w:kern w:val="2"/>
          <w:szCs w:val="24"/>
        </w:rPr>
      </w:pPr>
    </w:p>
    <w:p w14:paraId="452948E9">
      <w:pPr>
        <w:pStyle w:val="184"/>
        <w:jc w:val="center"/>
        <w:rPr>
          <w:rFonts w:ascii="宋体" w:hAnsi="宋体" w:cs="宋体"/>
          <w:color w:val="auto"/>
          <w:spacing w:val="0"/>
          <w:kern w:val="2"/>
          <w:szCs w:val="24"/>
        </w:rPr>
      </w:pPr>
    </w:p>
    <w:p w14:paraId="0AEB4D50">
      <w:pPr>
        <w:rPr>
          <w:rFonts w:ascii="宋体" w:hAnsi="宋体" w:cs="宋体"/>
          <w:color w:val="auto"/>
          <w:sz w:val="24"/>
          <w:szCs w:val="24"/>
        </w:rPr>
      </w:pPr>
    </w:p>
    <w:p w14:paraId="69745F4F">
      <w:pPr>
        <w:widowControl/>
        <w:spacing w:line="640" w:lineRule="exact"/>
        <w:jc w:val="left"/>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3AAE02A5">
      <w:pPr>
        <w:widowControl/>
        <w:spacing w:line="640" w:lineRule="exact"/>
        <w:jc w:val="left"/>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31E0005E">
      <w:pPr>
        <w:widowControl/>
        <w:spacing w:line="640" w:lineRule="exact"/>
        <w:jc w:val="left"/>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256EE06D">
      <w:pPr>
        <w:pStyle w:val="43"/>
        <w:spacing w:line="640" w:lineRule="exact"/>
        <w:ind w:firstLine="480"/>
        <w:rPr>
          <w:rFonts w:ascii="宋体" w:hAnsi="宋体" w:cs="宋体"/>
          <w:color w:val="auto"/>
          <w:sz w:val="24"/>
          <w:szCs w:val="24"/>
        </w:rPr>
      </w:pPr>
    </w:p>
    <w:p w14:paraId="1575469D">
      <w:pPr>
        <w:pStyle w:val="43"/>
        <w:ind w:firstLine="560"/>
        <w:rPr>
          <w:rFonts w:ascii="宋体" w:hAnsi="宋体" w:cs="宋体"/>
          <w:color w:val="auto"/>
        </w:rPr>
      </w:pPr>
    </w:p>
    <w:p w14:paraId="421FD842">
      <w:pPr>
        <w:pStyle w:val="43"/>
        <w:ind w:firstLine="560"/>
        <w:rPr>
          <w:rFonts w:ascii="宋体" w:hAnsi="宋体" w:cs="宋体"/>
          <w:color w:val="auto"/>
        </w:rPr>
      </w:pPr>
    </w:p>
    <w:p w14:paraId="0492F10C">
      <w:pPr>
        <w:pStyle w:val="43"/>
        <w:ind w:firstLine="560"/>
        <w:rPr>
          <w:rFonts w:ascii="宋体" w:hAnsi="宋体" w:cs="宋体"/>
          <w:color w:val="auto"/>
        </w:rPr>
      </w:pPr>
    </w:p>
    <w:p w14:paraId="5001F7B7">
      <w:pPr>
        <w:pStyle w:val="43"/>
        <w:ind w:firstLine="560"/>
        <w:rPr>
          <w:rFonts w:ascii="宋体" w:hAnsi="宋体" w:cs="宋体"/>
          <w:color w:val="auto"/>
        </w:rPr>
      </w:pPr>
    </w:p>
    <w:p w14:paraId="111F2907">
      <w:pPr>
        <w:pStyle w:val="42"/>
        <w:ind w:firstLine="210"/>
        <w:rPr>
          <w:rFonts w:ascii="宋体" w:hAnsi="宋体" w:cs="宋体"/>
          <w:color w:val="auto"/>
        </w:rPr>
      </w:pPr>
    </w:p>
    <w:p w14:paraId="5CF78F9F">
      <w:pPr>
        <w:rPr>
          <w:rFonts w:ascii="宋体" w:hAnsi="宋体" w:cs="宋体"/>
          <w:color w:val="auto"/>
        </w:rPr>
      </w:pPr>
    </w:p>
    <w:p w14:paraId="375B3B3D">
      <w:pPr>
        <w:pStyle w:val="43"/>
        <w:ind w:firstLine="560"/>
        <w:rPr>
          <w:rFonts w:ascii="宋体" w:hAnsi="宋体" w:cs="宋体"/>
          <w:color w:val="auto"/>
        </w:rPr>
      </w:pPr>
    </w:p>
    <w:p w14:paraId="406BFC3C">
      <w:pPr>
        <w:pStyle w:val="42"/>
        <w:ind w:firstLine="210"/>
        <w:rPr>
          <w:rFonts w:ascii="宋体" w:hAnsi="宋体" w:cs="宋体"/>
          <w:color w:val="auto"/>
        </w:rPr>
      </w:pPr>
    </w:p>
    <w:p w14:paraId="6D491BB8">
      <w:pPr>
        <w:rPr>
          <w:rFonts w:ascii="宋体" w:hAnsi="宋体" w:cs="宋体"/>
          <w:color w:val="auto"/>
        </w:rPr>
      </w:pPr>
    </w:p>
    <w:p w14:paraId="2ABF3A97">
      <w:pPr>
        <w:pStyle w:val="43"/>
        <w:ind w:firstLine="560"/>
        <w:rPr>
          <w:rFonts w:ascii="宋体" w:hAnsi="宋体" w:cs="宋体"/>
          <w:color w:val="auto"/>
        </w:rPr>
      </w:pPr>
    </w:p>
    <w:p w14:paraId="54F51BE6">
      <w:pPr>
        <w:pStyle w:val="42"/>
        <w:ind w:firstLine="210"/>
        <w:rPr>
          <w:rFonts w:ascii="宋体" w:hAnsi="宋体" w:cs="宋体"/>
          <w:color w:val="auto"/>
        </w:rPr>
      </w:pPr>
    </w:p>
    <w:p w14:paraId="30445C6D">
      <w:pPr>
        <w:rPr>
          <w:rFonts w:ascii="宋体" w:hAnsi="宋体" w:cs="宋体"/>
          <w:color w:val="auto"/>
        </w:rPr>
      </w:pPr>
    </w:p>
    <w:p w14:paraId="3245AAA8">
      <w:pPr>
        <w:pStyle w:val="43"/>
        <w:ind w:firstLine="560"/>
        <w:rPr>
          <w:rFonts w:ascii="宋体" w:hAnsi="宋体" w:cs="宋体"/>
          <w:color w:val="auto"/>
        </w:rPr>
      </w:pPr>
    </w:p>
    <w:p w14:paraId="2A39D8F8">
      <w:pPr>
        <w:pStyle w:val="42"/>
        <w:ind w:firstLine="210"/>
        <w:rPr>
          <w:rFonts w:ascii="宋体" w:hAnsi="宋体" w:cs="宋体"/>
          <w:color w:val="auto"/>
        </w:rPr>
      </w:pPr>
    </w:p>
    <w:p w14:paraId="315CF594">
      <w:pPr>
        <w:rPr>
          <w:color w:val="auto"/>
        </w:rPr>
      </w:pPr>
    </w:p>
    <w:p w14:paraId="29774E5A">
      <w:pPr>
        <w:rPr>
          <w:rFonts w:ascii="宋体" w:hAnsi="宋体" w:cs="宋体"/>
          <w:color w:val="auto"/>
        </w:rPr>
      </w:pPr>
    </w:p>
    <w:p w14:paraId="282512E3">
      <w:pPr>
        <w:pStyle w:val="43"/>
        <w:ind w:firstLine="560"/>
        <w:rPr>
          <w:rFonts w:ascii="宋体" w:hAnsi="宋体" w:cs="宋体"/>
          <w:color w:val="auto"/>
        </w:rPr>
      </w:pPr>
    </w:p>
    <w:p w14:paraId="7153CD22">
      <w:pPr>
        <w:pStyle w:val="43"/>
        <w:ind w:firstLine="0" w:firstLineChars="0"/>
        <w:rPr>
          <w:color w:val="auto"/>
        </w:rPr>
      </w:pPr>
      <w:bookmarkStart w:id="1248" w:name="_Toc23013"/>
    </w:p>
    <w:bookmarkEnd w:id="1248"/>
    <w:p w14:paraId="27E03B0B">
      <w:pPr>
        <w:autoSpaceDE w:val="0"/>
        <w:autoSpaceDN w:val="0"/>
        <w:adjustRightInd w:val="0"/>
        <w:spacing w:line="360" w:lineRule="auto"/>
        <w:jc w:val="center"/>
        <w:outlineLvl w:val="0"/>
        <w:rPr>
          <w:rFonts w:ascii="宋体" w:hAnsi="宋体" w:cs="宋体"/>
          <w:b/>
          <w:bCs/>
          <w:color w:val="auto"/>
          <w:kern w:val="0"/>
          <w:sz w:val="28"/>
          <w:szCs w:val="28"/>
        </w:rPr>
      </w:pPr>
      <w:bookmarkStart w:id="1249" w:name="_Toc8812"/>
      <w:bookmarkStart w:id="1250" w:name="_Toc8816"/>
      <w:bookmarkStart w:id="1251" w:name="_Toc28772"/>
      <w:bookmarkStart w:id="1252" w:name="_Toc14167"/>
      <w:bookmarkStart w:id="1253" w:name="_Toc9597"/>
    </w:p>
    <w:p w14:paraId="661299B7">
      <w:pPr>
        <w:autoSpaceDE w:val="0"/>
        <w:autoSpaceDN w:val="0"/>
        <w:adjustRightInd w:val="0"/>
        <w:spacing w:line="360" w:lineRule="auto"/>
        <w:jc w:val="center"/>
        <w:outlineLvl w:val="0"/>
        <w:rPr>
          <w:rFonts w:ascii="宋体" w:hAnsi="宋体" w:cs="宋体"/>
          <w:b/>
          <w:bCs/>
          <w:color w:val="auto"/>
          <w:kern w:val="0"/>
          <w:sz w:val="28"/>
          <w:szCs w:val="28"/>
        </w:rPr>
      </w:pPr>
      <w:bookmarkStart w:id="1254" w:name="_Toc24576"/>
      <w:bookmarkStart w:id="1255" w:name="_Toc6759"/>
      <w:r>
        <w:rPr>
          <w:rFonts w:hint="eastAsia" w:ascii="宋体" w:hAnsi="宋体" w:cs="宋体"/>
          <w:b/>
          <w:bCs/>
          <w:color w:val="auto"/>
          <w:kern w:val="0"/>
          <w:sz w:val="28"/>
          <w:szCs w:val="28"/>
        </w:rPr>
        <w:t>六、</w:t>
      </w:r>
      <w:bookmarkEnd w:id="1254"/>
      <w:r>
        <w:rPr>
          <w:rFonts w:hint="eastAsia" w:ascii="宋体" w:hAnsi="宋体" w:cs="宋体"/>
          <w:b/>
          <w:bCs/>
          <w:color w:val="auto"/>
          <w:kern w:val="0"/>
          <w:sz w:val="28"/>
          <w:szCs w:val="28"/>
        </w:rPr>
        <w:t>服务方案</w:t>
      </w:r>
      <w:bookmarkEnd w:id="1255"/>
    </w:p>
    <w:p w14:paraId="6F013B2D">
      <w:pPr>
        <w:spacing w:before="239" w:line="227" w:lineRule="auto"/>
        <w:ind w:left="187"/>
        <w:rPr>
          <w:rFonts w:ascii="宋体" w:hAnsi="宋体" w:cs="宋体"/>
          <w:color w:val="auto"/>
          <w:sz w:val="23"/>
          <w:szCs w:val="23"/>
        </w:rPr>
      </w:pPr>
      <w:r>
        <w:rPr>
          <w:rFonts w:ascii="宋体" w:hAnsi="宋体" w:cs="宋体"/>
          <w:color w:val="auto"/>
          <w:spacing w:val="16"/>
          <w:sz w:val="23"/>
          <w:szCs w:val="23"/>
        </w:rPr>
        <w:t>(按</w:t>
      </w:r>
      <w:r>
        <w:rPr>
          <w:rFonts w:hint="eastAsia" w:ascii="宋体" w:hAnsi="宋体" w:cs="宋体"/>
          <w:color w:val="auto"/>
          <w:spacing w:val="16"/>
          <w:sz w:val="23"/>
          <w:szCs w:val="23"/>
        </w:rPr>
        <w:t>磋商</w:t>
      </w:r>
      <w:r>
        <w:rPr>
          <w:rFonts w:hint="eastAsia" w:ascii="宋体" w:hAnsi="宋体" w:cs="宋体"/>
          <w:color w:val="auto"/>
          <w:spacing w:val="8"/>
          <w:sz w:val="23"/>
          <w:szCs w:val="23"/>
        </w:rPr>
        <w:t>文件对本项目的要求</w:t>
      </w:r>
      <w:r>
        <w:rPr>
          <w:rFonts w:ascii="宋体" w:hAnsi="宋体" w:cs="宋体"/>
          <w:color w:val="auto"/>
          <w:spacing w:val="8"/>
          <w:sz w:val="23"/>
          <w:szCs w:val="23"/>
        </w:rPr>
        <w:t>，由磋商申请人结合自身情况自行填写，格式自拟)</w:t>
      </w:r>
    </w:p>
    <w:p w14:paraId="052D98DB">
      <w:pPr>
        <w:rPr>
          <w:rFonts w:ascii="宋体" w:hAnsi="宋体" w:cs="宋体"/>
          <w:color w:val="auto"/>
          <w:szCs w:val="21"/>
        </w:rPr>
      </w:pPr>
    </w:p>
    <w:p w14:paraId="45EB2CB4">
      <w:pPr>
        <w:pStyle w:val="4"/>
        <w:rPr>
          <w:rFonts w:ascii="宋体" w:hAnsi="宋体" w:cs="宋体"/>
          <w:color w:val="auto"/>
          <w:szCs w:val="21"/>
        </w:rPr>
      </w:pPr>
    </w:p>
    <w:p w14:paraId="1EA068C7">
      <w:pPr>
        <w:rPr>
          <w:rFonts w:ascii="宋体" w:hAnsi="宋体" w:cs="宋体"/>
          <w:color w:val="auto"/>
          <w:szCs w:val="21"/>
        </w:rPr>
      </w:pPr>
    </w:p>
    <w:p w14:paraId="7194898F">
      <w:pPr>
        <w:pStyle w:val="4"/>
        <w:rPr>
          <w:rFonts w:ascii="宋体" w:hAnsi="宋体" w:cs="宋体"/>
          <w:color w:val="auto"/>
          <w:szCs w:val="21"/>
        </w:rPr>
      </w:pPr>
    </w:p>
    <w:p w14:paraId="4B5C18B1">
      <w:pPr>
        <w:rPr>
          <w:rFonts w:ascii="宋体" w:hAnsi="宋体" w:cs="宋体"/>
          <w:color w:val="auto"/>
          <w:szCs w:val="21"/>
        </w:rPr>
      </w:pPr>
    </w:p>
    <w:p w14:paraId="5A0CA645">
      <w:pPr>
        <w:pStyle w:val="4"/>
        <w:rPr>
          <w:rFonts w:ascii="宋体" w:hAnsi="宋体" w:cs="宋体"/>
          <w:color w:val="auto"/>
          <w:szCs w:val="21"/>
        </w:rPr>
      </w:pPr>
    </w:p>
    <w:p w14:paraId="10E25F1E">
      <w:pPr>
        <w:rPr>
          <w:rFonts w:ascii="宋体" w:hAnsi="宋体" w:cs="宋体"/>
          <w:color w:val="auto"/>
          <w:szCs w:val="21"/>
        </w:rPr>
      </w:pPr>
    </w:p>
    <w:p w14:paraId="54E6C6D7">
      <w:pPr>
        <w:pStyle w:val="4"/>
        <w:rPr>
          <w:rFonts w:ascii="宋体" w:hAnsi="宋体" w:cs="宋体"/>
          <w:color w:val="auto"/>
          <w:szCs w:val="21"/>
        </w:rPr>
      </w:pPr>
    </w:p>
    <w:p w14:paraId="7BE50E55">
      <w:pPr>
        <w:rPr>
          <w:rFonts w:ascii="宋体" w:hAnsi="宋体" w:cs="宋体"/>
          <w:color w:val="auto"/>
          <w:szCs w:val="21"/>
        </w:rPr>
      </w:pPr>
    </w:p>
    <w:p w14:paraId="6047B32C">
      <w:pPr>
        <w:pStyle w:val="4"/>
        <w:rPr>
          <w:rFonts w:ascii="宋体" w:hAnsi="宋体" w:cs="宋体"/>
          <w:color w:val="auto"/>
          <w:szCs w:val="21"/>
        </w:rPr>
      </w:pPr>
    </w:p>
    <w:p w14:paraId="62F6CD18">
      <w:pPr>
        <w:rPr>
          <w:rFonts w:ascii="宋体" w:hAnsi="宋体" w:cs="宋体"/>
          <w:color w:val="auto"/>
          <w:szCs w:val="21"/>
        </w:rPr>
      </w:pPr>
    </w:p>
    <w:p w14:paraId="66A45B71">
      <w:pPr>
        <w:pStyle w:val="4"/>
        <w:rPr>
          <w:rFonts w:ascii="宋体" w:hAnsi="宋体" w:cs="宋体"/>
          <w:color w:val="auto"/>
          <w:szCs w:val="21"/>
        </w:rPr>
      </w:pPr>
    </w:p>
    <w:p w14:paraId="3B9FF804">
      <w:pPr>
        <w:rPr>
          <w:rFonts w:ascii="宋体" w:hAnsi="宋体" w:cs="宋体"/>
          <w:color w:val="auto"/>
          <w:szCs w:val="21"/>
        </w:rPr>
      </w:pPr>
    </w:p>
    <w:p w14:paraId="1B273441">
      <w:pPr>
        <w:pStyle w:val="4"/>
        <w:rPr>
          <w:rFonts w:ascii="宋体" w:hAnsi="宋体" w:cs="宋体"/>
          <w:color w:val="auto"/>
          <w:szCs w:val="21"/>
        </w:rPr>
      </w:pPr>
    </w:p>
    <w:p w14:paraId="5569CA40">
      <w:pPr>
        <w:rPr>
          <w:rFonts w:ascii="宋体" w:hAnsi="宋体" w:cs="宋体"/>
          <w:color w:val="auto"/>
          <w:szCs w:val="21"/>
        </w:rPr>
      </w:pPr>
    </w:p>
    <w:p w14:paraId="35E59D37">
      <w:pPr>
        <w:pStyle w:val="4"/>
        <w:rPr>
          <w:rFonts w:ascii="宋体" w:hAnsi="宋体" w:cs="宋体"/>
          <w:color w:val="auto"/>
          <w:szCs w:val="21"/>
        </w:rPr>
      </w:pPr>
    </w:p>
    <w:p w14:paraId="2E1D788D">
      <w:pPr>
        <w:rPr>
          <w:rFonts w:ascii="宋体" w:hAnsi="宋体" w:cs="宋体"/>
          <w:color w:val="auto"/>
          <w:szCs w:val="21"/>
        </w:rPr>
      </w:pPr>
    </w:p>
    <w:p w14:paraId="5D7C67AD">
      <w:pPr>
        <w:pStyle w:val="4"/>
        <w:rPr>
          <w:rFonts w:ascii="宋体" w:hAnsi="宋体" w:cs="宋体"/>
          <w:color w:val="auto"/>
          <w:szCs w:val="21"/>
        </w:rPr>
      </w:pPr>
    </w:p>
    <w:p w14:paraId="3617046B">
      <w:pPr>
        <w:rPr>
          <w:rFonts w:ascii="宋体" w:hAnsi="宋体" w:cs="宋体"/>
          <w:color w:val="auto"/>
          <w:szCs w:val="21"/>
        </w:rPr>
      </w:pPr>
    </w:p>
    <w:bookmarkEnd w:id="1249"/>
    <w:bookmarkEnd w:id="1250"/>
    <w:bookmarkEnd w:id="1251"/>
    <w:bookmarkEnd w:id="1252"/>
    <w:bookmarkEnd w:id="1253"/>
    <w:p w14:paraId="247CE417">
      <w:pPr>
        <w:autoSpaceDE w:val="0"/>
        <w:autoSpaceDN w:val="0"/>
        <w:adjustRightInd w:val="0"/>
        <w:spacing w:line="360" w:lineRule="auto"/>
        <w:jc w:val="center"/>
        <w:outlineLvl w:val="0"/>
        <w:rPr>
          <w:rFonts w:hint="eastAsia" w:ascii="宋体" w:hAnsi="宋体" w:cs="宋体"/>
          <w:b/>
          <w:bCs/>
          <w:color w:val="auto"/>
          <w:kern w:val="0"/>
          <w:sz w:val="28"/>
          <w:szCs w:val="28"/>
        </w:rPr>
      </w:pPr>
    </w:p>
    <w:p w14:paraId="5655653F">
      <w:pPr>
        <w:pStyle w:val="2"/>
        <w:rPr>
          <w:color w:val="auto"/>
        </w:rPr>
      </w:pPr>
    </w:p>
    <w:p w14:paraId="50DF71B0">
      <w:pPr>
        <w:autoSpaceDE w:val="0"/>
        <w:autoSpaceDN w:val="0"/>
        <w:adjustRightInd w:val="0"/>
        <w:spacing w:line="360" w:lineRule="auto"/>
        <w:jc w:val="center"/>
        <w:outlineLvl w:val="0"/>
        <w:rPr>
          <w:rFonts w:ascii="宋体" w:hAnsi="宋体" w:cs="宋体"/>
          <w:b/>
          <w:bCs/>
          <w:color w:val="auto"/>
          <w:kern w:val="0"/>
          <w:sz w:val="28"/>
          <w:szCs w:val="28"/>
        </w:rPr>
      </w:pPr>
      <w:bookmarkStart w:id="1256" w:name="_Toc2869"/>
      <w:bookmarkStart w:id="1257" w:name="_Toc3274"/>
      <w:r>
        <w:rPr>
          <w:rFonts w:hint="eastAsia" w:ascii="宋体" w:hAnsi="宋体" w:cs="宋体"/>
          <w:b/>
          <w:bCs/>
          <w:color w:val="auto"/>
          <w:kern w:val="0"/>
          <w:sz w:val="28"/>
          <w:szCs w:val="28"/>
        </w:rPr>
        <w:t>七、</w:t>
      </w:r>
      <w:bookmarkEnd w:id="1256"/>
      <w:r>
        <w:rPr>
          <w:rFonts w:hint="eastAsia" w:ascii="宋体" w:hAnsi="宋体" w:cs="宋体"/>
          <w:b/>
          <w:bCs/>
          <w:color w:val="auto"/>
          <w:kern w:val="0"/>
          <w:sz w:val="28"/>
          <w:szCs w:val="28"/>
        </w:rPr>
        <w:t>人员配置</w:t>
      </w:r>
      <w:bookmarkEnd w:id="1257"/>
    </w:p>
    <w:p w14:paraId="151E76CC">
      <w:pPr>
        <w:widowControl/>
        <w:jc w:val="center"/>
        <w:rPr>
          <w:rFonts w:asciiTheme="minorEastAsia" w:hAnsiTheme="minorEastAsia" w:eastAsiaTheme="minorEastAsia" w:cstheme="minorEastAsia"/>
          <w:b/>
          <w:bCs/>
          <w:color w:val="auto"/>
          <w:kern w:val="0"/>
          <w:sz w:val="32"/>
          <w:szCs w:val="32"/>
        </w:rPr>
      </w:pPr>
    </w:p>
    <w:p w14:paraId="26C00AAA">
      <w:pPr>
        <w:spacing w:before="74" w:line="227" w:lineRule="auto"/>
        <w:ind w:left="667"/>
        <w:rPr>
          <w:rFonts w:ascii="宋体" w:hAnsi="宋体" w:cs="宋体"/>
          <w:color w:val="auto"/>
          <w:sz w:val="23"/>
          <w:szCs w:val="23"/>
        </w:rPr>
      </w:pPr>
      <w:r>
        <w:rPr>
          <w:rFonts w:ascii="宋体" w:hAnsi="宋体" w:cs="宋体"/>
          <w:color w:val="auto"/>
          <w:spacing w:val="16"/>
          <w:sz w:val="23"/>
          <w:szCs w:val="23"/>
        </w:rPr>
        <w:t>(</w:t>
      </w:r>
      <w:r>
        <w:rPr>
          <w:rFonts w:ascii="宋体" w:hAnsi="宋体" w:cs="宋体"/>
          <w:color w:val="auto"/>
          <w:spacing w:val="12"/>
          <w:sz w:val="23"/>
          <w:szCs w:val="23"/>
        </w:rPr>
        <w:t>由</w:t>
      </w:r>
      <w:r>
        <w:rPr>
          <w:rFonts w:ascii="宋体" w:hAnsi="宋体" w:cs="宋体"/>
          <w:color w:val="auto"/>
          <w:spacing w:val="8"/>
          <w:sz w:val="23"/>
          <w:szCs w:val="23"/>
        </w:rPr>
        <w:t>磋商申请人按本次采购</w:t>
      </w:r>
      <w:r>
        <w:rPr>
          <w:rFonts w:hint="eastAsia" w:ascii="宋体" w:hAnsi="宋体" w:cs="宋体"/>
          <w:color w:val="auto"/>
          <w:spacing w:val="8"/>
          <w:sz w:val="23"/>
          <w:szCs w:val="23"/>
        </w:rPr>
        <w:t>服务</w:t>
      </w:r>
      <w:r>
        <w:rPr>
          <w:rFonts w:ascii="宋体" w:hAnsi="宋体" w:cs="宋体"/>
          <w:color w:val="auto"/>
          <w:spacing w:val="8"/>
          <w:sz w:val="23"/>
          <w:szCs w:val="23"/>
        </w:rPr>
        <w:t>内容结合磋商申请人自身情况自行填写，格式自拟)</w:t>
      </w:r>
    </w:p>
    <w:p w14:paraId="7B0D5B02">
      <w:pPr>
        <w:pStyle w:val="17"/>
        <w:rPr>
          <w:rFonts w:asciiTheme="minorEastAsia" w:hAnsiTheme="minorEastAsia" w:eastAsiaTheme="minorEastAsia" w:cstheme="minorEastAsia"/>
          <w:b/>
          <w:bCs/>
          <w:color w:val="auto"/>
          <w:kern w:val="0"/>
          <w:sz w:val="32"/>
          <w:szCs w:val="32"/>
        </w:rPr>
      </w:pPr>
    </w:p>
    <w:p w14:paraId="23C99222">
      <w:pPr>
        <w:rPr>
          <w:rFonts w:asciiTheme="minorEastAsia" w:hAnsiTheme="minorEastAsia" w:eastAsiaTheme="minorEastAsia" w:cstheme="minorEastAsia"/>
          <w:b/>
          <w:bCs/>
          <w:color w:val="auto"/>
          <w:kern w:val="0"/>
          <w:sz w:val="32"/>
          <w:szCs w:val="32"/>
        </w:rPr>
      </w:pPr>
    </w:p>
    <w:p w14:paraId="59F277DC">
      <w:pPr>
        <w:pStyle w:val="43"/>
        <w:ind w:firstLine="560"/>
        <w:rPr>
          <w:color w:val="auto"/>
        </w:rPr>
      </w:pPr>
    </w:p>
    <w:p w14:paraId="632B8010">
      <w:pPr>
        <w:widowControl/>
        <w:rPr>
          <w:rFonts w:asciiTheme="minorEastAsia" w:hAnsiTheme="minorEastAsia" w:eastAsiaTheme="minorEastAsia" w:cstheme="minorEastAsia"/>
          <w:b/>
          <w:bCs/>
          <w:color w:val="auto"/>
          <w:kern w:val="0"/>
          <w:sz w:val="32"/>
          <w:szCs w:val="32"/>
        </w:rPr>
      </w:pPr>
    </w:p>
    <w:p w14:paraId="0D52B043">
      <w:pPr>
        <w:pStyle w:val="4"/>
        <w:rPr>
          <w:rFonts w:asciiTheme="minorEastAsia" w:hAnsiTheme="minorEastAsia" w:eastAsiaTheme="minorEastAsia" w:cstheme="minorEastAsia"/>
          <w:bCs/>
          <w:color w:val="auto"/>
          <w:kern w:val="0"/>
          <w:sz w:val="32"/>
          <w:szCs w:val="32"/>
        </w:rPr>
      </w:pPr>
    </w:p>
    <w:p w14:paraId="2345F45D">
      <w:pPr>
        <w:rPr>
          <w:rFonts w:asciiTheme="minorEastAsia" w:hAnsiTheme="minorEastAsia" w:eastAsiaTheme="minorEastAsia" w:cstheme="minorEastAsia"/>
          <w:b/>
          <w:bCs/>
          <w:color w:val="auto"/>
          <w:kern w:val="0"/>
          <w:sz w:val="32"/>
          <w:szCs w:val="32"/>
        </w:rPr>
      </w:pPr>
    </w:p>
    <w:p w14:paraId="5CAA89F1">
      <w:pPr>
        <w:pStyle w:val="4"/>
        <w:rPr>
          <w:rFonts w:asciiTheme="minorEastAsia" w:hAnsiTheme="minorEastAsia" w:eastAsiaTheme="minorEastAsia" w:cstheme="minorEastAsia"/>
          <w:bCs/>
          <w:color w:val="auto"/>
          <w:kern w:val="0"/>
          <w:sz w:val="32"/>
          <w:szCs w:val="32"/>
        </w:rPr>
      </w:pPr>
    </w:p>
    <w:p w14:paraId="3D6C57CA">
      <w:pPr>
        <w:rPr>
          <w:rFonts w:asciiTheme="minorEastAsia" w:hAnsiTheme="minorEastAsia" w:eastAsiaTheme="minorEastAsia" w:cstheme="minorEastAsia"/>
          <w:b/>
          <w:bCs/>
          <w:color w:val="auto"/>
          <w:kern w:val="0"/>
          <w:sz w:val="32"/>
          <w:szCs w:val="32"/>
        </w:rPr>
      </w:pPr>
    </w:p>
    <w:p w14:paraId="5B5D89EB">
      <w:pPr>
        <w:pStyle w:val="4"/>
        <w:rPr>
          <w:rFonts w:asciiTheme="minorEastAsia" w:hAnsiTheme="minorEastAsia" w:eastAsiaTheme="minorEastAsia" w:cstheme="minorEastAsia"/>
          <w:bCs/>
          <w:color w:val="auto"/>
          <w:kern w:val="0"/>
          <w:sz w:val="32"/>
          <w:szCs w:val="32"/>
        </w:rPr>
      </w:pPr>
    </w:p>
    <w:p w14:paraId="3D767A07">
      <w:pPr>
        <w:rPr>
          <w:rFonts w:asciiTheme="minorEastAsia" w:hAnsiTheme="minorEastAsia" w:eastAsiaTheme="minorEastAsia" w:cstheme="minorEastAsia"/>
          <w:b/>
          <w:bCs/>
          <w:color w:val="auto"/>
          <w:kern w:val="0"/>
          <w:sz w:val="32"/>
          <w:szCs w:val="32"/>
        </w:rPr>
      </w:pPr>
    </w:p>
    <w:p w14:paraId="7647D7EC">
      <w:pPr>
        <w:pStyle w:val="4"/>
        <w:rPr>
          <w:rFonts w:asciiTheme="minorEastAsia" w:hAnsiTheme="minorEastAsia" w:eastAsiaTheme="minorEastAsia" w:cstheme="minorEastAsia"/>
          <w:bCs/>
          <w:color w:val="auto"/>
          <w:kern w:val="0"/>
          <w:sz w:val="32"/>
          <w:szCs w:val="32"/>
        </w:rPr>
      </w:pPr>
    </w:p>
    <w:p w14:paraId="0A13965E">
      <w:pPr>
        <w:rPr>
          <w:rFonts w:asciiTheme="minorEastAsia" w:hAnsiTheme="minorEastAsia" w:eastAsiaTheme="minorEastAsia" w:cstheme="minorEastAsia"/>
          <w:b/>
          <w:bCs/>
          <w:color w:val="auto"/>
          <w:kern w:val="0"/>
          <w:sz w:val="32"/>
          <w:szCs w:val="32"/>
        </w:rPr>
      </w:pPr>
    </w:p>
    <w:p w14:paraId="0ECAEA18">
      <w:pPr>
        <w:pStyle w:val="4"/>
        <w:rPr>
          <w:rFonts w:asciiTheme="minorEastAsia" w:hAnsiTheme="minorEastAsia" w:eastAsiaTheme="minorEastAsia" w:cstheme="minorEastAsia"/>
          <w:bCs/>
          <w:color w:val="auto"/>
          <w:kern w:val="0"/>
          <w:sz w:val="32"/>
          <w:szCs w:val="32"/>
        </w:rPr>
      </w:pPr>
    </w:p>
    <w:p w14:paraId="5029AAB1">
      <w:pPr>
        <w:rPr>
          <w:color w:val="auto"/>
        </w:rPr>
      </w:pPr>
    </w:p>
    <w:p w14:paraId="207D77D6">
      <w:pPr>
        <w:rPr>
          <w:color w:val="auto"/>
        </w:rPr>
      </w:pPr>
    </w:p>
    <w:p w14:paraId="544942AB">
      <w:pPr>
        <w:rPr>
          <w:rFonts w:asciiTheme="minorEastAsia" w:hAnsiTheme="minorEastAsia" w:eastAsiaTheme="minorEastAsia" w:cstheme="minorEastAsia"/>
          <w:b/>
          <w:bCs/>
          <w:color w:val="auto"/>
          <w:kern w:val="0"/>
          <w:sz w:val="32"/>
          <w:szCs w:val="32"/>
        </w:rPr>
      </w:pPr>
    </w:p>
    <w:p w14:paraId="01C92E95">
      <w:pPr>
        <w:pStyle w:val="4"/>
        <w:rPr>
          <w:rFonts w:asciiTheme="minorEastAsia" w:hAnsiTheme="minorEastAsia" w:eastAsiaTheme="minorEastAsia" w:cstheme="minorEastAsia"/>
          <w:bCs/>
          <w:color w:val="auto"/>
          <w:kern w:val="0"/>
          <w:sz w:val="32"/>
          <w:szCs w:val="32"/>
        </w:rPr>
      </w:pPr>
    </w:p>
    <w:p w14:paraId="15E4D2C7">
      <w:pPr>
        <w:rPr>
          <w:rFonts w:hint="eastAsia"/>
          <w:color w:val="auto"/>
        </w:rPr>
      </w:pPr>
    </w:p>
    <w:p w14:paraId="485E9277">
      <w:pPr>
        <w:pStyle w:val="2"/>
        <w:rPr>
          <w:rFonts w:hint="eastAsia"/>
          <w:color w:val="auto"/>
        </w:rPr>
      </w:pPr>
    </w:p>
    <w:p w14:paraId="61A968AF">
      <w:pPr>
        <w:pStyle w:val="2"/>
        <w:rPr>
          <w:color w:val="auto"/>
        </w:rPr>
      </w:pPr>
    </w:p>
    <w:p w14:paraId="2C1F60F2">
      <w:pPr>
        <w:spacing w:line="327" w:lineRule="auto"/>
        <w:rPr>
          <w:rFonts w:ascii="Arial"/>
          <w:color w:val="auto"/>
        </w:rPr>
      </w:pPr>
    </w:p>
    <w:p w14:paraId="4295FE71">
      <w:pPr>
        <w:autoSpaceDE w:val="0"/>
        <w:autoSpaceDN w:val="0"/>
        <w:adjustRightInd w:val="0"/>
        <w:spacing w:line="360" w:lineRule="auto"/>
        <w:jc w:val="center"/>
        <w:outlineLvl w:val="0"/>
        <w:rPr>
          <w:rFonts w:ascii="宋体" w:hAnsi="宋体" w:cs="宋体"/>
          <w:b/>
          <w:bCs/>
          <w:color w:val="auto"/>
          <w:kern w:val="0"/>
          <w:sz w:val="28"/>
          <w:szCs w:val="28"/>
        </w:rPr>
      </w:pPr>
      <w:bookmarkStart w:id="1258" w:name="_Toc30038"/>
      <w:bookmarkStart w:id="1259" w:name="_Toc2911"/>
      <w:r>
        <w:rPr>
          <w:rFonts w:hint="eastAsia" w:ascii="宋体" w:hAnsi="宋体" w:cs="宋体"/>
          <w:b/>
          <w:bCs/>
          <w:color w:val="auto"/>
          <w:kern w:val="0"/>
          <w:sz w:val="28"/>
          <w:szCs w:val="28"/>
        </w:rPr>
        <w:t>八、</w:t>
      </w:r>
      <w:bookmarkEnd w:id="1258"/>
      <w:r>
        <w:rPr>
          <w:rFonts w:hint="eastAsia" w:ascii="宋体" w:hAnsi="宋体" w:cs="宋体"/>
          <w:b/>
          <w:bCs/>
          <w:color w:val="auto"/>
          <w:kern w:val="0"/>
          <w:sz w:val="28"/>
          <w:szCs w:val="28"/>
        </w:rPr>
        <w:t>设备工具配置</w:t>
      </w:r>
      <w:bookmarkEnd w:id="1259"/>
    </w:p>
    <w:p w14:paraId="51F284EF">
      <w:pPr>
        <w:spacing w:line="246" w:lineRule="auto"/>
        <w:rPr>
          <w:rFonts w:ascii="Arial"/>
          <w:color w:val="auto"/>
        </w:rPr>
      </w:pPr>
    </w:p>
    <w:p w14:paraId="6640F786">
      <w:pPr>
        <w:spacing w:line="247" w:lineRule="auto"/>
        <w:rPr>
          <w:rFonts w:ascii="Arial"/>
          <w:color w:val="auto"/>
        </w:rPr>
      </w:pPr>
    </w:p>
    <w:p w14:paraId="2286158A">
      <w:pPr>
        <w:spacing w:before="74" w:line="227" w:lineRule="auto"/>
        <w:ind w:left="667"/>
        <w:rPr>
          <w:rFonts w:ascii="宋体" w:hAnsi="宋体" w:cs="宋体"/>
          <w:color w:val="auto"/>
          <w:sz w:val="23"/>
          <w:szCs w:val="23"/>
        </w:rPr>
      </w:pPr>
      <w:r>
        <w:rPr>
          <w:rFonts w:ascii="宋体" w:hAnsi="宋体" w:cs="宋体"/>
          <w:color w:val="auto"/>
          <w:spacing w:val="16"/>
          <w:sz w:val="23"/>
          <w:szCs w:val="23"/>
        </w:rPr>
        <w:t>(</w:t>
      </w:r>
      <w:r>
        <w:rPr>
          <w:rFonts w:ascii="宋体" w:hAnsi="宋体" w:cs="宋体"/>
          <w:color w:val="auto"/>
          <w:spacing w:val="12"/>
          <w:sz w:val="23"/>
          <w:szCs w:val="23"/>
        </w:rPr>
        <w:t>由</w:t>
      </w:r>
      <w:r>
        <w:rPr>
          <w:rFonts w:ascii="宋体" w:hAnsi="宋体" w:cs="宋体"/>
          <w:color w:val="auto"/>
          <w:spacing w:val="8"/>
          <w:sz w:val="23"/>
          <w:szCs w:val="23"/>
        </w:rPr>
        <w:t>磋商申请人按本次采购</w:t>
      </w:r>
      <w:r>
        <w:rPr>
          <w:rFonts w:hint="eastAsia" w:ascii="宋体" w:hAnsi="宋体" w:cs="宋体"/>
          <w:color w:val="auto"/>
          <w:spacing w:val="8"/>
          <w:sz w:val="23"/>
          <w:szCs w:val="23"/>
        </w:rPr>
        <w:t>服务</w:t>
      </w:r>
      <w:r>
        <w:rPr>
          <w:rFonts w:ascii="宋体" w:hAnsi="宋体" w:cs="宋体"/>
          <w:color w:val="auto"/>
          <w:spacing w:val="8"/>
          <w:sz w:val="23"/>
          <w:szCs w:val="23"/>
        </w:rPr>
        <w:t>内容结合磋商申请人自身情况自行填写，格式自拟)</w:t>
      </w:r>
    </w:p>
    <w:p w14:paraId="741DA2B8">
      <w:pPr>
        <w:pStyle w:val="2"/>
        <w:rPr>
          <w:rFonts w:asciiTheme="minorEastAsia" w:hAnsiTheme="minorEastAsia" w:eastAsiaTheme="minorEastAsia" w:cstheme="minorEastAsia"/>
          <w:color w:val="auto"/>
        </w:rPr>
      </w:pPr>
    </w:p>
    <w:p w14:paraId="4A369F03">
      <w:pPr>
        <w:pStyle w:val="2"/>
        <w:rPr>
          <w:rFonts w:asciiTheme="minorEastAsia" w:hAnsiTheme="minorEastAsia" w:eastAsiaTheme="minorEastAsia" w:cstheme="minorEastAsia"/>
          <w:color w:val="auto"/>
        </w:rPr>
      </w:pPr>
    </w:p>
    <w:p w14:paraId="0DF3BC2E">
      <w:pPr>
        <w:pStyle w:val="2"/>
        <w:rPr>
          <w:rFonts w:asciiTheme="minorEastAsia" w:hAnsiTheme="minorEastAsia" w:eastAsiaTheme="minorEastAsia" w:cstheme="minorEastAsia"/>
          <w:color w:val="auto"/>
        </w:rPr>
      </w:pPr>
    </w:p>
    <w:p w14:paraId="30C39D7A">
      <w:pPr>
        <w:pStyle w:val="2"/>
        <w:rPr>
          <w:rFonts w:asciiTheme="minorEastAsia" w:hAnsiTheme="minorEastAsia" w:eastAsiaTheme="minorEastAsia" w:cstheme="minorEastAsia"/>
          <w:color w:val="auto"/>
        </w:rPr>
      </w:pPr>
    </w:p>
    <w:p w14:paraId="2DFEA022">
      <w:pPr>
        <w:pStyle w:val="2"/>
        <w:rPr>
          <w:rFonts w:asciiTheme="minorEastAsia" w:hAnsiTheme="minorEastAsia" w:eastAsiaTheme="minorEastAsia" w:cstheme="minorEastAsia"/>
          <w:color w:val="auto"/>
        </w:rPr>
      </w:pPr>
    </w:p>
    <w:p w14:paraId="065CAF07">
      <w:pPr>
        <w:pStyle w:val="2"/>
        <w:rPr>
          <w:rFonts w:asciiTheme="minorEastAsia" w:hAnsiTheme="minorEastAsia" w:eastAsiaTheme="minorEastAsia" w:cstheme="minorEastAsia"/>
          <w:color w:val="auto"/>
        </w:rPr>
      </w:pPr>
    </w:p>
    <w:p w14:paraId="4D7CB3E8">
      <w:pPr>
        <w:pStyle w:val="2"/>
        <w:rPr>
          <w:rFonts w:asciiTheme="minorEastAsia" w:hAnsiTheme="minorEastAsia" w:eastAsiaTheme="minorEastAsia" w:cstheme="minorEastAsia"/>
          <w:color w:val="auto"/>
        </w:rPr>
      </w:pPr>
    </w:p>
    <w:p w14:paraId="039571FA">
      <w:pPr>
        <w:pStyle w:val="2"/>
        <w:rPr>
          <w:rFonts w:asciiTheme="minorEastAsia" w:hAnsiTheme="minorEastAsia" w:eastAsiaTheme="minorEastAsia" w:cstheme="minorEastAsia"/>
          <w:color w:val="auto"/>
        </w:rPr>
      </w:pPr>
    </w:p>
    <w:p w14:paraId="2B86AC61">
      <w:pPr>
        <w:pStyle w:val="2"/>
        <w:rPr>
          <w:rFonts w:asciiTheme="minorEastAsia" w:hAnsiTheme="minorEastAsia" w:eastAsiaTheme="minorEastAsia" w:cstheme="minorEastAsia"/>
          <w:color w:val="auto"/>
        </w:rPr>
      </w:pPr>
    </w:p>
    <w:p w14:paraId="4724B022">
      <w:pPr>
        <w:pStyle w:val="2"/>
        <w:rPr>
          <w:rFonts w:asciiTheme="minorEastAsia" w:hAnsiTheme="minorEastAsia" w:eastAsiaTheme="minorEastAsia" w:cstheme="minorEastAsia"/>
          <w:color w:val="auto"/>
        </w:rPr>
      </w:pPr>
    </w:p>
    <w:p w14:paraId="0F5629AB">
      <w:pPr>
        <w:pStyle w:val="2"/>
        <w:rPr>
          <w:rFonts w:asciiTheme="minorEastAsia" w:hAnsiTheme="minorEastAsia" w:eastAsiaTheme="minorEastAsia" w:cstheme="minorEastAsia"/>
          <w:color w:val="auto"/>
        </w:rPr>
      </w:pPr>
    </w:p>
    <w:p w14:paraId="57D788C1">
      <w:pPr>
        <w:pStyle w:val="2"/>
        <w:rPr>
          <w:rFonts w:asciiTheme="minorEastAsia" w:hAnsiTheme="minorEastAsia" w:eastAsiaTheme="minorEastAsia" w:cstheme="minorEastAsia"/>
          <w:color w:val="auto"/>
        </w:rPr>
      </w:pPr>
    </w:p>
    <w:p w14:paraId="1186BB25">
      <w:pPr>
        <w:pStyle w:val="2"/>
        <w:rPr>
          <w:rFonts w:asciiTheme="minorEastAsia" w:hAnsiTheme="minorEastAsia" w:eastAsiaTheme="minorEastAsia" w:cstheme="minorEastAsia"/>
          <w:color w:val="auto"/>
        </w:rPr>
      </w:pPr>
    </w:p>
    <w:p w14:paraId="16D3AC08">
      <w:pPr>
        <w:pStyle w:val="2"/>
        <w:rPr>
          <w:rFonts w:asciiTheme="minorEastAsia" w:hAnsiTheme="minorEastAsia" w:eastAsiaTheme="minorEastAsia" w:cstheme="minorEastAsia"/>
          <w:color w:val="auto"/>
        </w:rPr>
      </w:pPr>
    </w:p>
    <w:p w14:paraId="7C8D2B9D">
      <w:pPr>
        <w:pStyle w:val="2"/>
        <w:rPr>
          <w:rFonts w:asciiTheme="minorEastAsia" w:hAnsiTheme="minorEastAsia" w:eastAsiaTheme="minorEastAsia" w:cstheme="minorEastAsia"/>
          <w:color w:val="auto"/>
        </w:rPr>
      </w:pPr>
    </w:p>
    <w:p w14:paraId="4220F244">
      <w:pPr>
        <w:pStyle w:val="2"/>
        <w:rPr>
          <w:rFonts w:asciiTheme="minorEastAsia" w:hAnsiTheme="minorEastAsia" w:eastAsiaTheme="minorEastAsia" w:cstheme="minorEastAsia"/>
          <w:color w:val="auto"/>
        </w:rPr>
      </w:pPr>
    </w:p>
    <w:p w14:paraId="5A220112">
      <w:pPr>
        <w:pStyle w:val="2"/>
        <w:rPr>
          <w:rFonts w:asciiTheme="minorEastAsia" w:hAnsiTheme="minorEastAsia" w:eastAsiaTheme="minorEastAsia" w:cstheme="minorEastAsia"/>
          <w:color w:val="auto"/>
        </w:rPr>
      </w:pPr>
    </w:p>
    <w:p w14:paraId="7667BDF4">
      <w:pPr>
        <w:pStyle w:val="2"/>
        <w:rPr>
          <w:rFonts w:asciiTheme="minorEastAsia" w:hAnsiTheme="minorEastAsia" w:eastAsiaTheme="minorEastAsia" w:cstheme="minorEastAsia"/>
          <w:color w:val="auto"/>
        </w:rPr>
      </w:pPr>
    </w:p>
    <w:p w14:paraId="7F61DF9C">
      <w:pPr>
        <w:pStyle w:val="2"/>
        <w:rPr>
          <w:rFonts w:asciiTheme="minorEastAsia" w:hAnsiTheme="minorEastAsia" w:eastAsiaTheme="minorEastAsia" w:cstheme="minorEastAsia"/>
          <w:color w:val="auto"/>
        </w:rPr>
      </w:pPr>
    </w:p>
    <w:p w14:paraId="33A88F1B">
      <w:pPr>
        <w:pStyle w:val="2"/>
        <w:rPr>
          <w:rFonts w:asciiTheme="minorEastAsia" w:hAnsiTheme="minorEastAsia" w:eastAsiaTheme="minorEastAsia" w:cstheme="minorEastAsia"/>
          <w:color w:val="auto"/>
        </w:rPr>
      </w:pPr>
    </w:p>
    <w:p w14:paraId="1497398F">
      <w:pPr>
        <w:pStyle w:val="2"/>
        <w:rPr>
          <w:rFonts w:asciiTheme="minorEastAsia" w:hAnsiTheme="minorEastAsia" w:eastAsiaTheme="minorEastAsia" w:cstheme="minorEastAsia"/>
          <w:color w:val="auto"/>
        </w:rPr>
      </w:pPr>
    </w:p>
    <w:p w14:paraId="1D5AD228">
      <w:pPr>
        <w:pStyle w:val="2"/>
        <w:rPr>
          <w:rFonts w:asciiTheme="minorEastAsia" w:hAnsiTheme="minorEastAsia" w:eastAsiaTheme="minorEastAsia" w:cstheme="minorEastAsia"/>
          <w:color w:val="auto"/>
        </w:rPr>
      </w:pPr>
    </w:p>
    <w:p w14:paraId="0CEF861F">
      <w:pPr>
        <w:pStyle w:val="2"/>
        <w:rPr>
          <w:rFonts w:asciiTheme="minorEastAsia" w:hAnsiTheme="minorEastAsia" w:eastAsiaTheme="minorEastAsia" w:cstheme="minorEastAsia"/>
          <w:color w:val="auto"/>
        </w:rPr>
      </w:pPr>
    </w:p>
    <w:p w14:paraId="6BB37506">
      <w:pPr>
        <w:pStyle w:val="2"/>
        <w:rPr>
          <w:rFonts w:asciiTheme="minorEastAsia" w:hAnsiTheme="minorEastAsia" w:eastAsiaTheme="minorEastAsia" w:cstheme="minorEastAsia"/>
          <w:color w:val="auto"/>
        </w:rPr>
      </w:pPr>
    </w:p>
    <w:p w14:paraId="37F9F128">
      <w:pPr>
        <w:pStyle w:val="2"/>
        <w:rPr>
          <w:rFonts w:asciiTheme="minorEastAsia" w:hAnsiTheme="minorEastAsia" w:eastAsiaTheme="minorEastAsia" w:cstheme="minorEastAsia"/>
          <w:color w:val="auto"/>
        </w:rPr>
      </w:pPr>
    </w:p>
    <w:p w14:paraId="5AEF76D0">
      <w:pPr>
        <w:pStyle w:val="2"/>
        <w:rPr>
          <w:rFonts w:asciiTheme="minorEastAsia" w:hAnsiTheme="minorEastAsia" w:eastAsiaTheme="minorEastAsia" w:cstheme="minorEastAsia"/>
          <w:color w:val="auto"/>
        </w:rPr>
      </w:pPr>
    </w:p>
    <w:p w14:paraId="301C0E2F">
      <w:pPr>
        <w:pStyle w:val="2"/>
        <w:rPr>
          <w:rFonts w:asciiTheme="minorEastAsia" w:hAnsiTheme="minorEastAsia" w:eastAsiaTheme="minorEastAsia" w:cstheme="minorEastAsia"/>
          <w:color w:val="auto"/>
        </w:rPr>
      </w:pPr>
    </w:p>
    <w:p w14:paraId="6271E30B">
      <w:pPr>
        <w:pStyle w:val="2"/>
        <w:rPr>
          <w:rFonts w:asciiTheme="minorEastAsia" w:hAnsiTheme="minorEastAsia" w:eastAsiaTheme="minorEastAsia" w:cstheme="minorEastAsia"/>
          <w:color w:val="auto"/>
        </w:rPr>
      </w:pPr>
    </w:p>
    <w:p w14:paraId="4E8DABA0">
      <w:pPr>
        <w:pStyle w:val="2"/>
        <w:rPr>
          <w:rFonts w:asciiTheme="minorEastAsia" w:hAnsiTheme="minorEastAsia" w:eastAsiaTheme="minorEastAsia" w:cstheme="minorEastAsia"/>
          <w:color w:val="auto"/>
        </w:rPr>
      </w:pPr>
    </w:p>
    <w:p w14:paraId="11442EF4">
      <w:pPr>
        <w:pStyle w:val="2"/>
        <w:rPr>
          <w:rFonts w:asciiTheme="minorEastAsia" w:hAnsiTheme="minorEastAsia" w:eastAsiaTheme="minorEastAsia" w:cstheme="minorEastAsia"/>
          <w:color w:val="auto"/>
        </w:rPr>
      </w:pPr>
    </w:p>
    <w:p w14:paraId="1BA71E64">
      <w:pPr>
        <w:pStyle w:val="2"/>
        <w:rPr>
          <w:rFonts w:asciiTheme="minorEastAsia" w:hAnsiTheme="minorEastAsia" w:eastAsiaTheme="minorEastAsia" w:cstheme="minorEastAsia"/>
          <w:color w:val="auto"/>
        </w:rPr>
      </w:pPr>
    </w:p>
    <w:p w14:paraId="024D0243">
      <w:pPr>
        <w:pStyle w:val="2"/>
        <w:rPr>
          <w:rFonts w:asciiTheme="minorEastAsia" w:hAnsiTheme="minorEastAsia" w:eastAsiaTheme="minorEastAsia" w:cstheme="minorEastAsia"/>
          <w:color w:val="auto"/>
        </w:rPr>
      </w:pPr>
    </w:p>
    <w:p w14:paraId="25C24BAC">
      <w:pPr>
        <w:pStyle w:val="2"/>
        <w:rPr>
          <w:rFonts w:asciiTheme="minorEastAsia" w:hAnsiTheme="minorEastAsia" w:eastAsiaTheme="minorEastAsia" w:cstheme="minorEastAsia"/>
          <w:color w:val="auto"/>
        </w:rPr>
      </w:pPr>
    </w:p>
    <w:p w14:paraId="481ED202">
      <w:pPr>
        <w:pStyle w:val="2"/>
        <w:rPr>
          <w:rFonts w:asciiTheme="minorEastAsia" w:hAnsiTheme="minorEastAsia" w:eastAsiaTheme="minorEastAsia" w:cstheme="minorEastAsia"/>
          <w:color w:val="auto"/>
        </w:rPr>
      </w:pPr>
    </w:p>
    <w:p w14:paraId="0B05B811">
      <w:pPr>
        <w:pStyle w:val="2"/>
        <w:rPr>
          <w:rFonts w:asciiTheme="minorEastAsia" w:hAnsiTheme="minorEastAsia" w:eastAsiaTheme="minorEastAsia" w:cstheme="minorEastAsia"/>
          <w:color w:val="auto"/>
        </w:rPr>
      </w:pPr>
    </w:p>
    <w:p w14:paraId="78EEEBA3">
      <w:pPr>
        <w:pStyle w:val="2"/>
        <w:rPr>
          <w:rFonts w:asciiTheme="minorEastAsia" w:hAnsiTheme="minorEastAsia" w:eastAsiaTheme="minorEastAsia" w:cstheme="minorEastAsia"/>
          <w:color w:val="auto"/>
        </w:rPr>
      </w:pPr>
    </w:p>
    <w:p w14:paraId="4914AC76">
      <w:pPr>
        <w:pStyle w:val="2"/>
        <w:rPr>
          <w:rFonts w:asciiTheme="minorEastAsia" w:hAnsiTheme="minorEastAsia" w:eastAsiaTheme="minorEastAsia" w:cstheme="minorEastAsia"/>
          <w:color w:val="auto"/>
        </w:rPr>
      </w:pPr>
    </w:p>
    <w:p w14:paraId="036173EE">
      <w:pPr>
        <w:pStyle w:val="2"/>
        <w:rPr>
          <w:rFonts w:asciiTheme="minorEastAsia" w:hAnsiTheme="minorEastAsia" w:eastAsiaTheme="minorEastAsia" w:cstheme="minorEastAsia"/>
          <w:color w:val="auto"/>
        </w:rPr>
      </w:pPr>
    </w:p>
    <w:p w14:paraId="056F8FF0">
      <w:pPr>
        <w:pStyle w:val="2"/>
        <w:rPr>
          <w:rFonts w:asciiTheme="minorEastAsia" w:hAnsiTheme="minorEastAsia" w:eastAsiaTheme="minorEastAsia" w:cstheme="minorEastAsia"/>
          <w:color w:val="auto"/>
        </w:rPr>
      </w:pPr>
    </w:p>
    <w:p w14:paraId="2AE1F493">
      <w:pPr>
        <w:pStyle w:val="2"/>
        <w:rPr>
          <w:rFonts w:asciiTheme="minorEastAsia" w:hAnsiTheme="minorEastAsia" w:eastAsiaTheme="minorEastAsia" w:cstheme="minorEastAsia"/>
          <w:color w:val="auto"/>
        </w:rPr>
      </w:pPr>
    </w:p>
    <w:p w14:paraId="6C4DE0D3">
      <w:pPr>
        <w:pStyle w:val="2"/>
        <w:rPr>
          <w:rFonts w:asciiTheme="minorEastAsia" w:hAnsiTheme="minorEastAsia" w:eastAsiaTheme="minorEastAsia" w:cstheme="minorEastAsia"/>
          <w:color w:val="auto"/>
        </w:rPr>
      </w:pPr>
    </w:p>
    <w:p w14:paraId="252C32A6">
      <w:pPr>
        <w:pStyle w:val="2"/>
        <w:rPr>
          <w:rFonts w:asciiTheme="minorEastAsia" w:hAnsiTheme="minorEastAsia" w:eastAsiaTheme="minorEastAsia" w:cstheme="minorEastAsia"/>
          <w:color w:val="auto"/>
        </w:rPr>
      </w:pPr>
    </w:p>
    <w:p w14:paraId="448000E1">
      <w:pPr>
        <w:pStyle w:val="2"/>
        <w:rPr>
          <w:rFonts w:asciiTheme="minorEastAsia" w:hAnsiTheme="minorEastAsia" w:eastAsiaTheme="minorEastAsia" w:cstheme="minorEastAsia"/>
          <w:color w:val="auto"/>
        </w:rPr>
      </w:pPr>
    </w:p>
    <w:p w14:paraId="25FAE26C">
      <w:pPr>
        <w:pStyle w:val="2"/>
        <w:rPr>
          <w:rFonts w:asciiTheme="minorEastAsia" w:hAnsiTheme="minorEastAsia" w:eastAsiaTheme="minorEastAsia" w:cstheme="minorEastAsia"/>
          <w:color w:val="auto"/>
        </w:rPr>
      </w:pPr>
    </w:p>
    <w:p w14:paraId="4455D155">
      <w:pPr>
        <w:pStyle w:val="2"/>
        <w:rPr>
          <w:rFonts w:asciiTheme="minorEastAsia" w:hAnsiTheme="minorEastAsia" w:eastAsiaTheme="minorEastAsia" w:cstheme="minorEastAsia"/>
          <w:color w:val="auto"/>
        </w:rPr>
      </w:pPr>
    </w:p>
    <w:p w14:paraId="64AE5A22">
      <w:pPr>
        <w:pStyle w:val="2"/>
        <w:rPr>
          <w:rFonts w:asciiTheme="minorEastAsia" w:hAnsiTheme="minorEastAsia" w:eastAsiaTheme="minorEastAsia" w:cstheme="minorEastAsia"/>
          <w:color w:val="auto"/>
        </w:rPr>
      </w:pPr>
    </w:p>
    <w:p w14:paraId="2A7AFE54">
      <w:pPr>
        <w:pStyle w:val="2"/>
        <w:rPr>
          <w:rFonts w:asciiTheme="minorEastAsia" w:hAnsiTheme="minorEastAsia" w:eastAsiaTheme="minorEastAsia" w:cstheme="minorEastAsia"/>
          <w:color w:val="auto"/>
        </w:rPr>
      </w:pPr>
    </w:p>
    <w:p w14:paraId="0EC6B5D5">
      <w:pPr>
        <w:autoSpaceDE w:val="0"/>
        <w:autoSpaceDN w:val="0"/>
        <w:adjustRightInd w:val="0"/>
        <w:spacing w:line="360" w:lineRule="auto"/>
        <w:jc w:val="center"/>
        <w:outlineLvl w:val="0"/>
        <w:rPr>
          <w:rFonts w:ascii="宋体" w:hAnsi="宋体" w:cs="宋体"/>
          <w:b/>
          <w:bCs/>
          <w:color w:val="auto"/>
          <w:kern w:val="0"/>
          <w:sz w:val="28"/>
          <w:szCs w:val="28"/>
        </w:rPr>
      </w:pPr>
      <w:bookmarkStart w:id="1260" w:name="_Toc7640"/>
      <w:r>
        <w:rPr>
          <w:rFonts w:hint="eastAsia" w:ascii="宋体" w:hAnsi="宋体" w:cs="宋体"/>
          <w:b/>
          <w:bCs/>
          <w:color w:val="auto"/>
          <w:kern w:val="0"/>
          <w:sz w:val="28"/>
          <w:szCs w:val="28"/>
        </w:rPr>
        <w:t>九、服务承诺</w:t>
      </w:r>
      <w:bookmarkEnd w:id="1260"/>
    </w:p>
    <w:p w14:paraId="4801839D">
      <w:pPr>
        <w:pStyle w:val="2"/>
        <w:ind w:firstLine="0" w:firstLineChars="0"/>
        <w:rPr>
          <w:color w:val="auto"/>
        </w:rPr>
      </w:pPr>
    </w:p>
    <w:p w14:paraId="0ED16F9E">
      <w:pPr>
        <w:pStyle w:val="2"/>
        <w:ind w:firstLine="0" w:firstLineChars="0"/>
        <w:rPr>
          <w:color w:val="auto"/>
        </w:rPr>
      </w:pPr>
    </w:p>
    <w:p w14:paraId="1B2232EC">
      <w:pPr>
        <w:pStyle w:val="2"/>
        <w:ind w:firstLine="0" w:firstLineChars="0"/>
        <w:rPr>
          <w:color w:val="auto"/>
        </w:rPr>
      </w:pPr>
    </w:p>
    <w:p w14:paraId="11999948">
      <w:pPr>
        <w:spacing w:before="74" w:line="227" w:lineRule="auto"/>
        <w:ind w:left="667"/>
        <w:rPr>
          <w:rFonts w:ascii="宋体" w:hAnsi="宋体" w:cs="宋体"/>
          <w:color w:val="auto"/>
          <w:sz w:val="23"/>
          <w:szCs w:val="23"/>
        </w:rPr>
      </w:pPr>
      <w:r>
        <w:rPr>
          <w:rFonts w:ascii="宋体" w:hAnsi="宋体" w:cs="宋体"/>
          <w:color w:val="auto"/>
          <w:spacing w:val="16"/>
          <w:sz w:val="23"/>
          <w:szCs w:val="23"/>
        </w:rPr>
        <w:t>(</w:t>
      </w:r>
      <w:r>
        <w:rPr>
          <w:rFonts w:ascii="宋体" w:hAnsi="宋体" w:cs="宋体"/>
          <w:color w:val="auto"/>
          <w:spacing w:val="12"/>
          <w:sz w:val="23"/>
          <w:szCs w:val="23"/>
        </w:rPr>
        <w:t>由</w:t>
      </w:r>
      <w:r>
        <w:rPr>
          <w:rFonts w:ascii="宋体" w:hAnsi="宋体" w:cs="宋体"/>
          <w:color w:val="auto"/>
          <w:spacing w:val="8"/>
          <w:sz w:val="23"/>
          <w:szCs w:val="23"/>
        </w:rPr>
        <w:t>磋商申请人按本次采购</w:t>
      </w:r>
      <w:r>
        <w:rPr>
          <w:rFonts w:hint="eastAsia" w:ascii="宋体" w:hAnsi="宋体" w:cs="宋体"/>
          <w:color w:val="auto"/>
          <w:spacing w:val="8"/>
          <w:sz w:val="23"/>
          <w:szCs w:val="23"/>
        </w:rPr>
        <w:t>服务</w:t>
      </w:r>
      <w:r>
        <w:rPr>
          <w:rFonts w:ascii="宋体" w:hAnsi="宋体" w:cs="宋体"/>
          <w:color w:val="auto"/>
          <w:spacing w:val="8"/>
          <w:sz w:val="23"/>
          <w:szCs w:val="23"/>
        </w:rPr>
        <w:t>内容结合磋商申请人自身情况自行填写，格式自拟)</w:t>
      </w:r>
    </w:p>
    <w:p w14:paraId="28A24C28">
      <w:pPr>
        <w:pStyle w:val="2"/>
        <w:ind w:firstLine="0" w:firstLineChars="0"/>
        <w:rPr>
          <w:color w:val="auto"/>
        </w:rPr>
      </w:pPr>
    </w:p>
    <w:p w14:paraId="1CFA94B2">
      <w:pPr>
        <w:pStyle w:val="2"/>
        <w:ind w:firstLine="0" w:firstLineChars="0"/>
        <w:rPr>
          <w:color w:val="auto"/>
        </w:rPr>
      </w:pPr>
    </w:p>
    <w:p w14:paraId="3F5346F5">
      <w:pPr>
        <w:pStyle w:val="2"/>
        <w:ind w:firstLine="0" w:firstLineChars="0"/>
        <w:rPr>
          <w:color w:val="auto"/>
        </w:rPr>
      </w:pPr>
    </w:p>
    <w:p w14:paraId="4A8FC469">
      <w:pPr>
        <w:pStyle w:val="2"/>
        <w:ind w:firstLine="0" w:firstLineChars="0"/>
        <w:rPr>
          <w:color w:val="auto"/>
        </w:rPr>
      </w:pPr>
    </w:p>
    <w:p w14:paraId="0F9322BB">
      <w:pPr>
        <w:pStyle w:val="2"/>
        <w:ind w:firstLine="0" w:firstLineChars="0"/>
        <w:rPr>
          <w:color w:val="auto"/>
        </w:rPr>
      </w:pPr>
    </w:p>
    <w:p w14:paraId="22D64B0F">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6E51D51E">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6002B9B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705F3499">
      <w:pPr>
        <w:pStyle w:val="2"/>
        <w:ind w:firstLine="0" w:firstLineChars="0"/>
        <w:rPr>
          <w:color w:val="auto"/>
        </w:rPr>
      </w:pPr>
    </w:p>
    <w:p w14:paraId="7E2F2142">
      <w:pPr>
        <w:pStyle w:val="2"/>
        <w:ind w:firstLine="0" w:firstLineChars="0"/>
        <w:rPr>
          <w:color w:val="auto"/>
        </w:rPr>
      </w:pPr>
    </w:p>
    <w:p w14:paraId="772F620D">
      <w:pPr>
        <w:pStyle w:val="2"/>
        <w:ind w:firstLine="0" w:firstLineChars="0"/>
        <w:rPr>
          <w:color w:val="auto"/>
        </w:rPr>
      </w:pPr>
    </w:p>
    <w:p w14:paraId="20314593">
      <w:pPr>
        <w:pStyle w:val="2"/>
        <w:ind w:firstLine="0" w:firstLineChars="0"/>
        <w:rPr>
          <w:color w:val="auto"/>
        </w:rPr>
      </w:pPr>
    </w:p>
    <w:p w14:paraId="46711701">
      <w:pPr>
        <w:pStyle w:val="2"/>
        <w:ind w:firstLine="0" w:firstLineChars="0"/>
        <w:rPr>
          <w:color w:val="auto"/>
        </w:rPr>
      </w:pPr>
    </w:p>
    <w:p w14:paraId="5E4DB6E6">
      <w:pPr>
        <w:pStyle w:val="2"/>
        <w:ind w:firstLine="0" w:firstLineChars="0"/>
        <w:rPr>
          <w:color w:val="auto"/>
        </w:rPr>
      </w:pPr>
    </w:p>
    <w:p w14:paraId="715103D5">
      <w:pPr>
        <w:pStyle w:val="2"/>
        <w:ind w:firstLine="0" w:firstLineChars="0"/>
        <w:rPr>
          <w:color w:val="auto"/>
        </w:rPr>
      </w:pPr>
    </w:p>
    <w:p w14:paraId="0BD321DC">
      <w:pPr>
        <w:pStyle w:val="2"/>
        <w:ind w:firstLine="0" w:firstLineChars="0"/>
        <w:rPr>
          <w:color w:val="auto"/>
        </w:rPr>
      </w:pPr>
    </w:p>
    <w:p w14:paraId="385EF33E">
      <w:pPr>
        <w:pStyle w:val="2"/>
        <w:ind w:firstLine="0" w:firstLineChars="0"/>
        <w:rPr>
          <w:color w:val="auto"/>
        </w:rPr>
      </w:pPr>
    </w:p>
    <w:p w14:paraId="640D929E">
      <w:pPr>
        <w:pStyle w:val="2"/>
        <w:ind w:firstLine="0" w:firstLineChars="0"/>
        <w:rPr>
          <w:color w:val="auto"/>
        </w:rPr>
      </w:pPr>
    </w:p>
    <w:p w14:paraId="77E4776B">
      <w:pPr>
        <w:pStyle w:val="2"/>
        <w:ind w:firstLine="0" w:firstLineChars="0"/>
        <w:rPr>
          <w:color w:val="auto"/>
        </w:rPr>
      </w:pPr>
    </w:p>
    <w:p w14:paraId="1DA40A85">
      <w:pPr>
        <w:pStyle w:val="2"/>
        <w:ind w:firstLine="0" w:firstLineChars="0"/>
        <w:rPr>
          <w:color w:val="auto"/>
        </w:rPr>
      </w:pPr>
    </w:p>
    <w:p w14:paraId="21DE14DF">
      <w:pPr>
        <w:pStyle w:val="2"/>
        <w:ind w:firstLine="0" w:firstLineChars="0"/>
        <w:rPr>
          <w:color w:val="auto"/>
        </w:rPr>
      </w:pPr>
    </w:p>
    <w:p w14:paraId="3B301569">
      <w:pPr>
        <w:pStyle w:val="2"/>
        <w:ind w:firstLine="0" w:firstLineChars="0"/>
        <w:rPr>
          <w:color w:val="auto"/>
        </w:rPr>
      </w:pPr>
    </w:p>
    <w:p w14:paraId="2B10485A">
      <w:pPr>
        <w:pStyle w:val="2"/>
        <w:ind w:firstLine="0" w:firstLineChars="0"/>
        <w:rPr>
          <w:color w:val="auto"/>
        </w:rPr>
      </w:pPr>
    </w:p>
    <w:p w14:paraId="1A9F2EBE">
      <w:pPr>
        <w:pStyle w:val="2"/>
        <w:ind w:firstLine="0" w:firstLineChars="0"/>
        <w:rPr>
          <w:color w:val="auto"/>
        </w:rPr>
      </w:pPr>
    </w:p>
    <w:p w14:paraId="3CC8D2C9">
      <w:pPr>
        <w:pStyle w:val="2"/>
        <w:ind w:firstLine="0" w:firstLineChars="0"/>
        <w:rPr>
          <w:color w:val="auto"/>
        </w:rPr>
      </w:pPr>
    </w:p>
    <w:p w14:paraId="6C085469">
      <w:pPr>
        <w:pStyle w:val="2"/>
        <w:ind w:firstLine="0" w:firstLineChars="0"/>
        <w:rPr>
          <w:color w:val="auto"/>
        </w:rPr>
      </w:pPr>
    </w:p>
    <w:p w14:paraId="563FF23F">
      <w:pPr>
        <w:pStyle w:val="2"/>
        <w:ind w:firstLine="0" w:firstLineChars="0"/>
        <w:rPr>
          <w:color w:val="auto"/>
        </w:rPr>
      </w:pPr>
    </w:p>
    <w:p w14:paraId="1B2CD3A8">
      <w:pPr>
        <w:pStyle w:val="2"/>
        <w:ind w:firstLine="0" w:firstLineChars="0"/>
        <w:rPr>
          <w:color w:val="auto"/>
        </w:rPr>
      </w:pPr>
    </w:p>
    <w:p w14:paraId="569AE6D3">
      <w:pPr>
        <w:pStyle w:val="2"/>
        <w:ind w:firstLine="0" w:firstLineChars="0"/>
        <w:rPr>
          <w:color w:val="auto"/>
        </w:rPr>
      </w:pPr>
    </w:p>
    <w:p w14:paraId="5FE24B9F">
      <w:pPr>
        <w:pStyle w:val="2"/>
        <w:ind w:firstLine="0" w:firstLineChars="0"/>
        <w:rPr>
          <w:color w:val="auto"/>
        </w:rPr>
      </w:pPr>
    </w:p>
    <w:p w14:paraId="7E7904F2">
      <w:pPr>
        <w:pStyle w:val="2"/>
        <w:ind w:firstLine="0" w:firstLineChars="0"/>
        <w:rPr>
          <w:color w:val="auto"/>
        </w:rPr>
      </w:pPr>
    </w:p>
    <w:p w14:paraId="7A02BE29">
      <w:pPr>
        <w:pStyle w:val="2"/>
        <w:ind w:firstLine="0" w:firstLineChars="0"/>
        <w:rPr>
          <w:color w:val="auto"/>
        </w:rPr>
      </w:pPr>
    </w:p>
    <w:p w14:paraId="7D1E06A9">
      <w:pPr>
        <w:pStyle w:val="2"/>
        <w:ind w:firstLine="0" w:firstLineChars="0"/>
        <w:rPr>
          <w:color w:val="auto"/>
        </w:rPr>
      </w:pPr>
    </w:p>
    <w:p w14:paraId="6562E5DE">
      <w:pPr>
        <w:pStyle w:val="2"/>
        <w:ind w:firstLine="0" w:firstLineChars="0"/>
        <w:rPr>
          <w:color w:val="auto"/>
        </w:rPr>
      </w:pPr>
    </w:p>
    <w:p w14:paraId="47C15662">
      <w:pPr>
        <w:pStyle w:val="2"/>
        <w:ind w:firstLine="0" w:firstLineChars="0"/>
        <w:rPr>
          <w:color w:val="auto"/>
        </w:rPr>
      </w:pPr>
    </w:p>
    <w:p w14:paraId="247CA8FF">
      <w:pPr>
        <w:pStyle w:val="2"/>
        <w:ind w:firstLine="0" w:firstLineChars="0"/>
        <w:rPr>
          <w:color w:val="auto"/>
        </w:rPr>
      </w:pPr>
    </w:p>
    <w:p w14:paraId="27303B30">
      <w:pPr>
        <w:pStyle w:val="2"/>
        <w:ind w:firstLine="0" w:firstLineChars="0"/>
        <w:rPr>
          <w:color w:val="auto"/>
        </w:rPr>
      </w:pPr>
    </w:p>
    <w:p w14:paraId="7907E4BA">
      <w:pPr>
        <w:pStyle w:val="2"/>
        <w:ind w:firstLine="0" w:firstLineChars="0"/>
        <w:rPr>
          <w:color w:val="auto"/>
        </w:rPr>
      </w:pPr>
    </w:p>
    <w:p w14:paraId="29EBF2C0">
      <w:pPr>
        <w:pStyle w:val="2"/>
        <w:ind w:firstLine="0" w:firstLineChars="0"/>
        <w:rPr>
          <w:color w:val="auto"/>
        </w:rPr>
      </w:pPr>
    </w:p>
    <w:p w14:paraId="29334612">
      <w:pPr>
        <w:pStyle w:val="2"/>
        <w:ind w:firstLine="0" w:firstLineChars="0"/>
        <w:rPr>
          <w:color w:val="auto"/>
        </w:rPr>
      </w:pPr>
    </w:p>
    <w:p w14:paraId="4468B86E">
      <w:pPr>
        <w:pStyle w:val="2"/>
        <w:ind w:firstLine="0" w:firstLineChars="0"/>
        <w:rPr>
          <w:color w:val="auto"/>
        </w:rPr>
      </w:pPr>
    </w:p>
    <w:p w14:paraId="439297BA">
      <w:pPr>
        <w:pStyle w:val="2"/>
        <w:ind w:firstLine="0" w:firstLineChars="0"/>
        <w:rPr>
          <w:color w:val="auto"/>
        </w:rPr>
      </w:pPr>
    </w:p>
    <w:p w14:paraId="06B17595">
      <w:pPr>
        <w:pStyle w:val="2"/>
        <w:ind w:firstLine="0" w:firstLineChars="0"/>
        <w:rPr>
          <w:color w:val="auto"/>
        </w:rPr>
      </w:pPr>
    </w:p>
    <w:p w14:paraId="6B1EE933">
      <w:pPr>
        <w:pStyle w:val="2"/>
        <w:ind w:firstLine="0" w:firstLineChars="0"/>
        <w:rPr>
          <w:color w:val="auto"/>
        </w:rPr>
      </w:pPr>
    </w:p>
    <w:p w14:paraId="0A59F524">
      <w:pPr>
        <w:pStyle w:val="2"/>
        <w:ind w:firstLine="0" w:firstLineChars="0"/>
        <w:rPr>
          <w:color w:val="auto"/>
        </w:rPr>
      </w:pPr>
    </w:p>
    <w:p w14:paraId="1B0F5368">
      <w:pPr>
        <w:pStyle w:val="2"/>
        <w:ind w:firstLine="0" w:firstLineChars="0"/>
        <w:rPr>
          <w:color w:val="auto"/>
        </w:rPr>
      </w:pPr>
    </w:p>
    <w:p w14:paraId="2387A159">
      <w:pPr>
        <w:pStyle w:val="2"/>
        <w:ind w:firstLine="0" w:firstLineChars="0"/>
        <w:rPr>
          <w:color w:val="auto"/>
        </w:rPr>
      </w:pPr>
    </w:p>
    <w:p w14:paraId="3A9B8143">
      <w:pPr>
        <w:pStyle w:val="2"/>
        <w:ind w:firstLine="0" w:firstLineChars="0"/>
        <w:rPr>
          <w:color w:val="auto"/>
        </w:rPr>
      </w:pPr>
    </w:p>
    <w:p w14:paraId="1572B19C">
      <w:pPr>
        <w:pStyle w:val="2"/>
        <w:ind w:firstLine="0" w:firstLineChars="0"/>
        <w:rPr>
          <w:color w:val="auto"/>
        </w:rPr>
      </w:pPr>
    </w:p>
    <w:p w14:paraId="3A711A7E">
      <w:pPr>
        <w:pStyle w:val="2"/>
        <w:ind w:firstLine="0" w:firstLineChars="0"/>
        <w:rPr>
          <w:color w:val="auto"/>
        </w:rPr>
      </w:pPr>
    </w:p>
    <w:p w14:paraId="67BE40FD">
      <w:pPr>
        <w:pStyle w:val="2"/>
        <w:ind w:firstLine="0" w:firstLineChars="0"/>
        <w:rPr>
          <w:color w:val="auto"/>
        </w:rPr>
      </w:pPr>
    </w:p>
    <w:p w14:paraId="63B69347">
      <w:pPr>
        <w:pStyle w:val="2"/>
        <w:ind w:firstLine="0" w:firstLineChars="0"/>
        <w:rPr>
          <w:color w:val="auto"/>
        </w:rPr>
      </w:pPr>
    </w:p>
    <w:p w14:paraId="73B8E310">
      <w:pPr>
        <w:autoSpaceDE w:val="0"/>
        <w:autoSpaceDN w:val="0"/>
        <w:adjustRightInd w:val="0"/>
        <w:spacing w:line="360" w:lineRule="auto"/>
        <w:jc w:val="center"/>
        <w:outlineLvl w:val="0"/>
        <w:rPr>
          <w:rFonts w:ascii="宋体" w:hAnsi="宋体" w:cs="宋体"/>
          <w:b/>
          <w:bCs/>
          <w:color w:val="auto"/>
          <w:kern w:val="0"/>
          <w:sz w:val="28"/>
          <w:szCs w:val="28"/>
        </w:rPr>
      </w:pPr>
      <w:bookmarkStart w:id="1261" w:name="_Toc14243"/>
      <w:bookmarkStart w:id="1262" w:name="_Toc5253"/>
      <w:bookmarkStart w:id="1263" w:name="_Toc26444"/>
      <w:r>
        <w:rPr>
          <w:rFonts w:hint="eastAsia" w:ascii="宋体" w:hAnsi="宋体" w:cs="宋体"/>
          <w:b/>
          <w:bCs/>
          <w:color w:val="auto"/>
          <w:kern w:val="0"/>
          <w:sz w:val="28"/>
          <w:szCs w:val="28"/>
        </w:rPr>
        <w:t>十、规章管理制度</w:t>
      </w:r>
    </w:p>
    <w:p w14:paraId="13D9FC23">
      <w:pPr>
        <w:autoSpaceDE w:val="0"/>
        <w:autoSpaceDN w:val="0"/>
        <w:adjustRightInd w:val="0"/>
        <w:spacing w:line="360" w:lineRule="auto"/>
        <w:jc w:val="center"/>
        <w:outlineLvl w:val="0"/>
        <w:rPr>
          <w:rFonts w:ascii="宋体" w:hAnsi="宋体" w:cs="宋体"/>
          <w:b/>
          <w:bCs/>
          <w:color w:val="auto"/>
          <w:kern w:val="0"/>
          <w:sz w:val="28"/>
          <w:szCs w:val="28"/>
        </w:rPr>
      </w:pPr>
    </w:p>
    <w:bookmarkEnd w:id="1261"/>
    <w:bookmarkEnd w:id="1262"/>
    <w:bookmarkEnd w:id="1263"/>
    <w:p w14:paraId="0E614E83">
      <w:pPr>
        <w:pStyle w:val="3"/>
        <w:rPr>
          <w:color w:val="auto"/>
        </w:rPr>
      </w:pPr>
      <w:bookmarkStart w:id="1264" w:name="_Toc14884"/>
    </w:p>
    <w:p w14:paraId="07C428D4">
      <w:pPr>
        <w:pStyle w:val="3"/>
        <w:rPr>
          <w:color w:val="auto"/>
        </w:rPr>
      </w:pPr>
    </w:p>
    <w:p w14:paraId="443846A8">
      <w:pPr>
        <w:pStyle w:val="3"/>
        <w:jc w:val="both"/>
        <w:rPr>
          <w:color w:val="auto"/>
        </w:rPr>
      </w:pPr>
    </w:p>
    <w:p w14:paraId="36F601BD">
      <w:pPr>
        <w:rPr>
          <w:color w:val="auto"/>
        </w:rPr>
      </w:pPr>
    </w:p>
    <w:p w14:paraId="218ADF9D">
      <w:pPr>
        <w:pStyle w:val="3"/>
        <w:jc w:val="both"/>
        <w:rPr>
          <w:color w:val="auto"/>
        </w:rPr>
      </w:pPr>
    </w:p>
    <w:p w14:paraId="0B673E93">
      <w:pPr>
        <w:rPr>
          <w:color w:val="auto"/>
        </w:rPr>
      </w:pPr>
    </w:p>
    <w:p w14:paraId="4EC0E594">
      <w:pPr>
        <w:rPr>
          <w:color w:val="auto"/>
        </w:rPr>
      </w:pPr>
    </w:p>
    <w:p w14:paraId="467DCD06">
      <w:pPr>
        <w:rPr>
          <w:color w:val="auto"/>
        </w:rPr>
      </w:pPr>
    </w:p>
    <w:p w14:paraId="68A9C7D6">
      <w:pPr>
        <w:rPr>
          <w:color w:val="auto"/>
        </w:rPr>
      </w:pPr>
    </w:p>
    <w:p w14:paraId="52268C5A">
      <w:pPr>
        <w:rPr>
          <w:color w:val="auto"/>
        </w:rPr>
      </w:pPr>
    </w:p>
    <w:p w14:paraId="5EAE3E5E">
      <w:pPr>
        <w:rPr>
          <w:color w:val="auto"/>
        </w:rPr>
      </w:pPr>
    </w:p>
    <w:p w14:paraId="70BB437E">
      <w:pPr>
        <w:rPr>
          <w:color w:val="auto"/>
        </w:rPr>
      </w:pPr>
    </w:p>
    <w:p w14:paraId="0671E8E8">
      <w:pPr>
        <w:rPr>
          <w:color w:val="auto"/>
        </w:rPr>
      </w:pPr>
    </w:p>
    <w:p w14:paraId="5CA4EB4E">
      <w:pPr>
        <w:rPr>
          <w:color w:val="auto"/>
        </w:rPr>
      </w:pPr>
    </w:p>
    <w:p w14:paraId="3FBB3358">
      <w:pPr>
        <w:rPr>
          <w:color w:val="auto"/>
        </w:rPr>
      </w:pPr>
    </w:p>
    <w:p w14:paraId="54CB1DE9">
      <w:pPr>
        <w:rPr>
          <w:color w:val="auto"/>
        </w:rPr>
      </w:pPr>
    </w:p>
    <w:p w14:paraId="32AF0780">
      <w:pPr>
        <w:pStyle w:val="4"/>
        <w:rPr>
          <w:color w:val="auto"/>
        </w:rPr>
      </w:pPr>
    </w:p>
    <w:p w14:paraId="69EE3310">
      <w:pPr>
        <w:rPr>
          <w:color w:val="auto"/>
        </w:rPr>
      </w:pPr>
    </w:p>
    <w:p w14:paraId="32018D3F">
      <w:pPr>
        <w:pStyle w:val="2"/>
        <w:rPr>
          <w:color w:val="auto"/>
        </w:rPr>
      </w:pPr>
    </w:p>
    <w:p w14:paraId="56C04F2E">
      <w:pPr>
        <w:pStyle w:val="2"/>
        <w:rPr>
          <w:color w:val="auto"/>
        </w:rPr>
      </w:pPr>
    </w:p>
    <w:p w14:paraId="0623DA72">
      <w:pPr>
        <w:pStyle w:val="2"/>
        <w:rPr>
          <w:color w:val="auto"/>
        </w:rPr>
      </w:pPr>
    </w:p>
    <w:p w14:paraId="2B056E00">
      <w:pPr>
        <w:pStyle w:val="2"/>
        <w:rPr>
          <w:color w:val="auto"/>
        </w:rPr>
      </w:pPr>
    </w:p>
    <w:p w14:paraId="3037F73F">
      <w:pPr>
        <w:pStyle w:val="2"/>
        <w:rPr>
          <w:color w:val="auto"/>
        </w:rPr>
      </w:pPr>
    </w:p>
    <w:p w14:paraId="2492A2AD">
      <w:pPr>
        <w:autoSpaceDE w:val="0"/>
        <w:autoSpaceDN w:val="0"/>
        <w:adjustRightInd w:val="0"/>
        <w:spacing w:line="360" w:lineRule="auto"/>
        <w:jc w:val="center"/>
        <w:outlineLvl w:val="0"/>
        <w:rPr>
          <w:rFonts w:ascii="宋体" w:hAnsi="宋体" w:cs="宋体"/>
          <w:b/>
          <w:bCs/>
          <w:color w:val="auto"/>
          <w:kern w:val="0"/>
          <w:sz w:val="28"/>
          <w:szCs w:val="28"/>
        </w:rPr>
      </w:pPr>
    </w:p>
    <w:p w14:paraId="11EA3065">
      <w:pPr>
        <w:autoSpaceDE w:val="0"/>
        <w:autoSpaceDN w:val="0"/>
        <w:adjustRightInd w:val="0"/>
        <w:spacing w:line="360" w:lineRule="auto"/>
        <w:jc w:val="center"/>
        <w:outlineLvl w:val="0"/>
        <w:rPr>
          <w:rFonts w:ascii="宋体" w:hAnsi="宋体" w:cs="宋体"/>
          <w:b/>
          <w:bCs/>
          <w:color w:val="auto"/>
          <w:kern w:val="0"/>
          <w:sz w:val="28"/>
          <w:szCs w:val="28"/>
        </w:rPr>
      </w:pPr>
    </w:p>
    <w:p w14:paraId="6ACB38F0">
      <w:pPr>
        <w:autoSpaceDE w:val="0"/>
        <w:autoSpaceDN w:val="0"/>
        <w:adjustRightInd w:val="0"/>
        <w:spacing w:line="360" w:lineRule="auto"/>
        <w:jc w:val="center"/>
        <w:outlineLvl w:val="0"/>
        <w:rPr>
          <w:rFonts w:ascii="宋体" w:hAnsi="宋体" w:cs="宋体"/>
          <w:b/>
          <w:bCs/>
          <w:color w:val="auto"/>
          <w:kern w:val="0"/>
          <w:sz w:val="28"/>
          <w:szCs w:val="28"/>
        </w:rPr>
      </w:pPr>
    </w:p>
    <w:p w14:paraId="2B4610DD">
      <w:pPr>
        <w:autoSpaceDE w:val="0"/>
        <w:autoSpaceDN w:val="0"/>
        <w:adjustRightInd w:val="0"/>
        <w:spacing w:line="360" w:lineRule="auto"/>
        <w:jc w:val="center"/>
        <w:outlineLvl w:val="0"/>
        <w:rPr>
          <w:rFonts w:ascii="宋体" w:hAnsi="宋体" w:cs="宋体"/>
          <w:b/>
          <w:bCs/>
          <w:color w:val="auto"/>
          <w:kern w:val="0"/>
          <w:sz w:val="28"/>
          <w:szCs w:val="28"/>
        </w:rPr>
      </w:pPr>
    </w:p>
    <w:p w14:paraId="2ACB5089">
      <w:pPr>
        <w:autoSpaceDE w:val="0"/>
        <w:autoSpaceDN w:val="0"/>
        <w:adjustRightInd w:val="0"/>
        <w:spacing w:line="360" w:lineRule="auto"/>
        <w:jc w:val="center"/>
        <w:outlineLvl w:val="0"/>
        <w:rPr>
          <w:rFonts w:ascii="宋体" w:hAnsi="宋体" w:cs="宋体"/>
          <w:b/>
          <w:bCs/>
          <w:color w:val="auto"/>
          <w:kern w:val="0"/>
          <w:sz w:val="28"/>
          <w:szCs w:val="28"/>
        </w:rPr>
      </w:pPr>
    </w:p>
    <w:p w14:paraId="07003DE0">
      <w:pPr>
        <w:autoSpaceDE w:val="0"/>
        <w:autoSpaceDN w:val="0"/>
        <w:adjustRightInd w:val="0"/>
        <w:spacing w:line="360" w:lineRule="auto"/>
        <w:jc w:val="center"/>
        <w:outlineLvl w:val="0"/>
        <w:rPr>
          <w:rFonts w:ascii="宋体" w:hAnsi="宋体" w:cs="宋体"/>
          <w:b/>
          <w:bCs/>
          <w:color w:val="auto"/>
          <w:kern w:val="0"/>
          <w:sz w:val="28"/>
          <w:szCs w:val="28"/>
        </w:rPr>
      </w:pPr>
    </w:p>
    <w:p w14:paraId="75DA8CC9">
      <w:pPr>
        <w:autoSpaceDE w:val="0"/>
        <w:autoSpaceDN w:val="0"/>
        <w:adjustRightInd w:val="0"/>
        <w:spacing w:line="360" w:lineRule="auto"/>
        <w:jc w:val="center"/>
        <w:outlineLvl w:val="0"/>
        <w:rPr>
          <w:rFonts w:ascii="宋体" w:hAnsi="宋体" w:cs="宋体"/>
          <w:b/>
          <w:bCs/>
          <w:color w:val="auto"/>
          <w:kern w:val="0"/>
          <w:sz w:val="28"/>
          <w:szCs w:val="28"/>
        </w:rPr>
      </w:pPr>
    </w:p>
    <w:p w14:paraId="0EFAF35E">
      <w:pPr>
        <w:autoSpaceDE w:val="0"/>
        <w:autoSpaceDN w:val="0"/>
        <w:adjustRightInd w:val="0"/>
        <w:spacing w:line="360" w:lineRule="auto"/>
        <w:jc w:val="center"/>
        <w:outlineLvl w:val="0"/>
        <w:rPr>
          <w:rFonts w:ascii="宋体" w:hAnsi="宋体" w:cs="宋体"/>
          <w:b/>
          <w:bCs/>
          <w:color w:val="auto"/>
          <w:kern w:val="0"/>
          <w:sz w:val="28"/>
          <w:szCs w:val="28"/>
        </w:rPr>
      </w:pPr>
    </w:p>
    <w:p w14:paraId="69F17A95">
      <w:pPr>
        <w:autoSpaceDE w:val="0"/>
        <w:autoSpaceDN w:val="0"/>
        <w:adjustRightInd w:val="0"/>
        <w:spacing w:line="360" w:lineRule="auto"/>
        <w:jc w:val="center"/>
        <w:outlineLvl w:val="0"/>
        <w:rPr>
          <w:rFonts w:ascii="宋体" w:hAnsi="宋体" w:cs="宋体"/>
          <w:b/>
          <w:bCs/>
          <w:color w:val="auto"/>
          <w:kern w:val="0"/>
          <w:sz w:val="28"/>
          <w:szCs w:val="28"/>
        </w:rPr>
      </w:pPr>
    </w:p>
    <w:p w14:paraId="48D5E91A">
      <w:pPr>
        <w:autoSpaceDE w:val="0"/>
        <w:autoSpaceDN w:val="0"/>
        <w:adjustRightInd w:val="0"/>
        <w:spacing w:line="360" w:lineRule="auto"/>
        <w:jc w:val="center"/>
        <w:outlineLvl w:val="0"/>
        <w:rPr>
          <w:rFonts w:ascii="宋体" w:hAnsi="宋体" w:cs="宋体"/>
          <w:b/>
          <w:bCs/>
          <w:color w:val="auto"/>
          <w:kern w:val="0"/>
          <w:sz w:val="28"/>
          <w:szCs w:val="28"/>
        </w:rPr>
      </w:pPr>
    </w:p>
    <w:p w14:paraId="11DE8840">
      <w:pPr>
        <w:autoSpaceDE w:val="0"/>
        <w:autoSpaceDN w:val="0"/>
        <w:adjustRightInd w:val="0"/>
        <w:spacing w:line="360" w:lineRule="auto"/>
        <w:jc w:val="center"/>
        <w:outlineLvl w:val="0"/>
        <w:rPr>
          <w:rFonts w:ascii="宋体" w:hAnsi="宋体" w:cs="宋体"/>
          <w:b/>
          <w:bCs/>
          <w:color w:val="auto"/>
          <w:kern w:val="0"/>
          <w:sz w:val="28"/>
          <w:szCs w:val="28"/>
        </w:rPr>
      </w:pPr>
    </w:p>
    <w:p w14:paraId="5ED47DE5">
      <w:pPr>
        <w:autoSpaceDE w:val="0"/>
        <w:autoSpaceDN w:val="0"/>
        <w:adjustRightInd w:val="0"/>
        <w:spacing w:line="360" w:lineRule="auto"/>
        <w:jc w:val="center"/>
        <w:outlineLvl w:val="0"/>
        <w:rPr>
          <w:rFonts w:ascii="宋体" w:hAnsi="宋体" w:cs="宋体"/>
          <w:b/>
          <w:bCs/>
          <w:color w:val="auto"/>
          <w:kern w:val="0"/>
          <w:sz w:val="28"/>
          <w:szCs w:val="28"/>
        </w:rPr>
      </w:pPr>
      <w:r>
        <w:rPr>
          <w:rFonts w:hint="eastAsia" w:ascii="宋体" w:hAnsi="宋体" w:cs="宋体"/>
          <w:b/>
          <w:bCs/>
          <w:color w:val="auto"/>
          <w:kern w:val="0"/>
          <w:sz w:val="28"/>
          <w:szCs w:val="28"/>
        </w:rPr>
        <w:t>十一、企业综合实力</w:t>
      </w:r>
    </w:p>
    <w:p w14:paraId="2AFBEE68">
      <w:pPr>
        <w:pStyle w:val="3"/>
        <w:rPr>
          <w:color w:val="auto"/>
        </w:rPr>
      </w:pPr>
    </w:p>
    <w:p w14:paraId="762D5586">
      <w:pPr>
        <w:pStyle w:val="3"/>
        <w:rPr>
          <w:color w:val="auto"/>
        </w:rPr>
      </w:pPr>
      <w:bookmarkStart w:id="1265" w:name="_Toc23776"/>
    </w:p>
    <w:p w14:paraId="60F31040">
      <w:pPr>
        <w:pStyle w:val="42"/>
        <w:ind w:firstLine="210"/>
        <w:rPr>
          <w:rFonts w:ascii="宋体" w:hAnsi="宋体"/>
          <w:color w:val="auto"/>
          <w:sz w:val="36"/>
        </w:rPr>
      </w:pPr>
      <w:r>
        <w:rPr>
          <w:color w:val="auto"/>
        </w:rPr>
        <w:br w:type="page"/>
      </w:r>
    </w:p>
    <w:p w14:paraId="3033C333">
      <w:pPr>
        <w:autoSpaceDE w:val="0"/>
        <w:autoSpaceDN w:val="0"/>
        <w:adjustRightInd w:val="0"/>
        <w:spacing w:line="360" w:lineRule="auto"/>
        <w:jc w:val="center"/>
        <w:outlineLvl w:val="0"/>
        <w:rPr>
          <w:rFonts w:ascii="宋体" w:hAnsi="宋体" w:cs="宋体"/>
          <w:b/>
          <w:bCs/>
          <w:color w:val="auto"/>
          <w:kern w:val="0"/>
          <w:sz w:val="28"/>
          <w:szCs w:val="28"/>
        </w:rPr>
      </w:pPr>
      <w:r>
        <w:rPr>
          <w:rFonts w:hint="eastAsia" w:ascii="宋体" w:hAnsi="宋体" w:cs="宋体"/>
          <w:b/>
          <w:bCs/>
          <w:color w:val="auto"/>
          <w:kern w:val="0"/>
          <w:sz w:val="28"/>
          <w:szCs w:val="28"/>
        </w:rPr>
        <w:t>十二、磋商申请人认为须提供的其他证明材料（格式自拟）</w:t>
      </w:r>
    </w:p>
    <w:p w14:paraId="553100F4">
      <w:pPr>
        <w:rPr>
          <w:color w:val="auto"/>
        </w:rPr>
      </w:pPr>
    </w:p>
    <w:p w14:paraId="4354356F">
      <w:pPr>
        <w:pStyle w:val="43"/>
        <w:ind w:firstLine="560"/>
        <w:rPr>
          <w:color w:val="auto"/>
        </w:rPr>
      </w:pPr>
    </w:p>
    <w:p w14:paraId="12EEE3CA">
      <w:pPr>
        <w:pStyle w:val="2"/>
        <w:ind w:firstLine="48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磋商申请人自拟格式并阐述。</w:t>
      </w:r>
    </w:p>
    <w:p w14:paraId="597ADEDF">
      <w:pPr>
        <w:pStyle w:val="4"/>
        <w:spacing w:before="0" w:after="0" w:line="360" w:lineRule="auto"/>
        <w:jc w:val="both"/>
        <w:rPr>
          <w:rFonts w:ascii="宋体" w:hAnsi="宋体" w:cs="宋体"/>
          <w:bCs/>
          <w:color w:val="auto"/>
          <w:sz w:val="36"/>
        </w:rPr>
      </w:pPr>
    </w:p>
    <w:p w14:paraId="63D2B889">
      <w:pPr>
        <w:rPr>
          <w:rFonts w:ascii="宋体" w:hAnsi="宋体" w:cs="宋体"/>
          <w:bCs/>
          <w:color w:val="auto"/>
          <w:sz w:val="36"/>
        </w:rPr>
      </w:pPr>
    </w:p>
    <w:p w14:paraId="31355A4C">
      <w:pPr>
        <w:pStyle w:val="4"/>
        <w:spacing w:before="0" w:after="0" w:line="360" w:lineRule="auto"/>
        <w:jc w:val="both"/>
        <w:rPr>
          <w:rFonts w:ascii="宋体" w:hAnsi="宋体" w:cs="宋体"/>
          <w:bCs/>
          <w:color w:val="auto"/>
          <w:sz w:val="36"/>
        </w:rPr>
      </w:pPr>
    </w:p>
    <w:p w14:paraId="4D557E8C">
      <w:pPr>
        <w:rPr>
          <w:color w:val="auto"/>
        </w:rPr>
      </w:pPr>
    </w:p>
    <w:p w14:paraId="02735A69">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磋商申请人：</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5187F559">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法定代表人或其授权代理人：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475B5CF1">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6A83E605">
      <w:pPr>
        <w:pStyle w:val="3"/>
        <w:jc w:val="both"/>
        <w:rPr>
          <w:color w:val="auto"/>
        </w:rPr>
      </w:pPr>
    </w:p>
    <w:p w14:paraId="2C96C8DB">
      <w:pPr>
        <w:pStyle w:val="3"/>
        <w:rPr>
          <w:color w:val="auto"/>
        </w:rPr>
      </w:pPr>
    </w:p>
    <w:p w14:paraId="31DE4788">
      <w:pPr>
        <w:pStyle w:val="42"/>
        <w:ind w:firstLine="210"/>
        <w:rPr>
          <w:rFonts w:ascii="宋体" w:hAnsi="宋体"/>
          <w:color w:val="auto"/>
          <w:sz w:val="36"/>
        </w:rPr>
      </w:pPr>
      <w:r>
        <w:rPr>
          <w:color w:val="auto"/>
        </w:rPr>
        <w:br w:type="page"/>
      </w:r>
    </w:p>
    <w:p w14:paraId="48A44539">
      <w:pPr>
        <w:pStyle w:val="3"/>
        <w:rPr>
          <w:color w:val="auto"/>
        </w:rPr>
      </w:pPr>
      <w:r>
        <w:rPr>
          <w:rFonts w:hint="eastAsia"/>
          <w:color w:val="auto"/>
        </w:rPr>
        <w:t xml:space="preserve">第五章  </w:t>
      </w:r>
      <w:bookmarkEnd w:id="1264"/>
      <w:r>
        <w:rPr>
          <w:rFonts w:hint="eastAsia"/>
          <w:color w:val="auto"/>
        </w:rPr>
        <w:t>服务要求</w:t>
      </w:r>
      <w:bookmarkEnd w:id="1265"/>
    </w:p>
    <w:p w14:paraId="72180104">
      <w:pPr>
        <w:pStyle w:val="43"/>
        <w:ind w:firstLine="560"/>
        <w:rPr>
          <w:color w:val="auto"/>
        </w:rPr>
      </w:pPr>
    </w:p>
    <w:p w14:paraId="3C002A0C">
      <w:pPr>
        <w:pStyle w:val="42"/>
        <w:ind w:firstLine="241"/>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物业服务要求</w:t>
      </w:r>
    </w:p>
    <w:p w14:paraId="36414E0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一、服务内容</w:t>
      </w:r>
    </w:p>
    <w:p w14:paraId="201C866E">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（一）磋商申请人向采购单位提供保洁人员5名，负责采购单位院区（含农贸市场办公区）室内、室外环境清洁；医院被褥、工作服的洗涤；公共区域的消毒工作。</w:t>
      </w:r>
    </w:p>
    <w:p w14:paraId="60734B1A">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磋商申请人卫生服务标准符合医院感控部门和上级部门的要求。经得起上级部门文明卫生城市的各项卫生检查，明确责任，落实管理，保证医院各项卫生检查达标。</w:t>
      </w:r>
    </w:p>
    <w:p w14:paraId="65BFAD8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（二）磋商申请人自行提供服务必备的各种工具</w:t>
      </w:r>
      <w:r>
        <w:rPr>
          <w:rFonts w:hint="eastAsia" w:asciiTheme="minorEastAsia" w:hAnsiTheme="minorEastAsia" w:eastAsiaTheme="minorEastAsia" w:cstheme="minorEastAsia"/>
          <w:color w:val="auto"/>
          <w:sz w:val="24"/>
          <w:szCs w:val="24"/>
        </w:rPr>
        <w:t>（含洗涤及脱水设备）</w:t>
      </w:r>
      <w:r>
        <w:rPr>
          <w:rFonts w:hint="eastAsia" w:asciiTheme="minorEastAsia" w:hAnsiTheme="minorEastAsia" w:eastAsiaTheme="minorEastAsia" w:cstheme="minorEastAsia"/>
          <w:color w:val="auto"/>
          <w:sz w:val="24"/>
          <w:szCs w:val="24"/>
        </w:rPr>
        <w:t>、保洁用的一次性耗材（含生活垃圾袋、洗衣粉、洗洁精、消毒灵、保洁人员的防护用品、去污粉、手套、钢丝球、拖把、扫把、大小毛巾、大小水桶、卫生刷、卫生香球、玻璃清洗用具等清洁卫生用品)。</w:t>
      </w:r>
    </w:p>
    <w:p w14:paraId="3910EB1A">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黄色医疗废物垃圾袋及各种垃圾桶由采购单位提供，磋商申请人不承担水电费，但要节约使用。</w:t>
      </w:r>
    </w:p>
    <w:p w14:paraId="7D97E820">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（三）保洁范围包括:</w:t>
      </w:r>
    </w:p>
    <w:p w14:paraId="3211757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1.采购单位院区所有建筑物内部区域地面、顶面、四周墙壁、楼梯、电梯间、公共通道、走廊、洗手间、卫生间等室内场所的卫生清洁保洁（不包含外墙高空作业）；</w:t>
      </w:r>
    </w:p>
    <w:p w14:paraId="45141B9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2.室内家具、灯具、设备、卫生洁具、门窗玻璃、宣传栏、标示标牌清洁保洁；</w:t>
      </w:r>
    </w:p>
    <w:p w14:paraId="16770F2B">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3.公共区休闲桌、凳、椅、标识标牌清洁保洁；</w:t>
      </w:r>
    </w:p>
    <w:p w14:paraId="0345504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4.医院内被褥、工作服、窗帘等的洗涤清洁。</w:t>
      </w:r>
    </w:p>
    <w:p w14:paraId="29B2D65A">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二、工作要求</w:t>
      </w:r>
    </w:p>
    <w:p w14:paraId="69FBC6C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每天按时巡视，每层从屋顶到墙壁到地板要做到干净、整洁，无蜘蛛丝，无纸屑、无废物、无痰迹;卫生间要清洁、干燥、无异味、无垃圾、地面无积水，卫生间洁具无污渍，做到随脏随清（特别要管好门、急诊公共场所）。</w:t>
      </w:r>
    </w:p>
    <w:p w14:paraId="4464E1CC">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（二）每天做好责任区域内床、桌、椅、柜、灯、设备带、门、窗、墙、地面、及扶拦、楼梯和示意牌等设施设备整洁和清洁，达到无灰尘、无污物、无污渍。</w:t>
      </w:r>
    </w:p>
    <w:p w14:paraId="78E76ED5">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（三）保持护士站的桌、椅、吊柜、冰箱外部、水池及周边环境的整洁。</w:t>
      </w:r>
    </w:p>
    <w:p w14:paraId="28C0B39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（四）对开水间、污物间及垃圾桶进行清洁、消毒工作。</w:t>
      </w:r>
    </w:p>
    <w:p w14:paraId="32CAE058">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（五）负责责任区域内生活垃圾和医疗垃圾的清运工作。按照相关管理规定。</w:t>
      </w:r>
    </w:p>
    <w:p w14:paraId="5EF7CF3C">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（六）被褥、工作服清洗要做到洗涤设备专机专用。</w:t>
      </w:r>
    </w:p>
    <w:p w14:paraId="3F4CB131">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（七）为防止交叉感染，对不同区域的清洁工具按医院感控科的要求实行严格分类摆放和使用，用颜色、字标等方式进行区分。</w:t>
      </w:r>
    </w:p>
    <w:p w14:paraId="4679F68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（八）磋商申请人提供保洁用的清洁剂、洗涤剂、消毒剂和地面保护材料，必须是通过国家卫生部审批准予使用,符合医院感染管理要求进行操作及洗消，并且要求提供优质的产品。</w:t>
      </w:r>
    </w:p>
    <w:p w14:paraId="4E76754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三、管理要求</w:t>
      </w:r>
    </w:p>
    <w:p w14:paraId="53ABE20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（一）各岗位人员上班期间要求，统一着装，佩证上岗、文明礼貌，仪表整洁、言谈举止大方符合医院规定。</w:t>
      </w:r>
    </w:p>
    <w:p w14:paraId="4AF86A7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（二）所有上岗员工必须经县级及其以上医院体检无传染性疾病，身体健康，取得《健康证》。</w:t>
      </w:r>
    </w:p>
    <w:p w14:paraId="0EE0C7BC">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（三）所有岗位的人员在工作时间不得迟到或早退，坚守工作岗位，不脱岗、不跑班，不做与工作内容无关的事;工作作风扎实，服务热情周到。做到随叫随到，保证医院医疗、护理各项工作的正常运行。</w:t>
      </w:r>
    </w:p>
    <w:p w14:paraId="59D47E2E">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（四）不得与医务人员、病人及家属发生争执，不得向病人索要物品和礼金、红包，礼貌服务，用语文明。</w:t>
      </w:r>
    </w:p>
    <w:p w14:paraId="713EC790">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（五）服从医院相关监管科室的工作安排，对临时的工作需要，应急性、突发性临时加班，不得拒绝。</w:t>
      </w:r>
    </w:p>
    <w:p w14:paraId="3494089B">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四、考核标准</w:t>
      </w:r>
    </w:p>
    <w:p w14:paraId="303CD71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（一）磋商申请人需对日常工作完成情况开展自检自查，对各岗位工作人员完成工作的质量进行督察。</w:t>
      </w:r>
    </w:p>
    <w:p w14:paraId="4E51EA3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采购单位不定期组织相关人员进行抽查，每月组织考核一次，抽查、考核情况按考核表所列项目进行百分制打分(考核表样表见附件，后期采购单位可根据实际情况修改)，满分为100分，考核90分及以上为合格。</w:t>
      </w:r>
    </w:p>
    <w:p w14:paraId="6C3D4AD8">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达不到90分，86分—89分每扣一分扣罚50元；考核分数85分及以下的每扣一分扣罚100元。费用从当月服务费用中扣除，考核情况由采购单位形成书面报告转发磋商申请人项目负责人。日常监管中发现投诉的，经查实为有效投诉的每次扣200元，从下月服务费中扣除。考核累计三个月不达90分或有效投诉累计超过10次的采购单位有权单方解除合同。</w:t>
      </w:r>
    </w:p>
    <w:p w14:paraId="0E6D14C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（三）采购单位根据服务内容和检查发现的问题，对时限内完成工作情况进行督察，未如期完成的责成限期整改，时限内未按要求整改的，一次性扣除服务费100元(大写:壹佰元整)。整改未达到要求的，即刻整改。</w:t>
      </w:r>
    </w:p>
    <w:p w14:paraId="2EF4361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（四）磋商申请人未按照操作流程规范进行操作，采购单位现场提出整改，并连续督察，未能纠正的，扣除服务费100元(大写:壹佰元整)。造成损失的，由磋商申请人负责赔偿。</w:t>
      </w:r>
    </w:p>
    <w:p w14:paraId="67C551C5">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（五）磋商申请人工作人员不服从采购单位管理，扰乱采购单位正常工作秩序，经采购单位提醒仍不改正的，一次性扣除服务费500元（大写:伍佰元整)。并进行人员调整。</w:t>
      </w:r>
    </w:p>
    <w:p w14:paraId="529A8C5C">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（六）磋商申请人工作人员因劳动纠纷、人事纠纷、工伤等事宜，冲击采购单位办公室、围堵领导闹事的，一律由磋商申请人负责解决，采购单位有权提前单方解除合同，并扣除当月已产生服务费的50%。</w:t>
      </w:r>
    </w:p>
    <w:p w14:paraId="5FFDF4B1">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（七）磋商申请人服务人员需规范摆放工具、用品，不得妨碍采购单位正常工作及影响消防通道畅通，发现第一次，给予口头警告，再次出现，每一区域扣除服务费100元（大写:壹百元整)。</w:t>
      </w:r>
    </w:p>
    <w:p w14:paraId="0860FB70">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（八）凡在上级各有关部门检查活动中，被指名批评或新闻曝光的，按泸西县妇幼保健院规章制度执行，以采购单位的处理通知为据，情节严重的解除合同。</w:t>
      </w:r>
    </w:p>
    <w:p w14:paraId="5E477AE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（九）磋商申请人需严格执行服务承诺，加强日常管理、督察，遇重大节庆假日或特殊事件，要强化特殊区域的清洁、保洁工作，采购单位将组织人员进行督察考核，不再另行通知。</w:t>
      </w:r>
    </w:p>
    <w:p w14:paraId="557D00E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五、双方责任</w:t>
      </w:r>
    </w:p>
    <w:p w14:paraId="02DDA455">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（一）采购单位责任</w:t>
      </w:r>
    </w:p>
    <w:p w14:paraId="48962FD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1、根据合同约定事项，采购单位每月的15日前按时支付上月物业管理—保洁服务费。</w:t>
      </w:r>
    </w:p>
    <w:p w14:paraId="23C2398E">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2、采购单位因业务用房紧张和条件限制，不提供办公室及保洁人员食宿。</w:t>
      </w:r>
    </w:p>
    <w:p w14:paraId="2E56A811">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3、制定医院后勤监督管理规章制度和考核制度，对物业磋商申请人工作实施量化考核。</w:t>
      </w:r>
    </w:p>
    <w:p w14:paraId="0AE372D6">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4、定期或不定期的对各项工作行进考核测评，不断改进工作，提高后勤服务质量。</w:t>
      </w:r>
    </w:p>
    <w:p w14:paraId="469E49AF">
      <w:pPr>
        <w:adjustRightInd w:val="0"/>
        <w:snapToGrid w:val="0"/>
        <w:spacing w:line="590" w:lineRule="exact"/>
        <w:ind w:left="420" w:left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5、组织召开联席会议，对重大事项双方集体研究决定。</w:t>
      </w:r>
    </w:p>
    <w:p w14:paraId="0D8B14BA">
      <w:pPr>
        <w:adjustRightInd w:val="0"/>
        <w:snapToGrid w:val="0"/>
        <w:spacing w:line="590" w:lineRule="exact"/>
        <w:ind w:left="420" w:left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（二）磋商申请人责任</w:t>
      </w:r>
    </w:p>
    <w:p w14:paraId="3C323F96">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1、严格按照招投标文件、合同规定和服务标准管理保洁保障服务工作。</w:t>
      </w:r>
    </w:p>
    <w:p w14:paraId="7F1375C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2、负责办理上岗人员的《健康证》，要求做到持证上岗。</w:t>
      </w:r>
    </w:p>
    <w:p w14:paraId="5E86C39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负责员工招聘、管理、岗前培训和业务学习，磋商申请人所招聘和用工的人员必须具备小学及其以上文化，身体健康，无法定传染性疾病及违纪违法记录，且不得是“信用中国”列入失信被执行人员。具有完全民事行为能力的公民。招聘人员由磋商申请人负责管理，与采购单位不形成劳动雇佣合同关系，磋商申请人需按《中华人民共和国民法典》及相关法律规定管理雇用人员，劳资双方产生纠纷，由磋商申请人自行处理。</w:t>
      </w:r>
    </w:p>
    <w:p w14:paraId="7926307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4、按采购单位要求制定各项服务规章制度、工作标准和工作流程。</w:t>
      </w:r>
    </w:p>
    <w:p w14:paraId="6347726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5、按照投标文件和管理合同物资明细，负责卫生洁具、清洁耗材、劳保用品等物资，确保医院后勤保障服务工作正常有序。</w:t>
      </w:r>
    </w:p>
    <w:p w14:paraId="5C204855">
      <w:pPr>
        <w:adjustRightInd w:val="0"/>
        <w:snapToGrid w:val="0"/>
        <w:spacing w:line="54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6、磋商申请人应对所使用员工进行感控和执业暴露相关知识的培训，因操作不当导致感染的一切责任由磋商申请人承担;所导致执业暴露的体检费、治疗费由磋商申请人承担。</w:t>
      </w:r>
    </w:p>
    <w:p w14:paraId="5827941A">
      <w:pPr>
        <w:pStyle w:val="42"/>
        <w:ind w:firstLine="241"/>
        <w:jc w:val="center"/>
        <w:rPr>
          <w:rFonts w:asciiTheme="minorEastAsia" w:hAnsiTheme="minorEastAsia" w:eastAsiaTheme="minorEastAsia" w:cstheme="minorEastAsia"/>
          <w:b/>
          <w:bCs/>
          <w:color w:val="auto"/>
          <w:sz w:val="24"/>
          <w:szCs w:val="24"/>
        </w:rPr>
      </w:pPr>
    </w:p>
    <w:p w14:paraId="297911A2">
      <w:pPr>
        <w:pStyle w:val="42"/>
        <w:ind w:firstLine="241"/>
        <w:jc w:val="center"/>
        <w:rPr>
          <w:rFonts w:hint="eastAsia" w:asciiTheme="minorEastAsia" w:hAnsiTheme="minorEastAsia" w:eastAsiaTheme="minorEastAsia" w:cstheme="minorEastAsia"/>
          <w:b/>
          <w:bCs/>
          <w:color w:val="auto"/>
          <w:sz w:val="24"/>
          <w:szCs w:val="24"/>
        </w:rPr>
      </w:pPr>
    </w:p>
    <w:p w14:paraId="581D63B6">
      <w:pPr>
        <w:rPr>
          <w:rFonts w:hint="eastAsia"/>
          <w:color w:val="auto"/>
        </w:rPr>
      </w:pPr>
    </w:p>
    <w:p w14:paraId="303DDF45">
      <w:pPr>
        <w:pStyle w:val="2"/>
        <w:rPr>
          <w:color w:val="auto"/>
        </w:rPr>
      </w:pPr>
    </w:p>
    <w:p w14:paraId="0E46E198">
      <w:pPr>
        <w:pStyle w:val="42"/>
        <w:ind w:firstLine="241"/>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安保服务要求</w:t>
      </w:r>
    </w:p>
    <w:p w14:paraId="40C07AD5">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一、服务内容</w:t>
      </w:r>
    </w:p>
    <w:p w14:paraId="7FF20F80">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（一）磋商申请人安排5名具备保安资质且政审合格人员负责采购单位院区安保工作。</w:t>
      </w:r>
    </w:p>
    <w:p w14:paraId="67B0DF08">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磋商申请人人员白班2名，院区门卫执勤2人、监控值班室各1人、夜班1人负责门卫执勤、1人替换休息，统一着装，实行24小时工作制，全天随叫随到，采购单位有权根据实际情况合理要求磋商申请人安排增减排班人员。</w:t>
      </w:r>
    </w:p>
    <w:p w14:paraId="4AC2FBE8">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二、管理要求</w:t>
      </w:r>
    </w:p>
    <w:p w14:paraId="43A3956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（一）所有上岗员工必须持保安资质证，并经县级及其以上医院体检无传染性疾病，身体健康取得《健康证》。</w:t>
      </w:r>
    </w:p>
    <w:p w14:paraId="5FE64C8B">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（二）牢固树立“为临床服务第一”的服务宗旨;和“忠诚医院，爱岗敬业”的职业道德。</w:t>
      </w:r>
    </w:p>
    <w:p w14:paraId="574F3E4B">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（三）严格遵守医院各项规章制度，服从医院的工作安排，熟悉本岗位的任务与要求，认真贯彻执行安全岗位责任制，做好本职工作，发现问题及时处理、汇报，确保医院财产安全。</w:t>
      </w:r>
    </w:p>
    <w:p w14:paraId="68BD3AE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（四）各岗位人员禁止当班人员饮酒或醉酒后值班。按时正常上班，不得迟到或早退，做到24小时值班，全天随叫随到。</w:t>
      </w:r>
    </w:p>
    <w:p w14:paraId="3A794BB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（五）值班、值勤换班交班时要认真做好交接工作，执行交接班制度，并做好相关记录签名，严格交接手续，交代有关未办事宜，明确事宜要求，落实未办事宜。</w:t>
      </w:r>
    </w:p>
    <w:p w14:paraId="68343646">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各岗位人员上班期间要求统一着装、佩证上岗、文明礼貌，仪表整洁、言谈举止大方符合医院规定。具有良好的服务意识和安全意识，仪表端庄、干净整洁、礼貌待人，在保安服务中真正体现“警惕、温暖、敏捷、周到”的服务风格。</w:t>
      </w:r>
    </w:p>
    <w:p w14:paraId="72EAAA2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（七）各岗位人员在工作时间坚守工作岗位，不脱岗、不跑班，不做与工作内容无关的事。上班时不准睡觉，严禁在值班室内打扑克、下棋，严禁门卫以外人员进入值班室内看报、闲谈，以确保医院的安全。</w:t>
      </w:r>
    </w:p>
    <w:p w14:paraId="155AEDB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（八）具有强烈的责任心，对工作认真负责，能坚持原则、秉公办事、大胆工作、不徇私情、保持高度的警觉性，敢于挺身而出制止犯罪活动及违法乱纪行为。</w:t>
      </w:r>
    </w:p>
    <w:p w14:paraId="7B3F16C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（九）服从医院相关监管科室的工作安排，对临时的工作需要，应急性、突发性临时加班，不得拒绝，做到随叫随到，保证医院医疗、护理各项工作的正常运行。</w:t>
      </w:r>
    </w:p>
    <w:p w14:paraId="5AD14B5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（十）不得与医务人员、病人及家属发生争执，不得向病人索要物品和礼金、红包，礼貌服务，用语文明。</w:t>
      </w:r>
    </w:p>
    <w:p w14:paraId="2582260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（十一）值班、值勤人员违反单位门卫管理制度，采购单位将依据有关规定进行处罚。</w:t>
      </w:r>
    </w:p>
    <w:p w14:paraId="4A85FE0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三、岗位职责</w:t>
      </w:r>
    </w:p>
    <w:p w14:paraId="24738E9E">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门卫值班人员严格执行来访客人的登记，非本单位人员、车辆登记要严格手续；无合法身份证件人员要与单位内部有关人员、部门联系，经同意后方能进入单位内部；同时要积极配合政府职能部门的相关工作，对有明显标志的车辆（如；警车、工商、税务、供电）等公务车辆可免于登记，提供进入单位的便利条件。</w:t>
      </w:r>
    </w:p>
    <w:p w14:paraId="3C53573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2、值勤、值班人员对出入单位车辆、人员有权进行必要的检查，特别是运货车辆应严格检查手续，核对货单，对手续不全或单货不符的不得放行。</w:t>
      </w:r>
    </w:p>
    <w:p w14:paraId="2F0B6D2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3、对医院的车辆出行要是本单位驾驶员才可放行，其他人员驾驶车辆必须有领导批示同意才可放行。 </w:t>
      </w:r>
    </w:p>
    <w:p w14:paraId="73275966">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4、对夜间出入单位车辆、人员应进行不定期的检查，发现可疑情况应及时报告单位主管领导，特殊情况可直接拨打公安机关电话110报警。</w:t>
      </w:r>
    </w:p>
    <w:p w14:paraId="5CE29BC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5、值班、值勤人员要熟悉了解单位带班领导姓名和联系电话。</w:t>
      </w:r>
    </w:p>
    <w:p w14:paraId="13D0408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6、协助相关部门做好大型会议的保卫工作。巡视医院的员工聚集地点，制止赌博、打斗及偷窃情况发生。</w:t>
      </w:r>
    </w:p>
    <w:p w14:paraId="06CB854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7、定期检查报警系统、安全及消防系统，严密控制住院楼、门诊楼、医技楼、氧气室、配电房。</w:t>
      </w:r>
    </w:p>
    <w:p w14:paraId="73EADFCA">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9、监控室值班的保安员要全面熟悉监控室内的设备功能和使用程序与方法，确保设备的正常运转，发挥其应有的作用。</w:t>
      </w:r>
    </w:p>
    <w:p w14:paraId="5B59C79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10、负责监控中心电视屏幕的监视工作，并密切监视消防控制屏和电脑显示系统。全面观察和掌握各个区域的治安动态，发现问题正确分析，果断决定，及时报告并与有关岗哨取得联系。</w:t>
      </w:r>
    </w:p>
    <w:p w14:paraId="53B14696">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11、负责对重点区域和可疑情况的视频监控进行录像工作。负责查出报警位置，及时调动保安员现场查看并处理。</w:t>
      </w:r>
    </w:p>
    <w:p w14:paraId="2DA0740E">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13、消防控制室自动消防系统视频监控工作人员，应24小时值班。对消防报警部位进行火情检查及处置。</w:t>
      </w:r>
    </w:p>
    <w:p w14:paraId="65FA73A1">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确保管辖区域内的安全出口和消防疏散通道的畅通，不得占用和堵塞疏散通道，不得在疏散通道内堆放杂物，并确保安全出口指示灯、疏散指示标志灯随时处于正常工作状态，如发现故障、不亮等应立即上报总务后勤科进行更换并做好登记。</w:t>
      </w:r>
    </w:p>
    <w:p w14:paraId="51DD0C6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15、对医院安排布置的消防安全工作及相应的通知，必须严格执行，贯彻落实。</w:t>
      </w:r>
    </w:p>
    <w:p w14:paraId="7E7E6FC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16、执行医院安排的其他工作任务。</w:t>
      </w:r>
    </w:p>
    <w:p w14:paraId="6CB71F3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四、考核标准</w:t>
      </w:r>
    </w:p>
    <w:p w14:paraId="093B6FF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（一）磋商申请人需对日常工作完成情况开展自检自查，对各岗位工作人员完成工作的质量进行督察。</w:t>
      </w:r>
    </w:p>
    <w:p w14:paraId="73DFDAE4">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采购单位不定期组织相关人员进行抽查，每月组织考核一次，抽查、考核情况按考核表所列项目进行百分制打分(考核表样表见附件，后期采购单位可根据实际情况修改)，满分为100分，考核90分为合格，达不到90分，86分—89分每扣一分扣罚50元，考核分数85分及以下的每扣一分扣罚100元，费用从当月服务费用中扣除，考核情况由采购单位形成书面报告转发磋商申请人项目负责人。日常监管中发现投诉的，经查实为有效投诉的每次扣200元，从下月服务费中扣除。考核连续三个月不达90分或有效投诉超过10次的采购单位有权解除合同。</w:t>
      </w:r>
    </w:p>
    <w:p w14:paraId="7DF4405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（三）采购单位根据服务内容和检查发现的问题，对时限内完成工作情况进行督察，未如期完成的责成限期整改，时限内未按要求整改的，一次性扣除服务费100元(大写:壹佰元整)。整改未达到要求的，即刻整改。</w:t>
      </w:r>
    </w:p>
    <w:p w14:paraId="6D852357">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（四）磋商申请人未按照操作流程规范进行操作，采购单位现场提出整改，并连续督察，未能纠正的，扣除服务费100元(大写:壹佰元整)。造成损失的，由磋商申请人负责赔偿。</w:t>
      </w:r>
    </w:p>
    <w:p w14:paraId="398688BA">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（五）磋商申请人工作人员不服从采购单位管理，扰乱采购单位正常工作秩序，经采购单位提醒仍不改正的，一次性扣除服务费500元（大写:伍佰元整)，并进行人员调整。</w:t>
      </w:r>
    </w:p>
    <w:p w14:paraId="7B33B84F">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（六）磋商申请人工作人员因劳动纠纷、人事纠纷、工伤等事宜，冲击采购单位办公室、围堵领导闹事的，一律由磋商申请人负责解决，采购单位有权提前终止合同，并扣除当月已产生服务费的50%。</w:t>
      </w:r>
    </w:p>
    <w:p w14:paraId="4EE1E33D">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（七）磋商申请人服务人员需规范摆放工具、用品，不得妨碍采购单位正常工作及影响消防通道畅通，发现第一次，给予口头警告，再次出现，每一区域扣除服务费100元（大写:壹百元整)。</w:t>
      </w:r>
    </w:p>
    <w:p w14:paraId="0EFF3850">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（八）凡在上级各有关部门检查活动中，被指名批评或新闻曝光的，按泸西县妇幼保健院规章制度执行，以采购单位的处理通知为据，情节严重的解除合同。</w:t>
      </w:r>
    </w:p>
    <w:p w14:paraId="30A27510">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（九）磋商申请人需严格执行服务承诺，加强日常管理、督察，遇重大节庆假日或特殊事件，要强化特殊区域的安全保卫工作，采购单位将组织人员进行督察考核，不再另行通知。</w:t>
      </w:r>
    </w:p>
    <w:p w14:paraId="6120CAA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五、双方责任</w:t>
      </w:r>
    </w:p>
    <w:p w14:paraId="6D26BA53">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（一）采购单位责任</w:t>
      </w:r>
    </w:p>
    <w:p w14:paraId="24D4FF16">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1、按照合同约定支付物业管理—保安服务费给磋商申请人。</w:t>
      </w:r>
    </w:p>
    <w:p w14:paraId="17D2895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2、采购单位因业务用房紧张和条件限制，不提供办公室及保安人员食宿。</w:t>
      </w:r>
    </w:p>
    <w:p w14:paraId="6DCA5B48">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3、制定医院后勤监督管理规章制度和考核制度，对磋商申请人工作实施量化考核。</w:t>
      </w:r>
    </w:p>
    <w:p w14:paraId="53C26EA4">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4、定期或不定期的对各项工作行进考核测评，不断改进工作，提高保卫服务质量。</w:t>
      </w:r>
    </w:p>
    <w:p w14:paraId="2BA19312">
      <w:pPr>
        <w:adjustRightInd w:val="0"/>
        <w:snapToGrid w:val="0"/>
        <w:spacing w:line="590" w:lineRule="exact"/>
        <w:ind w:left="420" w:left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5、组织召开联席会议，对重大事项双方集体研究决定。</w:t>
      </w:r>
    </w:p>
    <w:p w14:paraId="70F4AD5C">
      <w:pPr>
        <w:adjustRightInd w:val="0"/>
        <w:snapToGrid w:val="0"/>
        <w:spacing w:line="590" w:lineRule="exact"/>
        <w:ind w:left="420" w:left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（二）磋商申请人责任</w:t>
      </w:r>
    </w:p>
    <w:p w14:paraId="385B6F5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1、严格按照招投标文件、合同规定和服务标准管理保安保障服务工作。</w:t>
      </w:r>
    </w:p>
    <w:p w14:paraId="361C28F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2、负责办理上岗人员的《健康证》，要求做到持证上岗。</w:t>
      </w:r>
    </w:p>
    <w:p w14:paraId="4025F53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负责员工招聘、管理、岗前培训和业务学习，磋商申请人所招聘和用工的人员必须具备小学及其以上文化，身体健康，无法定传染性疾病及违纪违法记录，且不得是“信用中国”列入失信被执行人员。具有完全民事行为能力的公民。招聘人员由磋商申请人负责管理，与采购单位不形成劳动雇佣合同关系，磋商申请人需按《中华人民共和国民法典》的规定管理雇用人员，劳资双方产生纠纷，由磋商申请人自行处理。</w:t>
      </w:r>
    </w:p>
    <w:p w14:paraId="0DA05C19">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4、按采购单位要求制定各项服务规章制度、工作标准和工作流程。</w:t>
      </w:r>
    </w:p>
    <w:p w14:paraId="67E02532">
      <w:pPr>
        <w:adjustRightInd w:val="0"/>
        <w:snapToGrid w:val="0"/>
        <w:spacing w:line="590" w:lineRule="exact"/>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5、磋商申请人应对所使用员工进行感控和执业暴露相关知识的培训，因操作不当导致感染的一切责任由中标公司承担;所导致执业暴露的体检费、治疗费由中标公司承担。</w:t>
      </w:r>
    </w:p>
    <w:p w14:paraId="7F2F0B85">
      <w:pPr>
        <w:pStyle w:val="2"/>
        <w:ind w:firstLine="480"/>
        <w:rPr>
          <w:rFonts w:asciiTheme="minorEastAsia" w:hAnsiTheme="minorEastAsia" w:eastAsiaTheme="minorEastAsia" w:cstheme="minorEastAsia"/>
          <w:color w:val="auto"/>
          <w:sz w:val="24"/>
          <w:szCs w:val="24"/>
        </w:rPr>
      </w:pPr>
    </w:p>
    <w:p w14:paraId="44AE7162">
      <w:pPr>
        <w:pStyle w:val="2"/>
        <w:ind w:firstLine="240" w:firstLineChars="1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磋商申请人保洁安保人员服务质量达到保健站要求成绩突出者院方可以给与嘉奖。</w:t>
      </w:r>
    </w:p>
    <w:p w14:paraId="093C8157">
      <w:pPr>
        <w:rPr>
          <w:color w:val="auto"/>
        </w:rPr>
      </w:pPr>
    </w:p>
    <w:p w14:paraId="40ECAEB0">
      <w:pPr>
        <w:pStyle w:val="2"/>
        <w:rPr>
          <w:color w:val="auto"/>
        </w:rPr>
      </w:pPr>
    </w:p>
    <w:p w14:paraId="3ED418BF">
      <w:pPr>
        <w:pStyle w:val="2"/>
        <w:rPr>
          <w:color w:val="auto"/>
        </w:rPr>
      </w:pPr>
    </w:p>
    <w:p w14:paraId="6BB3A46C">
      <w:pPr>
        <w:pStyle w:val="2"/>
        <w:rPr>
          <w:color w:val="auto"/>
        </w:rPr>
      </w:pPr>
    </w:p>
    <w:p w14:paraId="43AA05D2">
      <w:pPr>
        <w:pStyle w:val="2"/>
        <w:rPr>
          <w:color w:val="auto"/>
        </w:rPr>
      </w:pPr>
    </w:p>
    <w:p w14:paraId="22C145AB">
      <w:pPr>
        <w:pStyle w:val="2"/>
        <w:rPr>
          <w:color w:val="auto"/>
        </w:rPr>
      </w:pPr>
    </w:p>
    <w:p w14:paraId="14256F5B">
      <w:pPr>
        <w:pStyle w:val="2"/>
        <w:rPr>
          <w:color w:val="auto"/>
        </w:rPr>
      </w:pPr>
    </w:p>
    <w:p w14:paraId="281F2EE2">
      <w:pPr>
        <w:pStyle w:val="2"/>
        <w:rPr>
          <w:color w:val="auto"/>
        </w:rPr>
      </w:pPr>
    </w:p>
    <w:p w14:paraId="67C61FA1">
      <w:pPr>
        <w:pStyle w:val="2"/>
        <w:rPr>
          <w:color w:val="auto"/>
        </w:rPr>
      </w:pPr>
    </w:p>
    <w:p w14:paraId="2CAC96C6">
      <w:pPr>
        <w:pStyle w:val="2"/>
        <w:rPr>
          <w:color w:val="auto"/>
        </w:rPr>
      </w:pPr>
    </w:p>
    <w:p w14:paraId="64961FFF">
      <w:pPr>
        <w:pStyle w:val="2"/>
        <w:rPr>
          <w:color w:val="auto"/>
        </w:rPr>
      </w:pPr>
    </w:p>
    <w:p w14:paraId="3EDD0B28">
      <w:pPr>
        <w:pStyle w:val="2"/>
        <w:rPr>
          <w:color w:val="auto"/>
        </w:rPr>
      </w:pPr>
    </w:p>
    <w:p w14:paraId="68F2B553">
      <w:pPr>
        <w:pStyle w:val="2"/>
        <w:rPr>
          <w:color w:val="auto"/>
        </w:rPr>
      </w:pPr>
    </w:p>
    <w:p w14:paraId="6DABD3C3">
      <w:pPr>
        <w:pStyle w:val="2"/>
        <w:rPr>
          <w:color w:val="auto"/>
        </w:rPr>
      </w:pPr>
    </w:p>
    <w:p w14:paraId="3C9B0774">
      <w:pPr>
        <w:pStyle w:val="2"/>
        <w:rPr>
          <w:color w:val="auto"/>
        </w:rPr>
      </w:pPr>
    </w:p>
    <w:p w14:paraId="52F94E76">
      <w:pPr>
        <w:pStyle w:val="2"/>
        <w:rPr>
          <w:color w:val="auto"/>
        </w:rPr>
      </w:pPr>
    </w:p>
    <w:p w14:paraId="0C927A40">
      <w:pPr>
        <w:pStyle w:val="2"/>
        <w:rPr>
          <w:color w:val="auto"/>
        </w:rPr>
      </w:pPr>
    </w:p>
    <w:p w14:paraId="39845E54">
      <w:pPr>
        <w:pStyle w:val="2"/>
        <w:rPr>
          <w:color w:val="auto"/>
        </w:rPr>
      </w:pPr>
    </w:p>
    <w:p w14:paraId="46995402">
      <w:pPr>
        <w:pStyle w:val="2"/>
        <w:rPr>
          <w:color w:val="auto"/>
        </w:rPr>
      </w:pPr>
    </w:p>
    <w:p w14:paraId="564E0744">
      <w:pPr>
        <w:pStyle w:val="2"/>
        <w:rPr>
          <w:color w:val="auto"/>
        </w:rPr>
      </w:pPr>
    </w:p>
    <w:p w14:paraId="5BF42A24">
      <w:pPr>
        <w:pStyle w:val="2"/>
        <w:rPr>
          <w:color w:val="auto"/>
        </w:rPr>
      </w:pPr>
    </w:p>
    <w:p w14:paraId="6B76ACD5">
      <w:pPr>
        <w:pStyle w:val="2"/>
        <w:rPr>
          <w:color w:val="auto"/>
        </w:rPr>
      </w:pPr>
    </w:p>
    <w:p w14:paraId="3E1B489E">
      <w:pPr>
        <w:pStyle w:val="2"/>
        <w:rPr>
          <w:color w:val="auto"/>
        </w:rPr>
      </w:pPr>
    </w:p>
    <w:p w14:paraId="4F13FA11">
      <w:pPr>
        <w:pStyle w:val="2"/>
        <w:rPr>
          <w:color w:val="auto"/>
        </w:rPr>
      </w:pPr>
    </w:p>
    <w:p w14:paraId="47713D2B">
      <w:pPr>
        <w:pStyle w:val="2"/>
        <w:rPr>
          <w:color w:val="auto"/>
        </w:rPr>
      </w:pPr>
    </w:p>
    <w:p w14:paraId="3E27E107">
      <w:pPr>
        <w:pStyle w:val="2"/>
        <w:rPr>
          <w:color w:val="auto"/>
        </w:rPr>
      </w:pPr>
    </w:p>
    <w:p w14:paraId="148D9BEB">
      <w:pPr>
        <w:pStyle w:val="2"/>
        <w:rPr>
          <w:color w:val="auto"/>
        </w:rPr>
      </w:pPr>
    </w:p>
    <w:p w14:paraId="1E7AAD54">
      <w:pPr>
        <w:pStyle w:val="2"/>
        <w:rPr>
          <w:color w:val="auto"/>
        </w:rPr>
      </w:pPr>
    </w:p>
    <w:p w14:paraId="193A103B">
      <w:pPr>
        <w:pStyle w:val="2"/>
        <w:rPr>
          <w:color w:val="auto"/>
        </w:rPr>
      </w:pPr>
    </w:p>
    <w:p w14:paraId="0915BFC8">
      <w:pPr>
        <w:pStyle w:val="2"/>
        <w:rPr>
          <w:color w:val="auto"/>
        </w:rPr>
      </w:pPr>
    </w:p>
    <w:bookmarkEnd w:id="1198"/>
    <w:bookmarkEnd w:id="1199"/>
    <w:bookmarkEnd w:id="1200"/>
    <w:bookmarkEnd w:id="1201"/>
    <w:bookmarkEnd w:id="1202"/>
    <w:bookmarkEnd w:id="1203"/>
    <w:bookmarkEnd w:id="1204"/>
    <w:bookmarkEnd w:id="1205"/>
    <w:p w14:paraId="5960C2ED">
      <w:pPr>
        <w:pStyle w:val="188"/>
        <w:spacing w:after="200" w:line="400" w:lineRule="exact"/>
        <w:jc w:val="left"/>
        <w:rPr>
          <w:rFonts w:ascii="宋体" w:hAnsi="宋体" w:cs="宋体"/>
          <w:b/>
          <w:bCs/>
          <w:color w:val="auto"/>
          <w:sz w:val="24"/>
        </w:rPr>
      </w:pPr>
      <w:bookmarkStart w:id="1266" w:name="_Toc25724"/>
      <w:bookmarkStart w:id="1267" w:name="_Toc9968"/>
      <w:bookmarkStart w:id="1268" w:name="_Toc20299"/>
      <w:bookmarkStart w:id="1269" w:name="_Toc11318881"/>
      <w:bookmarkStart w:id="1270" w:name="_Toc30799"/>
      <w:bookmarkStart w:id="1271" w:name="_Toc271"/>
      <w:bookmarkStart w:id="1272" w:name="_Toc13758"/>
    </w:p>
    <w:p w14:paraId="1F72F0C8">
      <w:pPr>
        <w:jc w:val="center"/>
        <w:outlineLvl w:val="0"/>
        <w:rPr>
          <w:rStyle w:val="160"/>
          <w:rFonts w:hint="eastAsia"/>
          <w:color w:val="auto"/>
          <w:sz w:val="32"/>
          <w:szCs w:val="32"/>
        </w:rPr>
      </w:pPr>
      <w:bookmarkStart w:id="1273" w:name="_Toc17768"/>
      <w:bookmarkStart w:id="1274" w:name="_Toc7641"/>
      <w:r>
        <w:rPr>
          <w:rStyle w:val="160"/>
          <w:rFonts w:hint="eastAsia"/>
          <w:color w:val="auto"/>
          <w:sz w:val="32"/>
          <w:szCs w:val="32"/>
        </w:rPr>
        <w:t>第六章 合同书样式</w:t>
      </w:r>
      <w:bookmarkEnd w:id="1273"/>
      <w:bookmarkEnd w:id="1274"/>
    </w:p>
    <w:p w14:paraId="2366CF24">
      <w:pPr>
        <w:jc w:val="left"/>
        <w:outlineLvl w:val="0"/>
        <w:rPr>
          <w:rFonts w:ascii="仿宋" w:hAnsi="仿宋" w:eastAsia="仿宋" w:cs="仿宋"/>
          <w:b/>
          <w:color w:val="auto"/>
          <w:sz w:val="24"/>
          <w:szCs w:val="24"/>
        </w:rPr>
      </w:pPr>
      <w:r>
        <w:rPr>
          <w:rFonts w:hint="eastAsia" w:ascii="仿宋" w:hAnsi="仿宋" w:eastAsia="仿宋" w:cs="仿宋"/>
          <w:b/>
          <w:bCs/>
          <w:color w:val="auto"/>
          <w:szCs w:val="21"/>
        </w:rPr>
        <w:t>（仅供参考，最终格式及内容由采购人及成交供应商共同协商拟定，合同封面须由云南省政府采购网生成）</w:t>
      </w:r>
    </w:p>
    <w:p w14:paraId="314018BD">
      <w:pPr>
        <w:jc w:val="center"/>
        <w:rPr>
          <w:rFonts w:ascii="仿宋" w:hAnsi="仿宋" w:eastAsia="仿宋" w:cs="仿宋"/>
          <w:b/>
          <w:color w:val="auto"/>
          <w:sz w:val="48"/>
          <w:szCs w:val="48"/>
        </w:rPr>
      </w:pPr>
    </w:p>
    <w:tbl>
      <w:tblPr>
        <w:tblStyle w:val="44"/>
        <w:tblW w:w="0" w:type="auto"/>
        <w:jc w:val="center"/>
        <w:tblLayout w:type="fixed"/>
        <w:tblCellMar>
          <w:top w:w="0" w:type="dxa"/>
          <w:left w:w="0" w:type="dxa"/>
          <w:bottom w:w="0" w:type="dxa"/>
          <w:right w:w="0" w:type="dxa"/>
        </w:tblCellMar>
      </w:tblPr>
      <w:tblGrid>
        <w:gridCol w:w="9750"/>
      </w:tblGrid>
      <w:tr w14:paraId="6FDFDC3F">
        <w:tblPrEx>
          <w:tblCellMar>
            <w:top w:w="0" w:type="dxa"/>
            <w:left w:w="0" w:type="dxa"/>
            <w:bottom w:w="0" w:type="dxa"/>
            <w:right w:w="0" w:type="dxa"/>
          </w:tblCellMar>
        </w:tblPrEx>
        <w:trPr>
          <w:trHeight w:val="80" w:hRule="atLeast"/>
          <w:jc w:val="center"/>
        </w:trPr>
        <w:tc>
          <w:tcPr>
            <w:tcW w:w="9750" w:type="dxa"/>
            <w:vAlign w:val="center"/>
          </w:tcPr>
          <w:p w14:paraId="150B7629">
            <w:pPr>
              <w:tabs>
                <w:tab w:val="left" w:pos="1590"/>
                <w:tab w:val="left" w:pos="3409"/>
                <w:tab w:val="left" w:pos="4847"/>
                <w:tab w:val="left" w:pos="6135"/>
                <w:tab w:val="left" w:pos="7020"/>
                <w:tab w:val="left" w:pos="7891"/>
              </w:tabs>
              <w:rPr>
                <w:rFonts w:ascii="仿宋" w:hAnsi="仿宋" w:eastAsia="仿宋" w:cs="仿宋"/>
                <w:color w:val="auto"/>
                <w:sz w:val="24"/>
                <w:szCs w:val="21"/>
              </w:rPr>
            </w:pPr>
            <w:r>
              <w:rPr>
                <w:rFonts w:hint="eastAsia" w:ascii="仿宋" w:hAnsi="仿宋" w:eastAsia="仿宋" w:cs="仿宋"/>
                <w:color w:val="auto"/>
                <w:sz w:val="24"/>
                <w:szCs w:val="28"/>
              </w:rPr>
              <w:t xml:space="preserve">合同编号：                       合同自编号： </w:t>
            </w:r>
            <w:r>
              <w:rPr>
                <w:rFonts w:hint="eastAsia" w:ascii="仿宋" w:hAnsi="仿宋" w:eastAsia="仿宋" w:cs="仿宋"/>
                <w:color w:val="auto"/>
                <w:sz w:val="24"/>
                <w:szCs w:val="28"/>
              </w:rPr>
              <w:tab/>
            </w:r>
            <w:r>
              <w:rPr>
                <w:rFonts w:hint="eastAsia" w:ascii="仿宋" w:hAnsi="仿宋" w:eastAsia="仿宋" w:cs="仿宋"/>
                <w:color w:val="auto"/>
                <w:sz w:val="24"/>
                <w:szCs w:val="28"/>
              </w:rPr>
              <w:tab/>
            </w:r>
            <w:r>
              <w:rPr>
                <w:rFonts w:hint="eastAsia" w:ascii="仿宋" w:hAnsi="仿宋" w:eastAsia="仿宋" w:cs="仿宋"/>
                <w:color w:val="auto"/>
                <w:sz w:val="24"/>
                <w:szCs w:val="28"/>
              </w:rPr>
              <w:t xml:space="preserve">招标编号： </w:t>
            </w:r>
          </w:p>
        </w:tc>
      </w:tr>
    </w:tbl>
    <w:p w14:paraId="3EECAA2F">
      <w:pPr>
        <w:spacing w:after="240"/>
        <w:rPr>
          <w:rFonts w:ascii="仿宋" w:hAnsi="仿宋" w:eastAsia="仿宋" w:cs="仿宋"/>
          <w:color w:val="auto"/>
          <w:sz w:val="24"/>
          <w:szCs w:val="28"/>
        </w:rPr>
      </w:pPr>
    </w:p>
    <w:p w14:paraId="13B73EA0">
      <w:pPr>
        <w:spacing w:after="240"/>
        <w:rPr>
          <w:rFonts w:ascii="仿宋" w:hAnsi="仿宋" w:eastAsia="仿宋" w:cs="仿宋"/>
          <w:color w:val="auto"/>
          <w:sz w:val="24"/>
          <w:szCs w:val="28"/>
        </w:rPr>
      </w:pPr>
      <w:r>
        <w:rPr>
          <w:rFonts w:hint="eastAsia" w:ascii="仿宋" w:hAnsi="仿宋" w:eastAsia="仿宋" w:cs="仿宋"/>
          <w:color w:val="auto"/>
          <w:sz w:val="24"/>
          <w:szCs w:val="28"/>
        </w:rPr>
        <w:t>●本合同须加盖甲乙双方骑缝章有效</w:t>
      </w:r>
    </w:p>
    <w:p w14:paraId="4C6276FD">
      <w:pPr>
        <w:pStyle w:val="43"/>
        <w:ind w:firstLine="560"/>
        <w:rPr>
          <w:rFonts w:ascii="仿宋" w:hAnsi="仿宋" w:eastAsia="仿宋" w:cs="仿宋"/>
          <w:color w:val="auto"/>
        </w:rPr>
      </w:pPr>
    </w:p>
    <w:p w14:paraId="3A537430">
      <w:pPr>
        <w:spacing w:line="360" w:lineRule="auto"/>
        <w:jc w:val="center"/>
        <w:rPr>
          <w:rFonts w:ascii="仿宋" w:hAnsi="仿宋" w:eastAsia="仿宋" w:cs="仿宋"/>
          <w:color w:val="auto"/>
          <w:sz w:val="44"/>
          <w:szCs w:val="44"/>
        </w:rPr>
      </w:pPr>
      <w:r>
        <w:rPr>
          <w:rFonts w:hint="eastAsia" w:ascii="仿宋" w:hAnsi="仿宋" w:eastAsia="仿宋" w:cs="仿宋"/>
          <w:color w:val="auto"/>
          <w:sz w:val="44"/>
          <w:szCs w:val="44"/>
        </w:rPr>
        <w:t>云南省省级政府采购</w:t>
      </w:r>
    </w:p>
    <w:p w14:paraId="36B466A2">
      <w:pPr>
        <w:pStyle w:val="43"/>
        <w:ind w:firstLine="560"/>
        <w:rPr>
          <w:rFonts w:ascii="仿宋" w:hAnsi="仿宋" w:eastAsia="仿宋" w:cs="仿宋"/>
          <w:color w:val="auto"/>
        </w:rPr>
      </w:pPr>
    </w:p>
    <w:p w14:paraId="017588F3">
      <w:pPr>
        <w:spacing w:after="240"/>
        <w:jc w:val="center"/>
        <w:rPr>
          <w:rFonts w:ascii="仿宋" w:hAnsi="仿宋" w:eastAsia="仿宋" w:cs="仿宋"/>
          <w:color w:val="auto"/>
          <w:sz w:val="18"/>
          <w:szCs w:val="18"/>
        </w:rPr>
      </w:pPr>
      <w:r>
        <w:rPr>
          <w:rFonts w:hint="eastAsia" w:ascii="仿宋" w:hAnsi="仿宋" w:eastAsia="仿宋" w:cs="仿宋"/>
          <w:color w:val="auto"/>
          <w:sz w:val="33"/>
          <w:szCs w:val="33"/>
        </w:rPr>
        <w:t>（委托采购）</w:t>
      </w:r>
      <w:r>
        <w:rPr>
          <w:rFonts w:hint="eastAsia" w:ascii="仿宋" w:hAnsi="仿宋" w:eastAsia="仿宋" w:cs="仿宋"/>
          <w:color w:val="auto"/>
          <w:sz w:val="18"/>
          <w:szCs w:val="18"/>
        </w:rPr>
        <w:t xml:space="preserve"> </w:t>
      </w:r>
    </w:p>
    <w:p w14:paraId="0433EC89">
      <w:pPr>
        <w:pStyle w:val="43"/>
        <w:ind w:firstLine="560"/>
        <w:rPr>
          <w:rFonts w:ascii="仿宋" w:hAnsi="仿宋" w:eastAsia="仿宋" w:cs="仿宋"/>
          <w:color w:val="auto"/>
        </w:rPr>
      </w:pPr>
    </w:p>
    <w:p w14:paraId="6B33498E">
      <w:pPr>
        <w:pStyle w:val="43"/>
        <w:ind w:firstLine="560"/>
        <w:rPr>
          <w:rFonts w:ascii="仿宋" w:hAnsi="仿宋" w:eastAsia="仿宋" w:cs="仿宋"/>
          <w:color w:val="auto"/>
        </w:rPr>
      </w:pPr>
    </w:p>
    <w:p w14:paraId="468AE1F6">
      <w:pPr>
        <w:pStyle w:val="43"/>
        <w:ind w:firstLine="560"/>
        <w:rPr>
          <w:rFonts w:ascii="仿宋" w:hAnsi="仿宋" w:eastAsia="仿宋" w:cs="仿宋"/>
          <w:color w:val="auto"/>
        </w:rPr>
      </w:pPr>
    </w:p>
    <w:p w14:paraId="41C431C3">
      <w:pPr>
        <w:pStyle w:val="43"/>
        <w:ind w:firstLine="560"/>
        <w:rPr>
          <w:rFonts w:ascii="仿宋" w:hAnsi="仿宋" w:eastAsia="仿宋" w:cs="仿宋"/>
          <w:color w:val="auto"/>
        </w:rPr>
      </w:pPr>
    </w:p>
    <w:p w14:paraId="4E5DDC37">
      <w:pPr>
        <w:spacing w:after="240"/>
        <w:jc w:val="center"/>
        <w:rPr>
          <w:rFonts w:ascii="仿宋" w:hAnsi="仿宋" w:eastAsia="仿宋" w:cs="仿宋"/>
          <w:color w:val="auto"/>
          <w:sz w:val="18"/>
          <w:szCs w:val="18"/>
        </w:rPr>
      </w:pPr>
      <w:r>
        <w:rPr>
          <w:rFonts w:hint="eastAsia" w:ascii="仿宋" w:hAnsi="仿宋" w:eastAsia="仿宋" w:cs="仿宋"/>
          <w:color w:val="auto"/>
          <w:sz w:val="63"/>
          <w:szCs w:val="63"/>
        </w:rPr>
        <w:t>合</w:t>
      </w:r>
      <w:r>
        <w:rPr>
          <w:rFonts w:hint="eastAsia" w:ascii="仿宋" w:hAnsi="仿宋" w:eastAsia="仿宋" w:cs="仿宋"/>
          <w:color w:val="auto"/>
          <w:sz w:val="18"/>
          <w:szCs w:val="18"/>
        </w:rPr>
        <w:t xml:space="preserve"> </w:t>
      </w:r>
    </w:p>
    <w:p w14:paraId="11B4FEA2">
      <w:pPr>
        <w:spacing w:after="240"/>
        <w:jc w:val="center"/>
        <w:rPr>
          <w:rFonts w:ascii="仿宋" w:hAnsi="仿宋" w:eastAsia="仿宋" w:cs="仿宋"/>
          <w:color w:val="auto"/>
          <w:sz w:val="18"/>
          <w:szCs w:val="18"/>
        </w:rPr>
      </w:pPr>
      <w:r>
        <w:rPr>
          <w:rFonts w:hint="eastAsia" w:ascii="仿宋" w:hAnsi="仿宋" w:eastAsia="仿宋" w:cs="仿宋"/>
          <w:color w:val="auto"/>
          <w:sz w:val="63"/>
          <w:szCs w:val="63"/>
        </w:rPr>
        <w:t>同</w:t>
      </w:r>
    </w:p>
    <w:p w14:paraId="4540A177">
      <w:pPr>
        <w:spacing w:after="240"/>
        <w:jc w:val="center"/>
        <w:rPr>
          <w:rFonts w:ascii="仿宋" w:hAnsi="仿宋" w:eastAsia="仿宋" w:cs="仿宋"/>
          <w:color w:val="auto"/>
          <w:sz w:val="18"/>
          <w:szCs w:val="18"/>
        </w:rPr>
      </w:pPr>
      <w:r>
        <w:rPr>
          <w:rFonts w:hint="eastAsia" w:ascii="仿宋" w:hAnsi="仿宋" w:eastAsia="仿宋" w:cs="仿宋"/>
          <w:color w:val="auto"/>
          <w:sz w:val="63"/>
          <w:szCs w:val="63"/>
        </w:rPr>
        <w:t>书</w:t>
      </w:r>
      <w:r>
        <w:rPr>
          <w:rFonts w:hint="eastAsia" w:ascii="仿宋" w:hAnsi="仿宋" w:eastAsia="仿宋" w:cs="仿宋"/>
          <w:color w:val="auto"/>
          <w:sz w:val="18"/>
          <w:szCs w:val="18"/>
        </w:rPr>
        <w:t xml:space="preserve"> </w:t>
      </w:r>
    </w:p>
    <w:p w14:paraId="2BF5DEFF">
      <w:pPr>
        <w:pStyle w:val="43"/>
        <w:ind w:firstLine="560"/>
        <w:rPr>
          <w:rFonts w:ascii="仿宋" w:hAnsi="仿宋" w:eastAsia="仿宋" w:cs="仿宋"/>
          <w:color w:val="auto"/>
        </w:rPr>
      </w:pPr>
    </w:p>
    <w:p w14:paraId="5083B941">
      <w:pPr>
        <w:spacing w:after="240"/>
        <w:ind w:firstLine="3045"/>
        <w:jc w:val="left"/>
        <w:rPr>
          <w:rFonts w:ascii="仿宋" w:hAnsi="仿宋" w:eastAsia="仿宋" w:cs="仿宋"/>
          <w:b/>
          <w:bCs/>
          <w:color w:val="auto"/>
          <w:sz w:val="27"/>
          <w:szCs w:val="27"/>
        </w:rPr>
      </w:pPr>
      <w:r>
        <w:rPr>
          <w:rFonts w:hint="eastAsia" w:ascii="仿宋" w:hAnsi="仿宋" w:eastAsia="仿宋" w:cs="仿宋"/>
          <w:b/>
          <w:bCs/>
          <w:color w:val="auto"/>
          <w:sz w:val="27"/>
          <w:szCs w:val="27"/>
        </w:rPr>
        <w:t>　</w:t>
      </w:r>
    </w:p>
    <w:p w14:paraId="274A12A3">
      <w:pPr>
        <w:spacing w:after="240"/>
        <w:ind w:firstLine="3160"/>
        <w:jc w:val="left"/>
        <w:rPr>
          <w:rFonts w:ascii="仿宋" w:hAnsi="仿宋" w:eastAsia="仿宋" w:cs="仿宋"/>
          <w:color w:val="auto"/>
          <w:sz w:val="28"/>
          <w:szCs w:val="28"/>
        </w:rPr>
      </w:pPr>
      <w:r>
        <w:rPr>
          <w:rFonts w:hint="eastAsia" w:ascii="仿宋" w:hAnsi="仿宋" w:eastAsia="仿宋" w:cs="仿宋"/>
          <w:color w:val="auto"/>
          <w:sz w:val="28"/>
          <w:szCs w:val="28"/>
        </w:rPr>
        <w:t xml:space="preserve">签订地点： </w:t>
      </w:r>
    </w:p>
    <w:p w14:paraId="598E9803">
      <w:pPr>
        <w:spacing w:after="240"/>
        <w:ind w:firstLine="3158" w:firstLineChars="1128"/>
        <w:rPr>
          <w:rFonts w:ascii="仿宋" w:hAnsi="仿宋" w:eastAsia="仿宋" w:cs="仿宋"/>
          <w:color w:val="auto"/>
          <w:sz w:val="28"/>
          <w:szCs w:val="28"/>
        </w:rPr>
      </w:pPr>
      <w:r>
        <w:rPr>
          <w:rFonts w:hint="eastAsia" w:ascii="仿宋" w:hAnsi="仿宋" w:eastAsia="仿宋" w:cs="仿宋"/>
          <w:color w:val="auto"/>
          <w:sz w:val="28"/>
          <w:szCs w:val="28"/>
        </w:rPr>
        <w:t xml:space="preserve">签订日期： </w:t>
      </w:r>
    </w:p>
    <w:p w14:paraId="6D0A98E0">
      <w:pPr>
        <w:pStyle w:val="43"/>
        <w:ind w:firstLine="560"/>
        <w:rPr>
          <w:rFonts w:ascii="仿宋" w:hAnsi="仿宋" w:eastAsia="仿宋" w:cs="仿宋"/>
          <w:color w:val="auto"/>
        </w:rPr>
      </w:pPr>
    </w:p>
    <w:p w14:paraId="275F1971">
      <w:pPr>
        <w:pStyle w:val="39"/>
        <w:ind w:firstLine="1120"/>
        <w:jc w:val="center"/>
        <w:rPr>
          <w:rFonts w:ascii="仿宋" w:hAnsi="仿宋" w:eastAsia="仿宋" w:cs="仿宋"/>
          <w:color w:val="auto"/>
          <w:sz w:val="28"/>
          <w:szCs w:val="28"/>
        </w:rPr>
      </w:pPr>
      <w:r>
        <w:rPr>
          <w:rFonts w:hint="eastAsia" w:ascii="仿宋" w:hAnsi="仿宋" w:eastAsia="仿宋" w:cs="仿宋"/>
          <w:color w:val="auto"/>
          <w:sz w:val="28"/>
          <w:szCs w:val="28"/>
        </w:rPr>
        <w:t xml:space="preserve">云南省财政厅　制 </w:t>
      </w:r>
    </w:p>
    <w:p w14:paraId="15440708">
      <w:pPr>
        <w:widowControl/>
        <w:jc w:val="left"/>
        <w:rPr>
          <w:color w:val="auto"/>
        </w:rPr>
      </w:pPr>
      <w:r>
        <w:rPr>
          <w:rFonts w:hint="eastAsia" w:ascii="仿宋" w:hAnsi="仿宋" w:eastAsia="仿宋" w:cs="仿宋"/>
          <w:b/>
          <w:color w:val="auto"/>
        </w:rPr>
        <w:br w:type="page"/>
      </w:r>
    </w:p>
    <w:p w14:paraId="5AFBDB8E">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甲方（采购人单位章）名称：</w:t>
      </w:r>
    </w:p>
    <w:p w14:paraId="1DEFC0BA">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 xml:space="preserve">地    址： </w:t>
      </w:r>
    </w:p>
    <w:p w14:paraId="0B29910F">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邮    编：</w:t>
      </w:r>
    </w:p>
    <w:p w14:paraId="4C217345">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法定代表人或委托代理人：</w:t>
      </w:r>
    </w:p>
    <w:p w14:paraId="3AA218C5">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项目（技术）负责人：</w:t>
      </w:r>
    </w:p>
    <w:p w14:paraId="613475B2">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电    话：</w:t>
      </w:r>
    </w:p>
    <w:p w14:paraId="74FF5F02">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 xml:space="preserve">开 户 银行： </w:t>
      </w:r>
    </w:p>
    <w:p w14:paraId="6F2186B0">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账    号：</w:t>
      </w:r>
    </w:p>
    <w:p w14:paraId="43990DE5">
      <w:pPr>
        <w:spacing w:line="400" w:lineRule="exact"/>
        <w:ind w:left="1619" w:hanging="960"/>
        <w:rPr>
          <w:rFonts w:ascii="仿宋" w:hAnsi="仿宋" w:eastAsia="仿宋" w:cs="仿宋"/>
          <w:color w:val="auto"/>
          <w:sz w:val="24"/>
        </w:rPr>
      </w:pPr>
    </w:p>
    <w:p w14:paraId="5CA71CD4">
      <w:pPr>
        <w:spacing w:line="400" w:lineRule="exact"/>
        <w:ind w:left="1619" w:hanging="960"/>
        <w:rPr>
          <w:rFonts w:ascii="仿宋" w:hAnsi="仿宋" w:eastAsia="仿宋" w:cs="仿宋"/>
          <w:color w:val="auto"/>
          <w:sz w:val="24"/>
        </w:rPr>
      </w:pPr>
    </w:p>
    <w:p w14:paraId="385B8EEE">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 xml:space="preserve">乙方（供应商单位章）名称： </w:t>
      </w:r>
    </w:p>
    <w:p w14:paraId="303561DE">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地    址：</w:t>
      </w:r>
    </w:p>
    <w:p w14:paraId="6CFBB9B1">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邮    编：</w:t>
      </w:r>
    </w:p>
    <w:p w14:paraId="4E083E86">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法定代表人：</w:t>
      </w:r>
    </w:p>
    <w:p w14:paraId="53E1D553">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委托代理人：                    </w:t>
      </w:r>
    </w:p>
    <w:p w14:paraId="4CBBF263">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电      话：</w:t>
      </w:r>
    </w:p>
    <w:p w14:paraId="20B30CBE">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开 户 银行：</w:t>
      </w:r>
    </w:p>
    <w:p w14:paraId="6A88BF60">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账   号：</w:t>
      </w:r>
    </w:p>
    <w:p w14:paraId="024703B5">
      <w:pPr>
        <w:pStyle w:val="43"/>
        <w:ind w:left="1619" w:hanging="960" w:firstLineChars="0"/>
        <w:rPr>
          <w:rFonts w:ascii="仿宋" w:hAnsi="仿宋" w:eastAsia="仿宋" w:cs="仿宋"/>
          <w:color w:val="auto"/>
        </w:rPr>
      </w:pPr>
    </w:p>
    <w:p w14:paraId="72C4394D">
      <w:pPr>
        <w:spacing w:line="400" w:lineRule="exact"/>
        <w:ind w:left="1619" w:hanging="960"/>
        <w:rPr>
          <w:rFonts w:ascii="仿宋" w:hAnsi="仿宋" w:eastAsia="仿宋" w:cs="仿宋"/>
          <w:color w:val="auto"/>
          <w:sz w:val="24"/>
        </w:rPr>
      </w:pPr>
    </w:p>
    <w:p w14:paraId="293ED115">
      <w:pPr>
        <w:spacing w:line="400" w:lineRule="exact"/>
        <w:ind w:left="1619" w:hanging="960"/>
        <w:rPr>
          <w:rFonts w:ascii="仿宋" w:hAnsi="仿宋" w:eastAsia="仿宋" w:cs="仿宋"/>
          <w:vanish/>
          <w:color w:val="auto"/>
          <w:sz w:val="24"/>
        </w:rPr>
      </w:pPr>
    </w:p>
    <w:p w14:paraId="4717EF59">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丙方（鉴证方单位章）名称：</w:t>
      </w:r>
    </w:p>
    <w:p w14:paraId="667787E3">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地    址：</w:t>
      </w:r>
    </w:p>
    <w:p w14:paraId="748F9170">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邮    编：</w:t>
      </w:r>
    </w:p>
    <w:p w14:paraId="2A55E877">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法定代表人或委托代理人：</w:t>
      </w:r>
    </w:p>
    <w:p w14:paraId="37095664">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经　办　人：</w:t>
      </w:r>
    </w:p>
    <w:p w14:paraId="7810B1DF">
      <w:pPr>
        <w:spacing w:line="400" w:lineRule="exact"/>
        <w:ind w:left="1619" w:hanging="960"/>
        <w:rPr>
          <w:rFonts w:ascii="仿宋" w:hAnsi="仿宋" w:eastAsia="仿宋" w:cs="仿宋"/>
          <w:color w:val="auto"/>
          <w:sz w:val="24"/>
        </w:rPr>
      </w:pPr>
      <w:r>
        <w:rPr>
          <w:rFonts w:hint="eastAsia" w:ascii="仿宋" w:hAnsi="仿宋" w:eastAsia="仿宋" w:cs="仿宋"/>
          <w:color w:val="auto"/>
          <w:sz w:val="24"/>
        </w:rPr>
        <w:t>电   话：</w:t>
      </w:r>
    </w:p>
    <w:p w14:paraId="70399803">
      <w:pPr>
        <w:spacing w:line="400" w:lineRule="exact"/>
        <w:ind w:left="1619" w:hanging="960"/>
        <w:rPr>
          <w:rFonts w:ascii="仿宋" w:hAnsi="仿宋" w:eastAsia="仿宋" w:cs="仿宋"/>
          <w:color w:val="auto"/>
          <w:sz w:val="24"/>
        </w:rPr>
      </w:pPr>
    </w:p>
    <w:p w14:paraId="4EDFC1C8">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br w:type="page"/>
      </w:r>
      <w:bookmarkStart w:id="1275" w:name="_Toc41389839"/>
      <w:bookmarkStart w:id="1276" w:name="_Toc42876238"/>
      <w:bookmarkStart w:id="1277" w:name="_Toc42781889"/>
      <w:bookmarkStart w:id="1278" w:name="_Toc43008923"/>
      <w:bookmarkStart w:id="1279" w:name="_Toc43103176"/>
      <w:bookmarkStart w:id="1280" w:name="_Toc42782626"/>
      <w:bookmarkStart w:id="1281" w:name="_Toc410905297"/>
      <w:bookmarkStart w:id="1282" w:name="_Toc42796952"/>
      <w:bookmarkStart w:id="1283" w:name="_Toc42941244"/>
      <w:bookmarkStart w:id="1284" w:name="_Toc42782838"/>
      <w:bookmarkStart w:id="1285" w:name="_Toc507903204"/>
      <w:bookmarkStart w:id="1286" w:name="_Toc416335965"/>
      <w:bookmarkStart w:id="1287" w:name="_Toc43110999"/>
      <w:bookmarkStart w:id="1288" w:name="_Toc42782924"/>
      <w:bookmarkStart w:id="1289" w:name="_Toc41381616"/>
      <w:bookmarkStart w:id="1290" w:name="_Toc42965708"/>
      <w:bookmarkStart w:id="1291" w:name="_Toc43103093"/>
      <w:bookmarkStart w:id="1292" w:name="_Toc42876153"/>
      <w:bookmarkStart w:id="1293" w:name="_Toc384911267"/>
      <w:bookmarkStart w:id="1294" w:name="_Toc41386412"/>
      <w:bookmarkStart w:id="1295" w:name="_Toc42941338"/>
      <w:bookmarkStart w:id="1296" w:name="_Toc41386238"/>
      <w:r>
        <w:rPr>
          <w:rFonts w:hint="eastAsia" w:ascii="仿宋" w:hAnsi="仿宋" w:eastAsia="仿宋" w:cs="仿宋"/>
          <w:color w:val="auto"/>
          <w:sz w:val="24"/>
        </w:rPr>
        <w:t xml:space="preserve">    甲、乙双方按照《中华人民共和国政府采购法》、《云南省政府采购条例》和有关制度规定纳入政府采购、项目编号为的</w:t>
      </w:r>
      <w:r>
        <w:rPr>
          <w:rFonts w:hint="eastAsia" w:ascii="仿宋" w:hAnsi="仿宋" w:eastAsia="仿宋" w:cs="仿宋"/>
          <w:color w:val="auto"/>
          <w:sz w:val="24"/>
          <w:u w:val="single"/>
        </w:rPr>
        <w:t xml:space="preserve">  （项目名称） </w:t>
      </w:r>
      <w:r>
        <w:rPr>
          <w:rFonts w:hint="eastAsia" w:ascii="仿宋" w:hAnsi="仿宋" w:eastAsia="仿宋" w:cs="仿宋"/>
          <w:color w:val="auto"/>
          <w:sz w:val="24"/>
        </w:rPr>
        <w:t>竞争性磋商评审结果，按照平等、自愿、诚实、信用的原则，同意按照以下条款和条件，签署本合同。</w:t>
      </w:r>
    </w:p>
    <w:p w14:paraId="7AF9913D">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一、服务内容</w:t>
      </w:r>
    </w:p>
    <w:p w14:paraId="57B36DD2">
      <w:pPr>
        <w:keepNext/>
        <w:keepLines/>
        <w:spacing w:line="360" w:lineRule="auto"/>
        <w:ind w:firstLine="480" w:firstLineChars="200"/>
        <w:jc w:val="left"/>
        <w:outlineLvl w:val="1"/>
        <w:rPr>
          <w:rFonts w:ascii="仿宋" w:hAnsi="仿宋" w:eastAsia="仿宋" w:cs="仿宋"/>
          <w:color w:val="auto"/>
          <w:sz w:val="24"/>
        </w:rPr>
      </w:pPr>
      <w:r>
        <w:rPr>
          <w:rFonts w:hint="eastAsia" w:ascii="仿宋" w:hAnsi="仿宋" w:eastAsia="仿宋" w:cs="仿宋"/>
          <w:color w:val="auto"/>
          <w:sz w:val="24"/>
        </w:rPr>
        <w:t>甲方向乙方采购物业管理服务，具体内容为：</w:t>
      </w:r>
    </w:p>
    <w:p w14:paraId="2D104398">
      <w:pPr>
        <w:keepNext/>
        <w:keepLines/>
        <w:spacing w:line="360" w:lineRule="auto"/>
        <w:ind w:firstLine="480" w:firstLineChars="200"/>
        <w:jc w:val="left"/>
        <w:rPr>
          <w:rFonts w:ascii="仿宋" w:hAnsi="仿宋" w:eastAsia="仿宋" w:cs="仿宋"/>
          <w:color w:val="auto"/>
          <w:sz w:val="24"/>
        </w:rPr>
      </w:pPr>
    </w:p>
    <w:p w14:paraId="7630B49B">
      <w:pPr>
        <w:keepNext/>
        <w:keepLines/>
        <w:spacing w:line="360" w:lineRule="auto"/>
        <w:ind w:firstLine="480" w:firstLineChars="200"/>
        <w:jc w:val="left"/>
        <w:outlineLvl w:val="1"/>
        <w:rPr>
          <w:rFonts w:ascii="仿宋" w:hAnsi="仿宋" w:eastAsia="仿宋" w:cs="仿宋"/>
          <w:color w:val="auto"/>
          <w:sz w:val="24"/>
        </w:rPr>
      </w:pPr>
      <w:r>
        <w:rPr>
          <w:rFonts w:hint="eastAsia" w:ascii="仿宋" w:hAnsi="仿宋" w:eastAsia="仿宋" w:cs="仿宋"/>
          <w:color w:val="auto"/>
          <w:sz w:val="24"/>
        </w:rPr>
        <w:t>乙方在甲方的具体指导下，并在甲、乙方指定的范围内为甲方提供完成本合同所约定的相关工作。</w:t>
      </w:r>
    </w:p>
    <w:p w14:paraId="71CE4DB4">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二、服务期限和服务地点</w:t>
      </w:r>
    </w:p>
    <w:p w14:paraId="78FEBCBE">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1、乙方保证配备服务人员    名，其中保洁人员    名，安保人员   名，     人员   名，人员    名。</w:t>
      </w:r>
    </w:p>
    <w:p w14:paraId="6421A6D4">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2、服务期限自     年    月   日起至     年    月   日止。</w:t>
      </w:r>
    </w:p>
    <w:p w14:paraId="0FC9FDD8">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3、物业管理服务地点位于：              。</w:t>
      </w:r>
    </w:p>
    <w:p w14:paraId="25E5DB9B">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4、在物业服务工作中，乙方配备人员按甲方的要求从事相应的岗位及工作。甲方在事先告知乙方并经乙方同意的情况下，甲方可根据工作需要适当调整人员的工作及分工。</w:t>
      </w:r>
    </w:p>
    <w:p w14:paraId="58936CB3">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5、为满足甲方物业服务的要求，乙方应配备的物品、工具、设备：</w:t>
      </w:r>
    </w:p>
    <w:p w14:paraId="1E5060F3">
      <w:pPr>
        <w:keepNext/>
        <w:keepLines/>
        <w:spacing w:line="360" w:lineRule="auto"/>
        <w:jc w:val="left"/>
        <w:rPr>
          <w:rFonts w:ascii="仿宋" w:hAnsi="仿宋" w:eastAsia="仿宋" w:cs="仿宋"/>
          <w:color w:val="auto"/>
          <w:sz w:val="24"/>
        </w:rPr>
      </w:pPr>
    </w:p>
    <w:p w14:paraId="6BA9369D">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三、服务费用及付款方式</w:t>
      </w:r>
    </w:p>
    <w:p w14:paraId="0C692ED0">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服务计费为人民币    元/年，该费用为乙方向甲方提供物业服务的全部费用，包括但不限于：人员工资、个人保险、生活补贴、劳保用品费用、着装费用，以及提供服务应配备的相关设备、物品、工具的费用。甲方无需向乙方人员支付任何费用。</w:t>
      </w:r>
    </w:p>
    <w:p w14:paraId="77E4619E">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服务费付款方式：在本合同签订之日起  日内，甲方应以    方式向乙方支付全部费用的   %，剩余费用的支付：                               。</w:t>
      </w:r>
    </w:p>
    <w:p w14:paraId="56E8049D">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四、权利和义务</w:t>
      </w:r>
    </w:p>
    <w:p w14:paraId="11165698">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(一)甲方</w:t>
      </w:r>
    </w:p>
    <w:p w14:paraId="1834357C">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1、甲方为乙方人员提供必要的工作条件。</w:t>
      </w:r>
    </w:p>
    <w:p w14:paraId="71DED5E3">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2、甲方有权对乙方人员的各项工作进行监督，检查和具体指导。</w:t>
      </w:r>
    </w:p>
    <w:p w14:paraId="33E5C2E6">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3、甲方有权对乙方派往甲方的人员进行审核确认，有权要求调换不适合在甲方继续工作的人员。</w:t>
      </w:r>
    </w:p>
    <w:p w14:paraId="402F58DC">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4、凡因甲方原因，造成乙方工作人员在工作过程中发生的事故，均由甲方承担相应责任。</w:t>
      </w:r>
    </w:p>
    <w:p w14:paraId="62294256">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5、如遇特殊情况（如迎接相关检查、节庆日等），甲方有权要求乙方在正常工作时间外无条件服从并配合甲方工作安排，进行相应的清洁等工作。</w:t>
      </w:r>
    </w:p>
    <w:p w14:paraId="7B44169A">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(二)乙方</w:t>
      </w:r>
    </w:p>
    <w:p w14:paraId="6F4D2E7C">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1、乙方应当保证其对甲方提供的服务质量，保证工作效果达到甲方要求；</w:t>
      </w:r>
    </w:p>
    <w:p w14:paraId="34F5D3DB">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2、乙方负责办理服务人员的相关社会保险及人身意外伤害保险。</w:t>
      </w:r>
    </w:p>
    <w:p w14:paraId="32AAC707">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4、乙方负责对己方人员的培训教育和业务素质的提高，以达到甲方的要求，有相关要求的岗位应持证上岗；</w:t>
      </w:r>
    </w:p>
    <w:p w14:paraId="47B73BDD">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5、乙方的服务人员应严格执行甲方的有关规定，但有权对甲方的不安全隐患提出改进意见和建议，甲方应研究核实改进。</w:t>
      </w:r>
    </w:p>
    <w:p w14:paraId="6988FB37">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6、乙方人员在工作期间，应当着装规范，服务甲方安排，禁止在工作期间处理与工作无关的事情。</w:t>
      </w:r>
    </w:p>
    <w:p w14:paraId="36F90623">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7、乙方应当对甲方进行定期回访，认真听取甲方对保安工作的意见并采取措施进行整改，将整改的结果在限定的期限内进行反馈。定期回访应为每一季度进行一次，特殊情况下应根据甲方的要求及时进行。</w:t>
      </w:r>
    </w:p>
    <w:p w14:paraId="01E5BF49">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8、在甲方认为乙方没有适当履行职责时，甲方将通知乙方，乙方应核实后在   日内选派更有经验和培训经历的人来替换，但不得向甲方提出费用要求。</w:t>
      </w:r>
    </w:p>
    <w:p w14:paraId="2FBC54E3">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五、保密条款</w:t>
      </w:r>
    </w:p>
    <w:p w14:paraId="46B9E295">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乙方应严格履行保密义务。对于所有与甲方有关的资料和信息，除非经甲方事先书面许可，或因政府部门及法律法令的强制性要求而披露，乙方应当保证保守该秘密信息，并不得将该秘密信息以任何方式泄露予第三方，双方均承诺不将从对方取得的秘密信息披露或泄露给无关的人员。</w:t>
      </w:r>
    </w:p>
    <w:p w14:paraId="2162AF20">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六、合同的变更、终止和解除</w:t>
      </w:r>
    </w:p>
    <w:p w14:paraId="56F498AD">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1、在不违背法律法规及国家政策的情况下，甲乙双方经协商可就合同相关部分进行变更。</w:t>
      </w:r>
    </w:p>
    <w:p w14:paraId="46292519">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2、乙方因工作失职造成重大损失，甲方有权随时解除合同。</w:t>
      </w:r>
    </w:p>
    <w:p w14:paraId="7F61F763">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3、因不可抗力或其他客观事由导致合同不能继续履行的，双方可协商解除合同。</w:t>
      </w:r>
    </w:p>
    <w:p w14:paraId="4176F32D">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七、违约责任</w:t>
      </w:r>
    </w:p>
    <w:p w14:paraId="282DA27D">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除不可抗力外，如单方中止合同或违反本合同任一条款，该方应承担违约责任，违约金额不超过一年保安服务费的10%，并视情节，承担其他责任。</w:t>
      </w:r>
    </w:p>
    <w:p w14:paraId="240622EE">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八、争议的解决</w:t>
      </w:r>
    </w:p>
    <w:p w14:paraId="5B7C17B8">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本协议双方就本协议的效力、内容、解释、履行或其他任何方面发生争议，应当协商解决，协商不成可向          人民法院起诉。</w:t>
      </w:r>
    </w:p>
    <w:p w14:paraId="10CFE1C6">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九、其他</w:t>
      </w:r>
    </w:p>
    <w:p w14:paraId="021D056F">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1、合同未尽事宜，双方可协商做出补充协议。</w:t>
      </w:r>
    </w:p>
    <w:p w14:paraId="6CDCE99B">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2、本协议经双方盖章签字后生效，有效期限为至   年  月  日；如甲方另行拟订相关工作细则，须通知乙方并经乙方确认。</w:t>
      </w:r>
    </w:p>
    <w:p w14:paraId="5DB63ED1">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3、本合同一式贰份，法律效力等同，甲乙双方各持壹份。</w:t>
      </w:r>
    </w:p>
    <w:p w14:paraId="6D87A2CB">
      <w:pPr>
        <w:keepNext/>
        <w:keepLines/>
        <w:spacing w:line="360" w:lineRule="auto"/>
        <w:jc w:val="left"/>
        <w:outlineLvl w:val="1"/>
        <w:rPr>
          <w:rFonts w:ascii="仿宋" w:hAnsi="仿宋" w:eastAsia="仿宋" w:cs="仿宋"/>
          <w:color w:val="auto"/>
          <w:sz w:val="24"/>
        </w:rPr>
      </w:pPr>
      <w:r>
        <w:rPr>
          <w:rFonts w:hint="eastAsia" w:ascii="仿宋" w:hAnsi="仿宋" w:eastAsia="仿宋" w:cs="仿宋"/>
          <w:color w:val="auto"/>
          <w:sz w:val="24"/>
        </w:rPr>
        <w:t>十、本合同不可分割之部分：</w:t>
      </w:r>
    </w:p>
    <w:p w14:paraId="59EE8013">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1．竞争性磋商文件；</w:t>
      </w:r>
    </w:p>
    <w:p w14:paraId="6C5A1708">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2．成交人磋商申请文件、最终报价表、澄清；</w:t>
      </w:r>
    </w:p>
    <w:p w14:paraId="311887AF">
      <w:pPr>
        <w:keepNext/>
        <w:keepLines/>
        <w:spacing w:line="360" w:lineRule="auto"/>
        <w:ind w:firstLine="420" w:firstLineChars="175"/>
        <w:jc w:val="left"/>
        <w:outlineLvl w:val="1"/>
        <w:rPr>
          <w:rFonts w:ascii="仿宋" w:hAnsi="仿宋" w:eastAsia="仿宋" w:cs="仿宋"/>
          <w:color w:val="auto"/>
          <w:sz w:val="24"/>
        </w:rPr>
      </w:pPr>
      <w:r>
        <w:rPr>
          <w:rFonts w:hint="eastAsia" w:ascii="仿宋" w:hAnsi="仿宋" w:eastAsia="仿宋" w:cs="仿宋"/>
          <w:color w:val="auto"/>
          <w:sz w:val="24"/>
        </w:rPr>
        <w:t>3．成交通知书；</w:t>
      </w:r>
    </w:p>
    <w:p w14:paraId="67ABD743">
      <w:pPr>
        <w:keepNext/>
        <w:keepLines/>
        <w:spacing w:line="360" w:lineRule="auto"/>
        <w:jc w:val="left"/>
        <w:rPr>
          <w:rFonts w:ascii="宋体" w:hAnsi="宋体"/>
          <w:color w:val="auto"/>
          <w:sz w:val="24"/>
        </w:rPr>
      </w:pPr>
    </w:p>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p w14:paraId="77A3F584">
      <w:pPr>
        <w:spacing w:line="360" w:lineRule="auto"/>
        <w:ind w:right="57" w:rightChars="27"/>
        <w:rPr>
          <w:rFonts w:ascii="宋体" w:hAnsi="宋体"/>
          <w:b/>
          <w:bCs/>
          <w:color w:val="auto"/>
          <w:sz w:val="22"/>
        </w:rPr>
      </w:pPr>
      <w:bookmarkStart w:id="1297" w:name="_Toc460989496"/>
      <w:r>
        <w:rPr>
          <w:rFonts w:hint="eastAsia" w:ascii="宋体" w:hAnsi="宋体"/>
          <w:b/>
          <w:bCs/>
          <w:color w:val="auto"/>
          <w:sz w:val="22"/>
        </w:rPr>
        <w:t>注：此范本仅为普通格式合同范本，仅供参考。采购双方可根据最终达成的中标内容进行调整、修改、补充，正式合同以采购双方根据《中华人民共和国民法典》有关规定进行签订为准。</w:t>
      </w:r>
      <w:bookmarkEnd w:id="1297"/>
    </w:p>
    <w:p w14:paraId="0D9551FB">
      <w:pPr>
        <w:pStyle w:val="181"/>
        <w:ind w:firstLine="376"/>
        <w:rPr>
          <w:rFonts w:hAnsi="宋体" w:cs="Times New Roman"/>
          <w:b/>
          <w:bCs/>
          <w:color w:val="auto"/>
          <w:kern w:val="2"/>
          <w:sz w:val="22"/>
          <w:szCs w:val="22"/>
        </w:rPr>
      </w:pPr>
    </w:p>
    <w:bookmarkEnd w:id="1266"/>
    <w:bookmarkEnd w:id="1267"/>
    <w:bookmarkEnd w:id="1268"/>
    <w:bookmarkEnd w:id="1269"/>
    <w:bookmarkEnd w:id="1270"/>
    <w:bookmarkEnd w:id="1271"/>
    <w:bookmarkEnd w:id="1272"/>
    <w:p w14:paraId="3951507B">
      <w:pPr>
        <w:pStyle w:val="188"/>
        <w:spacing w:after="200" w:line="400" w:lineRule="exact"/>
        <w:jc w:val="left"/>
        <w:rPr>
          <w:rFonts w:ascii="宋体" w:hAnsi="宋体" w:cs="宋体"/>
          <w:b/>
          <w:bCs/>
          <w:color w:val="auto"/>
          <w:sz w:val="24"/>
        </w:rPr>
      </w:pPr>
    </w:p>
    <w:sectPr>
      <w:headerReference r:id="rId7" w:type="default"/>
      <w:footerReference r:id="rId8" w:type="default"/>
      <w:pgSz w:w="11905" w:h="16838"/>
      <w:pgMar w:top="1134" w:right="1247" w:bottom="1134" w:left="1134" w:header="737" w:footer="737" w:gutter="0"/>
      <w:pgNumType w:fmt="decimal"/>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303CB30-D83B-4663-BCB2-0C497AB68F2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FDA08C2-6437-4438-BBC1-B6BCA3E47787}"/>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创艺繁线体">
    <w:altName w:val="黑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AD95E206-B98E-4BAF-8B52-C4A1E432A71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D782B">
    <w:pPr>
      <w:snapToGrid w:val="0"/>
      <w:jc w:val="center"/>
      <w:rPr>
        <w:rFonts w:ascii="宋体" w:hAnsi="宋体" w:cs="宋体"/>
        <w:sz w:val="20"/>
        <w:szCs w:val="13"/>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16B8E5">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616B8E5">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FCC41">
    <w:pPr>
      <w:snapToGrid w:val="0"/>
      <w:jc w:val="center"/>
      <w:rPr>
        <w:rFonts w:ascii="Calibri" w:hAnsi="Calibri"/>
        <w:szCs w:val="22"/>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33155">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7E33155">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A51E1">
    <w:pPr>
      <w:pStyle w:val="17"/>
      <w:spacing w:line="165" w:lineRule="auto"/>
      <w:ind w:left="5148"/>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B4A8C">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A1B4A8C">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F378C">
    <w:pPr>
      <w:pStyle w:val="3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AFC4">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1124">
    <w:pPr>
      <w:pStyle w:val="30"/>
      <w:pBdr>
        <w:bottom w:val="none" w:color="auto" w:sz="0" w:space="1"/>
      </w:pBdr>
      <w:jc w:val="both"/>
      <w:rPr>
        <w:sz w:val="16"/>
        <w:szCs w:val="16"/>
        <w:u w:val="single"/>
      </w:rPr>
    </w:pPr>
  </w:p>
  <w:p w14:paraId="3EE8C77F">
    <w:pPr>
      <w:pStyle w:val="30"/>
      <w:pBdr>
        <w:bottom w:val="none" w:color="auto" w:sz="0" w:space="1"/>
      </w:pBdr>
      <w:jc w:val="both"/>
      <w:rPr>
        <w:sz w:val="16"/>
        <w:szCs w:val="16"/>
        <w:u w:val="single"/>
      </w:rPr>
    </w:pPr>
  </w:p>
  <w:p w14:paraId="002A3D4B">
    <w:pPr>
      <w:pStyle w:val="30"/>
      <w:pBdr>
        <w:bottom w:val="none" w:color="auto" w:sz="0" w:space="1"/>
      </w:pBdr>
      <w:jc w:val="both"/>
      <w:rPr>
        <w:color w:val="auto"/>
        <w:sz w:val="16"/>
        <w:szCs w:val="16"/>
        <w:u w:val="single"/>
      </w:rPr>
    </w:pPr>
    <w:bookmarkStart w:id="1298" w:name="_GoBack"/>
    <w:r>
      <w:rPr>
        <w:rFonts w:hint="eastAsia"/>
        <w:color w:val="auto"/>
        <w:sz w:val="16"/>
        <w:szCs w:val="16"/>
        <w:u w:val="single"/>
      </w:rPr>
      <w:t>泸西县妇幼保健院2025年物业管理服务采购项目                                                             竞争性磋商文件</w:t>
    </w:r>
  </w:p>
  <w:bookmarkEnd w:id="12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ADAE9B"/>
    <w:multiLevelType w:val="singleLevel"/>
    <w:tmpl w:val="DEADAE9B"/>
    <w:lvl w:ilvl="0" w:tentative="0">
      <w:start w:val="8"/>
      <w:numFmt w:val="chineseCounting"/>
      <w:suff w:val="nothing"/>
      <w:lvlText w:val="%1、"/>
      <w:lvlJc w:val="left"/>
      <w:rPr>
        <w:rFonts w:hint="eastAsia"/>
      </w:rPr>
    </w:lvl>
  </w:abstractNum>
  <w:abstractNum w:abstractNumId="1">
    <w:nsid w:val="0000000A"/>
    <w:multiLevelType w:val="singleLevel"/>
    <w:tmpl w:val="0000000A"/>
    <w:lvl w:ilvl="0" w:tentative="0">
      <w:start w:val="1"/>
      <w:numFmt w:val="bullet"/>
      <w:pStyle w:val="111"/>
      <w:lvlText w:val=""/>
      <w:lvlJc w:val="left"/>
      <w:pPr>
        <w:tabs>
          <w:tab w:val="left" w:pos="360"/>
        </w:tabs>
        <w:ind w:left="360" w:hanging="360"/>
      </w:pPr>
      <w:rPr>
        <w:rFonts w:hint="default" w:ascii="Wingdings" w:hAnsi="Wingdings"/>
      </w:rPr>
    </w:lvl>
  </w:abstractNum>
  <w:abstractNum w:abstractNumId="2">
    <w:nsid w:val="0000000B"/>
    <w:multiLevelType w:val="singleLevel"/>
    <w:tmpl w:val="0000000B"/>
    <w:lvl w:ilvl="0" w:tentative="0">
      <w:start w:val="1"/>
      <w:numFmt w:val="bullet"/>
      <w:pStyle w:val="67"/>
      <w:lvlText w:val=""/>
      <w:lvlJc w:val="left"/>
      <w:pPr>
        <w:tabs>
          <w:tab w:val="left" w:pos="1620"/>
        </w:tabs>
        <w:ind w:left="1620" w:hanging="360"/>
      </w:pPr>
      <w:rPr>
        <w:rFonts w:hint="default" w:ascii="Wingdings" w:hAnsi="Wingdings"/>
      </w:rPr>
    </w:lvl>
  </w:abstractNum>
  <w:abstractNum w:abstractNumId="3">
    <w:nsid w:val="0000000C"/>
    <w:multiLevelType w:val="multilevel"/>
    <w:tmpl w:val="0000000C"/>
    <w:lvl w:ilvl="0" w:tentative="0">
      <w:start w:val="4"/>
      <w:numFmt w:val="taiwaneseCountingThousand"/>
      <w:lvlText w:val="%1、"/>
      <w:lvlJc w:val="left"/>
      <w:pPr>
        <w:tabs>
          <w:tab w:val="left" w:pos="720"/>
        </w:tabs>
        <w:ind w:left="720" w:hanging="720"/>
      </w:pPr>
      <w:rPr>
        <w:rFonts w:hint="eastAsia"/>
      </w:rPr>
    </w:lvl>
    <w:lvl w:ilvl="1" w:tentative="0">
      <w:start w:val="1"/>
      <w:numFmt w:val="upperLetter"/>
      <w:pStyle w:val="6"/>
      <w:lvlText w:val="%2、"/>
      <w:lvlJc w:val="left"/>
      <w:pPr>
        <w:tabs>
          <w:tab w:val="left" w:pos="1353"/>
        </w:tabs>
        <w:ind w:left="1353" w:hanging="360"/>
      </w:pPr>
      <w:rPr>
        <w:rFonts w:hint="eastAsia" w:ascii="Times New Roman" w:hAnsi="Times New Roman" w:eastAsia="宋体"/>
        <w:sz w:val="21"/>
      </w:r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4">
    <w:nsid w:val="2DF84E41"/>
    <w:multiLevelType w:val="multilevel"/>
    <w:tmpl w:val="2DF84E41"/>
    <w:lvl w:ilvl="0" w:tentative="0">
      <w:start w:val="1"/>
      <w:numFmt w:val="decimal"/>
      <w:pStyle w:val="183"/>
      <w:lvlText w:val="%1）"/>
      <w:lvlJc w:val="left"/>
      <w:pPr>
        <w:ind w:left="420" w:hanging="420"/>
      </w:pPr>
      <w:rPr>
        <w:rFonts w:hint="default"/>
      </w:rPr>
    </w:lvl>
    <w:lvl w:ilvl="1" w:tentative="0">
      <w:start w:val="1"/>
      <w:numFmt w:val="lowerLetter"/>
      <w:lvlText w:val="%2)"/>
      <w:lvlJc w:val="left"/>
      <w:pPr>
        <w:ind w:left="640" w:hanging="420"/>
      </w:pPr>
    </w:lvl>
    <w:lvl w:ilvl="2" w:tentative="0">
      <w:start w:val="1"/>
      <w:numFmt w:val="lowerRoman"/>
      <w:lvlText w:val="%3."/>
      <w:lvlJc w:val="right"/>
      <w:pPr>
        <w:ind w:left="1060" w:hanging="420"/>
      </w:pPr>
    </w:lvl>
    <w:lvl w:ilvl="3" w:tentative="0">
      <w:start w:val="1"/>
      <w:numFmt w:val="decimal"/>
      <w:lvlText w:val="%4."/>
      <w:lvlJc w:val="left"/>
      <w:pPr>
        <w:ind w:left="1480" w:hanging="420"/>
      </w:pPr>
    </w:lvl>
    <w:lvl w:ilvl="4" w:tentative="0">
      <w:start w:val="1"/>
      <w:numFmt w:val="lowerLetter"/>
      <w:lvlText w:val="%5)"/>
      <w:lvlJc w:val="left"/>
      <w:pPr>
        <w:ind w:left="1900" w:hanging="420"/>
      </w:pPr>
    </w:lvl>
    <w:lvl w:ilvl="5" w:tentative="0">
      <w:start w:val="1"/>
      <w:numFmt w:val="lowerRoman"/>
      <w:lvlText w:val="%6."/>
      <w:lvlJc w:val="right"/>
      <w:pPr>
        <w:ind w:left="2320" w:hanging="420"/>
      </w:pPr>
    </w:lvl>
    <w:lvl w:ilvl="6" w:tentative="0">
      <w:start w:val="1"/>
      <w:numFmt w:val="decimal"/>
      <w:lvlText w:val="%7."/>
      <w:lvlJc w:val="left"/>
      <w:pPr>
        <w:ind w:left="2740" w:hanging="420"/>
      </w:pPr>
    </w:lvl>
    <w:lvl w:ilvl="7" w:tentative="0">
      <w:start w:val="1"/>
      <w:numFmt w:val="lowerLetter"/>
      <w:lvlText w:val="%8)"/>
      <w:lvlJc w:val="left"/>
      <w:pPr>
        <w:ind w:left="3160" w:hanging="420"/>
      </w:pPr>
    </w:lvl>
    <w:lvl w:ilvl="8" w:tentative="0">
      <w:start w:val="1"/>
      <w:numFmt w:val="lowerRoman"/>
      <w:lvlText w:val="%9."/>
      <w:lvlJc w:val="right"/>
      <w:pPr>
        <w:ind w:left="3580" w:hanging="420"/>
      </w:pPr>
    </w:lvl>
  </w:abstractNum>
  <w:abstractNum w:abstractNumId="5">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173"/>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
    <w:nsid w:val="618ACD36"/>
    <w:multiLevelType w:val="singleLevel"/>
    <w:tmpl w:val="618ACD36"/>
    <w:lvl w:ilvl="0" w:tentative="0">
      <w:start w:val="1"/>
      <w:numFmt w:val="decimal"/>
      <w:lvlText w:val="%1."/>
      <w:lvlJc w:val="left"/>
      <w:pPr>
        <w:tabs>
          <w:tab w:val="left" w:pos="312"/>
        </w:tabs>
      </w:pPr>
    </w:lvl>
  </w:abstractNum>
  <w:abstractNum w:abstractNumId="7">
    <w:nsid w:val="75BF0EDD"/>
    <w:multiLevelType w:val="singleLevel"/>
    <w:tmpl w:val="75BF0EDD"/>
    <w:lvl w:ilvl="0" w:tentative="0">
      <w:start w:val="3"/>
      <w:numFmt w:val="decimal"/>
      <w:lvlText w:val="%1."/>
      <w:lvlJc w:val="left"/>
      <w:pPr>
        <w:tabs>
          <w:tab w:val="left" w:pos="312"/>
        </w:tabs>
      </w:pPr>
    </w:lvl>
  </w:abstractNum>
  <w:num w:numId="1">
    <w:abstractNumId w:val="3"/>
  </w:num>
  <w:num w:numId="2">
    <w:abstractNumId w:val="2"/>
  </w:num>
  <w:num w:numId="3">
    <w:abstractNumId w:val="1"/>
  </w:num>
  <w:num w:numId="4">
    <w:abstractNumId w:val="5"/>
  </w:num>
  <w:num w:numId="5">
    <w:abstractNumId w:val="4"/>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5Nzg0MTVhNmEyMDNjOTI1ODU4ZjNiZWJmOTIxMGEifQ=="/>
    <w:docVar w:name="DocumentID" w:val="{FF11FBCE-B831-4410-8D36-650F4B7BD872}"/>
    <w:docVar w:name="DocumentName" w:val="泸财农经费〔2021〕9号 泸西县财政局关于下达2021年第二批财政专项扶贫资金的通知"/>
  </w:docVars>
  <w:rsids>
    <w:rsidRoot w:val="00172A27"/>
    <w:rsid w:val="00001127"/>
    <w:rsid w:val="0000131E"/>
    <w:rsid w:val="000019CD"/>
    <w:rsid w:val="00001E53"/>
    <w:rsid w:val="000028CC"/>
    <w:rsid w:val="00002A15"/>
    <w:rsid w:val="00003A51"/>
    <w:rsid w:val="00005419"/>
    <w:rsid w:val="000054EA"/>
    <w:rsid w:val="00005856"/>
    <w:rsid w:val="000063D3"/>
    <w:rsid w:val="0000640A"/>
    <w:rsid w:val="00007C09"/>
    <w:rsid w:val="00011232"/>
    <w:rsid w:val="00011457"/>
    <w:rsid w:val="00011C81"/>
    <w:rsid w:val="00012C19"/>
    <w:rsid w:val="0001324B"/>
    <w:rsid w:val="0001329C"/>
    <w:rsid w:val="00014CA4"/>
    <w:rsid w:val="00015A51"/>
    <w:rsid w:val="00020259"/>
    <w:rsid w:val="00020AA2"/>
    <w:rsid w:val="000214A5"/>
    <w:rsid w:val="00022D8E"/>
    <w:rsid w:val="0002572C"/>
    <w:rsid w:val="00032C2E"/>
    <w:rsid w:val="00034BB5"/>
    <w:rsid w:val="00036A36"/>
    <w:rsid w:val="00036C66"/>
    <w:rsid w:val="0003796F"/>
    <w:rsid w:val="00037FBF"/>
    <w:rsid w:val="0004039C"/>
    <w:rsid w:val="000424BE"/>
    <w:rsid w:val="00045415"/>
    <w:rsid w:val="000460AF"/>
    <w:rsid w:val="00046B58"/>
    <w:rsid w:val="00047454"/>
    <w:rsid w:val="0004767D"/>
    <w:rsid w:val="00047E5F"/>
    <w:rsid w:val="00053A00"/>
    <w:rsid w:val="00054D10"/>
    <w:rsid w:val="000556C0"/>
    <w:rsid w:val="000562D8"/>
    <w:rsid w:val="00056653"/>
    <w:rsid w:val="00056F76"/>
    <w:rsid w:val="000570A0"/>
    <w:rsid w:val="0005764E"/>
    <w:rsid w:val="00060D61"/>
    <w:rsid w:val="00061A7C"/>
    <w:rsid w:val="00062147"/>
    <w:rsid w:val="000633BF"/>
    <w:rsid w:val="00066370"/>
    <w:rsid w:val="00066BAE"/>
    <w:rsid w:val="00067E6B"/>
    <w:rsid w:val="0007101C"/>
    <w:rsid w:val="00071AB3"/>
    <w:rsid w:val="00072901"/>
    <w:rsid w:val="0007296F"/>
    <w:rsid w:val="0007441A"/>
    <w:rsid w:val="000774F3"/>
    <w:rsid w:val="0008175B"/>
    <w:rsid w:val="00082331"/>
    <w:rsid w:val="0008238A"/>
    <w:rsid w:val="00082BCE"/>
    <w:rsid w:val="000838EB"/>
    <w:rsid w:val="0008408D"/>
    <w:rsid w:val="00084295"/>
    <w:rsid w:val="000843E7"/>
    <w:rsid w:val="00084452"/>
    <w:rsid w:val="00085BBA"/>
    <w:rsid w:val="00086628"/>
    <w:rsid w:val="00087C15"/>
    <w:rsid w:val="00092674"/>
    <w:rsid w:val="00092FBD"/>
    <w:rsid w:val="000962A6"/>
    <w:rsid w:val="000976F3"/>
    <w:rsid w:val="00097964"/>
    <w:rsid w:val="000A3028"/>
    <w:rsid w:val="000A477D"/>
    <w:rsid w:val="000A53F3"/>
    <w:rsid w:val="000A6D01"/>
    <w:rsid w:val="000A7B96"/>
    <w:rsid w:val="000B2559"/>
    <w:rsid w:val="000B469E"/>
    <w:rsid w:val="000B5FC6"/>
    <w:rsid w:val="000B627E"/>
    <w:rsid w:val="000B76E6"/>
    <w:rsid w:val="000B7711"/>
    <w:rsid w:val="000C105A"/>
    <w:rsid w:val="000C22F0"/>
    <w:rsid w:val="000C324D"/>
    <w:rsid w:val="000C349E"/>
    <w:rsid w:val="000C37C6"/>
    <w:rsid w:val="000C47F9"/>
    <w:rsid w:val="000C61F9"/>
    <w:rsid w:val="000C770D"/>
    <w:rsid w:val="000C7ADF"/>
    <w:rsid w:val="000D427E"/>
    <w:rsid w:val="000D4CAC"/>
    <w:rsid w:val="000D52DB"/>
    <w:rsid w:val="000E4804"/>
    <w:rsid w:val="000E732A"/>
    <w:rsid w:val="000F02C2"/>
    <w:rsid w:val="000F098F"/>
    <w:rsid w:val="000F0C3F"/>
    <w:rsid w:val="000F2EF2"/>
    <w:rsid w:val="000F375E"/>
    <w:rsid w:val="000F3B6F"/>
    <w:rsid w:val="000F551D"/>
    <w:rsid w:val="000F63E9"/>
    <w:rsid w:val="00100F1E"/>
    <w:rsid w:val="0010232B"/>
    <w:rsid w:val="00102892"/>
    <w:rsid w:val="00103713"/>
    <w:rsid w:val="001042A7"/>
    <w:rsid w:val="00104CF3"/>
    <w:rsid w:val="00104D80"/>
    <w:rsid w:val="00105585"/>
    <w:rsid w:val="00106728"/>
    <w:rsid w:val="00106A1D"/>
    <w:rsid w:val="00106C9C"/>
    <w:rsid w:val="00106FAB"/>
    <w:rsid w:val="00107CF9"/>
    <w:rsid w:val="0011079A"/>
    <w:rsid w:val="00110F1A"/>
    <w:rsid w:val="0011278C"/>
    <w:rsid w:val="00114ABF"/>
    <w:rsid w:val="00114CCF"/>
    <w:rsid w:val="00114EC5"/>
    <w:rsid w:val="00115A5F"/>
    <w:rsid w:val="00115FA5"/>
    <w:rsid w:val="001169DD"/>
    <w:rsid w:val="00116D18"/>
    <w:rsid w:val="00117C51"/>
    <w:rsid w:val="00117D91"/>
    <w:rsid w:val="001216D0"/>
    <w:rsid w:val="00123540"/>
    <w:rsid w:val="00123F67"/>
    <w:rsid w:val="001241DE"/>
    <w:rsid w:val="00124552"/>
    <w:rsid w:val="00126425"/>
    <w:rsid w:val="00126708"/>
    <w:rsid w:val="0013017F"/>
    <w:rsid w:val="00130250"/>
    <w:rsid w:val="001302F7"/>
    <w:rsid w:val="0013063F"/>
    <w:rsid w:val="001307A6"/>
    <w:rsid w:val="00132C84"/>
    <w:rsid w:val="001333B4"/>
    <w:rsid w:val="00133B6C"/>
    <w:rsid w:val="00137016"/>
    <w:rsid w:val="00137D1D"/>
    <w:rsid w:val="0014096F"/>
    <w:rsid w:val="0014185D"/>
    <w:rsid w:val="00141E56"/>
    <w:rsid w:val="00142F73"/>
    <w:rsid w:val="0014395A"/>
    <w:rsid w:val="00143D80"/>
    <w:rsid w:val="001461B5"/>
    <w:rsid w:val="0014782A"/>
    <w:rsid w:val="00147F58"/>
    <w:rsid w:val="00150FE4"/>
    <w:rsid w:val="00151E81"/>
    <w:rsid w:val="00153163"/>
    <w:rsid w:val="001557DE"/>
    <w:rsid w:val="00156B21"/>
    <w:rsid w:val="00157B28"/>
    <w:rsid w:val="001606EB"/>
    <w:rsid w:val="00160773"/>
    <w:rsid w:val="00162A00"/>
    <w:rsid w:val="00162A98"/>
    <w:rsid w:val="001643FF"/>
    <w:rsid w:val="00164773"/>
    <w:rsid w:val="0016516D"/>
    <w:rsid w:val="0016584D"/>
    <w:rsid w:val="00166F19"/>
    <w:rsid w:val="00167125"/>
    <w:rsid w:val="00167CC5"/>
    <w:rsid w:val="00171F48"/>
    <w:rsid w:val="00172A27"/>
    <w:rsid w:val="00173CB6"/>
    <w:rsid w:val="0017520D"/>
    <w:rsid w:val="001772FB"/>
    <w:rsid w:val="0017739C"/>
    <w:rsid w:val="00180954"/>
    <w:rsid w:val="00182534"/>
    <w:rsid w:val="0018268C"/>
    <w:rsid w:val="00182F27"/>
    <w:rsid w:val="0018385F"/>
    <w:rsid w:val="00183872"/>
    <w:rsid w:val="00184FF0"/>
    <w:rsid w:val="00187515"/>
    <w:rsid w:val="0019035C"/>
    <w:rsid w:val="00190CC2"/>
    <w:rsid w:val="0019194B"/>
    <w:rsid w:val="001926CF"/>
    <w:rsid w:val="00194109"/>
    <w:rsid w:val="00196864"/>
    <w:rsid w:val="001969CC"/>
    <w:rsid w:val="001A21CC"/>
    <w:rsid w:val="001A232A"/>
    <w:rsid w:val="001A277B"/>
    <w:rsid w:val="001A41FC"/>
    <w:rsid w:val="001A46AE"/>
    <w:rsid w:val="001A503D"/>
    <w:rsid w:val="001A55AB"/>
    <w:rsid w:val="001A5F70"/>
    <w:rsid w:val="001A734A"/>
    <w:rsid w:val="001A7D2E"/>
    <w:rsid w:val="001B0C10"/>
    <w:rsid w:val="001B1B7D"/>
    <w:rsid w:val="001B4160"/>
    <w:rsid w:val="001C0C1E"/>
    <w:rsid w:val="001C1F00"/>
    <w:rsid w:val="001C307D"/>
    <w:rsid w:val="001C3958"/>
    <w:rsid w:val="001C68C3"/>
    <w:rsid w:val="001D12D3"/>
    <w:rsid w:val="001D1A97"/>
    <w:rsid w:val="001D2170"/>
    <w:rsid w:val="001D2BD9"/>
    <w:rsid w:val="001D32F6"/>
    <w:rsid w:val="001D3E6A"/>
    <w:rsid w:val="001D4409"/>
    <w:rsid w:val="001D523D"/>
    <w:rsid w:val="001D5DBD"/>
    <w:rsid w:val="001D5FF6"/>
    <w:rsid w:val="001E22D3"/>
    <w:rsid w:val="001E2B0D"/>
    <w:rsid w:val="001E59C2"/>
    <w:rsid w:val="001E5AF1"/>
    <w:rsid w:val="001E77BF"/>
    <w:rsid w:val="001F19ED"/>
    <w:rsid w:val="001F3606"/>
    <w:rsid w:val="001F4699"/>
    <w:rsid w:val="001F5360"/>
    <w:rsid w:val="001F62F7"/>
    <w:rsid w:val="001F7058"/>
    <w:rsid w:val="001F706E"/>
    <w:rsid w:val="00200664"/>
    <w:rsid w:val="00202582"/>
    <w:rsid w:val="0020317B"/>
    <w:rsid w:val="00205665"/>
    <w:rsid w:val="0021005D"/>
    <w:rsid w:val="002105BD"/>
    <w:rsid w:val="00210E1F"/>
    <w:rsid w:val="0021501D"/>
    <w:rsid w:val="00215733"/>
    <w:rsid w:val="00215FFC"/>
    <w:rsid w:val="002207A4"/>
    <w:rsid w:val="00221AAA"/>
    <w:rsid w:val="00221EA9"/>
    <w:rsid w:val="002244AD"/>
    <w:rsid w:val="00224786"/>
    <w:rsid w:val="00224A94"/>
    <w:rsid w:val="00224D28"/>
    <w:rsid w:val="00226CA9"/>
    <w:rsid w:val="00227190"/>
    <w:rsid w:val="00227D69"/>
    <w:rsid w:val="00227EC6"/>
    <w:rsid w:val="0023081B"/>
    <w:rsid w:val="002319A5"/>
    <w:rsid w:val="002320F4"/>
    <w:rsid w:val="002345BF"/>
    <w:rsid w:val="00243C50"/>
    <w:rsid w:val="00244101"/>
    <w:rsid w:val="0024518F"/>
    <w:rsid w:val="002459EB"/>
    <w:rsid w:val="0024606A"/>
    <w:rsid w:val="00246545"/>
    <w:rsid w:val="002509AA"/>
    <w:rsid w:val="00251672"/>
    <w:rsid w:val="00251D3B"/>
    <w:rsid w:val="0025202C"/>
    <w:rsid w:val="002546C1"/>
    <w:rsid w:val="002552A1"/>
    <w:rsid w:val="00255583"/>
    <w:rsid w:val="00256B12"/>
    <w:rsid w:val="00257719"/>
    <w:rsid w:val="00260D04"/>
    <w:rsid w:val="002616C6"/>
    <w:rsid w:val="0026360C"/>
    <w:rsid w:val="00266637"/>
    <w:rsid w:val="00266B62"/>
    <w:rsid w:val="00267D14"/>
    <w:rsid w:val="0027065B"/>
    <w:rsid w:val="00271428"/>
    <w:rsid w:val="0027282B"/>
    <w:rsid w:val="00273389"/>
    <w:rsid w:val="00273685"/>
    <w:rsid w:val="0027373E"/>
    <w:rsid w:val="00273E86"/>
    <w:rsid w:val="00275DEF"/>
    <w:rsid w:val="002837A5"/>
    <w:rsid w:val="0028466C"/>
    <w:rsid w:val="00284BBC"/>
    <w:rsid w:val="00285772"/>
    <w:rsid w:val="0029022D"/>
    <w:rsid w:val="002903CF"/>
    <w:rsid w:val="00290B63"/>
    <w:rsid w:val="00290FC1"/>
    <w:rsid w:val="0029107B"/>
    <w:rsid w:val="00292103"/>
    <w:rsid w:val="00292EDE"/>
    <w:rsid w:val="00293288"/>
    <w:rsid w:val="00293784"/>
    <w:rsid w:val="00294A06"/>
    <w:rsid w:val="00294EAF"/>
    <w:rsid w:val="002970FD"/>
    <w:rsid w:val="00297299"/>
    <w:rsid w:val="002A0CC4"/>
    <w:rsid w:val="002A2ABB"/>
    <w:rsid w:val="002A4260"/>
    <w:rsid w:val="002A5299"/>
    <w:rsid w:val="002A6813"/>
    <w:rsid w:val="002B0639"/>
    <w:rsid w:val="002B1F34"/>
    <w:rsid w:val="002B2325"/>
    <w:rsid w:val="002B2A24"/>
    <w:rsid w:val="002B41D7"/>
    <w:rsid w:val="002B5134"/>
    <w:rsid w:val="002B54FE"/>
    <w:rsid w:val="002B5D81"/>
    <w:rsid w:val="002B6E75"/>
    <w:rsid w:val="002C04C2"/>
    <w:rsid w:val="002C1257"/>
    <w:rsid w:val="002C2DD7"/>
    <w:rsid w:val="002C4958"/>
    <w:rsid w:val="002C709E"/>
    <w:rsid w:val="002D037A"/>
    <w:rsid w:val="002D15CE"/>
    <w:rsid w:val="002D16A0"/>
    <w:rsid w:val="002D2DF6"/>
    <w:rsid w:val="002D2F5B"/>
    <w:rsid w:val="002D5EB1"/>
    <w:rsid w:val="002D5FEB"/>
    <w:rsid w:val="002D724C"/>
    <w:rsid w:val="002D7E2E"/>
    <w:rsid w:val="002E06DF"/>
    <w:rsid w:val="002E15CE"/>
    <w:rsid w:val="002E322A"/>
    <w:rsid w:val="002E3660"/>
    <w:rsid w:val="002E3A0A"/>
    <w:rsid w:val="002E3D69"/>
    <w:rsid w:val="002E53EB"/>
    <w:rsid w:val="002E554C"/>
    <w:rsid w:val="002E6CC9"/>
    <w:rsid w:val="002E6E17"/>
    <w:rsid w:val="002E765C"/>
    <w:rsid w:val="002F24B2"/>
    <w:rsid w:val="002F2AAF"/>
    <w:rsid w:val="002F4134"/>
    <w:rsid w:val="002F4B3A"/>
    <w:rsid w:val="002F56F4"/>
    <w:rsid w:val="002F578E"/>
    <w:rsid w:val="002F6F13"/>
    <w:rsid w:val="00300D33"/>
    <w:rsid w:val="00301A14"/>
    <w:rsid w:val="00302008"/>
    <w:rsid w:val="00302E05"/>
    <w:rsid w:val="003108F8"/>
    <w:rsid w:val="00310F4A"/>
    <w:rsid w:val="003119BC"/>
    <w:rsid w:val="00313294"/>
    <w:rsid w:val="00313404"/>
    <w:rsid w:val="00314833"/>
    <w:rsid w:val="00314BE4"/>
    <w:rsid w:val="003162D5"/>
    <w:rsid w:val="003170BE"/>
    <w:rsid w:val="003172F9"/>
    <w:rsid w:val="00317AC8"/>
    <w:rsid w:val="00320521"/>
    <w:rsid w:val="00320988"/>
    <w:rsid w:val="003218E1"/>
    <w:rsid w:val="00323026"/>
    <w:rsid w:val="00323047"/>
    <w:rsid w:val="00323B59"/>
    <w:rsid w:val="003257FB"/>
    <w:rsid w:val="00325DCF"/>
    <w:rsid w:val="003276F4"/>
    <w:rsid w:val="0032793E"/>
    <w:rsid w:val="003303C5"/>
    <w:rsid w:val="00330AF6"/>
    <w:rsid w:val="00333319"/>
    <w:rsid w:val="003334D7"/>
    <w:rsid w:val="00333615"/>
    <w:rsid w:val="003355A5"/>
    <w:rsid w:val="003355DC"/>
    <w:rsid w:val="0033697C"/>
    <w:rsid w:val="0034086E"/>
    <w:rsid w:val="00340912"/>
    <w:rsid w:val="00341614"/>
    <w:rsid w:val="00342842"/>
    <w:rsid w:val="0034389E"/>
    <w:rsid w:val="003442A5"/>
    <w:rsid w:val="00345041"/>
    <w:rsid w:val="00346D6A"/>
    <w:rsid w:val="00347276"/>
    <w:rsid w:val="00347CFC"/>
    <w:rsid w:val="00347F12"/>
    <w:rsid w:val="00347FE6"/>
    <w:rsid w:val="00350626"/>
    <w:rsid w:val="00354993"/>
    <w:rsid w:val="003557C9"/>
    <w:rsid w:val="00355F91"/>
    <w:rsid w:val="003567D8"/>
    <w:rsid w:val="00357203"/>
    <w:rsid w:val="00360C6D"/>
    <w:rsid w:val="00364B16"/>
    <w:rsid w:val="00365895"/>
    <w:rsid w:val="00367702"/>
    <w:rsid w:val="00367972"/>
    <w:rsid w:val="003728D3"/>
    <w:rsid w:val="0037510A"/>
    <w:rsid w:val="003757AE"/>
    <w:rsid w:val="003769E1"/>
    <w:rsid w:val="003775D2"/>
    <w:rsid w:val="00380531"/>
    <w:rsid w:val="0038064D"/>
    <w:rsid w:val="00382DED"/>
    <w:rsid w:val="00386630"/>
    <w:rsid w:val="003867EF"/>
    <w:rsid w:val="00386F08"/>
    <w:rsid w:val="00394A39"/>
    <w:rsid w:val="00396979"/>
    <w:rsid w:val="003A01E2"/>
    <w:rsid w:val="003A26A5"/>
    <w:rsid w:val="003A2906"/>
    <w:rsid w:val="003A6E76"/>
    <w:rsid w:val="003B1637"/>
    <w:rsid w:val="003B21A2"/>
    <w:rsid w:val="003B2C0B"/>
    <w:rsid w:val="003B3181"/>
    <w:rsid w:val="003B34B1"/>
    <w:rsid w:val="003B3651"/>
    <w:rsid w:val="003B3BF2"/>
    <w:rsid w:val="003B5FF0"/>
    <w:rsid w:val="003B6FD3"/>
    <w:rsid w:val="003C01E7"/>
    <w:rsid w:val="003C26F6"/>
    <w:rsid w:val="003C6D5D"/>
    <w:rsid w:val="003C74B6"/>
    <w:rsid w:val="003D0DD7"/>
    <w:rsid w:val="003D328A"/>
    <w:rsid w:val="003D3B5E"/>
    <w:rsid w:val="003E0FEC"/>
    <w:rsid w:val="003E2491"/>
    <w:rsid w:val="003E3816"/>
    <w:rsid w:val="003E47F2"/>
    <w:rsid w:val="003F0884"/>
    <w:rsid w:val="003F3069"/>
    <w:rsid w:val="003F3B61"/>
    <w:rsid w:val="003F6310"/>
    <w:rsid w:val="003F689F"/>
    <w:rsid w:val="003F743B"/>
    <w:rsid w:val="004004C3"/>
    <w:rsid w:val="00400C65"/>
    <w:rsid w:val="00403722"/>
    <w:rsid w:val="00403AAF"/>
    <w:rsid w:val="00403CB5"/>
    <w:rsid w:val="004044EF"/>
    <w:rsid w:val="00405466"/>
    <w:rsid w:val="0040609A"/>
    <w:rsid w:val="00407292"/>
    <w:rsid w:val="0041044A"/>
    <w:rsid w:val="0041093D"/>
    <w:rsid w:val="00412AFE"/>
    <w:rsid w:val="00414F6A"/>
    <w:rsid w:val="004151DC"/>
    <w:rsid w:val="0041680D"/>
    <w:rsid w:val="00416F24"/>
    <w:rsid w:val="0041759D"/>
    <w:rsid w:val="00417837"/>
    <w:rsid w:val="00417BA0"/>
    <w:rsid w:val="0042069F"/>
    <w:rsid w:val="00420D41"/>
    <w:rsid w:val="004220DF"/>
    <w:rsid w:val="00422E49"/>
    <w:rsid w:val="00423819"/>
    <w:rsid w:val="00423E75"/>
    <w:rsid w:val="00424805"/>
    <w:rsid w:val="00424C2D"/>
    <w:rsid w:val="00424CC1"/>
    <w:rsid w:val="0042707F"/>
    <w:rsid w:val="004300E6"/>
    <w:rsid w:val="00431FD3"/>
    <w:rsid w:val="0043334A"/>
    <w:rsid w:val="00435300"/>
    <w:rsid w:val="004357A4"/>
    <w:rsid w:val="00436B93"/>
    <w:rsid w:val="00436EBA"/>
    <w:rsid w:val="00437715"/>
    <w:rsid w:val="00440675"/>
    <w:rsid w:val="00440C79"/>
    <w:rsid w:val="004418DA"/>
    <w:rsid w:val="004430DF"/>
    <w:rsid w:val="00443417"/>
    <w:rsid w:val="004478D7"/>
    <w:rsid w:val="00451883"/>
    <w:rsid w:val="00452567"/>
    <w:rsid w:val="0045447E"/>
    <w:rsid w:val="00454C6E"/>
    <w:rsid w:val="00454C7E"/>
    <w:rsid w:val="00454FF7"/>
    <w:rsid w:val="004619F4"/>
    <w:rsid w:val="00461AC8"/>
    <w:rsid w:val="00463145"/>
    <w:rsid w:val="00463632"/>
    <w:rsid w:val="004643BA"/>
    <w:rsid w:val="004646E6"/>
    <w:rsid w:val="00464810"/>
    <w:rsid w:val="004674D6"/>
    <w:rsid w:val="00467ABB"/>
    <w:rsid w:val="00472523"/>
    <w:rsid w:val="00472977"/>
    <w:rsid w:val="00474EE8"/>
    <w:rsid w:val="00476076"/>
    <w:rsid w:val="004761D9"/>
    <w:rsid w:val="00477EAD"/>
    <w:rsid w:val="0048136D"/>
    <w:rsid w:val="00481541"/>
    <w:rsid w:val="00481D07"/>
    <w:rsid w:val="00482F56"/>
    <w:rsid w:val="00483998"/>
    <w:rsid w:val="004845EE"/>
    <w:rsid w:val="004845F8"/>
    <w:rsid w:val="00485F86"/>
    <w:rsid w:val="00487ADA"/>
    <w:rsid w:val="0049293B"/>
    <w:rsid w:val="00492D7F"/>
    <w:rsid w:val="00492F19"/>
    <w:rsid w:val="00494D58"/>
    <w:rsid w:val="00495A2F"/>
    <w:rsid w:val="00495E2F"/>
    <w:rsid w:val="00496262"/>
    <w:rsid w:val="004A0505"/>
    <w:rsid w:val="004A07DF"/>
    <w:rsid w:val="004A106E"/>
    <w:rsid w:val="004A1FCA"/>
    <w:rsid w:val="004A2CB3"/>
    <w:rsid w:val="004A31C3"/>
    <w:rsid w:val="004A3748"/>
    <w:rsid w:val="004A5F0E"/>
    <w:rsid w:val="004A70CB"/>
    <w:rsid w:val="004B0389"/>
    <w:rsid w:val="004B237E"/>
    <w:rsid w:val="004B2F69"/>
    <w:rsid w:val="004B2F6E"/>
    <w:rsid w:val="004B5DCB"/>
    <w:rsid w:val="004B6174"/>
    <w:rsid w:val="004B6E0B"/>
    <w:rsid w:val="004C164A"/>
    <w:rsid w:val="004C3504"/>
    <w:rsid w:val="004C3FB2"/>
    <w:rsid w:val="004C3FDB"/>
    <w:rsid w:val="004C4855"/>
    <w:rsid w:val="004D09C0"/>
    <w:rsid w:val="004D57CC"/>
    <w:rsid w:val="004D6658"/>
    <w:rsid w:val="004E380D"/>
    <w:rsid w:val="004E4859"/>
    <w:rsid w:val="004E6342"/>
    <w:rsid w:val="004E6621"/>
    <w:rsid w:val="004E7C8C"/>
    <w:rsid w:val="004F02C5"/>
    <w:rsid w:val="004F362E"/>
    <w:rsid w:val="004F3788"/>
    <w:rsid w:val="004F5A8C"/>
    <w:rsid w:val="004F5BBF"/>
    <w:rsid w:val="00500760"/>
    <w:rsid w:val="00502843"/>
    <w:rsid w:val="00502EE9"/>
    <w:rsid w:val="00503BB4"/>
    <w:rsid w:val="00504A10"/>
    <w:rsid w:val="005072F8"/>
    <w:rsid w:val="00507A04"/>
    <w:rsid w:val="005106B2"/>
    <w:rsid w:val="005123F1"/>
    <w:rsid w:val="00512BCE"/>
    <w:rsid w:val="0051322A"/>
    <w:rsid w:val="0051322B"/>
    <w:rsid w:val="005161D6"/>
    <w:rsid w:val="005172D6"/>
    <w:rsid w:val="00522D61"/>
    <w:rsid w:val="00524D97"/>
    <w:rsid w:val="00524E20"/>
    <w:rsid w:val="0052517B"/>
    <w:rsid w:val="005254DF"/>
    <w:rsid w:val="00525A1F"/>
    <w:rsid w:val="00526985"/>
    <w:rsid w:val="00527686"/>
    <w:rsid w:val="00530FFD"/>
    <w:rsid w:val="00531405"/>
    <w:rsid w:val="00531BF4"/>
    <w:rsid w:val="0053274B"/>
    <w:rsid w:val="005347F1"/>
    <w:rsid w:val="00535759"/>
    <w:rsid w:val="00535FD5"/>
    <w:rsid w:val="00537C21"/>
    <w:rsid w:val="00537D6D"/>
    <w:rsid w:val="00541D77"/>
    <w:rsid w:val="00542A9B"/>
    <w:rsid w:val="00545018"/>
    <w:rsid w:val="00545F5E"/>
    <w:rsid w:val="005466AE"/>
    <w:rsid w:val="00546F41"/>
    <w:rsid w:val="00552B60"/>
    <w:rsid w:val="00555D33"/>
    <w:rsid w:val="00556B35"/>
    <w:rsid w:val="0055753A"/>
    <w:rsid w:val="0056017C"/>
    <w:rsid w:val="00560234"/>
    <w:rsid w:val="0056088E"/>
    <w:rsid w:val="00561858"/>
    <w:rsid w:val="0056287B"/>
    <w:rsid w:val="0056383D"/>
    <w:rsid w:val="00563BB2"/>
    <w:rsid w:val="005660F8"/>
    <w:rsid w:val="00570E28"/>
    <w:rsid w:val="005720A7"/>
    <w:rsid w:val="005731A4"/>
    <w:rsid w:val="00576084"/>
    <w:rsid w:val="00580DA7"/>
    <w:rsid w:val="0058129A"/>
    <w:rsid w:val="00581E51"/>
    <w:rsid w:val="0058460E"/>
    <w:rsid w:val="00584C0C"/>
    <w:rsid w:val="005871B5"/>
    <w:rsid w:val="0058745B"/>
    <w:rsid w:val="00587A20"/>
    <w:rsid w:val="00587D40"/>
    <w:rsid w:val="00587E29"/>
    <w:rsid w:val="00593848"/>
    <w:rsid w:val="00595128"/>
    <w:rsid w:val="00595B38"/>
    <w:rsid w:val="00597898"/>
    <w:rsid w:val="005A0FBD"/>
    <w:rsid w:val="005A5D4A"/>
    <w:rsid w:val="005A64EA"/>
    <w:rsid w:val="005A763E"/>
    <w:rsid w:val="005B21EE"/>
    <w:rsid w:val="005B3FD0"/>
    <w:rsid w:val="005B43B7"/>
    <w:rsid w:val="005B51F8"/>
    <w:rsid w:val="005B585C"/>
    <w:rsid w:val="005B7942"/>
    <w:rsid w:val="005C06B3"/>
    <w:rsid w:val="005C0EFC"/>
    <w:rsid w:val="005C2409"/>
    <w:rsid w:val="005C468E"/>
    <w:rsid w:val="005C4F78"/>
    <w:rsid w:val="005C5A09"/>
    <w:rsid w:val="005C5D08"/>
    <w:rsid w:val="005C6CF5"/>
    <w:rsid w:val="005C6EA0"/>
    <w:rsid w:val="005C78BC"/>
    <w:rsid w:val="005D1863"/>
    <w:rsid w:val="005D3E2F"/>
    <w:rsid w:val="005D5E45"/>
    <w:rsid w:val="005D770F"/>
    <w:rsid w:val="005E0F15"/>
    <w:rsid w:val="005E1628"/>
    <w:rsid w:val="005E1899"/>
    <w:rsid w:val="005E1AFF"/>
    <w:rsid w:val="005E51D5"/>
    <w:rsid w:val="005E6844"/>
    <w:rsid w:val="005E7BCA"/>
    <w:rsid w:val="005F29C7"/>
    <w:rsid w:val="005F3080"/>
    <w:rsid w:val="005F37DC"/>
    <w:rsid w:val="005F3CEA"/>
    <w:rsid w:val="005F3F27"/>
    <w:rsid w:val="005F502B"/>
    <w:rsid w:val="005F537B"/>
    <w:rsid w:val="005F54F0"/>
    <w:rsid w:val="005F5F76"/>
    <w:rsid w:val="006002DA"/>
    <w:rsid w:val="00602ECD"/>
    <w:rsid w:val="0060332C"/>
    <w:rsid w:val="0060341F"/>
    <w:rsid w:val="0060431F"/>
    <w:rsid w:val="00604823"/>
    <w:rsid w:val="00607ABC"/>
    <w:rsid w:val="00612DB3"/>
    <w:rsid w:val="00613AAA"/>
    <w:rsid w:val="00620240"/>
    <w:rsid w:val="006210FE"/>
    <w:rsid w:val="00623FC1"/>
    <w:rsid w:val="006267B7"/>
    <w:rsid w:val="00627BF5"/>
    <w:rsid w:val="00630F83"/>
    <w:rsid w:val="00633316"/>
    <w:rsid w:val="00634390"/>
    <w:rsid w:val="00635537"/>
    <w:rsid w:val="00635876"/>
    <w:rsid w:val="00635E1E"/>
    <w:rsid w:val="0063658F"/>
    <w:rsid w:val="00637E6B"/>
    <w:rsid w:val="006400BA"/>
    <w:rsid w:val="006409D2"/>
    <w:rsid w:val="00640DBC"/>
    <w:rsid w:val="0064692F"/>
    <w:rsid w:val="00646C77"/>
    <w:rsid w:val="00646CA0"/>
    <w:rsid w:val="00647232"/>
    <w:rsid w:val="0064767C"/>
    <w:rsid w:val="00647812"/>
    <w:rsid w:val="00650C83"/>
    <w:rsid w:val="00651072"/>
    <w:rsid w:val="00651F14"/>
    <w:rsid w:val="00652E0C"/>
    <w:rsid w:val="00662711"/>
    <w:rsid w:val="00663411"/>
    <w:rsid w:val="00664DAC"/>
    <w:rsid w:val="0066733C"/>
    <w:rsid w:val="006677CF"/>
    <w:rsid w:val="00671B2A"/>
    <w:rsid w:val="00672AC7"/>
    <w:rsid w:val="006814C9"/>
    <w:rsid w:val="0068311B"/>
    <w:rsid w:val="0068343C"/>
    <w:rsid w:val="0068612E"/>
    <w:rsid w:val="0068755B"/>
    <w:rsid w:val="006902AA"/>
    <w:rsid w:val="006905DB"/>
    <w:rsid w:val="0069088F"/>
    <w:rsid w:val="00690BF3"/>
    <w:rsid w:val="00691622"/>
    <w:rsid w:val="00691675"/>
    <w:rsid w:val="0069313D"/>
    <w:rsid w:val="0069331B"/>
    <w:rsid w:val="00693888"/>
    <w:rsid w:val="006943F4"/>
    <w:rsid w:val="00694AEE"/>
    <w:rsid w:val="00696CBA"/>
    <w:rsid w:val="006979BC"/>
    <w:rsid w:val="006A084E"/>
    <w:rsid w:val="006A1ACD"/>
    <w:rsid w:val="006A5393"/>
    <w:rsid w:val="006A677A"/>
    <w:rsid w:val="006B14D4"/>
    <w:rsid w:val="006B190A"/>
    <w:rsid w:val="006B23F6"/>
    <w:rsid w:val="006B2AD6"/>
    <w:rsid w:val="006B2D89"/>
    <w:rsid w:val="006B2D90"/>
    <w:rsid w:val="006B748C"/>
    <w:rsid w:val="006C157B"/>
    <w:rsid w:val="006C1C07"/>
    <w:rsid w:val="006C32EB"/>
    <w:rsid w:val="006C52F9"/>
    <w:rsid w:val="006C7F88"/>
    <w:rsid w:val="006D11A6"/>
    <w:rsid w:val="006D19FD"/>
    <w:rsid w:val="006D28E4"/>
    <w:rsid w:val="006D30E7"/>
    <w:rsid w:val="006D3AFF"/>
    <w:rsid w:val="006D6D7E"/>
    <w:rsid w:val="006E036B"/>
    <w:rsid w:val="006E0FDD"/>
    <w:rsid w:val="006E2376"/>
    <w:rsid w:val="006E4613"/>
    <w:rsid w:val="006E5EE6"/>
    <w:rsid w:val="006E5FD9"/>
    <w:rsid w:val="006E6D63"/>
    <w:rsid w:val="006E6EFD"/>
    <w:rsid w:val="006F04D2"/>
    <w:rsid w:val="006F126D"/>
    <w:rsid w:val="006F12D6"/>
    <w:rsid w:val="006F35F1"/>
    <w:rsid w:val="006F52C5"/>
    <w:rsid w:val="00700271"/>
    <w:rsid w:val="00704793"/>
    <w:rsid w:val="007048B4"/>
    <w:rsid w:val="00705674"/>
    <w:rsid w:val="00705E8F"/>
    <w:rsid w:val="0070738C"/>
    <w:rsid w:val="00714A8C"/>
    <w:rsid w:val="00714E65"/>
    <w:rsid w:val="00717041"/>
    <w:rsid w:val="0072057F"/>
    <w:rsid w:val="00720939"/>
    <w:rsid w:val="007219AE"/>
    <w:rsid w:val="007238D0"/>
    <w:rsid w:val="00724171"/>
    <w:rsid w:val="00725DA1"/>
    <w:rsid w:val="007260C5"/>
    <w:rsid w:val="0072642B"/>
    <w:rsid w:val="007300F0"/>
    <w:rsid w:val="00730332"/>
    <w:rsid w:val="00730743"/>
    <w:rsid w:val="007313E6"/>
    <w:rsid w:val="00732037"/>
    <w:rsid w:val="007330BE"/>
    <w:rsid w:val="0073340D"/>
    <w:rsid w:val="0073493F"/>
    <w:rsid w:val="00736876"/>
    <w:rsid w:val="007377E7"/>
    <w:rsid w:val="00740CBB"/>
    <w:rsid w:val="00747711"/>
    <w:rsid w:val="00747908"/>
    <w:rsid w:val="007515B7"/>
    <w:rsid w:val="0075295D"/>
    <w:rsid w:val="00753905"/>
    <w:rsid w:val="007549C6"/>
    <w:rsid w:val="00754EA9"/>
    <w:rsid w:val="007576BF"/>
    <w:rsid w:val="00762B42"/>
    <w:rsid w:val="00763AF2"/>
    <w:rsid w:val="007649B8"/>
    <w:rsid w:val="00765382"/>
    <w:rsid w:val="007659F4"/>
    <w:rsid w:val="00765ABB"/>
    <w:rsid w:val="00767809"/>
    <w:rsid w:val="00772DAD"/>
    <w:rsid w:val="007736FA"/>
    <w:rsid w:val="007749CB"/>
    <w:rsid w:val="00774AA9"/>
    <w:rsid w:val="0077562B"/>
    <w:rsid w:val="0077732A"/>
    <w:rsid w:val="00780080"/>
    <w:rsid w:val="00781EA5"/>
    <w:rsid w:val="00783911"/>
    <w:rsid w:val="00783A30"/>
    <w:rsid w:val="00785DC3"/>
    <w:rsid w:val="007866DF"/>
    <w:rsid w:val="007931C4"/>
    <w:rsid w:val="00794F57"/>
    <w:rsid w:val="007967E8"/>
    <w:rsid w:val="007970DB"/>
    <w:rsid w:val="00797B88"/>
    <w:rsid w:val="00797E3C"/>
    <w:rsid w:val="007A12CA"/>
    <w:rsid w:val="007A2F8C"/>
    <w:rsid w:val="007A48E7"/>
    <w:rsid w:val="007A5392"/>
    <w:rsid w:val="007A6A97"/>
    <w:rsid w:val="007A7738"/>
    <w:rsid w:val="007B0274"/>
    <w:rsid w:val="007B13DB"/>
    <w:rsid w:val="007B2BA4"/>
    <w:rsid w:val="007B352C"/>
    <w:rsid w:val="007B5EDC"/>
    <w:rsid w:val="007B62DF"/>
    <w:rsid w:val="007C18D9"/>
    <w:rsid w:val="007C3479"/>
    <w:rsid w:val="007C56A6"/>
    <w:rsid w:val="007C57B9"/>
    <w:rsid w:val="007C7D52"/>
    <w:rsid w:val="007C7E60"/>
    <w:rsid w:val="007D0B9B"/>
    <w:rsid w:val="007D1A96"/>
    <w:rsid w:val="007D20F5"/>
    <w:rsid w:val="007D29EC"/>
    <w:rsid w:val="007D3A81"/>
    <w:rsid w:val="007D3C5C"/>
    <w:rsid w:val="007D4131"/>
    <w:rsid w:val="007D53FB"/>
    <w:rsid w:val="007D5843"/>
    <w:rsid w:val="007D7472"/>
    <w:rsid w:val="007E198C"/>
    <w:rsid w:val="007E2888"/>
    <w:rsid w:val="007E3009"/>
    <w:rsid w:val="007E37DC"/>
    <w:rsid w:val="007E55A4"/>
    <w:rsid w:val="007E65CD"/>
    <w:rsid w:val="007F132A"/>
    <w:rsid w:val="007F1FF6"/>
    <w:rsid w:val="007F23FE"/>
    <w:rsid w:val="007F27E5"/>
    <w:rsid w:val="007F2E43"/>
    <w:rsid w:val="007F3D4D"/>
    <w:rsid w:val="007F594C"/>
    <w:rsid w:val="0080081E"/>
    <w:rsid w:val="00804FEE"/>
    <w:rsid w:val="00805474"/>
    <w:rsid w:val="008056DE"/>
    <w:rsid w:val="00806AB6"/>
    <w:rsid w:val="0081028F"/>
    <w:rsid w:val="008102C5"/>
    <w:rsid w:val="00810CA3"/>
    <w:rsid w:val="00815338"/>
    <w:rsid w:val="00815812"/>
    <w:rsid w:val="00817BAF"/>
    <w:rsid w:val="00820A66"/>
    <w:rsid w:val="00821D74"/>
    <w:rsid w:val="00823142"/>
    <w:rsid w:val="00823A19"/>
    <w:rsid w:val="00824943"/>
    <w:rsid w:val="00827514"/>
    <w:rsid w:val="008311BF"/>
    <w:rsid w:val="00831783"/>
    <w:rsid w:val="00832F66"/>
    <w:rsid w:val="0083315A"/>
    <w:rsid w:val="00834DDC"/>
    <w:rsid w:val="008370A4"/>
    <w:rsid w:val="00837884"/>
    <w:rsid w:val="00840216"/>
    <w:rsid w:val="00840C71"/>
    <w:rsid w:val="0084242F"/>
    <w:rsid w:val="0084381C"/>
    <w:rsid w:val="00843AF7"/>
    <w:rsid w:val="00844A30"/>
    <w:rsid w:val="008455B2"/>
    <w:rsid w:val="00845CCA"/>
    <w:rsid w:val="008508C9"/>
    <w:rsid w:val="00851675"/>
    <w:rsid w:val="0085458F"/>
    <w:rsid w:val="00855579"/>
    <w:rsid w:val="00855675"/>
    <w:rsid w:val="00856B34"/>
    <w:rsid w:val="00860647"/>
    <w:rsid w:val="00860688"/>
    <w:rsid w:val="00861348"/>
    <w:rsid w:val="008618D7"/>
    <w:rsid w:val="008655B5"/>
    <w:rsid w:val="00865791"/>
    <w:rsid w:val="0086616E"/>
    <w:rsid w:val="00871EE1"/>
    <w:rsid w:val="008726BB"/>
    <w:rsid w:val="00872751"/>
    <w:rsid w:val="00872C97"/>
    <w:rsid w:val="00874BAD"/>
    <w:rsid w:val="00875DFD"/>
    <w:rsid w:val="00876B11"/>
    <w:rsid w:val="00877618"/>
    <w:rsid w:val="00877C98"/>
    <w:rsid w:val="00881DC5"/>
    <w:rsid w:val="00884960"/>
    <w:rsid w:val="0088561B"/>
    <w:rsid w:val="00885819"/>
    <w:rsid w:val="008862E8"/>
    <w:rsid w:val="008864F3"/>
    <w:rsid w:val="00886D50"/>
    <w:rsid w:val="0088775E"/>
    <w:rsid w:val="00887F3A"/>
    <w:rsid w:val="008900FF"/>
    <w:rsid w:val="0089081A"/>
    <w:rsid w:val="008925AF"/>
    <w:rsid w:val="00896A44"/>
    <w:rsid w:val="00896B5B"/>
    <w:rsid w:val="00897835"/>
    <w:rsid w:val="008A1602"/>
    <w:rsid w:val="008A1B70"/>
    <w:rsid w:val="008A2FCD"/>
    <w:rsid w:val="008A373D"/>
    <w:rsid w:val="008A4023"/>
    <w:rsid w:val="008A45AA"/>
    <w:rsid w:val="008A46A8"/>
    <w:rsid w:val="008A5135"/>
    <w:rsid w:val="008B0E62"/>
    <w:rsid w:val="008B56C5"/>
    <w:rsid w:val="008B5C92"/>
    <w:rsid w:val="008C1280"/>
    <w:rsid w:val="008C156D"/>
    <w:rsid w:val="008C1AE9"/>
    <w:rsid w:val="008C2234"/>
    <w:rsid w:val="008C344A"/>
    <w:rsid w:val="008C738C"/>
    <w:rsid w:val="008D0093"/>
    <w:rsid w:val="008D0665"/>
    <w:rsid w:val="008D2C90"/>
    <w:rsid w:val="008D3C1B"/>
    <w:rsid w:val="008D41D9"/>
    <w:rsid w:val="008D4669"/>
    <w:rsid w:val="008D4A9E"/>
    <w:rsid w:val="008D5068"/>
    <w:rsid w:val="008D56C0"/>
    <w:rsid w:val="008D57EF"/>
    <w:rsid w:val="008D5E4A"/>
    <w:rsid w:val="008D6EEE"/>
    <w:rsid w:val="008D7224"/>
    <w:rsid w:val="008E08EF"/>
    <w:rsid w:val="008E2F5A"/>
    <w:rsid w:val="008E4122"/>
    <w:rsid w:val="008E521A"/>
    <w:rsid w:val="008E58BE"/>
    <w:rsid w:val="008E5AC8"/>
    <w:rsid w:val="008E666D"/>
    <w:rsid w:val="008E7174"/>
    <w:rsid w:val="008F04D5"/>
    <w:rsid w:val="008F45C6"/>
    <w:rsid w:val="008F72D4"/>
    <w:rsid w:val="00900180"/>
    <w:rsid w:val="00902697"/>
    <w:rsid w:val="00903B4F"/>
    <w:rsid w:val="009048B2"/>
    <w:rsid w:val="00904985"/>
    <w:rsid w:val="00905887"/>
    <w:rsid w:val="009058C1"/>
    <w:rsid w:val="00907C65"/>
    <w:rsid w:val="00911288"/>
    <w:rsid w:val="00914D6A"/>
    <w:rsid w:val="0091594E"/>
    <w:rsid w:val="009167C9"/>
    <w:rsid w:val="00916F00"/>
    <w:rsid w:val="00920365"/>
    <w:rsid w:val="00920E69"/>
    <w:rsid w:val="00922534"/>
    <w:rsid w:val="009226A8"/>
    <w:rsid w:val="0092318D"/>
    <w:rsid w:val="009240E8"/>
    <w:rsid w:val="00925ACB"/>
    <w:rsid w:val="009260E1"/>
    <w:rsid w:val="00926DAC"/>
    <w:rsid w:val="0092762E"/>
    <w:rsid w:val="00930A6B"/>
    <w:rsid w:val="00931648"/>
    <w:rsid w:val="009322FC"/>
    <w:rsid w:val="00932E90"/>
    <w:rsid w:val="00933EE1"/>
    <w:rsid w:val="0093475D"/>
    <w:rsid w:val="0093570A"/>
    <w:rsid w:val="00935E3A"/>
    <w:rsid w:val="00936302"/>
    <w:rsid w:val="00941D37"/>
    <w:rsid w:val="00942943"/>
    <w:rsid w:val="00943ACE"/>
    <w:rsid w:val="00944D6F"/>
    <w:rsid w:val="00945C87"/>
    <w:rsid w:val="00946FC1"/>
    <w:rsid w:val="00950813"/>
    <w:rsid w:val="00953654"/>
    <w:rsid w:val="0095392D"/>
    <w:rsid w:val="00957C09"/>
    <w:rsid w:val="00960154"/>
    <w:rsid w:val="00960768"/>
    <w:rsid w:val="00961A7A"/>
    <w:rsid w:val="00964B4B"/>
    <w:rsid w:val="009666E2"/>
    <w:rsid w:val="0097247F"/>
    <w:rsid w:val="009748BC"/>
    <w:rsid w:val="0097565A"/>
    <w:rsid w:val="0098078B"/>
    <w:rsid w:val="00981358"/>
    <w:rsid w:val="00983DDB"/>
    <w:rsid w:val="0098753D"/>
    <w:rsid w:val="00990248"/>
    <w:rsid w:val="009911BD"/>
    <w:rsid w:val="00993BF8"/>
    <w:rsid w:val="009A33FF"/>
    <w:rsid w:val="009A38F8"/>
    <w:rsid w:val="009A472F"/>
    <w:rsid w:val="009A5371"/>
    <w:rsid w:val="009A6CD2"/>
    <w:rsid w:val="009B081B"/>
    <w:rsid w:val="009B10C5"/>
    <w:rsid w:val="009B240E"/>
    <w:rsid w:val="009B3FE8"/>
    <w:rsid w:val="009B436A"/>
    <w:rsid w:val="009C3619"/>
    <w:rsid w:val="009C4636"/>
    <w:rsid w:val="009C4D5F"/>
    <w:rsid w:val="009C58E7"/>
    <w:rsid w:val="009C6C9D"/>
    <w:rsid w:val="009C7708"/>
    <w:rsid w:val="009D23A6"/>
    <w:rsid w:val="009D391F"/>
    <w:rsid w:val="009D40E1"/>
    <w:rsid w:val="009D67F5"/>
    <w:rsid w:val="009D7673"/>
    <w:rsid w:val="009E34AC"/>
    <w:rsid w:val="009E4875"/>
    <w:rsid w:val="009E5981"/>
    <w:rsid w:val="009E7547"/>
    <w:rsid w:val="009E76E8"/>
    <w:rsid w:val="009F038A"/>
    <w:rsid w:val="009F0A7F"/>
    <w:rsid w:val="009F23A7"/>
    <w:rsid w:val="009F25B4"/>
    <w:rsid w:val="009F600D"/>
    <w:rsid w:val="009F608D"/>
    <w:rsid w:val="009F76C5"/>
    <w:rsid w:val="00A0042A"/>
    <w:rsid w:val="00A0187C"/>
    <w:rsid w:val="00A02053"/>
    <w:rsid w:val="00A031C7"/>
    <w:rsid w:val="00A04306"/>
    <w:rsid w:val="00A043B9"/>
    <w:rsid w:val="00A0446B"/>
    <w:rsid w:val="00A04B52"/>
    <w:rsid w:val="00A050C9"/>
    <w:rsid w:val="00A05785"/>
    <w:rsid w:val="00A07534"/>
    <w:rsid w:val="00A07763"/>
    <w:rsid w:val="00A07BF3"/>
    <w:rsid w:val="00A07C71"/>
    <w:rsid w:val="00A11631"/>
    <w:rsid w:val="00A13763"/>
    <w:rsid w:val="00A13D41"/>
    <w:rsid w:val="00A174CC"/>
    <w:rsid w:val="00A2029A"/>
    <w:rsid w:val="00A2052F"/>
    <w:rsid w:val="00A21D8F"/>
    <w:rsid w:val="00A238B9"/>
    <w:rsid w:val="00A23942"/>
    <w:rsid w:val="00A2482B"/>
    <w:rsid w:val="00A25AE9"/>
    <w:rsid w:val="00A25C70"/>
    <w:rsid w:val="00A30C7E"/>
    <w:rsid w:val="00A31A1F"/>
    <w:rsid w:val="00A31F85"/>
    <w:rsid w:val="00A32A07"/>
    <w:rsid w:val="00A333B5"/>
    <w:rsid w:val="00A3340E"/>
    <w:rsid w:val="00A36185"/>
    <w:rsid w:val="00A3790B"/>
    <w:rsid w:val="00A40E7D"/>
    <w:rsid w:val="00A415A5"/>
    <w:rsid w:val="00A417C5"/>
    <w:rsid w:val="00A418CA"/>
    <w:rsid w:val="00A429DB"/>
    <w:rsid w:val="00A437F0"/>
    <w:rsid w:val="00A45BD4"/>
    <w:rsid w:val="00A47EB1"/>
    <w:rsid w:val="00A5030F"/>
    <w:rsid w:val="00A510BF"/>
    <w:rsid w:val="00A5376A"/>
    <w:rsid w:val="00A5406A"/>
    <w:rsid w:val="00A542AA"/>
    <w:rsid w:val="00A54647"/>
    <w:rsid w:val="00A55C5D"/>
    <w:rsid w:val="00A62F94"/>
    <w:rsid w:val="00A638B9"/>
    <w:rsid w:val="00A654C3"/>
    <w:rsid w:val="00A65914"/>
    <w:rsid w:val="00A66CBC"/>
    <w:rsid w:val="00A70BEA"/>
    <w:rsid w:val="00A70CD3"/>
    <w:rsid w:val="00A73808"/>
    <w:rsid w:val="00A745A4"/>
    <w:rsid w:val="00A74ACE"/>
    <w:rsid w:val="00A778C0"/>
    <w:rsid w:val="00A813D4"/>
    <w:rsid w:val="00A836CF"/>
    <w:rsid w:val="00A83A54"/>
    <w:rsid w:val="00A86B52"/>
    <w:rsid w:val="00A87F96"/>
    <w:rsid w:val="00A90AC9"/>
    <w:rsid w:val="00A91335"/>
    <w:rsid w:val="00A9332D"/>
    <w:rsid w:val="00A961CA"/>
    <w:rsid w:val="00AA2864"/>
    <w:rsid w:val="00AA4100"/>
    <w:rsid w:val="00AA4F1D"/>
    <w:rsid w:val="00AA7182"/>
    <w:rsid w:val="00AA7B90"/>
    <w:rsid w:val="00AB05A0"/>
    <w:rsid w:val="00AB104E"/>
    <w:rsid w:val="00AB6195"/>
    <w:rsid w:val="00AB653C"/>
    <w:rsid w:val="00AC3884"/>
    <w:rsid w:val="00AC41E3"/>
    <w:rsid w:val="00AC4FD7"/>
    <w:rsid w:val="00AC5299"/>
    <w:rsid w:val="00AC73BB"/>
    <w:rsid w:val="00AC7A39"/>
    <w:rsid w:val="00AD0A75"/>
    <w:rsid w:val="00AD2241"/>
    <w:rsid w:val="00AD40BA"/>
    <w:rsid w:val="00AD47A7"/>
    <w:rsid w:val="00AD4863"/>
    <w:rsid w:val="00AE0D07"/>
    <w:rsid w:val="00AE2EB7"/>
    <w:rsid w:val="00AE34B3"/>
    <w:rsid w:val="00AF0271"/>
    <w:rsid w:val="00AF0510"/>
    <w:rsid w:val="00AF248A"/>
    <w:rsid w:val="00AF302A"/>
    <w:rsid w:val="00AF4A29"/>
    <w:rsid w:val="00B01D00"/>
    <w:rsid w:val="00B03E48"/>
    <w:rsid w:val="00B0508C"/>
    <w:rsid w:val="00B061A4"/>
    <w:rsid w:val="00B0628E"/>
    <w:rsid w:val="00B07D0E"/>
    <w:rsid w:val="00B11838"/>
    <w:rsid w:val="00B14067"/>
    <w:rsid w:val="00B157BE"/>
    <w:rsid w:val="00B16164"/>
    <w:rsid w:val="00B2127C"/>
    <w:rsid w:val="00B21474"/>
    <w:rsid w:val="00B22752"/>
    <w:rsid w:val="00B262A6"/>
    <w:rsid w:val="00B26622"/>
    <w:rsid w:val="00B26C31"/>
    <w:rsid w:val="00B308F3"/>
    <w:rsid w:val="00B30C1C"/>
    <w:rsid w:val="00B3340D"/>
    <w:rsid w:val="00B33E46"/>
    <w:rsid w:val="00B342EA"/>
    <w:rsid w:val="00B364FB"/>
    <w:rsid w:val="00B3715E"/>
    <w:rsid w:val="00B378FF"/>
    <w:rsid w:val="00B37BC1"/>
    <w:rsid w:val="00B41530"/>
    <w:rsid w:val="00B4357C"/>
    <w:rsid w:val="00B448EE"/>
    <w:rsid w:val="00B4799D"/>
    <w:rsid w:val="00B50AC2"/>
    <w:rsid w:val="00B5275B"/>
    <w:rsid w:val="00B533C8"/>
    <w:rsid w:val="00B54577"/>
    <w:rsid w:val="00B56AC8"/>
    <w:rsid w:val="00B56C2B"/>
    <w:rsid w:val="00B62329"/>
    <w:rsid w:val="00B64947"/>
    <w:rsid w:val="00B65C2F"/>
    <w:rsid w:val="00B66FDC"/>
    <w:rsid w:val="00B670EE"/>
    <w:rsid w:val="00B70ED5"/>
    <w:rsid w:val="00B71818"/>
    <w:rsid w:val="00B729D8"/>
    <w:rsid w:val="00B737F2"/>
    <w:rsid w:val="00B73823"/>
    <w:rsid w:val="00B73C74"/>
    <w:rsid w:val="00B73EDE"/>
    <w:rsid w:val="00B7450A"/>
    <w:rsid w:val="00B75F2B"/>
    <w:rsid w:val="00B76F6A"/>
    <w:rsid w:val="00B80127"/>
    <w:rsid w:val="00B80757"/>
    <w:rsid w:val="00B80A7E"/>
    <w:rsid w:val="00B8103D"/>
    <w:rsid w:val="00B81B7C"/>
    <w:rsid w:val="00B81F7C"/>
    <w:rsid w:val="00B8379E"/>
    <w:rsid w:val="00B83A19"/>
    <w:rsid w:val="00B83C5C"/>
    <w:rsid w:val="00B87052"/>
    <w:rsid w:val="00B9328A"/>
    <w:rsid w:val="00B936D0"/>
    <w:rsid w:val="00B94104"/>
    <w:rsid w:val="00B962CB"/>
    <w:rsid w:val="00B9750E"/>
    <w:rsid w:val="00BA1BB7"/>
    <w:rsid w:val="00BA3D4E"/>
    <w:rsid w:val="00BA681F"/>
    <w:rsid w:val="00BA7AD5"/>
    <w:rsid w:val="00BB0705"/>
    <w:rsid w:val="00BB27A6"/>
    <w:rsid w:val="00BB5E54"/>
    <w:rsid w:val="00BC0BB3"/>
    <w:rsid w:val="00BC1402"/>
    <w:rsid w:val="00BC186D"/>
    <w:rsid w:val="00BC3B7E"/>
    <w:rsid w:val="00BC3EB9"/>
    <w:rsid w:val="00BC4035"/>
    <w:rsid w:val="00BC4208"/>
    <w:rsid w:val="00BC490B"/>
    <w:rsid w:val="00BC524B"/>
    <w:rsid w:val="00BC7380"/>
    <w:rsid w:val="00BD11D9"/>
    <w:rsid w:val="00BD12E1"/>
    <w:rsid w:val="00BD1497"/>
    <w:rsid w:val="00BD25BE"/>
    <w:rsid w:val="00BD336A"/>
    <w:rsid w:val="00BD4CE3"/>
    <w:rsid w:val="00BD4F04"/>
    <w:rsid w:val="00BD5651"/>
    <w:rsid w:val="00BD675C"/>
    <w:rsid w:val="00BE10EA"/>
    <w:rsid w:val="00BE1435"/>
    <w:rsid w:val="00BE1F15"/>
    <w:rsid w:val="00BE2292"/>
    <w:rsid w:val="00BE274C"/>
    <w:rsid w:val="00BE3E91"/>
    <w:rsid w:val="00BE4D20"/>
    <w:rsid w:val="00BE5157"/>
    <w:rsid w:val="00BE52CD"/>
    <w:rsid w:val="00BE5904"/>
    <w:rsid w:val="00BF00DC"/>
    <w:rsid w:val="00BF1155"/>
    <w:rsid w:val="00BF1590"/>
    <w:rsid w:val="00BF32C6"/>
    <w:rsid w:val="00BF5A11"/>
    <w:rsid w:val="00BF7BB8"/>
    <w:rsid w:val="00BF7D65"/>
    <w:rsid w:val="00C00018"/>
    <w:rsid w:val="00C00466"/>
    <w:rsid w:val="00C007AD"/>
    <w:rsid w:val="00C019B0"/>
    <w:rsid w:val="00C036E8"/>
    <w:rsid w:val="00C062B2"/>
    <w:rsid w:val="00C0634A"/>
    <w:rsid w:val="00C078C3"/>
    <w:rsid w:val="00C07EA9"/>
    <w:rsid w:val="00C07FE1"/>
    <w:rsid w:val="00C10B9D"/>
    <w:rsid w:val="00C10BCC"/>
    <w:rsid w:val="00C11743"/>
    <w:rsid w:val="00C11EC3"/>
    <w:rsid w:val="00C12B19"/>
    <w:rsid w:val="00C14ADA"/>
    <w:rsid w:val="00C15690"/>
    <w:rsid w:val="00C175A0"/>
    <w:rsid w:val="00C179F1"/>
    <w:rsid w:val="00C208F2"/>
    <w:rsid w:val="00C20CE4"/>
    <w:rsid w:val="00C2245D"/>
    <w:rsid w:val="00C24773"/>
    <w:rsid w:val="00C26530"/>
    <w:rsid w:val="00C268A8"/>
    <w:rsid w:val="00C30BB4"/>
    <w:rsid w:val="00C31046"/>
    <w:rsid w:val="00C338FA"/>
    <w:rsid w:val="00C33B33"/>
    <w:rsid w:val="00C41233"/>
    <w:rsid w:val="00C41D7C"/>
    <w:rsid w:val="00C42C93"/>
    <w:rsid w:val="00C457FF"/>
    <w:rsid w:val="00C464CF"/>
    <w:rsid w:val="00C514E3"/>
    <w:rsid w:val="00C517ED"/>
    <w:rsid w:val="00C51E21"/>
    <w:rsid w:val="00C53D96"/>
    <w:rsid w:val="00C54A2E"/>
    <w:rsid w:val="00C56E81"/>
    <w:rsid w:val="00C57A3E"/>
    <w:rsid w:val="00C620FE"/>
    <w:rsid w:val="00C64286"/>
    <w:rsid w:val="00C6515B"/>
    <w:rsid w:val="00C6547D"/>
    <w:rsid w:val="00C66881"/>
    <w:rsid w:val="00C72F1D"/>
    <w:rsid w:val="00C7314B"/>
    <w:rsid w:val="00C7337D"/>
    <w:rsid w:val="00C73E1B"/>
    <w:rsid w:val="00C748AE"/>
    <w:rsid w:val="00C763D5"/>
    <w:rsid w:val="00C80DA1"/>
    <w:rsid w:val="00C813CD"/>
    <w:rsid w:val="00C82919"/>
    <w:rsid w:val="00C82F34"/>
    <w:rsid w:val="00C84A73"/>
    <w:rsid w:val="00C85396"/>
    <w:rsid w:val="00C85C7D"/>
    <w:rsid w:val="00C86556"/>
    <w:rsid w:val="00C9039F"/>
    <w:rsid w:val="00C90F53"/>
    <w:rsid w:val="00C91FAC"/>
    <w:rsid w:val="00C92FAF"/>
    <w:rsid w:val="00C9356F"/>
    <w:rsid w:val="00C9429B"/>
    <w:rsid w:val="00C957E5"/>
    <w:rsid w:val="00C957EE"/>
    <w:rsid w:val="00C95E7F"/>
    <w:rsid w:val="00C9746A"/>
    <w:rsid w:val="00CA2210"/>
    <w:rsid w:val="00CA29BD"/>
    <w:rsid w:val="00CA2EE4"/>
    <w:rsid w:val="00CA3154"/>
    <w:rsid w:val="00CA3DBF"/>
    <w:rsid w:val="00CA41A3"/>
    <w:rsid w:val="00CA5735"/>
    <w:rsid w:val="00CA59FF"/>
    <w:rsid w:val="00CA710F"/>
    <w:rsid w:val="00CB0315"/>
    <w:rsid w:val="00CB2D38"/>
    <w:rsid w:val="00CB6C88"/>
    <w:rsid w:val="00CB759E"/>
    <w:rsid w:val="00CC1427"/>
    <w:rsid w:val="00CC1E7E"/>
    <w:rsid w:val="00CC289D"/>
    <w:rsid w:val="00CC32F4"/>
    <w:rsid w:val="00CC3824"/>
    <w:rsid w:val="00CC6D81"/>
    <w:rsid w:val="00CD2E2D"/>
    <w:rsid w:val="00CD501D"/>
    <w:rsid w:val="00CE02F8"/>
    <w:rsid w:val="00CE0834"/>
    <w:rsid w:val="00CE08B8"/>
    <w:rsid w:val="00CE1806"/>
    <w:rsid w:val="00CE1D28"/>
    <w:rsid w:val="00CE4F2A"/>
    <w:rsid w:val="00CE56D8"/>
    <w:rsid w:val="00CE6D61"/>
    <w:rsid w:val="00CF1302"/>
    <w:rsid w:val="00CF160B"/>
    <w:rsid w:val="00CF1B84"/>
    <w:rsid w:val="00CF23CC"/>
    <w:rsid w:val="00CF3B60"/>
    <w:rsid w:val="00CF3D16"/>
    <w:rsid w:val="00CF4385"/>
    <w:rsid w:val="00CF5DEB"/>
    <w:rsid w:val="00CF6802"/>
    <w:rsid w:val="00CF6BD2"/>
    <w:rsid w:val="00CF7DD7"/>
    <w:rsid w:val="00D03E5E"/>
    <w:rsid w:val="00D03F17"/>
    <w:rsid w:val="00D047E1"/>
    <w:rsid w:val="00D049E6"/>
    <w:rsid w:val="00D055D0"/>
    <w:rsid w:val="00D064C4"/>
    <w:rsid w:val="00D10068"/>
    <w:rsid w:val="00D12CEA"/>
    <w:rsid w:val="00D12F27"/>
    <w:rsid w:val="00D15908"/>
    <w:rsid w:val="00D15D25"/>
    <w:rsid w:val="00D213DD"/>
    <w:rsid w:val="00D226F8"/>
    <w:rsid w:val="00D24004"/>
    <w:rsid w:val="00D26E96"/>
    <w:rsid w:val="00D31CDE"/>
    <w:rsid w:val="00D3434B"/>
    <w:rsid w:val="00D37551"/>
    <w:rsid w:val="00D424D1"/>
    <w:rsid w:val="00D430E2"/>
    <w:rsid w:val="00D45702"/>
    <w:rsid w:val="00D45BF7"/>
    <w:rsid w:val="00D45C14"/>
    <w:rsid w:val="00D50316"/>
    <w:rsid w:val="00D52836"/>
    <w:rsid w:val="00D5451C"/>
    <w:rsid w:val="00D5498E"/>
    <w:rsid w:val="00D55237"/>
    <w:rsid w:val="00D55602"/>
    <w:rsid w:val="00D55623"/>
    <w:rsid w:val="00D55B24"/>
    <w:rsid w:val="00D6083B"/>
    <w:rsid w:val="00D60DF2"/>
    <w:rsid w:val="00D63AEF"/>
    <w:rsid w:val="00D64E57"/>
    <w:rsid w:val="00D71B99"/>
    <w:rsid w:val="00D71E4D"/>
    <w:rsid w:val="00D722D1"/>
    <w:rsid w:val="00D72763"/>
    <w:rsid w:val="00D72DA8"/>
    <w:rsid w:val="00D757A5"/>
    <w:rsid w:val="00D768F7"/>
    <w:rsid w:val="00D76D75"/>
    <w:rsid w:val="00D800D1"/>
    <w:rsid w:val="00D80AC4"/>
    <w:rsid w:val="00D81BE1"/>
    <w:rsid w:val="00D82CF1"/>
    <w:rsid w:val="00D84BF6"/>
    <w:rsid w:val="00D91D45"/>
    <w:rsid w:val="00D9380C"/>
    <w:rsid w:val="00D9394A"/>
    <w:rsid w:val="00D93CAA"/>
    <w:rsid w:val="00D9681E"/>
    <w:rsid w:val="00D97040"/>
    <w:rsid w:val="00D97640"/>
    <w:rsid w:val="00DA1CCB"/>
    <w:rsid w:val="00DA29CF"/>
    <w:rsid w:val="00DA29FF"/>
    <w:rsid w:val="00DA3475"/>
    <w:rsid w:val="00DA4180"/>
    <w:rsid w:val="00DA535A"/>
    <w:rsid w:val="00DA5D55"/>
    <w:rsid w:val="00DA6DA3"/>
    <w:rsid w:val="00DB1462"/>
    <w:rsid w:val="00DB3D06"/>
    <w:rsid w:val="00DB3D92"/>
    <w:rsid w:val="00DB7E5B"/>
    <w:rsid w:val="00DC19BF"/>
    <w:rsid w:val="00DC1A0B"/>
    <w:rsid w:val="00DC362F"/>
    <w:rsid w:val="00DC39E3"/>
    <w:rsid w:val="00DC4E96"/>
    <w:rsid w:val="00DC6A19"/>
    <w:rsid w:val="00DC6EAB"/>
    <w:rsid w:val="00DD007C"/>
    <w:rsid w:val="00DD2814"/>
    <w:rsid w:val="00DD2E23"/>
    <w:rsid w:val="00DD3BF4"/>
    <w:rsid w:val="00DD71FC"/>
    <w:rsid w:val="00DE1E38"/>
    <w:rsid w:val="00DE2294"/>
    <w:rsid w:val="00DE38ED"/>
    <w:rsid w:val="00DE3D7B"/>
    <w:rsid w:val="00DE4B1D"/>
    <w:rsid w:val="00DE62F9"/>
    <w:rsid w:val="00DE7870"/>
    <w:rsid w:val="00DF0473"/>
    <w:rsid w:val="00DF1E16"/>
    <w:rsid w:val="00DF2605"/>
    <w:rsid w:val="00DF3B1D"/>
    <w:rsid w:val="00DF4C64"/>
    <w:rsid w:val="00DF5994"/>
    <w:rsid w:val="00DF62F3"/>
    <w:rsid w:val="00DF770B"/>
    <w:rsid w:val="00E006EF"/>
    <w:rsid w:val="00E00C74"/>
    <w:rsid w:val="00E00D07"/>
    <w:rsid w:val="00E014B1"/>
    <w:rsid w:val="00E01C0D"/>
    <w:rsid w:val="00E07B16"/>
    <w:rsid w:val="00E101CE"/>
    <w:rsid w:val="00E14686"/>
    <w:rsid w:val="00E14846"/>
    <w:rsid w:val="00E16265"/>
    <w:rsid w:val="00E23614"/>
    <w:rsid w:val="00E2371E"/>
    <w:rsid w:val="00E2488C"/>
    <w:rsid w:val="00E25022"/>
    <w:rsid w:val="00E25D8B"/>
    <w:rsid w:val="00E2681E"/>
    <w:rsid w:val="00E26DDF"/>
    <w:rsid w:val="00E276C1"/>
    <w:rsid w:val="00E279E1"/>
    <w:rsid w:val="00E27F1B"/>
    <w:rsid w:val="00E30CF6"/>
    <w:rsid w:val="00E311D7"/>
    <w:rsid w:val="00E329B3"/>
    <w:rsid w:val="00E41819"/>
    <w:rsid w:val="00E41A89"/>
    <w:rsid w:val="00E41F80"/>
    <w:rsid w:val="00E429B4"/>
    <w:rsid w:val="00E42A0E"/>
    <w:rsid w:val="00E42A28"/>
    <w:rsid w:val="00E42C0D"/>
    <w:rsid w:val="00E43603"/>
    <w:rsid w:val="00E43686"/>
    <w:rsid w:val="00E4422F"/>
    <w:rsid w:val="00E46A31"/>
    <w:rsid w:val="00E47A45"/>
    <w:rsid w:val="00E52914"/>
    <w:rsid w:val="00E52D03"/>
    <w:rsid w:val="00E536D2"/>
    <w:rsid w:val="00E53FE3"/>
    <w:rsid w:val="00E56F2D"/>
    <w:rsid w:val="00E57803"/>
    <w:rsid w:val="00E619C5"/>
    <w:rsid w:val="00E61C47"/>
    <w:rsid w:val="00E6417C"/>
    <w:rsid w:val="00E64B25"/>
    <w:rsid w:val="00E66501"/>
    <w:rsid w:val="00E67141"/>
    <w:rsid w:val="00E67665"/>
    <w:rsid w:val="00E67F6F"/>
    <w:rsid w:val="00E7035F"/>
    <w:rsid w:val="00E73A40"/>
    <w:rsid w:val="00E73C11"/>
    <w:rsid w:val="00E7456F"/>
    <w:rsid w:val="00E77C52"/>
    <w:rsid w:val="00E81326"/>
    <w:rsid w:val="00E8225F"/>
    <w:rsid w:val="00E82AF7"/>
    <w:rsid w:val="00E84FB1"/>
    <w:rsid w:val="00E8536C"/>
    <w:rsid w:val="00E869C7"/>
    <w:rsid w:val="00E878FC"/>
    <w:rsid w:val="00E90347"/>
    <w:rsid w:val="00E91219"/>
    <w:rsid w:val="00E9182A"/>
    <w:rsid w:val="00E92017"/>
    <w:rsid w:val="00E93353"/>
    <w:rsid w:val="00E9566D"/>
    <w:rsid w:val="00E96F5D"/>
    <w:rsid w:val="00E9737E"/>
    <w:rsid w:val="00EA465A"/>
    <w:rsid w:val="00EA4DC1"/>
    <w:rsid w:val="00EB117E"/>
    <w:rsid w:val="00EB18A8"/>
    <w:rsid w:val="00EB389A"/>
    <w:rsid w:val="00EB3B35"/>
    <w:rsid w:val="00EB3E24"/>
    <w:rsid w:val="00EB55D5"/>
    <w:rsid w:val="00EB57BD"/>
    <w:rsid w:val="00EB590E"/>
    <w:rsid w:val="00EB5C41"/>
    <w:rsid w:val="00EB66CE"/>
    <w:rsid w:val="00EC091A"/>
    <w:rsid w:val="00EC23B2"/>
    <w:rsid w:val="00EC2B35"/>
    <w:rsid w:val="00EC7754"/>
    <w:rsid w:val="00ED04B6"/>
    <w:rsid w:val="00ED0D6F"/>
    <w:rsid w:val="00ED164F"/>
    <w:rsid w:val="00ED3663"/>
    <w:rsid w:val="00ED52F0"/>
    <w:rsid w:val="00ED5A33"/>
    <w:rsid w:val="00ED6156"/>
    <w:rsid w:val="00EE00BD"/>
    <w:rsid w:val="00EE06BC"/>
    <w:rsid w:val="00EE1FC1"/>
    <w:rsid w:val="00EE357A"/>
    <w:rsid w:val="00EE4785"/>
    <w:rsid w:val="00EE4D22"/>
    <w:rsid w:val="00EE61FF"/>
    <w:rsid w:val="00EE6481"/>
    <w:rsid w:val="00EF0136"/>
    <w:rsid w:val="00EF042B"/>
    <w:rsid w:val="00EF0975"/>
    <w:rsid w:val="00EF0E28"/>
    <w:rsid w:val="00EF101D"/>
    <w:rsid w:val="00EF131A"/>
    <w:rsid w:val="00EF1BFA"/>
    <w:rsid w:val="00EF288D"/>
    <w:rsid w:val="00EF35F3"/>
    <w:rsid w:val="00EF3F47"/>
    <w:rsid w:val="00EF56BD"/>
    <w:rsid w:val="00F014F1"/>
    <w:rsid w:val="00F0413A"/>
    <w:rsid w:val="00F042CD"/>
    <w:rsid w:val="00F0754F"/>
    <w:rsid w:val="00F10AF0"/>
    <w:rsid w:val="00F111A9"/>
    <w:rsid w:val="00F1260C"/>
    <w:rsid w:val="00F13FAE"/>
    <w:rsid w:val="00F157E9"/>
    <w:rsid w:val="00F1597A"/>
    <w:rsid w:val="00F168D9"/>
    <w:rsid w:val="00F16B9C"/>
    <w:rsid w:val="00F21AE4"/>
    <w:rsid w:val="00F23138"/>
    <w:rsid w:val="00F2333A"/>
    <w:rsid w:val="00F23785"/>
    <w:rsid w:val="00F25F89"/>
    <w:rsid w:val="00F26169"/>
    <w:rsid w:val="00F273FF"/>
    <w:rsid w:val="00F30C4C"/>
    <w:rsid w:val="00F33481"/>
    <w:rsid w:val="00F42ED8"/>
    <w:rsid w:val="00F44372"/>
    <w:rsid w:val="00F46607"/>
    <w:rsid w:val="00F46B27"/>
    <w:rsid w:val="00F47FAF"/>
    <w:rsid w:val="00F534BA"/>
    <w:rsid w:val="00F534FF"/>
    <w:rsid w:val="00F5447E"/>
    <w:rsid w:val="00F57D89"/>
    <w:rsid w:val="00F64138"/>
    <w:rsid w:val="00F64400"/>
    <w:rsid w:val="00F6576D"/>
    <w:rsid w:val="00F663DA"/>
    <w:rsid w:val="00F669DE"/>
    <w:rsid w:val="00F70BEE"/>
    <w:rsid w:val="00F71F54"/>
    <w:rsid w:val="00F72CBB"/>
    <w:rsid w:val="00F7625C"/>
    <w:rsid w:val="00F80ECF"/>
    <w:rsid w:val="00F81460"/>
    <w:rsid w:val="00F8390B"/>
    <w:rsid w:val="00F84B6F"/>
    <w:rsid w:val="00F86816"/>
    <w:rsid w:val="00F86AF7"/>
    <w:rsid w:val="00F90074"/>
    <w:rsid w:val="00F90AAC"/>
    <w:rsid w:val="00F919B3"/>
    <w:rsid w:val="00F92A0B"/>
    <w:rsid w:val="00F9425A"/>
    <w:rsid w:val="00F96972"/>
    <w:rsid w:val="00FA14E2"/>
    <w:rsid w:val="00FA2337"/>
    <w:rsid w:val="00FA3C53"/>
    <w:rsid w:val="00FA4CAA"/>
    <w:rsid w:val="00FA7633"/>
    <w:rsid w:val="00FA7AC9"/>
    <w:rsid w:val="00FB0C57"/>
    <w:rsid w:val="00FB0F28"/>
    <w:rsid w:val="00FB127F"/>
    <w:rsid w:val="00FB254D"/>
    <w:rsid w:val="00FB2D6F"/>
    <w:rsid w:val="00FB31BD"/>
    <w:rsid w:val="00FB5C10"/>
    <w:rsid w:val="00FB7903"/>
    <w:rsid w:val="00FC02E0"/>
    <w:rsid w:val="00FC1F03"/>
    <w:rsid w:val="00FC2E1F"/>
    <w:rsid w:val="00FC3EA1"/>
    <w:rsid w:val="00FC7523"/>
    <w:rsid w:val="00FD08ED"/>
    <w:rsid w:val="00FD1BB2"/>
    <w:rsid w:val="00FD1BC8"/>
    <w:rsid w:val="00FD283F"/>
    <w:rsid w:val="00FD4119"/>
    <w:rsid w:val="00FD47B3"/>
    <w:rsid w:val="00FD7CEB"/>
    <w:rsid w:val="00FD7DB2"/>
    <w:rsid w:val="00FE04E2"/>
    <w:rsid w:val="00FE1FDF"/>
    <w:rsid w:val="00FE2A39"/>
    <w:rsid w:val="00FE46BD"/>
    <w:rsid w:val="00FE57E9"/>
    <w:rsid w:val="00FE7075"/>
    <w:rsid w:val="00FE7A89"/>
    <w:rsid w:val="00FF07D6"/>
    <w:rsid w:val="00FF0AA8"/>
    <w:rsid w:val="00FF17ED"/>
    <w:rsid w:val="00FF19CD"/>
    <w:rsid w:val="00FF2B0B"/>
    <w:rsid w:val="00FF362A"/>
    <w:rsid w:val="00FF40C9"/>
    <w:rsid w:val="00FF432A"/>
    <w:rsid w:val="00FF4D20"/>
    <w:rsid w:val="00FF5258"/>
    <w:rsid w:val="014339C1"/>
    <w:rsid w:val="017315CC"/>
    <w:rsid w:val="01F13311"/>
    <w:rsid w:val="02187EF4"/>
    <w:rsid w:val="022307FE"/>
    <w:rsid w:val="02395177"/>
    <w:rsid w:val="024C013D"/>
    <w:rsid w:val="02704989"/>
    <w:rsid w:val="028C0A14"/>
    <w:rsid w:val="02C60C1F"/>
    <w:rsid w:val="02D6157B"/>
    <w:rsid w:val="02E51F3D"/>
    <w:rsid w:val="03190CB5"/>
    <w:rsid w:val="031A3DA5"/>
    <w:rsid w:val="03725D80"/>
    <w:rsid w:val="03974DB6"/>
    <w:rsid w:val="03B80D40"/>
    <w:rsid w:val="03C34B0A"/>
    <w:rsid w:val="04305C73"/>
    <w:rsid w:val="04392DC2"/>
    <w:rsid w:val="04457E0C"/>
    <w:rsid w:val="04D07408"/>
    <w:rsid w:val="04D72BD5"/>
    <w:rsid w:val="0504412A"/>
    <w:rsid w:val="0563024B"/>
    <w:rsid w:val="0588224B"/>
    <w:rsid w:val="058D4F1B"/>
    <w:rsid w:val="05A9605A"/>
    <w:rsid w:val="06596A1C"/>
    <w:rsid w:val="06CF2376"/>
    <w:rsid w:val="06D160BE"/>
    <w:rsid w:val="079B6080"/>
    <w:rsid w:val="07A61891"/>
    <w:rsid w:val="07DB7D52"/>
    <w:rsid w:val="07F96315"/>
    <w:rsid w:val="080A143B"/>
    <w:rsid w:val="08295C38"/>
    <w:rsid w:val="08BC71C2"/>
    <w:rsid w:val="08E87515"/>
    <w:rsid w:val="08E90FA4"/>
    <w:rsid w:val="09916029"/>
    <w:rsid w:val="09B94A7D"/>
    <w:rsid w:val="0A076B6A"/>
    <w:rsid w:val="0A36437D"/>
    <w:rsid w:val="0A752C69"/>
    <w:rsid w:val="0ACA1747"/>
    <w:rsid w:val="0AF10D9E"/>
    <w:rsid w:val="0B9C3B89"/>
    <w:rsid w:val="0BC974E3"/>
    <w:rsid w:val="0BE348FA"/>
    <w:rsid w:val="0BE75BB6"/>
    <w:rsid w:val="0C0D34C1"/>
    <w:rsid w:val="0C222AFD"/>
    <w:rsid w:val="0C886AF3"/>
    <w:rsid w:val="0C9D1143"/>
    <w:rsid w:val="0C9E3776"/>
    <w:rsid w:val="0CF95FFF"/>
    <w:rsid w:val="0CFA4713"/>
    <w:rsid w:val="0D950EFC"/>
    <w:rsid w:val="0D9B231D"/>
    <w:rsid w:val="0DD979BE"/>
    <w:rsid w:val="0DDA75B6"/>
    <w:rsid w:val="0DE20377"/>
    <w:rsid w:val="0DE97416"/>
    <w:rsid w:val="0DEF0262"/>
    <w:rsid w:val="0E5D53E5"/>
    <w:rsid w:val="0E6A2D0C"/>
    <w:rsid w:val="0E863CF5"/>
    <w:rsid w:val="0EA93A37"/>
    <w:rsid w:val="0F2A7686"/>
    <w:rsid w:val="0F4A39B3"/>
    <w:rsid w:val="0F6C447E"/>
    <w:rsid w:val="0F6D7EA2"/>
    <w:rsid w:val="0F884ECD"/>
    <w:rsid w:val="0FFC785B"/>
    <w:rsid w:val="100A29AA"/>
    <w:rsid w:val="10160ED4"/>
    <w:rsid w:val="10C07F06"/>
    <w:rsid w:val="10C52623"/>
    <w:rsid w:val="10EE7D97"/>
    <w:rsid w:val="1107196F"/>
    <w:rsid w:val="110F0141"/>
    <w:rsid w:val="111A2C04"/>
    <w:rsid w:val="1145597B"/>
    <w:rsid w:val="116261AF"/>
    <w:rsid w:val="1168539B"/>
    <w:rsid w:val="11695F22"/>
    <w:rsid w:val="118934A9"/>
    <w:rsid w:val="119278EC"/>
    <w:rsid w:val="12AA589C"/>
    <w:rsid w:val="12E500C0"/>
    <w:rsid w:val="132754F7"/>
    <w:rsid w:val="132D63C0"/>
    <w:rsid w:val="13302745"/>
    <w:rsid w:val="1353164D"/>
    <w:rsid w:val="13571C99"/>
    <w:rsid w:val="135D186A"/>
    <w:rsid w:val="136A7081"/>
    <w:rsid w:val="13732EC1"/>
    <w:rsid w:val="139A61A9"/>
    <w:rsid w:val="13B02F1E"/>
    <w:rsid w:val="14630937"/>
    <w:rsid w:val="147C0107"/>
    <w:rsid w:val="14FD0F1B"/>
    <w:rsid w:val="15014119"/>
    <w:rsid w:val="15120261"/>
    <w:rsid w:val="1524390B"/>
    <w:rsid w:val="15B94DAD"/>
    <w:rsid w:val="161E20A9"/>
    <w:rsid w:val="166149F5"/>
    <w:rsid w:val="166B24EE"/>
    <w:rsid w:val="166B524A"/>
    <w:rsid w:val="16E62BAB"/>
    <w:rsid w:val="17801C23"/>
    <w:rsid w:val="178A7409"/>
    <w:rsid w:val="178F2D02"/>
    <w:rsid w:val="17BB62CE"/>
    <w:rsid w:val="17E55198"/>
    <w:rsid w:val="185C5F7A"/>
    <w:rsid w:val="188A009C"/>
    <w:rsid w:val="18B32521"/>
    <w:rsid w:val="18CA7B6F"/>
    <w:rsid w:val="18E4691E"/>
    <w:rsid w:val="19F10BBD"/>
    <w:rsid w:val="1A0D4FAE"/>
    <w:rsid w:val="1A13476E"/>
    <w:rsid w:val="1A250391"/>
    <w:rsid w:val="1A43009A"/>
    <w:rsid w:val="1AB8095B"/>
    <w:rsid w:val="1ABA7B1A"/>
    <w:rsid w:val="1AC12FB7"/>
    <w:rsid w:val="1AE7697F"/>
    <w:rsid w:val="1AFB5ADB"/>
    <w:rsid w:val="1B247F0E"/>
    <w:rsid w:val="1B315C81"/>
    <w:rsid w:val="1B512933"/>
    <w:rsid w:val="1B6439E3"/>
    <w:rsid w:val="1B83082F"/>
    <w:rsid w:val="1B911304"/>
    <w:rsid w:val="1C2754A0"/>
    <w:rsid w:val="1C4A5F2B"/>
    <w:rsid w:val="1CA93793"/>
    <w:rsid w:val="1CD040E9"/>
    <w:rsid w:val="1CF3101A"/>
    <w:rsid w:val="1D4000BA"/>
    <w:rsid w:val="1D41535F"/>
    <w:rsid w:val="1D540D5B"/>
    <w:rsid w:val="1D857479"/>
    <w:rsid w:val="1DAB3BA3"/>
    <w:rsid w:val="1DB10DE4"/>
    <w:rsid w:val="1DFC60EE"/>
    <w:rsid w:val="1E261E31"/>
    <w:rsid w:val="1E637364"/>
    <w:rsid w:val="1E7B6870"/>
    <w:rsid w:val="1E851C76"/>
    <w:rsid w:val="1F02503B"/>
    <w:rsid w:val="1F0A12BB"/>
    <w:rsid w:val="1F5844BB"/>
    <w:rsid w:val="1FF04FD9"/>
    <w:rsid w:val="200F27D4"/>
    <w:rsid w:val="202E113D"/>
    <w:rsid w:val="205F700B"/>
    <w:rsid w:val="20802857"/>
    <w:rsid w:val="208D4063"/>
    <w:rsid w:val="20945A25"/>
    <w:rsid w:val="20C50D2A"/>
    <w:rsid w:val="2154283E"/>
    <w:rsid w:val="215A0615"/>
    <w:rsid w:val="222E26D4"/>
    <w:rsid w:val="225C7921"/>
    <w:rsid w:val="22632792"/>
    <w:rsid w:val="2283407C"/>
    <w:rsid w:val="22960692"/>
    <w:rsid w:val="229624B3"/>
    <w:rsid w:val="229B0149"/>
    <w:rsid w:val="22D66D69"/>
    <w:rsid w:val="230F6A46"/>
    <w:rsid w:val="231A6657"/>
    <w:rsid w:val="233E502B"/>
    <w:rsid w:val="23A803DB"/>
    <w:rsid w:val="23CA48FF"/>
    <w:rsid w:val="23D74B92"/>
    <w:rsid w:val="23FE4AF7"/>
    <w:rsid w:val="24127DFC"/>
    <w:rsid w:val="241F255A"/>
    <w:rsid w:val="24402DFA"/>
    <w:rsid w:val="248E222A"/>
    <w:rsid w:val="24B32B63"/>
    <w:rsid w:val="24E5674D"/>
    <w:rsid w:val="255E7B89"/>
    <w:rsid w:val="258E09BF"/>
    <w:rsid w:val="25A87174"/>
    <w:rsid w:val="262919F1"/>
    <w:rsid w:val="262A7F56"/>
    <w:rsid w:val="263A25E8"/>
    <w:rsid w:val="26645699"/>
    <w:rsid w:val="268907C4"/>
    <w:rsid w:val="26957B48"/>
    <w:rsid w:val="26B83AE0"/>
    <w:rsid w:val="26BF41D5"/>
    <w:rsid w:val="26E33204"/>
    <w:rsid w:val="27213EB6"/>
    <w:rsid w:val="2754173A"/>
    <w:rsid w:val="275D71AD"/>
    <w:rsid w:val="276D59F3"/>
    <w:rsid w:val="28502411"/>
    <w:rsid w:val="2885140D"/>
    <w:rsid w:val="28A03002"/>
    <w:rsid w:val="28E15521"/>
    <w:rsid w:val="28E57DC9"/>
    <w:rsid w:val="28EB0281"/>
    <w:rsid w:val="298F1990"/>
    <w:rsid w:val="299B516E"/>
    <w:rsid w:val="29AB363A"/>
    <w:rsid w:val="2A121640"/>
    <w:rsid w:val="2A383867"/>
    <w:rsid w:val="2A392506"/>
    <w:rsid w:val="2A645B11"/>
    <w:rsid w:val="2A8239A4"/>
    <w:rsid w:val="2A88659C"/>
    <w:rsid w:val="2AED7117"/>
    <w:rsid w:val="2B4732D6"/>
    <w:rsid w:val="2B9F0BD4"/>
    <w:rsid w:val="2BD63DC1"/>
    <w:rsid w:val="2C0F05D8"/>
    <w:rsid w:val="2C3B4586"/>
    <w:rsid w:val="2CBF2F7F"/>
    <w:rsid w:val="2CE27B62"/>
    <w:rsid w:val="2CF047C1"/>
    <w:rsid w:val="2D1409D1"/>
    <w:rsid w:val="2D29241B"/>
    <w:rsid w:val="2D7674D2"/>
    <w:rsid w:val="2D930A3F"/>
    <w:rsid w:val="2D94783E"/>
    <w:rsid w:val="2DCF0BED"/>
    <w:rsid w:val="2E5F7DC3"/>
    <w:rsid w:val="2EBC5D30"/>
    <w:rsid w:val="2EBC6257"/>
    <w:rsid w:val="2ED05FAB"/>
    <w:rsid w:val="2F20782C"/>
    <w:rsid w:val="2F5514EF"/>
    <w:rsid w:val="2F573E59"/>
    <w:rsid w:val="30015786"/>
    <w:rsid w:val="3056648A"/>
    <w:rsid w:val="30694AE3"/>
    <w:rsid w:val="30727F41"/>
    <w:rsid w:val="309B5009"/>
    <w:rsid w:val="3117680B"/>
    <w:rsid w:val="31753334"/>
    <w:rsid w:val="31A316EF"/>
    <w:rsid w:val="31D0103A"/>
    <w:rsid w:val="322E5C7B"/>
    <w:rsid w:val="326826E8"/>
    <w:rsid w:val="326E295C"/>
    <w:rsid w:val="328A1BB9"/>
    <w:rsid w:val="32A2121D"/>
    <w:rsid w:val="32AF1BAA"/>
    <w:rsid w:val="32F6149E"/>
    <w:rsid w:val="331209BA"/>
    <w:rsid w:val="336A09F1"/>
    <w:rsid w:val="336B60DC"/>
    <w:rsid w:val="33812E1D"/>
    <w:rsid w:val="33973BB6"/>
    <w:rsid w:val="33A94844"/>
    <w:rsid w:val="33CD299D"/>
    <w:rsid w:val="34245AE8"/>
    <w:rsid w:val="34822383"/>
    <w:rsid w:val="34825E0A"/>
    <w:rsid w:val="34CC0D67"/>
    <w:rsid w:val="35202FFD"/>
    <w:rsid w:val="355438AF"/>
    <w:rsid w:val="355A3A65"/>
    <w:rsid w:val="35755354"/>
    <w:rsid w:val="35B21A0D"/>
    <w:rsid w:val="35BC2BF1"/>
    <w:rsid w:val="35D60896"/>
    <w:rsid w:val="36605AA5"/>
    <w:rsid w:val="36A740E0"/>
    <w:rsid w:val="36F53C5A"/>
    <w:rsid w:val="373E3A30"/>
    <w:rsid w:val="37A2478D"/>
    <w:rsid w:val="37C45541"/>
    <w:rsid w:val="37CF3802"/>
    <w:rsid w:val="37E91678"/>
    <w:rsid w:val="3836588A"/>
    <w:rsid w:val="384C1F87"/>
    <w:rsid w:val="389763F2"/>
    <w:rsid w:val="38A45AF2"/>
    <w:rsid w:val="38AC0505"/>
    <w:rsid w:val="38B563F0"/>
    <w:rsid w:val="39036FE6"/>
    <w:rsid w:val="398409B3"/>
    <w:rsid w:val="399527CB"/>
    <w:rsid w:val="39D67650"/>
    <w:rsid w:val="3A1B40E5"/>
    <w:rsid w:val="3A352628"/>
    <w:rsid w:val="3A391FF6"/>
    <w:rsid w:val="3A491D8D"/>
    <w:rsid w:val="3A5367C1"/>
    <w:rsid w:val="3B2F2FAA"/>
    <w:rsid w:val="3B67656D"/>
    <w:rsid w:val="3BCA6C8D"/>
    <w:rsid w:val="3BDB5E50"/>
    <w:rsid w:val="3BF6487A"/>
    <w:rsid w:val="3C695A96"/>
    <w:rsid w:val="3C7A0B47"/>
    <w:rsid w:val="3CBD60C1"/>
    <w:rsid w:val="3D624BCA"/>
    <w:rsid w:val="3E195272"/>
    <w:rsid w:val="3E226615"/>
    <w:rsid w:val="3E6C0167"/>
    <w:rsid w:val="3E8D1718"/>
    <w:rsid w:val="3ED346E6"/>
    <w:rsid w:val="3EE41961"/>
    <w:rsid w:val="3EEA7378"/>
    <w:rsid w:val="403E3004"/>
    <w:rsid w:val="405E19B0"/>
    <w:rsid w:val="40755022"/>
    <w:rsid w:val="407B5F4A"/>
    <w:rsid w:val="40A05BFE"/>
    <w:rsid w:val="40A5483A"/>
    <w:rsid w:val="40B22F81"/>
    <w:rsid w:val="40D55A20"/>
    <w:rsid w:val="40F56D03"/>
    <w:rsid w:val="410F05BF"/>
    <w:rsid w:val="412B7A23"/>
    <w:rsid w:val="413B6392"/>
    <w:rsid w:val="413F0CCF"/>
    <w:rsid w:val="415B3215"/>
    <w:rsid w:val="418F29DF"/>
    <w:rsid w:val="42D552A6"/>
    <w:rsid w:val="42D73395"/>
    <w:rsid w:val="42E171C0"/>
    <w:rsid w:val="42FD3E9A"/>
    <w:rsid w:val="43346318"/>
    <w:rsid w:val="435A2A08"/>
    <w:rsid w:val="435F14C6"/>
    <w:rsid w:val="438460A9"/>
    <w:rsid w:val="43961E48"/>
    <w:rsid w:val="43DB14E8"/>
    <w:rsid w:val="43E729F6"/>
    <w:rsid w:val="442C129B"/>
    <w:rsid w:val="448E580E"/>
    <w:rsid w:val="44E81367"/>
    <w:rsid w:val="44F24F0F"/>
    <w:rsid w:val="45032718"/>
    <w:rsid w:val="451231DA"/>
    <w:rsid w:val="45233831"/>
    <w:rsid w:val="45574B9C"/>
    <w:rsid w:val="45837C34"/>
    <w:rsid w:val="459E0E5A"/>
    <w:rsid w:val="45FA0DDD"/>
    <w:rsid w:val="46085E3B"/>
    <w:rsid w:val="46411B45"/>
    <w:rsid w:val="468B1B41"/>
    <w:rsid w:val="469156EC"/>
    <w:rsid w:val="46BA3C84"/>
    <w:rsid w:val="46CE0C3B"/>
    <w:rsid w:val="471831BB"/>
    <w:rsid w:val="471A0214"/>
    <w:rsid w:val="473F324E"/>
    <w:rsid w:val="47910638"/>
    <w:rsid w:val="47D616B7"/>
    <w:rsid w:val="48032C26"/>
    <w:rsid w:val="48063AE0"/>
    <w:rsid w:val="4844055C"/>
    <w:rsid w:val="48782417"/>
    <w:rsid w:val="48975CB4"/>
    <w:rsid w:val="489A0CA5"/>
    <w:rsid w:val="495640A7"/>
    <w:rsid w:val="49B412A0"/>
    <w:rsid w:val="4A6E5168"/>
    <w:rsid w:val="4AB02606"/>
    <w:rsid w:val="4ABB683A"/>
    <w:rsid w:val="4AD30D16"/>
    <w:rsid w:val="4BA17066"/>
    <w:rsid w:val="4BA67E62"/>
    <w:rsid w:val="4BF31A8D"/>
    <w:rsid w:val="4BFC4DAF"/>
    <w:rsid w:val="4C074F6B"/>
    <w:rsid w:val="4C1918B2"/>
    <w:rsid w:val="4C2450CE"/>
    <w:rsid w:val="4C4C39FC"/>
    <w:rsid w:val="4C511575"/>
    <w:rsid w:val="4C5916EF"/>
    <w:rsid w:val="4CA53CDF"/>
    <w:rsid w:val="4CAC5BE3"/>
    <w:rsid w:val="4CF71B60"/>
    <w:rsid w:val="4D1107AE"/>
    <w:rsid w:val="4D2D0DE8"/>
    <w:rsid w:val="4D9468C6"/>
    <w:rsid w:val="4D961972"/>
    <w:rsid w:val="4DDB146D"/>
    <w:rsid w:val="4DFC2B29"/>
    <w:rsid w:val="4E516DA2"/>
    <w:rsid w:val="4E7D37DA"/>
    <w:rsid w:val="4E8C3B99"/>
    <w:rsid w:val="4EAE70DA"/>
    <w:rsid w:val="4EC224D2"/>
    <w:rsid w:val="4EDB363D"/>
    <w:rsid w:val="4F05063D"/>
    <w:rsid w:val="4F2342CC"/>
    <w:rsid w:val="4F5D39B4"/>
    <w:rsid w:val="4F671777"/>
    <w:rsid w:val="4F895E47"/>
    <w:rsid w:val="4FBE615F"/>
    <w:rsid w:val="4FC00CFF"/>
    <w:rsid w:val="503C4746"/>
    <w:rsid w:val="5048235E"/>
    <w:rsid w:val="506C131F"/>
    <w:rsid w:val="50D01201"/>
    <w:rsid w:val="51BC31D3"/>
    <w:rsid w:val="52330D9D"/>
    <w:rsid w:val="527C0BA4"/>
    <w:rsid w:val="52AA7BFB"/>
    <w:rsid w:val="52E40744"/>
    <w:rsid w:val="52FB11C7"/>
    <w:rsid w:val="52FB1F4A"/>
    <w:rsid w:val="5309565C"/>
    <w:rsid w:val="535370E3"/>
    <w:rsid w:val="53834B0B"/>
    <w:rsid w:val="538A6781"/>
    <w:rsid w:val="538B3799"/>
    <w:rsid w:val="538F59F6"/>
    <w:rsid w:val="53A06203"/>
    <w:rsid w:val="53CE3825"/>
    <w:rsid w:val="5428208C"/>
    <w:rsid w:val="548B2CF9"/>
    <w:rsid w:val="54A072D7"/>
    <w:rsid w:val="54B26758"/>
    <w:rsid w:val="54C923EB"/>
    <w:rsid w:val="54CD5A09"/>
    <w:rsid w:val="54DC689C"/>
    <w:rsid w:val="54EA5F5C"/>
    <w:rsid w:val="551900FB"/>
    <w:rsid w:val="551F0FA9"/>
    <w:rsid w:val="55290B32"/>
    <w:rsid w:val="5534053D"/>
    <w:rsid w:val="55574975"/>
    <w:rsid w:val="55BD17E5"/>
    <w:rsid w:val="55CA472D"/>
    <w:rsid w:val="55E516F4"/>
    <w:rsid w:val="560D522B"/>
    <w:rsid w:val="561F1016"/>
    <w:rsid w:val="56682F3C"/>
    <w:rsid w:val="56787ABD"/>
    <w:rsid w:val="56821E53"/>
    <w:rsid w:val="56FB453E"/>
    <w:rsid w:val="57147D3A"/>
    <w:rsid w:val="5770507E"/>
    <w:rsid w:val="57AB6BF3"/>
    <w:rsid w:val="57E14642"/>
    <w:rsid w:val="57E7682E"/>
    <w:rsid w:val="580E5C6E"/>
    <w:rsid w:val="583E7A11"/>
    <w:rsid w:val="58EE7061"/>
    <w:rsid w:val="58F03186"/>
    <w:rsid w:val="591F3838"/>
    <w:rsid w:val="59462B78"/>
    <w:rsid w:val="59BB69A7"/>
    <w:rsid w:val="59CD777B"/>
    <w:rsid w:val="5A2820F6"/>
    <w:rsid w:val="5A321F84"/>
    <w:rsid w:val="5A6D5D4D"/>
    <w:rsid w:val="5A71251C"/>
    <w:rsid w:val="5AAF75D5"/>
    <w:rsid w:val="5AD873B4"/>
    <w:rsid w:val="5ADE2263"/>
    <w:rsid w:val="5AF21AB0"/>
    <w:rsid w:val="5B787DA0"/>
    <w:rsid w:val="5C040F0A"/>
    <w:rsid w:val="5C174FB4"/>
    <w:rsid w:val="5C20211F"/>
    <w:rsid w:val="5C5F7298"/>
    <w:rsid w:val="5CA23214"/>
    <w:rsid w:val="5D1F134D"/>
    <w:rsid w:val="5D591353"/>
    <w:rsid w:val="5DE57A74"/>
    <w:rsid w:val="5DF431B6"/>
    <w:rsid w:val="5DF74FF9"/>
    <w:rsid w:val="5E1C09A0"/>
    <w:rsid w:val="5E2A2FFD"/>
    <w:rsid w:val="5E380647"/>
    <w:rsid w:val="5E565A8E"/>
    <w:rsid w:val="5EAB74FD"/>
    <w:rsid w:val="5EC24076"/>
    <w:rsid w:val="5F0C4F0D"/>
    <w:rsid w:val="5F37420A"/>
    <w:rsid w:val="5F580586"/>
    <w:rsid w:val="5FCA0A64"/>
    <w:rsid w:val="5FD2308C"/>
    <w:rsid w:val="602038C2"/>
    <w:rsid w:val="602706DE"/>
    <w:rsid w:val="606B393C"/>
    <w:rsid w:val="60B52CB9"/>
    <w:rsid w:val="60B64E97"/>
    <w:rsid w:val="60D65119"/>
    <w:rsid w:val="60DF2039"/>
    <w:rsid w:val="60F242D0"/>
    <w:rsid w:val="61064C4D"/>
    <w:rsid w:val="61450361"/>
    <w:rsid w:val="61CA7231"/>
    <w:rsid w:val="61F40A0D"/>
    <w:rsid w:val="62730765"/>
    <w:rsid w:val="62937311"/>
    <w:rsid w:val="62B74C3D"/>
    <w:rsid w:val="633F4100"/>
    <w:rsid w:val="634E75C1"/>
    <w:rsid w:val="636B7867"/>
    <w:rsid w:val="63774302"/>
    <w:rsid w:val="63C41F34"/>
    <w:rsid w:val="64845AF9"/>
    <w:rsid w:val="649D3495"/>
    <w:rsid w:val="64BE540C"/>
    <w:rsid w:val="64FA176C"/>
    <w:rsid w:val="652127F0"/>
    <w:rsid w:val="656352A3"/>
    <w:rsid w:val="657947A9"/>
    <w:rsid w:val="65865E72"/>
    <w:rsid w:val="65BB00E4"/>
    <w:rsid w:val="65BF3C7A"/>
    <w:rsid w:val="65DE5AFC"/>
    <w:rsid w:val="65E2744B"/>
    <w:rsid w:val="65E840EB"/>
    <w:rsid w:val="65F77D75"/>
    <w:rsid w:val="661718B3"/>
    <w:rsid w:val="6621555C"/>
    <w:rsid w:val="663F2F93"/>
    <w:rsid w:val="66753972"/>
    <w:rsid w:val="668400D0"/>
    <w:rsid w:val="66DD7D7D"/>
    <w:rsid w:val="67344EAA"/>
    <w:rsid w:val="675A57BE"/>
    <w:rsid w:val="67752156"/>
    <w:rsid w:val="67A56013"/>
    <w:rsid w:val="6816291D"/>
    <w:rsid w:val="684332C2"/>
    <w:rsid w:val="6851105D"/>
    <w:rsid w:val="687D443F"/>
    <w:rsid w:val="68C6609A"/>
    <w:rsid w:val="68F6059A"/>
    <w:rsid w:val="697C48D8"/>
    <w:rsid w:val="69D84407"/>
    <w:rsid w:val="69DA720D"/>
    <w:rsid w:val="69DB04C6"/>
    <w:rsid w:val="6A0764A2"/>
    <w:rsid w:val="6B0D76FC"/>
    <w:rsid w:val="6B272D21"/>
    <w:rsid w:val="6B3160F5"/>
    <w:rsid w:val="6B4858A4"/>
    <w:rsid w:val="6B7E7AC2"/>
    <w:rsid w:val="6B81553B"/>
    <w:rsid w:val="6BC32D5C"/>
    <w:rsid w:val="6C4758C8"/>
    <w:rsid w:val="6C592177"/>
    <w:rsid w:val="6C613F7C"/>
    <w:rsid w:val="6C8F780C"/>
    <w:rsid w:val="6CAB2D6E"/>
    <w:rsid w:val="6D051A7F"/>
    <w:rsid w:val="6D20018F"/>
    <w:rsid w:val="6D6569C5"/>
    <w:rsid w:val="6D787FE4"/>
    <w:rsid w:val="6D7F61ED"/>
    <w:rsid w:val="6D8A146F"/>
    <w:rsid w:val="6D9068FF"/>
    <w:rsid w:val="6DB7752D"/>
    <w:rsid w:val="6E00355C"/>
    <w:rsid w:val="6E33339F"/>
    <w:rsid w:val="6E335B03"/>
    <w:rsid w:val="6E3C7037"/>
    <w:rsid w:val="6E483795"/>
    <w:rsid w:val="6EB943B9"/>
    <w:rsid w:val="6ECF6C3C"/>
    <w:rsid w:val="6EDC1243"/>
    <w:rsid w:val="6F63004A"/>
    <w:rsid w:val="6F703650"/>
    <w:rsid w:val="6F7B05B5"/>
    <w:rsid w:val="6F946416"/>
    <w:rsid w:val="70037E73"/>
    <w:rsid w:val="701379DF"/>
    <w:rsid w:val="70495A89"/>
    <w:rsid w:val="711C2C4A"/>
    <w:rsid w:val="7123716E"/>
    <w:rsid w:val="71535FAA"/>
    <w:rsid w:val="71810C1C"/>
    <w:rsid w:val="71A3549D"/>
    <w:rsid w:val="71CC0DED"/>
    <w:rsid w:val="71D234AC"/>
    <w:rsid w:val="71E955B4"/>
    <w:rsid w:val="71F96A8E"/>
    <w:rsid w:val="72095241"/>
    <w:rsid w:val="72125C4B"/>
    <w:rsid w:val="7290324C"/>
    <w:rsid w:val="72AD6F19"/>
    <w:rsid w:val="72C2216B"/>
    <w:rsid w:val="72E86611"/>
    <w:rsid w:val="72F80F70"/>
    <w:rsid w:val="730C01F8"/>
    <w:rsid w:val="73C26E32"/>
    <w:rsid w:val="73F144B5"/>
    <w:rsid w:val="73F8285E"/>
    <w:rsid w:val="74214655"/>
    <w:rsid w:val="743A3198"/>
    <w:rsid w:val="745F2D57"/>
    <w:rsid w:val="74652E24"/>
    <w:rsid w:val="74B310ED"/>
    <w:rsid w:val="74C93CA0"/>
    <w:rsid w:val="74CE3FC2"/>
    <w:rsid w:val="74DB5BDA"/>
    <w:rsid w:val="7654689B"/>
    <w:rsid w:val="76652C18"/>
    <w:rsid w:val="76673061"/>
    <w:rsid w:val="7689095A"/>
    <w:rsid w:val="76A5235B"/>
    <w:rsid w:val="76CC30E1"/>
    <w:rsid w:val="76E6668C"/>
    <w:rsid w:val="77846A44"/>
    <w:rsid w:val="778746C5"/>
    <w:rsid w:val="778F5012"/>
    <w:rsid w:val="779277E4"/>
    <w:rsid w:val="779B4B59"/>
    <w:rsid w:val="7862484C"/>
    <w:rsid w:val="78730A5B"/>
    <w:rsid w:val="78CE1477"/>
    <w:rsid w:val="791E2C1C"/>
    <w:rsid w:val="79886171"/>
    <w:rsid w:val="799060DD"/>
    <w:rsid w:val="79BD6AB7"/>
    <w:rsid w:val="7A2E2468"/>
    <w:rsid w:val="7A417C22"/>
    <w:rsid w:val="7A5F26B7"/>
    <w:rsid w:val="7A7D4A60"/>
    <w:rsid w:val="7A7E041C"/>
    <w:rsid w:val="7A957DEC"/>
    <w:rsid w:val="7AA01DF1"/>
    <w:rsid w:val="7AA30154"/>
    <w:rsid w:val="7AF573E9"/>
    <w:rsid w:val="7B702CEE"/>
    <w:rsid w:val="7B7345EE"/>
    <w:rsid w:val="7B9B37C0"/>
    <w:rsid w:val="7BF039FD"/>
    <w:rsid w:val="7BF36C6C"/>
    <w:rsid w:val="7BFE39DD"/>
    <w:rsid w:val="7C472C02"/>
    <w:rsid w:val="7C4859C3"/>
    <w:rsid w:val="7C821392"/>
    <w:rsid w:val="7C88775D"/>
    <w:rsid w:val="7CB768E2"/>
    <w:rsid w:val="7CC31B41"/>
    <w:rsid w:val="7D0B09CB"/>
    <w:rsid w:val="7D3155D9"/>
    <w:rsid w:val="7D9C2F1D"/>
    <w:rsid w:val="7DB14878"/>
    <w:rsid w:val="7DB50FCD"/>
    <w:rsid w:val="7DC13C87"/>
    <w:rsid w:val="7DD82E41"/>
    <w:rsid w:val="7E627A0E"/>
    <w:rsid w:val="7E704B47"/>
    <w:rsid w:val="7EAD7097"/>
    <w:rsid w:val="7F020A22"/>
    <w:rsid w:val="7F253F27"/>
    <w:rsid w:val="7FA62584"/>
    <w:rsid w:val="7FC36207"/>
    <w:rsid w:val="7FCC59C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qFormat="1" w:unhideWhenUsed="0" w:uiPriority="0" w:semiHidden="0" w:name="List Bullet"/>
    <w:lsdException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iPriority="0" w:name="List Bullet 3"/>
    <w:lsdException w:qFormat="1" w:unhideWhenUsed="0" w:uiPriority="0" w:semiHidden="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60"/>
    <w:qFormat/>
    <w:uiPriority w:val="0"/>
    <w:pPr>
      <w:keepNext/>
      <w:autoSpaceDE w:val="0"/>
      <w:autoSpaceDN w:val="0"/>
      <w:adjustRightInd w:val="0"/>
      <w:jc w:val="center"/>
      <w:outlineLvl w:val="0"/>
    </w:pPr>
    <w:rPr>
      <w:rFonts w:ascii="宋体" w:hAnsi="宋体"/>
      <w:b/>
      <w:color w:val="000000"/>
      <w:sz w:val="36"/>
    </w:rPr>
  </w:style>
  <w:style w:type="paragraph" w:styleId="4">
    <w:name w:val="heading 2"/>
    <w:basedOn w:val="1"/>
    <w:next w:val="1"/>
    <w:link w:val="57"/>
    <w:qFormat/>
    <w:uiPriority w:val="0"/>
    <w:pPr>
      <w:keepNext/>
      <w:keepLines/>
      <w:spacing w:before="260" w:after="260" w:line="413" w:lineRule="auto"/>
      <w:jc w:val="left"/>
      <w:outlineLvl w:val="1"/>
    </w:pPr>
    <w:rPr>
      <w:rFonts w:ascii="Arial" w:hAnsi="Arial"/>
      <w:b/>
      <w:sz w:val="24"/>
    </w:rPr>
  </w:style>
  <w:style w:type="paragraph" w:styleId="5">
    <w:name w:val="heading 3"/>
    <w:basedOn w:val="1"/>
    <w:next w:val="1"/>
    <w:link w:val="197"/>
    <w:qFormat/>
    <w:uiPriority w:val="0"/>
    <w:pPr>
      <w:keepNext/>
      <w:keepLines/>
      <w:spacing w:before="260" w:after="260" w:line="413" w:lineRule="auto"/>
      <w:outlineLvl w:val="2"/>
    </w:pPr>
    <w:rPr>
      <w:b/>
      <w:bCs/>
      <w:sz w:val="32"/>
      <w:szCs w:val="32"/>
    </w:rPr>
  </w:style>
  <w:style w:type="paragraph" w:styleId="6">
    <w:name w:val="heading 4"/>
    <w:basedOn w:val="1"/>
    <w:next w:val="1"/>
    <w:qFormat/>
    <w:uiPriority w:val="0"/>
    <w:pPr>
      <w:keepNext/>
      <w:numPr>
        <w:ilvl w:val="1"/>
        <w:numId w:val="1"/>
      </w:numPr>
      <w:tabs>
        <w:tab w:val="left" w:pos="840"/>
      </w:tabs>
      <w:outlineLvl w:val="3"/>
    </w:pPr>
    <w:rPr>
      <w:rFonts w:ascii="华文中宋" w:hAnsi="华文中宋" w:eastAsia="华文中宋"/>
      <w:b/>
      <w:bCs/>
      <w:sz w:val="28"/>
    </w:rPr>
  </w:style>
  <w:style w:type="paragraph" w:styleId="7">
    <w:name w:val="heading 5"/>
    <w:basedOn w:val="1"/>
    <w:next w:val="1"/>
    <w:link w:val="185"/>
    <w:qFormat/>
    <w:uiPriority w:val="0"/>
    <w:pPr>
      <w:keepNext/>
      <w:keepLines/>
      <w:spacing w:before="280" w:after="290" w:line="372" w:lineRule="auto"/>
      <w:outlineLvl w:val="4"/>
    </w:pPr>
    <w:rPr>
      <w:b/>
      <w:bCs/>
      <w:sz w:val="28"/>
      <w:szCs w:val="28"/>
    </w:rPr>
  </w:style>
  <w:style w:type="paragraph" w:styleId="8">
    <w:name w:val="heading 6"/>
    <w:basedOn w:val="1"/>
    <w:next w:val="1"/>
    <w:qFormat/>
    <w:uiPriority w:val="0"/>
    <w:pPr>
      <w:ind w:left="40" w:firstLine="680"/>
      <w:outlineLvl w:val="5"/>
    </w:pPr>
    <w:rPr>
      <w:sz w:val="28"/>
    </w:rPr>
  </w:style>
  <w:style w:type="character" w:default="1" w:styleId="46">
    <w:name w:val="Default Paragraph Font"/>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9">
    <w:name w:val="List 3"/>
    <w:basedOn w:val="1"/>
    <w:qFormat/>
    <w:uiPriority w:val="0"/>
    <w:pPr>
      <w:adjustRightInd w:val="0"/>
      <w:spacing w:line="312" w:lineRule="atLeast"/>
      <w:ind w:left="1260" w:hanging="420"/>
      <w:textAlignment w:val="baseline"/>
    </w:pPr>
    <w:rPr>
      <w:kern w:val="0"/>
    </w:rPr>
  </w:style>
  <w:style w:type="paragraph" w:styleId="10">
    <w:name w:val="toc 7"/>
    <w:basedOn w:val="1"/>
    <w:next w:val="1"/>
    <w:semiHidden/>
    <w:qFormat/>
    <w:uiPriority w:val="0"/>
    <w:pPr>
      <w:spacing w:line="440" w:lineRule="exact"/>
      <w:ind w:left="1050" w:firstLine="200" w:firstLineChars="200"/>
      <w:jc w:val="left"/>
    </w:pPr>
    <w:rPr>
      <w:sz w:val="20"/>
    </w:rPr>
  </w:style>
  <w:style w:type="paragraph" w:styleId="11">
    <w:name w:val="List Bullet 4"/>
    <w:basedOn w:val="1"/>
    <w:qFormat/>
    <w:uiPriority w:val="0"/>
    <w:pPr>
      <w:tabs>
        <w:tab w:val="left" w:pos="375"/>
      </w:tabs>
      <w:ind w:left="375" w:hanging="375"/>
    </w:pPr>
  </w:style>
  <w:style w:type="paragraph" w:styleId="12">
    <w:name w:val="List Bullet"/>
    <w:basedOn w:val="1"/>
    <w:qFormat/>
    <w:uiPriority w:val="0"/>
    <w:pPr>
      <w:tabs>
        <w:tab w:val="left" w:pos="1284"/>
      </w:tabs>
      <w:ind w:left="1284" w:hanging="720"/>
    </w:pPr>
  </w:style>
  <w:style w:type="paragraph" w:styleId="13">
    <w:name w:val="Document Map"/>
    <w:basedOn w:val="1"/>
    <w:qFormat/>
    <w:uiPriority w:val="0"/>
    <w:pPr>
      <w:shd w:val="clear" w:color="auto" w:fill="000080"/>
    </w:pPr>
  </w:style>
  <w:style w:type="paragraph" w:styleId="14">
    <w:name w:val="toa heading"/>
    <w:basedOn w:val="1"/>
    <w:next w:val="1"/>
    <w:qFormat/>
    <w:uiPriority w:val="0"/>
    <w:pPr>
      <w:spacing w:before="120"/>
    </w:pPr>
    <w:rPr>
      <w:rFonts w:ascii="Arial" w:hAnsi="Arial" w:cs="宋体"/>
      <w:sz w:val="24"/>
    </w:rPr>
  </w:style>
  <w:style w:type="paragraph" w:styleId="15">
    <w:name w:val="annotation text"/>
    <w:basedOn w:val="1"/>
    <w:qFormat/>
    <w:uiPriority w:val="0"/>
    <w:pPr>
      <w:jc w:val="left"/>
    </w:pPr>
    <w:rPr>
      <w:szCs w:val="24"/>
    </w:rPr>
  </w:style>
  <w:style w:type="paragraph" w:styleId="16">
    <w:name w:val="Body Text 3"/>
    <w:basedOn w:val="1"/>
    <w:qFormat/>
    <w:uiPriority w:val="0"/>
    <w:pPr>
      <w:spacing w:after="120"/>
    </w:pPr>
    <w:rPr>
      <w:sz w:val="16"/>
      <w:szCs w:val="16"/>
    </w:rPr>
  </w:style>
  <w:style w:type="paragraph" w:styleId="17">
    <w:name w:val="Body Text"/>
    <w:basedOn w:val="1"/>
    <w:next w:val="1"/>
    <w:link w:val="164"/>
    <w:qFormat/>
    <w:uiPriority w:val="0"/>
    <w:pPr>
      <w:spacing w:after="120"/>
    </w:pPr>
    <w:rPr>
      <w:szCs w:val="24"/>
    </w:rPr>
  </w:style>
  <w:style w:type="paragraph" w:styleId="18">
    <w:name w:val="Body Text Indent"/>
    <w:basedOn w:val="1"/>
    <w:next w:val="19"/>
    <w:link w:val="167"/>
    <w:qFormat/>
    <w:uiPriority w:val="0"/>
    <w:pPr>
      <w:ind w:firstLine="540"/>
    </w:pPr>
    <w:rPr>
      <w:sz w:val="28"/>
    </w:rPr>
  </w:style>
  <w:style w:type="paragraph" w:styleId="19">
    <w:name w:val="envelope return"/>
    <w:basedOn w:val="1"/>
    <w:qFormat/>
    <w:uiPriority w:val="0"/>
    <w:pPr>
      <w:snapToGrid w:val="0"/>
    </w:pPr>
    <w:rPr>
      <w:rFonts w:ascii="Arial" w:hAnsi="Arial"/>
    </w:rPr>
  </w:style>
  <w:style w:type="paragraph" w:styleId="20">
    <w:name w:val="Block Text"/>
    <w:basedOn w:val="1"/>
    <w:qFormat/>
    <w:uiPriority w:val="0"/>
    <w:pPr>
      <w:widowControl/>
      <w:spacing w:after="120"/>
      <w:ind w:left="1440" w:leftChars="700" w:right="1440" w:rightChars="700"/>
      <w:jc w:val="left"/>
    </w:pPr>
    <w:rPr>
      <w:kern w:val="0"/>
      <w:sz w:val="20"/>
    </w:rPr>
  </w:style>
  <w:style w:type="paragraph" w:styleId="21">
    <w:name w:val="List Bullet 2"/>
    <w:basedOn w:val="1"/>
    <w:qFormat/>
    <w:uiPriority w:val="0"/>
    <w:pPr>
      <w:tabs>
        <w:tab w:val="left" w:pos="1265"/>
      </w:tabs>
      <w:ind w:left="1265" w:hanging="705"/>
    </w:pPr>
  </w:style>
  <w:style w:type="paragraph" w:styleId="22">
    <w:name w:val="toc 5"/>
    <w:basedOn w:val="1"/>
    <w:next w:val="1"/>
    <w:semiHidden/>
    <w:qFormat/>
    <w:uiPriority w:val="0"/>
    <w:pPr>
      <w:spacing w:line="440" w:lineRule="exact"/>
      <w:ind w:left="630" w:firstLine="200" w:firstLineChars="200"/>
      <w:jc w:val="left"/>
    </w:pPr>
    <w:rPr>
      <w:sz w:val="20"/>
    </w:rPr>
  </w:style>
  <w:style w:type="paragraph" w:styleId="23">
    <w:name w:val="toc 3"/>
    <w:basedOn w:val="1"/>
    <w:next w:val="1"/>
    <w:qFormat/>
    <w:uiPriority w:val="39"/>
    <w:pPr>
      <w:tabs>
        <w:tab w:val="right" w:leader="dot" w:pos="9638"/>
      </w:tabs>
      <w:spacing w:line="440" w:lineRule="exact"/>
      <w:ind w:firstLine="840" w:firstLineChars="400"/>
      <w:jc w:val="left"/>
    </w:pPr>
    <w:rPr>
      <w:rFonts w:eastAsia="黑体"/>
    </w:rPr>
  </w:style>
  <w:style w:type="paragraph" w:styleId="24">
    <w:name w:val="Plain Text"/>
    <w:basedOn w:val="1"/>
    <w:next w:val="1"/>
    <w:link w:val="62"/>
    <w:qFormat/>
    <w:uiPriority w:val="0"/>
    <w:rPr>
      <w:rFonts w:ascii="宋体" w:hAnsi="Courier New"/>
    </w:rPr>
  </w:style>
  <w:style w:type="paragraph" w:styleId="25">
    <w:name w:val="toc 8"/>
    <w:basedOn w:val="1"/>
    <w:next w:val="1"/>
    <w:semiHidden/>
    <w:qFormat/>
    <w:uiPriority w:val="0"/>
    <w:pPr>
      <w:spacing w:line="440" w:lineRule="exact"/>
      <w:ind w:left="1260" w:firstLine="200" w:firstLineChars="200"/>
      <w:jc w:val="left"/>
    </w:pPr>
    <w:rPr>
      <w:sz w:val="20"/>
    </w:rPr>
  </w:style>
  <w:style w:type="paragraph" w:styleId="26">
    <w:name w:val="Date"/>
    <w:basedOn w:val="1"/>
    <w:next w:val="1"/>
    <w:qFormat/>
    <w:uiPriority w:val="0"/>
    <w:pPr>
      <w:ind w:left="100" w:leftChars="2500"/>
    </w:pPr>
  </w:style>
  <w:style w:type="paragraph" w:styleId="27">
    <w:name w:val="Body Text Indent 2"/>
    <w:basedOn w:val="1"/>
    <w:qFormat/>
    <w:uiPriority w:val="0"/>
    <w:pPr>
      <w:adjustRightInd w:val="0"/>
      <w:snapToGrid w:val="0"/>
      <w:spacing w:line="300" w:lineRule="auto"/>
      <w:ind w:firstLine="630" w:firstLineChars="300"/>
    </w:pPr>
    <w:rPr>
      <w:snapToGrid w:val="0"/>
      <w:kern w:val="0"/>
      <w:szCs w:val="24"/>
    </w:rPr>
  </w:style>
  <w:style w:type="paragraph" w:styleId="28">
    <w:name w:val="Balloon Text"/>
    <w:basedOn w:val="1"/>
    <w:link w:val="180"/>
    <w:qFormat/>
    <w:uiPriority w:val="99"/>
    <w:rPr>
      <w:sz w:val="18"/>
      <w:szCs w:val="18"/>
    </w:rPr>
  </w:style>
  <w:style w:type="paragraph" w:styleId="29">
    <w:name w:val="footer"/>
    <w:basedOn w:val="1"/>
    <w:link w:val="162"/>
    <w:qFormat/>
    <w:uiPriority w:val="0"/>
    <w:pPr>
      <w:tabs>
        <w:tab w:val="center" w:pos="4153"/>
        <w:tab w:val="right" w:pos="8306"/>
      </w:tabs>
      <w:snapToGrid w:val="0"/>
      <w:jc w:val="left"/>
    </w:pPr>
    <w:rPr>
      <w:sz w:val="18"/>
      <w:szCs w:val="18"/>
    </w:rPr>
  </w:style>
  <w:style w:type="paragraph" w:styleId="30">
    <w:name w:val="header"/>
    <w:basedOn w:val="1"/>
    <w:link w:val="16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8729"/>
      </w:tabs>
      <w:ind w:firstLine="548" w:firstLineChars="171"/>
    </w:pPr>
    <w:rPr>
      <w:b/>
      <w:kern w:val="0"/>
      <w:sz w:val="32"/>
      <w:szCs w:val="32"/>
    </w:rPr>
  </w:style>
  <w:style w:type="paragraph" w:styleId="32">
    <w:name w:val="toc 4"/>
    <w:basedOn w:val="1"/>
    <w:next w:val="1"/>
    <w:semiHidden/>
    <w:qFormat/>
    <w:uiPriority w:val="0"/>
    <w:pPr>
      <w:spacing w:line="440" w:lineRule="exact"/>
      <w:ind w:left="420" w:firstLine="200" w:firstLineChars="200"/>
      <w:jc w:val="left"/>
    </w:pPr>
    <w:rPr>
      <w:sz w:val="20"/>
    </w:rPr>
  </w:style>
  <w:style w:type="paragraph" w:styleId="33">
    <w:name w:val="toc 6"/>
    <w:basedOn w:val="1"/>
    <w:next w:val="1"/>
    <w:semiHidden/>
    <w:qFormat/>
    <w:uiPriority w:val="0"/>
    <w:pPr>
      <w:spacing w:line="440" w:lineRule="exact"/>
      <w:ind w:left="840" w:firstLine="200" w:firstLineChars="200"/>
      <w:jc w:val="left"/>
    </w:pPr>
    <w:rPr>
      <w:sz w:val="20"/>
    </w:rPr>
  </w:style>
  <w:style w:type="paragraph" w:styleId="34">
    <w:name w:val="Body Text Indent 3"/>
    <w:basedOn w:val="1"/>
    <w:qFormat/>
    <w:uiPriority w:val="0"/>
    <w:pPr>
      <w:spacing w:line="360" w:lineRule="auto"/>
      <w:ind w:firstLine="570"/>
    </w:pPr>
    <w:rPr>
      <w:rFonts w:ascii="宋体"/>
      <w:sz w:val="28"/>
    </w:rPr>
  </w:style>
  <w:style w:type="paragraph" w:styleId="35">
    <w:name w:val="toc 2"/>
    <w:basedOn w:val="1"/>
    <w:next w:val="1"/>
    <w:qFormat/>
    <w:uiPriority w:val="39"/>
    <w:pPr>
      <w:tabs>
        <w:tab w:val="left" w:pos="840"/>
        <w:tab w:val="right" w:leader="dot" w:pos="8640"/>
      </w:tabs>
      <w:ind w:left="420" w:leftChars="200"/>
    </w:pPr>
  </w:style>
  <w:style w:type="paragraph" w:styleId="36">
    <w:name w:val="toc 9"/>
    <w:basedOn w:val="1"/>
    <w:next w:val="1"/>
    <w:semiHidden/>
    <w:qFormat/>
    <w:uiPriority w:val="0"/>
    <w:pPr>
      <w:spacing w:line="440" w:lineRule="exact"/>
      <w:ind w:left="1470" w:firstLine="200" w:firstLineChars="200"/>
      <w:jc w:val="left"/>
    </w:pPr>
    <w:rPr>
      <w:sz w:val="20"/>
    </w:rPr>
  </w:style>
  <w:style w:type="paragraph" w:styleId="37">
    <w:name w:val="Body Text 2"/>
    <w:basedOn w:val="1"/>
    <w:qFormat/>
    <w:uiPriority w:val="0"/>
    <w:pPr>
      <w:spacing w:after="120" w:line="480" w:lineRule="auto"/>
    </w:pPr>
    <w:rPr>
      <w:szCs w:val="24"/>
    </w:rPr>
  </w:style>
  <w:style w:type="paragraph" w:styleId="3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Arial Unicode MS" w:hAnsi="Arial Unicode MS" w:eastAsia="Arial Unicode MS" w:cs="Arial Unicode MS"/>
      <w:color w:val="000000"/>
      <w:kern w:val="0"/>
      <w:sz w:val="20"/>
    </w:rPr>
  </w:style>
  <w:style w:type="paragraph" w:styleId="39">
    <w:name w:val="Normal (Web)"/>
    <w:basedOn w:val="1"/>
    <w:qFormat/>
    <w:uiPriority w:val="0"/>
    <w:rPr>
      <w:sz w:val="24"/>
      <w:szCs w:val="24"/>
    </w:rPr>
  </w:style>
  <w:style w:type="paragraph" w:styleId="40">
    <w:name w:val="Title"/>
    <w:basedOn w:val="1"/>
    <w:next w:val="1"/>
    <w:qFormat/>
    <w:uiPriority w:val="0"/>
    <w:pPr>
      <w:spacing w:before="240" w:after="60"/>
      <w:jc w:val="center"/>
      <w:outlineLvl w:val="0"/>
    </w:pPr>
    <w:rPr>
      <w:rFonts w:ascii="Cambria" w:hAnsi="Cambria"/>
      <w:b/>
      <w:sz w:val="32"/>
      <w:szCs w:val="32"/>
    </w:rPr>
  </w:style>
  <w:style w:type="paragraph" w:styleId="41">
    <w:name w:val="annotation subject"/>
    <w:basedOn w:val="15"/>
    <w:next w:val="15"/>
    <w:qFormat/>
    <w:uiPriority w:val="0"/>
    <w:rPr>
      <w:b/>
      <w:bCs/>
    </w:rPr>
  </w:style>
  <w:style w:type="paragraph" w:styleId="42">
    <w:name w:val="Body Text First Indent"/>
    <w:basedOn w:val="17"/>
    <w:next w:val="1"/>
    <w:qFormat/>
    <w:uiPriority w:val="0"/>
    <w:pPr>
      <w:ind w:firstLine="420" w:firstLineChars="100"/>
    </w:pPr>
    <w:rPr>
      <w:szCs w:val="20"/>
    </w:rPr>
  </w:style>
  <w:style w:type="paragraph" w:styleId="43">
    <w:name w:val="Body Text First Indent 2"/>
    <w:basedOn w:val="18"/>
    <w:next w:val="42"/>
    <w:unhideWhenUsed/>
    <w:qFormat/>
    <w:uiPriority w:val="99"/>
    <w:pPr>
      <w:ind w:firstLine="420" w:firstLineChars="20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bCs/>
    </w:rPr>
  </w:style>
  <w:style w:type="character" w:styleId="48">
    <w:name w:val="page number"/>
    <w:basedOn w:val="46"/>
    <w:qFormat/>
    <w:uiPriority w:val="0"/>
  </w:style>
  <w:style w:type="character" w:styleId="49">
    <w:name w:val="FollowedHyperlink"/>
    <w:basedOn w:val="46"/>
    <w:qFormat/>
    <w:uiPriority w:val="0"/>
    <w:rPr>
      <w:rFonts w:ascii="Arial" w:hAnsi="Arial" w:cs="Arial"/>
      <w:color w:val="003399"/>
      <w:u w:val="none"/>
    </w:rPr>
  </w:style>
  <w:style w:type="character" w:styleId="50">
    <w:name w:val="Emphasis"/>
    <w:qFormat/>
    <w:uiPriority w:val="0"/>
    <w:rPr>
      <w:i/>
      <w:iCs/>
    </w:rPr>
  </w:style>
  <w:style w:type="character" w:styleId="51">
    <w:name w:val="HTML Definition"/>
    <w:basedOn w:val="46"/>
    <w:semiHidden/>
    <w:unhideWhenUsed/>
    <w:qFormat/>
    <w:uiPriority w:val="0"/>
    <w:rPr>
      <w:i/>
      <w:color w:val="2A6496"/>
      <w:u w:val="single"/>
    </w:rPr>
  </w:style>
  <w:style w:type="character" w:styleId="52">
    <w:name w:val="Hyperlink"/>
    <w:basedOn w:val="46"/>
    <w:qFormat/>
    <w:uiPriority w:val="99"/>
    <w:rPr>
      <w:rFonts w:hint="default" w:ascii="Arial" w:hAnsi="Arial" w:cs="Arial"/>
      <w:color w:val="006699"/>
      <w:u w:val="none"/>
    </w:rPr>
  </w:style>
  <w:style w:type="character" w:styleId="53">
    <w:name w:val="HTML Code"/>
    <w:basedOn w:val="46"/>
    <w:semiHidden/>
    <w:unhideWhenUsed/>
    <w:qFormat/>
    <w:uiPriority w:val="0"/>
    <w:rPr>
      <w:rFonts w:hint="default" w:ascii="Consolas" w:hAnsi="Consolas" w:eastAsia="Consolas" w:cs="Consolas"/>
      <w:color w:val="C7254E"/>
      <w:sz w:val="21"/>
      <w:szCs w:val="21"/>
      <w:shd w:val="clear" w:color="auto" w:fill="F9F2F4"/>
    </w:rPr>
  </w:style>
  <w:style w:type="character" w:styleId="54">
    <w:name w:val="annotation reference"/>
    <w:qFormat/>
    <w:uiPriority w:val="0"/>
    <w:rPr>
      <w:sz w:val="21"/>
      <w:szCs w:val="21"/>
    </w:rPr>
  </w:style>
  <w:style w:type="character" w:styleId="55">
    <w:name w:val="HTML Keyboard"/>
    <w:basedOn w:val="46"/>
    <w:semiHidden/>
    <w:unhideWhenUsed/>
    <w:qFormat/>
    <w:uiPriority w:val="0"/>
    <w:rPr>
      <w:rFonts w:hint="default" w:ascii="Consolas" w:hAnsi="Consolas" w:eastAsia="Consolas" w:cs="Consolas"/>
      <w:color w:val="FFFFFF"/>
      <w:sz w:val="21"/>
      <w:szCs w:val="21"/>
      <w:shd w:val="clear" w:color="auto" w:fill="333333"/>
    </w:rPr>
  </w:style>
  <w:style w:type="character" w:styleId="56">
    <w:name w:val="HTML Sample"/>
    <w:basedOn w:val="46"/>
    <w:semiHidden/>
    <w:unhideWhenUsed/>
    <w:qFormat/>
    <w:uiPriority w:val="0"/>
    <w:rPr>
      <w:rFonts w:ascii="Consolas" w:hAnsi="Consolas" w:eastAsia="Consolas" w:cs="Consolas"/>
      <w:sz w:val="21"/>
      <w:szCs w:val="21"/>
    </w:rPr>
  </w:style>
  <w:style w:type="character" w:customStyle="1" w:styleId="57">
    <w:name w:val="标题 2 Char"/>
    <w:link w:val="4"/>
    <w:qFormat/>
    <w:uiPriority w:val="0"/>
    <w:rPr>
      <w:rFonts w:ascii="Arial" w:hAnsi="Arial" w:eastAsia="宋体"/>
      <w:b/>
      <w:sz w:val="24"/>
    </w:rPr>
  </w:style>
  <w:style w:type="character" w:customStyle="1" w:styleId="58">
    <w:name w:val="Char1"/>
    <w:qFormat/>
    <w:uiPriority w:val="0"/>
    <w:rPr>
      <w:rFonts w:ascii="宋体" w:hAnsi="Courier New" w:eastAsia="宋体"/>
      <w:kern w:val="2"/>
      <w:sz w:val="21"/>
      <w:lang w:val="en-US" w:eastAsia="zh-CN" w:bidi="ar-SA"/>
    </w:rPr>
  </w:style>
  <w:style w:type="character" w:customStyle="1" w:styleId="59">
    <w:name w:val="black1"/>
    <w:qFormat/>
    <w:uiPriority w:val="0"/>
    <w:rPr>
      <w:rFonts w:hint="default" w:ascii="ˎ̥" w:hAnsi="ˎ̥"/>
      <w:color w:val="333333"/>
      <w:sz w:val="18"/>
      <w:szCs w:val="18"/>
      <w:u w:val="none"/>
    </w:rPr>
  </w:style>
  <w:style w:type="character" w:customStyle="1" w:styleId="60">
    <w:name w:val="unnamed21"/>
    <w:basedOn w:val="46"/>
    <w:qFormat/>
    <w:uiPriority w:val="0"/>
  </w:style>
  <w:style w:type="character" w:customStyle="1" w:styleId="61">
    <w:name w:val="正文文本 Char Char"/>
    <w:qFormat/>
    <w:uiPriority w:val="0"/>
    <w:rPr>
      <w:rFonts w:eastAsia="宋体"/>
      <w:kern w:val="2"/>
      <w:sz w:val="24"/>
      <w:lang w:val="en-US" w:eastAsia="zh-CN" w:bidi="ar-SA"/>
    </w:rPr>
  </w:style>
  <w:style w:type="character" w:customStyle="1" w:styleId="62">
    <w:name w:val="纯文本 Char"/>
    <w:link w:val="24"/>
    <w:qFormat/>
    <w:uiPriority w:val="0"/>
    <w:rPr>
      <w:rFonts w:ascii="宋体" w:hAnsi="Courier New" w:eastAsia="宋体"/>
      <w:kern w:val="2"/>
      <w:sz w:val="21"/>
      <w:lang w:val="en-US" w:eastAsia="zh-CN" w:bidi="ar-SA"/>
    </w:rPr>
  </w:style>
  <w:style w:type="character" w:customStyle="1" w:styleId="63">
    <w:name w:val="contents1"/>
    <w:qFormat/>
    <w:uiPriority w:val="0"/>
    <w:rPr>
      <w:rFonts w:hint="default" w:ascii="Times New Roman" w:hAnsi="Times New Roman" w:cs="Times New Roman"/>
      <w:sz w:val="23"/>
      <w:szCs w:val="23"/>
    </w:rPr>
  </w:style>
  <w:style w:type="paragraph" w:customStyle="1" w:styleId="64">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65">
    <w:name w:val="xl8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6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b/>
      <w:bCs/>
      <w:kern w:val="0"/>
      <w:sz w:val="24"/>
      <w:szCs w:val="24"/>
    </w:rPr>
  </w:style>
  <w:style w:type="paragraph" w:customStyle="1" w:styleId="67">
    <w:name w:val="样式1"/>
    <w:basedOn w:val="1"/>
    <w:link w:val="165"/>
    <w:qFormat/>
    <w:uiPriority w:val="0"/>
    <w:pPr>
      <w:numPr>
        <w:ilvl w:val="0"/>
        <w:numId w:val="2"/>
      </w:numPr>
      <w:tabs>
        <w:tab w:val="clear" w:pos="1620"/>
      </w:tabs>
      <w:autoSpaceDE w:val="0"/>
      <w:autoSpaceDN w:val="0"/>
      <w:adjustRightInd w:val="0"/>
      <w:spacing w:line="440" w:lineRule="atLeast"/>
      <w:ind w:left="0" w:firstLine="601"/>
      <w:textAlignment w:val="baseline"/>
    </w:pPr>
    <w:rPr>
      <w:rFonts w:ascii="宋体"/>
      <w:sz w:val="28"/>
      <w:szCs w:val="18"/>
    </w:rPr>
  </w:style>
  <w:style w:type="paragraph" w:customStyle="1" w:styleId="68">
    <w:name w:val="xl76"/>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8"/>
      <w:szCs w:val="28"/>
    </w:rPr>
  </w:style>
  <w:style w:type="paragraph" w:customStyle="1" w:styleId="6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4"/>
      <w:szCs w:val="24"/>
    </w:rPr>
  </w:style>
  <w:style w:type="paragraph" w:customStyle="1" w:styleId="7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71">
    <w:name w:val="xl6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kern w:val="0"/>
      <w:sz w:val="24"/>
      <w:szCs w:val="24"/>
    </w:rPr>
  </w:style>
  <w:style w:type="paragraph" w:customStyle="1" w:styleId="72">
    <w:name w:val="xl84"/>
    <w:basedOn w:val="1"/>
    <w:qFormat/>
    <w:uiPriority w:val="0"/>
    <w:pPr>
      <w:widowControl/>
      <w:pBdr>
        <w:top w:val="single" w:color="auto" w:sz="4" w:space="0"/>
        <w:left w:val="single" w:color="auto" w:sz="4" w:space="0"/>
        <w:bottom w:val="single" w:color="auto" w:sz="4" w:space="0"/>
        <w:right w:val="single" w:color="auto" w:sz="8"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73">
    <w:name w:val="font10"/>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7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75">
    <w:name w:val="xl72"/>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7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78">
    <w:name w:val="xl75"/>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79">
    <w:name w:val="font0"/>
    <w:basedOn w:val="1"/>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80">
    <w:name w:val="px16"/>
    <w:basedOn w:val="1"/>
    <w:qFormat/>
    <w:uiPriority w:val="0"/>
    <w:pPr>
      <w:widowControl/>
      <w:spacing w:before="100" w:beforeAutospacing="1" w:after="100" w:afterAutospacing="1" w:line="360" w:lineRule="auto"/>
      <w:jc w:val="left"/>
    </w:pPr>
    <w:rPr>
      <w:rFonts w:ascii="宋体" w:hAnsi="宋体"/>
      <w:kern w:val="0"/>
      <w:sz w:val="24"/>
      <w:szCs w:val="24"/>
    </w:rPr>
  </w:style>
  <w:style w:type="paragraph" w:customStyle="1" w:styleId="81">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kern w:val="0"/>
      <w:sz w:val="24"/>
      <w:szCs w:val="24"/>
    </w:rPr>
  </w:style>
  <w:style w:type="paragraph" w:customStyle="1" w:styleId="82">
    <w:name w:val="xl85"/>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83">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8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85">
    <w:name w:val="1"/>
    <w:basedOn w:val="1"/>
    <w:next w:val="24"/>
    <w:qFormat/>
    <w:uiPriority w:val="0"/>
    <w:rPr>
      <w:rFonts w:ascii="宋体" w:hAnsi="Courier New"/>
    </w:rPr>
  </w:style>
  <w:style w:type="paragraph" w:customStyle="1" w:styleId="86">
    <w:name w:val="font7"/>
    <w:basedOn w:val="1"/>
    <w:qFormat/>
    <w:uiPriority w:val="0"/>
    <w:pPr>
      <w:widowControl/>
      <w:spacing w:before="100" w:beforeAutospacing="1" w:after="100" w:afterAutospacing="1"/>
      <w:jc w:val="left"/>
    </w:pPr>
    <w:rPr>
      <w:rFonts w:eastAsia="Arial Unicode MS"/>
      <w:kern w:val="0"/>
      <w:sz w:val="24"/>
      <w:szCs w:val="24"/>
    </w:rPr>
  </w:style>
  <w:style w:type="paragraph" w:customStyle="1" w:styleId="87">
    <w:name w:val="Definition Term"/>
    <w:basedOn w:val="1"/>
    <w:next w:val="1"/>
    <w:qFormat/>
    <w:uiPriority w:val="0"/>
    <w:pPr>
      <w:autoSpaceDE w:val="0"/>
      <w:autoSpaceDN w:val="0"/>
      <w:adjustRightInd w:val="0"/>
      <w:jc w:val="left"/>
    </w:pPr>
    <w:rPr>
      <w:kern w:val="0"/>
      <w:sz w:val="24"/>
    </w:rPr>
  </w:style>
  <w:style w:type="paragraph" w:customStyle="1" w:styleId="8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89">
    <w:name w:val="xl69"/>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90">
    <w:name w:val="Char Char Char Char Char Char1 Char"/>
    <w:basedOn w:val="1"/>
    <w:qFormat/>
    <w:uiPriority w:val="0"/>
    <w:pPr>
      <w:widowControl/>
      <w:spacing w:after="160" w:line="240" w:lineRule="exact"/>
      <w:jc w:val="left"/>
    </w:pPr>
    <w:rPr>
      <w:rFonts w:ascii="宋体" w:hAnsi="宋体"/>
      <w:kern w:val="0"/>
      <w:sz w:val="24"/>
      <w:lang w:eastAsia="en-US"/>
    </w:rPr>
  </w:style>
  <w:style w:type="paragraph" w:customStyle="1" w:styleId="91">
    <w:name w:val="Char"/>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92">
    <w:name w:val="xl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93">
    <w:name w:val="Table Heading"/>
    <w:basedOn w:val="1"/>
    <w:qFormat/>
    <w:uiPriority w:val="0"/>
    <w:pPr>
      <w:widowControl/>
      <w:jc w:val="center"/>
    </w:pPr>
    <w:rPr>
      <w:rFonts w:ascii="Arial" w:hAnsi="Arial"/>
      <w:b/>
      <w:kern w:val="0"/>
      <w:sz w:val="18"/>
    </w:rPr>
  </w:style>
  <w:style w:type="paragraph" w:customStyle="1" w:styleId="94">
    <w:name w:val="xl88"/>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95">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6">
    <w:name w:val="Char Char Char Char Char Char Char"/>
    <w:basedOn w:val="1"/>
    <w:qFormat/>
    <w:uiPriority w:val="0"/>
    <w:pPr>
      <w:widowControl/>
      <w:tabs>
        <w:tab w:val="left" w:pos="360"/>
      </w:tabs>
      <w:snapToGrid w:val="0"/>
      <w:spacing w:after="160" w:line="360" w:lineRule="auto"/>
      <w:ind w:firstLine="200" w:firstLineChars="200"/>
      <w:jc w:val="left"/>
    </w:pPr>
    <w:rPr>
      <w:kern w:val="0"/>
      <w:sz w:val="24"/>
      <w:szCs w:val="24"/>
      <w:lang w:eastAsia="en-US"/>
    </w:rPr>
  </w:style>
  <w:style w:type="paragraph" w:customStyle="1" w:styleId="97">
    <w:name w:val="xl6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b/>
      <w:bCs/>
      <w:kern w:val="0"/>
      <w:sz w:val="24"/>
      <w:szCs w:val="24"/>
    </w:rPr>
  </w:style>
  <w:style w:type="paragraph" w:customStyle="1" w:styleId="98">
    <w:name w:val="xl79"/>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hint="eastAsia" w:ascii="创艺繁线体" w:hAnsi="宋体" w:eastAsia="创艺繁线体"/>
      <w:kern w:val="0"/>
      <w:sz w:val="24"/>
      <w:szCs w:val="24"/>
    </w:rPr>
  </w:style>
  <w:style w:type="paragraph" w:customStyle="1" w:styleId="99">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00">
    <w:name w:val="xl6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textAlignment w:val="center"/>
    </w:pPr>
    <w:rPr>
      <w:kern w:val="0"/>
      <w:sz w:val="24"/>
      <w:szCs w:val="24"/>
    </w:rPr>
  </w:style>
  <w:style w:type="paragraph" w:customStyle="1" w:styleId="101">
    <w:name w:val="Char Char Char"/>
    <w:basedOn w:val="1"/>
    <w:qFormat/>
    <w:uiPriority w:val="0"/>
    <w:rPr>
      <w:rFonts w:ascii="Tahoma" w:hAnsi="Tahoma"/>
      <w:sz w:val="24"/>
    </w:rPr>
  </w:style>
  <w:style w:type="paragraph" w:customStyle="1" w:styleId="10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xl70"/>
    <w:basedOn w:val="1"/>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04">
    <w:name w:val="纯文本1"/>
    <w:basedOn w:val="1"/>
    <w:qFormat/>
    <w:uiPriority w:val="0"/>
    <w:pPr>
      <w:adjustRightInd w:val="0"/>
      <w:textAlignment w:val="baseline"/>
    </w:pPr>
    <w:rPr>
      <w:rFonts w:ascii="宋体" w:hAnsi="Courier New"/>
    </w:rPr>
  </w:style>
  <w:style w:type="paragraph" w:customStyle="1" w:styleId="105">
    <w:name w:val="xl7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4"/>
      <w:szCs w:val="24"/>
    </w:rPr>
  </w:style>
  <w:style w:type="paragraph" w:customStyle="1" w:styleId="106">
    <w:name w:val="xl67"/>
    <w:basedOn w:val="1"/>
    <w:qFormat/>
    <w:uiPriority w:val="0"/>
    <w:pPr>
      <w:widowControl/>
      <w:pBdr>
        <w:bottom w:val="single" w:color="auto" w:sz="8" w:space="0"/>
      </w:pBdr>
      <w:spacing w:before="100" w:beforeAutospacing="1" w:after="100" w:afterAutospacing="1"/>
      <w:jc w:val="left"/>
      <w:textAlignment w:val="center"/>
    </w:pPr>
    <w:rPr>
      <w:rFonts w:ascii="宋体" w:hAnsi="宋体"/>
      <w:b/>
      <w:bCs/>
      <w:kern w:val="0"/>
      <w:sz w:val="40"/>
      <w:szCs w:val="40"/>
    </w:rPr>
  </w:style>
  <w:style w:type="paragraph" w:customStyle="1" w:styleId="107">
    <w:name w:val="xl8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08">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10">
    <w:name w:val="xl82"/>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color w:val="000000"/>
      <w:kern w:val="0"/>
      <w:sz w:val="24"/>
      <w:szCs w:val="24"/>
    </w:rPr>
  </w:style>
  <w:style w:type="paragraph" w:customStyle="1" w:styleId="111">
    <w:name w:val="正文 2"/>
    <w:basedOn w:val="1"/>
    <w:qFormat/>
    <w:uiPriority w:val="0"/>
    <w:pPr>
      <w:numPr>
        <w:ilvl w:val="0"/>
        <w:numId w:val="3"/>
      </w:numPr>
      <w:tabs>
        <w:tab w:val="clear" w:pos="360"/>
      </w:tabs>
      <w:autoSpaceDE w:val="0"/>
      <w:autoSpaceDN w:val="0"/>
      <w:adjustRightInd w:val="0"/>
      <w:snapToGrid w:val="0"/>
      <w:spacing w:before="80" w:after="40" w:line="360" w:lineRule="auto"/>
      <w:ind w:left="1134" w:firstLine="0"/>
      <w:jc w:val="left"/>
    </w:pPr>
    <w:rPr>
      <w:kern w:val="0"/>
      <w:sz w:val="24"/>
    </w:rPr>
  </w:style>
  <w:style w:type="paragraph" w:customStyle="1" w:styleId="112">
    <w:name w:val="xl8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rFonts w:ascii="宋体" w:hAnsi="宋体"/>
      <w:kern w:val="0"/>
      <w:sz w:val="24"/>
      <w:szCs w:val="24"/>
    </w:rPr>
  </w:style>
  <w:style w:type="paragraph" w:customStyle="1" w:styleId="113">
    <w:name w:val="font8"/>
    <w:basedOn w:val="1"/>
    <w:qFormat/>
    <w:uiPriority w:val="0"/>
    <w:pPr>
      <w:widowControl/>
      <w:spacing w:before="100" w:beforeAutospacing="1" w:after="100" w:afterAutospacing="1"/>
      <w:jc w:val="left"/>
    </w:pPr>
    <w:rPr>
      <w:rFonts w:hint="eastAsia" w:ascii="宋体" w:hAnsi="宋体" w:cs="Arial Unicode MS"/>
      <w:color w:val="FF0000"/>
      <w:kern w:val="0"/>
      <w:sz w:val="24"/>
      <w:szCs w:val="24"/>
    </w:rPr>
  </w:style>
  <w:style w:type="paragraph" w:customStyle="1" w:styleId="114">
    <w:name w:val="tex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16">
    <w:name w:val="xl68"/>
    <w:basedOn w:val="1"/>
    <w:qFormat/>
    <w:uiPriority w:val="0"/>
    <w:pPr>
      <w:widowControl/>
      <w:pBdr>
        <w:bottom w:val="single" w:color="auto" w:sz="8" w:space="0"/>
      </w:pBdr>
      <w:spacing w:before="100" w:beforeAutospacing="1" w:after="100" w:afterAutospacing="1"/>
      <w:jc w:val="left"/>
      <w:textAlignment w:val="center"/>
    </w:pPr>
    <w:rPr>
      <w:b/>
      <w:bCs/>
      <w:kern w:val="0"/>
      <w:sz w:val="36"/>
      <w:szCs w:val="36"/>
    </w:rPr>
  </w:style>
  <w:style w:type="paragraph" w:customStyle="1" w:styleId="117">
    <w:name w:val="xl47"/>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b/>
      <w:bCs/>
      <w:kern w:val="0"/>
      <w:sz w:val="40"/>
      <w:szCs w:val="40"/>
    </w:rPr>
  </w:style>
  <w:style w:type="paragraph" w:customStyle="1" w:styleId="118">
    <w:name w:val="xl8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11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20">
    <w:name w:val="font6"/>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21">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2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12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24">
    <w:name w:val="xl7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2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26">
    <w:name w:val="font9"/>
    <w:basedOn w:val="1"/>
    <w:qFormat/>
    <w:uiPriority w:val="0"/>
    <w:pPr>
      <w:widowControl/>
      <w:spacing w:before="100" w:beforeAutospacing="1" w:after="100" w:afterAutospacing="1"/>
      <w:jc w:val="left"/>
    </w:pPr>
    <w:rPr>
      <w:rFonts w:hint="eastAsia" w:ascii="宋体" w:hAnsi="宋体" w:cs="Arial Unicode MS"/>
      <w:color w:val="000000"/>
      <w:kern w:val="0"/>
      <w:sz w:val="24"/>
      <w:szCs w:val="24"/>
    </w:rPr>
  </w:style>
  <w:style w:type="paragraph" w:customStyle="1" w:styleId="127">
    <w:name w:val="小标题"/>
    <w:basedOn w:val="1"/>
    <w:qFormat/>
    <w:uiPriority w:val="0"/>
    <w:pPr>
      <w:tabs>
        <w:tab w:val="left" w:pos="1404"/>
      </w:tabs>
      <w:ind w:left="1404" w:hanging="420"/>
    </w:pPr>
    <w:rPr>
      <w:szCs w:val="24"/>
    </w:rPr>
  </w:style>
  <w:style w:type="paragraph" w:customStyle="1" w:styleId="128">
    <w:name w:val="xl78"/>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left"/>
      <w:textAlignment w:val="center"/>
    </w:pPr>
    <w:rPr>
      <w:b/>
      <w:bCs/>
      <w:i/>
      <w:iCs/>
      <w:kern w:val="0"/>
      <w:sz w:val="24"/>
      <w:szCs w:val="24"/>
    </w:rPr>
  </w:style>
  <w:style w:type="paragraph" w:customStyle="1" w:styleId="129">
    <w:name w:val="xl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30">
    <w:name w:val="Char Char Char Char"/>
    <w:basedOn w:val="1"/>
    <w:qFormat/>
    <w:uiPriority w:val="0"/>
    <w:pPr>
      <w:widowControl/>
      <w:spacing w:after="160" w:line="240" w:lineRule="exact"/>
      <w:jc w:val="left"/>
    </w:pPr>
  </w:style>
  <w:style w:type="paragraph" w:customStyle="1" w:styleId="13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3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33">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34">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35">
    <w:name w:val="xl6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b/>
      <w:bCs/>
      <w:kern w:val="0"/>
      <w:sz w:val="24"/>
      <w:szCs w:val="24"/>
    </w:rPr>
  </w:style>
  <w:style w:type="paragraph" w:customStyle="1" w:styleId="13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3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38">
    <w:name w:val="xl48"/>
    <w:basedOn w:val="1"/>
    <w:qFormat/>
    <w:uiPriority w:val="0"/>
    <w:pPr>
      <w:widowControl/>
      <w:pBdr>
        <w:bottom w:val="single" w:color="auto" w:sz="4" w:space="0"/>
      </w:pBdr>
      <w:spacing w:before="100" w:beforeAutospacing="1" w:after="100" w:afterAutospacing="1"/>
      <w:jc w:val="center"/>
      <w:textAlignment w:val="center"/>
    </w:pPr>
    <w:rPr>
      <w:rFonts w:eastAsia="Arial Unicode MS"/>
      <w:kern w:val="0"/>
      <w:sz w:val="24"/>
      <w:szCs w:val="24"/>
    </w:rPr>
  </w:style>
  <w:style w:type="paragraph" w:customStyle="1" w:styleId="139">
    <w:name w:val="p9"/>
    <w:basedOn w:val="1"/>
    <w:qFormat/>
    <w:uiPriority w:val="0"/>
    <w:pPr>
      <w:widowControl/>
      <w:spacing w:before="100" w:beforeAutospacing="1" w:after="100" w:afterAutospacing="1"/>
      <w:jc w:val="left"/>
    </w:pPr>
    <w:rPr>
      <w:rFonts w:eastAsia="Arial Unicode MS" w:cs="Arial Unicode MS"/>
      <w:color w:val="000000"/>
      <w:kern w:val="0"/>
      <w:sz w:val="18"/>
      <w:szCs w:val="18"/>
    </w:rPr>
  </w:style>
  <w:style w:type="paragraph" w:customStyle="1" w:styleId="140">
    <w:name w:val="Char2 Char Char Char Char Char Char"/>
    <w:basedOn w:val="13"/>
    <w:qFormat/>
    <w:uiPriority w:val="0"/>
    <w:rPr>
      <w:rFonts w:ascii="Tahoma" w:hAnsi="Tahoma"/>
      <w:sz w:val="24"/>
      <w:szCs w:val="24"/>
    </w:rPr>
  </w:style>
  <w:style w:type="paragraph" w:customStyle="1" w:styleId="14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42">
    <w:name w:val="xl49"/>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143">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44">
    <w:name w:val="标题1"/>
    <w:basedOn w:val="3"/>
    <w:qFormat/>
    <w:uiPriority w:val="0"/>
    <w:pPr>
      <w:keepLines/>
      <w:autoSpaceDE/>
      <w:autoSpaceDN/>
      <w:adjustRightInd/>
      <w:spacing w:before="100" w:beforeAutospacing="1" w:after="100" w:afterAutospacing="1" w:line="0" w:lineRule="atLeast"/>
    </w:pPr>
    <w:rPr>
      <w:rFonts w:ascii="Times New Roman"/>
      <w:bCs/>
      <w:sz w:val="30"/>
      <w:szCs w:val="30"/>
    </w:rPr>
  </w:style>
  <w:style w:type="paragraph" w:customStyle="1" w:styleId="145">
    <w:name w:val="font5"/>
    <w:basedOn w:val="1"/>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46">
    <w:name w:val="我的正文"/>
    <w:basedOn w:val="1"/>
    <w:qFormat/>
    <w:uiPriority w:val="0"/>
    <w:pPr>
      <w:spacing w:line="360" w:lineRule="auto"/>
      <w:ind w:firstLine="200" w:firstLineChars="200"/>
    </w:pPr>
    <w:rPr>
      <w:sz w:val="24"/>
      <w:szCs w:val="24"/>
    </w:rPr>
  </w:style>
  <w:style w:type="paragraph" w:customStyle="1" w:styleId="14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4"/>
      <w:szCs w:val="24"/>
    </w:rPr>
  </w:style>
  <w:style w:type="paragraph" w:customStyle="1" w:styleId="14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Cs w:val="21"/>
    </w:rPr>
  </w:style>
  <w:style w:type="paragraph" w:customStyle="1" w:styleId="1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4"/>
      <w:szCs w:val="24"/>
    </w:rPr>
  </w:style>
  <w:style w:type="paragraph" w:customStyle="1" w:styleId="150">
    <w:name w:val="xl5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5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52">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5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54">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155">
    <w:name w:val="Char Char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56">
    <w:name w:val="xl71"/>
    <w:basedOn w:val="1"/>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157">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sz w:val="28"/>
    </w:rPr>
  </w:style>
  <w:style w:type="character" w:customStyle="1" w:styleId="158">
    <w:name w:val="普通文字 Char1"/>
    <w:qFormat/>
    <w:uiPriority w:val="0"/>
    <w:rPr>
      <w:rFonts w:ascii="宋体" w:hAnsi="Courier New"/>
    </w:rPr>
  </w:style>
  <w:style w:type="paragraph" w:customStyle="1" w:styleId="159">
    <w:name w:val="Char13"/>
    <w:basedOn w:val="1"/>
    <w:qFormat/>
    <w:uiPriority w:val="0"/>
    <w:rPr>
      <w:szCs w:val="24"/>
    </w:rPr>
  </w:style>
  <w:style w:type="character" w:customStyle="1" w:styleId="160">
    <w:name w:val="标题 1 Char"/>
    <w:link w:val="3"/>
    <w:qFormat/>
    <w:uiPriority w:val="0"/>
    <w:rPr>
      <w:rFonts w:ascii="宋体" w:hAnsi="宋体" w:eastAsia="宋体"/>
      <w:b/>
      <w:color w:val="000000"/>
      <w:kern w:val="2"/>
      <w:sz w:val="36"/>
      <w:lang w:val="en-US" w:eastAsia="zh-CN" w:bidi="ar-SA"/>
    </w:rPr>
  </w:style>
  <w:style w:type="character" w:customStyle="1" w:styleId="161">
    <w:name w:val="页眉 Char"/>
    <w:link w:val="30"/>
    <w:qFormat/>
    <w:uiPriority w:val="0"/>
    <w:rPr>
      <w:rFonts w:eastAsia="宋体"/>
      <w:kern w:val="2"/>
      <w:sz w:val="18"/>
      <w:szCs w:val="18"/>
      <w:lang w:val="en-US" w:eastAsia="zh-CN" w:bidi="ar-SA"/>
    </w:rPr>
  </w:style>
  <w:style w:type="character" w:customStyle="1" w:styleId="162">
    <w:name w:val="页脚 Char"/>
    <w:link w:val="29"/>
    <w:qFormat/>
    <w:uiPriority w:val="0"/>
    <w:rPr>
      <w:rFonts w:eastAsia="宋体"/>
      <w:kern w:val="2"/>
      <w:sz w:val="18"/>
      <w:szCs w:val="18"/>
      <w:lang w:val="en-US" w:eastAsia="zh-CN" w:bidi="ar-SA"/>
    </w:rPr>
  </w:style>
  <w:style w:type="character" w:customStyle="1" w:styleId="163">
    <w:name w:val="HTML Markup"/>
    <w:qFormat/>
    <w:uiPriority w:val="0"/>
    <w:rPr>
      <w:vanish/>
      <w:color w:val="FF0000"/>
    </w:rPr>
  </w:style>
  <w:style w:type="character" w:customStyle="1" w:styleId="164">
    <w:name w:val="正文文本 Char"/>
    <w:link w:val="17"/>
    <w:qFormat/>
    <w:uiPriority w:val="0"/>
    <w:rPr>
      <w:rFonts w:eastAsia="宋体"/>
      <w:kern w:val="2"/>
      <w:sz w:val="21"/>
      <w:szCs w:val="24"/>
      <w:lang w:val="en-US" w:eastAsia="zh-CN" w:bidi="ar-SA"/>
    </w:rPr>
  </w:style>
  <w:style w:type="character" w:customStyle="1" w:styleId="165">
    <w:name w:val="样式1 Char"/>
    <w:link w:val="67"/>
    <w:qFormat/>
    <w:uiPriority w:val="0"/>
    <w:rPr>
      <w:rFonts w:ascii="宋体" w:eastAsia="宋体"/>
      <w:kern w:val="2"/>
      <w:sz w:val="28"/>
      <w:szCs w:val="18"/>
      <w:lang w:val="en-US" w:eastAsia="zh-CN" w:bidi="ar-SA"/>
    </w:rPr>
  </w:style>
  <w:style w:type="paragraph" w:customStyle="1" w:styleId="166">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character" w:customStyle="1" w:styleId="167">
    <w:name w:val="正文文本缩进 Char"/>
    <w:link w:val="18"/>
    <w:qFormat/>
    <w:uiPriority w:val="0"/>
    <w:rPr>
      <w:rFonts w:eastAsia="宋体"/>
      <w:kern w:val="2"/>
      <w:sz w:val="28"/>
      <w:lang w:val="en-US" w:eastAsia="zh-CN" w:bidi="ar-SA"/>
    </w:rPr>
  </w:style>
  <w:style w:type="paragraph" w:customStyle="1" w:styleId="168">
    <w:name w:val="目录文字"/>
    <w:basedOn w:val="1"/>
    <w:qFormat/>
    <w:uiPriority w:val="0"/>
    <w:pPr>
      <w:widowControl/>
      <w:spacing w:line="480" w:lineRule="auto"/>
      <w:jc w:val="left"/>
    </w:pPr>
    <w:rPr>
      <w:rFonts w:ascii="宋体" w:hAnsi="宋体"/>
      <w:kern w:val="0"/>
      <w:sz w:val="24"/>
    </w:rPr>
  </w:style>
  <w:style w:type="paragraph" w:customStyle="1" w:styleId="169">
    <w:name w:val="xl23"/>
    <w:next w:val="119"/>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70">
    <w:name w:val="Char Char Char1 Char Char Char Char Char Char Char Char Char Char Char Char Char"/>
    <w:basedOn w:val="13"/>
    <w:qFormat/>
    <w:uiPriority w:val="0"/>
    <w:rPr>
      <w:shd w:val="clear" w:color="auto" w:fill="000080"/>
    </w:rPr>
  </w:style>
  <w:style w:type="character" w:customStyle="1" w:styleId="171">
    <w:name w:val="grame"/>
    <w:basedOn w:val="46"/>
    <w:qFormat/>
    <w:uiPriority w:val="0"/>
  </w:style>
  <w:style w:type="paragraph" w:customStyle="1" w:styleId="172">
    <w:name w:val="TOC 标题1"/>
    <w:basedOn w:val="3"/>
    <w:next w:val="1"/>
    <w:qFormat/>
    <w:uiPriority w:val="39"/>
    <w:pPr>
      <w:keepLines/>
      <w:widowControl/>
      <w:autoSpaceDE/>
      <w:autoSpaceDN/>
      <w:adjustRightInd/>
      <w:spacing w:before="480" w:line="276" w:lineRule="auto"/>
      <w:jc w:val="left"/>
      <w:outlineLvl w:val="9"/>
    </w:pPr>
    <w:rPr>
      <w:rFonts w:ascii="Cambria" w:hAnsi="Cambria"/>
      <w:bCs/>
      <w:color w:val="365F91"/>
      <w:kern w:val="0"/>
      <w:szCs w:val="28"/>
    </w:rPr>
  </w:style>
  <w:style w:type="paragraph" w:customStyle="1" w:styleId="173">
    <w:name w:val="节"/>
    <w:basedOn w:val="4"/>
    <w:qFormat/>
    <w:uiPriority w:val="0"/>
    <w:pPr>
      <w:numPr>
        <w:ilvl w:val="1"/>
        <w:numId w:val="4"/>
      </w:numPr>
      <w:spacing w:before="20" w:after="20" w:line="240" w:lineRule="auto"/>
    </w:pPr>
    <w:rPr>
      <w:rFonts w:ascii="黑体" w:hAnsi="黑体" w:eastAsia="仿宋_GB2312"/>
      <w:b w:val="0"/>
      <w:bCs/>
      <w:sz w:val="28"/>
      <w:szCs w:val="28"/>
    </w:rPr>
  </w:style>
  <w:style w:type="paragraph" w:customStyle="1" w:styleId="174">
    <w:name w:val="列出段落1"/>
    <w:basedOn w:val="1"/>
    <w:qFormat/>
    <w:uiPriority w:val="34"/>
    <w:pPr>
      <w:ind w:firstLine="420" w:firstLineChars="200"/>
    </w:pPr>
  </w:style>
  <w:style w:type="character" w:customStyle="1" w:styleId="175">
    <w:name w:val="纯文本 Char1"/>
    <w:qFormat/>
    <w:uiPriority w:val="0"/>
    <w:rPr>
      <w:rFonts w:ascii="宋体" w:hAnsi="Courier New" w:eastAsia="宋体"/>
      <w:kern w:val="2"/>
      <w:sz w:val="21"/>
      <w:lang w:val="en-US" w:eastAsia="zh-CN" w:bidi="ar-SA"/>
    </w:rPr>
  </w:style>
  <w:style w:type="paragraph" w:customStyle="1" w:styleId="176">
    <w:name w:val="纯文本2"/>
    <w:basedOn w:val="1"/>
    <w:qFormat/>
    <w:uiPriority w:val="0"/>
    <w:rPr>
      <w:rFonts w:ascii="宋体" w:hAnsi="Courier New"/>
    </w:rPr>
  </w:style>
  <w:style w:type="paragraph" w:customStyle="1" w:styleId="177">
    <w:name w:val="列出段落2"/>
    <w:basedOn w:val="1"/>
    <w:qFormat/>
    <w:uiPriority w:val="99"/>
    <w:pPr>
      <w:ind w:firstLine="420" w:firstLineChars="200"/>
    </w:pPr>
  </w:style>
  <w:style w:type="paragraph" w:customStyle="1" w:styleId="178">
    <w:name w:val="列出段落3"/>
    <w:basedOn w:val="1"/>
    <w:qFormat/>
    <w:uiPriority w:val="99"/>
    <w:pPr>
      <w:ind w:firstLine="420" w:firstLineChars="200"/>
    </w:pPr>
  </w:style>
  <w:style w:type="paragraph" w:customStyle="1" w:styleId="179">
    <w:name w:val="TOC 标题2"/>
    <w:basedOn w:val="3"/>
    <w:next w:val="1"/>
    <w:unhideWhenUsed/>
    <w:qFormat/>
    <w:uiPriority w:val="39"/>
    <w:pPr>
      <w:keepLines/>
      <w:widowControl/>
      <w:autoSpaceDE/>
      <w:autoSpaceDN/>
      <w:adjustRightInd/>
      <w:spacing w:before="480" w:line="276" w:lineRule="auto"/>
      <w:jc w:val="left"/>
      <w:outlineLvl w:val="9"/>
    </w:pPr>
    <w:rPr>
      <w:rFonts w:asciiTheme="majorHAnsi" w:hAnsiTheme="majorHAnsi" w:eastAsiaTheme="majorEastAsia" w:cstheme="majorBidi"/>
      <w:bCs/>
      <w:color w:val="376092" w:themeColor="accent1" w:themeShade="BF"/>
      <w:kern w:val="0"/>
      <w:szCs w:val="28"/>
    </w:rPr>
  </w:style>
  <w:style w:type="character" w:customStyle="1" w:styleId="180">
    <w:name w:val="批注框文本 Char"/>
    <w:link w:val="28"/>
    <w:qFormat/>
    <w:uiPriority w:val="99"/>
    <w:rPr>
      <w:kern w:val="2"/>
      <w:sz w:val="18"/>
      <w:szCs w:val="18"/>
    </w:rPr>
  </w:style>
  <w:style w:type="paragraph" w:customStyle="1" w:styleId="18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82">
    <w:name w:val="List Paragraph"/>
    <w:basedOn w:val="1"/>
    <w:qFormat/>
    <w:uiPriority w:val="34"/>
    <w:pPr>
      <w:ind w:firstLine="420" w:firstLineChars="200"/>
    </w:pPr>
    <w:rPr>
      <w:szCs w:val="24"/>
    </w:rPr>
  </w:style>
  <w:style w:type="paragraph" w:customStyle="1" w:styleId="183">
    <w:name w:val="一级列项"/>
    <w:basedOn w:val="1"/>
    <w:qFormat/>
    <w:uiPriority w:val="0"/>
    <w:pPr>
      <w:numPr>
        <w:ilvl w:val="0"/>
        <w:numId w:val="5"/>
      </w:numPr>
      <w:ind w:firstLine="0"/>
    </w:pPr>
    <w:rPr>
      <w:rFonts w:ascii="宋体" w:hAnsi="宋体"/>
      <w:szCs w:val="22"/>
    </w:rPr>
  </w:style>
  <w:style w:type="paragraph" w:customStyle="1" w:styleId="184">
    <w:name w:val="表格文字"/>
    <w:basedOn w:val="1"/>
    <w:qFormat/>
    <w:uiPriority w:val="0"/>
    <w:pPr>
      <w:spacing w:before="25" w:after="25"/>
      <w:jc w:val="left"/>
    </w:pPr>
    <w:rPr>
      <w:bCs/>
      <w:spacing w:val="10"/>
      <w:kern w:val="0"/>
      <w:sz w:val="24"/>
    </w:rPr>
  </w:style>
  <w:style w:type="character" w:customStyle="1" w:styleId="185">
    <w:name w:val="标题 5 Char"/>
    <w:link w:val="7"/>
    <w:qFormat/>
    <w:uiPriority w:val="0"/>
    <w:rPr>
      <w:b/>
      <w:bCs/>
      <w:kern w:val="2"/>
      <w:sz w:val="28"/>
      <w:szCs w:val="28"/>
    </w:rPr>
  </w:style>
  <w:style w:type="paragraph" w:customStyle="1" w:styleId="186">
    <w:name w:val="p2"/>
    <w:basedOn w:val="1"/>
    <w:qFormat/>
    <w:uiPriority w:val="0"/>
    <w:pPr>
      <w:widowControl/>
      <w:spacing w:line="480" w:lineRule="auto"/>
      <w:ind w:firstLine="420"/>
      <w:jc w:val="left"/>
    </w:pPr>
    <w:rPr>
      <w:rFonts w:ascii="宋体" w:hAnsi="宋体" w:cs="宋体"/>
      <w:kern w:val="0"/>
      <w:szCs w:val="21"/>
    </w:rPr>
  </w:style>
  <w:style w:type="paragraph" w:customStyle="1" w:styleId="187">
    <w:name w:val="Heading 3_0"/>
    <w:basedOn w:val="188"/>
    <w:next w:val="188"/>
    <w:unhideWhenUsed/>
    <w:qFormat/>
    <w:uiPriority w:val="0"/>
    <w:pPr>
      <w:keepNext/>
      <w:keepLines/>
      <w:spacing w:line="360" w:lineRule="auto"/>
      <w:outlineLvl w:val="2"/>
    </w:pPr>
    <w:rPr>
      <w:b/>
      <w:bCs/>
      <w:sz w:val="24"/>
      <w:szCs w:val="32"/>
    </w:rPr>
  </w:style>
  <w:style w:type="paragraph" w:customStyle="1" w:styleId="188">
    <w:name w:val="Normal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189">
    <w:name w:val="Heading 4_0"/>
    <w:basedOn w:val="188"/>
    <w:next w:val="188"/>
    <w:unhideWhenUsed/>
    <w:qFormat/>
    <w:uiPriority w:val="0"/>
    <w:pPr>
      <w:keepNext/>
      <w:keepLines/>
      <w:spacing w:line="360" w:lineRule="auto"/>
      <w:outlineLvl w:val="3"/>
    </w:pPr>
    <w:rPr>
      <w:rFonts w:ascii="Arial" w:hAnsi="Arial"/>
      <w:b/>
      <w:bCs/>
      <w:szCs w:val="28"/>
    </w:rPr>
  </w:style>
  <w:style w:type="paragraph" w:customStyle="1" w:styleId="190">
    <w:name w:val="_Style 6"/>
    <w:next w:val="1"/>
    <w:qFormat/>
    <w:uiPriority w:val="0"/>
    <w:pPr>
      <w:keepNext/>
      <w:keepLines/>
      <w:widowControl w:val="0"/>
      <w:spacing w:before="340" w:after="330" w:line="576" w:lineRule="auto"/>
      <w:jc w:val="both"/>
    </w:pPr>
    <w:rPr>
      <w:rFonts w:ascii="Calibri" w:hAnsi="Calibri" w:eastAsia="宋体" w:cs="Times New Roman"/>
      <w:b/>
      <w:bCs/>
      <w:kern w:val="44"/>
      <w:sz w:val="44"/>
      <w:szCs w:val="44"/>
      <w:lang w:val="en-US" w:eastAsia="zh-CN" w:bidi="ar-SA"/>
    </w:rPr>
  </w:style>
  <w:style w:type="paragraph" w:customStyle="1" w:styleId="191">
    <w:name w:val="WPSOffice手动目录 1"/>
    <w:qFormat/>
    <w:uiPriority w:val="0"/>
    <w:rPr>
      <w:rFonts w:ascii="Times New Roman" w:hAnsi="Times New Roman" w:eastAsia="宋体" w:cs="Times New Roman"/>
      <w:lang w:val="en-US" w:eastAsia="zh-CN" w:bidi="ar-SA"/>
    </w:rPr>
  </w:style>
  <w:style w:type="paragraph" w:customStyle="1" w:styleId="192">
    <w:name w:val="正文1"/>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193">
    <w:name w:val="正文（标准）"/>
    <w:basedOn w:val="1"/>
    <w:next w:val="1"/>
    <w:semiHidden/>
    <w:qFormat/>
    <w:uiPriority w:val="0"/>
    <w:pPr>
      <w:ind w:firstLine="525"/>
    </w:pPr>
    <w:rPr>
      <w:rFonts w:ascii="宋体" w:hAnsi="宋体"/>
    </w:rPr>
  </w:style>
  <w:style w:type="paragraph" w:customStyle="1" w:styleId="194">
    <w:name w:val="Table Paragraph"/>
    <w:basedOn w:val="1"/>
    <w:qFormat/>
    <w:uiPriority w:val="1"/>
    <w:rPr>
      <w:rFonts w:ascii="宋体" w:hAnsi="宋体" w:cs="宋体"/>
      <w:lang w:val="zh-CN" w:bidi="zh-CN"/>
    </w:rPr>
  </w:style>
  <w:style w:type="paragraph" w:customStyle="1" w:styleId="195">
    <w:name w:val="正文 A"/>
    <w:qFormat/>
    <w:uiPriority w:val="0"/>
    <w:rPr>
      <w:rFonts w:ascii="Times New Roman" w:hAnsi="Times New Roman" w:eastAsia="Times New Roman" w:cs="Times New Roman"/>
      <w:color w:val="000000"/>
      <w:lang w:val="en-US" w:eastAsia="zh-CN" w:bidi="ar-SA"/>
    </w:rPr>
  </w:style>
  <w:style w:type="table" w:customStyle="1" w:styleId="196">
    <w:name w:val="Table Normal"/>
    <w:qFormat/>
    <w:uiPriority w:val="0"/>
    <w:tblPr>
      <w:tblCellMar>
        <w:top w:w="0" w:type="dxa"/>
        <w:left w:w="0" w:type="dxa"/>
        <w:bottom w:w="0" w:type="dxa"/>
        <w:right w:w="0" w:type="dxa"/>
      </w:tblCellMar>
    </w:tblPr>
  </w:style>
  <w:style w:type="character" w:customStyle="1" w:styleId="197">
    <w:name w:val="标题 3 Char"/>
    <w:link w:val="5"/>
    <w:qFormat/>
    <w:uiPriority w:val="0"/>
    <w:rPr>
      <w:b/>
      <w:bCs/>
      <w:sz w:val="32"/>
      <w:szCs w:val="32"/>
    </w:rPr>
  </w:style>
  <w:style w:type="paragraph" w:customStyle="1" w:styleId="198">
    <w:name w:val="Char Char Char Char1"/>
    <w:next w:val="1"/>
    <w:qFormat/>
    <w:uiPriority w:val="0"/>
    <w:pPr>
      <w:tabs>
        <w:tab w:val="left" w:pos="864"/>
      </w:tabs>
      <w:spacing w:before="160" w:after="160"/>
      <w:ind w:left="864" w:hanging="864"/>
    </w:pPr>
    <w:rPr>
      <w:rFonts w:ascii="Times New Roman" w:hAnsi="Times New Roman" w:eastAsia="宋体" w:cs="Times New Roman"/>
      <w:lang w:val="en-US" w:eastAsia="zh-CN" w:bidi="ar-SA"/>
    </w:rPr>
  </w:style>
  <w:style w:type="paragraph" w:customStyle="1" w:styleId="199">
    <w:name w:val="Table Text"/>
    <w:basedOn w:val="1"/>
    <w:semiHidden/>
    <w:qFormat/>
    <w:uiPriority w:val="0"/>
    <w:rPr>
      <w:rFonts w:ascii="微软雅黑" w:hAnsi="微软雅黑" w:eastAsia="微软雅黑" w:cs="微软雅黑"/>
      <w:sz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3972FF-E020-4E05-8F39-8EC2CFDE55F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16045</Words>
  <Characters>16948</Characters>
  <Lines>218</Lines>
  <Paragraphs>61</Paragraphs>
  <TotalTime>49</TotalTime>
  <ScaleCrop>false</ScaleCrop>
  <LinksUpToDate>false</LinksUpToDate>
  <CharactersWithSpaces>18337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2025-03-25T08:15:00Z</dcterms:created>
  <dc:creator>yy</dc:creator>
  <cp:lastModifiedBy>熊国书</cp:lastModifiedBy>
  <cp:lastPrinted>2023-11-24T09:04:00Z</cp:lastPrinted>
  <dcterms:modified xsi:type="dcterms:W3CDTF">2025-03-31T08:03:34Z</dcterms:modified>
  <dc:title>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A7BBF4C9DE854EED96A448924D297BA1_13</vt:lpwstr>
  </property>
  <property fmtid="{D5CDD505-2E9C-101B-9397-08002B2CF9AE}" pid="3" name="KSOProductBuildVer">
    <vt:lpwstr>2052-12.1.0.20305</vt:lpwstr>
  </property>
  <property fmtid="{D5CDD505-2E9C-101B-9397-08002B2CF9AE}" pid="4" name="KSOSaveFontToCloudKey">
    <vt:lpwstr>572823747_btnclosed</vt:lpwstr>
  </property>
  <property fmtid="{D5CDD505-2E9C-101B-9397-08002B2CF9AE}" pid="5" name="KSOTemplateDocerSaveRecord">
    <vt:lpwstr>eyJoZGlkIjoiNTE1Mjg0ZTBhMzViOGY1MzE3YjY1Yjc5NmRkMDRlN2MiLCJ1c2VySWQiOiIxMzg1MjU4NTYifQ==</vt:lpwstr>
  </property>
</Properties>
</file>