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C19AF0">
      <w:pPr>
        <w:adjustRightInd w:val="0"/>
        <w:snapToGrid w:val="0"/>
        <w:spacing w:line="288" w:lineRule="auto"/>
        <w:ind w:left="238"/>
        <w:jc w:val="center"/>
        <w:outlineLvl w:val="0"/>
        <w:rPr>
          <w:rFonts w:ascii="宋体" w:hAnsi="宋体"/>
          <w:b/>
          <w:bCs/>
          <w:sz w:val="32"/>
          <w:szCs w:val="32"/>
          <w:highlight w:val="none"/>
        </w:rPr>
      </w:pPr>
      <w:bookmarkStart w:id="2" w:name="_GoBack"/>
      <w:bookmarkEnd w:id="2"/>
      <w:r>
        <w:rPr>
          <w:rFonts w:hint="eastAsia" w:ascii="宋体" w:hAnsi="宋体"/>
          <w:b/>
          <w:bCs/>
          <w:sz w:val="32"/>
          <w:szCs w:val="32"/>
          <w:highlight w:val="none"/>
        </w:rPr>
        <w:t>采购需求</w:t>
      </w:r>
    </w:p>
    <w:p w14:paraId="204E3439">
      <w:pPr>
        <w:adjustRightInd w:val="0"/>
        <w:snapToGrid w:val="0"/>
        <w:spacing w:line="288" w:lineRule="auto"/>
        <w:ind w:left="238" w:hanging="238" w:hangingChars="113"/>
        <w:outlineLvl w:val="1"/>
        <w:rPr>
          <w:rFonts w:ascii="宋体" w:hAnsi="宋体"/>
          <w:b/>
          <w:sz w:val="21"/>
          <w:szCs w:val="21"/>
          <w:highlight w:val="none"/>
        </w:rPr>
      </w:pPr>
      <w:r>
        <w:rPr>
          <w:rFonts w:hint="eastAsia" w:ascii="宋体" w:hAnsi="宋体"/>
          <w:b/>
          <w:sz w:val="21"/>
          <w:szCs w:val="21"/>
          <w:highlight w:val="none"/>
        </w:rPr>
        <w:t>一</w:t>
      </w:r>
      <w:r>
        <w:rPr>
          <w:rFonts w:ascii="宋体" w:hAnsi="宋体"/>
          <w:b/>
          <w:sz w:val="21"/>
          <w:szCs w:val="21"/>
          <w:highlight w:val="none"/>
        </w:rPr>
        <w:t>、</w:t>
      </w:r>
      <w:r>
        <w:rPr>
          <w:rFonts w:hint="eastAsia" w:ascii="宋体" w:hAnsi="宋体"/>
          <w:b/>
          <w:sz w:val="21"/>
          <w:szCs w:val="21"/>
          <w:highlight w:val="none"/>
        </w:rPr>
        <w:t>为落实政府采购政策需满足的要求：</w:t>
      </w:r>
    </w:p>
    <w:tbl>
      <w:tblPr>
        <w:tblStyle w:val="3"/>
        <w:tblW w:w="949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31D57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71B843C5">
            <w:pPr>
              <w:adjustRightInd w:val="0"/>
              <w:snapToGrid w:val="0"/>
              <w:spacing w:line="288" w:lineRule="auto"/>
              <w:jc w:val="center"/>
              <w:rPr>
                <w:rFonts w:ascii="宋体" w:hAnsi="宋体" w:cs="宋体"/>
                <w:b/>
                <w:bCs/>
                <w:sz w:val="21"/>
                <w:szCs w:val="21"/>
                <w:highlight w:val="none"/>
              </w:rPr>
            </w:pPr>
            <w:bookmarkStart w:id="0" w:name="_Hlk45005599"/>
            <w:r>
              <w:rPr>
                <w:rFonts w:hint="eastAsia" w:ascii="宋体" w:hAnsi="宋体" w:cs="宋体"/>
                <w:b/>
                <w:bCs/>
                <w:sz w:val="21"/>
                <w:szCs w:val="21"/>
                <w:highlight w:val="none"/>
              </w:rPr>
              <w:t>序号</w:t>
            </w:r>
          </w:p>
        </w:tc>
        <w:tc>
          <w:tcPr>
            <w:tcW w:w="3256" w:type="dxa"/>
            <w:noWrap w:val="0"/>
            <w:vAlign w:val="center"/>
          </w:tcPr>
          <w:p w14:paraId="2D3752FB">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政策名称</w:t>
            </w:r>
          </w:p>
        </w:tc>
        <w:tc>
          <w:tcPr>
            <w:tcW w:w="5529" w:type="dxa"/>
            <w:noWrap w:val="0"/>
            <w:vAlign w:val="center"/>
          </w:tcPr>
          <w:p w14:paraId="2855FDCB">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内容</w:t>
            </w:r>
          </w:p>
        </w:tc>
      </w:tr>
      <w:tr w14:paraId="22561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0698ADDE">
            <w:pPr>
              <w:adjustRightInd w:val="0"/>
              <w:snapToGrid w:val="0"/>
              <w:spacing w:line="288" w:lineRule="auto"/>
              <w:jc w:val="center"/>
              <w:rPr>
                <w:rFonts w:ascii="宋体" w:hAnsi="宋体" w:cs="宋体"/>
                <w:b/>
                <w:bCs/>
                <w:sz w:val="21"/>
                <w:szCs w:val="21"/>
                <w:highlight w:val="none"/>
              </w:rPr>
            </w:pPr>
            <w:r>
              <w:rPr>
                <w:rFonts w:hint="eastAsia" w:ascii="宋体" w:hAnsi="宋体" w:cs="宋体"/>
                <w:sz w:val="21"/>
                <w:szCs w:val="21"/>
                <w:highlight w:val="none"/>
              </w:rPr>
              <w:t>1</w:t>
            </w:r>
          </w:p>
        </w:tc>
        <w:tc>
          <w:tcPr>
            <w:tcW w:w="3256" w:type="dxa"/>
            <w:noWrap w:val="0"/>
            <w:vAlign w:val="center"/>
          </w:tcPr>
          <w:p w14:paraId="4216C306">
            <w:pPr>
              <w:adjustRightInd w:val="0"/>
              <w:snapToGrid w:val="0"/>
              <w:spacing w:line="288" w:lineRule="auto"/>
              <w:jc w:val="left"/>
              <w:rPr>
                <w:rFonts w:ascii="宋体" w:hAnsi="宋体" w:cs="宋体"/>
                <w:color w:val="auto"/>
                <w:sz w:val="21"/>
                <w:szCs w:val="21"/>
                <w:highlight w:val="none"/>
              </w:rPr>
            </w:pPr>
            <w:r>
              <w:rPr>
                <w:rFonts w:hint="eastAsia" w:ascii="宋体" w:hAnsi="宋体" w:cs="宋体"/>
                <w:color w:val="auto"/>
                <w:sz w:val="21"/>
                <w:szCs w:val="21"/>
                <w:highlight w:val="none"/>
              </w:rPr>
              <w:t>政府采购促进中小企业发展</w:t>
            </w:r>
          </w:p>
        </w:tc>
        <w:tc>
          <w:tcPr>
            <w:tcW w:w="5529" w:type="dxa"/>
            <w:noWrap w:val="0"/>
            <w:vAlign w:val="center"/>
          </w:tcPr>
          <w:p w14:paraId="634853B3">
            <w:pPr>
              <w:adjustRightInd w:val="0"/>
              <w:snapToGrid w:val="0"/>
              <w:spacing w:line="288" w:lineRule="auto"/>
              <w:jc w:val="left"/>
              <w:rPr>
                <w:rFonts w:ascii="宋体" w:hAnsi="宋体" w:cs="宋体"/>
                <w:color w:val="auto"/>
                <w:sz w:val="21"/>
                <w:szCs w:val="21"/>
                <w:highlight w:val="none"/>
              </w:rPr>
            </w:pPr>
            <w:r>
              <w:rPr>
                <w:rFonts w:hint="eastAsia" w:ascii="宋体" w:hAnsi="宋体" w:cs="宋体"/>
                <w:color w:val="auto"/>
                <w:sz w:val="21"/>
                <w:szCs w:val="21"/>
                <w:highlight w:val="none"/>
              </w:rPr>
              <w:t>提供材料详见招标文件第六章“报价文件”</w:t>
            </w:r>
          </w:p>
          <w:p w14:paraId="2CA3B81F">
            <w:pPr>
              <w:adjustRightInd w:val="0"/>
              <w:snapToGrid w:val="0"/>
              <w:spacing w:line="288" w:lineRule="auto"/>
              <w:jc w:val="left"/>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rPr>
              <w:t>本项目属性为：</w:t>
            </w:r>
            <w:r>
              <w:rPr>
                <w:rFonts w:hint="eastAsia" w:ascii="宋体" w:hAnsi="宋体"/>
                <w:b/>
                <w:bCs/>
                <w:color w:val="auto"/>
                <w:sz w:val="21"/>
                <w:szCs w:val="21"/>
                <w:highlight w:val="none"/>
                <w:lang w:val="en-US" w:eastAsia="zh-CN"/>
              </w:rPr>
              <w:t>服务</w:t>
            </w:r>
          </w:p>
          <w:p w14:paraId="500CD2E4">
            <w:pPr>
              <w:adjustRightInd w:val="0"/>
              <w:snapToGrid w:val="0"/>
              <w:spacing w:line="288" w:lineRule="auto"/>
              <w:jc w:val="left"/>
              <w:rPr>
                <w:rFonts w:hint="eastAsia" w:ascii="宋体" w:hAnsi="宋体"/>
                <w:b w:val="0"/>
                <w:bCs w:val="0"/>
                <w:color w:val="auto"/>
                <w:sz w:val="21"/>
                <w:szCs w:val="21"/>
                <w:highlight w:val="none"/>
              </w:rPr>
            </w:pPr>
            <w:r>
              <w:rPr>
                <w:rFonts w:hint="eastAsia" w:ascii="宋体" w:hAnsi="宋体"/>
                <w:b/>
                <w:bCs/>
                <w:color w:val="auto"/>
                <w:sz w:val="21"/>
                <w:szCs w:val="21"/>
                <w:highlight w:val="none"/>
              </w:rPr>
              <w:t>采购标的对应的中小企业划分标准所属行业：</w:t>
            </w:r>
            <w:r>
              <w:rPr>
                <w:rFonts w:hint="eastAsia" w:ascii="宋体" w:hAnsi="宋体"/>
                <w:b w:val="0"/>
                <w:bCs w:val="0"/>
                <w:color w:val="auto"/>
                <w:sz w:val="21"/>
                <w:szCs w:val="21"/>
                <w:highlight w:val="none"/>
              </w:rPr>
              <w:t>租赁和商务服务业</w:t>
            </w:r>
          </w:p>
          <w:p w14:paraId="713269ED">
            <w:pPr>
              <w:adjustRightInd w:val="0"/>
              <w:snapToGrid w:val="0"/>
              <w:spacing w:line="288" w:lineRule="auto"/>
              <w:jc w:val="left"/>
              <w:rPr>
                <w:rFonts w:ascii="宋体" w:hAnsi="宋体" w:cs="宋体"/>
                <w:b/>
                <w:bCs/>
                <w:color w:val="auto"/>
                <w:sz w:val="21"/>
                <w:szCs w:val="21"/>
                <w:highlight w:val="none"/>
              </w:rPr>
            </w:pPr>
            <w:r>
              <w:rPr>
                <w:rFonts w:hint="eastAsia" w:ascii="宋体" w:hAnsi="宋体"/>
                <w:b/>
                <w:bCs/>
                <w:color w:val="auto"/>
                <w:sz w:val="21"/>
                <w:szCs w:val="21"/>
                <w:highlight w:val="none"/>
              </w:rPr>
              <w:t>中小企业划型标准：</w:t>
            </w:r>
            <w:r>
              <w:rPr>
                <w:rFonts w:hint="eastAsia" w:ascii="宋体" w:hAnsi="宋体"/>
                <w:b w:val="0"/>
                <w:bCs w:val="0"/>
                <w:color w:val="auto"/>
                <w:sz w:val="21"/>
                <w:szCs w:val="21"/>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w:t>
            </w:r>
            <w:r>
              <w:rPr>
                <w:rFonts w:hint="eastAsia" w:ascii="宋体" w:hAnsi="宋体" w:eastAsia="宋体" w:cs="Times New Roman"/>
                <w:b w:val="0"/>
                <w:bCs w:val="0"/>
                <w:color w:val="auto"/>
                <w:sz w:val="21"/>
                <w:szCs w:val="21"/>
                <w:highlight w:val="none"/>
              </w:rPr>
              <w:t>员10人以下或资产总额100万元以下的为微型企业。</w:t>
            </w:r>
          </w:p>
        </w:tc>
      </w:tr>
      <w:tr w14:paraId="77401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6827CE6B">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2</w:t>
            </w:r>
          </w:p>
        </w:tc>
        <w:tc>
          <w:tcPr>
            <w:tcW w:w="3256" w:type="dxa"/>
            <w:noWrap w:val="0"/>
            <w:vAlign w:val="center"/>
          </w:tcPr>
          <w:p w14:paraId="5011862E">
            <w:pPr>
              <w:adjustRightInd w:val="0"/>
              <w:snapToGrid w:val="0"/>
              <w:spacing w:line="288" w:lineRule="auto"/>
              <w:jc w:val="left"/>
              <w:rPr>
                <w:rFonts w:ascii="宋体" w:hAnsi="宋体" w:cs="宋体"/>
                <w:sz w:val="21"/>
                <w:szCs w:val="21"/>
                <w:highlight w:val="none"/>
              </w:rPr>
            </w:pPr>
            <w:r>
              <w:rPr>
                <w:rFonts w:hint="eastAsia" w:ascii="宋体" w:hAnsi="宋体" w:cs="宋体"/>
                <w:sz w:val="21"/>
                <w:szCs w:val="21"/>
                <w:highlight w:val="none"/>
              </w:rPr>
              <w:t>政府采购支持监狱企业发展</w:t>
            </w:r>
          </w:p>
        </w:tc>
        <w:tc>
          <w:tcPr>
            <w:tcW w:w="5529" w:type="dxa"/>
            <w:noWrap w:val="0"/>
            <w:vAlign w:val="center"/>
          </w:tcPr>
          <w:p w14:paraId="53005D94">
            <w:pPr>
              <w:adjustRightInd w:val="0"/>
              <w:snapToGrid w:val="0"/>
              <w:spacing w:line="288" w:lineRule="auto"/>
              <w:jc w:val="left"/>
              <w:rPr>
                <w:rFonts w:ascii="宋体" w:hAnsi="宋体"/>
                <w:b/>
                <w:bCs/>
                <w:sz w:val="21"/>
                <w:szCs w:val="21"/>
                <w:highlight w:val="none"/>
              </w:rPr>
            </w:pPr>
            <w:r>
              <w:rPr>
                <w:rFonts w:hint="eastAsia" w:ascii="宋体" w:hAnsi="宋体" w:cs="宋体"/>
                <w:sz w:val="21"/>
                <w:szCs w:val="21"/>
                <w:highlight w:val="none"/>
              </w:rPr>
              <w:t>提供材料详见招标文件第六章“报价文件”</w:t>
            </w:r>
          </w:p>
        </w:tc>
      </w:tr>
      <w:tr w14:paraId="78B64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2E90AF72">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3</w:t>
            </w:r>
          </w:p>
        </w:tc>
        <w:tc>
          <w:tcPr>
            <w:tcW w:w="3256" w:type="dxa"/>
            <w:noWrap w:val="0"/>
            <w:vAlign w:val="center"/>
          </w:tcPr>
          <w:p w14:paraId="41847A22">
            <w:pPr>
              <w:adjustRightInd w:val="0"/>
              <w:snapToGrid w:val="0"/>
              <w:spacing w:line="288" w:lineRule="auto"/>
              <w:jc w:val="left"/>
              <w:rPr>
                <w:rFonts w:ascii="宋体" w:hAnsi="宋体" w:cs="宋体"/>
                <w:sz w:val="21"/>
                <w:szCs w:val="21"/>
                <w:highlight w:val="none"/>
              </w:rPr>
            </w:pPr>
            <w:r>
              <w:rPr>
                <w:rFonts w:hint="eastAsia" w:ascii="宋体" w:hAnsi="宋体" w:cs="宋体"/>
                <w:sz w:val="21"/>
                <w:szCs w:val="21"/>
                <w:highlight w:val="none"/>
              </w:rPr>
              <w:t>政府采购促进残疾人就业</w:t>
            </w:r>
          </w:p>
        </w:tc>
        <w:tc>
          <w:tcPr>
            <w:tcW w:w="5529" w:type="dxa"/>
            <w:noWrap w:val="0"/>
            <w:vAlign w:val="center"/>
          </w:tcPr>
          <w:p w14:paraId="4CA04430">
            <w:pPr>
              <w:adjustRightInd w:val="0"/>
              <w:snapToGrid w:val="0"/>
              <w:spacing w:line="288" w:lineRule="auto"/>
              <w:jc w:val="left"/>
              <w:rPr>
                <w:rFonts w:ascii="宋体" w:hAnsi="宋体" w:cs="宋体"/>
                <w:sz w:val="21"/>
                <w:szCs w:val="21"/>
                <w:highlight w:val="none"/>
              </w:rPr>
            </w:pPr>
            <w:r>
              <w:rPr>
                <w:rFonts w:hint="eastAsia" w:ascii="宋体" w:hAnsi="宋体" w:cs="宋体"/>
                <w:sz w:val="21"/>
                <w:szCs w:val="21"/>
                <w:highlight w:val="none"/>
              </w:rPr>
              <w:t>提供材料详见招标文件第六章“报价文件”</w:t>
            </w:r>
          </w:p>
        </w:tc>
      </w:tr>
      <w:bookmarkEnd w:id="0"/>
    </w:tbl>
    <w:p w14:paraId="6E0B19BC">
      <w:pPr>
        <w:adjustRightInd w:val="0"/>
        <w:snapToGrid w:val="0"/>
        <w:spacing w:line="288" w:lineRule="auto"/>
        <w:rPr>
          <w:rFonts w:ascii="宋体" w:hAnsi="宋体"/>
          <w:sz w:val="21"/>
          <w:szCs w:val="21"/>
          <w:highlight w:val="none"/>
        </w:rPr>
      </w:pPr>
    </w:p>
    <w:p w14:paraId="39D9148C">
      <w:pPr>
        <w:adjustRightInd w:val="0"/>
        <w:snapToGrid w:val="0"/>
        <w:spacing w:line="288" w:lineRule="auto"/>
        <w:outlineLvl w:val="1"/>
        <w:rPr>
          <w:rFonts w:ascii="宋体" w:hAnsi="宋体"/>
          <w:b/>
          <w:sz w:val="21"/>
          <w:szCs w:val="21"/>
          <w:highlight w:val="none"/>
        </w:rPr>
      </w:pPr>
      <w:r>
        <w:rPr>
          <w:rFonts w:hint="eastAsia" w:ascii="宋体" w:hAnsi="宋体"/>
          <w:b/>
          <w:sz w:val="21"/>
          <w:szCs w:val="21"/>
          <w:highlight w:val="none"/>
        </w:rPr>
        <w:t>二</w:t>
      </w:r>
      <w:r>
        <w:rPr>
          <w:rFonts w:ascii="宋体" w:hAnsi="宋体"/>
          <w:b/>
          <w:sz w:val="21"/>
          <w:szCs w:val="21"/>
          <w:highlight w:val="none"/>
        </w:rPr>
        <w:t>、</w:t>
      </w:r>
      <w:r>
        <w:rPr>
          <w:rFonts w:hint="eastAsia" w:ascii="宋体" w:hAnsi="宋体"/>
          <w:b/>
          <w:sz w:val="21"/>
          <w:szCs w:val="21"/>
          <w:highlight w:val="none"/>
        </w:rPr>
        <w:t>采购资金的支付方式、时间、条件：</w:t>
      </w:r>
    </w:p>
    <w:tbl>
      <w:tblPr>
        <w:tblStyle w:val="3"/>
        <w:tblW w:w="9493"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14:paraId="7780D3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38F6ECA9">
            <w:pPr>
              <w:adjustRightInd w:val="0"/>
              <w:snapToGrid w:val="0"/>
              <w:spacing w:line="288" w:lineRule="auto"/>
              <w:jc w:val="center"/>
              <w:rPr>
                <w:rFonts w:hint="default" w:ascii="宋体" w:hAnsi="宋体" w:eastAsia="宋体"/>
                <w:b/>
                <w:spacing w:val="-6"/>
                <w:sz w:val="21"/>
                <w:szCs w:val="21"/>
                <w:highlight w:val="none"/>
                <w:lang w:val="en-US" w:eastAsia="zh-CN"/>
              </w:rPr>
            </w:pPr>
            <w:bookmarkStart w:id="1" w:name="_Hlk45005608"/>
            <w:r>
              <w:rPr>
                <w:rFonts w:hint="eastAsia" w:ascii="宋体" w:hAnsi="宋体"/>
                <w:b/>
                <w:spacing w:val="-6"/>
                <w:sz w:val="21"/>
                <w:szCs w:val="21"/>
                <w:highlight w:val="none"/>
              </w:rPr>
              <w:t>▲</w:t>
            </w:r>
            <w:r>
              <w:rPr>
                <w:rFonts w:hint="eastAsia" w:ascii="宋体" w:hAnsi="宋体"/>
                <w:b/>
                <w:spacing w:val="-6"/>
                <w:sz w:val="21"/>
                <w:szCs w:val="21"/>
                <w:highlight w:val="none"/>
                <w:lang w:val="en-US" w:eastAsia="zh-CN"/>
              </w:rPr>
              <w:t>履约保证金</w:t>
            </w:r>
          </w:p>
        </w:tc>
        <w:tc>
          <w:tcPr>
            <w:tcW w:w="7650" w:type="dxa"/>
            <w:tcBorders>
              <w:top w:val="single" w:color="auto" w:sz="4" w:space="0"/>
              <w:left w:val="single" w:color="auto" w:sz="4" w:space="0"/>
              <w:bottom w:val="single" w:color="auto" w:sz="4" w:space="0"/>
              <w:right w:val="single" w:color="auto" w:sz="4" w:space="0"/>
            </w:tcBorders>
            <w:noWrap w:val="0"/>
            <w:vAlign w:val="center"/>
          </w:tcPr>
          <w:p w14:paraId="093D02CE">
            <w:pPr>
              <w:autoSpaceDE w:val="0"/>
              <w:autoSpaceDN w:val="0"/>
              <w:adjustRightInd w:val="0"/>
              <w:snapToGrid w:val="0"/>
              <w:spacing w:line="288" w:lineRule="auto"/>
              <w:ind w:firstLine="396" w:firstLineChars="200"/>
              <w:jc w:val="left"/>
              <w:rPr>
                <w:rFonts w:hint="default" w:ascii="宋体" w:hAnsi="宋体" w:eastAsia="宋体" w:cs="宋体"/>
                <w:spacing w:val="-6"/>
                <w:kern w:val="0"/>
                <w:sz w:val="21"/>
                <w:szCs w:val="21"/>
                <w:highlight w:val="none"/>
                <w:lang w:val="en-US" w:eastAsia="zh-CN"/>
              </w:rPr>
            </w:pPr>
            <w:r>
              <w:rPr>
                <w:rFonts w:hint="eastAsia" w:ascii="宋体" w:hAnsi="宋体" w:cs="宋体"/>
                <w:spacing w:val="-6"/>
                <w:kern w:val="0"/>
                <w:sz w:val="21"/>
                <w:szCs w:val="21"/>
                <w:highlight w:val="none"/>
                <w:lang w:val="en-US" w:eastAsia="zh-CN"/>
              </w:rPr>
              <w:t>详见合同条款</w:t>
            </w:r>
          </w:p>
        </w:tc>
      </w:tr>
      <w:tr w14:paraId="749AFB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2AD23484">
            <w:pPr>
              <w:adjustRightInd w:val="0"/>
              <w:snapToGrid w:val="0"/>
              <w:spacing w:line="288" w:lineRule="auto"/>
              <w:jc w:val="center"/>
              <w:rPr>
                <w:rFonts w:ascii="宋体" w:hAnsi="宋体"/>
                <w:b/>
                <w:spacing w:val="-6"/>
                <w:sz w:val="21"/>
                <w:szCs w:val="21"/>
                <w:highlight w:val="none"/>
              </w:rPr>
            </w:pPr>
            <w:r>
              <w:rPr>
                <w:rFonts w:hint="eastAsia" w:ascii="宋体" w:hAnsi="宋体"/>
                <w:b/>
                <w:spacing w:val="-6"/>
                <w:sz w:val="21"/>
                <w:szCs w:val="21"/>
                <w:highlight w:val="none"/>
              </w:rPr>
              <w:t>▲付款方式</w:t>
            </w:r>
          </w:p>
        </w:tc>
        <w:tc>
          <w:tcPr>
            <w:tcW w:w="7650" w:type="dxa"/>
            <w:tcBorders>
              <w:top w:val="single" w:color="auto" w:sz="4" w:space="0"/>
              <w:left w:val="single" w:color="auto" w:sz="4" w:space="0"/>
              <w:bottom w:val="single" w:color="auto" w:sz="4" w:space="0"/>
              <w:right w:val="single" w:color="auto" w:sz="4" w:space="0"/>
            </w:tcBorders>
            <w:noWrap w:val="0"/>
            <w:vAlign w:val="center"/>
          </w:tcPr>
          <w:p w14:paraId="58753F02">
            <w:pPr>
              <w:autoSpaceDE w:val="0"/>
              <w:autoSpaceDN w:val="0"/>
              <w:adjustRightInd w:val="0"/>
              <w:snapToGrid w:val="0"/>
              <w:spacing w:line="288" w:lineRule="auto"/>
              <w:ind w:firstLine="396" w:firstLineChars="200"/>
              <w:jc w:val="left"/>
              <w:rPr>
                <w:rFonts w:hint="default" w:ascii="宋体" w:hAnsi="宋体" w:eastAsia="宋体" w:cs="宋体"/>
                <w:spacing w:val="-6"/>
                <w:kern w:val="0"/>
                <w:sz w:val="21"/>
                <w:szCs w:val="21"/>
                <w:highlight w:val="none"/>
                <w:lang w:val="en-US" w:eastAsia="zh-CN"/>
              </w:rPr>
            </w:pPr>
            <w:r>
              <w:rPr>
                <w:rFonts w:hint="eastAsia" w:ascii="宋体" w:hAnsi="宋体" w:cs="宋体"/>
                <w:spacing w:val="-6"/>
                <w:kern w:val="0"/>
                <w:sz w:val="21"/>
                <w:szCs w:val="21"/>
                <w:highlight w:val="none"/>
                <w:lang w:val="en-US" w:eastAsia="zh-CN"/>
              </w:rPr>
              <w:t>详见合同条款</w:t>
            </w:r>
          </w:p>
        </w:tc>
      </w:tr>
      <w:bookmarkEnd w:id="1"/>
    </w:tbl>
    <w:p w14:paraId="2F63733C">
      <w:pPr>
        <w:adjustRightInd w:val="0"/>
        <w:snapToGrid w:val="0"/>
        <w:spacing w:line="288" w:lineRule="auto"/>
        <w:ind w:left="238" w:hanging="238" w:hangingChars="113"/>
        <w:rPr>
          <w:rFonts w:ascii="宋体" w:hAnsi="宋体"/>
          <w:b/>
          <w:sz w:val="21"/>
          <w:szCs w:val="21"/>
          <w:highlight w:val="none"/>
        </w:rPr>
      </w:pPr>
    </w:p>
    <w:p w14:paraId="4ACC504E">
      <w:pPr>
        <w:keepNext w:val="0"/>
        <w:keepLines w:val="0"/>
        <w:pageBreakBefore w:val="0"/>
        <w:widowControl w:val="0"/>
        <w:kinsoku/>
        <w:wordWrap/>
        <w:overflowPunct/>
        <w:topLinePunct w:val="0"/>
        <w:autoSpaceDE/>
        <w:autoSpaceDN/>
        <w:bidi w:val="0"/>
        <w:adjustRightInd w:val="0"/>
        <w:snapToGrid w:val="0"/>
        <w:spacing w:line="288" w:lineRule="auto"/>
        <w:textAlignment w:val="auto"/>
        <w:outlineLvl w:val="1"/>
        <w:rPr>
          <w:rFonts w:ascii="宋体" w:hAnsi="宋体"/>
          <w:b/>
          <w:bCs/>
          <w:sz w:val="21"/>
          <w:szCs w:val="21"/>
          <w:highlight w:val="none"/>
        </w:rPr>
      </w:pPr>
      <w:r>
        <w:rPr>
          <w:rFonts w:hint="eastAsia" w:ascii="宋体" w:hAnsi="宋体"/>
          <w:b/>
          <w:sz w:val="21"/>
          <w:szCs w:val="21"/>
          <w:highlight w:val="none"/>
        </w:rPr>
        <w:t>三</w:t>
      </w:r>
      <w:r>
        <w:rPr>
          <w:rFonts w:ascii="宋体" w:hAnsi="宋体"/>
          <w:b/>
          <w:sz w:val="21"/>
          <w:szCs w:val="21"/>
          <w:highlight w:val="none"/>
        </w:rPr>
        <w:t>、</w:t>
      </w:r>
      <w:r>
        <w:rPr>
          <w:rFonts w:hint="eastAsia" w:ascii="宋体" w:hAnsi="宋体"/>
          <w:b/>
          <w:sz w:val="21"/>
          <w:szCs w:val="21"/>
          <w:highlight w:val="none"/>
        </w:rPr>
        <w:t>服务</w:t>
      </w:r>
      <w:r>
        <w:rPr>
          <w:rFonts w:ascii="宋体" w:hAnsi="宋体"/>
          <w:b/>
          <w:sz w:val="21"/>
          <w:szCs w:val="21"/>
          <w:highlight w:val="none"/>
        </w:rPr>
        <w:t>要求</w:t>
      </w:r>
    </w:p>
    <w:p w14:paraId="1BE32519">
      <w:pPr>
        <w:keepNext w:val="0"/>
        <w:keepLines w:val="0"/>
        <w:pageBreakBefore w:val="0"/>
        <w:widowControl w:val="0"/>
        <w:kinsoku/>
        <w:wordWrap/>
        <w:overflowPunct/>
        <w:topLinePunct w:val="0"/>
        <w:autoSpaceDE/>
        <w:autoSpaceDN/>
        <w:bidi w:val="0"/>
        <w:adjustRightInd/>
        <w:snapToGrid w:val="0"/>
        <w:spacing w:line="288" w:lineRule="auto"/>
        <w:ind w:firstLine="422" w:firstLineChars="200"/>
        <w:textAlignment w:val="auto"/>
        <w:outlineLvl w:val="2"/>
        <w:rPr>
          <w:rFonts w:hint="eastAsia" w:ascii="宋体" w:hAnsi="宋体"/>
          <w:b/>
          <w:sz w:val="21"/>
          <w:szCs w:val="21"/>
          <w:highlight w:val="none"/>
        </w:rPr>
      </w:pPr>
      <w:r>
        <w:rPr>
          <w:rFonts w:hint="eastAsia" w:asciiTheme="minorEastAsia" w:hAnsiTheme="minorEastAsia" w:eastAsiaTheme="minorEastAsia" w:cstheme="minorEastAsia"/>
          <w:b/>
          <w:kern w:val="0"/>
          <w:sz w:val="21"/>
          <w:szCs w:val="21"/>
          <w:highlight w:val="none"/>
          <w:lang w:eastAsia="zh-CN"/>
        </w:rPr>
        <w:t>（</w:t>
      </w:r>
      <w:r>
        <w:rPr>
          <w:rFonts w:hint="eastAsia" w:asciiTheme="minorEastAsia" w:hAnsiTheme="minorEastAsia" w:eastAsiaTheme="minorEastAsia" w:cstheme="minorEastAsia"/>
          <w:b/>
          <w:kern w:val="0"/>
          <w:sz w:val="21"/>
          <w:szCs w:val="21"/>
          <w:highlight w:val="none"/>
          <w:lang w:val="en-US" w:eastAsia="zh-CN"/>
        </w:rPr>
        <w:t>一</w:t>
      </w:r>
      <w:r>
        <w:rPr>
          <w:rFonts w:hint="eastAsia" w:asciiTheme="minorEastAsia" w:hAnsiTheme="minorEastAsia" w:eastAsiaTheme="minorEastAsia" w:cstheme="minorEastAsia"/>
          <w:b/>
          <w:kern w:val="0"/>
          <w:sz w:val="21"/>
          <w:szCs w:val="21"/>
          <w:highlight w:val="none"/>
          <w:lang w:eastAsia="zh-CN"/>
        </w:rPr>
        <w:t>）</w:t>
      </w:r>
      <w:r>
        <w:rPr>
          <w:rFonts w:hint="eastAsia" w:ascii="宋体" w:hAnsi="宋体"/>
          <w:b/>
          <w:sz w:val="21"/>
          <w:szCs w:val="21"/>
          <w:highlight w:val="none"/>
          <w:lang w:val="en-US" w:eastAsia="zh-CN"/>
        </w:rPr>
        <w:t>一期工程</w:t>
      </w:r>
      <w:r>
        <w:rPr>
          <w:rFonts w:hint="eastAsia" w:ascii="宋体" w:hAnsi="宋体"/>
          <w:b/>
          <w:sz w:val="21"/>
          <w:szCs w:val="21"/>
          <w:highlight w:val="none"/>
        </w:rPr>
        <w:t>项目概况</w:t>
      </w:r>
    </w:p>
    <w:p w14:paraId="1ACF61F3">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浙江大学紫金港校区良渚校园选址于浙江省杭州市</w:t>
      </w:r>
      <w:r>
        <w:rPr>
          <w:rFonts w:hint="eastAsia" w:asciiTheme="minorEastAsia" w:hAnsiTheme="minorEastAsia" w:eastAsiaTheme="minorEastAsia" w:cstheme="minorEastAsia"/>
          <w:kern w:val="0"/>
          <w:sz w:val="21"/>
          <w:szCs w:val="21"/>
          <w:highlight w:val="none"/>
          <w:lang w:val="en-US" w:eastAsia="zh-CN"/>
        </w:rPr>
        <w:t>余杭区</w:t>
      </w:r>
      <w:r>
        <w:rPr>
          <w:rFonts w:hint="eastAsia" w:asciiTheme="minorEastAsia" w:hAnsiTheme="minorEastAsia" w:eastAsiaTheme="minorEastAsia" w:cstheme="minorEastAsia"/>
          <w:kern w:val="0"/>
          <w:sz w:val="21"/>
          <w:szCs w:val="21"/>
          <w:highlight w:val="none"/>
        </w:rPr>
        <w:t>西站新城单元，项目用地面积约300亩，具体以实测为准，用地范围内不涉及永久基本农田，</w:t>
      </w:r>
      <w:r>
        <w:rPr>
          <w:rFonts w:hint="eastAsia" w:asciiTheme="minorEastAsia" w:hAnsiTheme="minorEastAsia" w:eastAsiaTheme="minorEastAsia" w:cstheme="minorEastAsia"/>
          <w:kern w:val="0"/>
          <w:sz w:val="21"/>
          <w:szCs w:val="21"/>
          <w:highlight w:val="none"/>
          <w:lang w:val="en-US" w:eastAsia="zh-CN"/>
        </w:rPr>
        <w:t>一期工程</w:t>
      </w:r>
      <w:r>
        <w:rPr>
          <w:rFonts w:hint="eastAsia" w:asciiTheme="minorEastAsia" w:hAnsiTheme="minorEastAsia" w:eastAsiaTheme="minorEastAsia" w:cstheme="minorEastAsia"/>
          <w:kern w:val="0"/>
          <w:sz w:val="21"/>
          <w:szCs w:val="21"/>
          <w:highlight w:val="none"/>
        </w:rPr>
        <w:t>建筑面积：总建筑面积251000平方米，其中地上建筑面积191000平方米，地下建筑面积60000平方米。一期工程建设投资约21.09亿元，</w:t>
      </w:r>
      <w:r>
        <w:rPr>
          <w:rFonts w:hint="eastAsia" w:asciiTheme="minorEastAsia" w:hAnsiTheme="minorEastAsia" w:eastAsiaTheme="minorEastAsia" w:cstheme="minorEastAsia"/>
          <w:kern w:val="0"/>
          <w:sz w:val="21"/>
          <w:szCs w:val="21"/>
          <w:highlight w:val="none"/>
          <w:lang w:val="en-US" w:eastAsia="zh-CN"/>
        </w:rPr>
        <w:t>根据《政府投资条例》（国务院令第712号）、《教育部直属高校基本建设管理办法》（教发[2017]7号），浙江大学的基本建设项目均需报教育部审查批复</w:t>
      </w:r>
      <w:r>
        <w:rPr>
          <w:rFonts w:hint="eastAsia" w:asciiTheme="minorEastAsia" w:hAnsiTheme="minorEastAsia" w:eastAsiaTheme="minorEastAsia" w:cstheme="minorEastAsia"/>
          <w:kern w:val="0"/>
          <w:sz w:val="21"/>
          <w:szCs w:val="21"/>
          <w:highlight w:val="none"/>
        </w:rPr>
        <w:t>。</w:t>
      </w:r>
    </w:p>
    <w:p w14:paraId="7441F933">
      <w:pPr>
        <w:pStyle w:val="2"/>
        <w:keepNext w:val="0"/>
        <w:keepLines w:val="0"/>
        <w:pageBreakBefore w:val="0"/>
        <w:kinsoku/>
        <w:wordWrap/>
        <w:overflowPunct/>
        <w:topLinePunct w:val="0"/>
        <w:autoSpaceDE/>
        <w:autoSpaceDN/>
        <w:bidi w:val="0"/>
        <w:adjustRightInd/>
        <w:snapToGrid w:val="0"/>
        <w:spacing w:after="0" w:line="288" w:lineRule="auto"/>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良渚校园分组团建设内容如下表所示：</w:t>
      </w:r>
    </w:p>
    <w:tbl>
      <w:tblPr>
        <w:tblStyle w:val="3"/>
        <w:tblW w:w="99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2"/>
        <w:gridCol w:w="929"/>
        <w:gridCol w:w="604"/>
        <w:gridCol w:w="2877"/>
        <w:gridCol w:w="1470"/>
        <w:gridCol w:w="1680"/>
        <w:gridCol w:w="1560"/>
      </w:tblGrid>
      <w:tr w14:paraId="545B5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72" w:type="dxa"/>
            <w:shd w:val="clear" w:color="auto" w:fill="EEECE1"/>
            <w:vAlign w:val="center"/>
          </w:tcPr>
          <w:p w14:paraId="042E1763">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描述</w:t>
            </w:r>
          </w:p>
        </w:tc>
        <w:tc>
          <w:tcPr>
            <w:tcW w:w="929" w:type="dxa"/>
            <w:shd w:val="clear" w:color="auto" w:fill="EEECE1"/>
            <w:vAlign w:val="center"/>
          </w:tcPr>
          <w:p w14:paraId="172ED1CC">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组团</w:t>
            </w:r>
          </w:p>
        </w:tc>
        <w:tc>
          <w:tcPr>
            <w:tcW w:w="604" w:type="dxa"/>
            <w:shd w:val="clear" w:color="auto" w:fill="EEECE1"/>
            <w:vAlign w:val="center"/>
          </w:tcPr>
          <w:p w14:paraId="634A5B35">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编号</w:t>
            </w:r>
          </w:p>
        </w:tc>
        <w:tc>
          <w:tcPr>
            <w:tcW w:w="2877" w:type="dxa"/>
            <w:shd w:val="clear" w:color="auto" w:fill="EEECE1"/>
            <w:vAlign w:val="center"/>
          </w:tcPr>
          <w:p w14:paraId="1669D764">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名称</w:t>
            </w:r>
          </w:p>
        </w:tc>
        <w:tc>
          <w:tcPr>
            <w:tcW w:w="1470" w:type="dxa"/>
            <w:shd w:val="clear" w:color="auto" w:fill="EEECE1"/>
            <w:vAlign w:val="center"/>
          </w:tcPr>
          <w:p w14:paraId="27D766EB">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建筑面积</w:t>
            </w:r>
          </w:p>
          <w:p w14:paraId="55824D4A">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（平方米）</w:t>
            </w:r>
          </w:p>
        </w:tc>
        <w:tc>
          <w:tcPr>
            <w:tcW w:w="1680" w:type="dxa"/>
            <w:shd w:val="clear" w:color="auto" w:fill="EEECE1"/>
            <w:vAlign w:val="center"/>
          </w:tcPr>
          <w:p w14:paraId="6110FCBF">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组团建筑面积（平方米）</w:t>
            </w:r>
          </w:p>
        </w:tc>
        <w:tc>
          <w:tcPr>
            <w:tcW w:w="1560" w:type="dxa"/>
            <w:shd w:val="clear" w:color="auto" w:fill="EEECE1"/>
            <w:vAlign w:val="center"/>
          </w:tcPr>
          <w:p w14:paraId="3BE7AA0C">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cs="宋体"/>
                <w:color w:val="auto"/>
                <w:kern w:val="0"/>
                <w:sz w:val="21"/>
                <w:szCs w:val="21"/>
                <w:highlight w:val="none"/>
                <w:lang w:val="en-US" w:eastAsia="zh-CN" w:bidi="ar-SA"/>
              </w:rPr>
              <w:t>投资（亿元）</w:t>
            </w:r>
          </w:p>
        </w:tc>
      </w:tr>
      <w:tr w14:paraId="38FE3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872" w:type="dxa"/>
            <w:vMerge w:val="restart"/>
            <w:vAlign w:val="center"/>
          </w:tcPr>
          <w:p w14:paraId="50C05DCB">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一期工程</w:t>
            </w:r>
          </w:p>
        </w:tc>
        <w:tc>
          <w:tcPr>
            <w:tcW w:w="1533" w:type="dxa"/>
            <w:gridSpan w:val="2"/>
            <w:vAlign w:val="center"/>
          </w:tcPr>
          <w:p w14:paraId="5E46D898">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一期组团</w:t>
            </w:r>
          </w:p>
        </w:tc>
        <w:tc>
          <w:tcPr>
            <w:tcW w:w="2877" w:type="dxa"/>
            <w:vAlign w:val="center"/>
          </w:tcPr>
          <w:p w14:paraId="705077AC">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p>
        </w:tc>
        <w:tc>
          <w:tcPr>
            <w:tcW w:w="1470" w:type="dxa"/>
            <w:vAlign w:val="center"/>
          </w:tcPr>
          <w:p w14:paraId="6697914E">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w:t>
            </w:r>
          </w:p>
        </w:tc>
        <w:tc>
          <w:tcPr>
            <w:tcW w:w="1680" w:type="dxa"/>
            <w:vAlign w:val="center"/>
          </w:tcPr>
          <w:p w14:paraId="11DBC49F">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p>
        </w:tc>
        <w:tc>
          <w:tcPr>
            <w:tcW w:w="1560" w:type="dxa"/>
            <w:shd w:val="clear" w:color="auto" w:fill="auto"/>
            <w:vAlign w:val="center"/>
          </w:tcPr>
          <w:p w14:paraId="2C90506B">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p>
        </w:tc>
      </w:tr>
      <w:tr w14:paraId="2A34F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872" w:type="dxa"/>
            <w:vMerge w:val="continue"/>
            <w:vAlign w:val="center"/>
          </w:tcPr>
          <w:p w14:paraId="07C6A437">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p>
        </w:tc>
        <w:tc>
          <w:tcPr>
            <w:tcW w:w="929" w:type="dxa"/>
            <w:vAlign w:val="center"/>
          </w:tcPr>
          <w:p w14:paraId="1C8652F0">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组团1</w:t>
            </w:r>
          </w:p>
        </w:tc>
        <w:tc>
          <w:tcPr>
            <w:tcW w:w="604" w:type="dxa"/>
            <w:vAlign w:val="center"/>
          </w:tcPr>
          <w:p w14:paraId="6AE868D1">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w:t>
            </w:r>
          </w:p>
        </w:tc>
        <w:tc>
          <w:tcPr>
            <w:tcW w:w="2877" w:type="dxa"/>
            <w:vAlign w:val="center"/>
          </w:tcPr>
          <w:p w14:paraId="2355CB0A">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科研创新与成果转化中心A</w:t>
            </w:r>
          </w:p>
        </w:tc>
        <w:tc>
          <w:tcPr>
            <w:tcW w:w="1470" w:type="dxa"/>
            <w:vAlign w:val="center"/>
          </w:tcPr>
          <w:p w14:paraId="2620EA7C">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55000</w:t>
            </w:r>
          </w:p>
        </w:tc>
        <w:tc>
          <w:tcPr>
            <w:tcW w:w="1680" w:type="dxa"/>
            <w:vAlign w:val="center"/>
          </w:tcPr>
          <w:p w14:paraId="1E9F5592">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55000</w:t>
            </w:r>
          </w:p>
        </w:tc>
        <w:tc>
          <w:tcPr>
            <w:tcW w:w="1560" w:type="dxa"/>
            <w:shd w:val="clear" w:color="auto" w:fill="auto"/>
            <w:vAlign w:val="center"/>
          </w:tcPr>
          <w:p w14:paraId="22C4774D">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cs="宋体"/>
                <w:color w:val="auto"/>
                <w:kern w:val="0"/>
                <w:sz w:val="21"/>
                <w:szCs w:val="21"/>
                <w:highlight w:val="none"/>
                <w:lang w:val="en-US" w:eastAsia="zh-CN" w:bidi="ar-SA"/>
              </w:rPr>
              <w:t>4.95</w:t>
            </w:r>
          </w:p>
        </w:tc>
      </w:tr>
      <w:tr w14:paraId="042D0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872" w:type="dxa"/>
            <w:vMerge w:val="continue"/>
            <w:vAlign w:val="center"/>
          </w:tcPr>
          <w:p w14:paraId="428462C9">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p>
        </w:tc>
        <w:tc>
          <w:tcPr>
            <w:tcW w:w="929" w:type="dxa"/>
            <w:vAlign w:val="center"/>
          </w:tcPr>
          <w:p w14:paraId="307FAA7F">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组团2</w:t>
            </w:r>
          </w:p>
        </w:tc>
        <w:tc>
          <w:tcPr>
            <w:tcW w:w="604" w:type="dxa"/>
            <w:vAlign w:val="center"/>
          </w:tcPr>
          <w:p w14:paraId="1101612D">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w:t>
            </w:r>
          </w:p>
        </w:tc>
        <w:tc>
          <w:tcPr>
            <w:tcW w:w="2877" w:type="dxa"/>
            <w:vAlign w:val="center"/>
          </w:tcPr>
          <w:p w14:paraId="0C2800CD">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科研创新与成果转化中心B</w:t>
            </w:r>
          </w:p>
        </w:tc>
        <w:tc>
          <w:tcPr>
            <w:tcW w:w="1470" w:type="dxa"/>
            <w:vAlign w:val="center"/>
          </w:tcPr>
          <w:p w14:paraId="141FA210">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55000</w:t>
            </w:r>
          </w:p>
        </w:tc>
        <w:tc>
          <w:tcPr>
            <w:tcW w:w="1680" w:type="dxa"/>
            <w:vAlign w:val="center"/>
          </w:tcPr>
          <w:p w14:paraId="1DC8FC45">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55000</w:t>
            </w:r>
          </w:p>
        </w:tc>
        <w:tc>
          <w:tcPr>
            <w:tcW w:w="1560" w:type="dxa"/>
            <w:shd w:val="clear" w:color="auto" w:fill="auto"/>
            <w:vAlign w:val="center"/>
          </w:tcPr>
          <w:p w14:paraId="68367D66">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cs="宋体"/>
                <w:color w:val="auto"/>
                <w:kern w:val="0"/>
                <w:sz w:val="21"/>
                <w:szCs w:val="21"/>
                <w:highlight w:val="none"/>
                <w:lang w:val="en-US" w:eastAsia="zh-CN" w:bidi="ar-SA"/>
              </w:rPr>
              <w:t xml:space="preserve">4.95 </w:t>
            </w:r>
          </w:p>
        </w:tc>
      </w:tr>
      <w:tr w14:paraId="1CE32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872" w:type="dxa"/>
            <w:vMerge w:val="continue"/>
            <w:vAlign w:val="center"/>
          </w:tcPr>
          <w:p w14:paraId="3C5DBE36">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p>
        </w:tc>
        <w:tc>
          <w:tcPr>
            <w:tcW w:w="929" w:type="dxa"/>
            <w:vAlign w:val="center"/>
          </w:tcPr>
          <w:p w14:paraId="39676026">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组团3</w:t>
            </w:r>
          </w:p>
        </w:tc>
        <w:tc>
          <w:tcPr>
            <w:tcW w:w="604" w:type="dxa"/>
            <w:vAlign w:val="center"/>
          </w:tcPr>
          <w:p w14:paraId="0E0C5B2E">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w:t>
            </w:r>
          </w:p>
        </w:tc>
        <w:tc>
          <w:tcPr>
            <w:tcW w:w="2877" w:type="dxa"/>
            <w:vAlign w:val="center"/>
          </w:tcPr>
          <w:p w14:paraId="259358FB">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教学与交流中心</w:t>
            </w:r>
          </w:p>
        </w:tc>
        <w:tc>
          <w:tcPr>
            <w:tcW w:w="1470" w:type="dxa"/>
            <w:vAlign w:val="center"/>
          </w:tcPr>
          <w:p w14:paraId="0CE4D402">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43000</w:t>
            </w:r>
          </w:p>
        </w:tc>
        <w:tc>
          <w:tcPr>
            <w:tcW w:w="1680" w:type="dxa"/>
            <w:vAlign w:val="center"/>
          </w:tcPr>
          <w:p w14:paraId="2A0ECB71">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43000</w:t>
            </w:r>
          </w:p>
        </w:tc>
        <w:tc>
          <w:tcPr>
            <w:tcW w:w="1560" w:type="dxa"/>
            <w:shd w:val="clear" w:color="auto" w:fill="auto"/>
            <w:vAlign w:val="center"/>
          </w:tcPr>
          <w:p w14:paraId="43DC70D2">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cs="宋体"/>
                <w:color w:val="auto"/>
                <w:kern w:val="0"/>
                <w:sz w:val="21"/>
                <w:szCs w:val="21"/>
                <w:highlight w:val="none"/>
                <w:lang w:val="en-US" w:eastAsia="zh-CN" w:bidi="ar-SA"/>
              </w:rPr>
              <w:t xml:space="preserve">3.66 </w:t>
            </w:r>
          </w:p>
        </w:tc>
      </w:tr>
      <w:tr w14:paraId="15C8A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872" w:type="dxa"/>
            <w:vMerge w:val="continue"/>
            <w:vAlign w:val="center"/>
          </w:tcPr>
          <w:p w14:paraId="5C967D04">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p>
        </w:tc>
        <w:tc>
          <w:tcPr>
            <w:tcW w:w="929" w:type="dxa"/>
            <w:vAlign w:val="center"/>
          </w:tcPr>
          <w:p w14:paraId="09AA083F">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组团4</w:t>
            </w:r>
          </w:p>
        </w:tc>
        <w:tc>
          <w:tcPr>
            <w:tcW w:w="604" w:type="dxa"/>
            <w:vAlign w:val="center"/>
          </w:tcPr>
          <w:p w14:paraId="665A7307">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4</w:t>
            </w:r>
          </w:p>
        </w:tc>
        <w:tc>
          <w:tcPr>
            <w:tcW w:w="2877" w:type="dxa"/>
            <w:vAlign w:val="center"/>
          </w:tcPr>
          <w:p w14:paraId="42311A25">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未来学习中心</w:t>
            </w:r>
          </w:p>
        </w:tc>
        <w:tc>
          <w:tcPr>
            <w:tcW w:w="1470" w:type="dxa"/>
            <w:vAlign w:val="center"/>
          </w:tcPr>
          <w:p w14:paraId="6A5DA5C2">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45000</w:t>
            </w:r>
          </w:p>
        </w:tc>
        <w:tc>
          <w:tcPr>
            <w:tcW w:w="1680" w:type="dxa"/>
            <w:vAlign w:val="center"/>
          </w:tcPr>
          <w:p w14:paraId="0B4AEB1C">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45000</w:t>
            </w:r>
          </w:p>
        </w:tc>
        <w:tc>
          <w:tcPr>
            <w:tcW w:w="1560" w:type="dxa"/>
            <w:shd w:val="clear" w:color="auto" w:fill="auto"/>
            <w:vAlign w:val="center"/>
          </w:tcPr>
          <w:p w14:paraId="0982710F">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cs="宋体"/>
                <w:color w:val="auto"/>
                <w:kern w:val="0"/>
                <w:sz w:val="21"/>
                <w:szCs w:val="21"/>
                <w:highlight w:val="none"/>
                <w:lang w:val="en-US" w:eastAsia="zh-CN" w:bidi="ar-SA"/>
              </w:rPr>
              <w:t xml:space="preserve">3.83 </w:t>
            </w:r>
          </w:p>
        </w:tc>
      </w:tr>
      <w:tr w14:paraId="54BE9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872" w:type="dxa"/>
            <w:vMerge w:val="continue"/>
            <w:vAlign w:val="center"/>
          </w:tcPr>
          <w:p w14:paraId="5F5BBA94">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p>
        </w:tc>
        <w:tc>
          <w:tcPr>
            <w:tcW w:w="929" w:type="dxa"/>
            <w:vAlign w:val="center"/>
          </w:tcPr>
          <w:p w14:paraId="74399697">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组团5</w:t>
            </w:r>
          </w:p>
        </w:tc>
        <w:tc>
          <w:tcPr>
            <w:tcW w:w="604" w:type="dxa"/>
            <w:vAlign w:val="center"/>
          </w:tcPr>
          <w:p w14:paraId="62FB7F80">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5</w:t>
            </w:r>
          </w:p>
        </w:tc>
        <w:tc>
          <w:tcPr>
            <w:tcW w:w="2877" w:type="dxa"/>
            <w:vAlign w:val="center"/>
          </w:tcPr>
          <w:p w14:paraId="65A9AA62">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学生生活社区A</w:t>
            </w:r>
          </w:p>
        </w:tc>
        <w:tc>
          <w:tcPr>
            <w:tcW w:w="1470" w:type="dxa"/>
            <w:vAlign w:val="center"/>
          </w:tcPr>
          <w:p w14:paraId="2495D1FF">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53000</w:t>
            </w:r>
          </w:p>
        </w:tc>
        <w:tc>
          <w:tcPr>
            <w:tcW w:w="1680" w:type="dxa"/>
            <w:vAlign w:val="center"/>
          </w:tcPr>
          <w:p w14:paraId="47A1CE1E">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53000</w:t>
            </w:r>
          </w:p>
        </w:tc>
        <w:tc>
          <w:tcPr>
            <w:tcW w:w="1560" w:type="dxa"/>
            <w:shd w:val="clear" w:color="auto" w:fill="auto"/>
            <w:vAlign w:val="center"/>
          </w:tcPr>
          <w:p w14:paraId="360C6CAF">
            <w:pPr>
              <w:pStyle w:val="2"/>
              <w:keepNext w:val="0"/>
              <w:keepLines w:val="0"/>
              <w:pageBreakBefore w:val="0"/>
              <w:widowControl/>
              <w:kinsoku/>
              <w:wordWrap/>
              <w:overflowPunct/>
              <w:topLinePunct w:val="0"/>
              <w:autoSpaceDE/>
              <w:autoSpaceDN/>
              <w:bidi w:val="0"/>
              <w:adjustRightInd/>
              <w:snapToGrid w:val="0"/>
              <w:spacing w:before="0" w:afterLines="0" w:line="288" w:lineRule="auto"/>
              <w:ind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cs="宋体"/>
                <w:color w:val="auto"/>
                <w:kern w:val="0"/>
                <w:sz w:val="21"/>
                <w:szCs w:val="21"/>
                <w:highlight w:val="none"/>
                <w:lang w:val="en-US" w:eastAsia="zh-CN" w:bidi="ar-SA"/>
              </w:rPr>
              <w:t xml:space="preserve">3.71 </w:t>
            </w:r>
          </w:p>
        </w:tc>
      </w:tr>
    </w:tbl>
    <w:p w14:paraId="3028F012">
      <w:pPr>
        <w:pStyle w:val="2"/>
        <w:keepNext w:val="0"/>
        <w:keepLines w:val="0"/>
        <w:pageBreakBefore w:val="0"/>
        <w:kinsoku/>
        <w:wordWrap/>
        <w:overflowPunct/>
        <w:topLinePunct w:val="0"/>
        <w:autoSpaceDE/>
        <w:autoSpaceDN/>
        <w:bidi w:val="0"/>
        <w:adjustRightInd/>
        <w:snapToGrid w:val="0"/>
        <w:spacing w:after="0" w:line="288" w:lineRule="auto"/>
        <w:ind w:firstLine="420" w:firstLineChars="200"/>
        <w:textAlignment w:val="auto"/>
        <w:rPr>
          <w:rFonts w:hint="eastAsia" w:asciiTheme="minorEastAsia" w:hAnsiTheme="minorEastAsia" w:eastAsiaTheme="minorEastAsia" w:cstheme="minorEastAsia"/>
          <w:sz w:val="21"/>
          <w:szCs w:val="21"/>
          <w:highlight w:val="none"/>
        </w:rPr>
      </w:pPr>
    </w:p>
    <w:p w14:paraId="6FCA4B74">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outlineLvl w:val="2"/>
        <w:rPr>
          <w:rFonts w:hint="eastAsia" w:ascii="宋体" w:hAnsi="宋体"/>
          <w:b/>
          <w:sz w:val="21"/>
          <w:szCs w:val="21"/>
          <w:highlight w:val="none"/>
        </w:rPr>
      </w:pPr>
      <w:r>
        <w:rPr>
          <w:rFonts w:hint="eastAsia" w:asciiTheme="minorEastAsia" w:hAnsiTheme="minorEastAsia" w:eastAsiaTheme="minorEastAsia" w:cstheme="minorEastAsia"/>
          <w:sz w:val="21"/>
          <w:szCs w:val="21"/>
          <w:highlight w:val="none"/>
        </w:rPr>
        <w:t xml:space="preserve"> </w:t>
      </w:r>
      <w:r>
        <w:rPr>
          <w:rFonts w:hint="eastAsia" w:ascii="宋体" w:hAnsi="宋体"/>
          <w:b/>
          <w:sz w:val="21"/>
          <w:szCs w:val="21"/>
          <w:highlight w:val="none"/>
          <w:lang w:eastAsia="zh-CN"/>
        </w:rPr>
        <w:t>（</w:t>
      </w:r>
      <w:r>
        <w:rPr>
          <w:rFonts w:hint="eastAsia" w:ascii="宋体" w:hAnsi="宋体"/>
          <w:b/>
          <w:sz w:val="21"/>
          <w:szCs w:val="21"/>
          <w:highlight w:val="none"/>
          <w:lang w:val="en-US" w:eastAsia="zh-CN"/>
        </w:rPr>
        <w:t>二</w:t>
      </w:r>
      <w:r>
        <w:rPr>
          <w:rFonts w:hint="eastAsia" w:ascii="宋体" w:hAnsi="宋体"/>
          <w:b/>
          <w:sz w:val="21"/>
          <w:szCs w:val="21"/>
          <w:highlight w:val="none"/>
          <w:lang w:eastAsia="zh-CN"/>
        </w:rPr>
        <w:t>）</w:t>
      </w:r>
      <w:r>
        <w:rPr>
          <w:rFonts w:hint="eastAsia" w:ascii="宋体" w:hAnsi="宋体"/>
          <w:b/>
          <w:sz w:val="21"/>
          <w:szCs w:val="21"/>
          <w:highlight w:val="none"/>
          <w:lang w:val="en-US" w:eastAsia="zh-CN"/>
        </w:rPr>
        <w:t>服务</w:t>
      </w:r>
      <w:r>
        <w:rPr>
          <w:rFonts w:hint="eastAsia" w:ascii="宋体" w:hAnsi="宋体"/>
          <w:b/>
          <w:sz w:val="21"/>
          <w:szCs w:val="21"/>
          <w:highlight w:val="none"/>
        </w:rPr>
        <w:t>内容和要求</w:t>
      </w:r>
    </w:p>
    <w:p w14:paraId="1E788568">
      <w:pPr>
        <w:keepNext w:val="0"/>
        <w:keepLines w:val="0"/>
        <w:pageBreakBefore w:val="0"/>
        <w:widowControl w:val="0"/>
        <w:kinsoku/>
        <w:wordWrap/>
        <w:overflowPunct/>
        <w:topLinePunct w:val="0"/>
        <w:autoSpaceDE/>
        <w:autoSpaceDN/>
        <w:bidi w:val="0"/>
        <w:adjustRightInd/>
        <w:snapToGrid w:val="0"/>
        <w:spacing w:line="288" w:lineRule="auto"/>
        <w:ind w:firstLine="540"/>
        <w:textAlignment w:val="auto"/>
        <w:rPr>
          <w:rFonts w:hint="eastAsia" w:ascii="宋体" w:hAnsi="宋体"/>
          <w:sz w:val="21"/>
          <w:szCs w:val="21"/>
          <w:highlight w:val="none"/>
        </w:rPr>
      </w:pPr>
      <w:r>
        <w:rPr>
          <w:rFonts w:hint="eastAsia" w:ascii="宋体" w:hAnsi="宋体"/>
          <w:sz w:val="21"/>
          <w:szCs w:val="21"/>
          <w:highlight w:val="none"/>
        </w:rPr>
        <w:t>1．浙江大学紫金港校区良渚校园一期工程</w:t>
      </w:r>
      <w:r>
        <w:rPr>
          <w:rFonts w:hint="eastAsia" w:ascii="宋体" w:hAnsi="宋体"/>
          <w:sz w:val="21"/>
          <w:szCs w:val="21"/>
          <w:highlight w:val="none"/>
          <w:lang w:val="en-US" w:eastAsia="zh-CN"/>
        </w:rPr>
        <w:t>分组团编制</w:t>
      </w:r>
      <w:r>
        <w:rPr>
          <w:rFonts w:hint="eastAsia" w:ascii="宋体" w:hAnsi="宋体"/>
          <w:sz w:val="21"/>
          <w:szCs w:val="21"/>
          <w:highlight w:val="none"/>
        </w:rPr>
        <w:t>可行性研究报告，并承担深化其因</w:t>
      </w:r>
      <w:r>
        <w:rPr>
          <w:rFonts w:hint="eastAsia" w:ascii="宋体" w:hAnsi="宋体"/>
          <w:sz w:val="21"/>
          <w:szCs w:val="21"/>
          <w:highlight w:val="none"/>
          <w:lang w:val="en-US" w:eastAsia="zh-CN"/>
        </w:rPr>
        <w:t>教育部</w:t>
      </w:r>
      <w:r>
        <w:rPr>
          <w:rFonts w:hint="eastAsia" w:ascii="宋体" w:hAnsi="宋体"/>
          <w:sz w:val="21"/>
          <w:szCs w:val="21"/>
          <w:highlight w:val="none"/>
        </w:rPr>
        <w:t>审查而出现的反复修改工作。</w:t>
      </w:r>
    </w:p>
    <w:p w14:paraId="746591EC">
      <w:pPr>
        <w:keepNext w:val="0"/>
        <w:keepLines w:val="0"/>
        <w:pageBreakBefore w:val="0"/>
        <w:widowControl w:val="0"/>
        <w:kinsoku/>
        <w:wordWrap/>
        <w:overflowPunct/>
        <w:topLinePunct w:val="0"/>
        <w:autoSpaceDE/>
        <w:autoSpaceDN/>
        <w:bidi w:val="0"/>
        <w:adjustRightInd/>
        <w:snapToGrid w:val="0"/>
        <w:spacing w:line="288" w:lineRule="auto"/>
        <w:ind w:firstLine="540"/>
        <w:textAlignment w:val="auto"/>
        <w:rPr>
          <w:rFonts w:hint="eastAsia" w:ascii="宋体" w:hAnsi="宋体"/>
          <w:sz w:val="21"/>
          <w:szCs w:val="21"/>
          <w:highlight w:val="none"/>
        </w:rPr>
      </w:pPr>
      <w:r>
        <w:rPr>
          <w:rFonts w:hint="eastAsia" w:ascii="宋体" w:hAnsi="宋体"/>
          <w:sz w:val="21"/>
          <w:szCs w:val="21"/>
          <w:highlight w:val="none"/>
        </w:rPr>
        <w:t>2．</w:t>
      </w:r>
      <w:r>
        <w:rPr>
          <w:rFonts w:hint="eastAsia" w:ascii="宋体" w:hAnsi="宋体"/>
          <w:sz w:val="21"/>
          <w:szCs w:val="21"/>
          <w:highlight w:val="none"/>
          <w:lang w:val="en-US" w:eastAsia="zh-CN"/>
        </w:rPr>
        <w:t>各组团</w:t>
      </w:r>
      <w:r>
        <w:rPr>
          <w:rFonts w:hint="eastAsia" w:ascii="宋体" w:hAnsi="宋体"/>
          <w:sz w:val="21"/>
          <w:szCs w:val="21"/>
          <w:highlight w:val="none"/>
        </w:rPr>
        <w:t>可行性研究报告内容应包括但不限于以下：</w:t>
      </w:r>
    </w:p>
    <w:p w14:paraId="62401705">
      <w:pPr>
        <w:keepNext w:val="0"/>
        <w:keepLines w:val="0"/>
        <w:pageBreakBefore w:val="0"/>
        <w:widowControl w:val="0"/>
        <w:kinsoku/>
        <w:wordWrap/>
        <w:overflowPunct/>
        <w:topLinePunct w:val="0"/>
        <w:autoSpaceDE/>
        <w:autoSpaceDN/>
        <w:bidi w:val="0"/>
        <w:adjustRightInd/>
        <w:snapToGrid w:val="0"/>
        <w:spacing w:line="288" w:lineRule="auto"/>
        <w:ind w:firstLine="540"/>
        <w:textAlignment w:val="auto"/>
        <w:rPr>
          <w:rFonts w:hint="eastAsia" w:ascii="宋体" w:hAnsi="宋体"/>
          <w:sz w:val="21"/>
          <w:szCs w:val="21"/>
          <w:highlight w:val="none"/>
        </w:rPr>
      </w:pPr>
      <w:r>
        <w:rPr>
          <w:rFonts w:hint="eastAsia" w:ascii="宋体" w:hAnsi="宋体"/>
          <w:sz w:val="21"/>
          <w:szCs w:val="21"/>
          <w:highlight w:val="none"/>
        </w:rPr>
        <w:t>项目建设的背景和必要性、建设内容和建设规模、项目选址与建设条件、建设方案、环境保护、组织、建设管理和实施进度、投资估算与资金筹措、社会效益分析等。</w:t>
      </w:r>
    </w:p>
    <w:p w14:paraId="3D856BD3">
      <w:pPr>
        <w:keepNext w:val="0"/>
        <w:keepLines w:val="0"/>
        <w:pageBreakBefore w:val="0"/>
        <w:widowControl w:val="0"/>
        <w:kinsoku/>
        <w:wordWrap/>
        <w:overflowPunct/>
        <w:topLinePunct w:val="0"/>
        <w:autoSpaceDE/>
        <w:autoSpaceDN/>
        <w:bidi w:val="0"/>
        <w:adjustRightInd/>
        <w:snapToGrid w:val="0"/>
        <w:spacing w:line="288" w:lineRule="auto"/>
        <w:ind w:firstLine="540"/>
        <w:textAlignment w:val="auto"/>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注：未涉及部分参照合同执行。</w:t>
      </w:r>
    </w:p>
    <w:p w14:paraId="25465761">
      <w:pPr>
        <w:keepNext w:val="0"/>
        <w:keepLines w:val="0"/>
        <w:pageBreakBefore w:val="0"/>
        <w:widowControl w:val="0"/>
        <w:kinsoku/>
        <w:wordWrap/>
        <w:overflowPunct/>
        <w:topLinePunct w:val="0"/>
        <w:autoSpaceDE/>
        <w:autoSpaceDN/>
        <w:bidi w:val="0"/>
        <w:adjustRightInd/>
        <w:snapToGrid w:val="0"/>
        <w:spacing w:line="288" w:lineRule="auto"/>
        <w:ind w:left="0" w:firstLine="422" w:firstLineChars="200"/>
        <w:textAlignment w:val="auto"/>
        <w:outlineLvl w:val="2"/>
        <w:rPr>
          <w:rFonts w:hint="eastAsia" w:ascii="宋体" w:hAnsi="宋体"/>
          <w:b/>
          <w:sz w:val="21"/>
          <w:szCs w:val="21"/>
          <w:highlight w:val="none"/>
        </w:rPr>
      </w:pPr>
      <w:r>
        <w:rPr>
          <w:rFonts w:hint="eastAsia" w:ascii="宋体" w:hAnsi="宋体"/>
          <w:b/>
          <w:sz w:val="21"/>
          <w:szCs w:val="21"/>
          <w:highlight w:val="none"/>
          <w:lang w:eastAsia="zh-CN"/>
        </w:rPr>
        <w:t>（</w:t>
      </w:r>
      <w:r>
        <w:rPr>
          <w:rFonts w:hint="eastAsia" w:ascii="宋体" w:hAnsi="宋体"/>
          <w:b/>
          <w:sz w:val="21"/>
          <w:szCs w:val="21"/>
          <w:highlight w:val="none"/>
          <w:lang w:val="en-US" w:eastAsia="zh-CN"/>
        </w:rPr>
        <w:t>三</w:t>
      </w:r>
      <w:r>
        <w:rPr>
          <w:rFonts w:hint="eastAsia" w:ascii="宋体" w:hAnsi="宋体"/>
          <w:b/>
          <w:sz w:val="21"/>
          <w:szCs w:val="21"/>
          <w:highlight w:val="none"/>
          <w:lang w:eastAsia="zh-CN"/>
        </w:rPr>
        <w:t>）</w:t>
      </w:r>
      <w:r>
        <w:rPr>
          <w:rFonts w:hint="eastAsia" w:ascii="宋体" w:hAnsi="宋体"/>
          <w:b/>
          <w:sz w:val="21"/>
          <w:szCs w:val="21"/>
          <w:highlight w:val="none"/>
        </w:rPr>
        <w:t>报价要求</w:t>
      </w:r>
    </w:p>
    <w:p w14:paraId="2A863F4A">
      <w:pPr>
        <w:keepNext w:val="0"/>
        <w:keepLines w:val="0"/>
        <w:pageBreakBefore w:val="0"/>
        <w:widowControl w:val="0"/>
        <w:kinsoku/>
        <w:wordWrap/>
        <w:overflowPunct/>
        <w:topLinePunct w:val="0"/>
        <w:autoSpaceDE/>
        <w:autoSpaceDN/>
        <w:bidi w:val="0"/>
        <w:adjustRightInd/>
        <w:snapToGrid w:val="0"/>
        <w:spacing w:line="288" w:lineRule="auto"/>
        <w:ind w:firstLine="540"/>
        <w:textAlignment w:val="auto"/>
        <w:rPr>
          <w:rFonts w:hint="eastAsia" w:ascii="宋体" w:hAnsi="宋体"/>
          <w:sz w:val="21"/>
          <w:szCs w:val="21"/>
          <w:highlight w:val="none"/>
        </w:rPr>
      </w:pPr>
      <w:r>
        <w:rPr>
          <w:rFonts w:hint="eastAsia" w:ascii="宋体" w:hAnsi="宋体"/>
          <w:sz w:val="21"/>
          <w:szCs w:val="21"/>
          <w:highlight w:val="none"/>
        </w:rPr>
        <w:t>本服务项目投标报价实施</w:t>
      </w:r>
      <w:r>
        <w:rPr>
          <w:rFonts w:hint="eastAsia" w:ascii="宋体" w:hAnsi="宋体"/>
          <w:b/>
          <w:sz w:val="21"/>
          <w:szCs w:val="21"/>
          <w:highlight w:val="none"/>
        </w:rPr>
        <w:t>固定总价包干。</w:t>
      </w:r>
      <w:r>
        <w:rPr>
          <w:rFonts w:hint="eastAsia" w:ascii="宋体" w:hAnsi="宋体"/>
          <w:sz w:val="21"/>
          <w:szCs w:val="21"/>
          <w:highlight w:val="none"/>
        </w:rPr>
        <w:t>本项目总投资暂估人民币</w:t>
      </w:r>
      <w:r>
        <w:rPr>
          <w:rFonts w:hint="eastAsia" w:ascii="宋体" w:hAnsi="宋体"/>
          <w:sz w:val="21"/>
          <w:szCs w:val="21"/>
          <w:highlight w:val="none"/>
          <w:lang w:val="en-US" w:eastAsia="zh-CN"/>
        </w:rPr>
        <w:t>21.09</w:t>
      </w:r>
      <w:r>
        <w:rPr>
          <w:rFonts w:hint="eastAsia" w:ascii="宋体" w:hAnsi="宋体"/>
          <w:sz w:val="21"/>
          <w:szCs w:val="21"/>
          <w:highlight w:val="none"/>
        </w:rPr>
        <w:t>亿元，投标人应根据国家现行的收费标准自行提出具有行业竞争力的投标报价，投标人应自行承担编制与递交投标文件所涉及的一切费用。（未中标者无经济补偿）</w:t>
      </w:r>
    </w:p>
    <w:p w14:paraId="2451128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3539E0"/>
    <w:rsid w:val="693539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2"/>
    <w:basedOn w:val="1"/>
    <w:qFormat/>
    <w:uiPriority w:val="0"/>
    <w:pPr>
      <w:widowControl/>
      <w:snapToGrid w:val="0"/>
      <w:spacing w:before="50" w:afterLines="50" w:line="400" w:lineRule="atLeast"/>
      <w:jc w:val="left"/>
    </w:pPr>
    <w:rPr>
      <w:rFonts w:hint="eastAsia" w:ascii="宋体" w:hAnsi="宋体"/>
      <w:color w:val="00000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2026-05-14T02:19:00Z</dcterms:created>
  <dc:creator>刘冰冰</dc:creator>
  <cp:lastModifiedBy>刘冰冰</cp:lastModifiedBy>
  <dcterms:modified xsi:type="dcterms:W3CDTF">2026-05-14T02:19:58Z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0AC3FB4E1EFA4B998C95CF51CC1790F5_11</vt:lpwstr>
  </property>
  <property fmtid="{D5CDD505-2E9C-101B-9397-08002B2CF9AE}" pid="4" name="KSOTemplateDocerSaveRecord">
    <vt:lpwstr>eyJoZGlkIjoiZmZkMWFjNDM1NzNmYzdiM2JkYWM5YjhmZTllYTliMjAiLCJ1c2VySWQiOiIxNjExODE3NTMwIn0=</vt:lpwstr>
  </property>
</Properties>
</file>