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DFD5B">
      <w:pPr>
        <w:spacing w:before="312" w:beforeLines="100" w:line="360" w:lineRule="auto"/>
        <w:jc w:val="center"/>
        <w:rPr>
          <w:rFonts w:ascii="宋体" w:hAnsi="宋体" w:cs="宋体"/>
          <w:b/>
          <w:bCs/>
          <w:color w:val="000000" w:themeColor="text1"/>
          <w:spacing w:val="100"/>
          <w:sz w:val="96"/>
          <w:szCs w:val="96"/>
          <w14:textFill>
            <w14:solidFill>
              <w14:schemeClr w14:val="tx1"/>
            </w14:solidFill>
          </w14:textFill>
        </w:rPr>
      </w:pPr>
      <w:bookmarkStart w:id="0" w:name="_Toc12861068"/>
      <w:bookmarkStart w:id="1" w:name="_Toc12377948"/>
      <w:bookmarkStart w:id="2" w:name="_Toc11771815"/>
      <w:bookmarkStart w:id="3" w:name="_Toc13884637"/>
      <w:bookmarkStart w:id="4" w:name="_Toc11771686"/>
      <w:bookmarkStart w:id="5" w:name="_Toc12330311"/>
      <w:bookmarkStart w:id="6" w:name="_Toc27840462"/>
      <w:bookmarkStart w:id="7" w:name="_Toc27840461"/>
    </w:p>
    <w:p w14:paraId="3A6BD503">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项目名称：中华人民共和国天河出入境边防检查站2026年度办公、保洁用品及食堂耗材集中采购项目</w:t>
      </w:r>
    </w:p>
    <w:p w14:paraId="69D50B86">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项目编号：GDYD260090</w:t>
      </w:r>
    </w:p>
    <w:p w14:paraId="622F91CA">
      <w:pPr>
        <w:spacing w:line="360" w:lineRule="auto"/>
        <w:jc w:val="center"/>
        <w:rPr>
          <w:rFonts w:ascii="宋体" w:hAnsi="宋体" w:cs="宋体"/>
          <w:b/>
          <w:color w:val="000000" w:themeColor="text1"/>
          <w:sz w:val="32"/>
          <w:szCs w:val="32"/>
          <w14:textFill>
            <w14:solidFill>
              <w14:schemeClr w14:val="tx1"/>
            </w14:solidFill>
          </w14:textFill>
        </w:rPr>
      </w:pPr>
    </w:p>
    <w:p w14:paraId="7D4E035B">
      <w:pPr>
        <w:spacing w:line="360" w:lineRule="auto"/>
        <w:jc w:val="center"/>
        <w:rPr>
          <w:rFonts w:ascii="宋体" w:hAnsi="宋体" w:cs="宋体"/>
          <w:b/>
          <w:color w:val="000000" w:themeColor="text1"/>
          <w:sz w:val="32"/>
          <w:szCs w:val="32"/>
          <w14:textFill>
            <w14:solidFill>
              <w14:schemeClr w14:val="tx1"/>
            </w14:solidFill>
          </w14:textFill>
        </w:rPr>
      </w:pPr>
    </w:p>
    <w:p w14:paraId="1DF47D08">
      <w:pPr>
        <w:spacing w:line="360" w:lineRule="auto"/>
        <w:jc w:val="center"/>
        <w:rPr>
          <w:rFonts w:ascii="宋体" w:hAnsi="宋体" w:cs="宋体"/>
          <w:b/>
          <w:color w:val="000000" w:themeColor="text1"/>
          <w:sz w:val="32"/>
          <w:szCs w:val="32"/>
          <w14:textFill>
            <w14:solidFill>
              <w14:schemeClr w14:val="tx1"/>
            </w14:solidFill>
          </w14:textFill>
        </w:rPr>
      </w:pPr>
    </w:p>
    <w:p w14:paraId="5E673247">
      <w:pPr>
        <w:spacing w:before="312" w:beforeLines="100" w:line="360" w:lineRule="auto"/>
        <w:jc w:val="center"/>
        <w:rPr>
          <w:rFonts w:ascii="宋体" w:hAnsi="宋体" w:cs="宋体"/>
          <w:b/>
          <w:bCs/>
          <w:color w:val="000000" w:themeColor="text1"/>
          <w:spacing w:val="100"/>
          <w:sz w:val="96"/>
          <w:szCs w:val="96"/>
          <w14:textFill>
            <w14:solidFill>
              <w14:schemeClr w14:val="tx1"/>
            </w14:solidFill>
          </w14:textFill>
        </w:rPr>
      </w:pPr>
      <w:r>
        <w:rPr>
          <w:rFonts w:hint="eastAsia" w:ascii="宋体" w:hAnsi="宋体" w:cs="宋体"/>
          <w:b/>
          <w:bCs/>
          <w:color w:val="000000" w:themeColor="text1"/>
          <w:spacing w:val="100"/>
          <w:sz w:val="96"/>
          <w:szCs w:val="96"/>
          <w14:textFill>
            <w14:solidFill>
              <w14:schemeClr w14:val="tx1"/>
            </w14:solidFill>
          </w14:textFill>
        </w:rPr>
        <w:t>竞争性磋商</w:t>
      </w:r>
    </w:p>
    <w:p w14:paraId="64BCA6E9">
      <w:pPr>
        <w:spacing w:before="312" w:beforeLines="100" w:line="360" w:lineRule="auto"/>
        <w:jc w:val="center"/>
        <w:rPr>
          <w:rFonts w:ascii="宋体" w:hAnsi="宋体" w:cs="宋体"/>
          <w:b/>
          <w:bCs/>
          <w:color w:val="000000" w:themeColor="text1"/>
          <w:spacing w:val="100"/>
          <w:sz w:val="96"/>
          <w:szCs w:val="96"/>
          <w14:textFill>
            <w14:solidFill>
              <w14:schemeClr w14:val="tx1"/>
            </w14:solidFill>
          </w14:textFill>
        </w:rPr>
      </w:pPr>
      <w:r>
        <w:rPr>
          <w:rFonts w:hint="eastAsia" w:ascii="宋体" w:hAnsi="宋体" w:cs="宋体"/>
          <w:b/>
          <w:bCs/>
          <w:color w:val="000000" w:themeColor="text1"/>
          <w:spacing w:val="100"/>
          <w:sz w:val="96"/>
          <w:szCs w:val="96"/>
          <w14:textFill>
            <w14:solidFill>
              <w14:schemeClr w14:val="tx1"/>
            </w14:solidFill>
          </w14:textFill>
        </w:rPr>
        <w:t>文件</w:t>
      </w:r>
    </w:p>
    <w:p w14:paraId="6116A809">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01BB1C4A">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6549E85C">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05FB61EC">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5957E62E">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1C6A410B">
      <w:pPr>
        <w:snapToGrid w:val="0"/>
        <w:spacing w:line="360" w:lineRule="auto"/>
        <w:jc w:val="center"/>
        <w:rPr>
          <w:rFonts w:ascii="宋体" w:hAnsi="宋体" w:cs="宋体"/>
          <w:b/>
          <w:bCs/>
          <w:color w:val="000000" w:themeColor="text1"/>
          <w:sz w:val="32"/>
          <w:szCs w:val="32"/>
          <w14:textFill>
            <w14:solidFill>
              <w14:schemeClr w14:val="tx1"/>
            </w14:solidFill>
          </w14:textFill>
        </w:rPr>
      </w:pPr>
    </w:p>
    <w:p w14:paraId="77A3334C">
      <w:pPr>
        <w:snapToGrid w:val="0"/>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采购人：</w:t>
      </w:r>
      <w:r>
        <w:rPr>
          <w:rFonts w:hint="eastAsia" w:ascii="宋体" w:hAnsi="宋体" w:cs="宋体"/>
          <w:b/>
          <w:color w:val="000000" w:themeColor="text1"/>
          <w:sz w:val="30"/>
          <w:szCs w:val="30"/>
          <w14:textFill>
            <w14:solidFill>
              <w14:schemeClr w14:val="tx1"/>
            </w14:solidFill>
          </w14:textFill>
        </w:rPr>
        <w:t>中华人民共和国天河出入境边防检查站</w:t>
      </w:r>
    </w:p>
    <w:p w14:paraId="4216B787">
      <w:pPr>
        <w:snapToGrid w:val="0"/>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采购代理机构：广东远东招标代理有限公司</w:t>
      </w:r>
    </w:p>
    <w:p w14:paraId="4E4AEA7D">
      <w:pPr>
        <w:widowControl/>
        <w:jc w:val="lef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p>
    <w:p w14:paraId="72675B2E">
      <w:pPr>
        <w:snapToGrid w:val="0"/>
        <w:spacing w:line="36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目  录</w:t>
      </w:r>
    </w:p>
    <w:p w14:paraId="1BC0F0B0">
      <w:pPr>
        <w:pStyle w:val="26"/>
        <w:tabs>
          <w:tab w:val="right" w:leader="dot" w:pos="8306"/>
          <w:tab w:val="clear" w:pos="9344"/>
        </w:tabs>
        <w:rPr>
          <w:rFonts w:cs="宋体"/>
          <w:color w:val="000000" w:themeColor="text1"/>
          <w:sz w:val="30"/>
          <w:szCs w:val="30"/>
          <w14:textFill>
            <w14:solidFill>
              <w14:schemeClr w14:val="tx1"/>
            </w14:solidFill>
          </w14:textFill>
        </w:rPr>
      </w:pPr>
      <w:r>
        <w:rPr>
          <w:rFonts w:hint="eastAsia" w:cs="宋体"/>
          <w:color w:val="000000" w:themeColor="text1"/>
          <w:sz w:val="28"/>
          <w:szCs w:val="28"/>
          <w14:textFill>
            <w14:solidFill>
              <w14:schemeClr w14:val="tx1"/>
            </w14:solidFill>
          </w14:textFill>
        </w:rPr>
        <w:fldChar w:fldCharType="begin"/>
      </w:r>
      <w:r>
        <w:rPr>
          <w:rStyle w:val="44"/>
          <w:rFonts w:hint="eastAsia" w:cs="宋体"/>
          <w:color w:val="000000" w:themeColor="text1"/>
          <w:sz w:val="28"/>
          <w:szCs w:val="28"/>
          <w14:textFill>
            <w14:solidFill>
              <w14:schemeClr w14:val="tx1"/>
            </w14:solidFill>
          </w14:textFill>
        </w:rPr>
        <w:instrText xml:space="preserve"> TOC \o "1-2" \h \z </w:instrText>
      </w:r>
      <w:r>
        <w:rPr>
          <w:rFonts w:hint="eastAsia" w:cs="宋体"/>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"_Toc19554"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第一章 磋商邀请函</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_Toc19554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2</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46346130">
      <w:pPr>
        <w:pStyle w:val="26"/>
        <w:tabs>
          <w:tab w:val="right" w:leader="dot" w:pos="8306"/>
          <w:tab w:val="clear" w:pos="9344"/>
        </w:tabs>
        <w:rPr>
          <w:rFonts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"_Toc6843"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第二章 报价人须知</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_Toc6843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5</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63FAF9ED">
      <w:pPr>
        <w:pStyle w:val="26"/>
        <w:tabs>
          <w:tab w:val="right" w:leader="dot" w:pos="8306"/>
          <w:tab w:val="clear" w:pos="9344"/>
        </w:tabs>
        <w:rPr>
          <w:rFonts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"_Toc5517"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第三章 采购人需求</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_Toc5517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11</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7A0C2EC6">
      <w:pPr>
        <w:pStyle w:val="26"/>
        <w:tabs>
          <w:tab w:val="right" w:leader="dot" w:pos="8306"/>
          <w:tab w:val="clear" w:pos="9344"/>
        </w:tabs>
        <w:rPr>
          <w:rFonts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"_Toc17460"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第四章 合同文本</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_Toc17460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16</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7032A54E">
      <w:pPr>
        <w:pStyle w:val="26"/>
        <w:tabs>
          <w:tab w:val="right" w:leader="dot" w:pos="8306"/>
          <w:tab w:val="clear" w:pos="9344"/>
        </w:tabs>
        <w:rPr>
          <w:rFonts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"_Toc10462"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第五章 磋商细则</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_Toc10462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23</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6DA15A2B">
      <w:pPr>
        <w:pStyle w:val="26"/>
        <w:tabs>
          <w:tab w:val="right" w:leader="dot" w:pos="8306"/>
          <w:tab w:val="clear" w:pos="9344"/>
        </w:tabs>
        <w:rPr>
          <w:rFonts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"_Toc11449" </w:instrText>
      </w:r>
      <w:r>
        <w:rPr>
          <w:color w:val="000000" w:themeColor="text1"/>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第六章 报价文件格式</w:t>
      </w:r>
      <w:r>
        <w:rPr>
          <w:rFonts w:hint="eastAsia" w:cs="宋体"/>
          <w:color w:val="000000" w:themeColor="text1"/>
          <w:sz w:val="30"/>
          <w:szCs w:val="30"/>
          <w14:textFill>
            <w14:solidFill>
              <w14:schemeClr w14:val="tx1"/>
            </w14:solidFill>
          </w14:textFill>
        </w:rPr>
        <w:tab/>
      </w:r>
      <w:r>
        <w:rPr>
          <w:rFonts w:hint="eastAsia" w:cs="宋体"/>
          <w:color w:val="000000" w:themeColor="text1"/>
          <w:sz w:val="30"/>
          <w:szCs w:val="30"/>
          <w14:textFill>
            <w14:solidFill>
              <w14:schemeClr w14:val="tx1"/>
            </w14:solidFill>
          </w14:textFill>
        </w:rPr>
        <w:fldChar w:fldCharType="begin"/>
      </w:r>
      <w:r>
        <w:rPr>
          <w:rFonts w:hint="eastAsia" w:cs="宋体"/>
          <w:color w:val="000000" w:themeColor="text1"/>
          <w:sz w:val="30"/>
          <w:szCs w:val="30"/>
          <w14:textFill>
            <w14:solidFill>
              <w14:schemeClr w14:val="tx1"/>
            </w14:solidFill>
          </w14:textFill>
        </w:rPr>
        <w:instrText xml:space="preserve"> PAGEREF _Toc11449 </w:instrText>
      </w:r>
      <w:r>
        <w:rPr>
          <w:rFonts w:hint="eastAsia" w:cs="宋体"/>
          <w:color w:val="000000" w:themeColor="text1"/>
          <w:sz w:val="30"/>
          <w:szCs w:val="30"/>
          <w14:textFill>
            <w14:solidFill>
              <w14:schemeClr w14:val="tx1"/>
            </w14:solidFill>
          </w14:textFill>
        </w:rPr>
        <w:fldChar w:fldCharType="separate"/>
      </w:r>
      <w:r>
        <w:rPr>
          <w:rFonts w:hint="eastAsia" w:cs="宋体"/>
          <w:color w:val="000000" w:themeColor="text1"/>
          <w:sz w:val="30"/>
          <w:szCs w:val="30"/>
          <w14:textFill>
            <w14:solidFill>
              <w14:schemeClr w14:val="tx1"/>
            </w14:solidFill>
          </w14:textFill>
        </w:rPr>
        <w:t>36</w:t>
      </w:r>
      <w:r>
        <w:rPr>
          <w:rFonts w:hint="eastAsia" w:cs="宋体"/>
          <w:color w:val="000000" w:themeColor="text1"/>
          <w:sz w:val="30"/>
          <w:szCs w:val="30"/>
          <w14:textFill>
            <w14:solidFill>
              <w14:schemeClr w14:val="tx1"/>
            </w14:solidFill>
          </w14:textFill>
        </w:rPr>
        <w:fldChar w:fldCharType="end"/>
      </w:r>
      <w:r>
        <w:rPr>
          <w:rFonts w:hint="eastAsia" w:cs="宋体"/>
          <w:color w:val="000000" w:themeColor="text1"/>
          <w:sz w:val="30"/>
          <w:szCs w:val="30"/>
          <w14:textFill>
            <w14:solidFill>
              <w14:schemeClr w14:val="tx1"/>
            </w14:solidFill>
          </w14:textFill>
        </w:rPr>
        <w:fldChar w:fldCharType="end"/>
      </w:r>
    </w:p>
    <w:p w14:paraId="14CDDDF0">
      <w:pPr>
        <w:pStyle w:val="30"/>
        <w:tabs>
          <w:tab w:val="right" w:leader="dot" w:pos="8306"/>
        </w:tabs>
        <w:rPr>
          <w:rFonts w:ascii="宋体" w:hAnsi="宋体" w:cs="宋体"/>
          <w:color w:val="000000" w:themeColor="text1"/>
          <w14:textFill>
            <w14:solidFill>
              <w14:schemeClr w14:val="tx1"/>
            </w14:solidFill>
          </w14:textFill>
        </w:rPr>
      </w:pPr>
    </w:p>
    <w:p w14:paraId="3E8F8FF5">
      <w:pPr>
        <w:pStyle w:val="26"/>
        <w:tabs>
          <w:tab w:val="right" w:leader="dot" w:pos="9240"/>
          <w:tab w:val="clear" w:pos="9344"/>
        </w:tabs>
        <w:spacing w:before="0" w:after="0" w:line="480" w:lineRule="auto"/>
        <w:rPr>
          <w:rFonts w:cs="宋体"/>
          <w:color w:val="000000" w:themeColor="text1"/>
          <w14:textFill>
            <w14:solidFill>
              <w14:schemeClr w14:val="tx1"/>
            </w14:solidFill>
          </w14:textFill>
        </w:rPr>
      </w:pPr>
      <w:r>
        <w:rPr>
          <w:rFonts w:hint="eastAsia" w:cs="宋体"/>
          <w:color w:val="000000" w:themeColor="text1"/>
          <w:sz w:val="28"/>
          <w:szCs w:val="28"/>
          <w14:textFill>
            <w14:solidFill>
              <w14:schemeClr w14:val="tx1"/>
            </w14:solidFill>
          </w14:textFill>
        </w:rPr>
        <w:fldChar w:fldCharType="end"/>
      </w:r>
      <w:bookmarkStart w:id="8" w:name="_Toc43548069"/>
    </w:p>
    <w:p w14:paraId="61B19F62">
      <w:pPr>
        <w:rPr>
          <w:rFonts w:ascii="宋体" w:hAnsi="宋体" w:cs="宋体"/>
          <w:color w:val="000000" w:themeColor="text1"/>
          <w:sz w:val="18"/>
          <w:szCs w:val="18"/>
          <w14:textFill>
            <w14:solidFill>
              <w14:schemeClr w14:val="tx1"/>
            </w14:solidFill>
          </w14:textFill>
        </w:rPr>
      </w:pPr>
    </w:p>
    <w:p w14:paraId="1803E464">
      <w:pPr>
        <w:rPr>
          <w:rFonts w:ascii="宋体" w:hAnsi="宋体" w:cs="宋体"/>
          <w:color w:val="000000" w:themeColor="text1"/>
          <w:sz w:val="18"/>
          <w:szCs w:val="18"/>
          <w14:textFill>
            <w14:solidFill>
              <w14:schemeClr w14:val="tx1"/>
            </w14:solidFill>
          </w14:textFill>
        </w:rPr>
      </w:pPr>
    </w:p>
    <w:p w14:paraId="73730102">
      <w:pPr>
        <w:rPr>
          <w:rFonts w:ascii="宋体" w:hAnsi="宋体" w:cs="宋体"/>
          <w:color w:val="000000" w:themeColor="text1"/>
          <w:sz w:val="18"/>
          <w:szCs w:val="18"/>
          <w14:textFill>
            <w14:solidFill>
              <w14:schemeClr w14:val="tx1"/>
            </w14:solidFill>
          </w14:textFill>
        </w:rPr>
      </w:pPr>
    </w:p>
    <w:p w14:paraId="3DCC0CE2">
      <w:pPr>
        <w:rPr>
          <w:rFonts w:ascii="宋体" w:hAnsi="宋体" w:cs="宋体"/>
          <w:color w:val="000000" w:themeColor="text1"/>
          <w:sz w:val="18"/>
          <w:szCs w:val="18"/>
          <w14:textFill>
            <w14:solidFill>
              <w14:schemeClr w14:val="tx1"/>
            </w14:solidFill>
          </w14:textFill>
        </w:rPr>
      </w:pPr>
    </w:p>
    <w:p w14:paraId="57030BBE">
      <w:pPr>
        <w:rPr>
          <w:rFonts w:ascii="宋体" w:hAnsi="宋体" w:cs="宋体"/>
          <w:color w:val="000000" w:themeColor="text1"/>
          <w:sz w:val="18"/>
          <w:szCs w:val="18"/>
          <w14:textFill>
            <w14:solidFill>
              <w14:schemeClr w14:val="tx1"/>
            </w14:solidFill>
          </w14:textFill>
        </w:rPr>
      </w:pPr>
    </w:p>
    <w:p w14:paraId="07545197">
      <w:pPr>
        <w:rPr>
          <w:rFonts w:ascii="宋体" w:hAnsi="宋体" w:cs="宋体"/>
          <w:color w:val="000000" w:themeColor="text1"/>
          <w:sz w:val="18"/>
          <w:szCs w:val="18"/>
          <w14:textFill>
            <w14:solidFill>
              <w14:schemeClr w14:val="tx1"/>
            </w14:solidFill>
          </w14:textFill>
        </w:rPr>
      </w:pPr>
    </w:p>
    <w:p w14:paraId="659648AA">
      <w:pPr>
        <w:rPr>
          <w:rFonts w:ascii="宋体" w:hAnsi="宋体" w:cs="宋体"/>
          <w:color w:val="000000" w:themeColor="text1"/>
          <w:sz w:val="18"/>
          <w:szCs w:val="18"/>
          <w14:textFill>
            <w14:solidFill>
              <w14:schemeClr w14:val="tx1"/>
            </w14:solidFill>
          </w14:textFill>
        </w:rPr>
      </w:pPr>
    </w:p>
    <w:p w14:paraId="780F6A01">
      <w:pPr>
        <w:rPr>
          <w:rFonts w:ascii="宋体" w:hAnsi="宋体" w:cs="宋体"/>
          <w:color w:val="000000" w:themeColor="text1"/>
          <w:sz w:val="18"/>
          <w:szCs w:val="18"/>
          <w14:textFill>
            <w14:solidFill>
              <w14:schemeClr w14:val="tx1"/>
            </w14:solidFill>
          </w14:textFill>
        </w:rPr>
      </w:pPr>
    </w:p>
    <w:p w14:paraId="395C4B69">
      <w:pPr>
        <w:rPr>
          <w:rFonts w:ascii="宋体" w:hAnsi="宋体" w:cs="宋体"/>
          <w:color w:val="000000" w:themeColor="text1"/>
          <w:sz w:val="18"/>
          <w:szCs w:val="18"/>
          <w14:textFill>
            <w14:solidFill>
              <w14:schemeClr w14:val="tx1"/>
            </w14:solidFill>
          </w14:textFill>
        </w:rPr>
      </w:pPr>
    </w:p>
    <w:p w14:paraId="486374FE">
      <w:pPr>
        <w:rPr>
          <w:rFonts w:ascii="宋体" w:hAnsi="宋体" w:cs="宋体"/>
          <w:color w:val="000000" w:themeColor="text1"/>
          <w:sz w:val="18"/>
          <w:szCs w:val="18"/>
          <w14:textFill>
            <w14:solidFill>
              <w14:schemeClr w14:val="tx1"/>
            </w14:solidFill>
          </w14:textFill>
        </w:rPr>
      </w:pPr>
    </w:p>
    <w:p w14:paraId="6F746DEF">
      <w:pPr>
        <w:rPr>
          <w:rFonts w:ascii="宋体" w:hAnsi="宋体" w:cs="宋体"/>
          <w:color w:val="000000" w:themeColor="text1"/>
          <w:sz w:val="18"/>
          <w:szCs w:val="18"/>
          <w14:textFill>
            <w14:solidFill>
              <w14:schemeClr w14:val="tx1"/>
            </w14:solidFill>
          </w14:textFill>
        </w:rPr>
      </w:pPr>
    </w:p>
    <w:p w14:paraId="327A8501">
      <w:pPr>
        <w:rPr>
          <w:rFonts w:ascii="宋体" w:hAnsi="宋体" w:cs="宋体"/>
          <w:color w:val="000000" w:themeColor="text1"/>
          <w:sz w:val="18"/>
          <w:szCs w:val="18"/>
          <w14:textFill>
            <w14:solidFill>
              <w14:schemeClr w14:val="tx1"/>
            </w14:solidFill>
          </w14:textFill>
        </w:rPr>
      </w:pPr>
    </w:p>
    <w:p w14:paraId="618D735E">
      <w:pPr>
        <w:rPr>
          <w:rFonts w:ascii="宋体" w:hAnsi="宋体" w:cs="宋体"/>
          <w:color w:val="000000" w:themeColor="text1"/>
          <w:sz w:val="18"/>
          <w:szCs w:val="18"/>
          <w14:textFill>
            <w14:solidFill>
              <w14:schemeClr w14:val="tx1"/>
            </w14:solidFill>
          </w14:textFill>
        </w:rPr>
      </w:pPr>
    </w:p>
    <w:p w14:paraId="093C865F">
      <w:pPr>
        <w:rPr>
          <w:rFonts w:ascii="宋体" w:hAnsi="宋体" w:cs="宋体"/>
          <w:color w:val="000000" w:themeColor="text1"/>
          <w:sz w:val="18"/>
          <w:szCs w:val="18"/>
          <w14:textFill>
            <w14:solidFill>
              <w14:schemeClr w14:val="tx1"/>
            </w14:solidFill>
          </w14:textFill>
        </w:rPr>
      </w:pPr>
    </w:p>
    <w:p w14:paraId="12AD84B1">
      <w:pPr>
        <w:rPr>
          <w:rFonts w:ascii="宋体" w:hAnsi="宋体" w:cs="宋体"/>
          <w:color w:val="000000" w:themeColor="text1"/>
          <w:sz w:val="18"/>
          <w:szCs w:val="18"/>
          <w14:textFill>
            <w14:solidFill>
              <w14:schemeClr w14:val="tx1"/>
            </w14:solidFill>
          </w14:textFill>
        </w:rPr>
      </w:pPr>
    </w:p>
    <w:p w14:paraId="63A43C20">
      <w:pPr>
        <w:rPr>
          <w:rFonts w:ascii="宋体" w:hAnsi="宋体" w:cs="宋体"/>
          <w:color w:val="000000" w:themeColor="text1"/>
          <w:sz w:val="18"/>
          <w:szCs w:val="18"/>
          <w14:textFill>
            <w14:solidFill>
              <w14:schemeClr w14:val="tx1"/>
            </w14:solidFill>
          </w14:textFill>
        </w:rPr>
      </w:pPr>
    </w:p>
    <w:p w14:paraId="51D47C69">
      <w:pPr>
        <w:rPr>
          <w:rFonts w:ascii="宋体" w:hAnsi="宋体" w:cs="宋体"/>
          <w:color w:val="000000" w:themeColor="text1"/>
          <w:sz w:val="18"/>
          <w:szCs w:val="18"/>
          <w14:textFill>
            <w14:solidFill>
              <w14:schemeClr w14:val="tx1"/>
            </w14:solidFill>
          </w14:textFill>
        </w:rPr>
      </w:pPr>
    </w:p>
    <w:p w14:paraId="767754AE">
      <w:pPr>
        <w:rPr>
          <w:rFonts w:ascii="宋体" w:hAnsi="宋体" w:cs="宋体"/>
          <w:color w:val="000000" w:themeColor="text1"/>
          <w:sz w:val="18"/>
          <w:szCs w:val="18"/>
          <w14:textFill>
            <w14:solidFill>
              <w14:schemeClr w14:val="tx1"/>
            </w14:solidFill>
          </w14:textFill>
        </w:rPr>
      </w:pPr>
    </w:p>
    <w:p w14:paraId="6A3F1D65">
      <w:pPr>
        <w:rPr>
          <w:rFonts w:ascii="宋体" w:hAnsi="宋体" w:cs="宋体"/>
          <w:color w:val="000000" w:themeColor="text1"/>
          <w:sz w:val="18"/>
          <w:szCs w:val="18"/>
          <w14:textFill>
            <w14:solidFill>
              <w14:schemeClr w14:val="tx1"/>
            </w14:solidFill>
          </w14:textFill>
        </w:rPr>
      </w:pPr>
    </w:p>
    <w:p w14:paraId="61DB9347">
      <w:pPr>
        <w:rPr>
          <w:rFonts w:ascii="宋体" w:hAnsi="宋体" w:cs="宋体"/>
          <w:color w:val="000000" w:themeColor="text1"/>
          <w:sz w:val="18"/>
          <w:szCs w:val="18"/>
          <w14:textFill>
            <w14:solidFill>
              <w14:schemeClr w14:val="tx1"/>
            </w14:solidFill>
          </w14:textFill>
        </w:rPr>
      </w:pPr>
    </w:p>
    <w:p w14:paraId="59E30F11">
      <w:pPr>
        <w:rPr>
          <w:rFonts w:ascii="宋体" w:hAnsi="宋体" w:cs="宋体"/>
          <w:color w:val="000000" w:themeColor="text1"/>
          <w:sz w:val="18"/>
          <w:szCs w:val="18"/>
          <w14:textFill>
            <w14:solidFill>
              <w14:schemeClr w14:val="tx1"/>
            </w14:solidFill>
          </w14:textFill>
        </w:rPr>
      </w:pPr>
    </w:p>
    <w:p w14:paraId="0306F628">
      <w:pPr>
        <w:rPr>
          <w:rFonts w:ascii="宋体" w:hAnsi="宋体" w:cs="宋体"/>
          <w:color w:val="000000" w:themeColor="text1"/>
          <w:sz w:val="18"/>
          <w:szCs w:val="18"/>
          <w14:textFill>
            <w14:solidFill>
              <w14:schemeClr w14:val="tx1"/>
            </w14:solidFill>
          </w14:textFill>
        </w:rPr>
      </w:pPr>
    </w:p>
    <w:p w14:paraId="610D84DA">
      <w:pPr>
        <w:pStyle w:val="2"/>
        <w:numPr>
          <w:ilvl w:val="0"/>
          <w:numId w:val="1"/>
        </w:numPr>
        <w:spacing w:line="360" w:lineRule="auto"/>
        <w:jc w:val="center"/>
        <w:rPr>
          <w:rFonts w:ascii="宋体" w:hAnsi="宋体" w:cs="宋体"/>
          <w:color w:val="000000" w:themeColor="text1"/>
          <w:sz w:val="32"/>
          <w:szCs w:val="32"/>
          <w14:textFill>
            <w14:solidFill>
              <w14:schemeClr w14:val="tx1"/>
            </w14:solidFill>
          </w14:textFill>
        </w:rPr>
      </w:pPr>
      <w:bookmarkStart w:id="9" w:name="_Toc10525513"/>
      <w:bookmarkStart w:id="10" w:name="_Toc461991231"/>
      <w:bookmarkStart w:id="11" w:name="_Toc19252"/>
      <w:bookmarkStart w:id="12" w:name="_Toc19554"/>
      <w:r>
        <w:rPr>
          <w:rFonts w:hint="eastAsia" w:ascii="宋体" w:hAnsi="宋体" w:cs="宋体"/>
          <w:color w:val="000000" w:themeColor="text1"/>
          <w:sz w:val="32"/>
          <w:szCs w:val="32"/>
          <w14:textFill>
            <w14:solidFill>
              <w14:schemeClr w14:val="tx1"/>
            </w14:solidFill>
          </w14:textFill>
        </w:rPr>
        <w:t>磋商邀请</w:t>
      </w:r>
      <w:bookmarkEnd w:id="8"/>
      <w:bookmarkEnd w:id="9"/>
      <w:r>
        <w:rPr>
          <w:rFonts w:hint="eastAsia" w:ascii="宋体" w:hAnsi="宋体" w:cs="宋体"/>
          <w:color w:val="000000" w:themeColor="text1"/>
          <w:sz w:val="32"/>
          <w:szCs w:val="32"/>
          <w14:textFill>
            <w14:solidFill>
              <w14:schemeClr w14:val="tx1"/>
            </w14:solidFill>
          </w14:textFill>
        </w:rPr>
        <w:t>函</w:t>
      </w:r>
      <w:bookmarkEnd w:id="10"/>
      <w:bookmarkEnd w:id="11"/>
      <w:bookmarkEnd w:id="12"/>
    </w:p>
    <w:bookmarkEnd w:id="0"/>
    <w:bookmarkEnd w:id="1"/>
    <w:bookmarkEnd w:id="2"/>
    <w:bookmarkEnd w:id="3"/>
    <w:bookmarkEnd w:id="4"/>
    <w:bookmarkEnd w:id="5"/>
    <w:bookmarkEnd w:id="6"/>
    <w:bookmarkEnd w:id="7"/>
    <w:p w14:paraId="44BC9417">
      <w:pPr>
        <w:spacing w:line="360" w:lineRule="auto"/>
        <w:ind w:firstLine="420" w:firstLineChars="200"/>
        <w:rPr>
          <w:rFonts w:ascii="宋体" w:hAnsi="宋体" w:cs="宋体"/>
          <w:color w:val="000000" w:themeColor="text1"/>
          <w:szCs w:val="21"/>
          <w:highlight w:val="yellow"/>
          <w14:textFill>
            <w14:solidFill>
              <w14:schemeClr w14:val="tx1"/>
            </w14:solidFill>
          </w14:textFill>
        </w:rPr>
      </w:pPr>
      <w:bookmarkStart w:id="13" w:name="_Toc461991232"/>
      <w:bookmarkStart w:id="14" w:name="_Toc43548070"/>
      <w:r>
        <w:rPr>
          <w:rFonts w:hint="eastAsia" w:ascii="宋体" w:hAnsi="宋体" w:cs="宋体"/>
          <w:color w:val="000000" w:themeColor="text1"/>
          <w:szCs w:val="21"/>
          <w14:textFill>
            <w14:solidFill>
              <w14:schemeClr w14:val="tx1"/>
            </w14:solidFill>
          </w14:textFill>
        </w:rPr>
        <w:t>广东远东招标代理有限公司受采购人的委托，拟对以下项目进行竞争性磋商，欢迎符合资格条件的供应商参加。</w:t>
      </w:r>
    </w:p>
    <w:p w14:paraId="66FCB97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一、采购项目名称：中华人民共和国天河出入境边防检查站2026年度办公、保洁用品及食堂耗材集中采购项目</w:t>
      </w:r>
    </w:p>
    <w:p w14:paraId="76BC904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二、采购编号：GDYD260090</w:t>
      </w:r>
    </w:p>
    <w:p w14:paraId="03E7F22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三、采购预算：人民币163,200.00元</w:t>
      </w:r>
    </w:p>
    <w:p w14:paraId="54AD0E6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四、标的名称及项目需求：</w:t>
      </w:r>
    </w:p>
    <w:p w14:paraId="6CBAFA0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1.标的名称：详见附件《天河边检站2026年度办公、保洁用品及食堂耗材清单》中各项产品“标的名称”。</w:t>
      </w:r>
    </w:p>
    <w:p w14:paraId="1FAB888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2.项目需求：中华人民共和国天河出入境边防检查站2026年度办公、保洁用品及食堂耗材</w:t>
      </w:r>
      <w:r>
        <w:rPr>
          <w:rFonts w:ascii="宋体" w:hAnsi="宋体" w:cs="宋体"/>
          <w:color w:val="000000" w:themeColor="text1"/>
          <w:szCs w:val="21"/>
          <w14:textFill>
            <w14:solidFill>
              <w14:schemeClr w14:val="tx1"/>
            </w14:solidFill>
          </w14:textFill>
        </w:rPr>
        <w:t>配送服务商</w:t>
      </w:r>
      <w:r>
        <w:rPr>
          <w:rFonts w:hint="eastAsia" w:ascii="宋体" w:hAnsi="宋体" w:cs="宋体"/>
          <w:color w:val="000000" w:themeColor="text1"/>
          <w:szCs w:val="21"/>
          <w14:textFill>
            <w14:solidFill>
              <w14:schemeClr w14:val="tx1"/>
            </w14:solidFill>
          </w14:textFill>
        </w:rPr>
        <w:t>采购工作（具体详见采购人需求）</w:t>
      </w:r>
    </w:p>
    <w:p w14:paraId="32B45E32">
      <w:pPr>
        <w:pStyle w:val="1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3.项目属性：货物类。</w:t>
      </w:r>
    </w:p>
    <w:p w14:paraId="4B5541AE">
      <w:pPr>
        <w:pStyle w:val="1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4.服务期：自合同签订之日起一年或累计结算金额达到项目预算金额时，合同自动终止，以两者先到者为准。</w:t>
      </w:r>
    </w:p>
    <w:p w14:paraId="0DEBD70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（报价人必须对项目进行整体报价，不允许仅对其中部分内容进行报价。）</w:t>
      </w:r>
    </w:p>
    <w:p w14:paraId="443AA5E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五、供应商资格：</w:t>
      </w:r>
    </w:p>
    <w:p w14:paraId="5FE2D57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1.参加本项目报价的报价人必须符合下列要求：</w:t>
      </w:r>
    </w:p>
    <w:p w14:paraId="1A2BA101">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具有独立承担民事责任的能力（在中华人民共和国境内注册的法人或其他组织或自然人，投标（响应）时提交有效的营业执照（或事业法人登记证或身份证等相关证明）副本复印件。分支机构投标（响应）的，须提供总公司和分公司营业执照副本复印件，总公司出具给分支机构的授权书）；</w:t>
      </w:r>
    </w:p>
    <w:p w14:paraId="455F82AB">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1.2.具有良好的商业信誉和健全的财务会计制度（填写磋商文件格式-资格声明函）；</w:t>
      </w:r>
    </w:p>
    <w:p w14:paraId="2AC420EC">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1.3.有依法缴纳税收和社会保障资金的良好记录（填写磋商文件格式-资格声明函）；</w:t>
      </w:r>
    </w:p>
    <w:p w14:paraId="61814861">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1.4.提供具有履行合同所必需的设备和专业技术能力的书面声明（填写磋商文件格式-资格声明函）；</w:t>
      </w:r>
    </w:p>
    <w:p w14:paraId="65384AF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提供参加采购活动前3年内在经营活动中没有重大违法记录的书面声明：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填写磋商文件格式-资格声明函）；</w:t>
      </w:r>
    </w:p>
    <w:p w14:paraId="7B4D4AF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1.6.符合法律、行政法规规定的其他条件（填写磋商文件格式-资格声明函）；</w:t>
      </w:r>
    </w:p>
    <w:p w14:paraId="4F609F9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单位负责人为同一人或者存在直接控股、管理关系的不同供应商，不得同时参加本采购项目响应。为本项目提供整体设计、规范编制或者项目管理、监理、检测等服务的供应商，不得再参与本项目响应（填写磋商文件格式-资格声明函）。</w:t>
      </w:r>
    </w:p>
    <w:p w14:paraId="548CB5E6">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未被列入“中国执行信息公开网”（zxgk.court.gov.cn）“失信被执行人”；“信用中国”网站(www.creditchina.gov.cn)“重大税收违法失信主体或政府采购严重违法失信行为”记录名单；不处于中国政府采购网(www.ccgp.gov.cn)“政府采购严重违法失信行为信息记录”中的禁止参加政府采购活动期间。（以代理机构于响应文件提交截止时间当天在“中国执行信息公开网”（zxgk.court.gov.cn）、“信用中国”网站（www.creditchina.gov.cn）及中国政府采购网(www.ccgp.gov.cn)查询结果为准，如在上述网站查询结果均显示没有相关记录，视为没有上述不良信用记录。如相关失信记录已失效，供应商须提供相关证明资料）。</w:t>
      </w:r>
    </w:p>
    <w:p w14:paraId="28EB282F">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3.已登记并获取本项目采购文件。</w:t>
      </w:r>
    </w:p>
    <w:p w14:paraId="0F034B4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4.本项目不接受联合体报价。</w:t>
      </w:r>
    </w:p>
    <w:p w14:paraId="05B01C65">
      <w:pPr>
        <w:spacing w:line="360" w:lineRule="auto"/>
        <w:ind w:firstLine="420" w:firstLineChars="20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r>
        <w:rPr>
          <w:rFonts w:hint="eastAsia" w:ascii="宋体" w:hAnsi="宋体" w:cs="宋体"/>
          <w:b/>
          <w:bCs/>
          <w:color w:val="000000" w:themeColor="text1"/>
          <w:szCs w:val="21"/>
          <w14:textFill>
            <w14:solidFill>
              <w14:schemeClr w14:val="tx1"/>
            </w14:solidFill>
          </w14:textFill>
        </w:rPr>
        <w:t>落实政府采购政策需满足的资格要求：</w:t>
      </w:r>
    </w:p>
    <w:p w14:paraId="577B21F5">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本项目不属于专门面向中小企业采购的项目。</w:t>
      </w:r>
    </w:p>
    <w:p w14:paraId="1088657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六、符合资格的供应商应当在</w:t>
      </w:r>
      <w:r>
        <w:rPr>
          <w:rFonts w:hint="eastAsia" w:ascii="宋体" w:hAnsi="宋体" w:cs="宋体"/>
          <w:color w:val="000000" w:themeColor="text1"/>
          <w:szCs w:val="21"/>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日起至2026年</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17</w:t>
      </w:r>
      <w:r>
        <w:rPr>
          <w:rFonts w:hint="eastAsia" w:ascii="宋体" w:hAnsi="宋体" w:cs="宋体"/>
          <w:color w:val="000000" w:themeColor="text1"/>
          <w:szCs w:val="21"/>
          <w14:textFill>
            <w14:solidFill>
              <w14:schemeClr w14:val="tx1"/>
            </w14:solidFill>
          </w14:textFill>
        </w:rPr>
        <w:t>日期间</w:t>
      </w:r>
      <w:r>
        <w:rPr>
          <w:rFonts w:hint="eastAsia" w:ascii="宋体" w:hAnsi="宋体" w:cs="宋体"/>
          <w:color w:val="000000" w:themeColor="text1"/>
          <w:szCs w:val="21"/>
          <w14:textFill>
            <w14:solidFill>
              <w14:schemeClr w14:val="tx1"/>
            </w14:solidFill>
          </w14:textFill>
        </w:rPr>
        <w:t>（上午9：00-11：30，下午14：30-17：00，法定节假日除外）</w:t>
      </w:r>
      <w:r>
        <w:rPr>
          <w:rFonts w:hint="eastAsia" w:ascii="宋体" w:hAnsi="宋体" w:cs="宋体"/>
          <w:color w:val="000000" w:themeColor="text1"/>
          <w:szCs w:val="21"/>
          <w:lang w:val="en-US" w:eastAsia="zh-CN"/>
          <w14:textFill>
            <w14:solidFill>
              <w14:schemeClr w14:val="tx1"/>
            </w14:solidFill>
          </w14:textFill>
        </w:rPr>
        <w:t>前往</w:t>
      </w:r>
      <w:r>
        <w:rPr>
          <w:rFonts w:hint="eastAsia" w:hAnsi="宋体" w:cs="宋体"/>
          <w:bCs/>
          <w:color w:val="000000" w:themeColor="text1"/>
          <w14:textFill>
            <w14:solidFill>
              <w14:schemeClr w14:val="tx1"/>
            </w14:solidFill>
          </w14:textFill>
        </w:rPr>
        <w:t>广东远东招标代理有限公司网站购买磋商文件，</w:t>
      </w:r>
      <w:r>
        <w:rPr>
          <w:rFonts w:hint="eastAsia" w:ascii="宋体" w:hAnsi="宋体"/>
          <w:bCs/>
          <w:color w:val="000000" w:themeColor="text1"/>
          <w:szCs w:val="21"/>
          <w14:textFill>
            <w14:solidFill>
              <w14:schemeClr w14:val="tx1"/>
            </w14:solidFill>
          </w14:textFill>
        </w:rPr>
        <w:t>磋商文件</w:t>
      </w:r>
      <w:r>
        <w:rPr>
          <w:rFonts w:hint="eastAsia" w:ascii="宋体" w:hAnsi="宋体"/>
          <w:color w:val="000000" w:themeColor="text1"/>
          <w:szCs w:val="21"/>
          <w14:textFill>
            <w14:solidFill>
              <w14:schemeClr w14:val="tx1"/>
            </w14:solidFill>
          </w14:textFill>
        </w:rPr>
        <w:t>每套售价￥300.00元，售后不退</w:t>
      </w:r>
      <w:r>
        <w:rPr>
          <w:rFonts w:hint="eastAsia" w:ascii="宋体" w:hAnsi="宋体" w:cs="宋体"/>
          <w:color w:val="000000" w:themeColor="text1"/>
          <w:szCs w:val="21"/>
          <w14:textFill>
            <w14:solidFill>
              <w14:schemeClr w14:val="tx1"/>
            </w14:solidFill>
          </w14:textFill>
        </w:rPr>
        <w:t>。</w:t>
      </w:r>
    </w:p>
    <w:p w14:paraId="3B96042A">
      <w:pPr>
        <w:spacing w:line="360" w:lineRule="auto"/>
        <w:ind w:right="-34" w:firstLine="420" w:firstLineChars="20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注意：本项目磋商文件只在远东电子交易平台在线上发售，报价供应商在购买磋商文件之前，登陆广东远东招标代理有限公司网站（远东电子交易平台http://www.gdydzb.com/）进行网上注册（已注册请忽略，直接登录进行报名与购标操作），具体流程操作见网站“下载专区 ——报价人操作手册”。</w:t>
      </w:r>
    </w:p>
    <w:p w14:paraId="03F19BF9">
      <w:pPr>
        <w:spacing w:line="360" w:lineRule="auto"/>
        <w:ind w:right="-34" w:firstLine="420" w:firstLineChars="20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符合资格的供应商在网上注册成功后方可报名与购买磋商文件，购买方式：网上购买，标书款支付方式只接受支付宝付款，不接受现金或其他方式支付。主要操作过程如下：</w:t>
      </w:r>
    </w:p>
    <w:p w14:paraId="73E2E564">
      <w:pPr>
        <w:spacing w:line="360" w:lineRule="auto"/>
        <w:ind w:right="-34" w:firstLine="420" w:firstLineChars="20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1）注册：在远东电子交易平台(http://www.gdydzb.com/)完成注册（详细内容可查看下载专区的《报价人操作手册》）；</w:t>
      </w:r>
      <w:r>
        <w:rPr>
          <w:rFonts w:hint="eastAsia" w:ascii="宋体" w:hAnsi="宋体" w:cs="宋体"/>
          <w:color w:val="000000" w:themeColor="text1"/>
          <w:szCs w:val="21"/>
          <w:lang w:val="zh-CN"/>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2）选择项目：登陆后，在“投标 --&gt;查看采购公告(报价人)”中，搜索到需要参与的项目，并选择此项目。</w:t>
      </w:r>
      <w:r>
        <w:rPr>
          <w:rFonts w:hint="eastAsia" w:ascii="宋体" w:hAnsi="宋体" w:cs="宋体"/>
          <w:color w:val="000000" w:themeColor="text1"/>
          <w:szCs w:val="21"/>
          <w:lang w:val="zh-CN"/>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3）参与确认：选择“登记参与”；</w:t>
      </w:r>
      <w:r>
        <w:rPr>
          <w:rFonts w:hint="eastAsia" w:ascii="宋体" w:hAnsi="宋体" w:cs="宋体"/>
          <w:color w:val="000000" w:themeColor="text1"/>
          <w:szCs w:val="21"/>
          <w:lang w:val="zh-CN"/>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4）购买磋商文件：在登记通过审核后，请在“购标、响应文件 --&gt;报名下载磋商文件”中选择相应的标段，通过网上支付方式完成支付并下载磋商文件。</w:t>
      </w:r>
    </w:p>
    <w:p w14:paraId="5741A0B2">
      <w:pPr>
        <w:pStyle w:val="8"/>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有关网上注册、报名相关疑问，可</w:t>
      </w:r>
      <w:r>
        <w:rPr>
          <w:rFonts w:hint="eastAsia" w:ascii="宋体" w:hAnsi="宋体" w:cs="宋体"/>
          <w:color w:val="000000" w:themeColor="text1"/>
          <w:sz w:val="21"/>
          <w:szCs w:val="21"/>
          <w14:textFill>
            <w14:solidFill>
              <w14:schemeClr w14:val="tx1"/>
            </w14:solidFill>
          </w14:textFill>
        </w:rPr>
        <w:t>致电</w:t>
      </w:r>
      <w:r>
        <w:rPr>
          <w:rFonts w:hint="eastAsia" w:ascii="宋体" w:hAnsi="宋体" w:cs="宋体"/>
          <w:color w:val="000000" w:themeColor="text1"/>
          <w:sz w:val="21"/>
          <w:szCs w:val="21"/>
          <w:lang w:val="zh-CN"/>
          <w14:textFill>
            <w14:solidFill>
              <w14:schemeClr w14:val="tx1"/>
            </w14:solidFill>
          </w14:textFill>
        </w:rPr>
        <w:t>（代理机构）黄先生，联系方式：</w:t>
      </w:r>
      <w:r>
        <w:rPr>
          <w:rFonts w:hint="eastAsia" w:ascii="宋体" w:hAnsi="宋体" w:cs="宋体"/>
          <w:color w:val="000000" w:themeColor="text1"/>
          <w:sz w:val="21"/>
          <w:szCs w:val="21"/>
          <w14:textFill>
            <w14:solidFill>
              <w14:schemeClr w14:val="tx1"/>
            </w14:solidFill>
          </w14:textFill>
        </w:rPr>
        <w:t>020-83642820-829</w:t>
      </w:r>
      <w:r>
        <w:rPr>
          <w:rFonts w:hint="eastAsia" w:ascii="宋体" w:hAnsi="宋体" w:cs="宋体"/>
          <w:color w:val="000000" w:themeColor="text1"/>
          <w:sz w:val="21"/>
          <w:szCs w:val="21"/>
          <w:lang w:val="zh-CN"/>
          <w14:textFill>
            <w14:solidFill>
              <w14:schemeClr w14:val="tx1"/>
            </w14:solidFill>
          </w14:textFill>
        </w:rPr>
        <w:t>，邮箱：</w:t>
      </w:r>
      <w:r>
        <w:rPr>
          <w:rFonts w:hint="eastAsia" w:ascii="宋体" w:hAnsi="宋体" w:cs="宋体"/>
          <w:color w:val="000000" w:themeColor="text1"/>
          <w:sz w:val="21"/>
          <w:szCs w:val="21"/>
          <w14:textFill>
            <w14:solidFill>
              <w14:schemeClr w14:val="tx1"/>
            </w14:solidFill>
          </w14:textFill>
        </w:rPr>
        <w:t>zgyuandong1212@163.com</w:t>
      </w:r>
      <w:r>
        <w:rPr>
          <w:rFonts w:hint="eastAsia" w:ascii="宋体" w:hAnsi="宋体" w:cs="宋体"/>
          <w:color w:val="000000" w:themeColor="text1"/>
          <w:sz w:val="21"/>
          <w:szCs w:val="21"/>
          <w:lang w:val="zh-CN"/>
          <w14:textFill>
            <w14:solidFill>
              <w14:schemeClr w14:val="tx1"/>
            </w14:solidFill>
          </w14:textFill>
        </w:rPr>
        <w:t>。</w:t>
      </w:r>
    </w:p>
    <w:p w14:paraId="5BBFC9C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七、递交报价文件截止时间、开标时间：</w:t>
      </w:r>
      <w:r>
        <w:rPr>
          <w:rFonts w:hint="eastAsia" w:ascii="宋体" w:hAnsi="宋体" w:cs="宋体"/>
          <w:color w:val="000000" w:themeColor="text1"/>
          <w:szCs w:val="21"/>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23</w:t>
      </w:r>
      <w:r>
        <w:rPr>
          <w:rFonts w:hint="eastAsia" w:ascii="宋体" w:hAnsi="宋体" w:cs="宋体"/>
          <w:color w:val="000000" w:themeColor="text1"/>
          <w:szCs w:val="21"/>
          <w14:textFill>
            <w14:solidFill>
              <w14:schemeClr w14:val="tx1"/>
            </w14:solidFill>
          </w14:textFill>
        </w:rPr>
        <w:t>日</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时</w:t>
      </w:r>
      <w:r>
        <w:rPr>
          <w:rFonts w:hint="eastAsia" w:ascii="宋体" w:hAnsi="宋体" w:cs="宋体"/>
          <w:color w:val="000000" w:themeColor="text1"/>
          <w:szCs w:val="21"/>
          <w:lang w:val="en-US" w:eastAsia="zh-CN"/>
          <w14:textFill>
            <w14:solidFill>
              <w14:schemeClr w14:val="tx1"/>
            </w14:solidFill>
          </w14:textFill>
        </w:rPr>
        <w:t>00</w:t>
      </w:r>
      <w:r>
        <w:rPr>
          <w:rFonts w:hint="eastAsia" w:ascii="宋体" w:hAnsi="宋体" w:cs="宋体"/>
          <w:color w:val="000000" w:themeColor="text1"/>
          <w:szCs w:val="21"/>
          <w14:textFill>
            <w14:solidFill>
              <w14:schemeClr w14:val="tx1"/>
            </w14:solidFill>
          </w14:textFill>
        </w:rPr>
        <w:t>分</w:t>
      </w:r>
    </w:p>
    <w:p w14:paraId="2D5F373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八、提交磋商响应文件地点：广东远东招标代理有限公司（广州市越秀区越华路112号珠江国际大厦43楼4303开标室）</w:t>
      </w:r>
      <w:bookmarkStart w:id="207" w:name="_GoBack"/>
      <w:bookmarkEnd w:id="207"/>
    </w:p>
    <w:p w14:paraId="06E39A4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九、磋商地点：广东远东招标代理有限公司（广州市越秀区越华路112号珠江国际大厦43楼4303开标室）</w:t>
      </w:r>
    </w:p>
    <w:p w14:paraId="4BAC1B4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十、公告期限</w:t>
      </w:r>
    </w:p>
    <w:p w14:paraId="696B46F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自本公告发布之日起3个工作日。</w:t>
      </w:r>
    </w:p>
    <w:p w14:paraId="7608858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十一、联系事项</w:t>
      </w:r>
    </w:p>
    <w:p w14:paraId="747C33B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（一）采购单位：中华人民共和国天河出入境边防检查站</w:t>
      </w:r>
    </w:p>
    <w:p w14:paraId="4CB16038">
      <w:pPr>
        <w:spacing w:line="360" w:lineRule="auto"/>
        <w:ind w:firstLine="420" w:firstLineChars="200"/>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地址：广州市天河区中山大道中898号</w:t>
      </w:r>
    </w:p>
    <w:p w14:paraId="1548C97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联系方式：钟警官                 联系电话：020-32090087 </w:t>
      </w:r>
      <w:r>
        <w:rPr>
          <w:rFonts w:hint="eastAsia" w:ascii="宋体" w:hAnsi="宋体" w:cs="宋体"/>
          <w:color w:val="000000" w:themeColor="text1"/>
          <w:szCs w:val="21"/>
          <w14:textFill>
            <w14:solidFill>
              <w14:schemeClr w14:val="tx1"/>
            </w14:solidFill>
          </w14:textFill>
        </w:rPr>
        <w:t xml:space="preserve">  </w:t>
      </w:r>
    </w:p>
    <w:p w14:paraId="0ECF1C4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（二）采购代理机构：广东远东招标代理有限公司 </w:t>
      </w:r>
    </w:p>
    <w:p w14:paraId="2D22873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地址：广州市越秀区越华路112号珠江国际大厦43楼4303</w:t>
      </w:r>
    </w:p>
    <w:p w14:paraId="4E0640C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联系人：黄工、李工                联系电话：020-83642820-829</w:t>
      </w:r>
    </w:p>
    <w:p w14:paraId="7F64264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传真：020-83642820-822            邮编：510000 </w:t>
      </w:r>
    </w:p>
    <w:p w14:paraId="7B0609F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十二、本项目的所有相关公告会在中国政府采购网(www.ccgp.gov.cn)和广东远东招标代理有限公司网站</w:t>
      </w:r>
      <w:r>
        <w:rPr>
          <w:rFonts w:hint="eastAsia" w:ascii="宋体" w:hAnsi="宋体"/>
          <w:color w:val="000000" w:themeColor="text1"/>
          <w:szCs w:val="21"/>
          <w14:textFill>
            <w14:solidFill>
              <w14:schemeClr w14:val="tx1"/>
            </w14:solidFill>
          </w14:textFill>
        </w:rPr>
        <w:t>（http://www.gdydzb.com）</w:t>
      </w:r>
      <w:r>
        <w:rPr>
          <w:rFonts w:hint="eastAsia" w:ascii="宋体" w:hAnsi="宋体" w:cs="宋体"/>
          <w:color w:val="000000" w:themeColor="text1"/>
          <w:szCs w:val="21"/>
          <w14:textFill>
            <w14:solidFill>
              <w14:schemeClr w14:val="tx1"/>
            </w14:solidFill>
          </w14:textFill>
        </w:rPr>
        <w:t>上公布，公布之日即视为有效送达之日，不再另行通知。</w:t>
      </w:r>
    </w:p>
    <w:p w14:paraId="0AB24A82">
      <w:pPr>
        <w:rPr>
          <w:rFonts w:ascii="宋体" w:hAnsi="宋体" w:cs="宋体"/>
          <w:color w:val="000000" w:themeColor="text1"/>
          <w:sz w:val="32"/>
          <w:szCs w:val="32"/>
          <w14:textFill>
            <w14:solidFill>
              <w14:schemeClr w14:val="tx1"/>
            </w14:solidFill>
          </w14:textFill>
        </w:rPr>
      </w:pPr>
      <w:bookmarkStart w:id="15" w:name="_Toc6843"/>
      <w:bookmarkStart w:id="16" w:name="_Toc24089"/>
      <w:r>
        <w:rPr>
          <w:rFonts w:hint="eastAsia" w:ascii="宋体" w:hAnsi="宋体" w:cs="宋体"/>
          <w:color w:val="000000" w:themeColor="text1"/>
          <w:sz w:val="32"/>
          <w:szCs w:val="32"/>
          <w14:textFill>
            <w14:solidFill>
              <w14:schemeClr w14:val="tx1"/>
            </w14:solidFill>
          </w14:textFill>
        </w:rPr>
        <w:br w:type="page"/>
      </w:r>
    </w:p>
    <w:p w14:paraId="6557CC91">
      <w:pPr>
        <w:pStyle w:val="2"/>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第二章</w:t>
      </w:r>
      <w:bookmarkStart w:id="17" w:name="_Toc10525515"/>
      <w:r>
        <w:rPr>
          <w:rFonts w:hint="eastAsia" w:ascii="宋体" w:hAnsi="宋体" w:cs="宋体"/>
          <w:color w:val="000000" w:themeColor="text1"/>
          <w:sz w:val="32"/>
          <w:szCs w:val="32"/>
          <w14:textFill>
            <w14:solidFill>
              <w14:schemeClr w14:val="tx1"/>
            </w14:solidFill>
          </w14:textFill>
        </w:rPr>
        <w:t xml:space="preserve"> 报价人须知</w:t>
      </w:r>
      <w:bookmarkEnd w:id="13"/>
      <w:bookmarkEnd w:id="14"/>
      <w:bookmarkEnd w:id="15"/>
      <w:bookmarkEnd w:id="16"/>
      <w:bookmarkEnd w:id="17"/>
    </w:p>
    <w:p w14:paraId="0F3EED18">
      <w:pPr>
        <w:pStyle w:val="5"/>
        <w:numPr>
          <w:ilvl w:val="0"/>
          <w:numId w:val="2"/>
        </w:numPr>
        <w:autoSpaceDE/>
        <w:autoSpaceDN/>
        <w:adjustRightInd/>
        <w:snapToGrid/>
        <w:spacing w:before="260"/>
        <w:textAlignment w:val="auto"/>
        <w:rPr>
          <w:rFonts w:cs="宋体"/>
          <w:bCs/>
          <w:color w:val="000000" w:themeColor="text1"/>
          <w:sz w:val="21"/>
          <w:szCs w:val="21"/>
          <w14:textFill>
            <w14:solidFill>
              <w14:schemeClr w14:val="tx1"/>
            </w14:solidFill>
          </w14:textFill>
        </w:rPr>
      </w:pPr>
      <w:bookmarkStart w:id="18" w:name="_Toc52270232"/>
      <w:bookmarkStart w:id="19" w:name="_Toc56846630"/>
      <w:bookmarkStart w:id="20" w:name="_Toc56855648"/>
      <w:bookmarkStart w:id="21" w:name="_Toc56938696"/>
      <w:bookmarkStart w:id="22" w:name="_Toc56855616"/>
      <w:bookmarkStart w:id="23" w:name="_Toc56851223"/>
      <w:bookmarkStart w:id="24" w:name="_Toc52288201"/>
      <w:r>
        <w:rPr>
          <w:rFonts w:hint="eastAsia" w:cs="宋体"/>
          <w:bCs/>
          <w:color w:val="000000" w:themeColor="text1"/>
          <w:sz w:val="21"/>
          <w:szCs w:val="21"/>
          <w14:textFill>
            <w14:solidFill>
              <w14:schemeClr w14:val="tx1"/>
            </w14:solidFill>
          </w14:textFill>
        </w:rPr>
        <w:t>总体说明</w:t>
      </w:r>
      <w:bookmarkEnd w:id="18"/>
      <w:bookmarkEnd w:id="19"/>
      <w:bookmarkEnd w:id="20"/>
      <w:bookmarkEnd w:id="21"/>
      <w:bookmarkEnd w:id="22"/>
      <w:bookmarkEnd w:id="23"/>
      <w:bookmarkEnd w:id="24"/>
    </w:p>
    <w:p w14:paraId="610BA3E7">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资金来源</w:t>
      </w:r>
    </w:p>
    <w:p w14:paraId="1002CEA7">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财政性资金。</w:t>
      </w:r>
    </w:p>
    <w:p w14:paraId="43C7F7FF">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适用范围</w:t>
      </w:r>
    </w:p>
    <w:p w14:paraId="6743727B">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本项目仅适用于本磋商文件所述的</w:t>
      </w:r>
      <w:r>
        <w:rPr>
          <w:rFonts w:hint="eastAsia" w:ascii="宋体" w:hAnsi="宋体" w:cs="宋体"/>
          <w:color w:val="000000" w:themeColor="text1"/>
          <w:szCs w:val="21"/>
          <w14:textFill>
            <w14:solidFill>
              <w14:schemeClr w14:val="tx1"/>
            </w14:solidFill>
          </w14:textFill>
        </w:rPr>
        <w:t>报价内容</w:t>
      </w:r>
      <w:r>
        <w:rPr>
          <w:rFonts w:hint="eastAsia" w:ascii="宋体" w:hAnsi="宋体" w:cs="宋体"/>
          <w:bCs/>
          <w:color w:val="000000" w:themeColor="text1"/>
          <w:szCs w:val="21"/>
          <w14:textFill>
            <w14:solidFill>
              <w14:schemeClr w14:val="tx1"/>
            </w14:solidFill>
          </w14:textFill>
        </w:rPr>
        <w:t>。</w:t>
      </w:r>
    </w:p>
    <w:p w14:paraId="078D5950">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合格的报价人</w:t>
      </w:r>
    </w:p>
    <w:p w14:paraId="4DA10311">
      <w:pPr>
        <w:tabs>
          <w:tab w:val="left" w:pos="1164"/>
        </w:tabs>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1.3.1具有符合磋商邀请中合格报价人资格要求及实质性要求；</w:t>
      </w:r>
    </w:p>
    <w:p w14:paraId="2FD059CF">
      <w:pPr>
        <w:tabs>
          <w:tab w:val="left" w:pos="1164"/>
        </w:tabs>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1.3.2已在本项目登记及获取磋商文件的报价人。</w:t>
      </w:r>
    </w:p>
    <w:p w14:paraId="27DCF827">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报价人应承担参与本次报价的全部费用。</w:t>
      </w:r>
    </w:p>
    <w:p w14:paraId="6B645C6C">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合格的货物和服务</w:t>
      </w:r>
    </w:p>
    <w:p w14:paraId="22F83FBE">
      <w:pPr>
        <w:tabs>
          <w:tab w:val="left" w:pos="1164"/>
          <w:tab w:val="left" w:pos="2160"/>
        </w:tabs>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1.5.1本项目采购本国产品，报价人提供的所有货物及服务，其来源均应符合相关法律法规的规定。</w:t>
      </w:r>
    </w:p>
    <w:p w14:paraId="0809AA38">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1.5.2采购人将拒绝接受不合格的货物和服务。</w:t>
      </w:r>
    </w:p>
    <w:p w14:paraId="037D1D8D">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定义</w:t>
      </w:r>
    </w:p>
    <w:p w14:paraId="7826C17B">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“采购人”系指本磋商文件报价邀请中所叙述的采购人。</w:t>
      </w:r>
    </w:p>
    <w:p w14:paraId="35BFB95C">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“业主/用户”系指本项目的采购人或采购人指定的最终使用单位。</w:t>
      </w:r>
    </w:p>
    <w:p w14:paraId="36ABA1B0">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“采购代理机构”系指广东远东招标代理有限公司。</w:t>
      </w:r>
    </w:p>
    <w:p w14:paraId="67AAE480">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“报价人”系指向采购代理机构提交报价响应文件的供应商。</w:t>
      </w:r>
    </w:p>
    <w:p w14:paraId="2884D2B0">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“报价文件”、“报价响应文件”系指报价人提交的响应本次项目的响应文件。</w:t>
      </w:r>
    </w:p>
    <w:p w14:paraId="2CD84A79">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“甲方”系指采购人或采购人指定的最终使用单位。</w:t>
      </w:r>
    </w:p>
    <w:p w14:paraId="79C81925">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“乙方”系指成交人。</w:t>
      </w:r>
    </w:p>
    <w:p w14:paraId="3AC29C5D">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“日期”指公历日,“时间”指北京时间，24小时制。</w:t>
      </w:r>
    </w:p>
    <w:p w14:paraId="63DAE750">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“服务”系指磋商文件规定供应商须承担的相关服务。</w:t>
      </w:r>
    </w:p>
    <w:p w14:paraId="608AB2A6">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“书面形式”系指纸质文件形式，除非特别说明，不包含电子邮件、手机短信等非纸质形式。</w:t>
      </w:r>
    </w:p>
    <w:p w14:paraId="6FA0BD5F">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“不可抗力”系指战争、严重火灾、洪水、台风、地震等或其他采购人（或采购人指定的最终使用单位）、双方认定的不可抗力事件。</w:t>
      </w:r>
    </w:p>
    <w:p w14:paraId="2BCFE867">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“实质性响应”系指符合磋商文件实质性要求、条款、条件和规定，且没有重大偏离或保留。重大偏离或保留指影响到磋商文件规定的范围、质量和性能，或限制采购人的权</w:t>
      </w:r>
      <w:r>
        <w:rPr>
          <w:rFonts w:hint="eastAsia" w:ascii="宋体" w:hAnsi="宋体" w:cs="宋体"/>
          <w:color w:val="000000" w:themeColor="text1"/>
          <w:szCs w:val="21"/>
          <w14:textFill>
            <w14:solidFill>
              <w14:schemeClr w14:val="tx1"/>
            </w14:solidFill>
          </w14:textFill>
        </w:rPr>
        <w:t>利和报价人的义务的规定，而纠正这些偏离将影响到其他递交实质性响应</w:t>
      </w:r>
      <w:r>
        <w:rPr>
          <w:rFonts w:hint="eastAsia" w:ascii="宋体" w:hAnsi="宋体" w:cs="宋体"/>
          <w:bCs/>
          <w:color w:val="000000" w:themeColor="text1"/>
          <w:szCs w:val="21"/>
          <w14:textFill>
            <w14:solidFill>
              <w14:schemeClr w14:val="tx1"/>
            </w14:solidFill>
          </w14:textFill>
        </w:rPr>
        <w:t>磋商文件</w:t>
      </w:r>
      <w:r>
        <w:rPr>
          <w:rFonts w:hint="eastAsia" w:ascii="宋体" w:hAnsi="宋体" w:cs="宋体"/>
          <w:color w:val="000000" w:themeColor="text1"/>
          <w:szCs w:val="21"/>
          <w14:textFill>
            <w14:solidFill>
              <w14:schemeClr w14:val="tx1"/>
            </w14:solidFill>
          </w14:textFill>
        </w:rPr>
        <w:t>的报价人的公平竞争地位。</w:t>
      </w:r>
    </w:p>
    <w:p w14:paraId="33691175">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磋商文件中的标题或题名仅起引导作用，不作为对磋商文件内容的理解或解释。</w:t>
      </w:r>
    </w:p>
    <w:p w14:paraId="16BA1D1F">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知识产权</w:t>
      </w:r>
    </w:p>
    <w:p w14:paraId="4B3A27F3">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en-GB"/>
          <w14:textFill>
            <w14:solidFill>
              <w14:schemeClr w14:val="tx1"/>
            </w14:solidFill>
          </w14:textFill>
        </w:rPr>
        <w:t>报价人必须保证，采购人在中华人民共和国境内使用报价货物、资料、技术、服务或其任何一部分时，享有不受限制的无偿使用权，不会产生因第三方提出侵犯其专利权、商标权或其它知识产权而引起的法律或经济纠纷。如报价人不拥有相应的知识产权，则应由报价人负责获得并提供给采购人使用，其报价中必须包括合法获取该知识产权的一切相关费用，如报价人没有单独列出的，视为已包含在相应报价中</w:t>
      </w:r>
      <w:r>
        <w:rPr>
          <w:rFonts w:hint="eastAsia" w:ascii="宋体" w:hAnsi="宋体" w:cs="宋体"/>
          <w:color w:val="000000" w:themeColor="text1"/>
          <w:szCs w:val="21"/>
          <w14:textFill>
            <w14:solidFill>
              <w14:schemeClr w14:val="tx1"/>
            </w14:solidFill>
          </w14:textFill>
        </w:rPr>
        <w:t>。一旦使用报价人提供的产品或服务，采购人不再</w:t>
      </w:r>
      <w:r>
        <w:rPr>
          <w:rFonts w:hint="eastAsia" w:ascii="宋体" w:hAnsi="宋体" w:cs="宋体"/>
          <w:color w:val="000000" w:themeColor="text1"/>
          <w:szCs w:val="21"/>
          <w:lang w:val="en-GB"/>
          <w14:textFill>
            <w14:solidFill>
              <w14:schemeClr w14:val="tx1"/>
            </w14:solidFill>
          </w14:textFill>
        </w:rPr>
        <w:t>承担第三方提出侵犯其专利权、商标权或其它知识产权而引起的法律或经济纠纷。</w:t>
      </w:r>
    </w:p>
    <w:p w14:paraId="0B5350D5">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联合体报价（本项目不适用）</w:t>
      </w:r>
    </w:p>
    <w:p w14:paraId="1B9E693E">
      <w:pPr>
        <w:tabs>
          <w:tab w:val="left" w:pos="1674"/>
        </w:tabs>
        <w:spacing w:line="360" w:lineRule="auto"/>
        <w:ind w:left="735" w:hanging="735" w:hangingChars="35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对接受联合体报价的项目：</w:t>
      </w:r>
    </w:p>
    <w:p w14:paraId="21278F9D">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两个以上供应商可以组成一个报价联合体，以一个报价人的身份报价。</w:t>
      </w:r>
    </w:p>
    <w:p w14:paraId="6FF16790">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合体各方均应当符合《中华人民共和国政府采购法》第二十二条第一款规定的条件，根据采购项目的特殊要求规定报价人特定条件的，联合体各方或按本项目要求各方中至少应当有一方符合采购人规定的特定条件。</w:t>
      </w:r>
    </w:p>
    <w:p w14:paraId="6DA8EC0F">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合体各方之间应当签订共同报价协议并在报价文件内提交，明确约定联合体各方承担的工作和相应的责任。联合体各方签订共同报价协议后，不得再以自己名义单独在同一项目中报价，也不得组成新的联合体参加同一项目报价。</w:t>
      </w:r>
    </w:p>
    <w:p w14:paraId="56C1FBDD">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联合体中有同类资质的供应商按照联合体分工承担相同工作的，应当按照资质等级较低的供应商确定资质等级。</w:t>
      </w:r>
    </w:p>
    <w:p w14:paraId="53AB8A30">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关联企业</w:t>
      </w:r>
    </w:p>
    <w:p w14:paraId="1F8AB9A9">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除联合体外，法定代表人或单位负责人为同一个人或者存在直接控股、管理关系的不同供应商，不得同时参加同一项目或同一子包（子项、标段等）的报价。如同时参加，则评审时将同时被拒绝。</w:t>
      </w:r>
    </w:p>
    <w:p w14:paraId="0951DC29">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同一供应商授权不同的人员参与同一项目或同一子包（子项、标段等）的报价，则评审时将同时被拒绝。</w:t>
      </w:r>
    </w:p>
    <w:p w14:paraId="641DB065">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提供前期服务的供应商</w:t>
      </w:r>
    </w:p>
    <w:p w14:paraId="24A051B6">
      <w:pPr>
        <w:tabs>
          <w:tab w:val="left" w:pos="1674"/>
        </w:tabs>
        <w:spacing w:line="360" w:lineRule="auto"/>
        <w:ind w:left="840" w:leftChars="40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为采购项目提供整体设计、规范编制或者项目管理、监理、检测等服务的供应商，不得再参加该采购项目的其他采购活动。</w:t>
      </w:r>
    </w:p>
    <w:p w14:paraId="0D6A328D">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磋商文件的解释权</w:t>
      </w:r>
    </w:p>
    <w:p w14:paraId="6E343DA3">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本磋商文件的解释权归“广东远东招标代理有限公司”所有。</w:t>
      </w:r>
    </w:p>
    <w:p w14:paraId="7F862C0F">
      <w:pPr>
        <w:pStyle w:val="5"/>
        <w:numPr>
          <w:ilvl w:val="0"/>
          <w:numId w:val="2"/>
        </w:numPr>
        <w:autoSpaceDE/>
        <w:autoSpaceDN/>
        <w:adjustRightInd/>
        <w:snapToGrid/>
        <w:spacing w:before="260"/>
        <w:textAlignment w:val="auto"/>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磋商文件</w:t>
      </w:r>
    </w:p>
    <w:p w14:paraId="48F8BC8D">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磋商文件的组成</w:t>
      </w:r>
    </w:p>
    <w:p w14:paraId="7601F9BB">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2.1.1.磋商邀请</w:t>
      </w:r>
    </w:p>
    <w:p w14:paraId="777136A6">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2.1.2.报价人须知</w:t>
      </w:r>
    </w:p>
    <w:p w14:paraId="7CC7B038">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2.1.3.采购人需求</w:t>
      </w:r>
    </w:p>
    <w:p w14:paraId="5097B60F">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2.1.4.合同文本</w:t>
      </w:r>
    </w:p>
    <w:p w14:paraId="77AB84C2">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2.1.5.磋商细则</w:t>
      </w:r>
    </w:p>
    <w:p w14:paraId="3E80C155">
      <w:pPr>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2.1.6.报价文件格式</w:t>
      </w:r>
    </w:p>
    <w:p w14:paraId="39B745C4">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2.2.磋商文件的澄清或修改</w:t>
      </w:r>
    </w:p>
    <w:p w14:paraId="128E6380">
      <w:pPr>
        <w:spacing w:line="360" w:lineRule="auto"/>
        <w:ind w:left="735" w:hanging="735" w:hangingChars="350"/>
        <w:rPr>
          <w:rFonts w:ascii="宋体" w:hAnsi="宋体" w:cs="宋体"/>
          <w:color w:val="000000" w:themeColor="text1"/>
          <w:szCs w:val="21"/>
          <w14:textFill>
            <w14:solidFill>
              <w14:schemeClr w14:val="tx1"/>
            </w14:solidFill>
          </w14:textFill>
        </w:rPr>
      </w:pPr>
      <w:bookmarkStart w:id="25" w:name="_Toc56938698"/>
      <w:bookmarkStart w:id="26" w:name="_Toc52270234"/>
      <w:bookmarkStart w:id="27" w:name="_Toc56851225"/>
      <w:bookmarkStart w:id="28" w:name="_Toc52288203"/>
      <w:bookmarkStart w:id="29" w:name="_Toc56855618"/>
      <w:bookmarkStart w:id="30" w:name="_Toc56846632"/>
      <w:bookmarkStart w:id="31" w:name="_Toc56855650"/>
      <w:r>
        <w:rPr>
          <w:rFonts w:hint="eastAsia" w:ascii="宋体" w:hAnsi="宋体" w:cs="宋体"/>
          <w:bCs/>
          <w:color w:val="000000" w:themeColor="text1"/>
          <w:szCs w:val="21"/>
          <w14:textFill>
            <w14:solidFill>
              <w14:schemeClr w14:val="tx1"/>
            </w14:solidFill>
          </w14:textFill>
        </w:rPr>
        <w:t>2.2.1．</w:t>
      </w:r>
      <w:r>
        <w:rPr>
          <w:rFonts w:hint="eastAsia" w:ascii="宋体" w:hAnsi="宋体" w:cs="宋体"/>
          <w:color w:val="000000" w:themeColor="text1"/>
          <w14:textFill>
            <w14:solidFill>
              <w14:schemeClr w14:val="tx1"/>
            </w14:solidFill>
          </w14:textFill>
        </w:rPr>
        <w:t>采购代理机构对磋商文件进行必要的澄清或者修改的，在指定媒体上发布更正公告。澄清或者修改的内容可能影响响应文件编制的，更正公告在递交响应文件截止时间至少5日前发出； 不足5日的，采购代理机构顺延提交响应文件截止时间</w:t>
      </w:r>
      <w:r>
        <w:rPr>
          <w:rFonts w:hint="eastAsia" w:ascii="宋体" w:hAnsi="宋体" w:cs="宋体"/>
          <w:color w:val="000000" w:themeColor="text1"/>
          <w:szCs w:val="21"/>
          <w14:textFill>
            <w14:solidFill>
              <w14:schemeClr w14:val="tx1"/>
            </w14:solidFill>
          </w14:textFill>
        </w:rPr>
        <w:t>。不足上述时间的，</w:t>
      </w:r>
      <w:r>
        <w:rPr>
          <w:rFonts w:hint="eastAsia" w:ascii="宋体" w:hAnsi="宋体" w:cs="宋体"/>
          <w:bCs/>
          <w:color w:val="000000" w:themeColor="text1"/>
          <w:szCs w:val="21"/>
          <w14:textFill>
            <w14:solidFill>
              <w14:schemeClr w14:val="tx1"/>
            </w14:solidFill>
          </w14:textFill>
        </w:rPr>
        <w:t>采购代理机构</w:t>
      </w:r>
      <w:r>
        <w:rPr>
          <w:rFonts w:hint="eastAsia" w:ascii="宋体" w:hAnsi="宋体" w:cs="宋体"/>
          <w:color w:val="000000" w:themeColor="text1"/>
          <w:szCs w:val="21"/>
          <w14:textFill>
            <w14:solidFill>
              <w14:schemeClr w14:val="tx1"/>
            </w14:solidFill>
          </w14:textFill>
        </w:rPr>
        <w:t>在征得当时已登记及获取磋商文件的报价人同意并书面确认后（可以电子邮件或传真形式），可不改变截止时间</w:t>
      </w:r>
      <w:r>
        <w:rPr>
          <w:rFonts w:hint="eastAsia" w:ascii="宋体" w:hAnsi="宋体" w:cs="宋体"/>
          <w:color w:val="000000" w:themeColor="text1"/>
          <w:szCs w:val="21"/>
          <w14:textFill>
            <w14:solidFill>
              <w14:schemeClr w14:val="tx1"/>
            </w14:solidFill>
          </w14:textFill>
        </w:rPr>
        <w:t>。</w:t>
      </w:r>
    </w:p>
    <w:p w14:paraId="23AB494E">
      <w:pPr>
        <w:spacing w:line="360" w:lineRule="auto"/>
        <w:ind w:left="735" w:hanging="735" w:hangingChars="35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2.2.2.登记及获取磋商文件的供应商在收到澄清或修改通知后应按要求以书面形式（可以电子邮件或传真形式）予以确认，该澄清或修改的内容为磋商文件的组成部分，供应商在提交首次报价文件截止时间前不予书面确认的，视为已收到通知且对内容无异议。</w:t>
      </w:r>
    </w:p>
    <w:p w14:paraId="36AA47BD">
      <w:pPr>
        <w:tabs>
          <w:tab w:val="left" w:pos="720"/>
          <w:tab w:val="left" w:pos="1050"/>
          <w:tab w:val="left" w:pos="1155"/>
        </w:tabs>
        <w:spacing w:line="360" w:lineRule="auto"/>
        <w:ind w:left="735" w:hanging="735" w:hangingChars="35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2.2.3.采购过程中的一切修改文件或补充文件一旦确认后与磋商文件具有同等法律效力，报价人有责任履行相应的义务。</w:t>
      </w:r>
    </w:p>
    <w:p w14:paraId="4126DE3A">
      <w:pPr>
        <w:spacing w:line="360" w:lineRule="auto"/>
        <w:ind w:left="735" w:hanging="735" w:hangingChars="35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2.2.4.</w:t>
      </w:r>
      <w:r>
        <w:rPr>
          <w:rFonts w:hint="eastAsia" w:ascii="宋体" w:hAnsi="宋体" w:cs="宋体"/>
          <w:color w:val="000000" w:themeColor="text1"/>
          <w:szCs w:val="21"/>
          <w14:textFill>
            <w14:solidFill>
              <w14:schemeClr w14:val="tx1"/>
            </w14:solidFill>
          </w14:textFill>
        </w:rPr>
        <w:t>对磋商文件中描述有歧义或前后不一致的地方，磋商小组有权进行评判，但对同一条款的评判应适用于每个报价人。</w:t>
      </w:r>
    </w:p>
    <w:p w14:paraId="2DE95BF9">
      <w:pPr>
        <w:pStyle w:val="5"/>
        <w:numPr>
          <w:ilvl w:val="0"/>
          <w:numId w:val="2"/>
        </w:numPr>
        <w:autoSpaceDE/>
        <w:autoSpaceDN/>
        <w:adjustRightInd/>
        <w:snapToGrid/>
        <w:spacing w:before="260"/>
        <w:textAlignment w:val="auto"/>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报价总则</w:t>
      </w:r>
      <w:bookmarkEnd w:id="25"/>
      <w:bookmarkEnd w:id="26"/>
      <w:bookmarkEnd w:id="27"/>
      <w:bookmarkEnd w:id="28"/>
      <w:bookmarkEnd w:id="29"/>
      <w:bookmarkEnd w:id="30"/>
      <w:bookmarkEnd w:id="31"/>
    </w:p>
    <w:p w14:paraId="3CA2BE82">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报价文件的编写</w:t>
      </w:r>
    </w:p>
    <w:p w14:paraId="435E4682">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应仔细阅读磋商文件的所有内容，按磋商文件的要求制作并递交报价文件，并保证所提供的全部资料的真实性、准确性，以确保其对磋商文件做出实质性响应；否则，将拒绝其报价。报价人若提供不真实的材料，无论其材料是否重要，都将有可能直接导致报价无效，并承担由此产生的法律责任。</w:t>
      </w:r>
    </w:p>
    <w:p w14:paraId="4B9AF55B">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语言和计量单位：</w:t>
      </w:r>
      <w:r>
        <w:rPr>
          <w:rFonts w:hint="eastAsia" w:ascii="宋体" w:hAnsi="宋体" w:cs="宋体"/>
          <w:bCs/>
          <w:color w:val="000000" w:themeColor="text1"/>
          <w:szCs w:val="21"/>
          <w14:textFill>
            <w14:solidFill>
              <w14:schemeClr w14:val="tx1"/>
            </w14:solidFill>
          </w14:textFill>
        </w:rPr>
        <w:t>报价文件和来往函件应用简体中文书写，报价人提供的支持文件、技术资料和印刷的文献可以用其他语言，但相应内容应附有中文翻译文本（经公证处公证），对不同文字文本报价文件的解释发生异议的，以中文文本为准。计量单位应使用国际单位制</w:t>
      </w:r>
      <w:r>
        <w:rPr>
          <w:rFonts w:hint="eastAsia" w:ascii="宋体" w:hAnsi="宋体" w:cs="宋体"/>
          <w:color w:val="000000" w:themeColor="text1"/>
          <w:szCs w:val="21"/>
          <w14:textFill>
            <w14:solidFill>
              <w14:schemeClr w14:val="tx1"/>
            </w14:solidFill>
          </w14:textFill>
        </w:rPr>
        <w:t>。</w:t>
      </w:r>
    </w:p>
    <w:p w14:paraId="730CAADA">
      <w:pPr>
        <w:numPr>
          <w:ilvl w:val="2"/>
          <w:numId w:val="2"/>
        </w:numPr>
        <w:tabs>
          <w:tab w:val="left" w:pos="720"/>
        </w:tabs>
        <w:spacing w:line="360" w:lineRule="auto"/>
        <w:ind w:left="720" w:hanging="72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报价人应用人民币报价。</w:t>
      </w:r>
      <w:r>
        <w:rPr>
          <w:rFonts w:hint="eastAsia" w:ascii="宋体" w:hAnsi="宋体" w:cs="宋体"/>
          <w:bCs/>
          <w:color w:val="000000" w:themeColor="text1"/>
          <w:szCs w:val="21"/>
          <w14:textFill>
            <w14:solidFill>
              <w14:schemeClr w14:val="tx1"/>
            </w14:solidFill>
          </w14:textFill>
        </w:rPr>
        <w:t>报价文件的大写金额和小写金额不一致的，以大写金额为准；总价金额与按单价汇总金额不一致的，以单价金额计算结果为准；单价金额小数点有明显错位的，应以总价为准，并修改单价。</w:t>
      </w:r>
    </w:p>
    <w:p w14:paraId="1CF5F268">
      <w:pPr>
        <w:numPr>
          <w:ilvl w:val="2"/>
          <w:numId w:val="2"/>
        </w:numPr>
        <w:tabs>
          <w:tab w:val="left" w:pos="720"/>
        </w:tabs>
        <w:spacing w:line="360" w:lineRule="auto"/>
        <w:ind w:left="720" w:hanging="720"/>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项目要求总报价应包括货物采购、运输、安装、调试、相关部门验收及保修期内的维护保养等所有费用，以及报价人认为必要的其他货物、材料、安装、服务；报价人应自行增加货物整体正常、合法、安全运行及使用所必需但磋商文件没有包含的所有货物、版权、专利等一切费用，如果报价人在成交并签署合同后，在供货、安装、调试、培训等工作中出现货物的任何遗漏，均由成交人免费提供，采购人将不再支付任何费用。</w:t>
      </w:r>
    </w:p>
    <w:p w14:paraId="52131158">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报价人在编写报价文件时，应填写磋商文件要求的内容及其附件，并根据实际情况补充评审所需资料，报价文件</w:t>
      </w:r>
      <w:r>
        <w:rPr>
          <w:rFonts w:hint="eastAsia" w:ascii="宋体" w:hAnsi="宋体" w:cs="宋体"/>
          <w:color w:val="000000" w:themeColor="text1"/>
          <w:szCs w:val="21"/>
          <w:lang w:eastAsia="zh-TW"/>
          <w14:textFill>
            <w14:solidFill>
              <w14:schemeClr w14:val="tx1"/>
            </w14:solidFill>
          </w14:textFill>
        </w:rPr>
        <w:t>只填写和提供了</w:t>
      </w:r>
      <w:r>
        <w:rPr>
          <w:rFonts w:hint="eastAsia" w:ascii="宋体" w:hAnsi="宋体" w:cs="宋体"/>
          <w:color w:val="000000" w:themeColor="text1"/>
          <w:szCs w:val="21"/>
          <w14:textFill>
            <w14:solidFill>
              <w14:schemeClr w14:val="tx1"/>
            </w14:solidFill>
          </w14:textFill>
        </w:rPr>
        <w:t>磋商</w:t>
      </w:r>
      <w:r>
        <w:rPr>
          <w:rFonts w:hint="eastAsia" w:ascii="宋体" w:hAnsi="宋体" w:cs="宋体"/>
          <w:color w:val="000000" w:themeColor="text1"/>
          <w:szCs w:val="21"/>
          <w:lang w:eastAsia="zh-TW"/>
          <w14:textFill>
            <w14:solidFill>
              <w14:schemeClr w14:val="tx1"/>
            </w14:solidFill>
          </w14:textFill>
        </w:rPr>
        <w:t>文件要求的部分内容和附件，或没有提供</w:t>
      </w:r>
      <w:r>
        <w:rPr>
          <w:rFonts w:hint="eastAsia" w:ascii="宋体" w:hAnsi="宋体" w:cs="宋体"/>
          <w:color w:val="000000" w:themeColor="text1"/>
          <w:szCs w:val="21"/>
          <w14:textFill>
            <w14:solidFill>
              <w14:schemeClr w14:val="tx1"/>
            </w14:solidFill>
          </w14:textFill>
        </w:rPr>
        <w:t>磋商</w:t>
      </w:r>
      <w:r>
        <w:rPr>
          <w:rFonts w:hint="eastAsia" w:ascii="宋体" w:hAnsi="宋体" w:cs="宋体"/>
          <w:color w:val="000000" w:themeColor="text1"/>
          <w:szCs w:val="21"/>
          <w:lang w:eastAsia="zh-TW"/>
          <w14:textFill>
            <w14:solidFill>
              <w14:schemeClr w14:val="tx1"/>
            </w14:solidFill>
          </w14:textFill>
        </w:rPr>
        <w:t>文件中所要求的全部资料及数据，</w:t>
      </w:r>
      <w:r>
        <w:rPr>
          <w:rFonts w:hint="eastAsia" w:ascii="宋体" w:hAnsi="宋体" w:cs="宋体"/>
          <w:color w:val="000000" w:themeColor="text1"/>
          <w:szCs w:val="21"/>
          <w14:textFill>
            <w14:solidFill>
              <w14:schemeClr w14:val="tx1"/>
            </w14:solidFill>
          </w14:textFill>
        </w:rPr>
        <w:t>或没有按实际情况提供报价所需资料的，</w:t>
      </w:r>
      <w:r>
        <w:rPr>
          <w:rFonts w:hint="eastAsia" w:ascii="宋体" w:hAnsi="宋体" w:cs="宋体"/>
          <w:color w:val="000000" w:themeColor="text1"/>
          <w:szCs w:val="21"/>
          <w:lang w:eastAsia="zh-TW"/>
          <w14:textFill>
            <w14:solidFill>
              <w14:schemeClr w14:val="tx1"/>
            </w14:solidFill>
          </w14:textFill>
        </w:rPr>
        <w:t>其可能导致的结果和责任由</w:t>
      </w:r>
      <w:r>
        <w:rPr>
          <w:rFonts w:hint="eastAsia" w:ascii="宋体" w:hAnsi="宋体" w:cs="宋体"/>
          <w:color w:val="000000" w:themeColor="text1"/>
          <w:szCs w:val="21"/>
          <w14:textFill>
            <w14:solidFill>
              <w14:schemeClr w14:val="tx1"/>
            </w14:solidFill>
          </w14:textFill>
        </w:rPr>
        <w:t>报价人</w:t>
      </w:r>
      <w:r>
        <w:rPr>
          <w:rFonts w:hint="eastAsia" w:ascii="宋体" w:hAnsi="宋体" w:cs="宋体"/>
          <w:color w:val="000000" w:themeColor="text1"/>
          <w:szCs w:val="21"/>
          <w:lang w:eastAsia="zh-TW"/>
          <w14:textFill>
            <w14:solidFill>
              <w14:schemeClr w14:val="tx1"/>
            </w14:solidFill>
          </w14:textFill>
        </w:rPr>
        <w:t>自行承担。</w:t>
      </w:r>
    </w:p>
    <w:p w14:paraId="40FB33DD">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人的报价明显低于其他报价，使得其报价可能低于其个别成本的，有可能影响商品质量和不能诚信履约的，磋商小组应当要求该报价人作出书面说明并提供相关证明材料。报价人不能合理说明或者不能提供相关证明材料的，由磋商小组认定该报价人以低于成本报价，其报价应作无效报价处理。</w:t>
      </w:r>
    </w:p>
    <w:p w14:paraId="16C29D9B">
      <w:pPr>
        <w:numPr>
          <w:ilvl w:val="2"/>
          <w:numId w:val="2"/>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采购代理机构不接受电报、电话、电传、传真等非约定形式报价。</w:t>
      </w:r>
    </w:p>
    <w:p w14:paraId="13221A47">
      <w:pPr>
        <w:numPr>
          <w:ilvl w:val="2"/>
          <w:numId w:val="2"/>
        </w:numPr>
        <w:tabs>
          <w:tab w:val="left" w:pos="720"/>
        </w:tabs>
        <w:spacing w:line="360" w:lineRule="auto"/>
        <w:ind w:left="720" w:hanging="7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报价文件中，凡标有“★”的地方，报价人要特别加以注意，必须对此作出一一响应。若有一项带“★”的指标未响应或不满足，将导致其废标或磋商无效。标注有“▲”的参数为重要评分，报价人若有部分“▲”条款未响应或不满足的，将导致其评审分值严重扣分。</w:t>
      </w:r>
    </w:p>
    <w:p w14:paraId="4F981CAF">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报价文件的构成</w:t>
      </w:r>
    </w:p>
    <w:p w14:paraId="22F610B7">
      <w:pPr>
        <w:tabs>
          <w:tab w:val="left" w:pos="840"/>
          <w:tab w:val="left" w:pos="1050"/>
          <w:tab w:val="left" w:pos="1155"/>
        </w:tabs>
        <w:spacing w:line="360" w:lineRule="auto"/>
        <w:ind w:left="1" w:firstLine="550" w:firstLineChars="262"/>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报价人编写的报价文件格式详见报价文件目录表。</w:t>
      </w:r>
    </w:p>
    <w:p w14:paraId="5BA0FC66">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u w:val="single"/>
          <w14:textFill>
            <w14:solidFill>
              <w14:schemeClr w14:val="tx1"/>
            </w14:solidFill>
          </w14:textFill>
        </w:rPr>
        <w:t>报价人应按照磋商文件的要求编制带有目录和页码并装订成册的报价文件。</w:t>
      </w:r>
    </w:p>
    <w:p w14:paraId="228B531E">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报价人必须自行承担因其报价文件的任何错漏而导致的一切后果。</w:t>
      </w:r>
    </w:p>
    <w:p w14:paraId="0541C71F">
      <w:pPr>
        <w:numPr>
          <w:ilvl w:val="1"/>
          <w:numId w:val="2"/>
        </w:numPr>
        <w:tabs>
          <w:tab w:val="left" w:pos="735"/>
        </w:tabs>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报价的修改及撤回</w:t>
      </w:r>
    </w:p>
    <w:p w14:paraId="569CD783">
      <w:pPr>
        <w:numPr>
          <w:ilvl w:val="2"/>
          <w:numId w:val="2"/>
        </w:numPr>
        <w:spacing w:line="360" w:lineRule="auto"/>
        <w:ind w:left="735" w:hanging="735" w:hangingChars="3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在报价截止时间前，报价人可以以书面通知的形式向采购代理机构修改或撤回其报价文件。修改后的报价文件须按照本项目规定的报价截止时间之前重新递交，否则，采购代理机构将拒绝接受修改后的报价文件。</w:t>
      </w:r>
    </w:p>
    <w:p w14:paraId="26ADC136">
      <w:pPr>
        <w:numPr>
          <w:ilvl w:val="2"/>
          <w:numId w:val="2"/>
        </w:numPr>
        <w:tabs>
          <w:tab w:val="left" w:pos="720"/>
        </w:tabs>
        <w:spacing w:line="360" w:lineRule="auto"/>
        <w:ind w:left="735" w:hanging="735" w:hangingChars="3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在报价截止时间后，报价人不得对其报价文件作任何修改。从报价截止时间至报价有效期满之前，报价人不允许撤回其报价文件。</w:t>
      </w:r>
    </w:p>
    <w:p w14:paraId="697DA995">
      <w:pPr>
        <w:pStyle w:val="5"/>
        <w:numPr>
          <w:ilvl w:val="0"/>
          <w:numId w:val="2"/>
        </w:numPr>
        <w:autoSpaceDE/>
        <w:autoSpaceDN/>
        <w:adjustRightInd/>
        <w:snapToGrid/>
        <w:spacing w:before="260"/>
        <w:textAlignment w:val="auto"/>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报价要求</w:t>
      </w:r>
    </w:p>
    <w:p w14:paraId="32EDB4A2">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4.1.报价</w:t>
      </w:r>
    </w:p>
    <w:p w14:paraId="2AC1F5AD">
      <w:pPr>
        <w:numPr>
          <w:ilvl w:val="2"/>
          <w:numId w:val="2"/>
        </w:numPr>
        <w:tabs>
          <w:tab w:val="left" w:pos="735"/>
        </w:tabs>
        <w:spacing w:line="360" w:lineRule="auto"/>
        <w:ind w:left="735" w:hanging="735" w:hangingChars="3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全部报价文件应一式三份，正本一份，副本二份，副本可由正本复印而成；报价文件电子版1份，光盘或U盘介质，PDF盖章版和WORD格式，不留密码，无病毒，内容应与报价人打印产生的纸质报价文件内容一致，如有不同，以纸质报价文件为准。除特别注明外，报价文件应提交纸质文件。如果正本与副本不符，应以正本为准。报价文件应由报价人的合法授权代表正式签署，如有任何更改应由原签署人签字。无论报价结果如何，报价人的全部报价文件均不退回。另按要求单独提交一个“报价信封”。</w:t>
      </w:r>
    </w:p>
    <w:p w14:paraId="3DA08D65">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报价人应对报价项目提供完整的详细的实施方案。</w:t>
      </w:r>
    </w:p>
    <w:p w14:paraId="13323383">
      <w:pPr>
        <w:numPr>
          <w:ilvl w:val="2"/>
          <w:numId w:val="2"/>
        </w:numPr>
        <w:tabs>
          <w:tab w:val="left" w:pos="720"/>
        </w:tabs>
        <w:spacing w:line="360" w:lineRule="auto"/>
        <w:ind w:left="735" w:hanging="735" w:hangingChars="3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所有报价文件应在报价截止时间前送达磋商文件指定地点，交予采购代理机构专职负责人,任何迟于这个时间的报价将被拒绝。</w:t>
      </w:r>
    </w:p>
    <w:p w14:paraId="672CD71F">
      <w:pPr>
        <w:numPr>
          <w:ilvl w:val="2"/>
          <w:numId w:val="2"/>
        </w:numPr>
        <w:tabs>
          <w:tab w:val="left" w:pos="720"/>
        </w:tabs>
        <w:spacing w:line="360" w:lineRule="auto"/>
        <w:ind w:left="735" w:hanging="735" w:hangingChars="3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所有报价文件必须封入密封的信封或包装，在封口上加盖报价单位公章，并在每一信封或包装的封面上写明：</w:t>
      </w:r>
    </w:p>
    <w:tbl>
      <w:tblPr>
        <w:tblStyle w:val="38"/>
        <w:tblW w:w="7540"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0"/>
      </w:tblGrid>
      <w:tr w14:paraId="59EF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7540" w:type="dxa"/>
          </w:tcPr>
          <w:p w14:paraId="41829978">
            <w:pPr>
              <w:spacing w:line="360" w:lineRule="auto"/>
              <w:ind w:left="255"/>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（正本/副本/报价信封）</w:t>
            </w:r>
          </w:p>
          <w:p w14:paraId="1A614E3B">
            <w:pPr>
              <w:spacing w:line="360" w:lineRule="auto"/>
              <w:ind w:left="43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收件人名称：广东远东招标代理有限公司</w:t>
            </w:r>
          </w:p>
          <w:p w14:paraId="5E5E7460">
            <w:pPr>
              <w:spacing w:line="360" w:lineRule="auto"/>
              <w:ind w:left="43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                      项目名称：           </w:t>
            </w:r>
          </w:p>
          <w:p w14:paraId="0BD43A5A">
            <w:pPr>
              <w:spacing w:line="360" w:lineRule="auto"/>
              <w:ind w:left="43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报价人名称：                    报价人地址：</w:t>
            </w:r>
          </w:p>
          <w:p w14:paraId="66E7514F">
            <w:pPr>
              <w:spacing w:line="360" w:lineRule="auto"/>
              <w:ind w:left="43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                        联系电话：</w:t>
            </w:r>
          </w:p>
        </w:tc>
      </w:tr>
    </w:tbl>
    <w:p w14:paraId="7C846958">
      <w:pPr>
        <w:numPr>
          <w:ilvl w:val="2"/>
          <w:numId w:val="2"/>
        </w:numPr>
        <w:tabs>
          <w:tab w:val="left" w:pos="720"/>
        </w:tabs>
        <w:spacing w:line="360" w:lineRule="auto"/>
        <w:ind w:left="720" w:hanging="7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采购代理机构不接受电报、电话、电传、传真报价。</w:t>
      </w:r>
    </w:p>
    <w:p w14:paraId="411A6AB8">
      <w:pPr>
        <w:numPr>
          <w:ilvl w:val="1"/>
          <w:numId w:val="2"/>
        </w:num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报价有效期</w:t>
      </w:r>
    </w:p>
    <w:p w14:paraId="0DE40177">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从报价截止日起，报价有效期为90天。在特殊情况下，采购代理机构可于报价有效期满之前要求报价人同意延长有效期，要求与答复均应以书面形式。报价人可以拒绝上述要求，同意延期的报价人根据原截止期所享有的权利及其所负有的义务相应也延至新的截止期。</w:t>
      </w:r>
    </w:p>
    <w:p w14:paraId="660DF142">
      <w:pPr>
        <w:numPr>
          <w:ilvl w:val="1"/>
          <w:numId w:val="2"/>
        </w:numPr>
        <w:spacing w:line="360" w:lineRule="auto"/>
        <w:ind w:left="0" w:firstLine="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报价保证金</w:t>
      </w:r>
    </w:p>
    <w:p w14:paraId="7F08EF46">
      <w:pPr>
        <w:numPr>
          <w:ilvl w:val="255"/>
          <w:numId w:val="0"/>
        </w:num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本项目不收取报价保证金。</w:t>
      </w:r>
    </w:p>
    <w:p w14:paraId="31F23ACF">
      <w:pPr>
        <w:pStyle w:val="5"/>
        <w:numPr>
          <w:ilvl w:val="0"/>
          <w:numId w:val="2"/>
        </w:numPr>
        <w:autoSpaceDE/>
        <w:autoSpaceDN/>
        <w:adjustRightInd/>
        <w:snapToGrid/>
        <w:spacing w:before="260"/>
        <w:textAlignment w:val="auto"/>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磋商、成交与签约</w:t>
      </w:r>
    </w:p>
    <w:p w14:paraId="293AFA9F">
      <w:pPr>
        <w:numPr>
          <w:ilvl w:val="255"/>
          <w:numId w:val="0"/>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详见《第五章 磋商细则》</w:t>
      </w:r>
      <w:bookmarkStart w:id="32" w:name="_Toc56938702"/>
      <w:bookmarkStart w:id="33" w:name="_Toc56855622"/>
      <w:bookmarkStart w:id="34" w:name="_Toc56855654"/>
      <w:bookmarkStart w:id="35" w:name="_Toc27840476"/>
    </w:p>
    <w:p w14:paraId="6E8E29A5">
      <w:pPr>
        <w:pStyle w:val="5"/>
        <w:numPr>
          <w:ilvl w:val="0"/>
          <w:numId w:val="2"/>
        </w:numPr>
        <w:autoSpaceDE/>
        <w:autoSpaceDN/>
        <w:adjustRightInd/>
        <w:snapToGrid/>
        <w:spacing w:before="260"/>
        <w:textAlignment w:val="auto"/>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采购代理服务费</w:t>
      </w:r>
      <w:bookmarkEnd w:id="32"/>
      <w:bookmarkEnd w:id="33"/>
      <w:bookmarkEnd w:id="34"/>
    </w:p>
    <w:p w14:paraId="4025165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成交人在领取《成交通知书》之前须向采购代理机构交纳服务费6000元整。</w:t>
      </w:r>
    </w:p>
    <w:p w14:paraId="5EFAF0D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6.1成交人须按规定向采购代理机构直接缴交采购服务费。成交人不按规定交纳服务费的，采购代理机构保留进一步追索权利。</w:t>
      </w:r>
    </w:p>
    <w:p w14:paraId="1A173D6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6.2服务费不在报价中单列。</w:t>
      </w:r>
    </w:p>
    <w:p w14:paraId="3376FCAC">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6.3经依法取消或放弃成交资格的，采购代理服务费不予退还。</w:t>
      </w:r>
    </w:p>
    <w:p w14:paraId="53774BB2">
      <w:pPr>
        <w:pStyle w:val="5"/>
        <w:numPr>
          <w:ilvl w:val="0"/>
          <w:numId w:val="2"/>
        </w:numPr>
        <w:autoSpaceDE/>
        <w:autoSpaceDN/>
        <w:adjustRightInd/>
        <w:snapToGrid/>
        <w:spacing w:before="260" w:line="400" w:lineRule="exact"/>
        <w:textAlignment w:val="auto"/>
        <w:rPr>
          <w:rFonts w:cs="宋体"/>
          <w:color w:val="000000" w:themeColor="text1"/>
          <w:sz w:val="21"/>
          <w:szCs w:val="21"/>
          <w14:textFill>
            <w14:solidFill>
              <w14:schemeClr w14:val="tx1"/>
            </w14:solidFill>
          </w14:textFill>
        </w:rPr>
      </w:pPr>
      <w:bookmarkStart w:id="36" w:name="_Toc134956124"/>
      <w:bookmarkStart w:id="37" w:name="_Toc387076653"/>
      <w:r>
        <w:rPr>
          <w:rFonts w:hint="eastAsia" w:cs="宋体"/>
          <w:color w:val="000000" w:themeColor="text1"/>
          <w:sz w:val="21"/>
          <w:szCs w:val="21"/>
          <w14:textFill>
            <w14:solidFill>
              <w14:schemeClr w14:val="tx1"/>
            </w14:solidFill>
          </w14:textFill>
        </w:rPr>
        <w:t>询问</w:t>
      </w:r>
      <w:bookmarkEnd w:id="36"/>
      <w:bookmarkEnd w:id="37"/>
    </w:p>
    <w:p w14:paraId="008DD3DE">
      <w:pPr>
        <w:spacing w:before="50" w:after="50" w:line="360" w:lineRule="auto"/>
        <w:ind w:firstLine="420" w:firstLineChars="200"/>
        <w:rPr>
          <w:rFonts w:ascii="宋体" w:hAnsi="宋体" w:cs="宋体"/>
          <w:bCs/>
          <w:color w:val="000000" w:themeColor="text1"/>
          <w:szCs w:val="21"/>
          <w14:textFill>
            <w14:solidFill>
              <w14:schemeClr w14:val="tx1"/>
            </w14:solidFill>
          </w14:textFill>
        </w:rPr>
      </w:pPr>
      <w:bookmarkStart w:id="38" w:name="_Toc134955411"/>
      <w:bookmarkStart w:id="39" w:name="_Toc30476633"/>
      <w:bookmarkStart w:id="40" w:name="_Toc14450813"/>
      <w:bookmarkStart w:id="41" w:name="_Toc17252682"/>
      <w:r>
        <w:rPr>
          <w:rFonts w:hint="eastAsia" w:ascii="宋体" w:hAnsi="宋体" w:cs="宋体"/>
          <w:bCs/>
          <w:color w:val="000000" w:themeColor="text1"/>
          <w:szCs w:val="21"/>
          <w14:textFill>
            <w14:solidFill>
              <w14:schemeClr w14:val="tx1"/>
            </w14:solidFill>
          </w14:textFill>
        </w:rPr>
        <w:t>7.1供应商可以向代理机构提出询问，代理机构依照相关规定就采购人委托授权范围内的事项作出答复，询问函格式自拟。</w:t>
      </w:r>
    </w:p>
    <w:p w14:paraId="599E0FFD">
      <w:pPr>
        <w:spacing w:line="360" w:lineRule="auto"/>
        <w:ind w:right="25" w:rightChars="12"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7.2询问受理单位：</w:t>
      </w:r>
      <w:bookmarkEnd w:id="38"/>
      <w:r>
        <w:rPr>
          <w:rFonts w:hint="eastAsia" w:ascii="宋体" w:hAnsi="宋体" w:cs="宋体"/>
          <w:color w:val="000000" w:themeColor="text1"/>
          <w:szCs w:val="21"/>
          <w14:textFill>
            <w14:solidFill>
              <w14:schemeClr w14:val="tx1"/>
            </w14:solidFill>
          </w14:textFill>
        </w:rPr>
        <w:t>广东远东招标代理有限公司</w:t>
      </w:r>
    </w:p>
    <w:p w14:paraId="1829651A">
      <w:pPr>
        <w:pStyle w:val="2"/>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bookmarkStart w:id="42" w:name="_Toc4808"/>
      <w:bookmarkStart w:id="43" w:name="_Toc461991233"/>
      <w:bookmarkStart w:id="44" w:name="_Toc5517"/>
      <w:r>
        <w:rPr>
          <w:rFonts w:hint="eastAsia" w:ascii="宋体" w:hAnsi="宋体" w:cs="宋体"/>
          <w:color w:val="000000" w:themeColor="text1"/>
          <w:sz w:val="32"/>
          <w:szCs w:val="32"/>
          <w14:textFill>
            <w14:solidFill>
              <w14:schemeClr w14:val="tx1"/>
            </w14:solidFill>
          </w14:textFill>
        </w:rPr>
        <w:t>第三章</w:t>
      </w:r>
      <w:bookmarkStart w:id="45" w:name="_Toc10525517"/>
      <w:r>
        <w:rPr>
          <w:rFonts w:hint="eastAsia" w:ascii="宋体" w:hAnsi="宋体" w:cs="宋体"/>
          <w:color w:val="000000" w:themeColor="text1"/>
          <w:sz w:val="32"/>
          <w:szCs w:val="32"/>
          <w14:textFill>
            <w14:solidFill>
              <w14:schemeClr w14:val="tx1"/>
            </w14:solidFill>
          </w14:textFill>
        </w:rPr>
        <w:t xml:space="preserve"> 采购人需求</w:t>
      </w:r>
      <w:bookmarkEnd w:id="35"/>
      <w:bookmarkEnd w:id="39"/>
      <w:bookmarkEnd w:id="40"/>
      <w:bookmarkEnd w:id="41"/>
      <w:bookmarkEnd w:id="42"/>
      <w:bookmarkEnd w:id="43"/>
      <w:bookmarkEnd w:id="44"/>
      <w:bookmarkEnd w:id="45"/>
      <w:bookmarkStart w:id="46" w:name="_Toc30476634"/>
      <w:bookmarkStart w:id="47" w:name="_Toc27840477"/>
    </w:p>
    <w:bookmarkEnd w:id="46"/>
    <w:bookmarkEnd w:id="47"/>
    <w:p w14:paraId="721F6F3F">
      <w:pPr>
        <w:keepNext/>
        <w:keepLines/>
        <w:spacing w:before="120" w:after="120" w:line="360" w:lineRule="auto"/>
        <w:outlineLvl w:val="1"/>
        <w:rPr>
          <w:rFonts w:ascii="宋体" w:hAnsi="宋体"/>
          <w:b/>
          <w:bCs/>
          <w:color w:val="000000" w:themeColor="text1"/>
          <w:sz w:val="28"/>
          <w:szCs w:val="28"/>
          <w14:textFill>
            <w14:solidFill>
              <w14:schemeClr w14:val="tx1"/>
            </w14:solidFill>
          </w14:textFill>
        </w:rPr>
      </w:pPr>
      <w:bookmarkStart w:id="48" w:name="_Toc123741734"/>
      <w:bookmarkStart w:id="49" w:name="_Toc132790363"/>
      <w:bookmarkStart w:id="50" w:name="_Toc11771771"/>
      <w:bookmarkStart w:id="51" w:name="_Toc27840483"/>
      <w:bookmarkStart w:id="52" w:name="_Toc12330396"/>
      <w:bookmarkStart w:id="53" w:name="_Toc19099503"/>
      <w:bookmarkStart w:id="54" w:name="_Toc12378037"/>
      <w:bookmarkStart w:id="55" w:name="_Toc12861158"/>
      <w:bookmarkStart w:id="56" w:name="_Toc11771900"/>
      <w:bookmarkStart w:id="57" w:name="_Toc13884769"/>
      <w:r>
        <w:rPr>
          <w:rFonts w:ascii="宋体" w:hAnsi="宋体"/>
          <w:b/>
          <w:bCs/>
          <w:color w:val="000000" w:themeColor="text1"/>
          <w:sz w:val="28"/>
          <w:szCs w:val="28"/>
          <w14:textFill>
            <w14:solidFill>
              <w14:schemeClr w14:val="tx1"/>
            </w14:solidFill>
          </w14:textFill>
        </w:rPr>
        <w:t>一、项目概况</w:t>
      </w:r>
      <w:bookmarkEnd w:id="48"/>
      <w:bookmarkEnd w:id="49"/>
    </w:p>
    <w:p w14:paraId="0E1CE79C">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本项目就以下内容进行竞争性磋商：</w:t>
      </w:r>
    </w:p>
    <w:tbl>
      <w:tblPr>
        <w:tblStyle w:val="38"/>
        <w:tblW w:w="4994"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080"/>
        <w:gridCol w:w="724"/>
        <w:gridCol w:w="1964"/>
        <w:gridCol w:w="2487"/>
        <w:gridCol w:w="1191"/>
      </w:tblGrid>
      <w:tr w14:paraId="11183C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44" w:hRule="atLeast"/>
        </w:trPr>
        <w:tc>
          <w:tcPr>
            <w:tcW w:w="1630" w:type="pct"/>
            <w:tcBorders>
              <w:top w:val="single" w:color="auto" w:sz="4" w:space="0"/>
              <w:left w:val="single" w:color="auto" w:sz="4" w:space="0"/>
              <w:bottom w:val="single" w:color="auto" w:sz="6" w:space="0"/>
              <w:right w:val="single" w:color="auto" w:sz="6" w:space="0"/>
            </w:tcBorders>
            <w:vAlign w:val="center"/>
          </w:tcPr>
          <w:p w14:paraId="08A8BCA1">
            <w:pPr>
              <w:spacing w:line="360" w:lineRule="auto"/>
              <w:jc w:val="center"/>
              <w:rPr>
                <w:rFonts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内容</w:t>
            </w:r>
          </w:p>
        </w:tc>
        <w:tc>
          <w:tcPr>
            <w:tcW w:w="383" w:type="pct"/>
            <w:tcBorders>
              <w:top w:val="single" w:color="auto" w:sz="4" w:space="0"/>
              <w:left w:val="single" w:color="auto" w:sz="6" w:space="0"/>
              <w:bottom w:val="single" w:color="auto" w:sz="6" w:space="0"/>
              <w:right w:val="single" w:color="auto" w:sz="6" w:space="0"/>
            </w:tcBorders>
            <w:vAlign w:val="center"/>
          </w:tcPr>
          <w:p w14:paraId="7C83CB9D">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数量</w:t>
            </w:r>
          </w:p>
        </w:tc>
        <w:tc>
          <w:tcPr>
            <w:tcW w:w="1039" w:type="pct"/>
            <w:tcBorders>
              <w:top w:val="single" w:color="auto" w:sz="4" w:space="0"/>
              <w:left w:val="single" w:color="auto" w:sz="6" w:space="0"/>
              <w:bottom w:val="single" w:color="auto" w:sz="6" w:space="0"/>
              <w:right w:val="single" w:color="auto" w:sz="6" w:space="0"/>
            </w:tcBorders>
            <w:vAlign w:val="center"/>
          </w:tcPr>
          <w:p w14:paraId="0997D6E5">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采购预算</w:t>
            </w:r>
          </w:p>
          <w:p w14:paraId="7AA6D774">
            <w:pPr>
              <w:spacing w:line="360" w:lineRule="auto"/>
              <w:jc w:val="center"/>
              <w:rPr>
                <w:rFonts w:ascii="宋体" w:hAnsi="宋体" w:cs="Tahoma"/>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（人民币/元）</w:t>
            </w:r>
          </w:p>
        </w:tc>
        <w:tc>
          <w:tcPr>
            <w:tcW w:w="1316" w:type="pct"/>
            <w:tcBorders>
              <w:top w:val="single" w:color="auto" w:sz="4" w:space="0"/>
              <w:left w:val="single" w:color="auto" w:sz="6" w:space="0"/>
              <w:bottom w:val="single" w:color="auto" w:sz="6" w:space="0"/>
              <w:right w:val="single" w:color="auto" w:sz="4" w:space="0"/>
            </w:tcBorders>
            <w:vAlign w:val="center"/>
          </w:tcPr>
          <w:p w14:paraId="18FABBEF">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供应期限</w:t>
            </w:r>
          </w:p>
        </w:tc>
        <w:tc>
          <w:tcPr>
            <w:tcW w:w="630" w:type="pct"/>
            <w:tcBorders>
              <w:top w:val="single" w:color="auto" w:sz="4" w:space="0"/>
              <w:left w:val="single" w:color="auto" w:sz="6" w:space="0"/>
              <w:bottom w:val="single" w:color="auto" w:sz="6" w:space="0"/>
              <w:right w:val="single" w:color="auto" w:sz="4" w:space="0"/>
            </w:tcBorders>
            <w:vAlign w:val="center"/>
          </w:tcPr>
          <w:p w14:paraId="58343ECA">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所属行业</w:t>
            </w:r>
          </w:p>
        </w:tc>
      </w:tr>
      <w:tr w14:paraId="0C711F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95" w:hRule="atLeast"/>
        </w:trPr>
        <w:tc>
          <w:tcPr>
            <w:tcW w:w="1630" w:type="pct"/>
            <w:tcBorders>
              <w:top w:val="single" w:color="auto" w:sz="6" w:space="0"/>
              <w:left w:val="single" w:color="auto" w:sz="4" w:space="0"/>
              <w:bottom w:val="single" w:color="auto" w:sz="4" w:space="0"/>
              <w:right w:val="single" w:color="auto" w:sz="6" w:space="0"/>
            </w:tcBorders>
            <w:vAlign w:val="center"/>
          </w:tcPr>
          <w:p w14:paraId="1A1E9442">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中华人民共和国天河出入境边防检查站2026年度办公、保洁用品及食堂耗材集中采购项目采购工作</w:t>
            </w:r>
          </w:p>
        </w:tc>
        <w:tc>
          <w:tcPr>
            <w:tcW w:w="383" w:type="pct"/>
            <w:tcBorders>
              <w:top w:val="single" w:color="auto" w:sz="6" w:space="0"/>
              <w:left w:val="single" w:color="auto" w:sz="6" w:space="0"/>
              <w:bottom w:val="single" w:color="auto" w:sz="4" w:space="0"/>
              <w:right w:val="single" w:color="auto" w:sz="6" w:space="0"/>
            </w:tcBorders>
            <w:vAlign w:val="center"/>
          </w:tcPr>
          <w:p w14:paraId="4D34CB21">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一批</w:t>
            </w:r>
          </w:p>
        </w:tc>
        <w:tc>
          <w:tcPr>
            <w:tcW w:w="1039" w:type="pct"/>
            <w:tcBorders>
              <w:top w:val="single" w:color="auto" w:sz="6" w:space="0"/>
              <w:left w:val="single" w:color="auto" w:sz="6" w:space="0"/>
              <w:bottom w:val="single" w:color="auto" w:sz="4" w:space="0"/>
              <w:right w:val="single" w:color="auto" w:sz="6" w:space="0"/>
            </w:tcBorders>
            <w:vAlign w:val="center"/>
          </w:tcPr>
          <w:p w14:paraId="0C03F3CF">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163,200.00元</w:t>
            </w:r>
          </w:p>
        </w:tc>
        <w:tc>
          <w:tcPr>
            <w:tcW w:w="1316" w:type="pct"/>
            <w:tcBorders>
              <w:top w:val="single" w:color="auto" w:sz="6" w:space="0"/>
              <w:left w:val="single" w:color="auto" w:sz="6" w:space="0"/>
              <w:bottom w:val="single" w:color="auto" w:sz="4" w:space="0"/>
              <w:right w:val="single" w:color="auto" w:sz="4" w:space="0"/>
            </w:tcBorders>
            <w:vAlign w:val="center"/>
          </w:tcPr>
          <w:p w14:paraId="5CCA9505">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自合同签订之日起一年或累计结算金额达到项目预算金额时，合同自动终止，以两者先到者为准</w:t>
            </w:r>
          </w:p>
        </w:tc>
        <w:tc>
          <w:tcPr>
            <w:tcW w:w="630" w:type="pct"/>
            <w:tcBorders>
              <w:top w:val="single" w:color="auto" w:sz="6" w:space="0"/>
              <w:left w:val="single" w:color="auto" w:sz="6" w:space="0"/>
              <w:bottom w:val="single" w:color="auto" w:sz="4" w:space="0"/>
              <w:right w:val="single" w:color="auto" w:sz="4" w:space="0"/>
            </w:tcBorders>
            <w:vAlign w:val="center"/>
          </w:tcPr>
          <w:p w14:paraId="3D4D0C6F">
            <w:pPr>
              <w:spacing w:line="360" w:lineRule="auto"/>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零售业</w:t>
            </w:r>
          </w:p>
        </w:tc>
      </w:tr>
    </w:tbl>
    <w:p w14:paraId="3BABDE00">
      <w:pPr>
        <w:spacing w:line="360" w:lineRule="auto"/>
        <w:ind w:firstLine="420"/>
        <w:rPr>
          <w:rFonts w:ascii="宋体" w:hAnsi="宋体"/>
          <w:b/>
          <w:color w:val="000000" w:themeColor="text1"/>
          <w:szCs w:val="21"/>
          <w:u w:val="single"/>
          <w14:textFill>
            <w14:solidFill>
              <w14:schemeClr w14:val="tx1"/>
            </w14:solidFill>
          </w14:textFill>
        </w:rPr>
      </w:pPr>
      <w:r>
        <w:rPr>
          <w:rFonts w:hint="eastAsia" w:ascii="宋体" w:hAnsi="宋体"/>
          <w:b/>
          <w:bCs/>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注：第一次报价超出最高限价（总价、各项单价限价等）的将被视为无效报价，不能参加磋商。</w:t>
      </w:r>
    </w:p>
    <w:p w14:paraId="78CA38A2">
      <w:pPr>
        <w:adjustRightInd w:val="0"/>
        <w:snapToGrid w:val="0"/>
        <w:spacing w:line="360" w:lineRule="auto"/>
        <w:ind w:left="562" w:hanging="562" w:hangingChars="200"/>
        <w:outlineLvl w:val="1"/>
        <w:rPr>
          <w:rFonts w:ascii="宋体" w:hAnsi="宋体"/>
          <w:color w:val="000000" w:themeColor="text1"/>
          <w:sz w:val="24"/>
          <w:szCs w:val="24"/>
          <w14:textFill>
            <w14:solidFill>
              <w14:schemeClr w14:val="tx1"/>
            </w14:solidFill>
          </w14:textFill>
        </w:rPr>
      </w:pPr>
      <w:bookmarkStart w:id="58" w:name="_Toc132790365"/>
      <w:r>
        <w:rPr>
          <w:rFonts w:hint="eastAsia" w:ascii="宋体" w:hAnsi="宋体"/>
          <w:b/>
          <w:color w:val="000000" w:themeColor="text1"/>
          <w:sz w:val="28"/>
          <w:szCs w:val="28"/>
          <w14:textFill>
            <w14:solidFill>
              <w14:schemeClr w14:val="tx1"/>
            </w14:solidFill>
          </w14:textFill>
        </w:rPr>
        <w:t>二、</w:t>
      </w:r>
      <w:bookmarkEnd w:id="58"/>
      <w:r>
        <w:rPr>
          <w:rFonts w:hint="eastAsia" w:ascii="宋体" w:hAnsi="宋体"/>
          <w:b/>
          <w:color w:val="000000" w:themeColor="text1"/>
          <w:sz w:val="28"/>
          <w:szCs w:val="28"/>
          <w14:textFill>
            <w14:solidFill>
              <w14:schemeClr w14:val="tx1"/>
            </w14:solidFill>
          </w14:textFill>
        </w:rPr>
        <w:t>项目采购内容</w:t>
      </w:r>
    </w:p>
    <w:p w14:paraId="531E9B2B">
      <w:pPr>
        <w:spacing w:line="360" w:lineRule="auto"/>
        <w:ind w:right="-53"/>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（一）采购内容</w:t>
      </w:r>
      <w:r>
        <w:rPr>
          <w:rFonts w:hint="eastAsia" w:ascii="宋体" w:hAnsi="宋体"/>
          <w:b/>
          <w:bCs/>
          <w:color w:val="000000" w:themeColor="text1"/>
          <w:szCs w:val="21"/>
          <w:lang w:eastAsia="zh-CN"/>
          <w14:textFill>
            <w14:solidFill>
              <w14:schemeClr w14:val="tx1"/>
            </w14:solidFill>
          </w14:textFill>
        </w:rPr>
        <w:t>（</w:t>
      </w:r>
      <w:r>
        <w:rPr>
          <w:rFonts w:hint="eastAsia" w:ascii="宋体" w:hAnsi="宋体"/>
          <w:b/>
          <w:bCs/>
          <w:color w:val="000000" w:themeColor="text1"/>
          <w:szCs w:val="21"/>
          <w:lang w:val="en-US" w:eastAsia="zh-CN"/>
          <w14:textFill>
            <w14:solidFill>
              <w14:schemeClr w14:val="tx1"/>
            </w14:solidFill>
          </w14:textFill>
        </w:rPr>
        <w:t>共258种</w:t>
      </w:r>
      <w:r>
        <w:rPr>
          <w:rFonts w:hint="eastAsia" w:ascii="宋体" w:hAnsi="宋体"/>
          <w:b/>
          <w:bCs/>
          <w:color w:val="000000" w:themeColor="text1"/>
          <w:szCs w:val="21"/>
          <w:lang w:eastAsia="zh-CN"/>
          <w14:textFill>
            <w14:solidFill>
              <w14:schemeClr w14:val="tx1"/>
            </w14:solidFill>
          </w14:textFill>
        </w:rPr>
        <w:t>）</w:t>
      </w:r>
    </w:p>
    <w:p w14:paraId="2C7055A9">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办公用品：日常办公需要的打印纸、中性笔、长尾夹、便签纸等办公用品，公共卫生间使用的洗手液、清新剂、清洁剂、卷纸等，会议室、接待室使用的盒装抽纸等卫生清洁用品，办公区卫生清洁用品及食堂餐巾纸等消耗品，</w:t>
      </w:r>
      <w:r>
        <w:rPr>
          <w:rFonts w:hint="eastAsia" w:ascii="宋体" w:hAnsi="宋体"/>
          <w:color w:val="000000" w:themeColor="text1"/>
          <w:szCs w:val="21"/>
          <w:lang w:val="en-US" w:eastAsia="zh-CN"/>
          <w14:textFill>
            <w14:solidFill>
              <w14:schemeClr w14:val="tx1"/>
            </w14:solidFill>
          </w14:textFill>
        </w:rPr>
        <w:t>采购预算</w:t>
      </w:r>
      <w:r>
        <w:rPr>
          <w:rFonts w:hint="eastAsia" w:ascii="宋体" w:hAnsi="宋体"/>
          <w:color w:val="000000" w:themeColor="text1"/>
          <w:szCs w:val="21"/>
          <w14:textFill>
            <w14:solidFill>
              <w14:schemeClr w14:val="tx1"/>
            </w14:solidFill>
          </w14:textFill>
        </w:rPr>
        <w:t>为12.72万元（含税）。详见《天河边检站2026年度办公、保洁用品及食堂耗材清单》。</w:t>
      </w:r>
    </w:p>
    <w:p w14:paraId="200044CF">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打印耗材：常用打印机耗材，包含不仅限于硒鼓、粉盒、碳粉等，</w:t>
      </w:r>
      <w:r>
        <w:rPr>
          <w:rFonts w:hint="eastAsia" w:ascii="宋体" w:hAnsi="宋体"/>
          <w:color w:val="000000" w:themeColor="text1"/>
          <w:szCs w:val="21"/>
          <w:lang w:val="en-US" w:eastAsia="zh-CN"/>
          <w14:textFill>
            <w14:solidFill>
              <w14:schemeClr w14:val="tx1"/>
            </w14:solidFill>
          </w14:textFill>
        </w:rPr>
        <w:t>采购预算</w:t>
      </w:r>
      <w:r>
        <w:rPr>
          <w:rFonts w:hint="eastAsia" w:ascii="宋体" w:hAnsi="宋体"/>
          <w:color w:val="000000" w:themeColor="text1"/>
          <w:szCs w:val="21"/>
          <w14:textFill>
            <w14:solidFill>
              <w14:schemeClr w14:val="tx1"/>
            </w14:solidFill>
          </w14:textFill>
        </w:rPr>
        <w:t>为3.6万元（含税）。详见《天河边检站2026年度办公、保洁用品及食堂耗材清单》。</w:t>
      </w:r>
    </w:p>
    <w:p w14:paraId="482816C4">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（二）采购定价要求</w:t>
      </w:r>
    </w:p>
    <w:p w14:paraId="650ABDD5">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基准单价以合同签订前一天的京东商城自营官方旗舰店对应同款单价为基准（无自营官方旗舰店的以京东网一周内最高销售总量对应货物单价定价，不包含限时限量抢购价）。</w:t>
      </w:r>
    </w:p>
    <w:p w14:paraId="7FD5AFDA">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目录外的特殊需求用品按成交人接到需求清单当日的京东商城价格（定价规则同上）确定，据实结算。</w:t>
      </w:r>
      <w:r>
        <w:rPr>
          <w:rFonts w:hint="eastAsia" w:ascii="宋体" w:hAnsi="宋体"/>
          <w:b/>
          <w:bCs/>
          <w:color w:val="000000" w:themeColor="text1"/>
          <w:szCs w:val="21"/>
          <w14:textFill>
            <w14:solidFill>
              <w14:schemeClr w14:val="tx1"/>
            </w14:solidFill>
          </w14:textFill>
        </w:rPr>
        <w:t>（提供承诺函并加盖公章，格式自拟）</w:t>
      </w:r>
    </w:p>
    <w:p w14:paraId="4CD6B354">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（三）货物要求</w:t>
      </w:r>
    </w:p>
    <w:p w14:paraId="1B291990">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货物为全新产品，并保证产品的进货渠道、运输过程、生产过程的合法性。货物无污染，无侵权行为、表面无划损、无任何缺陷隐患，在中国境内可依常规安全合法使用。货物为原厂商未启封全新包装，具出厂合格证、用户手册（如有）、保修手册（如有）、有关单证资料（如有）及配备件（如有）、随机工具（如有）等，序列号、包装箱号与出厂批号一致，并可追索查阅，货物使用操作及安全须知等重要资料应附有中文说明。</w:t>
      </w:r>
    </w:p>
    <w:p w14:paraId="36B33C1F">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如发现成交人所售产品存在任何瑕疵，采购人有权要求进行换货。</w:t>
      </w:r>
    </w:p>
    <w:p w14:paraId="39CDDC77">
      <w:pPr>
        <w:pStyle w:val="122"/>
        <w:spacing w:line="360" w:lineRule="auto"/>
        <w:rPr>
          <w:color w:val="000000" w:themeColor="text1"/>
          <w:szCs w:val="21"/>
          <w14:textFill>
            <w14:solidFill>
              <w14:schemeClr w14:val="tx1"/>
            </w14:solidFill>
          </w14:textFill>
        </w:rPr>
      </w:pPr>
      <w:r>
        <w:rPr>
          <w:rFonts w:hint="eastAsia" w:ascii="宋体" w:hAnsi="宋体"/>
          <w:color w:val="000000" w:themeColor="text1"/>
          <w:kern w:val="2"/>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成交人</w:t>
      </w:r>
      <w:r>
        <w:rPr>
          <w:rFonts w:hint="eastAsia" w:ascii="宋体" w:hAnsi="宋体"/>
          <w:color w:val="000000" w:themeColor="text1"/>
          <w:kern w:val="2"/>
          <w:szCs w:val="21"/>
          <w14:textFill>
            <w14:solidFill>
              <w14:schemeClr w14:val="tx1"/>
            </w14:solidFill>
          </w14:textFill>
        </w:rPr>
        <w:t>负</w:t>
      </w:r>
      <w:r>
        <w:rPr>
          <w:rFonts w:hint="eastAsia" w:ascii="宋体" w:hAnsi="宋体"/>
          <w:color w:val="000000" w:themeColor="text1"/>
          <w:szCs w:val="21"/>
          <w14:textFill>
            <w14:solidFill>
              <w14:schemeClr w14:val="tx1"/>
            </w14:solidFill>
          </w14:textFill>
        </w:rPr>
        <w:t>责货到现场过程中的全部运输，包括装卸车、货物现场的搬运。</w:t>
      </w:r>
    </w:p>
    <w:p w14:paraId="537C0CD4">
      <w:pPr>
        <w:tabs>
          <w:tab w:val="left" w:pos="0"/>
        </w:tabs>
        <w:snapToGrid w:val="0"/>
        <w:spacing w:line="360" w:lineRule="auto"/>
        <w:ind w:firstLine="420" w:firstLineChars="200"/>
        <w:rPr>
          <w:rFonts w:ascii="宋体" w:hAnsi="宋体"/>
          <w:color w:val="000000" w:themeColor="text1"/>
          <w:szCs w:val="21"/>
          <w14:textFill>
            <w14:solidFill>
              <w14:schemeClr w14:val="tx1"/>
            </w14:solidFill>
          </w14:textFill>
        </w:rPr>
      </w:pPr>
    </w:p>
    <w:p w14:paraId="7AB62CB4">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三、总体要求</w:t>
      </w:r>
    </w:p>
    <w:p w14:paraId="699A6A06">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供应商必须对所有产品和服务进行整体报价。</w:t>
      </w:r>
    </w:p>
    <w:p w14:paraId="7DC9B273">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供应商必须仔细阅读本部分的全部条款。对本部分中存在的任何疑问、遗漏或相互矛盾之处，或是对于相关要求不清楚，认为存在歧视、限制的情况，供应商可以向采购人或采购代理机构寻求书面澄清。</w:t>
      </w:r>
    </w:p>
    <w:p w14:paraId="7B71CC28">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本部分所列明的工艺、材料和设备的标准仅起说明作用，并没有任何限制性，供应商可以选用等于或优于磋商文件技术要求的替代标准。</w:t>
      </w:r>
    </w:p>
    <w:p w14:paraId="0BBC0C8F">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成交人所供产品及材料应来源正规，质量符合国家或行业质量、安全标准，货物来源合法，无假冒伪劣产品出售，若收到产品一周内发现质量有问题，采购人有权提出换货或退货；若成交人提供的设备出于设备自身质量原因不能满足采购人要求的技术指标，采购人有权提出换货或退货，市场单价发生变动时需书面通知采购人。</w:t>
      </w:r>
    </w:p>
    <w:p w14:paraId="2DC89BC9">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伴随服务（费用包含在响应报价内）：全部产品的设计、运输、安装调试、人员培训、售后服务、含税等费用。</w:t>
      </w:r>
    </w:p>
    <w:p w14:paraId="04B554ED">
      <w:pPr>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报价包括（但不限于）货物出厂价、运至合同指定地点的材料费（包含辅助、配套材料）、人工费、包装费、运杂费（包括装卸车费）、管理费、利润、各种税费、政策性文件规定费用等一切费用。</w:t>
      </w:r>
    </w:p>
    <w:p w14:paraId="0D22C878">
      <w:pPr>
        <w:tabs>
          <w:tab w:val="left" w:pos="0"/>
        </w:tabs>
        <w:snapToGrid w:val="0"/>
        <w:spacing w:line="360" w:lineRule="auto"/>
        <w:ind w:firstLine="480" w:firstLineChars="200"/>
        <w:rPr>
          <w:rFonts w:ascii="宋体" w:hAnsi="宋体"/>
          <w:color w:val="000000" w:themeColor="text1"/>
          <w:sz w:val="24"/>
          <w:szCs w:val="24"/>
          <w14:textFill>
            <w14:solidFill>
              <w14:schemeClr w14:val="tx1"/>
            </w14:solidFill>
          </w14:textFill>
        </w:rPr>
      </w:pPr>
    </w:p>
    <w:p w14:paraId="5C1C0671">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四、产品及服务要求</w:t>
      </w:r>
    </w:p>
    <w:p w14:paraId="4FE8F4A5">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（一）供货要求</w:t>
      </w:r>
    </w:p>
    <w:p w14:paraId="49C9AF85">
      <w:pPr>
        <w:spacing w:line="360" w:lineRule="auto"/>
        <w:ind w:right="-53" w:firstLine="420" w:firstLineChars="200"/>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提高工作效率和服务响应，成交人应指定专人负责采购人购买、售后服务跟踪等事宜。采购人将在服务期内不定期向成交人发出供货通知，成交人须在1个小时内做出响应，并在2个工作日内备齐货物并运送至采购人指定地点进行验收，特殊需求货品需在2个工作日内完成配送。</w:t>
      </w:r>
      <w:r>
        <w:rPr>
          <w:rFonts w:hint="eastAsia" w:ascii="宋体" w:hAnsi="宋体"/>
          <w:b/>
          <w:bCs/>
          <w:color w:val="000000" w:themeColor="text1"/>
          <w:szCs w:val="21"/>
          <w14:textFill>
            <w14:solidFill>
              <w14:schemeClr w14:val="tx1"/>
            </w14:solidFill>
          </w14:textFill>
        </w:rPr>
        <w:t>（提供承诺函，格式自拟）</w:t>
      </w:r>
    </w:p>
    <w:p w14:paraId="5A08CED9">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（二）验收要求</w:t>
      </w:r>
    </w:p>
    <w:p w14:paraId="1EBFE1AB">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成交人送货时，需附上送货清单，由采购人与成交人及相关人员依照国家有关标准、合同及有关附件要求进行验收。所有货物在开箱时必须完好，无破损，配置与装箱单相符，数量、质量及性能不低于磋商文件要求。</w:t>
      </w:r>
    </w:p>
    <w:p w14:paraId="78A36E32">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成交人提供的所有货物均须源于正规销售渠道，可以进行货源验证。</w:t>
      </w:r>
    </w:p>
    <w:p w14:paraId="72A50CFF">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成交人将货物组织运达采购人约定的交货地点后，采购人对成交人提交的货物依据磋商文件的要求、应答文件的承诺和国家标准或行业标准进行现场初步验收，确认按合同供货。对外观、说明书符合要求的，给予签收；对不符合要求或有质量问题的货物不予签收，可立即要求退换，成交人不得拒绝和延误，超过5日未处理的，视为成交人放弃所有权，采购人有权自行处理。</w:t>
      </w:r>
    </w:p>
    <w:p w14:paraId="712F50E0">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验收完毕由采购人及成交人在验收单上共同签名确认，并作为成交人交货凭证。</w:t>
      </w:r>
    </w:p>
    <w:p w14:paraId="526B9B0E">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（三）产品瑕疵</w:t>
      </w:r>
    </w:p>
    <w:p w14:paraId="4448E1A1">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在交货之前，采购人应就产品的品质、规格、性能、数量及重量进行准确和全面的检验，保证其产品不存在任何瑕疵。</w:t>
      </w:r>
    </w:p>
    <w:p w14:paraId="7EDD3D5B">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采购人发现成交人所售产品存在任何瑕疵，有权要求进行换货。换货必须全新并符合采购需求规定的品质，规格和性能。若换货仍不能达到质量的要求，采购人有权要求退货，并由成交人负担因此而产生的一切费用和采购人遭受的一切损失。</w:t>
      </w:r>
    </w:p>
    <w:p w14:paraId="31376E98">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在供货期内，如出现采购人对所供货物及服务等投诉问题，经调查属实，将追究供货商（成交人）的责任。如因产品质量问题造成采购人或第三方损失的，应由成交人负责。</w:t>
      </w:r>
    </w:p>
    <w:p w14:paraId="5F3F3890">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在供货期内，采购人将不定期对成交人进行抽检，抽检内容包括产品质量、服务质量等执行情况，并对抽检不合格内容发出整改意见书。对通过整改仍不能达到供货要求的，将视情节予以暂停直至取消其供货服务资格。</w:t>
      </w:r>
    </w:p>
    <w:p w14:paraId="1478AAD9">
      <w:pPr>
        <w:spacing w:line="360" w:lineRule="auto"/>
        <w:ind w:right="-53"/>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（四）包装、保险及发运、保管要求</w:t>
      </w:r>
    </w:p>
    <w:p w14:paraId="79D6990E">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货物的包装必须是制造商原厂包装，其包装均应有良好的防湿、防锈、防潮、防雨、防腐及防碰撞的措施。凡由于包装不良造成的损失和由此产生的费用均由成交人承担。</w:t>
      </w:r>
    </w:p>
    <w:p w14:paraId="744B7C4F">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成交人负责货到现场过程中的全部运输，包括装卸车、货物现场的搬运。</w:t>
      </w:r>
    </w:p>
    <w:p w14:paraId="39E013A2">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货物在调试验收合格前的保险由成交人负责，成交人负责其派出的现场服务人员人身意外保险。</w:t>
      </w:r>
    </w:p>
    <w:p w14:paraId="5B16E0F6">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货物至采购人指定的使用现场的包装、保险及发运等环节和费用均由成交人负责。</w:t>
      </w:r>
    </w:p>
    <w:p w14:paraId="7C38F958">
      <w:pPr>
        <w:spacing w:line="360" w:lineRule="auto"/>
        <w:ind w:left="5" w:right="-53"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货物经采购人验收合格前的风险由成交人承担。</w:t>
      </w:r>
    </w:p>
    <w:p w14:paraId="52B978F6">
      <w:pPr>
        <w:tabs>
          <w:tab w:val="left" w:pos="0"/>
        </w:tabs>
        <w:snapToGrid w:val="0"/>
        <w:spacing w:line="360" w:lineRule="auto"/>
        <w:ind w:firstLine="420" w:firstLineChars="200"/>
        <w:rPr>
          <w:rFonts w:ascii="宋体" w:hAnsi="宋体"/>
          <w:color w:val="000000" w:themeColor="text1"/>
          <w:szCs w:val="21"/>
          <w14:textFill>
            <w14:solidFill>
              <w14:schemeClr w14:val="tx1"/>
            </w14:solidFill>
          </w14:textFill>
        </w:rPr>
      </w:pPr>
    </w:p>
    <w:p w14:paraId="7F128795">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五、报价要求</w:t>
      </w:r>
    </w:p>
    <w:p w14:paraId="3609B33E">
      <w:pPr>
        <w:spacing w:line="360" w:lineRule="auto"/>
        <w:ind w:left="5" w:right="-53" w:firstLine="415"/>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本项目以下浮率进行报价。</w:t>
      </w:r>
      <w:r>
        <w:rPr>
          <w:rFonts w:hint="eastAsia" w:ascii="宋体" w:hAnsi="宋体"/>
          <w:color w:val="000000" w:themeColor="text1"/>
          <w:szCs w:val="21"/>
          <w14:textFill>
            <w14:solidFill>
              <w14:schemeClr w14:val="tx1"/>
            </w14:solidFill>
          </w14:textFill>
        </w:rPr>
        <w:t>供应商所报的下浮率必须为固定报价，保留小数点后两位有效数，不接受区间报价（如××％～××％），下浮率范围：0%≤报价下浮率＜100%。</w:t>
      </w:r>
    </w:p>
    <w:p w14:paraId="5895C686">
      <w:pPr>
        <w:tabs>
          <w:tab w:val="left" w:pos="0"/>
        </w:tabs>
        <w:snapToGrid w:val="0"/>
        <w:spacing w:line="360" w:lineRule="auto"/>
        <w:ind w:firstLine="480" w:firstLineChars="200"/>
        <w:rPr>
          <w:rFonts w:ascii="宋体" w:hAnsi="宋体"/>
          <w:color w:val="000000" w:themeColor="text1"/>
          <w:sz w:val="24"/>
          <w:szCs w:val="24"/>
          <w14:textFill>
            <w14:solidFill>
              <w14:schemeClr w14:val="tx1"/>
            </w14:solidFill>
          </w14:textFill>
        </w:rPr>
      </w:pPr>
    </w:p>
    <w:p w14:paraId="63B1BD23">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六、售后及其他要求</w:t>
      </w:r>
    </w:p>
    <w:p w14:paraId="041D42B1">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从终验合格之日起进入质量保修期，按照国家“三包”（包退、保修、包换）管理规定执行。对于属于“三包”范围内的情况，成交人需在1小时内响应，2个工作日内上门提供相关产品的退换货处理或维修服务。</w:t>
      </w:r>
    </w:p>
    <w:p w14:paraId="55EE34AF">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成交人应提供有效的联系人和联系电话，如有变更，成交人应及时、主动通知采购人。</w:t>
      </w:r>
    </w:p>
    <w:p w14:paraId="6B68C8E3">
      <w:pPr>
        <w:tabs>
          <w:tab w:val="left" w:pos="0"/>
        </w:tabs>
        <w:snapToGrid w:val="0"/>
        <w:spacing w:line="360" w:lineRule="auto"/>
        <w:ind w:firstLine="420" w:firstLineChars="200"/>
        <w:rPr>
          <w:rFonts w:ascii="宋体" w:hAnsi="宋体"/>
          <w:color w:val="000000" w:themeColor="text1"/>
          <w:szCs w:val="21"/>
          <w14:textFill>
            <w14:solidFill>
              <w14:schemeClr w14:val="tx1"/>
            </w14:solidFill>
          </w14:textFill>
        </w:rPr>
      </w:pPr>
    </w:p>
    <w:p w14:paraId="65CAB1D8">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七、商务要求</w:t>
      </w:r>
    </w:p>
    <w:p w14:paraId="4CE9D837">
      <w:pPr>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（一）交货要求</w:t>
      </w:r>
    </w:p>
    <w:p w14:paraId="60348E8F">
      <w:pPr>
        <w:spacing w:line="360" w:lineRule="auto"/>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供货地点：</w:t>
      </w:r>
      <w:r>
        <w:rPr>
          <w:rFonts w:hint="eastAsia" w:ascii="宋体" w:hAnsi="宋体" w:cs="宋体"/>
          <w:color w:val="000000" w:themeColor="text1"/>
          <w:szCs w:val="21"/>
          <w14:textFill>
            <w14:solidFill>
              <w14:schemeClr w14:val="tx1"/>
            </w14:solidFill>
          </w14:textFill>
        </w:rPr>
        <w:t>中华人民共和国天河出入境边防检查站指定地点。</w:t>
      </w:r>
    </w:p>
    <w:p w14:paraId="4E80C099">
      <w:pPr>
        <w:spacing w:line="360" w:lineRule="auto"/>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供应期限：</w:t>
      </w:r>
      <w:r>
        <w:rPr>
          <w:rFonts w:hint="eastAsia" w:ascii="宋体" w:hAnsi="宋体" w:cs="宋体"/>
          <w:bCs/>
          <w:color w:val="000000" w:themeColor="text1"/>
          <w:szCs w:val="21"/>
          <w14:textFill>
            <w14:solidFill>
              <w14:schemeClr w14:val="tx1"/>
            </w14:solidFill>
          </w14:textFill>
        </w:rPr>
        <w:t>自合同签订之日起一年</w:t>
      </w:r>
      <w:r>
        <w:rPr>
          <w:rFonts w:hint="eastAsia" w:ascii="宋体" w:hAnsi="宋体" w:cs="Arial"/>
          <w:color w:val="000000" w:themeColor="text1"/>
          <w:szCs w:val="21"/>
          <w14:textFill>
            <w14:solidFill>
              <w14:schemeClr w14:val="tx1"/>
            </w14:solidFill>
          </w14:textFill>
        </w:rPr>
        <w:t>或累计结算金额达到项目预算金额时，合同自动终止，以两者先到者为准</w:t>
      </w:r>
      <w:r>
        <w:rPr>
          <w:rFonts w:hint="eastAsia" w:ascii="宋体" w:hAnsi="宋体" w:cs="宋体"/>
          <w:bCs/>
          <w:color w:val="000000" w:themeColor="text1"/>
          <w:szCs w:val="21"/>
          <w14:textFill>
            <w14:solidFill>
              <w14:schemeClr w14:val="tx1"/>
            </w14:solidFill>
          </w14:textFill>
        </w:rPr>
        <w:t>。</w:t>
      </w:r>
    </w:p>
    <w:p w14:paraId="3BB04FA9">
      <w:pPr>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（二）付款方式</w:t>
      </w:r>
    </w:p>
    <w:p w14:paraId="22D4D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本项目采取先供货后付款方式，每月按实际供货数量结算一次。</w:t>
      </w:r>
    </w:p>
    <w:p w14:paraId="75D05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成交人在每月1</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日</w:t>
      </w:r>
      <w:r>
        <w:rPr>
          <w:rFonts w:hint="eastAsia" w:ascii="宋体" w:hAnsi="宋体"/>
          <w:bCs/>
          <w:color w:val="000000" w:themeColor="text1"/>
          <w:szCs w:val="21"/>
          <w14:textFill>
            <w14:solidFill>
              <w14:schemeClr w14:val="tx1"/>
            </w14:solidFill>
          </w14:textFill>
        </w:rPr>
        <w:t>（节假日顺延）</w:t>
      </w:r>
      <w:r>
        <w:rPr>
          <w:rFonts w:hint="eastAsia" w:ascii="宋体" w:hAnsi="宋体"/>
          <w:color w:val="000000" w:themeColor="text1"/>
          <w:szCs w:val="21"/>
          <w14:textFill>
            <w14:solidFill>
              <w14:schemeClr w14:val="tx1"/>
            </w14:solidFill>
          </w14:textFill>
        </w:rPr>
        <w:t>前，向采购人提交上月供货清单，经采购人对所购商品验收确认后，按成交人“结算单价×实际供货数量”进行结算【结算单价=基准单价×（1</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成交下浮率）】。</w:t>
      </w:r>
    </w:p>
    <w:p w14:paraId="7C7E1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 w:firstLine="41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每次结算时，成交人须提供符合要求的销售发票。如成交人迟延开具发票，采购人有权迟延付款，不视为采购人违约。</w:t>
      </w:r>
    </w:p>
    <w:p w14:paraId="66DB72EB">
      <w:pPr>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（三）履约保证金</w:t>
      </w:r>
    </w:p>
    <w:p w14:paraId="302FCF09">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1.提交说明</w:t>
      </w:r>
    </w:p>
    <w:p w14:paraId="09A77964">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（1）时间：合同签订之日起5个工作日内；如未能按时交纳履约保证金的，采购人有权取消其成交资格。</w:t>
      </w:r>
    </w:p>
    <w:p w14:paraId="60CC502C">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（2）金额：人民币10</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000.00元；</w:t>
      </w:r>
    </w:p>
    <w:p w14:paraId="7FCDC3E3">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（3）方式：转账、履约保函。</w:t>
      </w:r>
    </w:p>
    <w:p w14:paraId="5B9685E0">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2.退还说明：</w:t>
      </w:r>
    </w:p>
    <w:p w14:paraId="01D4D8C2">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（1）时间、方式和条件：成交人履行完成合同约定权利义务事项后，在合同期满之日起30日内无息退还或在合同期满之日起30日内失效。</w:t>
      </w:r>
    </w:p>
    <w:p w14:paraId="0BAB1A51">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（2）违约责任：采购人逾期退还履约保证金的，除应当退还履约保证金本金外，还应当每日按合同总价的3‰向成交人偿付违约金，但因成交人自身原因导致无法及时退还的除外。</w:t>
      </w:r>
    </w:p>
    <w:p w14:paraId="3E52A059">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（3）成交人违反合同及其附件约定的任何义务，采购人有权在履约保证金中直接扣除成交人应向采购人支付的违约金或损失赔偿额，如有不足的，成交人应对超过的部分予以赔偿。</w:t>
      </w:r>
    </w:p>
    <w:p w14:paraId="2CB0731B">
      <w:pPr>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（四）其他要求</w:t>
      </w:r>
    </w:p>
    <w:p w14:paraId="07967971">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1.本项目采购人有可能根据实际使用需要，对某些产品提出急需配送的要求，成交人应具有相关应急配送方案，并在响应文件中作具体说明和承诺（配送时间、采取措施等）。</w:t>
      </w:r>
    </w:p>
    <w:p w14:paraId="1B7CDE06">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2.成交人所提供的产品（型号、规格、生产厂家、质量、品牌等）不符合或达不到采购人所规定的要求的，采购人可拒绝收货并有权取消其供应资格。</w:t>
      </w:r>
    </w:p>
    <w:p w14:paraId="105B3850">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3.由于成交人的原因，造成采购人所需产品供应不到位或错误而造成采购人损失的，采购人有权取消其供应资格。由此造成采购人损失的由成交人负责赔偿。</w:t>
      </w:r>
    </w:p>
    <w:p w14:paraId="23D28E70">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4.成交人必须要按采购人要求将货物配送到各处室。</w:t>
      </w:r>
    </w:p>
    <w:p w14:paraId="6C7C89EE">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5.成交人不得将合同及项下权利和义务转包或分包给第三方，否则采购人有权取消其供应资格。</w:t>
      </w:r>
    </w:p>
    <w:p w14:paraId="1275939C">
      <w:pPr>
        <w:tabs>
          <w:tab w:val="left" w:pos="0"/>
        </w:tabs>
        <w:snapToGrid w:val="0"/>
        <w:spacing w:line="360" w:lineRule="auto"/>
        <w:ind w:firstLine="420" w:firstLineChars="200"/>
        <w:rPr>
          <w:rFonts w:ascii="宋体" w:hAnsi="宋体"/>
          <w:color w:val="000000" w:themeColor="text1"/>
          <w:szCs w:val="21"/>
          <w14:textFill>
            <w14:solidFill>
              <w14:schemeClr w14:val="tx1"/>
            </w14:solidFill>
          </w14:textFill>
        </w:rPr>
      </w:pPr>
    </w:p>
    <w:p w14:paraId="54A1E0D1">
      <w:pPr>
        <w:adjustRightInd w:val="0"/>
        <w:snapToGrid w:val="0"/>
        <w:spacing w:line="360" w:lineRule="auto"/>
        <w:ind w:left="562" w:hanging="562" w:hangingChars="200"/>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八、保密条款</w:t>
      </w:r>
    </w:p>
    <w:p w14:paraId="5F5DCFA3">
      <w:pPr>
        <w:spacing w:line="360" w:lineRule="auto"/>
        <w:ind w:right="-5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交人在实施货物供货期间，不得将供货的实际数量及供货地点泄露给其他企业或者个人，成交人必须指派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p>
    <w:p w14:paraId="328B8065">
      <w:pPr>
        <w:rPr>
          <w:rFonts w:ascii="宋体" w:hAnsi="宋体" w:cs="宋体"/>
          <w:color w:val="000000" w:themeColor="text1"/>
          <w14:textFill>
            <w14:solidFill>
              <w14:schemeClr w14:val="tx1"/>
            </w14:solidFill>
          </w14:textFill>
        </w:rPr>
      </w:pPr>
    </w:p>
    <w:p w14:paraId="11776CD6">
      <w:pPr>
        <w:spacing w:line="360" w:lineRule="auto"/>
        <w:ind w:firstLine="480"/>
        <w:rPr>
          <w:rFonts w:ascii="宋体" w:hAnsi="宋体" w:cs="宋体"/>
          <w:color w:val="000000" w:themeColor="text1"/>
          <w:szCs w:val="24"/>
          <w14:textFill>
            <w14:solidFill>
              <w14:schemeClr w14:val="tx1"/>
            </w14:solidFill>
          </w14:textFill>
        </w:rPr>
        <w:sectPr>
          <w:headerReference r:id="rId4" w:type="first"/>
          <w:headerReference r:id="rId3" w:type="default"/>
          <w:footerReference r:id="rId5" w:type="default"/>
          <w:pgSz w:w="11906" w:h="16838"/>
          <w:pgMar w:top="1417" w:right="1304" w:bottom="1361" w:left="1361" w:header="737" w:footer="737" w:gutter="0"/>
          <w:pgNumType w:start="0"/>
          <w:cols w:space="0" w:num="1"/>
          <w:titlePg/>
          <w:docGrid w:type="lines" w:linePitch="312" w:charSpace="0"/>
        </w:sectPr>
      </w:pPr>
    </w:p>
    <w:p w14:paraId="48D84185">
      <w:pPr>
        <w:pStyle w:val="113"/>
        <w:tabs>
          <w:tab w:val="left" w:pos="840"/>
        </w:tabs>
        <w:spacing w:line="360" w:lineRule="auto"/>
        <w:ind w:left="1" w:firstLine="420" w:firstLineChars="20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59" w:name="_Toc461991234"/>
    </w:p>
    <w:p w14:paraId="60E86B5E">
      <w:pPr>
        <w:pStyle w:val="2"/>
        <w:spacing w:line="360" w:lineRule="auto"/>
        <w:ind w:left="1"/>
        <w:jc w:val="center"/>
        <w:rPr>
          <w:rFonts w:ascii="宋体" w:hAnsi="宋体" w:cs="宋体"/>
          <w:color w:val="000000" w:themeColor="text1"/>
          <w:sz w:val="32"/>
          <w:szCs w:val="32"/>
          <w14:textFill>
            <w14:solidFill>
              <w14:schemeClr w14:val="tx1"/>
            </w14:solidFill>
          </w14:textFill>
        </w:rPr>
      </w:pPr>
      <w:bookmarkStart w:id="60" w:name="_Toc8719"/>
      <w:bookmarkStart w:id="61" w:name="_Toc17460"/>
      <w:r>
        <w:rPr>
          <w:rFonts w:hint="eastAsia" w:ascii="宋体" w:hAnsi="宋体" w:cs="宋体"/>
          <w:color w:val="000000" w:themeColor="text1"/>
          <w:sz w:val="32"/>
          <w:szCs w:val="32"/>
          <w14:textFill>
            <w14:solidFill>
              <w14:schemeClr w14:val="tx1"/>
            </w14:solidFill>
          </w14:textFill>
        </w:rPr>
        <w:t>第四章 合同</w:t>
      </w:r>
      <w:bookmarkEnd w:id="59"/>
      <w:r>
        <w:rPr>
          <w:rFonts w:hint="eastAsia" w:ascii="宋体" w:hAnsi="宋体" w:cs="宋体"/>
          <w:color w:val="000000" w:themeColor="text1"/>
          <w:sz w:val="32"/>
          <w:szCs w:val="32"/>
          <w14:textFill>
            <w14:solidFill>
              <w14:schemeClr w14:val="tx1"/>
            </w14:solidFill>
          </w14:textFill>
        </w:rPr>
        <w:t>文本</w:t>
      </w:r>
      <w:bookmarkEnd w:id="50"/>
      <w:bookmarkEnd w:id="51"/>
      <w:bookmarkEnd w:id="52"/>
      <w:bookmarkEnd w:id="53"/>
      <w:bookmarkEnd w:id="54"/>
      <w:bookmarkEnd w:id="55"/>
      <w:bookmarkEnd w:id="56"/>
      <w:bookmarkEnd w:id="57"/>
      <w:bookmarkEnd w:id="60"/>
      <w:bookmarkEnd w:id="61"/>
      <w:bookmarkStart w:id="62" w:name="_Toc13884772"/>
      <w:bookmarkStart w:id="63" w:name="_Toc30476678"/>
      <w:bookmarkStart w:id="64" w:name="_Toc2699428"/>
      <w:bookmarkStart w:id="65" w:name="_Toc27840486"/>
      <w:bookmarkStart w:id="66" w:name="_Toc17252698"/>
      <w:bookmarkStart w:id="67" w:name="_Toc14450837"/>
    </w:p>
    <w:p w14:paraId="551FAC42">
      <w:pPr>
        <w:shd w:val="clear" w:color="auto" w:fill="FFFFFF"/>
        <w:tabs>
          <w:tab w:val="left" w:pos="720"/>
        </w:tabs>
        <w:spacing w:line="360" w:lineRule="auto"/>
        <w:jc w:val="center"/>
        <w:rPr>
          <w:rFonts w:ascii="宋体" w:hAnsi="宋体"/>
          <w:b/>
          <w:color w:val="000000" w:themeColor="text1"/>
          <w:sz w:val="48"/>
          <w:szCs w:val="48"/>
          <w14:textFill>
            <w14:solidFill>
              <w14:schemeClr w14:val="tx1"/>
            </w14:solidFill>
          </w14:textFill>
        </w:rPr>
      </w:pPr>
    </w:p>
    <w:p w14:paraId="242C0641">
      <w:pPr>
        <w:shd w:val="clear" w:color="auto" w:fill="FFFFFF"/>
        <w:tabs>
          <w:tab w:val="left" w:pos="720"/>
        </w:tabs>
        <w:spacing w:line="360" w:lineRule="auto"/>
        <w:jc w:val="center"/>
        <w:rPr>
          <w:rFonts w:ascii="宋体" w:hAnsi="宋体"/>
          <w:b/>
          <w:color w:val="000000" w:themeColor="text1"/>
          <w:sz w:val="48"/>
          <w:szCs w:val="48"/>
          <w14:textFill>
            <w14:solidFill>
              <w14:schemeClr w14:val="tx1"/>
            </w14:solidFill>
          </w14:textFill>
        </w:rPr>
      </w:pPr>
      <w:r>
        <w:rPr>
          <w:rFonts w:ascii="宋体" w:hAnsi="宋体"/>
          <w:b/>
          <w:color w:val="000000" w:themeColor="text1"/>
          <w:sz w:val="48"/>
          <w:szCs w:val="48"/>
          <w14:textFill>
            <w14:solidFill>
              <w14:schemeClr w14:val="tx1"/>
            </w14:solidFill>
          </w14:textFill>
        </w:rPr>
        <w:t>合　同　书</w:t>
      </w:r>
    </w:p>
    <w:p w14:paraId="7734AF33">
      <w:pPr>
        <w:shd w:val="clear" w:color="auto" w:fill="FFFFFF"/>
        <w:spacing w:line="360" w:lineRule="auto"/>
        <w:jc w:val="center"/>
        <w:rPr>
          <w:rFonts w:ascii="宋体" w:hAnsi="宋体"/>
          <w:b/>
          <w:bCs/>
          <w:color w:val="000000" w:themeColor="text1"/>
          <w:sz w:val="24"/>
          <w:szCs w:val="24"/>
          <w14:textFill>
            <w14:solidFill>
              <w14:schemeClr w14:val="tx1"/>
            </w14:solidFill>
          </w14:textFill>
        </w:rPr>
      </w:pPr>
    </w:p>
    <w:p w14:paraId="508CA607">
      <w:pPr>
        <w:shd w:val="clear" w:color="auto" w:fill="FFFFFF"/>
        <w:spacing w:line="360" w:lineRule="auto"/>
        <w:rPr>
          <w:rFonts w:ascii="宋体" w:hAnsi="宋体"/>
          <w:b/>
          <w:color w:val="000000" w:themeColor="text1"/>
          <w:szCs w:val="21"/>
          <w14:textFill>
            <w14:solidFill>
              <w14:schemeClr w14:val="tx1"/>
            </w14:solidFill>
          </w14:textFill>
        </w:rPr>
      </w:pPr>
    </w:p>
    <w:p w14:paraId="7D22A96B">
      <w:pPr>
        <w:shd w:val="clear" w:color="auto" w:fill="FFFFFF"/>
        <w:spacing w:line="360" w:lineRule="auto"/>
        <w:rPr>
          <w:rFonts w:ascii="宋体" w:hAnsi="宋体"/>
          <w:b/>
          <w:color w:val="000000" w:themeColor="text1"/>
          <w:szCs w:val="21"/>
          <w14:textFill>
            <w14:solidFill>
              <w14:schemeClr w14:val="tx1"/>
            </w14:solidFill>
          </w14:textFill>
        </w:rPr>
      </w:pPr>
    </w:p>
    <w:p w14:paraId="0DBC99DF">
      <w:pPr>
        <w:shd w:val="clear" w:color="auto" w:fill="FFFFFF"/>
        <w:spacing w:line="360" w:lineRule="auto"/>
        <w:rPr>
          <w:rFonts w:ascii="宋体" w:hAnsi="宋体"/>
          <w:b/>
          <w:color w:val="000000" w:themeColor="text1"/>
          <w:szCs w:val="21"/>
          <w14:textFill>
            <w14:solidFill>
              <w14:schemeClr w14:val="tx1"/>
            </w14:solidFill>
          </w14:textFill>
        </w:rPr>
      </w:pPr>
    </w:p>
    <w:p w14:paraId="45C5D055">
      <w:pPr>
        <w:shd w:val="clear" w:color="auto" w:fill="FFFFFF"/>
        <w:spacing w:line="360" w:lineRule="auto"/>
        <w:rPr>
          <w:rFonts w:ascii="宋体" w:hAnsi="宋体"/>
          <w:b/>
          <w:color w:val="000000" w:themeColor="text1"/>
          <w:szCs w:val="21"/>
          <w14:textFill>
            <w14:solidFill>
              <w14:schemeClr w14:val="tx1"/>
            </w14:solidFill>
          </w14:textFill>
        </w:rPr>
      </w:pPr>
    </w:p>
    <w:p w14:paraId="71664C38">
      <w:pPr>
        <w:adjustRightInd w:val="0"/>
        <w:snapToGrid w:val="0"/>
        <w:spacing w:line="360" w:lineRule="auto"/>
        <w:rPr>
          <w:rFonts w:ascii="宋体" w:hAnsi="宋体"/>
          <w:b/>
          <w:color w:val="000000" w:themeColor="text1"/>
          <w:sz w:val="32"/>
          <w:szCs w:val="24"/>
          <w14:textFill>
            <w14:solidFill>
              <w14:schemeClr w14:val="tx1"/>
            </w14:solidFill>
          </w14:textFill>
        </w:rPr>
      </w:pPr>
    </w:p>
    <w:p w14:paraId="2F749D07">
      <w:pPr>
        <w:adjustRightInd w:val="0"/>
        <w:snapToGrid w:val="0"/>
        <w:spacing w:line="480" w:lineRule="auto"/>
        <w:ind w:left="2258" w:leftChars="406" w:hanging="1405" w:hangingChars="500"/>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4"/>
          <w14:textFill>
            <w14:solidFill>
              <w14:schemeClr w14:val="tx1"/>
            </w14:solidFill>
          </w14:textFill>
        </w:rPr>
        <w:t>项目名称：</w:t>
      </w:r>
      <w:r>
        <w:rPr>
          <w:rFonts w:hint="eastAsia" w:ascii="宋体" w:hAnsi="宋体"/>
          <w:b/>
          <w:color w:val="000000" w:themeColor="text1"/>
          <w:sz w:val="28"/>
          <w:szCs w:val="28"/>
          <w14:textFill>
            <w14:solidFill>
              <w14:schemeClr w14:val="tx1"/>
            </w14:solidFill>
          </w14:textFill>
        </w:rPr>
        <w:t>中华人民共和国天河出入境边防检查站2026年度办公、保洁用品及食堂耗材集中采购项目</w:t>
      </w:r>
    </w:p>
    <w:p w14:paraId="2B32F476">
      <w:pPr>
        <w:adjustRightInd w:val="0"/>
        <w:snapToGrid w:val="0"/>
        <w:spacing w:line="480" w:lineRule="auto"/>
        <w:ind w:left="2607" w:leftChars="406" w:hanging="1754" w:hangingChars="624"/>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项目编号：</w:t>
      </w:r>
      <w:r>
        <w:rPr>
          <w:rFonts w:hint="eastAsia" w:ascii="宋体" w:hAnsi="宋体"/>
          <w:b/>
          <w:color w:val="000000" w:themeColor="text1"/>
          <w:sz w:val="28"/>
          <w:szCs w:val="28"/>
          <w14:textFill>
            <w14:solidFill>
              <w14:schemeClr w14:val="tx1"/>
            </w14:solidFill>
          </w14:textFill>
        </w:rPr>
        <w:t>GDYD260090</w:t>
      </w:r>
    </w:p>
    <w:p w14:paraId="70D82D82">
      <w:pPr>
        <w:adjustRightInd w:val="0"/>
        <w:snapToGrid w:val="0"/>
        <w:spacing w:line="480" w:lineRule="auto"/>
        <w:ind w:left="2607" w:leftChars="406" w:hanging="1754" w:hangingChars="624"/>
        <w:rPr>
          <w:rFonts w:ascii="宋体" w:hAnsi="宋体"/>
          <w:b/>
          <w:color w:val="000000" w:themeColor="text1"/>
          <w:sz w:val="28"/>
          <w:szCs w:val="24"/>
          <w14:textFill>
            <w14:solidFill>
              <w14:schemeClr w14:val="tx1"/>
            </w14:solidFill>
          </w14:textFill>
        </w:rPr>
      </w:pPr>
      <w:r>
        <w:rPr>
          <w:rFonts w:ascii="宋体" w:hAnsi="宋体"/>
          <w:b/>
          <w:color w:val="000000" w:themeColor="text1"/>
          <w:sz w:val="28"/>
          <w:szCs w:val="24"/>
          <w14:textFill>
            <w14:solidFill>
              <w14:schemeClr w14:val="tx1"/>
            </w14:solidFill>
          </w14:textFill>
        </w:rPr>
        <w:t>合同编号：</w:t>
      </w:r>
    </w:p>
    <w:p w14:paraId="3972338B">
      <w:pPr>
        <w:adjustRightInd w:val="0"/>
        <w:snapToGrid w:val="0"/>
        <w:spacing w:line="480" w:lineRule="auto"/>
        <w:ind w:left="2607" w:leftChars="406" w:hanging="1754" w:hangingChars="624"/>
        <w:rPr>
          <w:rFonts w:ascii="宋体" w:hAnsi="宋体"/>
          <w:b/>
          <w:color w:val="000000" w:themeColor="text1"/>
          <w:sz w:val="28"/>
          <w:szCs w:val="24"/>
          <w14:textFill>
            <w14:solidFill>
              <w14:schemeClr w14:val="tx1"/>
            </w14:solidFill>
          </w14:textFill>
        </w:rPr>
      </w:pPr>
      <w:r>
        <w:rPr>
          <w:rFonts w:ascii="宋体" w:hAnsi="宋体"/>
          <w:b/>
          <w:color w:val="000000" w:themeColor="text1"/>
          <w:sz w:val="28"/>
          <w:szCs w:val="24"/>
          <w14:textFill>
            <w14:solidFill>
              <w14:schemeClr w14:val="tx1"/>
            </w14:solidFill>
          </w14:textFill>
        </w:rPr>
        <w:t>签约地点：</w:t>
      </w:r>
    </w:p>
    <w:p w14:paraId="0DA5D292">
      <w:pPr>
        <w:tabs>
          <w:tab w:val="left" w:pos="735"/>
        </w:tabs>
        <w:spacing w:line="500" w:lineRule="exact"/>
        <w:ind w:left="2607" w:leftChars="406" w:right="-59" w:rightChars="-28" w:hanging="1754" w:hangingChars="624"/>
        <w:rPr>
          <w:rFonts w:ascii="宋体" w:hAnsi="宋体"/>
          <w:b/>
          <w:color w:val="000000" w:themeColor="text1"/>
          <w:sz w:val="28"/>
          <w:szCs w:val="24"/>
          <w14:textFill>
            <w14:solidFill>
              <w14:schemeClr w14:val="tx1"/>
            </w14:solidFill>
          </w14:textFill>
        </w:rPr>
      </w:pPr>
      <w:r>
        <w:rPr>
          <w:rFonts w:ascii="宋体" w:hAnsi="宋体"/>
          <w:b/>
          <w:color w:val="000000" w:themeColor="text1"/>
          <w:sz w:val="28"/>
          <w:szCs w:val="24"/>
          <w14:textFill>
            <w14:solidFill>
              <w14:schemeClr w14:val="tx1"/>
            </w14:solidFill>
          </w14:textFill>
        </w:rPr>
        <w:t>签订日期：  二〇二    年    月     日</w:t>
      </w:r>
    </w:p>
    <w:p w14:paraId="0CE88900">
      <w:pPr>
        <w:shd w:val="clear" w:color="auto" w:fill="FFFFFF"/>
        <w:spacing w:line="360" w:lineRule="auto"/>
        <w:rPr>
          <w:rFonts w:ascii="宋体" w:hAnsi="宋体"/>
          <w:b/>
          <w:color w:val="000000" w:themeColor="text1"/>
          <w:szCs w:val="21"/>
          <w14:textFill>
            <w14:solidFill>
              <w14:schemeClr w14:val="tx1"/>
            </w14:solidFill>
          </w14:textFill>
        </w:rPr>
      </w:pPr>
    </w:p>
    <w:p w14:paraId="7CAEED89">
      <w:pPr>
        <w:shd w:val="clear" w:color="auto" w:fill="FFFFFF"/>
        <w:tabs>
          <w:tab w:val="center" w:pos="4153"/>
          <w:tab w:val="right" w:pos="8306"/>
        </w:tabs>
        <w:rPr>
          <w:rFonts w:ascii="宋体" w:hAnsi="宋体"/>
          <w:color w:val="000000" w:themeColor="text1"/>
          <w:szCs w:val="21"/>
          <w14:textFill>
            <w14:solidFill>
              <w14:schemeClr w14:val="tx1"/>
            </w14:solidFill>
          </w14:textFill>
        </w:rPr>
      </w:pPr>
    </w:p>
    <w:p w14:paraId="0FA10CB8">
      <w:pPr>
        <w:shd w:val="clear" w:color="auto" w:fill="FFFFFF"/>
        <w:tabs>
          <w:tab w:val="left" w:pos="4395"/>
        </w:tabs>
        <w:spacing w:line="360" w:lineRule="auto"/>
        <w:rPr>
          <w:rFonts w:ascii="宋体" w:hAnsi="宋体"/>
          <w:color w:val="000000" w:themeColor="text1"/>
          <w:szCs w:val="21"/>
          <w14:textFill>
            <w14:solidFill>
              <w14:schemeClr w14:val="tx1"/>
            </w14:solidFill>
          </w14:textFill>
        </w:rPr>
      </w:pPr>
    </w:p>
    <w:p w14:paraId="3A8DA925">
      <w:pPr>
        <w:shd w:val="clear" w:color="auto" w:fill="FFFFFF"/>
        <w:tabs>
          <w:tab w:val="left" w:pos="4395"/>
        </w:tabs>
        <w:spacing w:line="360" w:lineRule="auto"/>
        <w:rPr>
          <w:rFonts w:ascii="宋体" w:hAnsi="宋体"/>
          <w:color w:val="000000" w:themeColor="text1"/>
          <w:szCs w:val="21"/>
          <w14:textFill>
            <w14:solidFill>
              <w14:schemeClr w14:val="tx1"/>
            </w14:solidFill>
          </w14:textFill>
        </w:rPr>
      </w:pPr>
    </w:p>
    <w:p w14:paraId="2D186EBF">
      <w:pPr>
        <w:shd w:val="clear" w:color="auto" w:fill="FFFFFF"/>
        <w:tabs>
          <w:tab w:val="left" w:pos="4395"/>
        </w:tabs>
        <w:spacing w:line="360" w:lineRule="auto"/>
        <w:rPr>
          <w:rFonts w:ascii="宋体" w:hAnsi="宋体"/>
          <w:color w:val="000000" w:themeColor="text1"/>
          <w:szCs w:val="21"/>
          <w14:textFill>
            <w14:solidFill>
              <w14:schemeClr w14:val="tx1"/>
            </w14:solidFill>
          </w14:textFill>
        </w:rPr>
      </w:pPr>
    </w:p>
    <w:p w14:paraId="25143E57">
      <w:pPr>
        <w:shd w:val="clear" w:color="auto" w:fill="FFFFFF"/>
        <w:tabs>
          <w:tab w:val="left" w:pos="4395"/>
        </w:tabs>
        <w:spacing w:line="360" w:lineRule="auto"/>
        <w:rPr>
          <w:rFonts w:ascii="宋体" w:hAnsi="宋体"/>
          <w:color w:val="000000" w:themeColor="text1"/>
          <w:szCs w:val="21"/>
          <w14:textFill>
            <w14:solidFill>
              <w14:schemeClr w14:val="tx1"/>
            </w14:solidFill>
          </w14:textFill>
        </w:rPr>
      </w:pPr>
    </w:p>
    <w:p w14:paraId="3D441131">
      <w:pPr>
        <w:shd w:val="clear" w:color="auto" w:fill="FFFFFF"/>
        <w:tabs>
          <w:tab w:val="left" w:pos="4395"/>
        </w:tabs>
        <w:spacing w:line="360" w:lineRule="auto"/>
        <w:rPr>
          <w:rFonts w:ascii="宋体" w:hAnsi="宋体"/>
          <w:color w:val="000000" w:themeColor="text1"/>
          <w:szCs w:val="21"/>
          <w14:textFill>
            <w14:solidFill>
              <w14:schemeClr w14:val="tx1"/>
            </w14:solidFill>
          </w14:textFill>
        </w:rPr>
      </w:pPr>
    </w:p>
    <w:p w14:paraId="1E5DF4DA">
      <w:pPr>
        <w:rPr>
          <w:rFonts w:ascii="宋体" w:hAnsi="宋体"/>
          <w:color w:val="000000" w:themeColor="text1"/>
          <w:sz w:val="24"/>
          <w:szCs w:val="24"/>
          <w14:textFill>
            <w14:solidFill>
              <w14:schemeClr w14:val="tx1"/>
            </w14:solidFill>
          </w14:textFill>
        </w:rPr>
      </w:pPr>
    </w:p>
    <w:p w14:paraId="36055A34">
      <w:pPr>
        <w:rPr>
          <w:rFonts w:ascii="宋体" w:hAnsi="宋体"/>
          <w:color w:val="000000" w:themeColor="text1"/>
          <w:sz w:val="24"/>
          <w:szCs w:val="24"/>
          <w14:textFill>
            <w14:solidFill>
              <w14:schemeClr w14:val="tx1"/>
            </w14:solidFill>
          </w14:textFill>
        </w:rPr>
      </w:pPr>
    </w:p>
    <w:p w14:paraId="30D1E776">
      <w:pPr>
        <w:rPr>
          <w:rFonts w:ascii="宋体" w:hAnsi="宋体"/>
          <w:color w:val="000000" w:themeColor="text1"/>
          <w:sz w:val="24"/>
          <w:szCs w:val="24"/>
          <w14:textFill>
            <w14:solidFill>
              <w14:schemeClr w14:val="tx1"/>
            </w14:solidFill>
          </w14:textFill>
        </w:rPr>
      </w:pPr>
    </w:p>
    <w:p w14:paraId="148A6CF8">
      <w:pPr>
        <w:rPr>
          <w:rFonts w:ascii="宋体" w:hAnsi="宋体"/>
          <w:color w:val="000000" w:themeColor="text1"/>
          <w:sz w:val="24"/>
          <w:szCs w:val="24"/>
          <w14:textFill>
            <w14:solidFill>
              <w14:schemeClr w14:val="tx1"/>
            </w14:solidFill>
          </w14:textFill>
        </w:rPr>
      </w:pPr>
    </w:p>
    <w:p w14:paraId="659AC1C9">
      <w:pPr>
        <w:jc w:val="center"/>
        <w:rPr>
          <w:rFonts w:ascii="宋体" w:hAnsi="宋体"/>
          <w:b/>
          <w:bCs/>
          <w:color w:val="000000" w:themeColor="text1"/>
          <w14:textFill>
            <w14:solidFill>
              <w14:schemeClr w14:val="tx1"/>
            </w14:solidFill>
          </w14:textFill>
        </w:rPr>
      </w:pPr>
      <w:r>
        <w:rPr>
          <w:rFonts w:ascii="宋体" w:hAnsi="宋体"/>
          <w:b/>
          <w:bCs/>
          <w:color w:val="000000" w:themeColor="text1"/>
          <w:sz w:val="24"/>
          <w:szCs w:val="24"/>
          <w14:textFill>
            <w14:solidFill>
              <w14:schemeClr w14:val="tx1"/>
            </w14:solidFill>
          </w14:textFill>
        </w:rPr>
        <w:t>注：本合同仅为合同的参考文本，合同签订双方可根据项目的具体要求进行修订。</w:t>
      </w:r>
    </w:p>
    <w:p w14:paraId="3B1063A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甲方（采购人）：</w:t>
      </w:r>
    </w:p>
    <w:p w14:paraId="116C6F1D">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乙方（成交人）：</w:t>
      </w:r>
    </w:p>
    <w:p w14:paraId="421A1B5E">
      <w:pPr>
        <w:pStyle w:val="113"/>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根据《中华人民共和国民法典》及</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项目（项目编号：</w:t>
      </w:r>
      <w:bookmarkStart w:id="68" w:name="xmbh"/>
      <w:r>
        <w:rPr>
          <w:rFonts w:hint="eastAsia" w:ascii="宋体" w:hAnsi="宋体" w:cs="宋体"/>
          <w:color w:val="000000" w:themeColor="text1"/>
          <w:szCs w:val="21"/>
          <w:u w:val="single"/>
          <w14:textFill>
            <w14:solidFill>
              <w14:schemeClr w14:val="tx1"/>
            </w14:solidFill>
          </w14:textFill>
        </w:rPr>
        <w:t xml:space="preserve">                </w:t>
      </w:r>
      <w:bookmarkEnd w:id="68"/>
      <w:r>
        <w:rPr>
          <w:rFonts w:hint="eastAsia" w:ascii="宋体" w:hAnsi="宋体" w:cs="宋体"/>
          <w:color w:val="000000" w:themeColor="text1"/>
          <w:szCs w:val="21"/>
          <w14:textFill>
            <w14:solidFill>
              <w14:schemeClr w14:val="tx1"/>
            </w14:solidFill>
          </w14:textFill>
        </w:rPr>
        <w:t>）磋商文件的要求和磋商结果，经甲乙双方协商一致，签订本合同。双方共同遵守如下条款（其他有关合同项目的特定信息由合同附件予以说明，合同附件及本项目的磋商文件、响应文件、成交通知书、在实施过程中双方共同签署的补充文件等均为本合同不可分割之一部分）。</w:t>
      </w:r>
    </w:p>
    <w:p w14:paraId="3FDAE667">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第一条</w:t>
      </w:r>
      <w:r>
        <w:rPr>
          <w:rFonts w:hint="eastAsia" w:ascii="宋体" w:hAnsi="宋体" w:cs="宋体"/>
          <w:color w:val="000000" w:themeColor="text1"/>
          <w:szCs w:val="21"/>
          <w14:textFill>
            <w14:solidFill>
              <w14:schemeClr w14:val="tx1"/>
            </w14:solidFill>
          </w14:textFill>
        </w:rPr>
        <w:t xml:space="preserve">  项目名称、合同价款、货物的清单及单价（名称、品牌、规格型号、生产厂家/产地、单价等）、合同内容</w:t>
      </w:r>
    </w:p>
    <w:p w14:paraId="0D9AA84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（一）项目名称：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p>
    <w:p w14:paraId="7292D93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（二）合同价款</w:t>
      </w:r>
    </w:p>
    <w:p w14:paraId="7A9830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合同暂定金额为（大写）：</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元（￥</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元）。</w:t>
      </w:r>
    </w:p>
    <w:p w14:paraId="71F423B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单价下浮率为：</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w:t>
      </w:r>
    </w:p>
    <w:p w14:paraId="6E6BCCE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（三）货物的清单及定价</w:t>
      </w:r>
    </w:p>
    <w:p w14:paraId="660A298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1.货物清单详见《天河边检站2026年度办公、保洁用品及食堂耗材清单》。</w:t>
      </w:r>
    </w:p>
    <w:p w14:paraId="79FB5B6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2.单价</w:t>
      </w:r>
    </w:p>
    <w:p w14:paraId="0221751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2.1.采购定价</w:t>
      </w:r>
    </w:p>
    <w:p w14:paraId="5B2178F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基准单价以合同签订前一天的京东商城自营官方旗舰店对应同款单价为基准（无自营官方旗舰店的以京东网一周内最高销售总量对应货物单价定价，不包含限时限量抢购价）。目录外的特殊需求用品按成交人接到需求清单当日的京东商城价格（定价规则同上）确定，据实结算。</w:t>
      </w:r>
    </w:p>
    <w:p w14:paraId="27F3EFB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2.2.结算单价</w:t>
      </w:r>
    </w:p>
    <w:p w14:paraId="3DE9920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结算</w:t>
      </w:r>
      <w:r>
        <w:rPr>
          <w:rFonts w:hint="eastAsia" w:ascii="宋体" w:hAnsi="宋体" w:cs="宋体"/>
          <w:color w:val="000000" w:themeColor="text1"/>
          <w:szCs w:val="21"/>
          <w14:textFill>
            <w14:solidFill>
              <w14:schemeClr w14:val="tx1"/>
            </w14:solidFill>
          </w14:textFill>
        </w:rPr>
        <w:t>单价</w:t>
      </w:r>
      <w:r>
        <w:rPr>
          <w:rFonts w:hint="eastAsia" w:ascii="宋体" w:hAnsi="宋体"/>
          <w:color w:val="000000" w:themeColor="text1"/>
          <w:szCs w:val="21"/>
          <w14:textFill>
            <w14:solidFill>
              <w14:schemeClr w14:val="tx1"/>
            </w14:solidFill>
          </w14:textFill>
        </w:rPr>
        <w:t>=基准单价×（1-成交下浮率）。</w:t>
      </w:r>
    </w:p>
    <w:p w14:paraId="4D53681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合同价中必须包含货物及服务全过程及技术支持、质保期售后服务、全额含税发票、雇员费用、合同实施过程中应预见和不可预见费用等。在供应期限内，所有价格变动的风险均由乙方承担。甲方不需再向乙方支付任何其他费用。</w:t>
      </w:r>
    </w:p>
    <w:p w14:paraId="4A51CC6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（四）合同内容：</w:t>
      </w:r>
    </w:p>
    <w:p w14:paraId="57F1F53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办公用品：日常办公需要的打印纸、中性笔、长尾夹、便签纸等办公用品，公共卫生间使用的洗手液、清新剂、清洁剂、卷纸等，会议室、接待室使用的盒装抽纸等卫生清洁用品，办公区卫生清洁用品及食堂餐巾纸等消耗品。</w:t>
      </w:r>
    </w:p>
    <w:p w14:paraId="23CDBB9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2.打印耗材：常用打印机耗材，包含不仅限于硒鼓、粉盒、碳粉等。</w:t>
      </w:r>
    </w:p>
    <w:p w14:paraId="60EAD671">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第二条</w:t>
      </w:r>
      <w:r>
        <w:rPr>
          <w:rFonts w:hint="eastAsia" w:ascii="宋体" w:hAnsi="宋体" w:cs="宋体"/>
          <w:color w:val="000000" w:themeColor="text1"/>
          <w:szCs w:val="21"/>
          <w14:textFill>
            <w14:solidFill>
              <w14:schemeClr w14:val="tx1"/>
            </w14:solidFill>
          </w14:textFill>
        </w:rPr>
        <w:t xml:space="preserve">  货物要求</w:t>
      </w:r>
    </w:p>
    <w:p w14:paraId="7C90E5E9">
      <w:pPr>
        <w:spacing w:line="360" w:lineRule="auto"/>
        <w:ind w:right="-53"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货物为全新产品，并保证产品的进货渠道、运输过程、生产过程的合法性。货物无污染，无侵权行为、表面无划损、无任何缺陷隐患，在中国境内可依常规安全合法使用。货物为原厂商未启封全新包装，具出厂合格证、用户手册（如有）、保修手册（如有）、有关单证资料（如有）及配备件（如有）、随机工具（如有）等，序列号、包装箱号与出厂批号一致，并可追索查阅，货物使用操作及安全须知等重要资料应附有中文说明。</w:t>
      </w:r>
    </w:p>
    <w:p w14:paraId="3A2F364D">
      <w:pPr>
        <w:spacing w:line="360" w:lineRule="auto"/>
        <w:ind w:right="-53"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（二）如发现乙方所售产品存在任何瑕疵，甲方有权要求进行换货。</w:t>
      </w:r>
    </w:p>
    <w:p w14:paraId="0B82FDE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（三）乙方负责货到现场过程中的全部运输，包括装卸车、货物现场的搬运。</w:t>
      </w:r>
    </w:p>
    <w:p w14:paraId="20BC9DCE">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第三条</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总体要求</w:t>
      </w:r>
    </w:p>
    <w:p w14:paraId="4D798ADD">
      <w:pPr>
        <w:spacing w:line="360" w:lineRule="auto"/>
        <w:ind w:left="5" w:firstLine="41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乙方所供产品及材料应来源正规，质量符合国家或行业质量、安全标准，货物来源合法，无假冒伪劣产品出售，若收到产品一周内发现质量有问题，甲方有权提出换货或退货；若乙方提供的设备出于设备自身质量原因不能满足甲方要求的技术指标，甲方有权提出换货或退货，市场单价发生变动时需书面通知甲方。</w:t>
      </w:r>
    </w:p>
    <w:p w14:paraId="6E26C29C">
      <w:pPr>
        <w:spacing w:line="360" w:lineRule="auto"/>
        <w:ind w:left="5" w:firstLine="41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伴随服务（费用包含在响应报价内）：全部产品的设计、运输、安装调试、人员培训、售后服务、含税等费用。</w:t>
      </w:r>
    </w:p>
    <w:p w14:paraId="03C3C23E">
      <w:pPr>
        <w:widowControl/>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报价包括（但不限于）货物出厂价、运至合同指定地点的材料费（包含辅助、配套材料）、人工费、包装费、运杂费（包括装卸车费）、管理费、利润、各种税费、政策性文件规定费用等一切费用。</w:t>
      </w:r>
    </w:p>
    <w:p w14:paraId="635536E9">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第四条</w:t>
      </w:r>
      <w:r>
        <w:rPr>
          <w:rFonts w:hint="eastAsia" w:ascii="宋体" w:hAnsi="宋体" w:cs="宋体"/>
          <w:color w:val="000000" w:themeColor="text1"/>
          <w:szCs w:val="21"/>
          <w14:textFill>
            <w14:solidFill>
              <w14:schemeClr w14:val="tx1"/>
            </w14:solidFill>
          </w14:textFill>
        </w:rPr>
        <w:t xml:space="preserve">  产品及服务要求</w:t>
      </w:r>
    </w:p>
    <w:p w14:paraId="013D593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（一）供货要求</w:t>
      </w:r>
    </w:p>
    <w:p w14:paraId="5B717EF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提高工作效率和服务响应，乙方应指定专人负责甲方购买、售后服务跟踪等事宜。甲方将在服务期内不定期向乙方发出供货通知，乙方须在1个小时内做出响应，并在2个工作日内备齐货物并运送至甲方指定地点进行验收，特殊需求货品需在2个工作日内完成配送。（提供承诺函，格式自拟）</w:t>
      </w:r>
    </w:p>
    <w:p w14:paraId="3CF8485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（二）验收要求</w:t>
      </w:r>
    </w:p>
    <w:p w14:paraId="258D7B2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1.乙方送货时，需附上送货清单，由甲方与乙方及相关人员依照国家有关标准、合同及有关附件要求进行验收。所有货物在开箱时必须完好，无破损，配置与装箱单相符，数量、质量及性能不低于磋商文件要求。</w:t>
      </w:r>
    </w:p>
    <w:p w14:paraId="69BA0BE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2.乙方提供的所有货物均须源于正规销售渠道，可以进行货源验证。</w:t>
      </w:r>
    </w:p>
    <w:p w14:paraId="5ECDE80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乙方将货物组织运达甲方约定的交货地点后，甲方对乙方提交的货物依据磋商文件的要求、应答文件的承诺和国家标准或行业标准进行现场初步验收，确认按合同供货。对外观、说明书符合要求的，给予签收；对不符合要求或有质量问题的货物不予签收，可立即要求退换，乙方不得拒绝和延误，超过5日未处理的，视为乙方放弃所有权，甲方有权自行处理。</w:t>
      </w:r>
    </w:p>
    <w:p w14:paraId="41B26BD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4.验收完毕由甲方及乙方在验收单上共同签名确认，并作为乙方交货凭证。</w:t>
      </w:r>
    </w:p>
    <w:p w14:paraId="734D467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（三）产品瑕疵</w:t>
      </w:r>
    </w:p>
    <w:p w14:paraId="1326E55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1.在交货之前，甲方应就产品的品质、规格、性能、数量及重量进行准确和全面的检验，保证其产品不存在任何瑕疵。</w:t>
      </w:r>
    </w:p>
    <w:p w14:paraId="3C26F81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甲方发现乙方所售产品存在任何瑕疵，有权要求进行换货。换货必须全新并符合采购需求规定的品质，规格和性能。若换货仍不能达到质量的要求，甲方有权要求退货，并由乙方负担因此而产生的一切费用和甲方遭受的一切损失。</w:t>
      </w:r>
    </w:p>
    <w:p w14:paraId="5452A5F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3.在供货期内，如出现甲方对所供货物及服务等投诉问题，经调查属实，将追究乙方的责任。如因产品质量问题造成甲方或第三方损失的，应由乙方负责。</w:t>
      </w:r>
    </w:p>
    <w:p w14:paraId="1F2BE39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在供货期内，甲方将不定期对乙方进行抽检，抽检内容包括产品质量、服务质量等执行情况，并对抽检不合格内容发出整改意见书。对通过整改仍不能达到供货要求的，将视情节予以暂停直至取消其供货服务资格。</w:t>
      </w:r>
    </w:p>
    <w:p w14:paraId="751F7CF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（四）包装、保险及发运、保管要求</w:t>
      </w:r>
    </w:p>
    <w:p w14:paraId="3327A09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1.货物的包装必须是制造商原厂包装，其包装均应有良好的防湿、防锈、防潮、防雨、防腐及防碰撞的措施。凡由于包装不良造成的损失和由此产生的费用均由乙方承担。</w:t>
      </w:r>
    </w:p>
    <w:p w14:paraId="3BE3688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2.乙方负责货到现场过程中的全部运输，包括装卸车、货物现场的搬运。</w:t>
      </w:r>
    </w:p>
    <w:p w14:paraId="28BBFF9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3.货物在调试验收合格前的保险由乙方负责，乙方负责其派出的现场服务人员人身意外保险。</w:t>
      </w:r>
    </w:p>
    <w:p w14:paraId="591CEF4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4.货物至甲方指定的使用现场的包装、保险及发运等环节和费用均由乙方负责。</w:t>
      </w:r>
    </w:p>
    <w:p w14:paraId="6172B82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5.货物经甲方验收合格前的风险由乙方承担。</w:t>
      </w:r>
    </w:p>
    <w:p w14:paraId="6A1F68F2">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第五条</w:t>
      </w:r>
      <w:r>
        <w:rPr>
          <w:rFonts w:hint="eastAsia" w:ascii="宋体" w:hAnsi="宋体" w:cs="宋体"/>
          <w:color w:val="000000" w:themeColor="text1"/>
          <w:szCs w:val="21"/>
          <w14:textFill>
            <w14:solidFill>
              <w14:schemeClr w14:val="tx1"/>
            </w14:solidFill>
          </w14:textFill>
        </w:rPr>
        <w:t xml:space="preserve">  售后及其他要求</w:t>
      </w:r>
    </w:p>
    <w:p w14:paraId="78297522">
      <w:pPr>
        <w:spacing w:line="360" w:lineRule="auto"/>
        <w:ind w:right="-53"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从终验合格之日起进入质量保修期，按照国家“三包”（包退、保修、包换）管理规定执行。对于属于“三包”范围内的情况，乙方需在1小时内响应，2个工作日内上门提供相关产品的退换货处理或维修服务。</w:t>
      </w:r>
    </w:p>
    <w:p w14:paraId="4B05342F">
      <w:pPr>
        <w:spacing w:line="360" w:lineRule="auto"/>
        <w:ind w:firstLine="420" w:firstLineChars="200"/>
        <w:rPr>
          <w:rFonts w:ascii="宋体" w:hAnsi="宋体" w:cs="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乙方应提供有效的联系人和联系电话，如有变更，乙方应及时、主动通知甲方。</w:t>
      </w:r>
    </w:p>
    <w:p w14:paraId="195B5C49">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第六条</w:t>
      </w:r>
      <w:r>
        <w:rPr>
          <w:rFonts w:hint="eastAsia" w:ascii="宋体" w:hAnsi="宋体" w:cs="宋体"/>
          <w:color w:val="000000" w:themeColor="text1"/>
          <w:szCs w:val="21"/>
          <w14:textFill>
            <w14:solidFill>
              <w14:schemeClr w14:val="tx1"/>
            </w14:solidFill>
          </w14:textFill>
        </w:rPr>
        <w:t xml:space="preserve">  商务要求</w:t>
      </w:r>
    </w:p>
    <w:p w14:paraId="7648EA24">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（一）交货要求</w:t>
      </w:r>
    </w:p>
    <w:p w14:paraId="7450EBF8">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1.供货地点：中华人民共和国天河出入境边防检查站指定地点。</w:t>
      </w:r>
    </w:p>
    <w:p w14:paraId="6A221649">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2.供应期限：自合同签订之日起一年或累计结算金额达到项目预算金额时，合同自动终止，以两者先到者为准。</w:t>
      </w:r>
    </w:p>
    <w:p w14:paraId="585C2CCD">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（二）付款方式</w:t>
      </w:r>
    </w:p>
    <w:p w14:paraId="5666AA10">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1.本项目采取先供货后付款方式，每月按实际供货数量结算一次。</w:t>
      </w:r>
    </w:p>
    <w:p w14:paraId="1828A102">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2.乙方在每月10日（节假日顺延）前，向甲方提交上月供货清单，经甲方对所购商品验收确认后，按乙方“结算单价×实际供货数量”进行结算【结算单价=基准单价×（1-成交下浮率）】。</w:t>
      </w:r>
    </w:p>
    <w:p w14:paraId="72CBED51">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3.每次结算时，乙方须提供符合要求的销售发票。如乙方迟延开具发票，甲方有权迟延付款，不视为甲方违约。</w:t>
      </w:r>
    </w:p>
    <w:p w14:paraId="4A9D7833">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（三）履约保证金</w:t>
      </w:r>
    </w:p>
    <w:p w14:paraId="3FA113F5">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1.提交说明</w:t>
      </w:r>
    </w:p>
    <w:p w14:paraId="73069ABD">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（1）时间：合同签订之日起5个工作日内；如未能按时交纳履约保证金的，甲方有权取消其成交资格。</w:t>
      </w:r>
    </w:p>
    <w:p w14:paraId="7E2DCDBF">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（2）金额：人民币10,000.00元；</w:t>
      </w:r>
    </w:p>
    <w:p w14:paraId="37A27A69">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（3）方式：转账、履约保函。</w:t>
      </w:r>
    </w:p>
    <w:p w14:paraId="711F3F51">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2.退还说明：</w:t>
      </w:r>
    </w:p>
    <w:p w14:paraId="69902842">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（1）时间、方式和条件：乙方履行完成合同约定权利义务事项后，在合同期满之日起30日内无息退还或在合同期满之日起30日内失效。</w:t>
      </w:r>
    </w:p>
    <w:p w14:paraId="074F1B17">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（2）违约责任：甲方逾期退还履约保证金的，除应当退还履约保证金本金外，还应当每日按合同总价的3‰向乙方偿付违约金，但因乙方自身原因导致无法及时退还的除外。</w:t>
      </w:r>
    </w:p>
    <w:p w14:paraId="26F7D61C">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（3）乙方违反合同及其附件约定的任何义务，甲方有权在履约保证金中直接扣除乙方应向甲方支付的违约金或损失赔偿额，如有不足的，乙方应对超过的部分予以赔偿。</w:t>
      </w:r>
    </w:p>
    <w:p w14:paraId="73F23F1C">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（四）其他要求</w:t>
      </w:r>
    </w:p>
    <w:p w14:paraId="4D118A84">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1.本项目甲方有可能根据实际使用需要，对某些产品提出急需配送的要求，乙方应具有相关应急配送方案，并在响应文件中作具体说明和承诺（配送时间、采取措施等）。</w:t>
      </w:r>
    </w:p>
    <w:p w14:paraId="206B0108">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2.乙方所提供的产品（型号、规格、生产厂家、质量、品牌等）不符合或达不到甲方所规定的要求的，甲方可拒绝收货并有权取消其供应资格。</w:t>
      </w:r>
    </w:p>
    <w:p w14:paraId="37A25054">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3.由于乙方的原因，造成甲方所需产品供应不到位或错误而造成甲方损失的，甲方有权取消其供应资格。由此造成甲方损失的由乙方负责赔偿。</w:t>
      </w:r>
    </w:p>
    <w:p w14:paraId="69C6688E">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4.乙方必须要按甲方要求将货物配送到各处室。</w:t>
      </w:r>
    </w:p>
    <w:p w14:paraId="11F37E31">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5.乙方不得将合同及项下权利和义务转包或分包给第三方，否则甲方有权取消其供应资格。</w:t>
      </w:r>
    </w:p>
    <w:p w14:paraId="6B99EE87">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（五）保密条款</w:t>
      </w:r>
    </w:p>
    <w:p w14:paraId="2241F81C">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在实施货物供货期间，不得将供货的实际数量及供货地点泄露给其他企业或者个人，乙方必须指派固定的人员完成货物配送服务，并需将配送人员的详细资料报甲方备案，货物配送人员必须遵纪守法、品行良好，无违法犯罪记录。如需要更换配送人员，必须事先通知甲方并将其个人资料送甲方审批，审批合格者才能更换。</w:t>
      </w:r>
    </w:p>
    <w:p w14:paraId="1EB85AC7">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第七条</w:t>
      </w:r>
      <w:r>
        <w:rPr>
          <w:rFonts w:hint="eastAsia" w:ascii="宋体" w:hAnsi="宋体" w:cs="宋体"/>
          <w:color w:val="000000" w:themeColor="text1"/>
          <w:szCs w:val="21"/>
          <w14:textFill>
            <w14:solidFill>
              <w14:schemeClr w14:val="tx1"/>
            </w14:solidFill>
          </w14:textFill>
        </w:rPr>
        <w:t xml:space="preserve">  乙方的违约责任</w:t>
      </w:r>
    </w:p>
    <w:p w14:paraId="4AA939D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方必须严格履行各项承诺，按照承诺提供优质的货物和服务，不得提供假冒伪劣商品、不得违反服务承诺提供服务损害采购单位利益。对于乙方提供货物或者服务不符合约定标准的，甲方将根据情节轻重，分别给予批评、警告、责令改正、没收履约保证金、取消供应资格、解除合同等处理措施，并有权要求乙方就每项违约行为承担交货部分款项/服务金额1</w:t>
      </w:r>
      <w:r>
        <w:rPr>
          <w:rFonts w:ascii="宋体" w:hAnsi="宋体" w:cs="宋体"/>
          <w:color w:val="000000" w:themeColor="text1"/>
          <w:szCs w:val="21"/>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的违约金；甲方解除合同的，乙方除支付违约金外，应承担由此给甲方造成的全部损失。因乙方原因逾期交货/提供服务的，按延期交货部分货款/服务金额计算，每延期一天向甲方偿付延期交货部分货款/服务金额的10%违约金；逾期交货超过</w:t>
      </w:r>
      <w:r>
        <w:rPr>
          <w:rFonts w:ascii="宋体" w:hAnsi="宋体" w:cs="宋体"/>
          <w:color w:val="000000" w:themeColor="text1"/>
          <w:szCs w:val="21"/>
          <w14:textFill>
            <w14:solidFill>
              <w14:schemeClr w14:val="tx1"/>
            </w14:solidFill>
          </w14:textFill>
        </w:rPr>
        <w:t>15</w:t>
      </w:r>
      <w:r>
        <w:rPr>
          <w:rFonts w:hint="eastAsia" w:ascii="宋体" w:hAnsi="宋体" w:cs="宋体"/>
          <w:color w:val="000000" w:themeColor="text1"/>
          <w:szCs w:val="21"/>
          <w14:textFill>
            <w14:solidFill>
              <w14:schemeClr w14:val="tx1"/>
            </w14:solidFill>
          </w14:textFill>
        </w:rPr>
        <w:t>日的，甲方有权单方解除合同，乙方除支付违约金外，应承担由此给甲方造成的全部损失。</w:t>
      </w:r>
    </w:p>
    <w:p w14:paraId="3E64B43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违约金逐项累计，但违约金最多不超过交货部分货款/服务金额的200%。</w:t>
      </w:r>
    </w:p>
    <w:p w14:paraId="032EFBD7">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第八条</w:t>
      </w:r>
      <w:r>
        <w:rPr>
          <w:rFonts w:hint="eastAsia" w:ascii="宋体" w:hAnsi="宋体" w:cs="宋体"/>
          <w:color w:val="000000" w:themeColor="text1"/>
          <w:szCs w:val="21"/>
          <w14:textFill>
            <w14:solidFill>
              <w14:schemeClr w14:val="tx1"/>
            </w14:solidFill>
          </w14:textFill>
        </w:rPr>
        <w:t xml:space="preserve">  甲方的违约责任</w:t>
      </w:r>
    </w:p>
    <w:p w14:paraId="3C1A7C9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（一）甲方逾期付款的，每日应按1年期贷款市场报价利率向乙方偿付违约金。</w:t>
      </w:r>
    </w:p>
    <w:p w14:paraId="18B23A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（二）甲方违反合同规定拒绝接受货物的，应当承担由此而对乙方造成的损失。</w:t>
      </w:r>
    </w:p>
    <w:p w14:paraId="0C95ACAF">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第九条</w:t>
      </w:r>
      <w:r>
        <w:rPr>
          <w:rFonts w:hint="eastAsia" w:ascii="宋体" w:hAnsi="宋体" w:cs="宋体"/>
          <w:color w:val="000000" w:themeColor="text1"/>
          <w:szCs w:val="21"/>
          <w14:textFill>
            <w14:solidFill>
              <w14:schemeClr w14:val="tx1"/>
            </w14:solidFill>
          </w14:textFill>
        </w:rPr>
        <w:t xml:space="preserve">  不可抗力</w:t>
      </w:r>
    </w:p>
    <w:p w14:paraId="33817BB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甲乙双方任何一方由于不可抗力原因不能履行合同时，应及时向对方通报不能履行 或不能完全履行的理由，以减轻可能给对方造成的损失，在取得有关机构证明后，允许延期履行、部分履行或不履行合同，并根据情况可部分或全部免予承担违约责任。</w:t>
      </w:r>
    </w:p>
    <w:p w14:paraId="25E499C5">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第十条</w:t>
      </w:r>
      <w:r>
        <w:rPr>
          <w:rFonts w:hint="eastAsia" w:ascii="宋体" w:hAnsi="宋体" w:cs="宋体"/>
          <w:color w:val="000000" w:themeColor="text1"/>
          <w:szCs w:val="21"/>
          <w14:textFill>
            <w14:solidFill>
              <w14:schemeClr w14:val="tx1"/>
            </w14:solidFill>
          </w14:textFill>
        </w:rPr>
        <w:t xml:space="preserve">  争议的解决</w:t>
      </w:r>
    </w:p>
    <w:p w14:paraId="153A20C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（一）如因货物的质量问题发生争议，由法定的质量技术鉴定机构进行质量鉴定，双方应当服从该鉴定的结论。</w:t>
      </w:r>
    </w:p>
    <w:p w14:paraId="7BD5E8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若执行本合同的过程中发生纠纷，双方当事人应当及时协商解决；协商不成时，可向甲方所在地的人民法院提起诉讼。一方因维权、索赔其损失或实现权利所支出的合理费用和损失，包括但不限于诉讼费、律师费、公证费、评估鉴定费、财产保全费、保全担保费、差旅费等，均应由败诉方承担和赔偿。</w:t>
      </w:r>
    </w:p>
    <w:p w14:paraId="7D29E6E3">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第十一条</w:t>
      </w:r>
      <w:r>
        <w:rPr>
          <w:rFonts w:hint="eastAsia" w:ascii="宋体" w:hAnsi="宋体" w:cs="宋体"/>
          <w:color w:val="000000" w:themeColor="text1"/>
          <w:szCs w:val="21"/>
          <w14:textFill>
            <w14:solidFill>
              <w14:schemeClr w14:val="tx1"/>
            </w14:solidFill>
          </w14:textFill>
        </w:rPr>
        <w:t xml:space="preserve">  无效合同</w:t>
      </w:r>
    </w:p>
    <w:p w14:paraId="6A48F95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甲乙双方如因违反法律和有关规定，合同被宣告无效的，有过错的一方应当承担赔 偿责任，双方都有过错的，各自承担相应的责任。</w:t>
      </w:r>
    </w:p>
    <w:p w14:paraId="480D1204">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第十二条</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合同附件（包括但不限于）：用户需求、采购文件、乙方的应答文件、成交通知书、项目验收标准和程序（内容自定）等 。</w:t>
      </w:r>
    </w:p>
    <w:p w14:paraId="6EA26AE7">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第十三条</w:t>
      </w:r>
      <w:r>
        <w:rPr>
          <w:rFonts w:hint="eastAsia" w:ascii="宋体" w:hAnsi="宋体" w:cs="宋体"/>
          <w:color w:val="000000" w:themeColor="text1"/>
          <w:szCs w:val="21"/>
          <w14:textFill>
            <w14:solidFill>
              <w14:schemeClr w14:val="tx1"/>
            </w14:solidFill>
          </w14:textFill>
        </w:rPr>
        <w:t xml:space="preserve">  附则</w:t>
      </w:r>
    </w:p>
    <w:p w14:paraId="116E9B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（一）本合同一式</w:t>
      </w:r>
      <w:r>
        <w:rPr>
          <w:rFonts w:hint="eastAsia" w:ascii="宋体" w:hAnsi="宋体" w:cs="宋体"/>
          <w:color w:val="000000" w:themeColor="text1"/>
          <w:szCs w:val="21"/>
          <w:u w:val="single"/>
          <w14:textFill>
            <w14:solidFill>
              <w14:schemeClr w14:val="tx1"/>
            </w14:solidFill>
          </w14:textFill>
        </w:rPr>
        <w:t xml:space="preserve"> 陆 </w:t>
      </w:r>
      <w:r>
        <w:rPr>
          <w:rFonts w:hint="eastAsia" w:ascii="宋体" w:hAnsi="宋体" w:cs="宋体"/>
          <w:color w:val="000000" w:themeColor="text1"/>
          <w:szCs w:val="21"/>
          <w14:textFill>
            <w14:solidFill>
              <w14:schemeClr w14:val="tx1"/>
            </w14:solidFill>
          </w14:textFill>
        </w:rPr>
        <w:t>份，甲方执</w:t>
      </w:r>
      <w:r>
        <w:rPr>
          <w:rFonts w:hint="eastAsia" w:ascii="宋体" w:hAnsi="宋体" w:cs="宋体"/>
          <w:color w:val="000000" w:themeColor="text1"/>
          <w:szCs w:val="21"/>
          <w:u w:val="single"/>
          <w14:textFill>
            <w14:solidFill>
              <w14:schemeClr w14:val="tx1"/>
            </w14:solidFill>
          </w14:textFill>
        </w:rPr>
        <w:t xml:space="preserve"> 肆 </w:t>
      </w:r>
      <w:r>
        <w:rPr>
          <w:rFonts w:hint="eastAsia" w:ascii="宋体" w:hAnsi="宋体" w:cs="宋体"/>
          <w:color w:val="000000" w:themeColor="text1"/>
          <w:szCs w:val="21"/>
          <w14:textFill>
            <w14:solidFill>
              <w14:schemeClr w14:val="tx1"/>
            </w14:solidFill>
          </w14:textFill>
        </w:rPr>
        <w:t>份，乙方执</w:t>
      </w:r>
      <w:r>
        <w:rPr>
          <w:rFonts w:hint="eastAsia" w:ascii="宋体" w:hAnsi="宋体" w:cs="宋体"/>
          <w:color w:val="000000" w:themeColor="text1"/>
          <w:szCs w:val="21"/>
          <w:u w:val="single"/>
          <w14:textFill>
            <w14:solidFill>
              <w14:schemeClr w14:val="tx1"/>
            </w14:solidFill>
          </w14:textFill>
        </w:rPr>
        <w:t xml:space="preserve"> 贰 </w:t>
      </w:r>
      <w:r>
        <w:rPr>
          <w:rFonts w:hint="eastAsia" w:ascii="宋体" w:hAnsi="宋体" w:cs="宋体"/>
          <w:color w:val="000000" w:themeColor="text1"/>
          <w:szCs w:val="21"/>
          <w14:textFill>
            <w14:solidFill>
              <w14:schemeClr w14:val="tx1"/>
            </w14:solidFill>
          </w14:textFill>
        </w:rPr>
        <w:t>份，每份均具有同等法律效力。</w:t>
      </w:r>
    </w:p>
    <w:p w14:paraId="23F6710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（二）本合同自甲乙双方签字盖章后生效。</w:t>
      </w:r>
    </w:p>
    <w:p w14:paraId="632980D3">
      <w:pPr>
        <w:pStyle w:val="113"/>
        <w:tabs>
          <w:tab w:val="left" w:pos="840"/>
        </w:tabs>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（以下无正文）</w:t>
      </w:r>
    </w:p>
    <w:p w14:paraId="4EDCA71F">
      <w:pPr>
        <w:pStyle w:val="113"/>
        <w:tabs>
          <w:tab w:val="left" w:pos="840"/>
        </w:tabs>
        <w:spacing w:line="360" w:lineRule="auto"/>
        <w:rPr>
          <w:rFonts w:ascii="宋体" w:hAnsi="宋体" w:cs="宋体"/>
          <w:b/>
          <w:color w:val="000000" w:themeColor="text1"/>
          <w:sz w:val="24"/>
          <w:szCs w:val="24"/>
          <w14:textFill>
            <w14:solidFill>
              <w14:schemeClr w14:val="tx1"/>
            </w14:solidFill>
          </w14:textFill>
        </w:rPr>
      </w:pPr>
    </w:p>
    <w:p w14:paraId="4666C802">
      <w:pPr>
        <w:pStyle w:val="113"/>
        <w:tabs>
          <w:tab w:val="left" w:pos="840"/>
        </w:tabs>
        <w:spacing w:line="360" w:lineRule="auto"/>
        <w:rPr>
          <w:rFonts w:ascii="宋体" w:hAnsi="宋体" w:cs="宋体"/>
          <w:b/>
          <w:color w:val="000000" w:themeColor="text1"/>
          <w:sz w:val="24"/>
          <w:szCs w:val="24"/>
          <w14:textFill>
            <w14:solidFill>
              <w14:schemeClr w14:val="tx1"/>
            </w14:solidFill>
          </w14:textFill>
        </w:rPr>
      </w:pPr>
    </w:p>
    <w:p w14:paraId="7B049943">
      <w:pPr>
        <w:pStyle w:val="113"/>
        <w:tabs>
          <w:tab w:val="left" w:pos="840"/>
        </w:tabs>
        <w:spacing w:line="360" w:lineRule="auto"/>
        <w:rPr>
          <w:rFonts w:ascii="宋体" w:hAnsi="宋体" w:cs="宋体"/>
          <w:b/>
          <w:color w:val="000000" w:themeColor="text1"/>
          <w:sz w:val="24"/>
          <w:szCs w:val="24"/>
          <w14:textFill>
            <w14:solidFill>
              <w14:schemeClr w14:val="tx1"/>
            </w14:solidFill>
          </w14:textFill>
        </w:rPr>
      </w:pPr>
    </w:p>
    <w:p w14:paraId="069BB672">
      <w:pPr>
        <w:pStyle w:val="113"/>
        <w:tabs>
          <w:tab w:val="left" w:pos="840"/>
        </w:tabs>
        <w:spacing w:line="360" w:lineRule="auto"/>
        <w:rPr>
          <w:rFonts w:ascii="宋体" w:hAnsi="宋体" w:cs="宋体"/>
          <w:b/>
          <w:color w:val="000000" w:themeColor="text1"/>
          <w:sz w:val="24"/>
          <w:szCs w:val="24"/>
          <w14:textFill>
            <w14:solidFill>
              <w14:schemeClr w14:val="tx1"/>
            </w14:solidFill>
          </w14:textFill>
        </w:rPr>
      </w:pPr>
    </w:p>
    <w:p w14:paraId="317765A4">
      <w:pPr>
        <w:spacing w:line="360" w:lineRule="auto"/>
        <w:rPr>
          <w:color w:val="000000" w:themeColor="text1"/>
          <w:szCs w:val="21"/>
          <w14:textFill>
            <w14:solidFill>
              <w14:schemeClr w14:val="tx1"/>
            </w14:solidFill>
          </w14:textFill>
        </w:rPr>
      </w:pPr>
    </w:p>
    <w:tbl>
      <w:tblPr>
        <w:tblStyle w:val="38"/>
        <w:tblW w:w="0" w:type="auto"/>
        <w:jc w:val="center"/>
        <w:tblLayout w:type="fixed"/>
        <w:tblCellMar>
          <w:top w:w="0" w:type="dxa"/>
          <w:left w:w="108" w:type="dxa"/>
          <w:bottom w:w="0" w:type="dxa"/>
          <w:right w:w="108" w:type="dxa"/>
        </w:tblCellMar>
      </w:tblPr>
      <w:tblGrid>
        <w:gridCol w:w="4580"/>
        <w:gridCol w:w="4580"/>
      </w:tblGrid>
      <w:tr w14:paraId="609F7416">
        <w:tblPrEx>
          <w:tblCellMar>
            <w:top w:w="0" w:type="dxa"/>
            <w:left w:w="108" w:type="dxa"/>
            <w:bottom w:w="0" w:type="dxa"/>
            <w:right w:w="108" w:type="dxa"/>
          </w:tblCellMar>
        </w:tblPrEx>
        <w:trPr>
          <w:jc w:val="center"/>
        </w:trPr>
        <w:tc>
          <w:tcPr>
            <w:tcW w:w="4580" w:type="dxa"/>
            <w:vAlign w:val="center"/>
          </w:tcPr>
          <w:p w14:paraId="4DA4B911">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甲方（盖章）：</w:t>
            </w:r>
          </w:p>
        </w:tc>
        <w:tc>
          <w:tcPr>
            <w:tcW w:w="4580" w:type="dxa"/>
            <w:vAlign w:val="center"/>
          </w:tcPr>
          <w:p w14:paraId="73DE8522">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乙方（盖章）：</w:t>
            </w:r>
          </w:p>
        </w:tc>
      </w:tr>
      <w:tr w14:paraId="5194C4A3">
        <w:tblPrEx>
          <w:tblCellMar>
            <w:top w:w="0" w:type="dxa"/>
            <w:left w:w="108" w:type="dxa"/>
            <w:bottom w:w="0" w:type="dxa"/>
            <w:right w:w="108" w:type="dxa"/>
          </w:tblCellMar>
        </w:tblPrEx>
        <w:trPr>
          <w:jc w:val="center"/>
        </w:trPr>
        <w:tc>
          <w:tcPr>
            <w:tcW w:w="4580" w:type="dxa"/>
            <w:vAlign w:val="center"/>
          </w:tcPr>
          <w:p w14:paraId="77100188">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代表：</w:t>
            </w:r>
          </w:p>
        </w:tc>
        <w:tc>
          <w:tcPr>
            <w:tcW w:w="4580" w:type="dxa"/>
            <w:vAlign w:val="center"/>
          </w:tcPr>
          <w:p w14:paraId="3739DAB4">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代表：</w:t>
            </w:r>
          </w:p>
        </w:tc>
      </w:tr>
      <w:tr w14:paraId="0AD8F569">
        <w:tblPrEx>
          <w:tblCellMar>
            <w:top w:w="0" w:type="dxa"/>
            <w:left w:w="108" w:type="dxa"/>
            <w:bottom w:w="0" w:type="dxa"/>
            <w:right w:w="108" w:type="dxa"/>
          </w:tblCellMar>
        </w:tblPrEx>
        <w:trPr>
          <w:jc w:val="center"/>
        </w:trPr>
        <w:tc>
          <w:tcPr>
            <w:tcW w:w="4580" w:type="dxa"/>
            <w:vAlign w:val="center"/>
          </w:tcPr>
          <w:p w14:paraId="0F838498">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签订地点：</w:t>
            </w:r>
          </w:p>
        </w:tc>
        <w:tc>
          <w:tcPr>
            <w:tcW w:w="4580" w:type="dxa"/>
            <w:vAlign w:val="center"/>
          </w:tcPr>
          <w:p w14:paraId="3A4C4B64">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签订地点：</w:t>
            </w:r>
          </w:p>
        </w:tc>
      </w:tr>
      <w:tr w14:paraId="4023FD8A">
        <w:tblPrEx>
          <w:tblCellMar>
            <w:top w:w="0" w:type="dxa"/>
            <w:left w:w="108" w:type="dxa"/>
            <w:bottom w:w="0" w:type="dxa"/>
            <w:right w:w="108" w:type="dxa"/>
          </w:tblCellMar>
        </w:tblPrEx>
        <w:trPr>
          <w:jc w:val="center"/>
        </w:trPr>
        <w:tc>
          <w:tcPr>
            <w:tcW w:w="4580" w:type="dxa"/>
            <w:vAlign w:val="center"/>
          </w:tcPr>
          <w:p w14:paraId="7F525A5B">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签订日期：</w:t>
            </w:r>
            <w:r>
              <w:rPr>
                <w:color w:val="000000" w:themeColor="text1"/>
                <w:szCs w:val="21"/>
                <w14:textFill>
                  <w14:solidFill>
                    <w14:schemeClr w14:val="tx1"/>
                  </w14:solidFill>
                </w14:textFill>
              </w:rPr>
              <w:t>______</w:t>
            </w:r>
            <w:r>
              <w:rPr>
                <w:rFonts w:hint="eastAsia"/>
                <w:color w:val="000000" w:themeColor="text1"/>
                <w:szCs w:val="21"/>
                <w14:textFill>
                  <w14:solidFill>
                    <w14:schemeClr w14:val="tx1"/>
                  </w14:solidFill>
                </w14:textFill>
              </w:rPr>
              <w:t>年</w:t>
            </w:r>
            <w:r>
              <w:rPr>
                <w:color w:val="000000" w:themeColor="text1"/>
                <w:szCs w:val="21"/>
                <w14:textFill>
                  <w14:solidFill>
                    <w14:schemeClr w14:val="tx1"/>
                  </w14:solidFill>
                </w14:textFill>
              </w:rPr>
              <w:t>___</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___</w:t>
            </w:r>
            <w:r>
              <w:rPr>
                <w:rFonts w:hint="eastAsia"/>
                <w:color w:val="000000" w:themeColor="text1"/>
                <w:szCs w:val="21"/>
                <w14:textFill>
                  <w14:solidFill>
                    <w14:schemeClr w14:val="tx1"/>
                  </w14:solidFill>
                </w14:textFill>
              </w:rPr>
              <w:t>日</w:t>
            </w:r>
          </w:p>
        </w:tc>
        <w:tc>
          <w:tcPr>
            <w:tcW w:w="4580" w:type="dxa"/>
            <w:vAlign w:val="center"/>
          </w:tcPr>
          <w:p w14:paraId="31DB2609">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签订日期：</w:t>
            </w:r>
            <w:r>
              <w:rPr>
                <w:color w:val="000000" w:themeColor="text1"/>
                <w:szCs w:val="21"/>
                <w14:textFill>
                  <w14:solidFill>
                    <w14:schemeClr w14:val="tx1"/>
                  </w14:solidFill>
                </w14:textFill>
              </w:rPr>
              <w:t>______</w:t>
            </w:r>
            <w:r>
              <w:rPr>
                <w:rFonts w:hint="eastAsia"/>
                <w:color w:val="000000" w:themeColor="text1"/>
                <w:szCs w:val="21"/>
                <w14:textFill>
                  <w14:solidFill>
                    <w14:schemeClr w14:val="tx1"/>
                  </w14:solidFill>
                </w14:textFill>
              </w:rPr>
              <w:t>年</w:t>
            </w:r>
            <w:r>
              <w:rPr>
                <w:color w:val="000000" w:themeColor="text1"/>
                <w:szCs w:val="21"/>
                <w14:textFill>
                  <w14:solidFill>
                    <w14:schemeClr w14:val="tx1"/>
                  </w14:solidFill>
                </w14:textFill>
              </w:rPr>
              <w:t>___</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___</w:t>
            </w:r>
            <w:r>
              <w:rPr>
                <w:rFonts w:hint="eastAsia"/>
                <w:color w:val="000000" w:themeColor="text1"/>
                <w:szCs w:val="21"/>
                <w14:textFill>
                  <w14:solidFill>
                    <w14:schemeClr w14:val="tx1"/>
                  </w14:solidFill>
                </w14:textFill>
              </w:rPr>
              <w:t>日</w:t>
            </w:r>
          </w:p>
        </w:tc>
      </w:tr>
      <w:tr w14:paraId="79EAF468">
        <w:tblPrEx>
          <w:tblCellMar>
            <w:top w:w="0" w:type="dxa"/>
            <w:left w:w="108" w:type="dxa"/>
            <w:bottom w:w="0" w:type="dxa"/>
            <w:right w:w="108" w:type="dxa"/>
          </w:tblCellMar>
        </w:tblPrEx>
        <w:trPr>
          <w:jc w:val="center"/>
        </w:trPr>
        <w:tc>
          <w:tcPr>
            <w:tcW w:w="4580" w:type="dxa"/>
            <w:vAlign w:val="center"/>
          </w:tcPr>
          <w:p w14:paraId="1A143537">
            <w:pPr>
              <w:spacing w:line="360" w:lineRule="auto"/>
              <w:rPr>
                <w:color w:val="000000" w:themeColor="text1"/>
                <w:szCs w:val="21"/>
                <w14:textFill>
                  <w14:solidFill>
                    <w14:schemeClr w14:val="tx1"/>
                  </w14:solidFill>
                </w14:textFill>
              </w:rPr>
            </w:pPr>
          </w:p>
        </w:tc>
        <w:tc>
          <w:tcPr>
            <w:tcW w:w="4580" w:type="dxa"/>
            <w:vAlign w:val="center"/>
          </w:tcPr>
          <w:p w14:paraId="0B8DA135">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开户名称：</w:t>
            </w:r>
          </w:p>
        </w:tc>
      </w:tr>
      <w:tr w14:paraId="0EC9E9B5">
        <w:tblPrEx>
          <w:tblCellMar>
            <w:top w:w="0" w:type="dxa"/>
            <w:left w:w="108" w:type="dxa"/>
            <w:bottom w:w="0" w:type="dxa"/>
            <w:right w:w="108" w:type="dxa"/>
          </w:tblCellMar>
        </w:tblPrEx>
        <w:trPr>
          <w:jc w:val="center"/>
        </w:trPr>
        <w:tc>
          <w:tcPr>
            <w:tcW w:w="4580" w:type="dxa"/>
            <w:vAlign w:val="center"/>
          </w:tcPr>
          <w:p w14:paraId="73E3B089">
            <w:pPr>
              <w:spacing w:line="360" w:lineRule="auto"/>
              <w:rPr>
                <w:color w:val="000000" w:themeColor="text1"/>
                <w:szCs w:val="21"/>
                <w14:textFill>
                  <w14:solidFill>
                    <w14:schemeClr w14:val="tx1"/>
                  </w14:solidFill>
                </w14:textFill>
              </w:rPr>
            </w:pPr>
          </w:p>
        </w:tc>
        <w:tc>
          <w:tcPr>
            <w:tcW w:w="4580" w:type="dxa"/>
            <w:vAlign w:val="center"/>
          </w:tcPr>
          <w:p w14:paraId="1498C049">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银行账号：</w:t>
            </w:r>
          </w:p>
        </w:tc>
      </w:tr>
      <w:tr w14:paraId="701E9229">
        <w:tblPrEx>
          <w:tblCellMar>
            <w:top w:w="0" w:type="dxa"/>
            <w:left w:w="108" w:type="dxa"/>
            <w:bottom w:w="0" w:type="dxa"/>
            <w:right w:w="108" w:type="dxa"/>
          </w:tblCellMar>
        </w:tblPrEx>
        <w:trPr>
          <w:jc w:val="center"/>
        </w:trPr>
        <w:tc>
          <w:tcPr>
            <w:tcW w:w="4580" w:type="dxa"/>
            <w:vAlign w:val="center"/>
          </w:tcPr>
          <w:p w14:paraId="1AB5F3F9">
            <w:pPr>
              <w:spacing w:line="360" w:lineRule="auto"/>
              <w:rPr>
                <w:color w:val="000000" w:themeColor="text1"/>
                <w:szCs w:val="21"/>
                <w14:textFill>
                  <w14:solidFill>
                    <w14:schemeClr w14:val="tx1"/>
                  </w14:solidFill>
                </w14:textFill>
              </w:rPr>
            </w:pPr>
          </w:p>
        </w:tc>
        <w:tc>
          <w:tcPr>
            <w:tcW w:w="4580" w:type="dxa"/>
            <w:vAlign w:val="center"/>
          </w:tcPr>
          <w:p w14:paraId="0513E143">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开户行：</w:t>
            </w:r>
          </w:p>
        </w:tc>
      </w:tr>
    </w:tbl>
    <w:p w14:paraId="52CE45CE">
      <w:pPr>
        <w:pStyle w:val="113"/>
        <w:spacing w:line="360" w:lineRule="auto"/>
        <w:rPr>
          <w:rFonts w:ascii="宋体" w:hAnsi="宋体" w:cs="宋体"/>
          <w:color w:val="000000" w:themeColor="text1"/>
          <w:szCs w:val="21"/>
          <w14:textFill>
            <w14:solidFill>
              <w14:schemeClr w14:val="tx1"/>
            </w14:solidFill>
          </w14:textFill>
        </w:rPr>
      </w:pPr>
    </w:p>
    <w:p w14:paraId="20A95708">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bookmarkEnd w:id="62"/>
    <w:bookmarkEnd w:id="63"/>
    <w:bookmarkEnd w:id="64"/>
    <w:bookmarkEnd w:id="65"/>
    <w:bookmarkEnd w:id="66"/>
    <w:bookmarkEnd w:id="67"/>
    <w:p w14:paraId="1558178D">
      <w:pPr>
        <w:pStyle w:val="2"/>
        <w:jc w:val="center"/>
        <w:rPr>
          <w:rFonts w:ascii="宋体" w:hAnsi="宋体" w:cs="宋体"/>
          <w:color w:val="000000" w:themeColor="text1"/>
          <w:sz w:val="32"/>
          <w:szCs w:val="32"/>
          <w14:textFill>
            <w14:solidFill>
              <w14:schemeClr w14:val="tx1"/>
            </w14:solidFill>
          </w14:textFill>
        </w:rPr>
      </w:pPr>
      <w:bookmarkStart w:id="69" w:name="_Toc10462"/>
      <w:bookmarkStart w:id="70" w:name="_Toc461991235"/>
      <w:bookmarkStart w:id="71" w:name="_Toc453695576"/>
      <w:bookmarkStart w:id="72" w:name="_Toc453695703"/>
      <w:bookmarkStart w:id="73" w:name="_Toc19438"/>
      <w:r>
        <w:rPr>
          <w:rFonts w:hint="eastAsia" w:ascii="宋体" w:hAnsi="宋体" w:cs="宋体"/>
          <w:color w:val="000000" w:themeColor="text1"/>
          <w:sz w:val="32"/>
          <w:szCs w:val="32"/>
          <w14:textFill>
            <w14:solidFill>
              <w14:schemeClr w14:val="tx1"/>
            </w14:solidFill>
          </w14:textFill>
        </w:rPr>
        <w:t>第五章 磋商细则</w:t>
      </w:r>
      <w:bookmarkEnd w:id="69"/>
      <w:bookmarkEnd w:id="70"/>
      <w:bookmarkEnd w:id="71"/>
      <w:bookmarkEnd w:id="72"/>
      <w:bookmarkEnd w:id="73"/>
    </w:p>
    <w:p w14:paraId="0AC2C1E7">
      <w:pPr>
        <w:widowControl/>
        <w:spacing w:before="120" w:after="120"/>
        <w:rPr>
          <w:rFonts w:ascii="宋体" w:hAnsi="宋体" w:cs="宋体"/>
          <w:b/>
          <w:bCs/>
          <w:color w:val="000000" w:themeColor="text1"/>
          <w:szCs w:val="22"/>
          <w:highlight w:val="white"/>
          <w14:textFill>
            <w14:solidFill>
              <w14:schemeClr w14:val="tx1"/>
            </w14:solidFill>
          </w14:textFill>
        </w:rPr>
      </w:pPr>
      <w:bookmarkStart w:id="74" w:name="_Toc176844891"/>
      <w:r>
        <w:rPr>
          <w:rFonts w:hint="eastAsia" w:ascii="宋体" w:hAnsi="宋体" w:cs="宋体"/>
          <w:b/>
          <w:bCs/>
          <w:color w:val="000000" w:themeColor="text1"/>
          <w:szCs w:val="22"/>
          <w:highlight w:val="white"/>
          <w14:textFill>
            <w14:solidFill>
              <w14:schemeClr w14:val="tx1"/>
            </w14:solidFill>
          </w14:textFill>
        </w:rPr>
        <w:t>一、磋商小组组成</w:t>
      </w:r>
    </w:p>
    <w:p w14:paraId="3DEB3635">
      <w:pPr>
        <w:widowControl/>
        <w:spacing w:line="360" w:lineRule="auto"/>
        <w:ind w:left="-61" w:leftChars="-29" w:firstLine="420" w:firstLineChars="200"/>
        <w:rPr>
          <w:rFonts w:ascii="宋体" w:hAnsi="宋体" w:cs="宋体"/>
          <w:color w:val="000000" w:themeColor="text1"/>
          <w:szCs w:val="22"/>
          <w:highlight w:val="white"/>
          <w:lang w:val="en-GB"/>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磋商小组</w:t>
      </w:r>
      <w:bookmarkStart w:id="75" w:name="_Toc199735924"/>
      <w:r>
        <w:rPr>
          <w:rFonts w:hint="eastAsia" w:ascii="宋体" w:hAnsi="宋体" w:cs="宋体"/>
          <w:color w:val="000000" w:themeColor="text1"/>
          <w:szCs w:val="22"/>
          <w:highlight w:val="white"/>
          <w:lang w:val="en-GB"/>
          <w14:textFill>
            <w14:solidFill>
              <w14:schemeClr w14:val="tx1"/>
            </w14:solidFill>
          </w14:textFill>
        </w:rPr>
        <w:t>由采购人代表和有关专家共三人组成，其中专家在专家库中随机抽取，如采购人不派代表参加评审，则</w:t>
      </w:r>
      <w:r>
        <w:rPr>
          <w:rFonts w:hint="eastAsia" w:ascii="宋体" w:hAnsi="宋体" w:cs="宋体"/>
          <w:color w:val="000000" w:themeColor="text1"/>
          <w:szCs w:val="22"/>
          <w:highlight w:val="white"/>
          <w14:textFill>
            <w14:solidFill>
              <w14:schemeClr w14:val="tx1"/>
            </w14:solidFill>
          </w14:textFill>
        </w:rPr>
        <w:t>磋商小组</w:t>
      </w:r>
      <w:r>
        <w:rPr>
          <w:rFonts w:hint="eastAsia" w:ascii="宋体" w:hAnsi="宋体" w:cs="宋体"/>
          <w:color w:val="000000" w:themeColor="text1"/>
          <w:szCs w:val="22"/>
          <w:highlight w:val="white"/>
          <w:lang w:val="en-GB"/>
          <w14:textFill>
            <w14:solidFill>
              <w14:schemeClr w14:val="tx1"/>
            </w14:solidFill>
          </w14:textFill>
        </w:rPr>
        <w:t>全部由从专家库随机抽取的专家组成。</w:t>
      </w:r>
      <w:r>
        <w:rPr>
          <w:rFonts w:hint="eastAsia" w:ascii="宋体" w:hAnsi="宋体" w:cs="宋体"/>
          <w:color w:val="000000" w:themeColor="text1"/>
          <w:szCs w:val="22"/>
          <w:highlight w:val="white"/>
          <w14:textFill>
            <w14:solidFill>
              <w14:schemeClr w14:val="tx1"/>
            </w14:solidFill>
          </w14:textFill>
        </w:rPr>
        <w:t>磋商小组</w:t>
      </w:r>
      <w:r>
        <w:rPr>
          <w:rFonts w:hint="eastAsia" w:ascii="宋体" w:hAnsi="宋体" w:cs="宋体"/>
          <w:color w:val="000000" w:themeColor="text1"/>
          <w:szCs w:val="22"/>
          <w:highlight w:val="white"/>
          <w:lang w:val="en-GB"/>
          <w14:textFill>
            <w14:solidFill>
              <w14:schemeClr w14:val="tx1"/>
            </w14:solidFill>
          </w14:textFill>
        </w:rPr>
        <w:t>本着公平、公正、科学、择优的原则，严格按照法律法规和</w:t>
      </w:r>
      <w:r>
        <w:rPr>
          <w:rFonts w:hint="eastAsia" w:ascii="宋体" w:hAnsi="宋体" w:cs="宋体"/>
          <w:color w:val="000000" w:themeColor="text1"/>
          <w:szCs w:val="22"/>
          <w:highlight w:val="white"/>
          <w14:textFill>
            <w14:solidFill>
              <w14:schemeClr w14:val="tx1"/>
            </w14:solidFill>
          </w14:textFill>
        </w:rPr>
        <w:t>磋商</w:t>
      </w:r>
      <w:r>
        <w:rPr>
          <w:rFonts w:hint="eastAsia" w:ascii="宋体" w:hAnsi="宋体" w:cs="宋体"/>
          <w:color w:val="000000" w:themeColor="text1"/>
          <w:szCs w:val="22"/>
          <w:highlight w:val="white"/>
          <w:lang w:val="en-GB"/>
          <w14:textFill>
            <w14:solidFill>
              <w14:schemeClr w14:val="tx1"/>
            </w14:solidFill>
          </w14:textFill>
        </w:rPr>
        <w:t>文件的要求推荐评审结果。</w:t>
      </w:r>
      <w:r>
        <w:rPr>
          <w:rFonts w:hint="eastAsia" w:ascii="宋体" w:hAnsi="宋体" w:cs="宋体"/>
          <w:color w:val="000000" w:themeColor="text1"/>
          <w:szCs w:val="22"/>
          <w:highlight w:val="white"/>
          <w14:textFill>
            <w14:solidFill>
              <w14:schemeClr w14:val="tx1"/>
            </w14:solidFill>
          </w14:textFill>
        </w:rPr>
        <w:t>磋商小组</w:t>
      </w:r>
      <w:r>
        <w:rPr>
          <w:rFonts w:hint="eastAsia" w:ascii="宋体" w:hAnsi="宋体" w:cs="宋体"/>
          <w:color w:val="000000" w:themeColor="text1"/>
          <w:szCs w:val="22"/>
          <w:highlight w:val="white"/>
          <w:lang w:val="en-GB"/>
          <w14:textFill>
            <w14:solidFill>
              <w14:schemeClr w14:val="tx1"/>
            </w14:solidFill>
          </w14:textFill>
        </w:rPr>
        <w:t>在</w:t>
      </w:r>
      <w:r>
        <w:rPr>
          <w:rFonts w:hint="eastAsia" w:ascii="宋体" w:hAnsi="宋体" w:cs="宋体"/>
          <w:color w:val="000000" w:themeColor="text1"/>
          <w:szCs w:val="22"/>
          <w:highlight w:val="white"/>
          <w14:textFill>
            <w14:solidFill>
              <w14:schemeClr w14:val="tx1"/>
            </w14:solidFill>
          </w14:textFill>
        </w:rPr>
        <w:t>磋商</w:t>
      </w:r>
      <w:r>
        <w:rPr>
          <w:rFonts w:hint="eastAsia" w:ascii="宋体" w:hAnsi="宋体" w:cs="宋体"/>
          <w:color w:val="000000" w:themeColor="text1"/>
          <w:szCs w:val="22"/>
          <w:highlight w:val="white"/>
          <w:lang w:val="en-GB"/>
          <w14:textFill>
            <w14:solidFill>
              <w14:schemeClr w14:val="tx1"/>
            </w14:solidFill>
          </w14:textFill>
        </w:rPr>
        <w:t>及评审过程中出现意见不一致时，应遵循少数服从多数原则。</w:t>
      </w:r>
    </w:p>
    <w:p w14:paraId="3D48CB39">
      <w:pPr>
        <w:widowControl/>
        <w:spacing w:line="360" w:lineRule="auto"/>
        <w:ind w:left="-61" w:leftChars="-29" w:firstLine="420" w:firstLineChars="200"/>
        <w:rPr>
          <w:rFonts w:ascii="宋体" w:hAnsi="宋体" w:cs="宋体"/>
          <w:color w:val="000000" w:themeColor="text1"/>
          <w:szCs w:val="22"/>
          <w:lang w:val="en-GB"/>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磋商小组</w:t>
      </w:r>
      <w:r>
        <w:rPr>
          <w:rFonts w:hint="eastAsia" w:ascii="宋体" w:hAnsi="宋体" w:cs="宋体"/>
          <w:color w:val="000000" w:themeColor="text1"/>
          <w:szCs w:val="22"/>
          <w:highlight w:val="white"/>
          <w:lang w:val="en-GB"/>
          <w14:textFill>
            <w14:solidFill>
              <w14:schemeClr w14:val="tx1"/>
            </w14:solidFill>
          </w14:textFill>
        </w:rPr>
        <w:t>成员有下列情形之一的，受到邀请应主动提出回避，采购当事人也可以要求该成员回避：</w:t>
      </w:r>
      <w:bookmarkEnd w:id="75"/>
    </w:p>
    <w:p w14:paraId="22CF9E6C">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1.</w:t>
      </w:r>
      <w:r>
        <w:rPr>
          <w:rFonts w:hint="eastAsia" w:ascii="宋体" w:hAnsi="宋体" w:cs="宋体"/>
          <w:color w:val="000000" w:themeColor="text1"/>
          <w:szCs w:val="22"/>
          <w:highlight w:val="white"/>
          <w14:textFill>
            <w14:solidFill>
              <w14:schemeClr w14:val="tx1"/>
            </w14:solidFill>
          </w14:textFill>
        </w:rPr>
        <w:t>本人、配偶或直系亲属3年内曾在参加该采购项目的供应商中任职（包括一般工作）或担任顾问，或与参加该采购项目的供应商发生过法律纠纷；</w:t>
      </w:r>
    </w:p>
    <w:p w14:paraId="483A39B5">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2.</w:t>
      </w:r>
      <w:r>
        <w:rPr>
          <w:rFonts w:hint="eastAsia" w:ascii="宋体" w:hAnsi="宋体" w:cs="宋体"/>
          <w:color w:val="000000" w:themeColor="text1"/>
          <w:szCs w:val="22"/>
          <w:highlight w:val="white"/>
          <w14:textFill>
            <w14:solidFill>
              <w14:schemeClr w14:val="tx1"/>
            </w14:solidFill>
          </w14:textFill>
        </w:rPr>
        <w:t>任职单位与采购人或参加该采购项目供应商存在行政隶属关系；</w:t>
      </w:r>
    </w:p>
    <w:p w14:paraId="3E004FC5">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3.</w:t>
      </w:r>
      <w:r>
        <w:rPr>
          <w:rFonts w:hint="eastAsia" w:ascii="宋体" w:hAnsi="宋体" w:cs="宋体"/>
          <w:color w:val="000000" w:themeColor="text1"/>
          <w:szCs w:val="22"/>
          <w:highlight w:val="white"/>
          <w14:textFill>
            <w14:solidFill>
              <w14:schemeClr w14:val="tx1"/>
            </w14:solidFill>
          </w14:textFill>
        </w:rPr>
        <w:t>曾经参加过该采购项目的进口产品或磋商文件、采购需求、采购方式的论证和咨询服务工作；</w:t>
      </w:r>
    </w:p>
    <w:p w14:paraId="5985F0FA">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4.</w:t>
      </w:r>
      <w:r>
        <w:rPr>
          <w:rFonts w:hint="eastAsia" w:ascii="宋体" w:hAnsi="宋体" w:cs="宋体"/>
          <w:color w:val="000000" w:themeColor="text1"/>
          <w:szCs w:val="22"/>
          <w:highlight w:val="white"/>
          <w14:textFill>
            <w14:solidFill>
              <w14:schemeClr w14:val="tx1"/>
            </w14:solidFill>
          </w14:textFill>
        </w:rPr>
        <w:t>是参加该采购项目供应商的上级主管部门、控股或参股单位的工作人员，或与该供应商存在其他经济利益关系；</w:t>
      </w:r>
    </w:p>
    <w:p w14:paraId="12FAA33D">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5.</w:t>
      </w:r>
      <w:r>
        <w:rPr>
          <w:rFonts w:hint="eastAsia" w:ascii="宋体" w:hAnsi="宋体" w:cs="宋体"/>
          <w:color w:val="000000" w:themeColor="text1"/>
          <w:szCs w:val="22"/>
          <w:highlight w:val="white"/>
          <w14:textFill>
            <w14:solidFill>
              <w14:schemeClr w14:val="tx1"/>
            </w14:solidFill>
          </w14:textFill>
        </w:rPr>
        <w:t>磋商小组成员之间具有配偶、近亲属关系；</w:t>
      </w:r>
    </w:p>
    <w:p w14:paraId="0ED9F09D">
      <w:pPr>
        <w:widowControl/>
        <w:tabs>
          <w:tab w:val="left" w:pos="0"/>
        </w:tabs>
        <w:spacing w:line="360" w:lineRule="auto"/>
        <w:ind w:left="-61" w:leftChars="-29" w:firstLine="420" w:firstLineChars="200"/>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6.</w:t>
      </w:r>
      <w:r>
        <w:rPr>
          <w:rFonts w:hint="eastAsia" w:ascii="宋体" w:hAnsi="宋体" w:cs="宋体"/>
          <w:color w:val="000000" w:themeColor="text1"/>
          <w:szCs w:val="22"/>
          <w:highlight w:val="white"/>
          <w14:textFill>
            <w14:solidFill>
              <w14:schemeClr w14:val="tx1"/>
            </w14:solidFill>
          </w14:textFill>
        </w:rPr>
        <w:t>同一单位的评审专家在同一项目磋商小组成员中超过一名；</w:t>
      </w:r>
    </w:p>
    <w:p w14:paraId="326745DE">
      <w:pPr>
        <w:spacing w:before="120" w:after="120"/>
        <w:ind w:left="-61" w:leftChars="-29" w:firstLine="42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Cs w:val="22"/>
          <w14:textFill>
            <w14:solidFill>
              <w14:schemeClr w14:val="tx1"/>
            </w14:solidFill>
          </w14:textFill>
        </w:rPr>
        <w:t>7.</w:t>
      </w:r>
      <w:r>
        <w:rPr>
          <w:rFonts w:hint="eastAsia" w:ascii="宋体" w:hAnsi="宋体" w:cs="宋体"/>
          <w:color w:val="000000" w:themeColor="text1"/>
          <w:szCs w:val="22"/>
          <w:highlight w:val="white"/>
          <w14:textFill>
            <w14:solidFill>
              <w14:schemeClr w14:val="tx1"/>
            </w14:solidFill>
          </w14:textFill>
        </w:rPr>
        <w:t>法律、法规、规章规定应当回避以及其他可能影响公正评审的。</w:t>
      </w:r>
    </w:p>
    <w:p w14:paraId="76F9C8EF">
      <w:pPr>
        <w:widowControl/>
        <w:spacing w:before="120" w:after="120"/>
        <w:rPr>
          <w:rFonts w:ascii="宋体" w:hAnsi="宋体" w:cs="宋体"/>
          <w:b/>
          <w:bCs/>
          <w:color w:val="000000" w:themeColor="text1"/>
          <w:szCs w:val="22"/>
          <w:highlight w:val="white"/>
          <w14:textFill>
            <w14:solidFill>
              <w14:schemeClr w14:val="tx1"/>
            </w14:solidFill>
          </w14:textFill>
        </w:rPr>
      </w:pPr>
      <w:bookmarkStart w:id="76" w:name="_Toc411005326"/>
      <w:bookmarkStart w:id="77" w:name="_Toc401232231"/>
      <w:bookmarkStart w:id="78" w:name="_Toc199736956"/>
      <w:bookmarkStart w:id="79" w:name="_Toc395083524"/>
      <w:bookmarkStart w:id="80" w:name="_Toc199735926"/>
      <w:bookmarkStart w:id="81" w:name="_Toc199736010"/>
      <w:bookmarkStart w:id="82" w:name="_Toc176844890"/>
      <w:bookmarkStart w:id="83" w:name="_Toc199815437"/>
      <w:r>
        <w:rPr>
          <w:rFonts w:hint="eastAsia" w:ascii="宋体" w:hAnsi="宋体" w:cs="宋体"/>
          <w:b/>
          <w:bCs/>
          <w:color w:val="000000" w:themeColor="text1"/>
          <w:szCs w:val="22"/>
          <w:highlight w:val="white"/>
          <w14:textFill>
            <w14:solidFill>
              <w14:schemeClr w14:val="tx1"/>
            </w14:solidFill>
          </w14:textFill>
        </w:rPr>
        <w:t>二、</w:t>
      </w:r>
      <w:bookmarkEnd w:id="76"/>
      <w:bookmarkEnd w:id="77"/>
      <w:bookmarkEnd w:id="78"/>
      <w:bookmarkEnd w:id="79"/>
      <w:bookmarkEnd w:id="80"/>
      <w:bookmarkEnd w:id="81"/>
      <w:bookmarkEnd w:id="82"/>
      <w:bookmarkEnd w:id="83"/>
      <w:r>
        <w:rPr>
          <w:rFonts w:hint="eastAsia" w:ascii="宋体" w:hAnsi="宋体" w:cs="宋体"/>
          <w:b/>
          <w:bCs/>
          <w:color w:val="000000" w:themeColor="text1"/>
          <w:szCs w:val="22"/>
          <w:highlight w:val="white"/>
          <w14:textFill>
            <w14:solidFill>
              <w14:schemeClr w14:val="tx1"/>
            </w14:solidFill>
          </w14:textFill>
        </w:rPr>
        <w:t>磋商流程</w:t>
      </w:r>
    </w:p>
    <w:p w14:paraId="43CF7DE2">
      <w:pPr>
        <w:widowControl/>
        <w:tabs>
          <w:tab w:val="left" w:pos="0"/>
        </w:tabs>
        <w:spacing w:before="120" w:after="120"/>
        <w:ind w:firstLine="420" w:firstLineChars="200"/>
        <w:rPr>
          <w:rFonts w:ascii="宋体" w:hAnsi="宋体" w:cs="宋体"/>
          <w:color w:val="000000" w:themeColor="text1"/>
          <w:szCs w:val="21"/>
          <w:highlight w:val="white"/>
          <w14:textFill>
            <w14:solidFill>
              <w14:schemeClr w14:val="tx1"/>
            </w14:solidFill>
          </w14:textFill>
        </w:rPr>
      </w:pPr>
      <w:bookmarkStart w:id="84" w:name="_Hlt36943663"/>
      <w:bookmarkEnd w:id="84"/>
      <w:r>
        <w:rPr>
          <w:rFonts w:hint="eastAsia" w:ascii="宋体" w:hAnsi="宋体" w:cs="宋体"/>
          <w:color w:val="000000" w:themeColor="text1"/>
          <w:szCs w:val="21"/>
          <w:highlight w:val="white"/>
          <w14:textFill>
            <w14:solidFill>
              <w14:schemeClr w14:val="tx1"/>
            </w14:solidFill>
          </w14:textFill>
        </w:rPr>
        <w:t>1.接收报价文件</w:t>
      </w:r>
    </w:p>
    <w:p w14:paraId="406CE492">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代理机构按《磋商文件》规定的时间和地点接收报价文件和组织磋商会。报价人派出法定代表人或其授权代表人参加并签到；采购代理机构负责做好有关记录。报价人不派出其授权代表参加开标会的，视为完全同意开标内容及对开标会过程无异议。</w:t>
      </w:r>
    </w:p>
    <w:p w14:paraId="238038B9">
      <w:pPr>
        <w:widowControl/>
        <w:tabs>
          <w:tab w:val="left" w:pos="0"/>
        </w:tabs>
        <w:spacing w:before="120" w:after="120"/>
        <w:ind w:firstLine="420" w:firstLineChars="200"/>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2.磋商</w:t>
      </w:r>
    </w:p>
    <w:p w14:paraId="630B588D">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2.1.磋商小组首先对报价人进行初审，初审内容包括资格性、符合性审查（内容详见附表1），出现不符合资格性、符合性初审表所列情形之一时，不得参与磋商，磋商小组将告知供应商并说明理由。</w:t>
      </w:r>
    </w:p>
    <w:p w14:paraId="26102E0D">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磋商小组与通过初审的每一报价人分别进行磋商，报价人派出法定代表人或其授权代表参加，报价人通过邮寄递交报价文件的，磋商小组将通过现场与报价人授权代表以网络通讯方式进行磋商（手机保持联系畅通）。</w:t>
      </w:r>
    </w:p>
    <w:p w14:paraId="3B7EA9FA">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2.3.磋商小组与报价人进行磋商后形成《最终报价表》。《最终报价表》是报价文件的有效组成部分。</w:t>
      </w:r>
    </w:p>
    <w:p w14:paraId="6B797629">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磋商小组可以根据磋商文件和磋商情况实质性变动采购需求中的技术、服务要求以及合同草案条款，但不得变动磋商文件中的其他内容。磋商文件的变动内容须经采购人代表确认，并记载在磋商纪要中以通知所有磋商供应商。</w:t>
      </w:r>
    </w:p>
    <w:p w14:paraId="0225944F">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2.5.如磋商小组没有对磋商文件作实质性变动增加新的需求，最后报价不得高于首次报价。</w:t>
      </w:r>
    </w:p>
    <w:p w14:paraId="52E62559">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2.6.在磋商中，磋商的任何一方，不得透露与磋商有关的其他报价人的技术资料、价格和其他信息；</w:t>
      </w:r>
    </w:p>
    <w:p w14:paraId="03FE5BF9">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2.7.磋商小组要求报价人在规定的时间内进行最终报价。除非报价人另有说明，最终报价总价与第一次报价总价下浮的比例，其报价明细项按相同比例下浮。</w:t>
      </w:r>
    </w:p>
    <w:p w14:paraId="12A751E8">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2.8.没有在规定时间内提交最后报价视为报价及磋商承诺按报价文件内容不变。</w:t>
      </w:r>
    </w:p>
    <w:p w14:paraId="143A2DE5">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2.9.最终报价表均提交给磋商小组后，磋商小组将进行最终符合性审查（内容详见附表2），出现不符合最终符合性审查所列情形之一时，不得进入后续评审，磋商小组将告知供应商并说明理由。</w:t>
      </w:r>
    </w:p>
    <w:p w14:paraId="5196CA1E">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2.10.磋商完成后，磋商小组将进入评审流程。</w:t>
      </w:r>
    </w:p>
    <w:p w14:paraId="0D35C2F4">
      <w:pPr>
        <w:widowControl/>
        <w:spacing w:before="120" w:after="120"/>
        <w:rPr>
          <w:rFonts w:ascii="宋体" w:hAnsi="宋体" w:cs="宋体"/>
          <w:b/>
          <w:bCs/>
          <w:color w:val="000000" w:themeColor="text1"/>
          <w:szCs w:val="22"/>
          <w:highlight w:val="white"/>
          <w14:textFill>
            <w14:solidFill>
              <w14:schemeClr w14:val="tx1"/>
            </w14:solidFill>
          </w14:textFill>
        </w:rPr>
      </w:pPr>
      <w:r>
        <w:rPr>
          <w:rFonts w:hint="eastAsia" w:ascii="宋体" w:hAnsi="宋体" w:cs="宋体"/>
          <w:b/>
          <w:bCs/>
          <w:color w:val="000000" w:themeColor="text1"/>
          <w:szCs w:val="22"/>
          <w:highlight w:val="white"/>
          <w14:textFill>
            <w14:solidFill>
              <w14:schemeClr w14:val="tx1"/>
            </w14:solidFill>
          </w14:textFill>
        </w:rPr>
        <w:t>三、评审流程</w:t>
      </w:r>
    </w:p>
    <w:p w14:paraId="31864CEB">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1.评审形式</w:t>
      </w:r>
    </w:p>
    <w:p w14:paraId="50C55EB4">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本次</w:t>
      </w:r>
      <w:r>
        <w:rPr>
          <w:rFonts w:hint="eastAsia" w:ascii="宋体" w:hAnsi="宋体" w:cs="宋体"/>
          <w:color w:val="000000" w:themeColor="text1"/>
          <w14:textFill>
            <w14:solidFill>
              <w14:schemeClr w14:val="tx1"/>
            </w14:solidFill>
          </w14:textFill>
        </w:rPr>
        <w:t>磋商</w:t>
      </w:r>
      <w:r>
        <w:rPr>
          <w:rFonts w:hint="eastAsia" w:ascii="宋体" w:hAnsi="宋体" w:cs="宋体"/>
          <w:color w:val="000000" w:themeColor="text1"/>
          <w:lang w:val="zh-CN"/>
          <w14:textFill>
            <w14:solidFill>
              <w14:schemeClr w14:val="tx1"/>
            </w14:solidFill>
          </w14:textFill>
        </w:rPr>
        <w:t>采用一</w:t>
      </w:r>
      <w:r>
        <w:rPr>
          <w:rFonts w:hint="eastAsia" w:ascii="宋体" w:hAnsi="宋体" w:cs="宋体"/>
          <w:color w:val="000000" w:themeColor="text1"/>
          <w14:textFill>
            <w14:solidFill>
              <w14:schemeClr w14:val="tx1"/>
            </w14:solidFill>
          </w14:textFill>
        </w:rPr>
        <w:t>次评审</w:t>
      </w:r>
      <w:r>
        <w:rPr>
          <w:rFonts w:hint="eastAsia" w:ascii="宋体" w:hAnsi="宋体" w:cs="宋体"/>
          <w:color w:val="000000" w:themeColor="text1"/>
          <w:lang w:val="zh-CN"/>
          <w14:textFill>
            <w14:solidFill>
              <w14:schemeClr w14:val="tx1"/>
            </w14:solidFill>
          </w14:textFill>
        </w:rPr>
        <w:t>，两</w:t>
      </w:r>
      <w:r>
        <w:rPr>
          <w:rFonts w:hint="eastAsia" w:ascii="宋体" w:hAnsi="宋体" w:cs="宋体"/>
          <w:color w:val="000000" w:themeColor="text1"/>
          <w14:textFill>
            <w14:solidFill>
              <w14:schemeClr w14:val="tx1"/>
            </w14:solidFill>
          </w14:textFill>
        </w:rPr>
        <w:t>轮或多轮磋商</w:t>
      </w:r>
      <w:r>
        <w:rPr>
          <w:rFonts w:hint="eastAsia" w:ascii="宋体" w:hAnsi="宋体" w:cs="宋体"/>
          <w:color w:val="000000" w:themeColor="text1"/>
          <w:lang w:val="zh-CN"/>
          <w14:textFill>
            <w14:solidFill>
              <w14:schemeClr w14:val="tx1"/>
            </w14:solidFill>
          </w14:textFill>
        </w:rPr>
        <w:t>报价形式进行。</w:t>
      </w:r>
      <w:r>
        <w:rPr>
          <w:rFonts w:hint="eastAsia" w:ascii="宋体" w:hAnsi="宋体" w:cs="宋体"/>
          <w:color w:val="000000" w:themeColor="text1"/>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3E7C0F26">
      <w:pPr>
        <w:spacing w:line="360" w:lineRule="auto"/>
        <w:ind w:firstLine="42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2.报价</w:t>
      </w:r>
      <w:r>
        <w:rPr>
          <w:rFonts w:hint="eastAsia" w:ascii="宋体" w:hAnsi="宋体" w:cs="宋体"/>
          <w:color w:val="000000" w:themeColor="text1"/>
          <w:lang w:val="zh-CN"/>
          <w14:textFill>
            <w14:solidFill>
              <w14:schemeClr w14:val="tx1"/>
            </w14:solidFill>
          </w14:textFill>
        </w:rPr>
        <w:t>文件差异修正准则</w:t>
      </w:r>
    </w:p>
    <w:p w14:paraId="472BFC77">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报价文件出现差异时，修正原则及优先修正顺序如下：</w:t>
      </w:r>
    </w:p>
    <w:p w14:paraId="7271B7D6">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2.1.开标内容与报价文件对应内容不一致的，均以开标内容为准；</w:t>
      </w:r>
    </w:p>
    <w:p w14:paraId="5C6748AD">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2.2.开标一览表与分项明细表或其他相关报价表报价不一致的，均以开标一览表为准；</w:t>
      </w:r>
    </w:p>
    <w:p w14:paraId="4CFC51C7">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2.3（如有）分项报价表中的单价与对应的合计价不相符的，以单价为准，修正对应的该项合计价；</w:t>
      </w:r>
    </w:p>
    <w:p w14:paraId="3CD667AA">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2.4.大写金额和小写金额不一致的，以大写金额为准；</w:t>
      </w:r>
    </w:p>
    <w:p w14:paraId="3127A468">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2.5.单价金额小数点有明显错位的，应以总价为准，并修改单价；</w:t>
      </w:r>
    </w:p>
    <w:p w14:paraId="37701CF8">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2.6.对不同文字文本报价文件的解释发生异议的，以中文文本为准；</w:t>
      </w:r>
    </w:p>
    <w:p w14:paraId="5DEAFA1E">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2.7.对出现以上情况或因明显笔误而需修正任何内容时，均以磋商小组审定通过方为有效；</w:t>
      </w:r>
    </w:p>
    <w:p w14:paraId="596A207C">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2.8.对采购项目的关键、主要内容，报价人报价漏项的，作非实质性响应处理；</w:t>
      </w:r>
    </w:p>
    <w:p w14:paraId="6B330956">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2.9.磋商小组认定为表述不清晰或无法确定的报价均不予修正。</w:t>
      </w:r>
    </w:p>
    <w:p w14:paraId="110FE600">
      <w:pPr>
        <w:spacing w:line="360" w:lineRule="auto"/>
        <w:ind w:firstLine="42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3.报价</w:t>
      </w:r>
      <w:r>
        <w:rPr>
          <w:rFonts w:hint="eastAsia" w:ascii="宋体" w:hAnsi="宋体" w:cs="宋体"/>
          <w:color w:val="000000" w:themeColor="text1"/>
          <w:lang w:val="zh-CN"/>
          <w14:textFill>
            <w14:solidFill>
              <w14:schemeClr w14:val="tx1"/>
            </w14:solidFill>
          </w14:textFill>
        </w:rPr>
        <w:t>文件的澄清、说明或更正</w:t>
      </w:r>
    </w:p>
    <w:p w14:paraId="5ECEFDB0">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磋商小组在对报价文件的有效性、完整性和响应程度进行审查时，可以要求报价人对报价文件中含义不明确、同类问题表述不一致或者有明显文字和计算错误的内容等作出必要的澄清、说明或者更正。供应商的澄清、说明或者更正不得超出报价文件的范围或者改变报价文件的实质性内容。</w:t>
      </w:r>
    </w:p>
    <w:p w14:paraId="22E194B4">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3.2.磋商小组要求供应商澄清、说明或者更正报价文件应当以书面形式作出。供应商的澄清、说明或者更正应当由法定代表人或其授权代表签字或者加盖公章。</w:t>
      </w:r>
    </w:p>
    <w:p w14:paraId="61E959A2">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3.3.磋商小组均应当阅读供应商的澄清、说明或者更正，但应独立参考澄清、说明或者更正对报价文件进行评审，整个澄清、说明或者更正的过程不得存在排斥潜在供应商的现象。</w:t>
      </w:r>
    </w:p>
    <w:p w14:paraId="498F656D">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3.4.除上述规定的情形之外，磋商小组在评审过程中，不得接收来自评审现场以外的任何形式的文件资料。</w:t>
      </w:r>
    </w:p>
    <w:p w14:paraId="25A61458">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磋商小组认为，供应商的报价明显不合理或者明显低于其他供应商报价，有可能影响商品质量和不能诚信履约的，应当要求该供应商作出书面说明并提供相关证明材料。供应商不能合理说明或者不能提供相关证明材料的，由磋商小组认定该供应商为低于成本报价，报价无效。</w:t>
      </w:r>
    </w:p>
    <w:p w14:paraId="4D42C48F">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注：异常低价审查说明：</w:t>
      </w:r>
    </w:p>
    <w:p w14:paraId="72628B1C">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4.1.采购评审中出现下列情形之一的，磋商小组应当启动异常低价投标（响应）审查程序： </w:t>
      </w:r>
    </w:p>
    <w:p w14:paraId="6559E0FC">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4.1.1.投标（响应）报价低于全部通过符合性审查供应商投标（响应）报价平均值50%的，即投标（响应）报价&lt;全部通过符合性审查供应商投标（响应）报价平均值×50%； </w:t>
      </w:r>
    </w:p>
    <w:p w14:paraId="752466E0">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4.1.2.投标（响应）报价低于通过符合性审查的次低报价供应商投标（响应）报价50%的，即投标（响应）报价&lt;通过符合性审查的次低报价供应商投标（响应）报价×50%； </w:t>
      </w:r>
    </w:p>
    <w:p w14:paraId="6F75CD28">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4.1.3.投标（响应）报价低于采购项目最高限价45%的，即投标（响应）报价&lt;采购项目最高限价×45%； </w:t>
      </w:r>
    </w:p>
    <w:p w14:paraId="152E7E0A">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4.1.4.磋商小组基于专业判断，认为供应商报价过低，有可能影响产品质量或者不能诚信履约的其他情形。相关法律法规对供应商报价有规定的，从其规定。如项目未设定最高限价，则以项目采购预算金额作为最高限价。如报价方式为下浮率的，以【1-下浮率】作为投标报价。</w:t>
      </w:r>
    </w:p>
    <w:p w14:paraId="147DA274">
      <w:pPr>
        <w:widowControl/>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20分钟。其中，属于第3项情形，供应商已随投标（响应）文件一并提交相关书面说明及必要的证明材料的，在评审现场可不再重复提交。 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异常低价投标（响应）审查的启动原因、审查意见和审查结果应当在评审报告中记录，并随供应商提供的相关书面说明及证明材料，以及磋商小组有关互联网浏览、查询历史一并归档。</w:t>
      </w:r>
    </w:p>
    <w:p w14:paraId="7FB4D2B2">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5.评审细则</w:t>
      </w:r>
    </w:p>
    <w:p w14:paraId="74049E45">
      <w:pPr>
        <w:widowControl/>
        <w:autoSpaceDE w:val="0"/>
        <w:autoSpaceDN w:val="0"/>
        <w:adjustRightInd w:val="0"/>
        <w:spacing w:line="360" w:lineRule="auto"/>
        <w:ind w:right="678" w:rightChars="323"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5.1.商务评定</w:t>
      </w:r>
    </w:p>
    <w:p w14:paraId="2C190C0C">
      <w:pPr>
        <w:autoSpaceDE w:val="0"/>
        <w:autoSpaceDN w:val="0"/>
        <w:adjustRightInd w:val="0"/>
        <w:ind w:right="1"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5.1.1.由评委对所有有效报价文件的商务条件进行审核和评价，填写《商务评审表》，</w:t>
      </w:r>
      <w:r>
        <w:rPr>
          <w:rFonts w:hint="eastAsia" w:ascii="宋体" w:hAnsi="宋体" w:cs="宋体"/>
          <w:color w:val="000000" w:themeColor="text1"/>
          <w:szCs w:val="21"/>
          <w14:textFill>
            <w14:solidFill>
              <w14:schemeClr w14:val="tx1"/>
            </w14:solidFill>
          </w14:textFill>
        </w:rPr>
        <w:t>评审</w:t>
      </w:r>
      <w:r>
        <w:rPr>
          <w:rFonts w:hint="eastAsia" w:ascii="宋体" w:hAnsi="宋体" w:cs="宋体"/>
          <w:color w:val="000000" w:themeColor="text1"/>
          <w14:textFill>
            <w14:solidFill>
              <w14:schemeClr w14:val="tx1"/>
            </w14:solidFill>
          </w14:textFill>
        </w:rPr>
        <w:t>内容见附表3。</w:t>
      </w:r>
    </w:p>
    <w:p w14:paraId="43BBCD70">
      <w:pPr>
        <w:autoSpaceDE w:val="0"/>
        <w:autoSpaceDN w:val="0"/>
        <w:adjustRightInd w:val="0"/>
        <w:ind w:right="678" w:rightChars="323"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5.1.2.将每一个评委的评分汇总进行算术平均，得出该报价人的商务评分。</w:t>
      </w:r>
    </w:p>
    <w:p w14:paraId="5A10DD35">
      <w:pPr>
        <w:widowControl/>
        <w:autoSpaceDE w:val="0"/>
        <w:autoSpaceDN w:val="0"/>
        <w:adjustRightInd w:val="0"/>
        <w:spacing w:line="360" w:lineRule="auto"/>
        <w:ind w:right="678" w:rightChars="323"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5.2.技术评定</w:t>
      </w:r>
    </w:p>
    <w:p w14:paraId="0DE35D78">
      <w:pPr>
        <w:widowControl/>
        <w:tabs>
          <w:tab w:val="left" w:pos="720"/>
          <w:tab w:val="left" w:pos="1080"/>
        </w:tabs>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5.2.1.</w:t>
      </w:r>
      <w:r>
        <w:rPr>
          <w:rFonts w:hint="eastAsia" w:ascii="宋体" w:hAnsi="宋体" w:cs="宋体"/>
          <w:color w:val="000000" w:themeColor="text1"/>
          <w:szCs w:val="21"/>
          <w14:textFill>
            <w14:solidFill>
              <w14:schemeClr w14:val="tx1"/>
            </w14:solidFill>
          </w14:textFill>
        </w:rPr>
        <w:t>由评委对所有有效报价文件的技术响应方案进行审核和分析，填写《技术评审表》。评审内容见附表3。</w:t>
      </w:r>
    </w:p>
    <w:p w14:paraId="05B0B04D">
      <w:pPr>
        <w:widowControl/>
        <w:tabs>
          <w:tab w:val="left" w:pos="720"/>
          <w:tab w:val="left" w:pos="1080"/>
        </w:tabs>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5.2.2.</w:t>
      </w:r>
      <w:r>
        <w:rPr>
          <w:rFonts w:hint="eastAsia" w:ascii="宋体" w:hAnsi="宋体" w:cs="宋体"/>
          <w:color w:val="000000" w:themeColor="text1"/>
          <w:szCs w:val="21"/>
          <w:lang w:val="zh-CN"/>
          <w14:textFill>
            <w14:solidFill>
              <w14:schemeClr w14:val="tx1"/>
            </w14:solidFill>
          </w14:textFill>
        </w:rPr>
        <w:t>将每一个评委的评分汇总进行算术平均，得出该</w:t>
      </w:r>
      <w:r>
        <w:rPr>
          <w:rFonts w:hint="eastAsia" w:ascii="宋体" w:hAnsi="宋体" w:cs="宋体"/>
          <w:color w:val="000000" w:themeColor="text1"/>
          <w:szCs w:val="21"/>
          <w14:textFill>
            <w14:solidFill>
              <w14:schemeClr w14:val="tx1"/>
            </w14:solidFill>
          </w14:textFill>
        </w:rPr>
        <w:t>报价</w:t>
      </w:r>
      <w:r>
        <w:rPr>
          <w:rFonts w:hint="eastAsia" w:ascii="宋体" w:hAnsi="宋体" w:cs="宋体"/>
          <w:color w:val="000000" w:themeColor="text1"/>
          <w:szCs w:val="21"/>
          <w:lang w:val="zh-CN"/>
          <w14:textFill>
            <w14:solidFill>
              <w14:schemeClr w14:val="tx1"/>
            </w14:solidFill>
          </w14:textFill>
        </w:rPr>
        <w:t>人的技术评分。</w:t>
      </w:r>
    </w:p>
    <w:p w14:paraId="51905427">
      <w:pPr>
        <w:widowControl/>
        <w:autoSpaceDE w:val="0"/>
        <w:autoSpaceDN w:val="0"/>
        <w:adjustRightInd w:val="0"/>
        <w:spacing w:line="360" w:lineRule="auto"/>
        <w:ind w:right="678" w:rightChars="323"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5.3.价格评定</w:t>
      </w:r>
    </w:p>
    <w:p w14:paraId="443B1177">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5.3.1.</w:t>
      </w:r>
      <w:r>
        <w:rPr>
          <w:color w:val="000000" w:themeColor="text1"/>
          <w14:textFill>
            <w14:solidFill>
              <w14:schemeClr w14:val="tx1"/>
            </w14:solidFill>
          </w14:textFill>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r>
        <w:rPr>
          <w:rFonts w:hint="eastAsia" w:ascii="宋体" w:hAnsi="宋体"/>
          <w:color w:val="000000" w:themeColor="text1"/>
          <w:szCs w:val="21"/>
          <w14:textFill>
            <w14:solidFill>
              <w14:schemeClr w14:val="tx1"/>
            </w14:solidFill>
          </w14:textFill>
        </w:rPr>
        <w:t>：</w:t>
      </w:r>
    </w:p>
    <w:tbl>
      <w:tblPr>
        <w:tblStyle w:val="3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59"/>
        <w:gridCol w:w="2459"/>
        <w:gridCol w:w="2459"/>
        <w:gridCol w:w="1419"/>
        <w:gridCol w:w="2461"/>
      </w:tblGrid>
      <w:tr w14:paraId="25BDD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49" w:type="pct"/>
          </w:tcPr>
          <w:p w14:paraId="6F6A0358">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序号</w:t>
            </w:r>
          </w:p>
        </w:tc>
        <w:tc>
          <w:tcPr>
            <w:tcW w:w="1300" w:type="pct"/>
          </w:tcPr>
          <w:p w14:paraId="3055C059">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情形</w:t>
            </w:r>
          </w:p>
        </w:tc>
        <w:tc>
          <w:tcPr>
            <w:tcW w:w="1300" w:type="pct"/>
          </w:tcPr>
          <w:p w14:paraId="483739F2">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适用对象</w:t>
            </w:r>
          </w:p>
        </w:tc>
        <w:tc>
          <w:tcPr>
            <w:tcW w:w="750" w:type="pct"/>
          </w:tcPr>
          <w:p w14:paraId="21FA4EF3">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价格扣除比例</w:t>
            </w:r>
          </w:p>
        </w:tc>
        <w:tc>
          <w:tcPr>
            <w:tcW w:w="1300" w:type="pct"/>
          </w:tcPr>
          <w:p w14:paraId="48F21582">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计算公式</w:t>
            </w:r>
          </w:p>
        </w:tc>
      </w:tr>
      <w:tr w14:paraId="228D4A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9" w:type="pct"/>
          </w:tcPr>
          <w:p w14:paraId="7F13D290">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1</w:t>
            </w:r>
          </w:p>
        </w:tc>
        <w:tc>
          <w:tcPr>
            <w:tcW w:w="1300" w:type="pct"/>
          </w:tcPr>
          <w:p w14:paraId="2CE14063">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小型、微型企业，监狱企业，残疾人福利性单位</w:t>
            </w:r>
          </w:p>
        </w:tc>
        <w:tc>
          <w:tcPr>
            <w:tcW w:w="1300" w:type="pct"/>
          </w:tcPr>
          <w:p w14:paraId="18CA1399">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投标（响应）产品均由小微企业生产且使用该小微企业商号或者注册商标</w:t>
            </w:r>
          </w:p>
        </w:tc>
        <w:tc>
          <w:tcPr>
            <w:tcW w:w="750" w:type="pct"/>
          </w:tcPr>
          <w:p w14:paraId="0889D017">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10%</w:t>
            </w:r>
          </w:p>
        </w:tc>
        <w:tc>
          <w:tcPr>
            <w:tcW w:w="1300" w:type="pct"/>
          </w:tcPr>
          <w:p w14:paraId="64F229DB">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货物由小微企业制造，即货物由小微企业生产且使用该小微企业商号或者注册商标时，给予价格扣除C1，即：评标价=最后报价×（1-C1）;监狱企业与残疾人福利性单位视同小型、微型企业，享受同等价格扣除，当企业属性重复时，不重复价格扣除。</w:t>
            </w:r>
          </w:p>
        </w:tc>
      </w:tr>
      <w:tr w14:paraId="3853E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5"/>
          </w:tcPr>
          <w:p w14:paraId="1FDD90B0">
            <w:pPr>
              <w:pStyle w:val="123"/>
              <w:spacing w:line="360" w:lineRule="auto"/>
              <w:rPr>
                <w:rFonts w:hint="default"/>
                <w:color w:val="000000" w:themeColor="text1"/>
                <w14:textFill>
                  <w14:solidFill>
                    <w14:schemeClr w14:val="tx1"/>
                  </w14:solidFill>
                </w14:textFill>
              </w:rPr>
            </w:pPr>
            <w:r>
              <w:rPr>
                <w:color w:val="000000" w:themeColor="text1"/>
                <w14:textFill>
                  <w14:solidFill>
                    <w14:schemeClr w14:val="tx1"/>
                  </w14:solidFill>
                </w14:textFill>
              </w:rPr>
              <w:t>注：（1）上述评标价仅用于计算价格分，成交金额以实际投标价为准。 （2）组成联合体的大中型企业和其他自然人、法人或者其他组织、与小型、微型企业之间不得存在投资关系。</w:t>
            </w:r>
          </w:p>
        </w:tc>
      </w:tr>
    </w:tbl>
    <w:p w14:paraId="60968FDF">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1）所称小型和微型企业应当符合以下条件：</w:t>
      </w:r>
    </w:p>
    <w:p w14:paraId="45F3821A">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在中华人民共和国境内依法设立，依据国务院批准的中小企业划分标准确定的小型企业和微型企业，但与大企业的负责人为同一人，或者与大企业存在直接控股、管理关系的除外。符合中小企业划分标准的个体工商户，在政府采购活动中视同中小企业。提供本企业制造的货物或者提供其他小型或微型企业制造的货物。</w:t>
      </w:r>
    </w:p>
    <w:p w14:paraId="188E5D78">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符合中小企业划分标准的个体工商户，在政府采购活动中视同中小企业。</w:t>
      </w:r>
    </w:p>
    <w:p w14:paraId="6EA2FFDA">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提供本企业（属于小微企业）制造的货物或者提供其他小型或微型企业制造的货物/提供本企业（属于小微企业）承接的服务。</w:t>
      </w:r>
    </w:p>
    <w:p w14:paraId="7CD4E974">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符合中小企业扶持政策的供应商应填写《中小企业声明函》；监狱企业须供应商提供由监狱管理局、戒毒管理局（含新疆生产建设兵团）出具的属于监狱企业的证明文件；残疾人福利性单位应填写《残疾人福利性单位声明函》，否则不认定价格扣除。</w:t>
      </w:r>
    </w:p>
    <w:p w14:paraId="545A1F45">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说明：供应商应当对其出具的《中小企业声明函》真实性负责，供应商出具的《中小企业声明函》内容不实的，属于提供虚假材料谋取成交。</w:t>
      </w:r>
    </w:p>
    <w:p w14:paraId="4FC91D17">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3）联合体各方均为小型、微型企业的，各方均应提供《中小企业声明函》；中小微企业作为联合体一方参与政府采购活动，且联合体协议书中约定，小型、微型企业的协议合同金额占到联合体协议合同总金额30%以上的，应附中小微企业的《中小企业声明函》。</w:t>
      </w:r>
    </w:p>
    <w:p w14:paraId="60826236">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注：（中小企业划分标准以《工业和信息化部、国家统计局、国家发展和改革委员会、财政部关于印发中小企业划型标准规定的通知》（工信部联企业[2011]300号）规定的划分标准为准）。</w:t>
      </w:r>
    </w:p>
    <w:p w14:paraId="6AB47E7C">
      <w:pPr>
        <w:widowControl/>
        <w:autoSpaceDE w:val="0"/>
        <w:autoSpaceDN w:val="0"/>
        <w:adjustRightInd w:val="0"/>
        <w:spacing w:line="360" w:lineRule="auto"/>
        <w:ind w:right="678" w:rightChars="323"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6.综合评分的计算</w:t>
      </w:r>
    </w:p>
    <w:p w14:paraId="25BEF0CC">
      <w:pPr>
        <w:widowControl/>
        <w:tabs>
          <w:tab w:val="left" w:pos="720"/>
        </w:tabs>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6.1.综合评分=</w:t>
      </w:r>
      <w:r>
        <w:rPr>
          <w:rFonts w:hint="eastAsia" w:ascii="宋体" w:hAnsi="宋体" w:cs="宋体"/>
          <w:bCs/>
          <w:color w:val="000000" w:themeColor="text1"/>
          <w:szCs w:val="21"/>
          <w14:textFill>
            <w14:solidFill>
              <w14:schemeClr w14:val="tx1"/>
            </w14:solidFill>
          </w14:textFill>
        </w:rPr>
        <w:t>商务得分+技术得分+价格得分。</w:t>
      </w:r>
    </w:p>
    <w:p w14:paraId="3832E55D">
      <w:pPr>
        <w:widowControl/>
        <w:tabs>
          <w:tab w:val="left" w:pos="720"/>
        </w:tabs>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6.2.各项得分按四舍五入原则精确到小数点后两位，如因计算软件四舍五入导致后两位小数相同的，则计算至后三位，依此类推，直接得出排序。将综合评分由高到低顺序排列。</w:t>
      </w:r>
    </w:p>
    <w:p w14:paraId="67A0213A">
      <w:pPr>
        <w:widowControl/>
        <w:autoSpaceDE w:val="0"/>
        <w:autoSpaceDN w:val="0"/>
        <w:adjustRightInd w:val="0"/>
        <w:spacing w:line="360" w:lineRule="auto"/>
        <w:ind w:right="678" w:rightChars="323"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7.推荐成交候选人</w:t>
      </w:r>
    </w:p>
    <w:p w14:paraId="6F469022">
      <w:pPr>
        <w:widowControl/>
        <w:tabs>
          <w:tab w:val="left" w:pos="720"/>
        </w:tabs>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7.1.本项目磋商小组按综合总得分由高至低排序推荐得分前三名分别为第一、第二、第三成交候选人。</w:t>
      </w:r>
    </w:p>
    <w:p w14:paraId="228BFCE2">
      <w:pPr>
        <w:widowControl/>
        <w:tabs>
          <w:tab w:val="left" w:pos="720"/>
        </w:tabs>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7.2.总</w:t>
      </w:r>
      <w:r>
        <w:rPr>
          <w:rFonts w:hint="eastAsia" w:ascii="宋体" w:hAnsi="宋体" w:cs="宋体"/>
          <w:bCs/>
          <w:color w:val="000000" w:themeColor="text1"/>
          <w:szCs w:val="21"/>
          <w14:textFill>
            <w14:solidFill>
              <w14:schemeClr w14:val="tx1"/>
            </w14:solidFill>
          </w14:textFill>
        </w:rPr>
        <w:t>得分相同的，按最终报价由低到高顺序排列。总得分且最终报价相同的，按技术得分由高至低排列。</w:t>
      </w:r>
    </w:p>
    <w:p w14:paraId="564B1113">
      <w:pPr>
        <w:widowControl/>
        <w:tabs>
          <w:tab w:val="left" w:pos="720"/>
        </w:tabs>
        <w:spacing w:line="360" w:lineRule="auto"/>
        <w:ind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7.3.成交人无正当理由不得随意放弃成交资格。</w:t>
      </w:r>
    </w:p>
    <w:p w14:paraId="2CA23B14">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四、确定成交人</w:t>
      </w:r>
    </w:p>
    <w:p w14:paraId="61774E93">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bookmarkStart w:id="85" w:name="_Toc6830"/>
      <w:r>
        <w:rPr>
          <w:rFonts w:hint="eastAsia" w:ascii="宋体" w:hAnsi="宋体" w:cs="宋体"/>
          <w:bCs/>
          <w:color w:val="000000" w:themeColor="text1"/>
          <w:szCs w:val="21"/>
          <w14:textFill>
            <w14:solidFill>
              <w14:schemeClr w14:val="tx1"/>
            </w14:solidFill>
          </w14:textFill>
        </w:rPr>
        <w:t>1.采购人在评标报告确定的成交候选人名单中按顺序确定成交人。</w:t>
      </w:r>
      <w:bookmarkEnd w:id="85"/>
    </w:p>
    <w:p w14:paraId="1EAAB281">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bookmarkStart w:id="86" w:name="_Toc10979"/>
      <w:r>
        <w:rPr>
          <w:rFonts w:hint="eastAsia" w:ascii="宋体" w:hAnsi="宋体" w:cs="宋体"/>
          <w:bCs/>
          <w:color w:val="000000" w:themeColor="text1"/>
          <w:szCs w:val="21"/>
          <w14:textFill>
            <w14:solidFill>
              <w14:schemeClr w14:val="tx1"/>
            </w14:solidFill>
          </w14:textFill>
        </w:rPr>
        <w:t>2.采购人确认结果后，采购代理机构将成交结果以网上公告的方式通知所有未成交的成交人。</w:t>
      </w:r>
      <w:bookmarkEnd w:id="86"/>
    </w:p>
    <w:p w14:paraId="0181DB10">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bookmarkStart w:id="87" w:name="_Toc29238"/>
      <w:r>
        <w:rPr>
          <w:rFonts w:hint="eastAsia" w:ascii="宋体" w:hAnsi="宋体" w:cs="宋体"/>
          <w:bCs/>
          <w:color w:val="000000" w:themeColor="text1"/>
          <w:szCs w:val="21"/>
          <w14:textFill>
            <w14:solidFill>
              <w14:schemeClr w14:val="tx1"/>
            </w14:solidFill>
          </w14:textFill>
        </w:rPr>
        <w:t>3.成交结果公告后，采购代理机构以书面形式向成交人发出招标代理服务费《缴费通知书》。</w:t>
      </w:r>
      <w:bookmarkEnd w:id="87"/>
    </w:p>
    <w:p w14:paraId="3A85FBCA">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bookmarkStart w:id="88" w:name="_Toc3095"/>
      <w:r>
        <w:rPr>
          <w:rFonts w:hint="eastAsia" w:ascii="宋体" w:hAnsi="宋体" w:cs="宋体"/>
          <w:bCs/>
          <w:color w:val="000000" w:themeColor="text1"/>
          <w:szCs w:val="21"/>
          <w14:textFill>
            <w14:solidFill>
              <w14:schemeClr w14:val="tx1"/>
            </w14:solidFill>
          </w14:textFill>
        </w:rPr>
        <w:t>4.成交人凭采购代理机构开具的招标代理服务费《缴费通知书》到银行办理缴费手续，凭银行回单原件到采购代理机构开发票，领取《成交通知书》。《成交通知书》将作为授予合同资格的唯一合法依据。</w:t>
      </w:r>
      <w:bookmarkEnd w:id="88"/>
    </w:p>
    <w:p w14:paraId="0916DDBE">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5.成交人放弃成交或被确定成交无效的，应当依法承担法律责任，同时，采购人可以按照评审报告推荐的成交候选人名单排序，确定下一候选人为成交人，也可以重新开展采购活动。</w:t>
      </w:r>
    </w:p>
    <w:p w14:paraId="78279210">
      <w:pPr>
        <w:widowControl/>
        <w:tabs>
          <w:tab w:val="left" w:pos="720"/>
        </w:tabs>
        <w:spacing w:line="360" w:lineRule="auto"/>
        <w:ind w:firstLine="420"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报价人必须对报价文件所提供的全部资料的真实性承担法律责任，并无条件接受采购人和监督管理部门对其中任何资料进行核实（核对原件）的要求。如有必要，采购人将核对报价文件资料，发现有不一致或供应商无正当理由不按时提供原件的，书面知会采购代理机构，并报同级财政部门核实后按成交无效处理。</w:t>
      </w:r>
    </w:p>
    <w:p w14:paraId="0351A956">
      <w:pPr>
        <w:widowControl/>
        <w:spacing w:line="360" w:lineRule="auto"/>
        <w:rPr>
          <w:rFonts w:ascii="宋体" w:hAnsi="宋体" w:cs="宋体"/>
          <w:b/>
          <w:bCs/>
          <w:color w:val="000000" w:themeColor="text1"/>
          <w:szCs w:val="22"/>
          <w:highlight w:val="white"/>
          <w:lang w:val="zh-CN"/>
          <w14:textFill>
            <w14:solidFill>
              <w14:schemeClr w14:val="tx1"/>
            </w14:solidFill>
          </w14:textFill>
        </w:rPr>
      </w:pPr>
      <w:bookmarkStart w:id="89" w:name="_Toc411005330"/>
      <w:bookmarkStart w:id="90" w:name="_Toc199817899"/>
      <w:bookmarkStart w:id="91" w:name="_Toc199817949"/>
      <w:bookmarkStart w:id="92" w:name="_Toc176852371"/>
      <w:bookmarkStart w:id="93" w:name="_Toc401232236"/>
      <w:bookmarkStart w:id="94" w:name="_Toc199817982"/>
      <w:bookmarkStart w:id="95" w:name="_Toc395083529"/>
      <w:r>
        <w:rPr>
          <w:rFonts w:hint="eastAsia" w:ascii="宋体" w:hAnsi="宋体" w:cs="宋体"/>
          <w:b/>
          <w:bCs/>
          <w:color w:val="000000" w:themeColor="text1"/>
          <w:szCs w:val="22"/>
          <w:highlight w:val="white"/>
          <w14:textFill>
            <w14:solidFill>
              <w14:schemeClr w14:val="tx1"/>
            </w14:solidFill>
          </w14:textFill>
        </w:rPr>
        <w:t>五、签订合同</w:t>
      </w:r>
      <w:bookmarkEnd w:id="89"/>
      <w:bookmarkEnd w:id="90"/>
      <w:bookmarkEnd w:id="91"/>
      <w:bookmarkEnd w:id="92"/>
      <w:bookmarkEnd w:id="93"/>
      <w:bookmarkEnd w:id="94"/>
      <w:bookmarkEnd w:id="95"/>
    </w:p>
    <w:p w14:paraId="7892CD74">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采购人与成交人应当在《成交通知书》发出之日起三十日内（如第三章采购需求有相应约定的从其约定），按照磋商文件确定的事项签订合同，合同条款不得与磋商文件和报价文件内容有实质性偏离。</w:t>
      </w:r>
    </w:p>
    <w:p w14:paraId="5272196C">
      <w:pPr>
        <w:widowControl/>
        <w:spacing w:line="360" w:lineRule="auto"/>
        <w:rPr>
          <w:rFonts w:ascii="宋体" w:hAnsi="宋体" w:cs="宋体"/>
          <w:b/>
          <w:bCs/>
          <w:color w:val="000000" w:themeColor="text1"/>
          <w:szCs w:val="22"/>
          <w:highlight w:val="white"/>
          <w14:textFill>
            <w14:solidFill>
              <w14:schemeClr w14:val="tx1"/>
            </w14:solidFill>
          </w14:textFill>
        </w:rPr>
      </w:pPr>
      <w:r>
        <w:rPr>
          <w:rFonts w:hint="eastAsia" w:ascii="宋体" w:hAnsi="宋体" w:cs="宋体"/>
          <w:b/>
          <w:bCs/>
          <w:color w:val="000000" w:themeColor="text1"/>
          <w:szCs w:val="22"/>
          <w:highlight w:val="white"/>
          <w14:textFill>
            <w14:solidFill>
              <w14:schemeClr w14:val="tx1"/>
            </w14:solidFill>
          </w14:textFill>
        </w:rPr>
        <w:t>六、凡发现成交人有下列行为之一的，其成交无效，并移交监督管理部门依法处理。</w:t>
      </w:r>
    </w:p>
    <w:p w14:paraId="22EFE084">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1）提供虚假材料谋取成交的；</w:t>
      </w:r>
    </w:p>
    <w:p w14:paraId="6937831D">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2）采取不正当手段诋毁、排挤其他供应商的；</w:t>
      </w:r>
    </w:p>
    <w:p w14:paraId="194C4D88">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3）与采购人、其他供应商或者采购代理机构工作人员恶意串通的；</w:t>
      </w:r>
    </w:p>
    <w:p w14:paraId="4715833F">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4）向采购人、采购代理机构工作人员行贿或者提供其他不正当利益的；</w:t>
      </w:r>
    </w:p>
    <w:p w14:paraId="251749FF">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5）在采购过程中与采购人进行协商谈判的；</w:t>
      </w:r>
    </w:p>
    <w:p w14:paraId="6819DD1C">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6）拒绝有关部门监督检查或者提供虚假情况的；</w:t>
      </w:r>
    </w:p>
    <w:p w14:paraId="6CA814C0">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2"/>
          <w:highlight w:val="white"/>
          <w14:textFill>
            <w14:solidFill>
              <w14:schemeClr w14:val="tx1"/>
            </w14:solidFill>
          </w14:textFill>
        </w:rPr>
        <w:t>7）有法律、法规规定的其他损害采购人利益和社会公共利益情形的。</w:t>
      </w:r>
    </w:p>
    <w:p w14:paraId="7469472D">
      <w:pPr>
        <w:widowControl/>
        <w:spacing w:line="360" w:lineRule="auto"/>
        <w:rPr>
          <w:rFonts w:ascii="宋体" w:hAnsi="宋体" w:cs="宋体"/>
          <w:b/>
          <w:bCs/>
          <w:color w:val="000000" w:themeColor="text1"/>
          <w:szCs w:val="22"/>
          <w:highlight w:val="white"/>
          <w:lang w:val="zh-CN"/>
          <w14:textFill>
            <w14:solidFill>
              <w14:schemeClr w14:val="tx1"/>
            </w14:solidFill>
          </w14:textFill>
        </w:rPr>
      </w:pPr>
      <w:bookmarkStart w:id="96" w:name="_Toc401232233"/>
      <w:bookmarkStart w:id="97" w:name="_Toc199736011"/>
      <w:bookmarkStart w:id="98" w:name="_Toc199736957"/>
      <w:bookmarkStart w:id="99" w:name="_Toc199735927"/>
      <w:bookmarkStart w:id="100" w:name="_Toc199815439"/>
      <w:bookmarkStart w:id="101" w:name="_Toc395083526"/>
      <w:bookmarkStart w:id="102" w:name="_Toc411005328"/>
      <w:r>
        <w:rPr>
          <w:rFonts w:hint="eastAsia" w:ascii="宋体" w:hAnsi="宋体" w:cs="宋体"/>
          <w:b/>
          <w:bCs/>
          <w:color w:val="000000" w:themeColor="text1"/>
          <w:szCs w:val="22"/>
          <w:highlight w:val="white"/>
          <w14:textFill>
            <w14:solidFill>
              <w14:schemeClr w14:val="tx1"/>
            </w14:solidFill>
          </w14:textFill>
        </w:rPr>
        <w:t>七、</w:t>
      </w:r>
      <w:r>
        <w:rPr>
          <w:rFonts w:hint="eastAsia" w:ascii="宋体" w:hAnsi="宋体" w:cs="宋体"/>
          <w:b/>
          <w:bCs/>
          <w:color w:val="000000" w:themeColor="text1"/>
          <w:szCs w:val="22"/>
          <w:highlight w:val="white"/>
          <w:lang w:val="zh-CN"/>
          <w14:textFill>
            <w14:solidFill>
              <w14:schemeClr w14:val="tx1"/>
            </w14:solidFill>
          </w14:textFill>
        </w:rPr>
        <w:t>项目采购失败</w:t>
      </w:r>
      <w:bookmarkEnd w:id="96"/>
      <w:bookmarkEnd w:id="97"/>
      <w:bookmarkEnd w:id="98"/>
      <w:bookmarkEnd w:id="99"/>
      <w:bookmarkEnd w:id="100"/>
      <w:bookmarkEnd w:id="101"/>
      <w:bookmarkEnd w:id="102"/>
      <w:r>
        <w:rPr>
          <w:rFonts w:hint="eastAsia" w:ascii="宋体" w:hAnsi="宋体" w:cs="宋体"/>
          <w:b/>
          <w:bCs/>
          <w:color w:val="000000" w:themeColor="text1"/>
          <w:szCs w:val="22"/>
          <w:highlight w:val="white"/>
          <w14:textFill>
            <w14:solidFill>
              <w14:schemeClr w14:val="tx1"/>
            </w14:solidFill>
          </w14:textFill>
        </w:rPr>
        <w:t>情形</w:t>
      </w:r>
    </w:p>
    <w:p w14:paraId="189B2EBC">
      <w:pPr>
        <w:autoSpaceDE w:val="0"/>
        <w:autoSpaceDN w:val="0"/>
        <w:adjustRightInd w:val="0"/>
        <w:spacing w:line="360" w:lineRule="auto"/>
        <w:ind w:right="678" w:rightChars="323"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出现下列情形之一的，采购人或者采购代理机构应当终止竞争性磋商采购活动，发布项目终止公告并说明原因，重新开展采购活动：</w:t>
      </w:r>
    </w:p>
    <w:p w14:paraId="3D747A6F">
      <w:pPr>
        <w:autoSpaceDE w:val="0"/>
        <w:autoSpaceDN w:val="0"/>
        <w:adjustRightInd w:val="0"/>
        <w:spacing w:line="360" w:lineRule="auto"/>
        <w:ind w:right="678" w:rightChars="323"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（1）因情况变化，不再符合规定的竞争性磋商采购方式适用情形的；</w:t>
      </w:r>
    </w:p>
    <w:p w14:paraId="61D004ED">
      <w:pPr>
        <w:widowControl/>
        <w:tabs>
          <w:tab w:val="left" w:pos="0"/>
        </w:tabs>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（2）出现影响采购公正的违法、违规行为的。</w:t>
      </w:r>
    </w:p>
    <w:p w14:paraId="19E732A5">
      <w:pPr>
        <w:widowControl/>
        <w:spacing w:line="360" w:lineRule="auto"/>
        <w:ind w:firstLine="420" w:firstLineChars="200"/>
        <w:rPr>
          <w:rFonts w:ascii="宋体" w:hAnsi="宋体" w:cs="宋体"/>
          <w:color w:val="000000" w:themeColor="text1"/>
          <w:lang w:val="en-GB"/>
          <w14:textFill>
            <w14:solidFill>
              <w14:schemeClr w14:val="tx1"/>
            </w14:solidFill>
          </w14:textFill>
        </w:rPr>
      </w:pPr>
    </w:p>
    <w:p w14:paraId="283115F9">
      <w:pPr>
        <w:widowControl/>
        <w:spacing w:line="360" w:lineRule="auto"/>
        <w:outlineLvl w:val="1"/>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GB"/>
          <w14:textFill>
            <w14:solidFill>
              <w14:schemeClr w14:val="tx1"/>
            </w14:solidFill>
          </w14:textFill>
        </w:rPr>
        <w:br w:type="page"/>
      </w:r>
      <w:r>
        <w:rPr>
          <w:rFonts w:hint="eastAsia" w:ascii="宋体" w:hAnsi="宋体" w:cs="宋体"/>
          <w:color w:val="000000" w:themeColor="text1"/>
          <w:szCs w:val="24"/>
          <w14:textFill>
            <w14:solidFill>
              <w14:schemeClr w14:val="tx1"/>
            </w14:solidFill>
          </w14:textFill>
        </w:rPr>
        <w:t>附表</w:t>
      </w:r>
      <w:r>
        <w:rPr>
          <w:rFonts w:hint="eastAsia" w:ascii="宋体" w:hAnsi="宋体" w:cs="宋体"/>
          <w:color w:val="000000" w:themeColor="text1"/>
          <w:szCs w:val="24"/>
          <w14:textFill>
            <w14:solidFill>
              <w14:schemeClr w14:val="tx1"/>
            </w14:solidFill>
          </w14:textFill>
        </w:rPr>
        <w:t xml:space="preserve">1  </w:t>
      </w:r>
      <w:r>
        <w:rPr>
          <w:rFonts w:hint="eastAsia" w:ascii="宋体" w:hAnsi="宋体" w:cs="宋体"/>
          <w:color w:val="000000" w:themeColor="text1"/>
          <w:szCs w:val="24"/>
          <w14:textFill>
            <w14:solidFill>
              <w14:schemeClr w14:val="tx1"/>
            </w14:solidFill>
          </w14:textFill>
        </w:rPr>
        <w:t xml:space="preserve">资格性检查、符合性审查表     </w:t>
      </w:r>
      <w:r>
        <w:rPr>
          <w:rFonts w:hint="eastAsia" w:ascii="宋体" w:hAnsi="宋体" w:cs="宋体"/>
          <w:color w:val="000000" w:themeColor="text1"/>
          <w14:textFill>
            <w14:solidFill>
              <w14:schemeClr w14:val="tx1"/>
            </w14:solidFill>
          </w14:textFill>
        </w:rPr>
        <w:t xml:space="preserve">               </w:t>
      </w:r>
    </w:p>
    <w:tbl>
      <w:tblPr>
        <w:tblStyle w:val="38"/>
        <w:tblW w:w="9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521"/>
        <w:gridCol w:w="1701"/>
        <w:gridCol w:w="1701"/>
      </w:tblGrid>
      <w:tr w14:paraId="3DEC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8" w:type="dxa"/>
            <w:vMerge w:val="restart"/>
            <w:vAlign w:val="center"/>
          </w:tcPr>
          <w:p w14:paraId="59FCA645">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评审内容</w:t>
            </w:r>
          </w:p>
        </w:tc>
        <w:tc>
          <w:tcPr>
            <w:tcW w:w="4923" w:type="dxa"/>
            <w:gridSpan w:val="3"/>
            <w:vAlign w:val="center"/>
          </w:tcPr>
          <w:p w14:paraId="37E5DE55">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报价人名称</w:t>
            </w:r>
          </w:p>
        </w:tc>
      </w:tr>
      <w:tr w14:paraId="7445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8" w:type="dxa"/>
            <w:vMerge w:val="continue"/>
            <w:vAlign w:val="center"/>
          </w:tcPr>
          <w:p w14:paraId="1DF3390A">
            <w:pPr>
              <w:rPr>
                <w:rFonts w:ascii="宋体" w:hAnsi="宋体" w:cs="宋体"/>
                <w:color w:val="000000" w:themeColor="text1"/>
                <w:szCs w:val="21"/>
                <w14:textFill>
                  <w14:solidFill>
                    <w14:schemeClr w14:val="tx1"/>
                  </w14:solidFill>
                </w14:textFill>
              </w:rPr>
            </w:pPr>
          </w:p>
        </w:tc>
        <w:tc>
          <w:tcPr>
            <w:tcW w:w="1521" w:type="dxa"/>
            <w:vAlign w:val="center"/>
          </w:tcPr>
          <w:p w14:paraId="4E93105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报价人A</w:t>
            </w:r>
          </w:p>
        </w:tc>
        <w:tc>
          <w:tcPr>
            <w:tcW w:w="1701" w:type="dxa"/>
            <w:vAlign w:val="center"/>
          </w:tcPr>
          <w:p w14:paraId="3BA7B3D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报价人B</w:t>
            </w:r>
          </w:p>
        </w:tc>
        <w:tc>
          <w:tcPr>
            <w:tcW w:w="1701" w:type="dxa"/>
            <w:vAlign w:val="center"/>
          </w:tcPr>
          <w:p w14:paraId="698A332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报价人C</w:t>
            </w:r>
          </w:p>
        </w:tc>
      </w:tr>
      <w:tr w14:paraId="51942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4608" w:type="dxa"/>
            <w:vAlign w:val="center"/>
          </w:tcPr>
          <w:p w14:paraId="70A05D1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具备磋商文件中规定报价人资格要求</w:t>
            </w:r>
          </w:p>
        </w:tc>
        <w:tc>
          <w:tcPr>
            <w:tcW w:w="1521" w:type="dxa"/>
            <w:vAlign w:val="center"/>
          </w:tcPr>
          <w:p w14:paraId="481C2A9C">
            <w:pPr>
              <w:rPr>
                <w:rFonts w:ascii="宋体" w:hAnsi="宋体" w:cs="宋体"/>
                <w:color w:val="000000" w:themeColor="text1"/>
                <w:szCs w:val="21"/>
                <w14:textFill>
                  <w14:solidFill>
                    <w14:schemeClr w14:val="tx1"/>
                  </w14:solidFill>
                </w14:textFill>
              </w:rPr>
            </w:pPr>
          </w:p>
        </w:tc>
        <w:tc>
          <w:tcPr>
            <w:tcW w:w="1701" w:type="dxa"/>
            <w:vAlign w:val="center"/>
          </w:tcPr>
          <w:p w14:paraId="5AA4004C">
            <w:pPr>
              <w:rPr>
                <w:rFonts w:ascii="宋体" w:hAnsi="宋体" w:cs="宋体"/>
                <w:color w:val="000000" w:themeColor="text1"/>
                <w:szCs w:val="21"/>
                <w14:textFill>
                  <w14:solidFill>
                    <w14:schemeClr w14:val="tx1"/>
                  </w14:solidFill>
                </w14:textFill>
              </w:rPr>
            </w:pPr>
          </w:p>
        </w:tc>
        <w:tc>
          <w:tcPr>
            <w:tcW w:w="1701" w:type="dxa"/>
            <w:vAlign w:val="center"/>
          </w:tcPr>
          <w:p w14:paraId="50747E89">
            <w:pPr>
              <w:rPr>
                <w:rFonts w:ascii="宋体" w:hAnsi="宋体" w:cs="宋体"/>
                <w:color w:val="000000" w:themeColor="text1"/>
                <w:szCs w:val="21"/>
                <w14:textFill>
                  <w14:solidFill>
                    <w14:schemeClr w14:val="tx1"/>
                  </w14:solidFill>
                </w14:textFill>
              </w:rPr>
            </w:pPr>
          </w:p>
        </w:tc>
      </w:tr>
      <w:tr w14:paraId="342C5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08" w:type="dxa"/>
            <w:vAlign w:val="center"/>
          </w:tcPr>
          <w:p w14:paraId="7209E266">
            <w:pPr>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报价下浮率是固定唯一，且不超出（0%＜报价下浮率≤100%）范围</w:t>
            </w:r>
          </w:p>
        </w:tc>
        <w:tc>
          <w:tcPr>
            <w:tcW w:w="1521" w:type="dxa"/>
            <w:vAlign w:val="center"/>
          </w:tcPr>
          <w:p w14:paraId="1689003F">
            <w:pPr>
              <w:rPr>
                <w:rFonts w:ascii="宋体" w:hAnsi="宋体" w:cs="宋体"/>
                <w:color w:val="000000" w:themeColor="text1"/>
                <w:szCs w:val="21"/>
                <w14:textFill>
                  <w14:solidFill>
                    <w14:schemeClr w14:val="tx1"/>
                  </w14:solidFill>
                </w14:textFill>
              </w:rPr>
            </w:pPr>
          </w:p>
        </w:tc>
        <w:tc>
          <w:tcPr>
            <w:tcW w:w="1701" w:type="dxa"/>
            <w:vAlign w:val="center"/>
          </w:tcPr>
          <w:p w14:paraId="467B6D88">
            <w:pPr>
              <w:rPr>
                <w:rFonts w:ascii="宋体" w:hAnsi="宋体" w:cs="宋体"/>
                <w:color w:val="000000" w:themeColor="text1"/>
                <w:szCs w:val="21"/>
                <w14:textFill>
                  <w14:solidFill>
                    <w14:schemeClr w14:val="tx1"/>
                  </w14:solidFill>
                </w14:textFill>
              </w:rPr>
            </w:pPr>
          </w:p>
        </w:tc>
        <w:tc>
          <w:tcPr>
            <w:tcW w:w="1701" w:type="dxa"/>
            <w:vAlign w:val="center"/>
          </w:tcPr>
          <w:p w14:paraId="52664860">
            <w:pPr>
              <w:rPr>
                <w:rFonts w:ascii="宋体" w:hAnsi="宋体" w:cs="宋体"/>
                <w:color w:val="000000" w:themeColor="text1"/>
                <w:szCs w:val="21"/>
                <w14:textFill>
                  <w14:solidFill>
                    <w14:schemeClr w14:val="tx1"/>
                  </w14:solidFill>
                </w14:textFill>
              </w:rPr>
            </w:pPr>
          </w:p>
        </w:tc>
      </w:tr>
      <w:tr w14:paraId="1C88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4608" w:type="dxa"/>
            <w:vAlign w:val="center"/>
          </w:tcPr>
          <w:p w14:paraId="1B78CF8A">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符合报价文件的签署、盖章要求</w:t>
            </w:r>
          </w:p>
        </w:tc>
        <w:tc>
          <w:tcPr>
            <w:tcW w:w="1521" w:type="dxa"/>
            <w:vAlign w:val="center"/>
          </w:tcPr>
          <w:p w14:paraId="6F6AA518">
            <w:pPr>
              <w:rPr>
                <w:rFonts w:ascii="宋体" w:hAnsi="宋体" w:cs="宋体"/>
                <w:color w:val="000000" w:themeColor="text1"/>
                <w:szCs w:val="21"/>
                <w14:textFill>
                  <w14:solidFill>
                    <w14:schemeClr w14:val="tx1"/>
                  </w14:solidFill>
                </w14:textFill>
              </w:rPr>
            </w:pPr>
          </w:p>
        </w:tc>
        <w:tc>
          <w:tcPr>
            <w:tcW w:w="1701" w:type="dxa"/>
            <w:vAlign w:val="center"/>
          </w:tcPr>
          <w:p w14:paraId="348BC75B">
            <w:pPr>
              <w:rPr>
                <w:rFonts w:ascii="宋体" w:hAnsi="宋体" w:cs="宋体"/>
                <w:color w:val="000000" w:themeColor="text1"/>
                <w:szCs w:val="21"/>
                <w14:textFill>
                  <w14:solidFill>
                    <w14:schemeClr w14:val="tx1"/>
                  </w14:solidFill>
                </w14:textFill>
              </w:rPr>
            </w:pPr>
          </w:p>
        </w:tc>
        <w:tc>
          <w:tcPr>
            <w:tcW w:w="1701" w:type="dxa"/>
            <w:vAlign w:val="center"/>
          </w:tcPr>
          <w:p w14:paraId="1E4F890C">
            <w:pPr>
              <w:rPr>
                <w:rFonts w:ascii="宋体" w:hAnsi="宋体" w:cs="宋体"/>
                <w:color w:val="000000" w:themeColor="text1"/>
                <w:szCs w:val="21"/>
                <w14:textFill>
                  <w14:solidFill>
                    <w14:schemeClr w14:val="tx1"/>
                  </w14:solidFill>
                </w14:textFill>
              </w:rPr>
            </w:pPr>
          </w:p>
        </w:tc>
      </w:tr>
      <w:tr w14:paraId="1A53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608" w:type="dxa"/>
            <w:vAlign w:val="center"/>
          </w:tcPr>
          <w:p w14:paraId="47EFAA80">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按磋商文件要求提供法定代表人证明及授权书的</w:t>
            </w:r>
          </w:p>
        </w:tc>
        <w:tc>
          <w:tcPr>
            <w:tcW w:w="1521" w:type="dxa"/>
            <w:vAlign w:val="center"/>
          </w:tcPr>
          <w:p w14:paraId="10503262">
            <w:pPr>
              <w:rPr>
                <w:rFonts w:ascii="宋体" w:hAnsi="宋体" w:cs="宋体"/>
                <w:color w:val="000000" w:themeColor="text1"/>
                <w:szCs w:val="21"/>
                <w14:textFill>
                  <w14:solidFill>
                    <w14:schemeClr w14:val="tx1"/>
                  </w14:solidFill>
                </w14:textFill>
              </w:rPr>
            </w:pPr>
          </w:p>
        </w:tc>
        <w:tc>
          <w:tcPr>
            <w:tcW w:w="1701" w:type="dxa"/>
            <w:vAlign w:val="center"/>
          </w:tcPr>
          <w:p w14:paraId="3B8E28F1">
            <w:pPr>
              <w:rPr>
                <w:rFonts w:ascii="宋体" w:hAnsi="宋体" w:cs="宋体"/>
                <w:color w:val="000000" w:themeColor="text1"/>
                <w:szCs w:val="21"/>
                <w14:textFill>
                  <w14:solidFill>
                    <w14:schemeClr w14:val="tx1"/>
                  </w14:solidFill>
                </w14:textFill>
              </w:rPr>
            </w:pPr>
          </w:p>
        </w:tc>
        <w:tc>
          <w:tcPr>
            <w:tcW w:w="1701" w:type="dxa"/>
            <w:vAlign w:val="center"/>
          </w:tcPr>
          <w:p w14:paraId="6F634545">
            <w:pPr>
              <w:rPr>
                <w:rFonts w:ascii="宋体" w:hAnsi="宋体" w:cs="宋体"/>
                <w:color w:val="000000" w:themeColor="text1"/>
                <w:szCs w:val="21"/>
                <w14:textFill>
                  <w14:solidFill>
                    <w14:schemeClr w14:val="tx1"/>
                  </w14:solidFill>
                </w14:textFill>
              </w:rPr>
            </w:pPr>
          </w:p>
        </w:tc>
      </w:tr>
      <w:tr w14:paraId="0D0A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08" w:type="dxa"/>
            <w:vAlign w:val="center"/>
          </w:tcPr>
          <w:p w14:paraId="521AEBFD">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符合磋商文件报价有效期要求的</w:t>
            </w:r>
          </w:p>
        </w:tc>
        <w:tc>
          <w:tcPr>
            <w:tcW w:w="1521" w:type="dxa"/>
            <w:vAlign w:val="center"/>
          </w:tcPr>
          <w:p w14:paraId="79E6689A">
            <w:pPr>
              <w:rPr>
                <w:rFonts w:ascii="宋体" w:hAnsi="宋体" w:cs="宋体"/>
                <w:color w:val="000000" w:themeColor="text1"/>
                <w:szCs w:val="21"/>
                <w14:textFill>
                  <w14:solidFill>
                    <w14:schemeClr w14:val="tx1"/>
                  </w14:solidFill>
                </w14:textFill>
              </w:rPr>
            </w:pPr>
          </w:p>
        </w:tc>
        <w:tc>
          <w:tcPr>
            <w:tcW w:w="1701" w:type="dxa"/>
            <w:vAlign w:val="center"/>
          </w:tcPr>
          <w:p w14:paraId="43251F60">
            <w:pPr>
              <w:rPr>
                <w:rFonts w:ascii="宋体" w:hAnsi="宋体" w:cs="宋体"/>
                <w:color w:val="000000" w:themeColor="text1"/>
                <w:szCs w:val="21"/>
                <w14:textFill>
                  <w14:solidFill>
                    <w14:schemeClr w14:val="tx1"/>
                  </w14:solidFill>
                </w14:textFill>
              </w:rPr>
            </w:pPr>
          </w:p>
        </w:tc>
        <w:tc>
          <w:tcPr>
            <w:tcW w:w="1701" w:type="dxa"/>
            <w:vAlign w:val="center"/>
          </w:tcPr>
          <w:p w14:paraId="645CE31D">
            <w:pPr>
              <w:rPr>
                <w:rFonts w:ascii="宋体" w:hAnsi="宋体" w:cs="宋体"/>
                <w:color w:val="000000" w:themeColor="text1"/>
                <w:szCs w:val="21"/>
                <w14:textFill>
                  <w14:solidFill>
                    <w14:schemeClr w14:val="tx1"/>
                  </w14:solidFill>
                </w14:textFill>
              </w:rPr>
            </w:pPr>
          </w:p>
        </w:tc>
      </w:tr>
      <w:tr w14:paraId="412E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08" w:type="dxa"/>
            <w:vAlign w:val="center"/>
          </w:tcPr>
          <w:p w14:paraId="7F6C31C0">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满足磋商文件中带★号的条款和指标的</w:t>
            </w:r>
          </w:p>
        </w:tc>
        <w:tc>
          <w:tcPr>
            <w:tcW w:w="1521" w:type="dxa"/>
            <w:vAlign w:val="center"/>
          </w:tcPr>
          <w:p w14:paraId="474AC787">
            <w:pPr>
              <w:rPr>
                <w:rFonts w:ascii="宋体" w:hAnsi="宋体" w:cs="宋体"/>
                <w:color w:val="000000" w:themeColor="text1"/>
                <w:szCs w:val="21"/>
                <w14:textFill>
                  <w14:solidFill>
                    <w14:schemeClr w14:val="tx1"/>
                  </w14:solidFill>
                </w14:textFill>
              </w:rPr>
            </w:pPr>
          </w:p>
        </w:tc>
        <w:tc>
          <w:tcPr>
            <w:tcW w:w="1701" w:type="dxa"/>
            <w:vAlign w:val="center"/>
          </w:tcPr>
          <w:p w14:paraId="36CFDB40">
            <w:pPr>
              <w:rPr>
                <w:rFonts w:ascii="宋体" w:hAnsi="宋体" w:cs="宋体"/>
                <w:color w:val="000000" w:themeColor="text1"/>
                <w:szCs w:val="21"/>
                <w14:textFill>
                  <w14:solidFill>
                    <w14:schemeClr w14:val="tx1"/>
                  </w14:solidFill>
                </w14:textFill>
              </w:rPr>
            </w:pPr>
          </w:p>
        </w:tc>
        <w:tc>
          <w:tcPr>
            <w:tcW w:w="1701" w:type="dxa"/>
            <w:vAlign w:val="center"/>
          </w:tcPr>
          <w:p w14:paraId="0F7BA577">
            <w:pPr>
              <w:rPr>
                <w:rFonts w:ascii="宋体" w:hAnsi="宋体" w:cs="宋体"/>
                <w:color w:val="000000" w:themeColor="text1"/>
                <w:szCs w:val="21"/>
                <w14:textFill>
                  <w14:solidFill>
                    <w14:schemeClr w14:val="tx1"/>
                  </w14:solidFill>
                </w14:textFill>
              </w:rPr>
            </w:pPr>
          </w:p>
        </w:tc>
      </w:tr>
      <w:tr w14:paraId="5C84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08" w:type="dxa"/>
            <w:vAlign w:val="center"/>
          </w:tcPr>
          <w:p w14:paraId="10FFC696">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未发现无效报价的其他情形的（见注4）</w:t>
            </w:r>
          </w:p>
        </w:tc>
        <w:tc>
          <w:tcPr>
            <w:tcW w:w="1521" w:type="dxa"/>
            <w:vAlign w:val="center"/>
          </w:tcPr>
          <w:p w14:paraId="5A4C1E03">
            <w:pPr>
              <w:rPr>
                <w:rFonts w:ascii="宋体" w:hAnsi="宋体" w:cs="宋体"/>
                <w:color w:val="000000" w:themeColor="text1"/>
                <w:szCs w:val="21"/>
                <w14:textFill>
                  <w14:solidFill>
                    <w14:schemeClr w14:val="tx1"/>
                  </w14:solidFill>
                </w14:textFill>
              </w:rPr>
            </w:pPr>
          </w:p>
        </w:tc>
        <w:tc>
          <w:tcPr>
            <w:tcW w:w="1701" w:type="dxa"/>
            <w:vAlign w:val="center"/>
          </w:tcPr>
          <w:p w14:paraId="02929FCD">
            <w:pPr>
              <w:rPr>
                <w:rFonts w:ascii="宋体" w:hAnsi="宋体" w:cs="宋体"/>
                <w:color w:val="000000" w:themeColor="text1"/>
                <w:szCs w:val="21"/>
                <w14:textFill>
                  <w14:solidFill>
                    <w14:schemeClr w14:val="tx1"/>
                  </w14:solidFill>
                </w14:textFill>
              </w:rPr>
            </w:pPr>
          </w:p>
        </w:tc>
        <w:tc>
          <w:tcPr>
            <w:tcW w:w="1701" w:type="dxa"/>
            <w:vAlign w:val="center"/>
          </w:tcPr>
          <w:p w14:paraId="74134222">
            <w:pPr>
              <w:rPr>
                <w:rFonts w:ascii="宋体" w:hAnsi="宋体" w:cs="宋体"/>
                <w:color w:val="000000" w:themeColor="text1"/>
                <w:szCs w:val="21"/>
                <w14:textFill>
                  <w14:solidFill>
                    <w14:schemeClr w14:val="tx1"/>
                  </w14:solidFill>
                </w14:textFill>
              </w:rPr>
            </w:pPr>
          </w:p>
        </w:tc>
      </w:tr>
      <w:tr w14:paraId="7317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4608" w:type="dxa"/>
            <w:vAlign w:val="center"/>
          </w:tcPr>
          <w:p w14:paraId="7EF0D813">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结论</w:t>
            </w:r>
          </w:p>
        </w:tc>
        <w:tc>
          <w:tcPr>
            <w:tcW w:w="1521" w:type="dxa"/>
            <w:vAlign w:val="center"/>
          </w:tcPr>
          <w:p w14:paraId="39596AF8">
            <w:pPr>
              <w:rPr>
                <w:rFonts w:ascii="宋体" w:hAnsi="宋体" w:cs="宋体"/>
                <w:color w:val="000000" w:themeColor="text1"/>
                <w:szCs w:val="21"/>
                <w14:textFill>
                  <w14:solidFill>
                    <w14:schemeClr w14:val="tx1"/>
                  </w14:solidFill>
                </w14:textFill>
              </w:rPr>
            </w:pPr>
          </w:p>
        </w:tc>
        <w:tc>
          <w:tcPr>
            <w:tcW w:w="1701" w:type="dxa"/>
            <w:vAlign w:val="center"/>
          </w:tcPr>
          <w:p w14:paraId="36878218">
            <w:pPr>
              <w:rPr>
                <w:rFonts w:ascii="宋体" w:hAnsi="宋体" w:cs="宋体"/>
                <w:color w:val="000000" w:themeColor="text1"/>
                <w:szCs w:val="21"/>
                <w14:textFill>
                  <w14:solidFill>
                    <w14:schemeClr w14:val="tx1"/>
                  </w14:solidFill>
                </w14:textFill>
              </w:rPr>
            </w:pPr>
          </w:p>
        </w:tc>
        <w:tc>
          <w:tcPr>
            <w:tcW w:w="1701" w:type="dxa"/>
            <w:vAlign w:val="center"/>
          </w:tcPr>
          <w:p w14:paraId="3D5EBAB1">
            <w:pPr>
              <w:rPr>
                <w:rFonts w:ascii="宋体" w:hAnsi="宋体" w:cs="宋体"/>
                <w:color w:val="000000" w:themeColor="text1"/>
                <w:szCs w:val="21"/>
                <w14:textFill>
                  <w14:solidFill>
                    <w14:schemeClr w14:val="tx1"/>
                  </w14:solidFill>
                </w14:textFill>
              </w:rPr>
            </w:pPr>
          </w:p>
        </w:tc>
      </w:tr>
    </w:tbl>
    <w:p w14:paraId="2E87E0AB">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注：1.报价人分栏中填写“○”表示该项符合磋商文件要求，“×”表示该项不符合磋商文件要求；</w:t>
      </w:r>
    </w:p>
    <w:p w14:paraId="6D353215">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2.结论栏中填写“通过”表示该报价人报价文件符合磋商文件要求，“不通过”表示该报价人报价文件不符合文件要求；</w:t>
      </w:r>
    </w:p>
    <w:p w14:paraId="2D6DFEFB">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3.结论汇总意见采取少数服从多数原则，即超过半数磋商小组成员的结论为“通过”则该报价人通过资格性、符合性检查，否则不通过。</w:t>
      </w:r>
    </w:p>
    <w:p w14:paraId="0CA8CB45">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4.无效报价的其他情形</w:t>
      </w:r>
    </w:p>
    <w:p w14:paraId="403E37F8">
      <w:pPr>
        <w:widowControl/>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4.1.经磋商小组认定报价文件提供虚假材料的；</w:t>
      </w:r>
    </w:p>
    <w:p w14:paraId="36876C47">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w:t>
      </w:r>
      <w:r>
        <w:rPr>
          <w:rFonts w:hint="eastAsia" w:ascii="宋体" w:hAnsi="宋体" w:cs="宋体"/>
          <w:color w:val="000000" w:themeColor="text1"/>
          <w:szCs w:val="22"/>
          <w:highlight w:val="white"/>
          <w14:textFill>
            <w14:solidFill>
              <w14:schemeClr w14:val="tx1"/>
            </w14:solidFill>
          </w14:textFill>
        </w:rPr>
        <w:t>报价人以他人的名义报价、串通报价、以行贿手段谋取成交或者以其他弄虚作假方式报价的；</w:t>
      </w:r>
    </w:p>
    <w:p w14:paraId="6AB131B8">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w:t>
      </w:r>
      <w:r>
        <w:rPr>
          <w:rFonts w:hint="eastAsia" w:ascii="宋体" w:hAnsi="宋体" w:cs="宋体"/>
          <w:color w:val="000000" w:themeColor="text1"/>
          <w:szCs w:val="22"/>
          <w:highlight w:val="white"/>
          <w14:textFill>
            <w14:solidFill>
              <w14:schemeClr w14:val="tx1"/>
            </w14:solidFill>
          </w14:textFill>
        </w:rPr>
        <w:t>报价人对采购人、采购代理机构、磋商小组及其工作人员施加影响，有碍采购公平、公正的；</w:t>
      </w:r>
    </w:p>
    <w:p w14:paraId="21DD0265">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w:t>
      </w:r>
      <w:r>
        <w:rPr>
          <w:rFonts w:hint="eastAsia" w:ascii="宋体" w:hAnsi="宋体" w:cs="宋体"/>
          <w:color w:val="000000" w:themeColor="text1"/>
          <w:szCs w:val="22"/>
          <w:highlight w:val="white"/>
          <w14:textFill>
            <w14:solidFill>
              <w14:schemeClr w14:val="tx1"/>
            </w14:solidFill>
          </w14:textFill>
        </w:rPr>
        <w:t>评审期间，报价人没有按磋商小组的要求提交澄清、说明或更正的；</w:t>
      </w:r>
    </w:p>
    <w:p w14:paraId="00A3DBC2">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w:t>
      </w:r>
      <w:r>
        <w:rPr>
          <w:rFonts w:hint="eastAsia" w:ascii="宋体" w:hAnsi="宋体" w:cs="宋体"/>
          <w:color w:val="000000" w:themeColor="text1"/>
          <w:szCs w:val="22"/>
          <w:highlight w:val="white"/>
          <w14:textFill>
            <w14:solidFill>
              <w14:schemeClr w14:val="tx1"/>
            </w14:solidFill>
          </w14:textFill>
        </w:rPr>
        <w:t>报价文件附有采购人不能接受的条件；</w:t>
      </w:r>
    </w:p>
    <w:p w14:paraId="66687443">
      <w:pPr>
        <w:widowControl/>
        <w:ind w:firstLine="420"/>
        <w:rPr>
          <w:rFonts w:ascii="宋体" w:hAnsi="宋体" w:cs="宋体"/>
          <w:color w:val="000000" w:themeColor="text1"/>
          <w:szCs w:val="21"/>
          <w:lang w:val="en-GB"/>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w:t>
      </w:r>
      <w:r>
        <w:rPr>
          <w:rFonts w:hint="eastAsia" w:ascii="宋体" w:hAnsi="宋体" w:cs="宋体"/>
          <w:color w:val="000000" w:themeColor="text1"/>
          <w:szCs w:val="22"/>
          <w:highlight w:val="white"/>
          <w14:textFill>
            <w14:solidFill>
              <w14:schemeClr w14:val="tx1"/>
            </w14:solidFill>
          </w14:textFill>
        </w:rPr>
        <w:t>出现不符合相关法律、法规要求的情况的。</w:t>
      </w:r>
    </w:p>
    <w:p w14:paraId="5779F45A">
      <w:pP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br w:type="page"/>
      </w:r>
    </w:p>
    <w:p w14:paraId="648C5671">
      <w:pPr>
        <w:widowControl/>
        <w:spacing w:line="360" w:lineRule="auto"/>
        <w:outlineLvl w:val="1"/>
        <w:rPr>
          <w:rFonts w:ascii="宋体" w:hAnsi="宋体" w:cs="宋体"/>
          <w:color w:val="000000" w:themeColor="text1"/>
          <w:szCs w:val="24"/>
          <w:lang w:val="en-GB"/>
          <w14:textFill>
            <w14:solidFill>
              <w14:schemeClr w14:val="tx1"/>
            </w14:solidFill>
          </w14:textFill>
        </w:rPr>
      </w:pPr>
      <w:r>
        <w:rPr>
          <w:rFonts w:hint="eastAsia" w:ascii="宋体" w:hAnsi="宋体" w:cs="宋体"/>
          <w:color w:val="000000" w:themeColor="text1"/>
          <w:szCs w:val="24"/>
          <w14:textFill>
            <w14:solidFill>
              <w14:schemeClr w14:val="tx1"/>
            </w14:solidFill>
          </w14:textFill>
        </w:rPr>
        <w:t>附表2 最终符合性审查表</w:t>
      </w:r>
    </w:p>
    <w:tbl>
      <w:tblPr>
        <w:tblStyle w:val="38"/>
        <w:tblW w:w="9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521"/>
        <w:gridCol w:w="1701"/>
        <w:gridCol w:w="1701"/>
      </w:tblGrid>
      <w:tr w14:paraId="2855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8" w:type="dxa"/>
            <w:vMerge w:val="restart"/>
            <w:vAlign w:val="center"/>
          </w:tcPr>
          <w:p w14:paraId="5B5A6118">
            <w:pPr>
              <w:spacing w:after="100" w:afterAutospacing="1"/>
              <w:rPr>
                <w:rFonts w:ascii="宋体" w:hAnsi="宋体" w:cs="宋体"/>
                <w:color w:val="000000" w:themeColor="text1"/>
                <w:szCs w:val="21"/>
                <w14:textFill>
                  <w14:solidFill>
                    <w14:schemeClr w14:val="tx1"/>
                  </w14:solidFill>
                </w14:textFill>
              </w:rPr>
            </w:pPr>
            <w:bookmarkStart w:id="103" w:name="EBdedee598833e43a49726656fcb6bcdcb"/>
            <w:r>
              <w:rPr>
                <w:rFonts w:hint="eastAsia" w:ascii="宋体" w:hAnsi="宋体" w:cs="宋体"/>
                <w:color w:val="000000" w:themeColor="text1"/>
                <w:sz w:val="20"/>
                <w:szCs w:val="24"/>
                <w:highlight w:val="white"/>
                <w14:textFill>
                  <w14:solidFill>
                    <w14:schemeClr w14:val="tx1"/>
                  </w14:solidFill>
                </w14:textFill>
              </w:rPr>
              <w:t xml:space="preserve"> </w:t>
            </w:r>
            <w:bookmarkEnd w:id="103"/>
            <w:r>
              <w:rPr>
                <w:rFonts w:hint="eastAsia" w:ascii="宋体" w:hAnsi="宋体" w:cs="宋体"/>
                <w:color w:val="000000" w:themeColor="text1"/>
                <w:szCs w:val="21"/>
                <w14:textFill>
                  <w14:solidFill>
                    <w14:schemeClr w14:val="tx1"/>
                  </w14:solidFill>
                </w14:textFill>
              </w:rPr>
              <w:t>评审内容</w:t>
            </w:r>
          </w:p>
        </w:tc>
        <w:tc>
          <w:tcPr>
            <w:tcW w:w="4923" w:type="dxa"/>
            <w:gridSpan w:val="3"/>
            <w:vAlign w:val="center"/>
          </w:tcPr>
          <w:p w14:paraId="5366A5E4">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报价人名称</w:t>
            </w:r>
          </w:p>
        </w:tc>
      </w:tr>
      <w:tr w14:paraId="633E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8" w:type="dxa"/>
            <w:vMerge w:val="continue"/>
            <w:vAlign w:val="center"/>
          </w:tcPr>
          <w:p w14:paraId="2B5564E7">
            <w:pPr>
              <w:rPr>
                <w:rFonts w:ascii="宋体" w:hAnsi="宋体" w:cs="宋体"/>
                <w:color w:val="000000" w:themeColor="text1"/>
                <w:szCs w:val="21"/>
                <w14:textFill>
                  <w14:solidFill>
                    <w14:schemeClr w14:val="tx1"/>
                  </w14:solidFill>
                </w14:textFill>
              </w:rPr>
            </w:pPr>
          </w:p>
        </w:tc>
        <w:tc>
          <w:tcPr>
            <w:tcW w:w="1521" w:type="dxa"/>
            <w:vAlign w:val="center"/>
          </w:tcPr>
          <w:p w14:paraId="6729C83B">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报价人A</w:t>
            </w:r>
          </w:p>
        </w:tc>
        <w:tc>
          <w:tcPr>
            <w:tcW w:w="1701" w:type="dxa"/>
            <w:vAlign w:val="center"/>
          </w:tcPr>
          <w:p w14:paraId="0C2FEB34">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报价人B</w:t>
            </w:r>
          </w:p>
        </w:tc>
        <w:tc>
          <w:tcPr>
            <w:tcW w:w="1701" w:type="dxa"/>
            <w:vAlign w:val="center"/>
          </w:tcPr>
          <w:p w14:paraId="3B5B2DD7">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报价人C</w:t>
            </w:r>
          </w:p>
        </w:tc>
      </w:tr>
      <w:tr w14:paraId="18A7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4608" w:type="dxa"/>
            <w:vAlign w:val="center"/>
          </w:tcPr>
          <w:p w14:paraId="556F52E4">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报价唯一，报价下浮率报价范围：0%≤报价下浮率＜100%，如磋商小组没有对磋商文件作实质性变动增加新的需求，最后报价下浮率不低于首次报价下浮率；未被认定低于其成本报价。</w:t>
            </w:r>
          </w:p>
        </w:tc>
        <w:tc>
          <w:tcPr>
            <w:tcW w:w="1521" w:type="dxa"/>
            <w:vAlign w:val="center"/>
          </w:tcPr>
          <w:p w14:paraId="3D031CCE">
            <w:pPr>
              <w:rPr>
                <w:rFonts w:ascii="宋体" w:hAnsi="宋体" w:cs="宋体"/>
                <w:color w:val="000000" w:themeColor="text1"/>
                <w:szCs w:val="21"/>
                <w14:textFill>
                  <w14:solidFill>
                    <w14:schemeClr w14:val="tx1"/>
                  </w14:solidFill>
                </w14:textFill>
              </w:rPr>
            </w:pPr>
          </w:p>
        </w:tc>
        <w:tc>
          <w:tcPr>
            <w:tcW w:w="1701" w:type="dxa"/>
            <w:vAlign w:val="center"/>
          </w:tcPr>
          <w:p w14:paraId="046F9763">
            <w:pPr>
              <w:rPr>
                <w:rFonts w:ascii="宋体" w:hAnsi="宋体" w:cs="宋体"/>
                <w:color w:val="000000" w:themeColor="text1"/>
                <w:szCs w:val="21"/>
                <w14:textFill>
                  <w14:solidFill>
                    <w14:schemeClr w14:val="tx1"/>
                  </w14:solidFill>
                </w14:textFill>
              </w:rPr>
            </w:pPr>
          </w:p>
        </w:tc>
        <w:tc>
          <w:tcPr>
            <w:tcW w:w="1701" w:type="dxa"/>
            <w:vAlign w:val="center"/>
          </w:tcPr>
          <w:p w14:paraId="36CD0127">
            <w:pPr>
              <w:rPr>
                <w:rFonts w:ascii="宋体" w:hAnsi="宋体" w:cs="宋体"/>
                <w:color w:val="000000" w:themeColor="text1"/>
                <w:szCs w:val="21"/>
                <w14:textFill>
                  <w14:solidFill>
                    <w14:schemeClr w14:val="tx1"/>
                  </w14:solidFill>
                </w14:textFill>
              </w:rPr>
            </w:pPr>
          </w:p>
        </w:tc>
      </w:tr>
      <w:tr w14:paraId="29CA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08" w:type="dxa"/>
            <w:vAlign w:val="center"/>
          </w:tcPr>
          <w:p w14:paraId="36DB7E1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磋商后的承诺满足磋商文件中带★号的条款和指标的</w:t>
            </w:r>
          </w:p>
        </w:tc>
        <w:tc>
          <w:tcPr>
            <w:tcW w:w="1521" w:type="dxa"/>
            <w:vAlign w:val="center"/>
          </w:tcPr>
          <w:p w14:paraId="77166B5E">
            <w:pPr>
              <w:rPr>
                <w:rFonts w:ascii="宋体" w:hAnsi="宋体" w:cs="宋体"/>
                <w:color w:val="000000" w:themeColor="text1"/>
                <w:szCs w:val="21"/>
                <w14:textFill>
                  <w14:solidFill>
                    <w14:schemeClr w14:val="tx1"/>
                  </w14:solidFill>
                </w14:textFill>
              </w:rPr>
            </w:pPr>
          </w:p>
        </w:tc>
        <w:tc>
          <w:tcPr>
            <w:tcW w:w="1701" w:type="dxa"/>
            <w:vAlign w:val="center"/>
          </w:tcPr>
          <w:p w14:paraId="5087A18A">
            <w:pPr>
              <w:rPr>
                <w:rFonts w:ascii="宋体" w:hAnsi="宋体" w:cs="宋体"/>
                <w:color w:val="000000" w:themeColor="text1"/>
                <w:szCs w:val="21"/>
                <w14:textFill>
                  <w14:solidFill>
                    <w14:schemeClr w14:val="tx1"/>
                  </w14:solidFill>
                </w14:textFill>
              </w:rPr>
            </w:pPr>
          </w:p>
        </w:tc>
        <w:tc>
          <w:tcPr>
            <w:tcW w:w="1701" w:type="dxa"/>
            <w:vAlign w:val="center"/>
          </w:tcPr>
          <w:p w14:paraId="00EF90B6">
            <w:pPr>
              <w:rPr>
                <w:rFonts w:ascii="宋体" w:hAnsi="宋体" w:cs="宋体"/>
                <w:color w:val="000000" w:themeColor="text1"/>
                <w:szCs w:val="21"/>
                <w14:textFill>
                  <w14:solidFill>
                    <w14:schemeClr w14:val="tx1"/>
                  </w14:solidFill>
                </w14:textFill>
              </w:rPr>
            </w:pPr>
          </w:p>
        </w:tc>
      </w:tr>
      <w:tr w14:paraId="3804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08" w:type="dxa"/>
            <w:vAlign w:val="center"/>
          </w:tcPr>
          <w:p w14:paraId="696484CA">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未发现无效报价的其他情形的（见注4）</w:t>
            </w:r>
          </w:p>
        </w:tc>
        <w:tc>
          <w:tcPr>
            <w:tcW w:w="1521" w:type="dxa"/>
            <w:vAlign w:val="center"/>
          </w:tcPr>
          <w:p w14:paraId="67130B14">
            <w:pPr>
              <w:rPr>
                <w:rFonts w:ascii="宋体" w:hAnsi="宋体" w:cs="宋体"/>
                <w:color w:val="000000" w:themeColor="text1"/>
                <w:szCs w:val="21"/>
                <w14:textFill>
                  <w14:solidFill>
                    <w14:schemeClr w14:val="tx1"/>
                  </w14:solidFill>
                </w14:textFill>
              </w:rPr>
            </w:pPr>
          </w:p>
        </w:tc>
        <w:tc>
          <w:tcPr>
            <w:tcW w:w="1701" w:type="dxa"/>
            <w:vAlign w:val="center"/>
          </w:tcPr>
          <w:p w14:paraId="2A722A0D">
            <w:pPr>
              <w:rPr>
                <w:rFonts w:ascii="宋体" w:hAnsi="宋体" w:cs="宋体"/>
                <w:color w:val="000000" w:themeColor="text1"/>
                <w:szCs w:val="21"/>
                <w14:textFill>
                  <w14:solidFill>
                    <w14:schemeClr w14:val="tx1"/>
                  </w14:solidFill>
                </w14:textFill>
              </w:rPr>
            </w:pPr>
          </w:p>
        </w:tc>
        <w:tc>
          <w:tcPr>
            <w:tcW w:w="1701" w:type="dxa"/>
            <w:vAlign w:val="center"/>
          </w:tcPr>
          <w:p w14:paraId="736A8FF5">
            <w:pPr>
              <w:rPr>
                <w:rFonts w:ascii="宋体" w:hAnsi="宋体" w:cs="宋体"/>
                <w:color w:val="000000" w:themeColor="text1"/>
                <w:szCs w:val="21"/>
                <w14:textFill>
                  <w14:solidFill>
                    <w14:schemeClr w14:val="tx1"/>
                  </w14:solidFill>
                </w14:textFill>
              </w:rPr>
            </w:pPr>
          </w:p>
        </w:tc>
      </w:tr>
      <w:tr w14:paraId="3D91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4608" w:type="dxa"/>
            <w:vAlign w:val="center"/>
          </w:tcPr>
          <w:p w14:paraId="36C5C0A0">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结论</w:t>
            </w:r>
          </w:p>
        </w:tc>
        <w:tc>
          <w:tcPr>
            <w:tcW w:w="1521" w:type="dxa"/>
            <w:vAlign w:val="center"/>
          </w:tcPr>
          <w:p w14:paraId="524ABDD8">
            <w:pPr>
              <w:rPr>
                <w:rFonts w:ascii="宋体" w:hAnsi="宋体" w:cs="宋体"/>
                <w:color w:val="000000" w:themeColor="text1"/>
                <w:szCs w:val="21"/>
                <w14:textFill>
                  <w14:solidFill>
                    <w14:schemeClr w14:val="tx1"/>
                  </w14:solidFill>
                </w14:textFill>
              </w:rPr>
            </w:pPr>
          </w:p>
        </w:tc>
        <w:tc>
          <w:tcPr>
            <w:tcW w:w="1701" w:type="dxa"/>
            <w:vAlign w:val="center"/>
          </w:tcPr>
          <w:p w14:paraId="00708103">
            <w:pPr>
              <w:rPr>
                <w:rFonts w:ascii="宋体" w:hAnsi="宋体" w:cs="宋体"/>
                <w:color w:val="000000" w:themeColor="text1"/>
                <w:szCs w:val="21"/>
                <w14:textFill>
                  <w14:solidFill>
                    <w14:schemeClr w14:val="tx1"/>
                  </w14:solidFill>
                </w14:textFill>
              </w:rPr>
            </w:pPr>
          </w:p>
        </w:tc>
        <w:tc>
          <w:tcPr>
            <w:tcW w:w="1701" w:type="dxa"/>
            <w:vAlign w:val="center"/>
          </w:tcPr>
          <w:p w14:paraId="6A0F7116">
            <w:pPr>
              <w:rPr>
                <w:rFonts w:ascii="宋体" w:hAnsi="宋体" w:cs="宋体"/>
                <w:color w:val="000000" w:themeColor="text1"/>
                <w:szCs w:val="21"/>
                <w14:textFill>
                  <w14:solidFill>
                    <w14:schemeClr w14:val="tx1"/>
                  </w14:solidFill>
                </w14:textFill>
              </w:rPr>
            </w:pPr>
          </w:p>
        </w:tc>
      </w:tr>
    </w:tbl>
    <w:p w14:paraId="214068C2">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注：1.报价人分栏中填写“○”表示该项符合磋商文件要求，“×”表示该项不符合磋商文件要求；</w:t>
      </w:r>
    </w:p>
    <w:p w14:paraId="2B8992C8">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2.结论栏中填写“通过”表示该报价人报价文件符合磋商文件要求，“不通过”表示该报价人报价文件不符合文件要求；</w:t>
      </w:r>
    </w:p>
    <w:p w14:paraId="027DBA61">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3.结论汇总意见采取少数服从多数原则，即超过半数磋商小组成员的结论为“通过”则该报价人通过资格性、符合性检查，否则不通过。</w:t>
      </w:r>
    </w:p>
    <w:p w14:paraId="0D94FBE2">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4.无效报价的其他情形</w:t>
      </w:r>
    </w:p>
    <w:p w14:paraId="6E194FFA">
      <w:pPr>
        <w:widowControl/>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4.1.经磋商小组认定报价文件提供虚假材料的；</w:t>
      </w:r>
    </w:p>
    <w:p w14:paraId="4E5635F1">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w:t>
      </w:r>
      <w:r>
        <w:rPr>
          <w:rFonts w:hint="eastAsia" w:ascii="宋体" w:hAnsi="宋体" w:cs="宋体"/>
          <w:color w:val="000000" w:themeColor="text1"/>
          <w:szCs w:val="22"/>
          <w:highlight w:val="white"/>
          <w14:textFill>
            <w14:solidFill>
              <w14:schemeClr w14:val="tx1"/>
            </w14:solidFill>
          </w14:textFill>
        </w:rPr>
        <w:t>报价人以他人的名义报价、串通报价、以行贿手段谋取成交或者以其他弄虚作假方式报价的；</w:t>
      </w:r>
    </w:p>
    <w:p w14:paraId="6E207718">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w:t>
      </w:r>
      <w:r>
        <w:rPr>
          <w:rFonts w:hint="eastAsia" w:ascii="宋体" w:hAnsi="宋体" w:cs="宋体"/>
          <w:color w:val="000000" w:themeColor="text1"/>
          <w:szCs w:val="22"/>
          <w:highlight w:val="white"/>
          <w14:textFill>
            <w14:solidFill>
              <w14:schemeClr w14:val="tx1"/>
            </w14:solidFill>
          </w14:textFill>
        </w:rPr>
        <w:t>报价人对采购人、采购代理机构、磋商小组及其工作人员施加影响，有碍采购公平、公正的；</w:t>
      </w:r>
    </w:p>
    <w:p w14:paraId="1D0D6FD4">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w:t>
      </w:r>
      <w:r>
        <w:rPr>
          <w:rFonts w:hint="eastAsia" w:ascii="宋体" w:hAnsi="宋体" w:cs="宋体"/>
          <w:color w:val="000000" w:themeColor="text1"/>
          <w:szCs w:val="22"/>
          <w:highlight w:val="white"/>
          <w14:textFill>
            <w14:solidFill>
              <w14:schemeClr w14:val="tx1"/>
            </w14:solidFill>
          </w14:textFill>
        </w:rPr>
        <w:t>评审期间，报价人没有按磋商小组的要求提交澄清、说明或更正的；</w:t>
      </w:r>
    </w:p>
    <w:p w14:paraId="4F3E83B8">
      <w:pPr>
        <w:widowControl/>
        <w:spacing w:line="360" w:lineRule="auto"/>
        <w:ind w:firstLine="420" w:firstLineChars="200"/>
        <w:rPr>
          <w:rFonts w:ascii="宋体" w:hAnsi="宋体" w:cs="宋体"/>
          <w:color w:val="000000" w:themeColor="text1"/>
          <w:szCs w:val="22"/>
          <w:highlight w:val="whit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w:t>
      </w:r>
      <w:r>
        <w:rPr>
          <w:rFonts w:hint="eastAsia" w:ascii="宋体" w:hAnsi="宋体" w:cs="宋体"/>
          <w:color w:val="000000" w:themeColor="text1"/>
          <w:szCs w:val="22"/>
          <w:highlight w:val="white"/>
          <w14:textFill>
            <w14:solidFill>
              <w14:schemeClr w14:val="tx1"/>
            </w14:solidFill>
          </w14:textFill>
        </w:rPr>
        <w:t>报价文件附有采购人不能接受的条件；</w:t>
      </w:r>
    </w:p>
    <w:p w14:paraId="21340354">
      <w:pPr>
        <w:widowControl/>
        <w:ind w:firstLine="42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w:t>
      </w:r>
      <w:r>
        <w:rPr>
          <w:rFonts w:hint="eastAsia" w:ascii="宋体" w:hAnsi="宋体" w:cs="宋体"/>
          <w:color w:val="000000" w:themeColor="text1"/>
          <w:szCs w:val="22"/>
          <w:highlight w:val="white"/>
          <w14:textFill>
            <w14:solidFill>
              <w14:schemeClr w14:val="tx1"/>
            </w14:solidFill>
          </w14:textFill>
        </w:rPr>
        <w:t>出现不符合相关法律、法规要求的情况的。</w:t>
      </w:r>
    </w:p>
    <w:p w14:paraId="7C05DF74">
      <w:pPr>
        <w:rPr>
          <w:rFonts w:ascii="宋体" w:hAnsi="宋体" w:cs="宋体"/>
          <w:color w:val="000000" w:themeColor="text1"/>
          <w:szCs w:val="24"/>
          <w14:textFill>
            <w14:solidFill>
              <w14:schemeClr w14:val="tx1"/>
            </w14:solidFill>
          </w14:textFill>
        </w:rPr>
      </w:pPr>
      <w:bookmarkStart w:id="104" w:name="EB185ec0b1e41d475fbf67e3df697af87d"/>
      <w:r>
        <w:rPr>
          <w:rFonts w:hint="eastAsia" w:ascii="宋体" w:hAnsi="宋体" w:cs="宋体"/>
          <w:color w:val="000000" w:themeColor="text1"/>
          <w:szCs w:val="24"/>
          <w14:textFill>
            <w14:solidFill>
              <w14:schemeClr w14:val="tx1"/>
            </w14:solidFill>
          </w14:textFill>
        </w:rPr>
        <w:t xml:space="preserve"> </w:t>
      </w:r>
      <w:bookmarkEnd w:id="74"/>
      <w:bookmarkEnd w:id="104"/>
    </w:p>
    <w:p w14:paraId="15270948">
      <w:pPr>
        <w:rPr>
          <w:rFonts w:ascii="宋体" w:hAnsi="宋体" w:cs="宋体"/>
          <w:color w:val="000000" w:themeColor="text1"/>
          <w14:textFill>
            <w14:solidFill>
              <w14:schemeClr w14:val="tx1"/>
            </w14:solidFill>
          </w14:textFill>
        </w:rPr>
      </w:pPr>
    </w:p>
    <w:p w14:paraId="61BD2B4E">
      <w:pPr>
        <w:rPr>
          <w:rFonts w:ascii="宋体" w:hAnsi="宋体" w:cs="宋体"/>
          <w:color w:val="000000" w:themeColor="text1"/>
          <w14:textFill>
            <w14:solidFill>
              <w14:schemeClr w14:val="tx1"/>
            </w14:solidFill>
          </w14:textFill>
        </w:rPr>
      </w:pPr>
    </w:p>
    <w:p w14:paraId="02CB34F6">
      <w:pPr>
        <w:rPr>
          <w:rFonts w:ascii="宋体" w:hAnsi="宋体" w:cs="宋体"/>
          <w:color w:val="000000" w:themeColor="text1"/>
          <w14:textFill>
            <w14:solidFill>
              <w14:schemeClr w14:val="tx1"/>
            </w14:solidFill>
          </w14:textFill>
        </w:rPr>
      </w:pPr>
    </w:p>
    <w:p w14:paraId="252813F8">
      <w:pPr>
        <w:rPr>
          <w:rFonts w:ascii="宋体" w:hAnsi="宋体" w:cs="宋体"/>
          <w:color w:val="000000" w:themeColor="text1"/>
          <w14:textFill>
            <w14:solidFill>
              <w14:schemeClr w14:val="tx1"/>
            </w14:solidFill>
          </w14:textFill>
        </w:rPr>
      </w:pPr>
    </w:p>
    <w:p w14:paraId="15F763E7">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p>
    <w:p w14:paraId="14255D49">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p>
    <w:p w14:paraId="642F8B00">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p>
    <w:p w14:paraId="300B6989">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p>
    <w:p w14:paraId="79F40835">
      <w:pPr>
        <w:autoSpaceDE w:val="0"/>
        <w:autoSpaceDN w:val="0"/>
        <w:adjustRightInd w:val="0"/>
        <w:spacing w:line="360" w:lineRule="auto"/>
        <w:ind w:right="678" w:rightChars="323"/>
        <w:jc w:val="left"/>
        <w:rPr>
          <w:rFonts w:ascii="宋体" w:hAnsi="宋体" w:cs="宋体"/>
          <w:color w:val="000000" w:themeColor="text1"/>
          <w:szCs w:val="21"/>
          <w14:textFill>
            <w14:solidFill>
              <w14:schemeClr w14:val="tx1"/>
            </w14:solidFill>
          </w14:textFill>
        </w:rPr>
      </w:pPr>
    </w:p>
    <w:p w14:paraId="72C4AA7C">
      <w:pPr>
        <w:rPr>
          <w:color w:val="000000" w:themeColor="text1"/>
          <w14:textFill>
            <w14:solidFill>
              <w14:schemeClr w14:val="tx1"/>
            </w14:solidFill>
          </w14:textFill>
        </w:rPr>
      </w:pPr>
    </w:p>
    <w:p w14:paraId="5091CFE0">
      <w:pPr>
        <w:widowControl/>
        <w:spacing w:line="360" w:lineRule="auto"/>
        <w:outlineLvl w:val="1"/>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附表3                </w:t>
      </w:r>
    </w:p>
    <w:p w14:paraId="1231A3E5">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评分总值最高为100分，商务、技术及价格得分分值分配设置如下：</w:t>
      </w:r>
    </w:p>
    <w:tbl>
      <w:tblPr>
        <w:tblStyle w:val="38"/>
        <w:tblW w:w="91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66"/>
        <w:gridCol w:w="2237"/>
        <w:gridCol w:w="2006"/>
        <w:gridCol w:w="1936"/>
        <w:gridCol w:w="1936"/>
      </w:tblGrid>
      <w:tr w14:paraId="383E09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66" w:type="dxa"/>
            <w:tcBorders>
              <w:top w:val="single" w:color="auto" w:sz="4" w:space="0"/>
              <w:left w:val="single" w:color="auto" w:sz="4" w:space="0"/>
              <w:bottom w:val="single" w:color="auto" w:sz="4" w:space="0"/>
              <w:right w:val="single" w:color="auto" w:sz="4" w:space="0"/>
            </w:tcBorders>
            <w:vAlign w:val="center"/>
          </w:tcPr>
          <w:p w14:paraId="289DE52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评分项目</w:t>
            </w:r>
          </w:p>
        </w:tc>
        <w:tc>
          <w:tcPr>
            <w:tcW w:w="2237" w:type="dxa"/>
            <w:tcBorders>
              <w:top w:val="single" w:color="auto" w:sz="4" w:space="0"/>
              <w:left w:val="single" w:color="auto" w:sz="4" w:space="0"/>
              <w:bottom w:val="single" w:color="auto" w:sz="4" w:space="0"/>
              <w:right w:val="single" w:color="auto" w:sz="4" w:space="0"/>
            </w:tcBorders>
            <w:vAlign w:val="center"/>
          </w:tcPr>
          <w:p w14:paraId="0F41A7A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商务部分   </w:t>
            </w:r>
          </w:p>
        </w:tc>
        <w:tc>
          <w:tcPr>
            <w:tcW w:w="2006" w:type="dxa"/>
            <w:tcBorders>
              <w:top w:val="single" w:color="auto" w:sz="4" w:space="0"/>
              <w:left w:val="single" w:color="auto" w:sz="4" w:space="0"/>
              <w:bottom w:val="single" w:color="auto" w:sz="4" w:space="0"/>
              <w:right w:val="single" w:color="auto" w:sz="4" w:space="0"/>
            </w:tcBorders>
            <w:vAlign w:val="center"/>
          </w:tcPr>
          <w:p w14:paraId="3F94AFB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技术部分</w:t>
            </w:r>
          </w:p>
        </w:tc>
        <w:tc>
          <w:tcPr>
            <w:tcW w:w="1936" w:type="dxa"/>
            <w:tcBorders>
              <w:top w:val="single" w:color="auto" w:sz="4" w:space="0"/>
              <w:left w:val="single" w:color="auto" w:sz="4" w:space="0"/>
              <w:bottom w:val="single" w:color="auto" w:sz="4" w:space="0"/>
              <w:right w:val="single" w:color="auto" w:sz="4" w:space="0"/>
            </w:tcBorders>
            <w:vAlign w:val="center"/>
          </w:tcPr>
          <w:p w14:paraId="5A059D8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价格部分</w:t>
            </w:r>
          </w:p>
        </w:tc>
        <w:tc>
          <w:tcPr>
            <w:tcW w:w="1936" w:type="dxa"/>
            <w:tcBorders>
              <w:top w:val="single" w:color="auto" w:sz="4" w:space="0"/>
              <w:left w:val="single" w:color="auto" w:sz="4" w:space="0"/>
              <w:bottom w:val="single" w:color="auto" w:sz="4" w:space="0"/>
              <w:right w:val="single" w:color="auto" w:sz="4" w:space="0"/>
            </w:tcBorders>
          </w:tcPr>
          <w:p w14:paraId="79967B3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总分</w:t>
            </w:r>
          </w:p>
        </w:tc>
      </w:tr>
      <w:tr w14:paraId="4FAAE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66" w:type="dxa"/>
            <w:tcBorders>
              <w:top w:val="single" w:color="auto" w:sz="4" w:space="0"/>
              <w:left w:val="single" w:color="auto" w:sz="4" w:space="0"/>
              <w:bottom w:val="single" w:color="auto" w:sz="4" w:space="0"/>
              <w:right w:val="single" w:color="auto" w:sz="4" w:space="0"/>
            </w:tcBorders>
            <w:vAlign w:val="center"/>
          </w:tcPr>
          <w:p w14:paraId="4435333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权重</w:t>
            </w:r>
          </w:p>
        </w:tc>
        <w:tc>
          <w:tcPr>
            <w:tcW w:w="2237" w:type="dxa"/>
            <w:tcBorders>
              <w:top w:val="single" w:color="auto" w:sz="4" w:space="0"/>
              <w:left w:val="single" w:color="auto" w:sz="4" w:space="0"/>
              <w:bottom w:val="single" w:color="auto" w:sz="4" w:space="0"/>
              <w:right w:val="single" w:color="auto" w:sz="4" w:space="0"/>
            </w:tcBorders>
            <w:vAlign w:val="center"/>
          </w:tcPr>
          <w:p w14:paraId="429E835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w:t>
            </w:r>
          </w:p>
        </w:tc>
        <w:tc>
          <w:tcPr>
            <w:tcW w:w="2006" w:type="dxa"/>
            <w:tcBorders>
              <w:top w:val="single" w:color="auto" w:sz="4" w:space="0"/>
              <w:left w:val="single" w:color="auto" w:sz="4" w:space="0"/>
              <w:bottom w:val="single" w:color="auto" w:sz="4" w:space="0"/>
              <w:right w:val="single" w:color="auto" w:sz="4" w:space="0"/>
            </w:tcBorders>
            <w:vAlign w:val="center"/>
          </w:tcPr>
          <w:p w14:paraId="0FF2F0C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40</w:t>
            </w:r>
          </w:p>
        </w:tc>
        <w:tc>
          <w:tcPr>
            <w:tcW w:w="1936" w:type="dxa"/>
            <w:tcBorders>
              <w:top w:val="single" w:color="auto" w:sz="4" w:space="0"/>
              <w:left w:val="single" w:color="auto" w:sz="4" w:space="0"/>
              <w:bottom w:val="single" w:color="auto" w:sz="4" w:space="0"/>
              <w:right w:val="single" w:color="auto" w:sz="4" w:space="0"/>
            </w:tcBorders>
            <w:vAlign w:val="center"/>
          </w:tcPr>
          <w:p w14:paraId="211BD1C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w:t>
            </w:r>
          </w:p>
        </w:tc>
        <w:tc>
          <w:tcPr>
            <w:tcW w:w="1936" w:type="dxa"/>
            <w:tcBorders>
              <w:top w:val="single" w:color="auto" w:sz="4" w:space="0"/>
              <w:left w:val="single" w:color="auto" w:sz="4" w:space="0"/>
              <w:bottom w:val="single" w:color="auto" w:sz="4" w:space="0"/>
              <w:right w:val="single" w:color="auto" w:sz="4" w:space="0"/>
            </w:tcBorders>
          </w:tcPr>
          <w:p w14:paraId="0AAC8A3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100</w:t>
            </w:r>
          </w:p>
        </w:tc>
      </w:tr>
    </w:tbl>
    <w:p w14:paraId="190E799F">
      <w:pPr>
        <w:spacing w:line="360" w:lineRule="auto"/>
        <w:rPr>
          <w:color w:val="000000" w:themeColor="text1"/>
          <w14:textFill>
            <w14:solidFill>
              <w14:schemeClr w14:val="tx1"/>
            </w14:solidFill>
          </w14:textFill>
        </w:rPr>
      </w:pPr>
    </w:p>
    <w:p w14:paraId="55289575">
      <w:pPr>
        <w:pStyle w:val="15"/>
        <w:jc w:val="center"/>
        <w:rPr>
          <w:rFonts w:hAnsi="宋体" w:cs="宋体"/>
          <w:b/>
          <w:bCs/>
          <w:color w:val="000000" w:themeColor="text1"/>
          <w:sz w:val="32"/>
          <w:szCs w:val="32"/>
          <w14:textFill>
            <w14:solidFill>
              <w14:schemeClr w14:val="tx1"/>
            </w14:solidFill>
          </w14:textFill>
        </w:rPr>
      </w:pPr>
      <w:r>
        <w:rPr>
          <w:rFonts w:hint="eastAsia" w:hAnsi="宋体" w:cs="宋体"/>
          <w:b/>
          <w:bCs/>
          <w:color w:val="000000" w:themeColor="text1"/>
          <w:sz w:val="32"/>
          <w:szCs w:val="32"/>
          <w14:textFill>
            <w14:solidFill>
              <w14:schemeClr w14:val="tx1"/>
            </w14:solidFill>
          </w14:textFill>
        </w:rPr>
        <w:t>商务评审表（30分）</w:t>
      </w:r>
    </w:p>
    <w:tbl>
      <w:tblPr>
        <w:tblStyle w:val="38"/>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600"/>
        <w:gridCol w:w="5930"/>
        <w:gridCol w:w="995"/>
      </w:tblGrid>
      <w:tr w14:paraId="294B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3D3C1593">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600" w:type="dxa"/>
            <w:vAlign w:val="center"/>
          </w:tcPr>
          <w:p w14:paraId="58BCFDD0">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评审内容</w:t>
            </w:r>
          </w:p>
        </w:tc>
        <w:tc>
          <w:tcPr>
            <w:tcW w:w="5930" w:type="dxa"/>
            <w:vAlign w:val="center"/>
          </w:tcPr>
          <w:p w14:paraId="6E4A100C">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评分细则</w:t>
            </w:r>
          </w:p>
        </w:tc>
        <w:tc>
          <w:tcPr>
            <w:tcW w:w="995" w:type="dxa"/>
            <w:vAlign w:val="center"/>
          </w:tcPr>
          <w:p w14:paraId="1ECF1140">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分值</w:t>
            </w:r>
          </w:p>
        </w:tc>
      </w:tr>
      <w:tr w14:paraId="036A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41F9AE35">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600" w:type="dxa"/>
            <w:vAlign w:val="center"/>
          </w:tcPr>
          <w:p w14:paraId="12F2ACAE">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同类项目业绩</w:t>
            </w:r>
          </w:p>
        </w:tc>
        <w:tc>
          <w:tcPr>
            <w:tcW w:w="5930" w:type="dxa"/>
            <w:vAlign w:val="center"/>
          </w:tcPr>
          <w:p w14:paraId="5865EA71">
            <w:pPr>
              <w:tabs>
                <w:tab w:val="left" w:pos="2985"/>
              </w:tabs>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供应商自2023年1月1日至今承担过同类项目业绩的，每提供一项得2分，最高10分。</w:t>
            </w:r>
          </w:p>
          <w:p w14:paraId="6B99C470">
            <w:pPr>
              <w:spacing w:line="360" w:lineRule="auto"/>
              <w:rPr>
                <w:rFonts w:ascii="宋体" w:hAnsi="宋体"/>
                <w:color w:val="000000" w:themeColor="text1"/>
                <w:szCs w:val="21"/>
                <w:lang w:val="zh-CN"/>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注：提供合同关键页（含签订合同双方的单位名称、合同项目概况与含签订合同双方的落款盖章、签订日期的关键页）复印件，且以合同签订时间为准。不提供或无法认定的，不得分。</w:t>
            </w:r>
          </w:p>
        </w:tc>
        <w:tc>
          <w:tcPr>
            <w:tcW w:w="995" w:type="dxa"/>
            <w:vAlign w:val="center"/>
          </w:tcPr>
          <w:p w14:paraId="388C8D27">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r>
      <w:tr w14:paraId="3A42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shd w:val="clear" w:color="auto" w:fill="auto"/>
            <w:vAlign w:val="center"/>
          </w:tcPr>
          <w:p w14:paraId="0ABAC608">
            <w:pPr>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1600" w:type="dxa"/>
            <w:shd w:val="clear" w:color="auto" w:fill="auto"/>
            <w:vAlign w:val="center"/>
          </w:tcPr>
          <w:p w14:paraId="0B46C3CB">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服务质量评价</w:t>
            </w:r>
          </w:p>
        </w:tc>
        <w:tc>
          <w:tcPr>
            <w:tcW w:w="5930" w:type="dxa"/>
            <w:shd w:val="clear" w:color="auto" w:fill="auto"/>
            <w:vAlign w:val="center"/>
          </w:tcPr>
          <w:p w14:paraId="7D6C0CC5">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根据供应商提供的上述有效业绩中，获得好评，或满意，或良好（或以上）或类似评价，每提供1个得2分，最高10分。</w:t>
            </w:r>
          </w:p>
          <w:p w14:paraId="3F3E8170">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注：提供相关证明材料复印件。</w:t>
            </w:r>
          </w:p>
        </w:tc>
        <w:tc>
          <w:tcPr>
            <w:tcW w:w="995" w:type="dxa"/>
            <w:shd w:val="clear" w:color="auto" w:fill="auto"/>
            <w:vAlign w:val="center"/>
          </w:tcPr>
          <w:p w14:paraId="4CCE661F">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r>
      <w:tr w14:paraId="1E56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shd w:val="clear" w:color="auto" w:fill="auto"/>
            <w:vAlign w:val="center"/>
          </w:tcPr>
          <w:p w14:paraId="10CE8A20">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1600" w:type="dxa"/>
            <w:vAlign w:val="center"/>
          </w:tcPr>
          <w:p w14:paraId="6AE71915">
            <w:pPr>
              <w:pStyle w:val="46"/>
              <w:spacing w:line="360" w:lineRule="auto"/>
              <w:jc w:val="center"/>
              <w:rPr>
                <w:rFonts w:hAnsi="宋体"/>
                <w:color w:val="000000" w:themeColor="text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体系认证情况</w:t>
            </w:r>
          </w:p>
        </w:tc>
        <w:tc>
          <w:tcPr>
            <w:tcW w:w="5930" w:type="dxa"/>
            <w:vAlign w:val="center"/>
          </w:tcPr>
          <w:p w14:paraId="26893159">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1.打印耗材类产品具备中国环境标志产品认证证书的，每提供一项得2分，最高得4分。</w:t>
            </w:r>
          </w:p>
          <w:p w14:paraId="293ABAEF">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或生产厂家具备有效的质量管理体系认证证书、环境管理体系认证证书、职业健康安全管理体系认证证书，每提供1项得2分，最高得6分。</w:t>
            </w:r>
          </w:p>
          <w:p w14:paraId="20A8A930">
            <w:pPr>
              <w:spacing w:line="360" w:lineRule="auto"/>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注：提供相关证书复印件，不提供不得分。</w:t>
            </w:r>
          </w:p>
        </w:tc>
        <w:tc>
          <w:tcPr>
            <w:tcW w:w="995" w:type="dxa"/>
            <w:vAlign w:val="center"/>
          </w:tcPr>
          <w:p w14:paraId="051137A8">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r>
    </w:tbl>
    <w:p w14:paraId="257337DA">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47A33F91">
      <w:pPr>
        <w:pStyle w:val="16"/>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技术评审表（40分）</w:t>
      </w:r>
    </w:p>
    <w:tbl>
      <w:tblPr>
        <w:tblStyle w:val="38"/>
        <w:tblW w:w="978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60"/>
        <w:gridCol w:w="6520"/>
        <w:gridCol w:w="851"/>
      </w:tblGrid>
      <w:tr w14:paraId="209A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2DFCDF71">
            <w:pPr>
              <w:spacing w:before="78" w:beforeLines="25" w:after="78" w:afterLines="25"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560" w:type="dxa"/>
            <w:vAlign w:val="center"/>
          </w:tcPr>
          <w:p w14:paraId="50D2DB7E">
            <w:pPr>
              <w:spacing w:before="78" w:beforeLines="25" w:after="78" w:afterLines="25"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评审内容</w:t>
            </w:r>
          </w:p>
        </w:tc>
        <w:tc>
          <w:tcPr>
            <w:tcW w:w="6520" w:type="dxa"/>
            <w:vAlign w:val="center"/>
          </w:tcPr>
          <w:p w14:paraId="113B918C">
            <w:pPr>
              <w:spacing w:before="78" w:beforeLines="25" w:after="78" w:afterLines="25"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评分细则</w:t>
            </w:r>
          </w:p>
        </w:tc>
        <w:tc>
          <w:tcPr>
            <w:tcW w:w="851" w:type="dxa"/>
            <w:vAlign w:val="center"/>
          </w:tcPr>
          <w:p w14:paraId="2A253AD3">
            <w:pPr>
              <w:spacing w:before="78" w:beforeLines="25" w:after="78" w:afterLines="25"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分值</w:t>
            </w:r>
          </w:p>
        </w:tc>
      </w:tr>
      <w:tr w14:paraId="00BA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7A4DB40">
            <w:pPr>
              <w:adjustRightInd w:val="0"/>
              <w:snapToGrid w:val="0"/>
              <w:spacing w:before="78" w:beforeLines="25" w:after="78" w:afterLines="25"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560" w:type="dxa"/>
            <w:vAlign w:val="center"/>
          </w:tcPr>
          <w:p w14:paraId="22E5A488">
            <w:pPr>
              <w:pStyle w:val="46"/>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项目实施方案</w:t>
            </w:r>
          </w:p>
        </w:tc>
        <w:tc>
          <w:tcPr>
            <w:tcW w:w="6520" w:type="dxa"/>
            <w:vAlign w:val="center"/>
          </w:tcPr>
          <w:p w14:paraId="2C85F0E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根据供应商提供的项目实施方案是否完整、合理、贴合采购需求进行评审：</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（1）方案中明确列出采购目录所含全部258种办公用品、保洁用品、食堂耗材及打印耗材的供货安排：</w:t>
            </w:r>
          </w:p>
          <w:p w14:paraId="697B667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1.全部258类产品均有对应供货流程描述的得3分；</w:t>
            </w:r>
          </w:p>
          <w:p w14:paraId="1E3CE80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2.缺失≤10类产品描述的得2分；</w:t>
            </w:r>
          </w:p>
          <w:p w14:paraId="39CB290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3.缺失＞10类产品描述的得1分；</w:t>
            </w:r>
          </w:p>
          <w:p w14:paraId="0D559DF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4.其他情况或不提供的得0分；</w:t>
            </w:r>
          </w:p>
          <w:p w14:paraId="0A963F7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（2）配送时间响应度：</w:t>
            </w:r>
          </w:p>
          <w:p w14:paraId="0C75E48F">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方案中明确承诺“</w:t>
            </w:r>
            <w:r>
              <w:rPr>
                <w:rFonts w:hint="eastAsia" w:ascii="宋体" w:hAnsi="宋体" w:cs="宋体"/>
                <w:color w:val="000000" w:themeColor="text1"/>
                <w:szCs w:val="21"/>
                <w:shd w:val="clear" w:color="auto" w:fill="FFFFFF"/>
                <w14:textFill>
                  <w14:solidFill>
                    <w14:schemeClr w14:val="tx1"/>
                  </w14:solidFill>
                </w14:textFill>
              </w:rPr>
              <w:t>1小时内响应，</w:t>
            </w:r>
            <w:r>
              <w:rPr>
                <w:rFonts w:hint="eastAsia" w:ascii="宋体" w:hAnsi="宋体" w:cs="宋体"/>
                <w:color w:val="000000" w:themeColor="text1"/>
                <w:szCs w:val="21"/>
                <w14:textFill>
                  <w14:solidFill>
                    <w14:schemeClr w14:val="tx1"/>
                  </w14:solidFill>
                </w14:textFill>
              </w:rPr>
              <w:t>所有产品在接到订单后2个工作日内完成配送”，并提供具体时间节点计划（如：下单→分拣→出库→送达各环节时间分配）：</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1.明确全流程时间分解且总时长≤2个工作日的得3分；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2.仅承诺“2个工作日内”但无时间分解的得2分；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3.承诺配送时间＞2个工作日或未明确时间的得1分；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4.未提及配送时间的得0分。</w:t>
            </w:r>
          </w:p>
          <w:p w14:paraId="086884FF">
            <w:pPr>
              <w:spacing w:line="360" w:lineRule="auto"/>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（3）人员配置清晰度响应：</w:t>
            </w:r>
          </w:p>
          <w:p w14:paraId="64A4DEC5">
            <w:pPr>
              <w:spacing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方案中提供专职配送人员名单（或岗位编制），且须有专职对接人员姓名/岗位及联系方式，得1分，不提供或提供不全的得0分。</w:t>
            </w:r>
          </w:p>
        </w:tc>
        <w:tc>
          <w:tcPr>
            <w:tcW w:w="851" w:type="dxa"/>
            <w:vAlign w:val="center"/>
          </w:tcPr>
          <w:p w14:paraId="59F68A33">
            <w:pPr>
              <w:spacing w:line="360" w:lineRule="auto"/>
              <w:ind w:leftChars="-1" w:hanging="2"/>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w:t>
            </w:r>
          </w:p>
        </w:tc>
      </w:tr>
      <w:tr w14:paraId="3980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B1B6AC7">
            <w:pPr>
              <w:widowControl/>
              <w:adjustRightInd w:val="0"/>
              <w:snapToGrid w:val="0"/>
              <w:spacing w:before="156" w:beforeLines="50" w:after="156" w:afterLines="50"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1560" w:type="dxa"/>
            <w:vAlign w:val="center"/>
          </w:tcPr>
          <w:p w14:paraId="001FA7F1">
            <w:pPr>
              <w:pStyle w:val="46"/>
              <w:jc w:val="center"/>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质量保证措施</w:t>
            </w:r>
          </w:p>
        </w:tc>
        <w:tc>
          <w:tcPr>
            <w:tcW w:w="6520" w:type="dxa"/>
            <w:vAlign w:val="center"/>
          </w:tcPr>
          <w:p w14:paraId="32A2B84E">
            <w:pPr>
              <w:widowControl/>
              <w:spacing w:line="360" w:lineRule="auto"/>
              <w:ind w:left="-1"/>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根据供应商提供的产品质量保障措施的详细程度和可行性进行评审：</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（1）方案中明确提供以下承诺：</w:t>
            </w:r>
            <w:r>
              <w:rPr>
                <w:rFonts w:hint="eastAsia" w:ascii="宋体" w:hAnsi="宋体" w:cs="宋体"/>
                <w:color w:val="000000" w:themeColor="text1"/>
                <w:szCs w:val="21"/>
                <w:shd w:val="clear" w:color="auto" w:fill="FFFFFF"/>
                <w14:textFill>
                  <w14:solidFill>
                    <w14:schemeClr w14:val="tx1"/>
                  </w14:solidFill>
                </w14:textFill>
              </w:rPr>
              <w:t xml:space="preserve"> </w:t>
            </w:r>
          </w:p>
          <w:p w14:paraId="4A646803">
            <w:pPr>
              <w:widowControl/>
              <w:spacing w:line="360" w:lineRule="auto"/>
              <w:ind w:left="-1"/>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1.所供产品均为全新正品，非翻新、非二手、非假冒伪劣；</w:t>
            </w:r>
          </w:p>
          <w:p w14:paraId="6FB00DF8">
            <w:pPr>
              <w:widowControl/>
              <w:spacing w:line="360" w:lineRule="auto"/>
              <w:ind w:left="-1"/>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2.所供产品不侵犯任何第三方知识产权，如发生侵权由供应商承担全部法律责任。</w:t>
            </w:r>
          </w:p>
          <w:p w14:paraId="68AA6127">
            <w:pPr>
              <w:widowControl/>
              <w:spacing w:line="360" w:lineRule="auto"/>
              <w:ind w:left="-1"/>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每满足1项得1分，最高得2分。</w:t>
            </w:r>
          </w:p>
          <w:p w14:paraId="57CE5359">
            <w:pPr>
              <w:widowControl/>
              <w:spacing w:line="360" w:lineRule="auto"/>
              <w:ind w:left="-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（2）退换货流程具体方案：</w:t>
            </w:r>
          </w:p>
          <w:p w14:paraId="3472F3C2">
            <w:pPr>
              <w:widowControl/>
              <w:spacing w:line="360" w:lineRule="auto"/>
              <w:ind w:left="-1"/>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1.方案完整，退换货操作流程内容详细，合理可行，得8分；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2.方案较为完整，退换货操作流程内容基本合理可行，得4分</w:t>
            </w:r>
          </w:p>
          <w:p w14:paraId="504C264C">
            <w:pPr>
              <w:widowControl/>
              <w:spacing w:line="360" w:lineRule="auto"/>
              <w:ind w:left="-1"/>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3.方案简单，退换货操作流程等内容模糊表述，得1分；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4.未提供方案不得分。</w:t>
            </w:r>
          </w:p>
        </w:tc>
        <w:tc>
          <w:tcPr>
            <w:tcW w:w="851" w:type="dxa"/>
            <w:vAlign w:val="center"/>
          </w:tcPr>
          <w:p w14:paraId="4FDD2A1D">
            <w:pPr>
              <w:spacing w:line="360" w:lineRule="auto"/>
              <w:ind w:left="-1"/>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10</w:t>
            </w:r>
          </w:p>
        </w:tc>
      </w:tr>
      <w:tr w14:paraId="1386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F13F1AA">
            <w:pPr>
              <w:widowControl/>
              <w:adjustRightInd w:val="0"/>
              <w:snapToGrid w:val="0"/>
              <w:spacing w:before="156" w:beforeLines="50" w:after="156" w:afterLines="50"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1560" w:type="dxa"/>
            <w:vAlign w:val="center"/>
          </w:tcPr>
          <w:p w14:paraId="320CF066">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售后服务方案</w:t>
            </w:r>
          </w:p>
        </w:tc>
        <w:tc>
          <w:tcPr>
            <w:tcW w:w="6520" w:type="dxa"/>
            <w:vAlign w:val="center"/>
          </w:tcPr>
          <w:p w14:paraId="6C128AA4">
            <w:pPr>
              <w:spacing w:line="360" w:lineRule="auto"/>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根据供应商提供的售后服务方案的响应速度、服务内容、人员安排等进行评审：</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（1）售后服务</w:t>
            </w:r>
            <w:r>
              <w:rPr>
                <w:rFonts w:hint="eastAsia" w:ascii="宋体" w:hAnsi="宋体" w:cs="宋体"/>
                <w:color w:val="000000" w:themeColor="text1"/>
                <w:szCs w:val="21"/>
                <w:shd w:val="clear" w:color="auto" w:fill="FFFFFF"/>
                <w14:textFill>
                  <w14:solidFill>
                    <w14:schemeClr w14:val="tx1"/>
                  </w14:solidFill>
                </w14:textFill>
              </w:rPr>
              <w:t>人员配置清晰度响应：</w:t>
            </w:r>
          </w:p>
          <w:p w14:paraId="3C2783D3">
            <w:pPr>
              <w:pStyle w:val="124"/>
              <w:framePr w:hSpace="0" w:wrap="auto" w:vAnchor="margin" w:hAnchor="text" w:xAlign="left" w:yAlign="in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方案中提供专职售后服务对接人员名单（或岗位编制），且须有专职对接人员姓名/岗位及联系方式，得1分，不提供或提供不全的得0分。</w:t>
            </w:r>
          </w:p>
          <w:p w14:paraId="4603829D">
            <w:pPr>
              <w:pStyle w:val="124"/>
              <w:framePr w:hSpace="0" w:wrap="auto" w:vAnchor="margin" w:hAnchor="text" w:xAlign="left" w:yAlign="in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方案中明确提供以下承诺：</w:t>
            </w:r>
          </w:p>
          <w:p w14:paraId="3ECE976E">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承诺采购人下达通知后，1小时内响应，2个工作日内</w:t>
            </w:r>
            <w:r>
              <w:rPr>
                <w:rFonts w:hint="eastAsia" w:ascii="宋体" w:hAnsi="宋体"/>
                <w:color w:val="000000" w:themeColor="text1"/>
                <w:szCs w:val="21"/>
                <w14:textFill>
                  <w14:solidFill>
                    <w14:schemeClr w14:val="tx1"/>
                  </w14:solidFill>
                </w14:textFill>
              </w:rPr>
              <w:t>上门</w:t>
            </w:r>
            <w:r>
              <w:rPr>
                <w:rFonts w:hint="eastAsia" w:ascii="宋体" w:hAnsi="宋体" w:cs="宋体"/>
                <w:color w:val="000000" w:themeColor="text1"/>
                <w:szCs w:val="21"/>
                <w:shd w:val="clear" w:color="auto" w:fill="FFFFFF"/>
                <w14:textFill>
                  <w14:solidFill>
                    <w14:schemeClr w14:val="tx1"/>
                  </w14:solidFill>
                </w14:textFill>
              </w:rPr>
              <w:t>处理退换货，5个工作日内完成退换货的，得1分，否则不得分；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（3）售后服务流程</w:t>
            </w:r>
            <w:r>
              <w:rPr>
                <w:rFonts w:hint="eastAsia" w:ascii="宋体" w:hAnsi="宋体" w:cs="宋体"/>
                <w:color w:val="000000" w:themeColor="text1"/>
                <w:szCs w:val="21"/>
                <w:shd w:val="clear" w:color="auto" w:fill="FFFFFF"/>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1.售后服务流程图清晰</w:t>
            </w:r>
            <w:r>
              <w:rPr>
                <w:rFonts w:hint="eastAsia" w:ascii="宋体" w:hAnsi="宋体" w:cs="宋体"/>
                <w:color w:val="000000" w:themeColor="text1"/>
                <w:szCs w:val="21"/>
                <w:shd w:val="clear" w:color="auto" w:fill="FFFFFF"/>
                <w14:textFill>
                  <w14:solidFill>
                    <w14:schemeClr w14:val="tx1"/>
                  </w14:solidFill>
                </w14:textFill>
              </w:rPr>
              <w:t>，包含“问题反馈→响应→处理→闭环”等全流程，得6分；</w:t>
            </w:r>
          </w:p>
          <w:p w14:paraId="5D298166">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2.有基本的</w:t>
            </w:r>
            <w:r>
              <w:rPr>
                <w:rFonts w:hint="eastAsia" w:ascii="宋体" w:hAnsi="宋体" w:cs="宋体"/>
                <w:color w:val="000000" w:themeColor="text1"/>
                <w:szCs w:val="21"/>
                <w14:textFill>
                  <w14:solidFill>
                    <w14:schemeClr w14:val="tx1"/>
                  </w14:solidFill>
                </w14:textFill>
              </w:rPr>
              <w:t>售后服务流程图</w:t>
            </w:r>
            <w:r>
              <w:rPr>
                <w:rFonts w:hint="eastAsia" w:ascii="宋体" w:hAnsi="宋体" w:cs="宋体"/>
                <w:color w:val="000000" w:themeColor="text1"/>
                <w:szCs w:val="21"/>
                <w:shd w:val="clear" w:color="auto" w:fill="FFFFFF"/>
                <w14:textFill>
                  <w14:solidFill>
                    <w14:schemeClr w14:val="tx1"/>
                  </w14:solidFill>
                </w14:textFill>
              </w:rPr>
              <w:t>，包含“问题反馈→响应→处理→闭环”部分流程，得3分</w:t>
            </w:r>
          </w:p>
          <w:p w14:paraId="2A78CC68">
            <w:pPr>
              <w:pStyle w:val="124"/>
              <w:framePr w:hSpace="0" w:wrap="auto" w:vAnchor="margin" w:hAnchor="text" w:xAlign="left" w:yAlign="inline"/>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3.售后服务流程仅文字描述无流程图、或流程图与采购内容无关的，得1分。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4.未提供方案不得分。</w:t>
            </w:r>
          </w:p>
        </w:tc>
        <w:tc>
          <w:tcPr>
            <w:tcW w:w="851" w:type="dxa"/>
            <w:vAlign w:val="center"/>
          </w:tcPr>
          <w:p w14:paraId="239C8738">
            <w:pPr>
              <w:spacing w:line="360" w:lineRule="auto"/>
              <w:ind w:left="-1"/>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w:t>
            </w:r>
          </w:p>
        </w:tc>
      </w:tr>
      <w:tr w14:paraId="1D8C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2A899937">
            <w:pPr>
              <w:widowControl/>
              <w:adjustRightInd w:val="0"/>
              <w:snapToGrid w:val="0"/>
              <w:spacing w:before="156" w:beforeLines="50" w:after="156" w:after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1560" w:type="dxa"/>
            <w:shd w:val="clear" w:color="auto" w:fill="auto"/>
            <w:vAlign w:val="center"/>
          </w:tcPr>
          <w:p w14:paraId="27572F4E">
            <w:pPr>
              <w:widowControl/>
              <w:spacing w:line="360" w:lineRule="auto"/>
              <w:ind w:left="-1"/>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运输车辆</w:t>
            </w:r>
          </w:p>
        </w:tc>
        <w:tc>
          <w:tcPr>
            <w:tcW w:w="6520" w:type="dxa"/>
            <w:shd w:val="clear" w:color="auto" w:fill="auto"/>
            <w:vAlign w:val="center"/>
          </w:tcPr>
          <w:p w14:paraId="58F043F5">
            <w:pPr>
              <w:pStyle w:val="124"/>
              <w:framePr w:hSpace="0" w:wrap="auto" w:vAnchor="margin" w:hAnchor="text" w:xAlign="left" w:yAlign="inline"/>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根据供应商为本项目投入的运输</w:t>
            </w:r>
            <w:r>
              <w:rPr>
                <w:rFonts w:hint="eastAsia" w:ascii="宋体" w:hAnsi="宋体" w:cs="宋体"/>
                <w:color w:val="000000" w:themeColor="text1"/>
                <w:kern w:val="0"/>
                <w:szCs w:val="21"/>
                <w14:textFill>
                  <w14:solidFill>
                    <w14:schemeClr w14:val="tx1"/>
                  </w14:solidFill>
                </w14:textFill>
              </w:rPr>
              <w:t>车辆</w:t>
            </w:r>
            <w:r>
              <w:rPr>
                <w:rFonts w:hint="eastAsia" w:ascii="宋体" w:hAnsi="宋体"/>
                <w:color w:val="000000" w:themeColor="text1"/>
                <w:szCs w:val="21"/>
                <w14:textFill>
                  <w14:solidFill>
                    <w14:schemeClr w14:val="tx1"/>
                  </w14:solidFill>
                </w14:textFill>
              </w:rPr>
              <w:t>情况进行评审：每投入一台自有或租赁的运输车辆得1.5分，本项最高得3分。</w:t>
            </w:r>
          </w:p>
          <w:p w14:paraId="1DAA6C0F">
            <w:pPr>
              <w:pStyle w:val="124"/>
              <w:framePr w:hSpace="0" w:wrap="auto" w:vAnchor="margin" w:hAnchor="text" w:xAlign="left" w:yAlign="inline"/>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①供应商自有车辆：提供有效的《机动车行驶证》复印件和《机动车登记证书》复印件，车辆应为供应商所有；②供应商租赁车辆：提供有效的车辆租赁协议及《机动车行驶证》复印件。③行驶证年审时间需在有效期内。</w:t>
            </w:r>
          </w:p>
        </w:tc>
        <w:tc>
          <w:tcPr>
            <w:tcW w:w="851" w:type="dxa"/>
            <w:shd w:val="clear" w:color="auto" w:fill="auto"/>
            <w:vAlign w:val="center"/>
          </w:tcPr>
          <w:p w14:paraId="28985408">
            <w:pPr>
              <w:spacing w:line="360" w:lineRule="auto"/>
              <w:ind w:left="-1"/>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r>
      <w:tr w14:paraId="47FC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45974063">
            <w:pPr>
              <w:widowControl/>
              <w:adjustRightInd w:val="0"/>
              <w:snapToGrid w:val="0"/>
              <w:spacing w:before="156" w:beforeLines="50" w:after="156" w:after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1560" w:type="dxa"/>
            <w:shd w:val="clear" w:color="auto" w:fill="auto"/>
            <w:vAlign w:val="center"/>
          </w:tcPr>
          <w:p w14:paraId="6A025CAA">
            <w:pPr>
              <w:widowControl/>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配送方案</w:t>
            </w:r>
          </w:p>
        </w:tc>
        <w:tc>
          <w:tcPr>
            <w:tcW w:w="6520" w:type="dxa"/>
            <w:shd w:val="clear" w:color="auto" w:fill="auto"/>
            <w:vAlign w:val="center"/>
          </w:tcPr>
          <w:p w14:paraId="461E0220">
            <w:pPr>
              <w:pStyle w:val="124"/>
              <w:framePr w:hSpace="0" w:wrap="auto" w:vAnchor="margin" w:hAnchor="text" w:xAlign="left" w:yAlign="inline"/>
              <w:rPr>
                <w:rFonts w:ascii="宋体" w:hAnsi="宋体"/>
                <w:bCs/>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根据供应商提供的配送方案的完整性、针对性、可行性进行评审：</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1.方案中包含仓储地点、分拣流程、配送路线等全部内容，并提供详细配送流程图的，得5分；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2.方案基本完整，包含仓储地点、分拣流程、配送路线等部分内容，提供简单配送流程图的，得3分；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3.方案内容简单，未涉及仓储地点、分拣流程、配送路线等内容或配送流程的，得1分；</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shd w:val="clear" w:color="auto" w:fill="FFFFFF"/>
                <w14:textFill>
                  <w14:solidFill>
                    <w14:schemeClr w14:val="tx1"/>
                  </w14:solidFill>
                </w14:textFill>
              </w:rPr>
              <w:t>4.未提供方案不得分。</w:t>
            </w:r>
          </w:p>
        </w:tc>
        <w:tc>
          <w:tcPr>
            <w:tcW w:w="851" w:type="dxa"/>
            <w:shd w:val="clear" w:color="auto" w:fill="auto"/>
            <w:vAlign w:val="center"/>
          </w:tcPr>
          <w:p w14:paraId="18F9A14B">
            <w:pPr>
              <w:spacing w:line="360" w:lineRule="auto"/>
              <w:ind w:left="-1"/>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r>
      <w:tr w14:paraId="4B90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4D8680A1">
            <w:pPr>
              <w:widowControl/>
              <w:adjustRightInd w:val="0"/>
              <w:snapToGrid w:val="0"/>
              <w:spacing w:before="156" w:beforeLines="50" w:after="156" w:after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1560" w:type="dxa"/>
            <w:shd w:val="clear" w:color="auto" w:fill="auto"/>
            <w:vAlign w:val="center"/>
          </w:tcPr>
          <w:p w14:paraId="50E9DACB">
            <w:pPr>
              <w:widowControl/>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应急保障服务</w:t>
            </w:r>
          </w:p>
        </w:tc>
        <w:tc>
          <w:tcPr>
            <w:tcW w:w="6520" w:type="dxa"/>
            <w:shd w:val="clear" w:color="auto" w:fill="auto"/>
            <w:vAlign w:val="center"/>
          </w:tcPr>
          <w:p w14:paraId="4140528D">
            <w:pPr>
              <w:pStyle w:val="124"/>
              <w:framePr w:hSpace="0" w:wrap="auto" w:vAnchor="margin" w:hAnchor="text" w:xAlign="left" w:yAlign="in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根据供应商针对突发情况提供的应急保障方案进行评审：</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（1）方案中明确提供以下承诺：</w:t>
            </w:r>
          </w:p>
          <w:p w14:paraId="15DD5D94">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1.承诺</w:t>
            </w:r>
            <w:r>
              <w:rPr>
                <w:rFonts w:hint="eastAsia" w:ascii="宋体" w:hAnsi="宋体" w:cs="宋体"/>
                <w:color w:val="000000" w:themeColor="text1"/>
                <w:szCs w:val="21"/>
                <w:shd w:val="clear" w:color="auto" w:fill="FFFFFF"/>
                <w14:textFill>
                  <w14:solidFill>
                    <w14:schemeClr w14:val="tx1"/>
                  </w14:solidFill>
                </w14:textFill>
              </w:rPr>
              <w:t>缺货时2个工作日内调货并确保交付；</w:t>
            </w:r>
          </w:p>
          <w:p w14:paraId="281708CD">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2.承诺运输设备故障时24小时内调配备用车辆（备用车辆性能、规格须相当或优于供应商投入到本项目的常用运输车辆）；</w:t>
            </w:r>
          </w:p>
          <w:p w14:paraId="67A7EB8B">
            <w:pPr>
              <w:pStyle w:val="124"/>
              <w:framePr w:hSpace="0" w:wrap="auto" w:vAnchor="margin" w:hAnchor="text" w:xAlign="left" w:yAlign="in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每满足1项得1分，最高得2分。</w:t>
            </w:r>
          </w:p>
          <w:p w14:paraId="3E6A980B">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（2）突发情况应对措施方案：</w:t>
            </w:r>
          </w:p>
          <w:p w14:paraId="78421501">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1.方案内容详实，针对商品缺货、运输设备故障、配送人员突发情况等制定了具体、可操作的应对措施，得5分；</w:t>
            </w:r>
          </w:p>
          <w:p w14:paraId="50FF639D">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2.方案内容较为详细，基本覆盖商品缺货、运输设备故障、配送人员突发情况等主要风险类型，应对措施具有一定的可行性，得3分；</w:t>
            </w:r>
          </w:p>
          <w:p w14:paraId="75C42296">
            <w:pPr>
              <w:pStyle w:val="124"/>
              <w:framePr w:hSpace="0" w:wrap="auto" w:vAnchor="margin" w:hAnchor="text" w:xAlign="left" w:yAlign="inline"/>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3.方案内容模糊，未能覆盖商品缺货、运输设备故障、配送人员突发情况等主要风险类型，应对措施可行性低，得1分。</w:t>
            </w:r>
          </w:p>
          <w:p w14:paraId="0937CFE1">
            <w:pPr>
              <w:pStyle w:val="124"/>
              <w:framePr w:hSpace="0" w:wrap="auto" w:vAnchor="margin" w:hAnchor="text" w:xAlign="left" w:yAlign="inline"/>
              <w:rPr>
                <w:rFonts w:ascii="宋体" w:hAnsi="宋体"/>
                <w:bCs/>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4.未提供方案不得分。</w:t>
            </w:r>
          </w:p>
        </w:tc>
        <w:tc>
          <w:tcPr>
            <w:tcW w:w="851" w:type="dxa"/>
            <w:shd w:val="clear" w:color="auto" w:fill="auto"/>
            <w:vAlign w:val="center"/>
          </w:tcPr>
          <w:p w14:paraId="48D84AA6">
            <w:pPr>
              <w:spacing w:line="360" w:lineRule="auto"/>
              <w:ind w:left="-1"/>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r>
    </w:tbl>
    <w:p w14:paraId="35763E78">
      <w:pPr>
        <w:autoSpaceDE w:val="0"/>
        <w:autoSpaceDN w:val="0"/>
        <w:adjustRightInd w:val="0"/>
        <w:spacing w:line="360" w:lineRule="auto"/>
        <w:ind w:right="678" w:rightChars="323"/>
        <w:jc w:val="left"/>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r>
        <w:rPr>
          <w:rFonts w:hint="eastAsia" w:ascii="宋体" w:hAnsi="宋体" w:cs="宋体"/>
          <w:b/>
          <w:bCs/>
          <w:color w:val="000000" w:themeColor="text1"/>
          <w:szCs w:val="21"/>
          <w14:textFill>
            <w14:solidFill>
              <w14:schemeClr w14:val="tx1"/>
            </w14:solidFill>
          </w14:textFill>
        </w:rPr>
        <w:t>报价人应提交与评价指标体系相关的各类有效资料。</w:t>
      </w:r>
    </w:p>
    <w:p w14:paraId="11AF2660">
      <w:pPr>
        <w:pStyle w:val="16"/>
        <w:spacing w:line="360" w:lineRule="auto"/>
        <w:jc w:val="center"/>
        <w:rPr>
          <w:rFonts w:ascii="宋体" w:hAnsi="宋体" w:cs="宋体"/>
          <w:b/>
          <w:bCs/>
          <w:color w:val="000000" w:themeColor="text1"/>
          <w:sz w:val="32"/>
          <w:szCs w:val="32"/>
          <w14:textFill>
            <w14:solidFill>
              <w14:schemeClr w14:val="tx1"/>
            </w14:solidFill>
          </w14:textFill>
        </w:rPr>
      </w:pPr>
    </w:p>
    <w:p w14:paraId="0CCEF2F2">
      <w:pPr>
        <w:spacing w:line="360" w:lineRule="auto"/>
        <w:rPr>
          <w:rFonts w:ascii="宋体" w:hAnsi="宋体" w:cs="宋体"/>
          <w:b/>
          <w:bCs/>
          <w:color w:val="000000" w:themeColor="text1"/>
          <w:sz w:val="32"/>
          <w:szCs w:val="32"/>
          <w14:textFill>
            <w14:solidFill>
              <w14:schemeClr w14:val="tx1"/>
            </w14:solidFill>
          </w14:textFill>
        </w:rPr>
      </w:pPr>
    </w:p>
    <w:p w14:paraId="50F5F458">
      <w:pPr>
        <w:pStyle w:val="16"/>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价格评审表（30分）</w:t>
      </w:r>
    </w:p>
    <w:tbl>
      <w:tblPr>
        <w:tblStyle w:val="38"/>
        <w:tblW w:w="0" w:type="auto"/>
        <w:tblInd w:w="0" w:type="dxa"/>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69"/>
      </w:tblGrid>
      <w:tr w14:paraId="403D9754">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9569" w:type="dxa"/>
            <w:tcBorders>
              <w:tl2br w:val="nil"/>
              <w:tr2bl w:val="nil"/>
            </w:tcBorders>
          </w:tcPr>
          <w:p w14:paraId="676318A8">
            <w:pPr>
              <w:widowControl/>
              <w:tabs>
                <w:tab w:val="left" w:pos="720"/>
              </w:tabs>
              <w:spacing w:line="360" w:lineRule="auto"/>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价格评分：价格分统一采用低价优先法计算，即满足</w:t>
            </w:r>
            <w:r>
              <w:rPr>
                <w:rFonts w:hint="eastAsia" w:ascii="宋体" w:hAnsi="宋体"/>
                <w:color w:val="000000" w:themeColor="text1"/>
                <w:szCs w:val="21"/>
                <w14:textFill>
                  <w14:solidFill>
                    <w14:schemeClr w14:val="tx1"/>
                  </w14:solidFill>
                </w14:textFill>
              </w:rPr>
              <w:t>采购</w:t>
            </w:r>
            <w:r>
              <w:rPr>
                <w:rFonts w:hint="eastAsia" w:ascii="宋体" w:hAnsi="宋体" w:eastAsia="Times New Roman"/>
                <w:color w:val="000000" w:themeColor="text1"/>
                <w:szCs w:val="21"/>
                <w14:textFill>
                  <w14:solidFill>
                    <w14:schemeClr w14:val="tx1"/>
                  </w14:solidFill>
                </w14:textFill>
              </w:rPr>
              <w:t>文件要求（通过</w:t>
            </w:r>
            <w:r>
              <w:rPr>
                <w:rFonts w:hint="eastAsia" w:ascii="宋体" w:hAnsi="宋体" w:cs="宋体"/>
                <w:color w:val="000000" w:themeColor="text1"/>
                <w:szCs w:val="24"/>
                <w14:textFill>
                  <w14:solidFill>
                    <w14:schemeClr w14:val="tx1"/>
                  </w14:solidFill>
                </w14:textFill>
              </w:rPr>
              <w:t>资格性、符合性</w:t>
            </w:r>
            <w:r>
              <w:rPr>
                <w:rFonts w:hint="eastAsia" w:ascii="宋体" w:hAnsi="宋体" w:eastAsia="Times New Roman"/>
                <w:color w:val="000000" w:themeColor="text1"/>
                <w:szCs w:val="21"/>
                <w14:textFill>
                  <w14:solidFill>
                    <w14:schemeClr w14:val="tx1"/>
                  </w14:solidFill>
                </w14:textFill>
              </w:rPr>
              <w:t>审查）且价格最低的评标价（</w:t>
            </w:r>
            <w:r>
              <w:rPr>
                <w:rFonts w:hint="eastAsia" w:ascii="宋体" w:hAnsi="宋体"/>
                <w:color w:val="000000" w:themeColor="text1"/>
                <w:szCs w:val="21"/>
                <w14:textFill>
                  <w14:solidFill>
                    <w14:schemeClr w14:val="tx1"/>
                  </w14:solidFill>
                </w14:textFill>
              </w:rPr>
              <w:t>即报价下浮率最高</w:t>
            </w:r>
            <w:r>
              <w:rPr>
                <w:rFonts w:hint="eastAsia" w:ascii="宋体" w:hAnsi="宋体" w:eastAsia="Times New Roman"/>
                <w:color w:val="000000" w:themeColor="text1"/>
                <w:szCs w:val="21"/>
                <w14:textFill>
                  <w14:solidFill>
                    <w14:schemeClr w14:val="tx1"/>
                  </w14:solidFill>
                </w14:textFill>
              </w:rPr>
              <w:t>）为评标基准价，其价格分为满分。其他</w:t>
            </w:r>
            <w:r>
              <w:rPr>
                <w:rFonts w:hint="eastAsia" w:ascii="宋体" w:hAnsi="宋体"/>
                <w:color w:val="000000" w:themeColor="text1"/>
                <w:szCs w:val="21"/>
                <w14:textFill>
                  <w14:solidFill>
                    <w14:schemeClr w14:val="tx1"/>
                  </w14:solidFill>
                </w14:textFill>
              </w:rPr>
              <w:t>报价人</w:t>
            </w:r>
            <w:r>
              <w:rPr>
                <w:rFonts w:hint="eastAsia" w:ascii="宋体" w:hAnsi="宋体" w:eastAsia="Times New Roman"/>
                <w:color w:val="000000" w:themeColor="text1"/>
                <w:szCs w:val="21"/>
                <w14:textFill>
                  <w14:solidFill>
                    <w14:schemeClr w14:val="tx1"/>
                  </w14:solidFill>
                </w14:textFill>
              </w:rPr>
              <w:t>的价格分统一按照下列公式计算：</w:t>
            </w:r>
          </w:p>
          <w:p w14:paraId="7633AFFD">
            <w:pPr>
              <w:tabs>
                <w:tab w:val="left" w:pos="720"/>
              </w:tabs>
              <w:spacing w:line="360" w:lineRule="auto"/>
              <w:ind w:firstLine="630" w:firstLineChars="300"/>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价格评分=（评标基准价／评标价）×价格分值</w:t>
            </w:r>
          </w:p>
          <w:p w14:paraId="378D1721">
            <w:pPr>
              <w:tabs>
                <w:tab w:val="left" w:pos="720"/>
              </w:tabs>
              <w:spacing w:line="360" w:lineRule="auto"/>
              <w:ind w:firstLine="632" w:firstLineChars="300"/>
              <w:rPr>
                <w:rFonts w:ascii="宋体" w:hAnsi="宋体" w:eastAsia="Times New Roman"/>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注：</w:t>
            </w:r>
            <w:r>
              <w:rPr>
                <w:rFonts w:hint="eastAsia" w:ascii="宋体" w:hAnsi="宋体" w:eastAsia="Times New Roman"/>
                <w:b/>
                <w:bCs/>
                <w:color w:val="000000" w:themeColor="text1"/>
                <w:szCs w:val="21"/>
                <w14:textFill>
                  <w14:solidFill>
                    <w14:schemeClr w14:val="tx1"/>
                  </w14:solidFill>
                </w14:textFill>
              </w:rPr>
              <w:t>评标价</w:t>
            </w:r>
            <w:r>
              <w:rPr>
                <w:rFonts w:hint="eastAsia" w:ascii="宋体" w:hAnsi="宋体"/>
                <w:b/>
                <w:bCs/>
                <w:color w:val="000000" w:themeColor="text1"/>
                <w:szCs w:val="21"/>
                <w14:textFill>
                  <w14:solidFill>
                    <w14:schemeClr w14:val="tx1"/>
                  </w14:solidFill>
                </w14:textFill>
              </w:rPr>
              <w:t>=1-有效报价下浮率</w:t>
            </w:r>
          </w:p>
        </w:tc>
      </w:tr>
    </w:tbl>
    <w:p w14:paraId="0D5C2A01">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r>
    </w:p>
    <w:p w14:paraId="146E156A">
      <w:pPr>
        <w:pStyle w:val="2"/>
        <w:jc w:val="center"/>
        <w:rPr>
          <w:rFonts w:ascii="宋体" w:hAnsi="宋体" w:cs="宋体"/>
          <w:color w:val="000000" w:themeColor="text1"/>
          <w:sz w:val="32"/>
          <w:szCs w:val="32"/>
          <w14:textFill>
            <w14:solidFill>
              <w14:schemeClr w14:val="tx1"/>
            </w14:solidFill>
          </w14:textFill>
        </w:rPr>
      </w:pPr>
      <w:bookmarkStart w:id="105" w:name="_Toc26664"/>
      <w:bookmarkStart w:id="106" w:name="_Toc11449"/>
      <w:bookmarkStart w:id="107" w:name="_Toc461991253"/>
      <w:r>
        <w:rPr>
          <w:rFonts w:hint="eastAsia" w:ascii="宋体" w:hAnsi="宋体" w:cs="宋体"/>
          <w:color w:val="000000" w:themeColor="text1"/>
          <w:sz w:val="32"/>
          <w:szCs w:val="32"/>
          <w14:textFill>
            <w14:solidFill>
              <w14:schemeClr w14:val="tx1"/>
            </w14:solidFill>
          </w14:textFill>
        </w:rPr>
        <w:t>第六章</w:t>
      </w:r>
      <w:bookmarkStart w:id="108" w:name="_Toc10525535"/>
      <w:r>
        <w:rPr>
          <w:rFonts w:hint="eastAsia" w:ascii="宋体" w:hAnsi="宋体" w:cs="宋体"/>
          <w:color w:val="000000" w:themeColor="text1"/>
          <w:sz w:val="32"/>
          <w:szCs w:val="32"/>
          <w14:textFill>
            <w14:solidFill>
              <w14:schemeClr w14:val="tx1"/>
            </w14:solidFill>
          </w14:textFill>
        </w:rPr>
        <w:t xml:space="preserve"> 报价文件</w:t>
      </w:r>
      <w:bookmarkEnd w:id="108"/>
      <w:r>
        <w:rPr>
          <w:rFonts w:hint="eastAsia" w:ascii="宋体" w:hAnsi="宋体" w:cs="宋体"/>
          <w:color w:val="000000" w:themeColor="text1"/>
          <w:sz w:val="32"/>
          <w:szCs w:val="32"/>
          <w14:textFill>
            <w14:solidFill>
              <w14:schemeClr w14:val="tx1"/>
            </w14:solidFill>
          </w14:textFill>
        </w:rPr>
        <w:t>格式</w:t>
      </w:r>
      <w:bookmarkEnd w:id="105"/>
      <w:bookmarkEnd w:id="106"/>
      <w:bookmarkEnd w:id="107"/>
    </w:p>
    <w:p w14:paraId="40527F80">
      <w:pPr>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一、报价文件目录表</w:t>
      </w:r>
    </w:p>
    <w:tbl>
      <w:tblPr>
        <w:tblStyle w:val="38"/>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95"/>
        <w:gridCol w:w="755"/>
        <w:gridCol w:w="802"/>
        <w:gridCol w:w="902"/>
      </w:tblGrid>
      <w:tr w14:paraId="349E4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124B2838">
            <w:pPr>
              <w:spacing w:before="93" w:beforeLines="30" w:after="93" w:afterLines="3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6595" w:type="dxa"/>
            <w:tcBorders>
              <w:bottom w:val="single" w:color="auto" w:sz="4" w:space="0"/>
            </w:tcBorders>
            <w:vAlign w:val="center"/>
          </w:tcPr>
          <w:p w14:paraId="0ED2B56C">
            <w:pPr>
              <w:spacing w:before="156" w:beforeLines="50" w:after="156" w:afterLines="5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文 件 名 称</w:t>
            </w:r>
          </w:p>
        </w:tc>
        <w:tc>
          <w:tcPr>
            <w:tcW w:w="755" w:type="dxa"/>
          </w:tcPr>
          <w:p w14:paraId="7B01296E">
            <w:pPr>
              <w:spacing w:before="93" w:beforeLines="3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是否提交</w:t>
            </w:r>
          </w:p>
        </w:tc>
        <w:tc>
          <w:tcPr>
            <w:tcW w:w="802" w:type="dxa"/>
          </w:tcPr>
          <w:p w14:paraId="6C7C188A">
            <w:pPr>
              <w:spacing w:before="93" w:beforeLines="3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页码范围</w:t>
            </w:r>
          </w:p>
        </w:tc>
        <w:tc>
          <w:tcPr>
            <w:tcW w:w="902" w:type="dxa"/>
          </w:tcPr>
          <w:p w14:paraId="7AD28665">
            <w:pPr>
              <w:spacing w:before="156" w:beforeLines="50" w:after="156" w:afterLines="5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 注</w:t>
            </w:r>
          </w:p>
        </w:tc>
      </w:tr>
      <w:tr w14:paraId="04E5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034F5C83">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一</w:t>
            </w:r>
          </w:p>
        </w:tc>
        <w:tc>
          <w:tcPr>
            <w:tcW w:w="6595" w:type="dxa"/>
            <w:vAlign w:val="center"/>
          </w:tcPr>
          <w:p w14:paraId="74B834A4">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报价文件</w:t>
            </w:r>
          </w:p>
        </w:tc>
        <w:tc>
          <w:tcPr>
            <w:tcW w:w="755" w:type="dxa"/>
          </w:tcPr>
          <w:p w14:paraId="2A242910">
            <w:pPr>
              <w:spacing w:before="10" w:after="10" w:line="240" w:lineRule="exact"/>
              <w:rPr>
                <w:rFonts w:ascii="宋体" w:hAnsi="宋体" w:cs="宋体"/>
                <w:color w:val="000000" w:themeColor="text1"/>
                <w:szCs w:val="21"/>
                <w14:textFill>
                  <w14:solidFill>
                    <w14:schemeClr w14:val="tx1"/>
                  </w14:solidFill>
                </w14:textFill>
              </w:rPr>
            </w:pPr>
          </w:p>
        </w:tc>
        <w:tc>
          <w:tcPr>
            <w:tcW w:w="802" w:type="dxa"/>
          </w:tcPr>
          <w:p w14:paraId="120C1181">
            <w:pPr>
              <w:spacing w:before="10" w:after="10" w:line="240" w:lineRule="exact"/>
              <w:rPr>
                <w:rFonts w:ascii="宋体" w:hAnsi="宋体" w:cs="宋体"/>
                <w:color w:val="000000" w:themeColor="text1"/>
                <w:szCs w:val="21"/>
                <w14:textFill>
                  <w14:solidFill>
                    <w14:schemeClr w14:val="tx1"/>
                  </w14:solidFill>
                </w14:textFill>
              </w:rPr>
            </w:pPr>
          </w:p>
        </w:tc>
        <w:tc>
          <w:tcPr>
            <w:tcW w:w="902" w:type="dxa"/>
          </w:tcPr>
          <w:p w14:paraId="76FDE924">
            <w:pPr>
              <w:spacing w:before="10" w:after="10" w:line="240" w:lineRule="exact"/>
              <w:rPr>
                <w:rFonts w:ascii="宋体" w:hAnsi="宋体" w:cs="宋体"/>
                <w:color w:val="000000" w:themeColor="text1"/>
                <w:szCs w:val="21"/>
                <w14:textFill>
                  <w14:solidFill>
                    <w14:schemeClr w14:val="tx1"/>
                  </w14:solidFill>
                </w14:textFill>
              </w:rPr>
            </w:pPr>
          </w:p>
        </w:tc>
      </w:tr>
      <w:tr w14:paraId="070E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2A28C5A3">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6595" w:type="dxa"/>
            <w:vAlign w:val="center"/>
          </w:tcPr>
          <w:p w14:paraId="7B9DAED3">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★报价函（格式1）</w:t>
            </w:r>
          </w:p>
        </w:tc>
        <w:tc>
          <w:tcPr>
            <w:tcW w:w="755" w:type="dxa"/>
          </w:tcPr>
          <w:p w14:paraId="6A904A44">
            <w:pPr>
              <w:spacing w:before="10" w:after="10" w:line="240" w:lineRule="exact"/>
              <w:rPr>
                <w:rFonts w:ascii="宋体" w:hAnsi="宋体" w:cs="宋体"/>
                <w:color w:val="000000" w:themeColor="text1"/>
                <w:szCs w:val="21"/>
                <w14:textFill>
                  <w14:solidFill>
                    <w14:schemeClr w14:val="tx1"/>
                  </w14:solidFill>
                </w14:textFill>
              </w:rPr>
            </w:pPr>
          </w:p>
        </w:tc>
        <w:tc>
          <w:tcPr>
            <w:tcW w:w="802" w:type="dxa"/>
          </w:tcPr>
          <w:p w14:paraId="425E9459">
            <w:pPr>
              <w:spacing w:before="10" w:after="10" w:line="240" w:lineRule="exact"/>
              <w:rPr>
                <w:rFonts w:ascii="宋体" w:hAnsi="宋体" w:cs="宋体"/>
                <w:color w:val="000000" w:themeColor="text1"/>
                <w:szCs w:val="21"/>
                <w14:textFill>
                  <w14:solidFill>
                    <w14:schemeClr w14:val="tx1"/>
                  </w14:solidFill>
                </w14:textFill>
              </w:rPr>
            </w:pPr>
          </w:p>
        </w:tc>
        <w:tc>
          <w:tcPr>
            <w:tcW w:w="902" w:type="dxa"/>
          </w:tcPr>
          <w:p w14:paraId="4E2A383E">
            <w:pPr>
              <w:spacing w:before="10" w:after="10" w:line="240" w:lineRule="exact"/>
              <w:rPr>
                <w:rFonts w:ascii="宋体" w:hAnsi="宋体" w:cs="宋体"/>
                <w:color w:val="000000" w:themeColor="text1"/>
                <w:szCs w:val="21"/>
                <w14:textFill>
                  <w14:solidFill>
                    <w14:schemeClr w14:val="tx1"/>
                  </w14:solidFill>
                </w14:textFill>
              </w:rPr>
            </w:pPr>
          </w:p>
        </w:tc>
      </w:tr>
      <w:tr w14:paraId="1D411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7243894C">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p>
        </w:tc>
        <w:tc>
          <w:tcPr>
            <w:tcW w:w="6595" w:type="dxa"/>
            <w:vAlign w:val="center"/>
          </w:tcPr>
          <w:p w14:paraId="7CB68084">
            <w:pPr>
              <w:spacing w:before="93" w:beforeLines="3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★报价一览表（格式2）</w:t>
            </w:r>
          </w:p>
        </w:tc>
        <w:tc>
          <w:tcPr>
            <w:tcW w:w="755" w:type="dxa"/>
          </w:tcPr>
          <w:p w14:paraId="15415768">
            <w:pPr>
              <w:spacing w:line="240" w:lineRule="exact"/>
              <w:rPr>
                <w:rFonts w:ascii="宋体" w:hAnsi="宋体" w:cs="宋体"/>
                <w:color w:val="000000" w:themeColor="text1"/>
                <w:szCs w:val="21"/>
                <w14:textFill>
                  <w14:solidFill>
                    <w14:schemeClr w14:val="tx1"/>
                  </w14:solidFill>
                </w14:textFill>
              </w:rPr>
            </w:pPr>
          </w:p>
        </w:tc>
        <w:tc>
          <w:tcPr>
            <w:tcW w:w="802" w:type="dxa"/>
          </w:tcPr>
          <w:p w14:paraId="1414A5E3">
            <w:pPr>
              <w:spacing w:line="240" w:lineRule="exact"/>
              <w:rPr>
                <w:rFonts w:ascii="宋体" w:hAnsi="宋体" w:cs="宋体"/>
                <w:color w:val="000000" w:themeColor="text1"/>
                <w:szCs w:val="21"/>
                <w14:textFill>
                  <w14:solidFill>
                    <w14:schemeClr w14:val="tx1"/>
                  </w14:solidFill>
                </w14:textFill>
              </w:rPr>
            </w:pPr>
          </w:p>
        </w:tc>
        <w:tc>
          <w:tcPr>
            <w:tcW w:w="902" w:type="dxa"/>
          </w:tcPr>
          <w:p w14:paraId="69E4BA0B">
            <w:pPr>
              <w:spacing w:line="240" w:lineRule="exact"/>
              <w:rPr>
                <w:rFonts w:ascii="宋体" w:hAnsi="宋体" w:cs="宋体"/>
                <w:color w:val="000000" w:themeColor="text1"/>
                <w:szCs w:val="21"/>
                <w14:textFill>
                  <w14:solidFill>
                    <w14:schemeClr w14:val="tx1"/>
                  </w14:solidFill>
                </w14:textFill>
              </w:rPr>
            </w:pPr>
          </w:p>
        </w:tc>
      </w:tr>
      <w:tr w14:paraId="113D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06F86E96">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二</w:t>
            </w:r>
          </w:p>
        </w:tc>
        <w:tc>
          <w:tcPr>
            <w:tcW w:w="6595" w:type="dxa"/>
            <w:vAlign w:val="center"/>
          </w:tcPr>
          <w:p w14:paraId="3FEEAB7F">
            <w:pPr>
              <w:spacing w:before="31" w:beforeLines="10" w:after="31" w:afterLines="1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资格、符合性审查文件</w:t>
            </w:r>
          </w:p>
        </w:tc>
        <w:tc>
          <w:tcPr>
            <w:tcW w:w="755" w:type="dxa"/>
          </w:tcPr>
          <w:p w14:paraId="18FE073D">
            <w:pPr>
              <w:spacing w:line="240" w:lineRule="exact"/>
              <w:rPr>
                <w:rFonts w:ascii="宋体" w:hAnsi="宋体" w:cs="宋体"/>
                <w:color w:val="000000" w:themeColor="text1"/>
                <w:szCs w:val="21"/>
                <w14:textFill>
                  <w14:solidFill>
                    <w14:schemeClr w14:val="tx1"/>
                  </w14:solidFill>
                </w14:textFill>
              </w:rPr>
            </w:pPr>
          </w:p>
        </w:tc>
        <w:tc>
          <w:tcPr>
            <w:tcW w:w="802" w:type="dxa"/>
          </w:tcPr>
          <w:p w14:paraId="0303F184">
            <w:pPr>
              <w:spacing w:line="240" w:lineRule="exact"/>
              <w:rPr>
                <w:rFonts w:ascii="宋体" w:hAnsi="宋体" w:cs="宋体"/>
                <w:color w:val="000000" w:themeColor="text1"/>
                <w:szCs w:val="21"/>
                <w14:textFill>
                  <w14:solidFill>
                    <w14:schemeClr w14:val="tx1"/>
                  </w14:solidFill>
                </w14:textFill>
              </w:rPr>
            </w:pPr>
          </w:p>
        </w:tc>
        <w:tc>
          <w:tcPr>
            <w:tcW w:w="902" w:type="dxa"/>
          </w:tcPr>
          <w:p w14:paraId="7ECCF712">
            <w:pPr>
              <w:spacing w:line="240" w:lineRule="exact"/>
              <w:rPr>
                <w:rFonts w:ascii="宋体" w:hAnsi="宋体" w:cs="宋体"/>
                <w:color w:val="000000" w:themeColor="text1"/>
                <w:szCs w:val="21"/>
                <w14:textFill>
                  <w14:solidFill>
                    <w14:schemeClr w14:val="tx1"/>
                  </w14:solidFill>
                </w14:textFill>
              </w:rPr>
            </w:pPr>
          </w:p>
        </w:tc>
      </w:tr>
      <w:tr w14:paraId="45BC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exact"/>
          <w:jc w:val="center"/>
        </w:trPr>
        <w:tc>
          <w:tcPr>
            <w:tcW w:w="653" w:type="dxa"/>
            <w:vAlign w:val="center"/>
          </w:tcPr>
          <w:p w14:paraId="64913A2F">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6595" w:type="dxa"/>
            <w:vAlign w:val="center"/>
          </w:tcPr>
          <w:p w14:paraId="0EB11E12">
            <w:pPr>
              <w:spacing w:before="31" w:beforeLines="10" w:after="31" w:afterLines="10"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具有独立承担民事责任的能力（在中华人民共和国境内注册的法人或其他组织或自然人，投标（响应）时提交有效的营业执照（或事业法人登记证或身份证等相关证明）副本复印件。分支机构投标（响应）的，须提供总公司和分公司营业执照副本复印件，总公司出具给分支机构的授权书）</w:t>
            </w:r>
          </w:p>
        </w:tc>
        <w:tc>
          <w:tcPr>
            <w:tcW w:w="755" w:type="dxa"/>
          </w:tcPr>
          <w:p w14:paraId="0718647A">
            <w:pPr>
              <w:spacing w:line="240" w:lineRule="exact"/>
              <w:rPr>
                <w:rFonts w:ascii="宋体" w:hAnsi="宋体" w:cs="宋体"/>
                <w:color w:val="000000" w:themeColor="text1"/>
                <w:szCs w:val="21"/>
                <w14:textFill>
                  <w14:solidFill>
                    <w14:schemeClr w14:val="tx1"/>
                  </w14:solidFill>
                </w14:textFill>
              </w:rPr>
            </w:pPr>
          </w:p>
        </w:tc>
        <w:tc>
          <w:tcPr>
            <w:tcW w:w="802" w:type="dxa"/>
          </w:tcPr>
          <w:p w14:paraId="4AF91A3A">
            <w:pPr>
              <w:spacing w:line="240" w:lineRule="exact"/>
              <w:rPr>
                <w:rFonts w:ascii="宋体" w:hAnsi="宋体" w:cs="宋体"/>
                <w:color w:val="000000" w:themeColor="text1"/>
                <w:szCs w:val="21"/>
                <w14:textFill>
                  <w14:solidFill>
                    <w14:schemeClr w14:val="tx1"/>
                  </w14:solidFill>
                </w14:textFill>
              </w:rPr>
            </w:pPr>
          </w:p>
        </w:tc>
        <w:tc>
          <w:tcPr>
            <w:tcW w:w="902" w:type="dxa"/>
          </w:tcPr>
          <w:p w14:paraId="6E8A0F09">
            <w:pPr>
              <w:spacing w:line="240" w:lineRule="exact"/>
              <w:rPr>
                <w:rFonts w:ascii="宋体" w:hAnsi="宋体" w:cs="宋体"/>
                <w:color w:val="000000" w:themeColor="text1"/>
                <w:szCs w:val="21"/>
                <w14:textFill>
                  <w14:solidFill>
                    <w14:schemeClr w14:val="tx1"/>
                  </w14:solidFill>
                </w14:textFill>
              </w:rPr>
            </w:pPr>
          </w:p>
        </w:tc>
      </w:tr>
      <w:tr w14:paraId="5BE0B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5" w:hRule="exact"/>
          <w:jc w:val="center"/>
        </w:trPr>
        <w:tc>
          <w:tcPr>
            <w:tcW w:w="653" w:type="dxa"/>
            <w:vAlign w:val="center"/>
          </w:tcPr>
          <w:p w14:paraId="5AB20401">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p>
        </w:tc>
        <w:tc>
          <w:tcPr>
            <w:tcW w:w="6595" w:type="dxa"/>
            <w:vAlign w:val="center"/>
          </w:tcPr>
          <w:p w14:paraId="7F32C331">
            <w:pPr>
              <w:spacing w:before="31" w:beforeLines="10" w:after="31" w:afterLines="10"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未被列入“中国执行信息公开网”（zxgk.court.gov.cn）“失信被执行人”；“信用中国”网站(www.creditchina.gov.cn)“重大税收违法失信主体或政府采购严重违法失信行为”记录名单；不处于中国政府采购网(www.ccgp.gov.cn)“政府采购严重违法失信行为信息记录”中的禁止参加政府采购活动期间。（以代理机构于响应文件提交截止时间当天在“中国执行信息公开网”（zxgk.court.gov.cn）、“信用中国”网站（www.creditchina.gov.cn）及中国政府采购网(www.ccgp.gov.cn)查询结果为准，如在上述网站查询结果均显示没有相关记录，视为没有上述不良信用记录。如相关失信记录已失效，供应商须提供相关证明资料）</w:t>
            </w:r>
          </w:p>
        </w:tc>
        <w:tc>
          <w:tcPr>
            <w:tcW w:w="755" w:type="dxa"/>
          </w:tcPr>
          <w:p w14:paraId="1764D1AE">
            <w:pPr>
              <w:spacing w:line="240" w:lineRule="exact"/>
              <w:rPr>
                <w:rFonts w:ascii="宋体" w:hAnsi="宋体" w:cs="宋体"/>
                <w:color w:val="000000" w:themeColor="text1"/>
                <w:szCs w:val="21"/>
                <w14:textFill>
                  <w14:solidFill>
                    <w14:schemeClr w14:val="tx1"/>
                  </w14:solidFill>
                </w14:textFill>
              </w:rPr>
            </w:pPr>
          </w:p>
        </w:tc>
        <w:tc>
          <w:tcPr>
            <w:tcW w:w="802" w:type="dxa"/>
          </w:tcPr>
          <w:p w14:paraId="5CAFFCB7">
            <w:pPr>
              <w:spacing w:line="240" w:lineRule="exact"/>
              <w:rPr>
                <w:rFonts w:ascii="宋体" w:hAnsi="宋体" w:cs="宋体"/>
                <w:color w:val="000000" w:themeColor="text1"/>
                <w:szCs w:val="21"/>
                <w14:textFill>
                  <w14:solidFill>
                    <w14:schemeClr w14:val="tx1"/>
                  </w14:solidFill>
                </w14:textFill>
              </w:rPr>
            </w:pPr>
          </w:p>
        </w:tc>
        <w:tc>
          <w:tcPr>
            <w:tcW w:w="902" w:type="dxa"/>
          </w:tcPr>
          <w:p w14:paraId="72A1362F">
            <w:pPr>
              <w:spacing w:line="240" w:lineRule="exact"/>
              <w:rPr>
                <w:rFonts w:ascii="宋体" w:hAnsi="宋体" w:cs="宋体"/>
                <w:color w:val="000000" w:themeColor="text1"/>
                <w:szCs w:val="21"/>
                <w14:textFill>
                  <w14:solidFill>
                    <w14:schemeClr w14:val="tx1"/>
                  </w14:solidFill>
                </w14:textFill>
              </w:rPr>
            </w:pPr>
          </w:p>
        </w:tc>
      </w:tr>
      <w:tr w14:paraId="402E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jc w:val="center"/>
        </w:trPr>
        <w:tc>
          <w:tcPr>
            <w:tcW w:w="653" w:type="dxa"/>
            <w:vAlign w:val="center"/>
          </w:tcPr>
          <w:p w14:paraId="0EF329D1">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p>
        </w:tc>
        <w:tc>
          <w:tcPr>
            <w:tcW w:w="6595" w:type="dxa"/>
            <w:shd w:val="clear" w:color="auto" w:fill="auto"/>
            <w:vAlign w:val="center"/>
          </w:tcPr>
          <w:p w14:paraId="71EB88C2">
            <w:pPr>
              <w:spacing w:before="31" w:beforeLines="10" w:after="31" w:afterLines="10" w:line="240" w:lineRule="exact"/>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法定代表人证明及授权书（格式4）</w:t>
            </w:r>
          </w:p>
        </w:tc>
        <w:tc>
          <w:tcPr>
            <w:tcW w:w="755" w:type="dxa"/>
          </w:tcPr>
          <w:p w14:paraId="2EA6D7B9">
            <w:pPr>
              <w:spacing w:line="240" w:lineRule="exact"/>
              <w:rPr>
                <w:rFonts w:ascii="宋体" w:hAnsi="宋体" w:cs="宋体"/>
                <w:color w:val="000000" w:themeColor="text1"/>
                <w:szCs w:val="21"/>
                <w14:textFill>
                  <w14:solidFill>
                    <w14:schemeClr w14:val="tx1"/>
                  </w14:solidFill>
                </w14:textFill>
              </w:rPr>
            </w:pPr>
          </w:p>
        </w:tc>
        <w:tc>
          <w:tcPr>
            <w:tcW w:w="802" w:type="dxa"/>
          </w:tcPr>
          <w:p w14:paraId="2250EC62">
            <w:pPr>
              <w:spacing w:line="240" w:lineRule="exact"/>
              <w:rPr>
                <w:rFonts w:ascii="宋体" w:hAnsi="宋体" w:cs="宋体"/>
                <w:color w:val="000000" w:themeColor="text1"/>
                <w:szCs w:val="21"/>
                <w14:textFill>
                  <w14:solidFill>
                    <w14:schemeClr w14:val="tx1"/>
                  </w14:solidFill>
                </w14:textFill>
              </w:rPr>
            </w:pPr>
          </w:p>
        </w:tc>
        <w:tc>
          <w:tcPr>
            <w:tcW w:w="902" w:type="dxa"/>
          </w:tcPr>
          <w:p w14:paraId="3AFF3CAA">
            <w:pPr>
              <w:spacing w:line="240" w:lineRule="exact"/>
              <w:rPr>
                <w:rFonts w:ascii="宋体" w:hAnsi="宋体" w:cs="宋体"/>
                <w:color w:val="000000" w:themeColor="text1"/>
                <w:szCs w:val="21"/>
                <w14:textFill>
                  <w14:solidFill>
                    <w14:schemeClr w14:val="tx1"/>
                  </w14:solidFill>
                </w14:textFill>
              </w:rPr>
            </w:pPr>
          </w:p>
        </w:tc>
      </w:tr>
      <w:tr w14:paraId="5263F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653" w:type="dxa"/>
            <w:vAlign w:val="center"/>
          </w:tcPr>
          <w:p w14:paraId="0B559D53">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w:t>
            </w:r>
          </w:p>
        </w:tc>
        <w:tc>
          <w:tcPr>
            <w:tcW w:w="6595" w:type="dxa"/>
            <w:shd w:val="clear" w:color="auto" w:fill="auto"/>
            <w:vAlign w:val="center"/>
          </w:tcPr>
          <w:p w14:paraId="447B7D71">
            <w:pPr>
              <w:spacing w:before="31" w:beforeLines="10" w:after="31" w:afterLines="10" w:line="24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实质性条款响应一览表（格式5）</w:t>
            </w:r>
          </w:p>
        </w:tc>
        <w:tc>
          <w:tcPr>
            <w:tcW w:w="755" w:type="dxa"/>
          </w:tcPr>
          <w:p w14:paraId="7EE4FE6B">
            <w:pPr>
              <w:spacing w:line="240" w:lineRule="exact"/>
              <w:rPr>
                <w:rFonts w:ascii="宋体" w:hAnsi="宋体" w:cs="宋体"/>
                <w:color w:val="000000" w:themeColor="text1"/>
                <w:szCs w:val="21"/>
                <w14:textFill>
                  <w14:solidFill>
                    <w14:schemeClr w14:val="tx1"/>
                  </w14:solidFill>
                </w14:textFill>
              </w:rPr>
            </w:pPr>
          </w:p>
        </w:tc>
        <w:tc>
          <w:tcPr>
            <w:tcW w:w="802" w:type="dxa"/>
          </w:tcPr>
          <w:p w14:paraId="4D31D3A9">
            <w:pPr>
              <w:spacing w:line="240" w:lineRule="exact"/>
              <w:rPr>
                <w:rFonts w:ascii="宋体" w:hAnsi="宋体" w:cs="宋体"/>
                <w:color w:val="000000" w:themeColor="text1"/>
                <w:szCs w:val="21"/>
                <w14:textFill>
                  <w14:solidFill>
                    <w14:schemeClr w14:val="tx1"/>
                  </w14:solidFill>
                </w14:textFill>
              </w:rPr>
            </w:pPr>
          </w:p>
        </w:tc>
        <w:tc>
          <w:tcPr>
            <w:tcW w:w="902" w:type="dxa"/>
          </w:tcPr>
          <w:p w14:paraId="5E8E3F2E">
            <w:pPr>
              <w:spacing w:line="240" w:lineRule="exact"/>
              <w:rPr>
                <w:rFonts w:ascii="宋体" w:hAnsi="宋体" w:cs="宋体"/>
                <w:color w:val="000000" w:themeColor="text1"/>
                <w:szCs w:val="21"/>
                <w14:textFill>
                  <w14:solidFill>
                    <w14:schemeClr w14:val="tx1"/>
                  </w14:solidFill>
                </w14:textFill>
              </w:rPr>
            </w:pPr>
          </w:p>
        </w:tc>
      </w:tr>
      <w:tr w14:paraId="1A75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jc w:val="center"/>
        </w:trPr>
        <w:tc>
          <w:tcPr>
            <w:tcW w:w="653" w:type="dxa"/>
            <w:vAlign w:val="center"/>
          </w:tcPr>
          <w:p w14:paraId="28CB62CA">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w:t>
            </w:r>
          </w:p>
        </w:tc>
        <w:tc>
          <w:tcPr>
            <w:tcW w:w="6595" w:type="dxa"/>
            <w:shd w:val="clear" w:color="auto" w:fill="auto"/>
            <w:vAlign w:val="center"/>
          </w:tcPr>
          <w:p w14:paraId="035A6C4F">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资格声明函（格式6）</w:t>
            </w:r>
          </w:p>
        </w:tc>
        <w:tc>
          <w:tcPr>
            <w:tcW w:w="755" w:type="dxa"/>
          </w:tcPr>
          <w:p w14:paraId="22BC6FF8">
            <w:pPr>
              <w:spacing w:line="240" w:lineRule="exact"/>
              <w:rPr>
                <w:rFonts w:ascii="宋体" w:hAnsi="宋体" w:cs="宋体"/>
                <w:color w:val="000000" w:themeColor="text1"/>
                <w:szCs w:val="21"/>
                <w14:textFill>
                  <w14:solidFill>
                    <w14:schemeClr w14:val="tx1"/>
                  </w14:solidFill>
                </w14:textFill>
              </w:rPr>
            </w:pPr>
          </w:p>
        </w:tc>
        <w:tc>
          <w:tcPr>
            <w:tcW w:w="802" w:type="dxa"/>
          </w:tcPr>
          <w:p w14:paraId="62C6B0F9">
            <w:pPr>
              <w:spacing w:line="240" w:lineRule="exact"/>
              <w:rPr>
                <w:rFonts w:ascii="宋体" w:hAnsi="宋体" w:cs="宋体"/>
                <w:color w:val="000000" w:themeColor="text1"/>
                <w:szCs w:val="21"/>
                <w14:textFill>
                  <w14:solidFill>
                    <w14:schemeClr w14:val="tx1"/>
                  </w14:solidFill>
                </w14:textFill>
              </w:rPr>
            </w:pPr>
          </w:p>
        </w:tc>
        <w:tc>
          <w:tcPr>
            <w:tcW w:w="902" w:type="dxa"/>
          </w:tcPr>
          <w:p w14:paraId="273D4F18">
            <w:pPr>
              <w:spacing w:line="240" w:lineRule="exact"/>
              <w:rPr>
                <w:rFonts w:ascii="宋体" w:hAnsi="宋体" w:cs="宋体"/>
                <w:color w:val="000000" w:themeColor="text1"/>
                <w:szCs w:val="21"/>
                <w14:textFill>
                  <w14:solidFill>
                    <w14:schemeClr w14:val="tx1"/>
                  </w14:solidFill>
                </w14:textFill>
              </w:rPr>
            </w:pPr>
          </w:p>
        </w:tc>
      </w:tr>
      <w:tr w14:paraId="2800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653" w:type="dxa"/>
            <w:vAlign w:val="center"/>
          </w:tcPr>
          <w:p w14:paraId="42E28418">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w:t>
            </w:r>
          </w:p>
        </w:tc>
        <w:tc>
          <w:tcPr>
            <w:tcW w:w="6595" w:type="dxa"/>
            <w:shd w:val="clear" w:color="auto" w:fill="auto"/>
            <w:vAlign w:val="center"/>
          </w:tcPr>
          <w:p w14:paraId="35626B80">
            <w:pPr>
              <w:spacing w:before="31" w:beforeLines="10" w:after="31" w:afterLines="10" w:line="24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其他资格证明文件</w:t>
            </w:r>
            <w:r>
              <w:rPr>
                <w:rFonts w:hint="eastAsia" w:ascii="宋体" w:hAnsi="宋体" w:cs="宋体"/>
                <w:b/>
                <w:bCs/>
                <w:color w:val="000000" w:themeColor="text1"/>
                <w:kern w:val="0"/>
                <w:szCs w:val="21"/>
                <w14:textFill>
                  <w14:solidFill>
                    <w14:schemeClr w14:val="tx1"/>
                  </w14:solidFill>
                </w14:textFill>
              </w:rPr>
              <w:t>（详见磋商邀请函-供应商的资格要求）</w:t>
            </w:r>
          </w:p>
        </w:tc>
        <w:tc>
          <w:tcPr>
            <w:tcW w:w="755" w:type="dxa"/>
          </w:tcPr>
          <w:p w14:paraId="572DD4ED">
            <w:pPr>
              <w:spacing w:line="240" w:lineRule="exact"/>
              <w:rPr>
                <w:rFonts w:ascii="宋体" w:hAnsi="宋体" w:cs="宋体"/>
                <w:color w:val="000000" w:themeColor="text1"/>
                <w:szCs w:val="21"/>
                <w14:textFill>
                  <w14:solidFill>
                    <w14:schemeClr w14:val="tx1"/>
                  </w14:solidFill>
                </w14:textFill>
              </w:rPr>
            </w:pPr>
          </w:p>
        </w:tc>
        <w:tc>
          <w:tcPr>
            <w:tcW w:w="802" w:type="dxa"/>
          </w:tcPr>
          <w:p w14:paraId="5BEA4F15">
            <w:pPr>
              <w:spacing w:line="240" w:lineRule="exact"/>
              <w:rPr>
                <w:rFonts w:ascii="宋体" w:hAnsi="宋体" w:cs="宋体"/>
                <w:color w:val="000000" w:themeColor="text1"/>
                <w:szCs w:val="21"/>
                <w14:textFill>
                  <w14:solidFill>
                    <w14:schemeClr w14:val="tx1"/>
                  </w14:solidFill>
                </w14:textFill>
              </w:rPr>
            </w:pPr>
          </w:p>
        </w:tc>
        <w:tc>
          <w:tcPr>
            <w:tcW w:w="902" w:type="dxa"/>
          </w:tcPr>
          <w:p w14:paraId="33FF1A3F">
            <w:pPr>
              <w:spacing w:line="240" w:lineRule="exact"/>
              <w:rPr>
                <w:rFonts w:ascii="宋体" w:hAnsi="宋体" w:cs="宋体"/>
                <w:color w:val="000000" w:themeColor="text1"/>
                <w:szCs w:val="21"/>
                <w14:textFill>
                  <w14:solidFill>
                    <w14:schemeClr w14:val="tx1"/>
                  </w14:solidFill>
                </w14:textFill>
              </w:rPr>
            </w:pPr>
          </w:p>
        </w:tc>
      </w:tr>
      <w:tr w14:paraId="11B9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3802A38B">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三</w:t>
            </w:r>
          </w:p>
        </w:tc>
        <w:tc>
          <w:tcPr>
            <w:tcW w:w="6595" w:type="dxa"/>
            <w:vAlign w:val="center"/>
          </w:tcPr>
          <w:p w14:paraId="78D93A54">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商务、技术文件</w:t>
            </w:r>
          </w:p>
        </w:tc>
        <w:tc>
          <w:tcPr>
            <w:tcW w:w="755" w:type="dxa"/>
          </w:tcPr>
          <w:p w14:paraId="7E16C75A">
            <w:pPr>
              <w:spacing w:line="240" w:lineRule="exact"/>
              <w:rPr>
                <w:rFonts w:ascii="宋体" w:hAnsi="宋体" w:cs="宋体"/>
                <w:color w:val="000000" w:themeColor="text1"/>
                <w:szCs w:val="21"/>
                <w14:textFill>
                  <w14:solidFill>
                    <w14:schemeClr w14:val="tx1"/>
                  </w14:solidFill>
                </w14:textFill>
              </w:rPr>
            </w:pPr>
          </w:p>
        </w:tc>
        <w:tc>
          <w:tcPr>
            <w:tcW w:w="802" w:type="dxa"/>
          </w:tcPr>
          <w:p w14:paraId="1E1EAADB">
            <w:pPr>
              <w:spacing w:line="240" w:lineRule="exact"/>
              <w:rPr>
                <w:rFonts w:ascii="宋体" w:hAnsi="宋体" w:cs="宋体"/>
                <w:color w:val="000000" w:themeColor="text1"/>
                <w:szCs w:val="21"/>
                <w14:textFill>
                  <w14:solidFill>
                    <w14:schemeClr w14:val="tx1"/>
                  </w14:solidFill>
                </w14:textFill>
              </w:rPr>
            </w:pPr>
          </w:p>
        </w:tc>
        <w:tc>
          <w:tcPr>
            <w:tcW w:w="902" w:type="dxa"/>
          </w:tcPr>
          <w:p w14:paraId="348C4F9E">
            <w:pPr>
              <w:spacing w:line="240" w:lineRule="exact"/>
              <w:rPr>
                <w:rFonts w:ascii="宋体" w:hAnsi="宋体" w:cs="宋体"/>
                <w:color w:val="000000" w:themeColor="text1"/>
                <w:szCs w:val="21"/>
                <w14:textFill>
                  <w14:solidFill>
                    <w14:schemeClr w14:val="tx1"/>
                  </w14:solidFill>
                </w14:textFill>
              </w:rPr>
            </w:pPr>
          </w:p>
        </w:tc>
      </w:tr>
      <w:tr w14:paraId="0A9A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38D48447">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6595" w:type="dxa"/>
            <w:vAlign w:val="center"/>
          </w:tcPr>
          <w:p w14:paraId="5C586F82">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商务、技术评审索引表（格式7）</w:t>
            </w:r>
          </w:p>
        </w:tc>
        <w:tc>
          <w:tcPr>
            <w:tcW w:w="755" w:type="dxa"/>
          </w:tcPr>
          <w:p w14:paraId="72839A3E">
            <w:pPr>
              <w:spacing w:line="240" w:lineRule="exact"/>
              <w:rPr>
                <w:rFonts w:ascii="宋体" w:hAnsi="宋体" w:cs="宋体"/>
                <w:color w:val="000000" w:themeColor="text1"/>
                <w:szCs w:val="21"/>
                <w14:textFill>
                  <w14:solidFill>
                    <w14:schemeClr w14:val="tx1"/>
                  </w14:solidFill>
                </w14:textFill>
              </w:rPr>
            </w:pPr>
          </w:p>
        </w:tc>
        <w:tc>
          <w:tcPr>
            <w:tcW w:w="802" w:type="dxa"/>
          </w:tcPr>
          <w:p w14:paraId="5298FD8C">
            <w:pPr>
              <w:spacing w:line="240" w:lineRule="exact"/>
              <w:rPr>
                <w:rFonts w:ascii="宋体" w:hAnsi="宋体" w:cs="宋体"/>
                <w:color w:val="000000" w:themeColor="text1"/>
                <w:szCs w:val="21"/>
                <w14:textFill>
                  <w14:solidFill>
                    <w14:schemeClr w14:val="tx1"/>
                  </w14:solidFill>
                </w14:textFill>
              </w:rPr>
            </w:pPr>
          </w:p>
        </w:tc>
        <w:tc>
          <w:tcPr>
            <w:tcW w:w="902" w:type="dxa"/>
          </w:tcPr>
          <w:p w14:paraId="2B399B81">
            <w:pPr>
              <w:spacing w:line="240" w:lineRule="exact"/>
              <w:rPr>
                <w:rFonts w:ascii="宋体" w:hAnsi="宋体" w:cs="宋体"/>
                <w:color w:val="000000" w:themeColor="text1"/>
                <w:szCs w:val="21"/>
                <w14:textFill>
                  <w14:solidFill>
                    <w14:schemeClr w14:val="tx1"/>
                  </w14:solidFill>
                </w14:textFill>
              </w:rPr>
            </w:pPr>
          </w:p>
        </w:tc>
      </w:tr>
      <w:tr w14:paraId="27D76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24353B85">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p>
        </w:tc>
        <w:tc>
          <w:tcPr>
            <w:tcW w:w="6595" w:type="dxa"/>
            <w:vAlign w:val="center"/>
          </w:tcPr>
          <w:p w14:paraId="5443E10E">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同类项目业绩表</w:t>
            </w:r>
            <w:r>
              <w:rPr>
                <w:rFonts w:hint="eastAsia" w:ascii="宋体" w:hAnsi="宋体" w:cs="宋体"/>
                <w:bCs/>
                <w:color w:val="000000" w:themeColor="text1"/>
                <w:szCs w:val="21"/>
                <w14:textFill>
                  <w14:solidFill>
                    <w14:schemeClr w14:val="tx1"/>
                  </w14:solidFill>
                </w14:textFill>
              </w:rPr>
              <w:t>（格式8）</w:t>
            </w:r>
          </w:p>
        </w:tc>
        <w:tc>
          <w:tcPr>
            <w:tcW w:w="755" w:type="dxa"/>
          </w:tcPr>
          <w:p w14:paraId="0A3A034F">
            <w:pPr>
              <w:spacing w:line="240" w:lineRule="exact"/>
              <w:rPr>
                <w:rFonts w:ascii="宋体" w:hAnsi="宋体" w:cs="宋体"/>
                <w:color w:val="000000" w:themeColor="text1"/>
                <w:szCs w:val="21"/>
                <w14:textFill>
                  <w14:solidFill>
                    <w14:schemeClr w14:val="tx1"/>
                  </w14:solidFill>
                </w14:textFill>
              </w:rPr>
            </w:pPr>
          </w:p>
        </w:tc>
        <w:tc>
          <w:tcPr>
            <w:tcW w:w="802" w:type="dxa"/>
          </w:tcPr>
          <w:p w14:paraId="3B51EE4D">
            <w:pPr>
              <w:spacing w:line="240" w:lineRule="exact"/>
              <w:rPr>
                <w:rFonts w:ascii="宋体" w:hAnsi="宋体" w:cs="宋体"/>
                <w:color w:val="000000" w:themeColor="text1"/>
                <w:szCs w:val="21"/>
                <w14:textFill>
                  <w14:solidFill>
                    <w14:schemeClr w14:val="tx1"/>
                  </w14:solidFill>
                </w14:textFill>
              </w:rPr>
            </w:pPr>
          </w:p>
        </w:tc>
        <w:tc>
          <w:tcPr>
            <w:tcW w:w="902" w:type="dxa"/>
          </w:tcPr>
          <w:p w14:paraId="1E62447D">
            <w:pPr>
              <w:spacing w:line="240" w:lineRule="exact"/>
              <w:rPr>
                <w:rFonts w:ascii="宋体" w:hAnsi="宋体" w:cs="宋体"/>
                <w:color w:val="000000" w:themeColor="text1"/>
                <w:szCs w:val="21"/>
                <w14:textFill>
                  <w14:solidFill>
                    <w14:schemeClr w14:val="tx1"/>
                  </w14:solidFill>
                </w14:textFill>
              </w:rPr>
            </w:pPr>
          </w:p>
        </w:tc>
      </w:tr>
      <w:tr w14:paraId="6098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475C9BF4">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p>
        </w:tc>
        <w:tc>
          <w:tcPr>
            <w:tcW w:w="6595" w:type="dxa"/>
            <w:vAlign w:val="center"/>
          </w:tcPr>
          <w:p w14:paraId="626F276B">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报价人为本项目配置人员说明（格式自拟）</w:t>
            </w:r>
          </w:p>
        </w:tc>
        <w:tc>
          <w:tcPr>
            <w:tcW w:w="755" w:type="dxa"/>
          </w:tcPr>
          <w:p w14:paraId="0A169530">
            <w:pPr>
              <w:spacing w:line="240" w:lineRule="exact"/>
              <w:rPr>
                <w:rFonts w:ascii="宋体" w:hAnsi="宋体" w:cs="宋体"/>
                <w:color w:val="000000" w:themeColor="text1"/>
                <w:szCs w:val="21"/>
                <w14:textFill>
                  <w14:solidFill>
                    <w14:schemeClr w14:val="tx1"/>
                  </w14:solidFill>
                </w14:textFill>
              </w:rPr>
            </w:pPr>
          </w:p>
        </w:tc>
        <w:tc>
          <w:tcPr>
            <w:tcW w:w="802" w:type="dxa"/>
          </w:tcPr>
          <w:p w14:paraId="6C9C0BEB">
            <w:pPr>
              <w:spacing w:line="240" w:lineRule="exact"/>
              <w:rPr>
                <w:rFonts w:ascii="宋体" w:hAnsi="宋体" w:cs="宋体"/>
                <w:color w:val="000000" w:themeColor="text1"/>
                <w:szCs w:val="21"/>
                <w14:textFill>
                  <w14:solidFill>
                    <w14:schemeClr w14:val="tx1"/>
                  </w14:solidFill>
                </w14:textFill>
              </w:rPr>
            </w:pPr>
          </w:p>
        </w:tc>
        <w:tc>
          <w:tcPr>
            <w:tcW w:w="902" w:type="dxa"/>
          </w:tcPr>
          <w:p w14:paraId="44AD4F19">
            <w:pPr>
              <w:spacing w:line="240" w:lineRule="exact"/>
              <w:rPr>
                <w:rFonts w:ascii="宋体" w:hAnsi="宋体" w:cs="宋体"/>
                <w:color w:val="000000" w:themeColor="text1"/>
                <w:szCs w:val="21"/>
                <w14:textFill>
                  <w14:solidFill>
                    <w14:schemeClr w14:val="tx1"/>
                  </w14:solidFill>
                </w14:textFill>
              </w:rPr>
            </w:pPr>
          </w:p>
        </w:tc>
      </w:tr>
      <w:tr w14:paraId="6E3D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40D92F25">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w:t>
            </w:r>
          </w:p>
        </w:tc>
        <w:tc>
          <w:tcPr>
            <w:tcW w:w="6595" w:type="dxa"/>
            <w:vAlign w:val="center"/>
          </w:tcPr>
          <w:p w14:paraId="6A267A65">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质量保证、售后服务说明（格式自拟）</w:t>
            </w:r>
          </w:p>
        </w:tc>
        <w:tc>
          <w:tcPr>
            <w:tcW w:w="755" w:type="dxa"/>
          </w:tcPr>
          <w:p w14:paraId="3DFAF085">
            <w:pPr>
              <w:spacing w:line="240" w:lineRule="exact"/>
              <w:rPr>
                <w:rFonts w:ascii="宋体" w:hAnsi="宋体" w:cs="宋体"/>
                <w:color w:val="000000" w:themeColor="text1"/>
                <w:szCs w:val="21"/>
                <w14:textFill>
                  <w14:solidFill>
                    <w14:schemeClr w14:val="tx1"/>
                  </w14:solidFill>
                </w14:textFill>
              </w:rPr>
            </w:pPr>
          </w:p>
        </w:tc>
        <w:tc>
          <w:tcPr>
            <w:tcW w:w="802" w:type="dxa"/>
          </w:tcPr>
          <w:p w14:paraId="1AA88AB3">
            <w:pPr>
              <w:spacing w:line="240" w:lineRule="exact"/>
              <w:rPr>
                <w:rFonts w:ascii="宋体" w:hAnsi="宋体" w:cs="宋体"/>
                <w:color w:val="000000" w:themeColor="text1"/>
                <w:szCs w:val="21"/>
                <w14:textFill>
                  <w14:solidFill>
                    <w14:schemeClr w14:val="tx1"/>
                  </w14:solidFill>
                </w14:textFill>
              </w:rPr>
            </w:pPr>
          </w:p>
        </w:tc>
        <w:tc>
          <w:tcPr>
            <w:tcW w:w="902" w:type="dxa"/>
          </w:tcPr>
          <w:p w14:paraId="0A32E18D">
            <w:pPr>
              <w:spacing w:line="240" w:lineRule="exact"/>
              <w:rPr>
                <w:rFonts w:ascii="宋体" w:hAnsi="宋体" w:cs="宋体"/>
                <w:color w:val="000000" w:themeColor="text1"/>
                <w:szCs w:val="21"/>
                <w14:textFill>
                  <w14:solidFill>
                    <w14:schemeClr w14:val="tx1"/>
                  </w14:solidFill>
                </w14:textFill>
              </w:rPr>
            </w:pPr>
          </w:p>
        </w:tc>
      </w:tr>
      <w:tr w14:paraId="7728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600039EA">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w:t>
            </w:r>
          </w:p>
        </w:tc>
        <w:tc>
          <w:tcPr>
            <w:tcW w:w="6595" w:type="dxa"/>
            <w:vAlign w:val="center"/>
          </w:tcPr>
          <w:p w14:paraId="339CEB95">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与采购人需求差异表（格式9）</w:t>
            </w:r>
          </w:p>
        </w:tc>
        <w:tc>
          <w:tcPr>
            <w:tcW w:w="755" w:type="dxa"/>
          </w:tcPr>
          <w:p w14:paraId="2030A4C5">
            <w:pPr>
              <w:spacing w:line="240" w:lineRule="exact"/>
              <w:rPr>
                <w:rFonts w:ascii="宋体" w:hAnsi="宋体" w:cs="宋体"/>
                <w:color w:val="000000" w:themeColor="text1"/>
                <w:szCs w:val="21"/>
                <w14:textFill>
                  <w14:solidFill>
                    <w14:schemeClr w14:val="tx1"/>
                  </w14:solidFill>
                </w14:textFill>
              </w:rPr>
            </w:pPr>
          </w:p>
        </w:tc>
        <w:tc>
          <w:tcPr>
            <w:tcW w:w="802" w:type="dxa"/>
          </w:tcPr>
          <w:p w14:paraId="0B363C98">
            <w:pPr>
              <w:spacing w:line="240" w:lineRule="exact"/>
              <w:rPr>
                <w:rFonts w:ascii="宋体" w:hAnsi="宋体" w:cs="宋体"/>
                <w:color w:val="000000" w:themeColor="text1"/>
                <w:szCs w:val="21"/>
                <w14:textFill>
                  <w14:solidFill>
                    <w14:schemeClr w14:val="tx1"/>
                  </w14:solidFill>
                </w14:textFill>
              </w:rPr>
            </w:pPr>
          </w:p>
        </w:tc>
        <w:tc>
          <w:tcPr>
            <w:tcW w:w="902" w:type="dxa"/>
          </w:tcPr>
          <w:p w14:paraId="22DD0DED">
            <w:pPr>
              <w:spacing w:line="240" w:lineRule="exact"/>
              <w:rPr>
                <w:rFonts w:ascii="宋体" w:hAnsi="宋体" w:cs="宋体"/>
                <w:color w:val="000000" w:themeColor="text1"/>
                <w:szCs w:val="21"/>
                <w14:textFill>
                  <w14:solidFill>
                    <w14:schemeClr w14:val="tx1"/>
                  </w14:solidFill>
                </w14:textFill>
              </w:rPr>
            </w:pPr>
          </w:p>
        </w:tc>
      </w:tr>
      <w:tr w14:paraId="4114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64D63D52">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w:t>
            </w:r>
          </w:p>
        </w:tc>
        <w:tc>
          <w:tcPr>
            <w:tcW w:w="6595" w:type="dxa"/>
            <w:vAlign w:val="center"/>
          </w:tcPr>
          <w:p w14:paraId="5D19380D">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合同条款响应一览表</w:t>
            </w:r>
            <w:r>
              <w:rPr>
                <w:rFonts w:hint="eastAsia" w:ascii="宋体" w:hAnsi="宋体" w:cs="宋体"/>
                <w:bCs/>
                <w:color w:val="000000" w:themeColor="text1"/>
                <w:szCs w:val="21"/>
                <w14:textFill>
                  <w14:solidFill>
                    <w14:schemeClr w14:val="tx1"/>
                  </w14:solidFill>
                </w14:textFill>
              </w:rPr>
              <w:t>（格式10）</w:t>
            </w:r>
          </w:p>
        </w:tc>
        <w:tc>
          <w:tcPr>
            <w:tcW w:w="755" w:type="dxa"/>
          </w:tcPr>
          <w:p w14:paraId="1215EBF9">
            <w:pPr>
              <w:spacing w:line="240" w:lineRule="exact"/>
              <w:rPr>
                <w:rFonts w:ascii="宋体" w:hAnsi="宋体" w:cs="宋体"/>
                <w:color w:val="000000" w:themeColor="text1"/>
                <w:szCs w:val="21"/>
                <w14:textFill>
                  <w14:solidFill>
                    <w14:schemeClr w14:val="tx1"/>
                  </w14:solidFill>
                </w14:textFill>
              </w:rPr>
            </w:pPr>
          </w:p>
        </w:tc>
        <w:tc>
          <w:tcPr>
            <w:tcW w:w="802" w:type="dxa"/>
          </w:tcPr>
          <w:p w14:paraId="0D7AEC8F">
            <w:pPr>
              <w:spacing w:line="240" w:lineRule="exact"/>
              <w:rPr>
                <w:rFonts w:ascii="宋体" w:hAnsi="宋体" w:cs="宋体"/>
                <w:color w:val="000000" w:themeColor="text1"/>
                <w:szCs w:val="21"/>
                <w14:textFill>
                  <w14:solidFill>
                    <w14:schemeClr w14:val="tx1"/>
                  </w14:solidFill>
                </w14:textFill>
              </w:rPr>
            </w:pPr>
          </w:p>
        </w:tc>
        <w:tc>
          <w:tcPr>
            <w:tcW w:w="902" w:type="dxa"/>
          </w:tcPr>
          <w:p w14:paraId="0A5DC16F">
            <w:pPr>
              <w:spacing w:line="240" w:lineRule="exact"/>
              <w:rPr>
                <w:rFonts w:ascii="宋体" w:hAnsi="宋体" w:cs="宋体"/>
                <w:color w:val="000000" w:themeColor="text1"/>
                <w:szCs w:val="21"/>
                <w14:textFill>
                  <w14:solidFill>
                    <w14:schemeClr w14:val="tx1"/>
                  </w14:solidFill>
                </w14:textFill>
              </w:rPr>
            </w:pPr>
          </w:p>
        </w:tc>
      </w:tr>
      <w:tr w14:paraId="4A02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41A12B57">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w:t>
            </w:r>
          </w:p>
        </w:tc>
        <w:tc>
          <w:tcPr>
            <w:tcW w:w="6595" w:type="dxa"/>
            <w:vAlign w:val="center"/>
          </w:tcPr>
          <w:p w14:paraId="3414FEC2">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缴交采购代理服务费承诺书（格式11）</w:t>
            </w:r>
          </w:p>
        </w:tc>
        <w:tc>
          <w:tcPr>
            <w:tcW w:w="755" w:type="dxa"/>
          </w:tcPr>
          <w:p w14:paraId="2E9D8B59">
            <w:pPr>
              <w:spacing w:line="240" w:lineRule="exact"/>
              <w:rPr>
                <w:rFonts w:ascii="宋体" w:hAnsi="宋体" w:cs="宋体"/>
                <w:color w:val="000000" w:themeColor="text1"/>
                <w:szCs w:val="21"/>
                <w14:textFill>
                  <w14:solidFill>
                    <w14:schemeClr w14:val="tx1"/>
                  </w14:solidFill>
                </w14:textFill>
              </w:rPr>
            </w:pPr>
          </w:p>
        </w:tc>
        <w:tc>
          <w:tcPr>
            <w:tcW w:w="802" w:type="dxa"/>
          </w:tcPr>
          <w:p w14:paraId="2C1ED205">
            <w:pPr>
              <w:spacing w:line="240" w:lineRule="exact"/>
              <w:rPr>
                <w:rFonts w:ascii="宋体" w:hAnsi="宋体" w:cs="宋体"/>
                <w:color w:val="000000" w:themeColor="text1"/>
                <w:szCs w:val="21"/>
                <w14:textFill>
                  <w14:solidFill>
                    <w14:schemeClr w14:val="tx1"/>
                  </w14:solidFill>
                </w14:textFill>
              </w:rPr>
            </w:pPr>
          </w:p>
        </w:tc>
        <w:tc>
          <w:tcPr>
            <w:tcW w:w="902" w:type="dxa"/>
          </w:tcPr>
          <w:p w14:paraId="2EA2A4CD">
            <w:pPr>
              <w:spacing w:line="240" w:lineRule="exact"/>
              <w:rPr>
                <w:rFonts w:ascii="宋体" w:hAnsi="宋体" w:cs="宋体"/>
                <w:color w:val="000000" w:themeColor="text1"/>
                <w:szCs w:val="21"/>
                <w14:textFill>
                  <w14:solidFill>
                    <w14:schemeClr w14:val="tx1"/>
                  </w14:solidFill>
                </w14:textFill>
              </w:rPr>
            </w:pPr>
          </w:p>
        </w:tc>
      </w:tr>
      <w:tr w14:paraId="54F0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3649CD94">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w:t>
            </w:r>
          </w:p>
        </w:tc>
        <w:tc>
          <w:tcPr>
            <w:tcW w:w="6595" w:type="dxa"/>
            <w:vAlign w:val="center"/>
          </w:tcPr>
          <w:p w14:paraId="2CC3892C">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同意磋商文件条款说明（格式12）</w:t>
            </w:r>
          </w:p>
        </w:tc>
        <w:tc>
          <w:tcPr>
            <w:tcW w:w="755" w:type="dxa"/>
          </w:tcPr>
          <w:p w14:paraId="18C11C2E">
            <w:pPr>
              <w:spacing w:line="240" w:lineRule="exact"/>
              <w:rPr>
                <w:rFonts w:ascii="宋体" w:hAnsi="宋体" w:cs="宋体"/>
                <w:color w:val="000000" w:themeColor="text1"/>
                <w:szCs w:val="21"/>
                <w14:textFill>
                  <w14:solidFill>
                    <w14:schemeClr w14:val="tx1"/>
                  </w14:solidFill>
                </w14:textFill>
              </w:rPr>
            </w:pPr>
          </w:p>
        </w:tc>
        <w:tc>
          <w:tcPr>
            <w:tcW w:w="802" w:type="dxa"/>
          </w:tcPr>
          <w:p w14:paraId="3E6E54B5">
            <w:pPr>
              <w:spacing w:line="240" w:lineRule="exact"/>
              <w:rPr>
                <w:rFonts w:ascii="宋体" w:hAnsi="宋体" w:cs="宋体"/>
                <w:color w:val="000000" w:themeColor="text1"/>
                <w:szCs w:val="21"/>
                <w14:textFill>
                  <w14:solidFill>
                    <w14:schemeClr w14:val="tx1"/>
                  </w14:solidFill>
                </w14:textFill>
              </w:rPr>
            </w:pPr>
          </w:p>
        </w:tc>
        <w:tc>
          <w:tcPr>
            <w:tcW w:w="902" w:type="dxa"/>
          </w:tcPr>
          <w:p w14:paraId="62114CA0">
            <w:pPr>
              <w:spacing w:line="240" w:lineRule="exact"/>
              <w:rPr>
                <w:rFonts w:ascii="宋体" w:hAnsi="宋体" w:cs="宋体"/>
                <w:color w:val="000000" w:themeColor="text1"/>
                <w:szCs w:val="21"/>
                <w14:textFill>
                  <w14:solidFill>
                    <w14:schemeClr w14:val="tx1"/>
                  </w14:solidFill>
                </w14:textFill>
              </w:rPr>
            </w:pPr>
          </w:p>
        </w:tc>
      </w:tr>
      <w:tr w14:paraId="69F3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0681253E">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w:t>
            </w:r>
          </w:p>
        </w:tc>
        <w:tc>
          <w:tcPr>
            <w:tcW w:w="6595" w:type="dxa"/>
            <w:vAlign w:val="center"/>
          </w:tcPr>
          <w:p w14:paraId="4E99DF04">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所报货物详细的技术方案</w:t>
            </w:r>
            <w:r>
              <w:rPr>
                <w:rFonts w:hint="eastAsia" w:ascii="宋体" w:hAnsi="宋体" w:cs="宋体"/>
                <w:bCs/>
                <w:color w:val="000000" w:themeColor="text1"/>
                <w:szCs w:val="21"/>
                <w14:textFill>
                  <w14:solidFill>
                    <w14:schemeClr w14:val="tx1"/>
                  </w14:solidFill>
                </w14:textFill>
              </w:rPr>
              <w:t>（格式自拟）</w:t>
            </w:r>
          </w:p>
        </w:tc>
        <w:tc>
          <w:tcPr>
            <w:tcW w:w="755" w:type="dxa"/>
          </w:tcPr>
          <w:p w14:paraId="24C4C99B">
            <w:pPr>
              <w:spacing w:line="240" w:lineRule="exact"/>
              <w:rPr>
                <w:rFonts w:ascii="宋体" w:hAnsi="宋体" w:cs="宋体"/>
                <w:color w:val="000000" w:themeColor="text1"/>
                <w:szCs w:val="21"/>
                <w14:textFill>
                  <w14:solidFill>
                    <w14:schemeClr w14:val="tx1"/>
                  </w14:solidFill>
                </w14:textFill>
              </w:rPr>
            </w:pPr>
          </w:p>
        </w:tc>
        <w:tc>
          <w:tcPr>
            <w:tcW w:w="802" w:type="dxa"/>
          </w:tcPr>
          <w:p w14:paraId="74CE1C3A">
            <w:pPr>
              <w:spacing w:line="240" w:lineRule="exact"/>
              <w:rPr>
                <w:rFonts w:ascii="宋体" w:hAnsi="宋体" w:cs="宋体"/>
                <w:color w:val="000000" w:themeColor="text1"/>
                <w:szCs w:val="21"/>
                <w14:textFill>
                  <w14:solidFill>
                    <w14:schemeClr w14:val="tx1"/>
                  </w14:solidFill>
                </w14:textFill>
              </w:rPr>
            </w:pPr>
          </w:p>
        </w:tc>
        <w:tc>
          <w:tcPr>
            <w:tcW w:w="902" w:type="dxa"/>
          </w:tcPr>
          <w:p w14:paraId="55C57C67">
            <w:pPr>
              <w:spacing w:line="240" w:lineRule="exact"/>
              <w:rPr>
                <w:rFonts w:ascii="宋体" w:hAnsi="宋体" w:cs="宋体"/>
                <w:color w:val="000000" w:themeColor="text1"/>
                <w:szCs w:val="21"/>
                <w14:textFill>
                  <w14:solidFill>
                    <w14:schemeClr w14:val="tx1"/>
                  </w14:solidFill>
                </w14:textFill>
              </w:rPr>
            </w:pPr>
          </w:p>
        </w:tc>
      </w:tr>
      <w:tr w14:paraId="13C3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53" w:type="dxa"/>
            <w:vAlign w:val="center"/>
          </w:tcPr>
          <w:p w14:paraId="5A5B8587">
            <w:pPr>
              <w:spacing w:before="31" w:beforeLines="10" w:after="31" w:afterLines="10" w:line="240" w:lineRule="exac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w:t>
            </w:r>
          </w:p>
        </w:tc>
        <w:tc>
          <w:tcPr>
            <w:tcW w:w="6595" w:type="dxa"/>
            <w:vAlign w:val="center"/>
          </w:tcPr>
          <w:p w14:paraId="4D61CC03">
            <w:pPr>
              <w:spacing w:before="31" w:beforeLines="10" w:after="31" w:afterLines="10" w:line="2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报价人认为需提交的其他资料</w:t>
            </w:r>
          </w:p>
        </w:tc>
        <w:tc>
          <w:tcPr>
            <w:tcW w:w="755" w:type="dxa"/>
          </w:tcPr>
          <w:p w14:paraId="7B2ADF1D">
            <w:pPr>
              <w:spacing w:line="240" w:lineRule="exact"/>
              <w:rPr>
                <w:rFonts w:ascii="宋体" w:hAnsi="宋体" w:cs="宋体"/>
                <w:color w:val="000000" w:themeColor="text1"/>
                <w:szCs w:val="21"/>
                <w14:textFill>
                  <w14:solidFill>
                    <w14:schemeClr w14:val="tx1"/>
                  </w14:solidFill>
                </w14:textFill>
              </w:rPr>
            </w:pPr>
          </w:p>
        </w:tc>
        <w:tc>
          <w:tcPr>
            <w:tcW w:w="802" w:type="dxa"/>
          </w:tcPr>
          <w:p w14:paraId="64582A1D">
            <w:pPr>
              <w:spacing w:line="240" w:lineRule="exact"/>
              <w:rPr>
                <w:rFonts w:ascii="宋体" w:hAnsi="宋体" w:cs="宋体"/>
                <w:color w:val="000000" w:themeColor="text1"/>
                <w:szCs w:val="21"/>
                <w14:textFill>
                  <w14:solidFill>
                    <w14:schemeClr w14:val="tx1"/>
                  </w14:solidFill>
                </w14:textFill>
              </w:rPr>
            </w:pPr>
          </w:p>
        </w:tc>
        <w:tc>
          <w:tcPr>
            <w:tcW w:w="902" w:type="dxa"/>
          </w:tcPr>
          <w:p w14:paraId="4907929D">
            <w:pPr>
              <w:spacing w:line="240" w:lineRule="exact"/>
              <w:rPr>
                <w:rFonts w:ascii="宋体" w:hAnsi="宋体" w:cs="宋体"/>
                <w:color w:val="000000" w:themeColor="text1"/>
                <w:szCs w:val="21"/>
                <w14:textFill>
                  <w14:solidFill>
                    <w14:schemeClr w14:val="tx1"/>
                  </w14:solidFill>
                </w14:textFill>
              </w:rPr>
            </w:pPr>
          </w:p>
        </w:tc>
      </w:tr>
    </w:tbl>
    <w:p w14:paraId="3B7E4532">
      <w:pPr>
        <w:spacing w:before="156" w:beforeLines="50" w:after="62" w:afterLines="20"/>
        <w:rPr>
          <w:rFonts w:ascii="宋体" w:hAnsi="宋体" w:cs="宋体"/>
          <w:b/>
          <w:color w:val="000000" w:themeColor="text1"/>
          <w:sz w:val="24"/>
          <w:szCs w:val="24"/>
          <w14:textFill>
            <w14:solidFill>
              <w14:schemeClr w14:val="tx1"/>
            </w14:solidFill>
          </w14:textFill>
        </w:rPr>
      </w:pPr>
    </w:p>
    <w:p w14:paraId="2BE5106B">
      <w:pPr>
        <w:spacing w:before="156" w:beforeLines="50" w:after="62" w:afterLines="2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二、报价信封</w:t>
      </w:r>
    </w:p>
    <w:tbl>
      <w:tblPr>
        <w:tblStyle w:val="38"/>
        <w:tblW w:w="95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6706"/>
        <w:gridCol w:w="1374"/>
        <w:gridCol w:w="965"/>
      </w:tblGrid>
      <w:tr w14:paraId="0996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8" w:type="dxa"/>
            <w:vAlign w:val="center"/>
          </w:tcPr>
          <w:p w14:paraId="776AB6DC">
            <w:pPr>
              <w:spacing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w:t>
            </w:r>
          </w:p>
          <w:p w14:paraId="42B240E6">
            <w:pPr>
              <w:spacing w:line="2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号</w:t>
            </w:r>
          </w:p>
        </w:tc>
        <w:tc>
          <w:tcPr>
            <w:tcW w:w="6706" w:type="dxa"/>
            <w:vAlign w:val="center"/>
          </w:tcPr>
          <w:p w14:paraId="08C539E5">
            <w:pPr>
              <w:spacing w:before="156" w:beforeLines="50" w:after="156" w:afterLines="5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文 件 名 称</w:t>
            </w:r>
          </w:p>
        </w:tc>
        <w:tc>
          <w:tcPr>
            <w:tcW w:w="1374" w:type="dxa"/>
            <w:vAlign w:val="center"/>
          </w:tcPr>
          <w:p w14:paraId="274DF02E">
            <w:pPr>
              <w:spacing w:before="156" w:beforeLines="50" w:after="156" w:afterLines="5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是否提交</w:t>
            </w:r>
          </w:p>
        </w:tc>
        <w:tc>
          <w:tcPr>
            <w:tcW w:w="965" w:type="dxa"/>
            <w:vAlign w:val="center"/>
          </w:tcPr>
          <w:p w14:paraId="1E57350A">
            <w:pPr>
              <w:spacing w:before="156" w:beforeLines="50" w:after="156" w:afterLines="50" w:line="24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p>
        </w:tc>
      </w:tr>
      <w:tr w14:paraId="7CDA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8" w:type="dxa"/>
            <w:vAlign w:val="center"/>
          </w:tcPr>
          <w:p w14:paraId="41465EED">
            <w:pPr>
              <w:spacing w:before="31" w:beforeLines="10" w:after="31" w:afterLines="10"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w:t>
            </w:r>
          </w:p>
        </w:tc>
        <w:tc>
          <w:tcPr>
            <w:tcW w:w="6706" w:type="dxa"/>
            <w:vAlign w:val="center"/>
          </w:tcPr>
          <w:p w14:paraId="389B9360">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报价一览表（与报价文件中的内容保持一致）；</w:t>
            </w:r>
          </w:p>
        </w:tc>
        <w:tc>
          <w:tcPr>
            <w:tcW w:w="1374" w:type="dxa"/>
            <w:vAlign w:val="center"/>
          </w:tcPr>
          <w:p w14:paraId="65343107">
            <w:pPr>
              <w:spacing w:line="240" w:lineRule="exact"/>
              <w:rPr>
                <w:rFonts w:ascii="宋体" w:hAnsi="宋体" w:cs="宋体"/>
                <w:color w:val="000000" w:themeColor="text1"/>
                <w:szCs w:val="21"/>
                <w14:textFill>
                  <w14:solidFill>
                    <w14:schemeClr w14:val="tx1"/>
                  </w14:solidFill>
                </w14:textFill>
              </w:rPr>
            </w:pPr>
          </w:p>
        </w:tc>
        <w:tc>
          <w:tcPr>
            <w:tcW w:w="965" w:type="dxa"/>
            <w:vAlign w:val="center"/>
          </w:tcPr>
          <w:p w14:paraId="5BEAB653">
            <w:pPr>
              <w:spacing w:line="240" w:lineRule="exact"/>
              <w:rPr>
                <w:rFonts w:ascii="宋体" w:hAnsi="宋体" w:cs="宋体"/>
                <w:color w:val="000000" w:themeColor="text1"/>
                <w:szCs w:val="21"/>
                <w14:textFill>
                  <w14:solidFill>
                    <w14:schemeClr w14:val="tx1"/>
                  </w14:solidFill>
                </w14:textFill>
              </w:rPr>
            </w:pPr>
          </w:p>
        </w:tc>
      </w:tr>
      <w:tr w14:paraId="3AE2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8" w:type="dxa"/>
            <w:vAlign w:val="center"/>
          </w:tcPr>
          <w:p w14:paraId="4AA17C92">
            <w:pPr>
              <w:spacing w:before="31" w:beforeLines="10" w:after="31" w:afterLines="10"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w:t>
            </w:r>
          </w:p>
        </w:tc>
        <w:tc>
          <w:tcPr>
            <w:tcW w:w="6706" w:type="dxa"/>
            <w:vAlign w:val="center"/>
          </w:tcPr>
          <w:p w14:paraId="0D5DB216">
            <w:pPr>
              <w:spacing w:line="360" w:lineRule="auto"/>
              <w:rPr>
                <w:rFonts w:ascii="宋体" w:hAnsi="宋体" w:cs="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（如有）政策适用性说明、中小企业声明函、残疾人福利性单位声明函、</w:t>
            </w:r>
            <w:r>
              <w:rPr>
                <w:rFonts w:hint="eastAsia" w:ascii="宋体" w:hAnsi="宋体"/>
                <w:color w:val="000000" w:themeColor="text1"/>
                <w:szCs w:val="21"/>
                <w14:textFill>
                  <w14:solidFill>
                    <w14:schemeClr w14:val="tx1"/>
                  </w14:solidFill>
                </w14:textFill>
              </w:rPr>
              <w:t>节能、环境标志产品政策优惠表</w:t>
            </w:r>
          </w:p>
        </w:tc>
        <w:tc>
          <w:tcPr>
            <w:tcW w:w="1374" w:type="dxa"/>
            <w:vAlign w:val="center"/>
          </w:tcPr>
          <w:p w14:paraId="0BB65EBF">
            <w:pPr>
              <w:spacing w:line="240" w:lineRule="exact"/>
              <w:rPr>
                <w:rFonts w:ascii="宋体" w:hAnsi="宋体" w:cs="宋体"/>
                <w:color w:val="000000" w:themeColor="text1"/>
                <w:szCs w:val="21"/>
                <w14:textFill>
                  <w14:solidFill>
                    <w14:schemeClr w14:val="tx1"/>
                  </w14:solidFill>
                </w14:textFill>
              </w:rPr>
            </w:pPr>
          </w:p>
        </w:tc>
        <w:tc>
          <w:tcPr>
            <w:tcW w:w="965" w:type="dxa"/>
            <w:vAlign w:val="center"/>
          </w:tcPr>
          <w:p w14:paraId="65BBE005">
            <w:pPr>
              <w:spacing w:line="240" w:lineRule="exact"/>
              <w:rPr>
                <w:rFonts w:ascii="宋体" w:hAnsi="宋体" w:cs="宋体"/>
                <w:color w:val="000000" w:themeColor="text1"/>
                <w:szCs w:val="21"/>
                <w14:textFill>
                  <w14:solidFill>
                    <w14:schemeClr w14:val="tx1"/>
                  </w14:solidFill>
                </w14:textFill>
              </w:rPr>
            </w:pPr>
          </w:p>
        </w:tc>
      </w:tr>
    </w:tbl>
    <w:p w14:paraId="27C026DF">
      <w:pPr>
        <w:pStyle w:val="19"/>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w:t>
      </w:r>
      <w:r>
        <w:rPr>
          <w:rFonts w:hint="eastAsia" w:hAnsi="宋体" w:cs="宋体"/>
          <w:color w:val="000000" w:themeColor="text1"/>
          <w:kern w:val="0"/>
          <w14:textFill>
            <w14:solidFill>
              <w14:schemeClr w14:val="tx1"/>
            </w14:solidFill>
          </w14:textFill>
        </w:rPr>
        <w:t>1）带“</w:t>
      </w:r>
      <w:r>
        <w:rPr>
          <w:rFonts w:hint="eastAsia" w:hAnsi="宋体" w:cs="宋体"/>
          <w:bCs/>
          <w:color w:val="000000" w:themeColor="text1"/>
          <w14:textFill>
            <w14:solidFill>
              <w14:schemeClr w14:val="tx1"/>
            </w14:solidFill>
          </w14:textFill>
        </w:rPr>
        <w:t>★”文件为必须提供的文件；</w:t>
      </w:r>
    </w:p>
    <w:p w14:paraId="43F6BF57">
      <w:pPr>
        <w:pStyle w:val="19"/>
        <w:rPr>
          <w:rFonts w:hAnsi="宋体" w:cs="宋体"/>
          <w:color w:val="000000" w:themeColor="text1"/>
          <w:kern w:val="0"/>
          <w14:textFill>
            <w14:solidFill>
              <w14:schemeClr w14:val="tx1"/>
            </w14:solidFill>
          </w14:textFill>
        </w:rPr>
      </w:pPr>
      <w:r>
        <w:rPr>
          <w:rFonts w:hint="eastAsia" w:hAnsi="宋体" w:cs="宋体"/>
          <w:color w:val="000000" w:themeColor="text1"/>
          <w:kern w:val="0"/>
          <w14:textFill>
            <w14:solidFill>
              <w14:schemeClr w14:val="tx1"/>
            </w14:solidFill>
          </w14:textFill>
        </w:rPr>
        <w:t>（2）上述文件如为复印件的，必须加盖报价人公章；</w:t>
      </w:r>
    </w:p>
    <w:p w14:paraId="46A8528D">
      <w:pPr>
        <w:pStyle w:val="19"/>
        <w:spacing w:line="360" w:lineRule="auto"/>
        <w:rPr>
          <w:rFonts w:hAnsi="宋体" w:cs="宋体"/>
          <w:color w:val="000000" w:themeColor="text1"/>
          <w:kern w:val="0"/>
          <w14:textFill>
            <w14:solidFill>
              <w14:schemeClr w14:val="tx1"/>
            </w14:solidFill>
          </w14:textFill>
        </w:rPr>
      </w:pPr>
      <w:r>
        <w:rPr>
          <w:rFonts w:hint="eastAsia" w:hAnsi="宋体" w:cs="宋体"/>
          <w:color w:val="000000" w:themeColor="text1"/>
          <w:kern w:val="0"/>
          <w14:textFill>
            <w14:solidFill>
              <w14:schemeClr w14:val="tx1"/>
            </w14:solidFill>
          </w14:textFill>
        </w:rPr>
        <w:t>（3）如上述文件可通过互联网或者相关信息系统</w:t>
      </w:r>
      <w:bookmarkStart w:id="109" w:name="baidusnap3"/>
      <w:bookmarkEnd w:id="109"/>
      <w:r>
        <w:rPr>
          <w:rFonts w:hint="eastAsia" w:hAnsi="宋体" w:cs="宋体"/>
          <w:color w:val="000000" w:themeColor="text1"/>
          <w:kern w:val="0"/>
          <w14:textFill>
            <w14:solidFill>
              <w14:schemeClr w14:val="tx1"/>
            </w14:solidFill>
          </w14:textFill>
        </w:rPr>
        <w:t>查询的信息，请供应商协助提供复印件的同时提供查询网址，</w:t>
      </w:r>
      <w:r>
        <w:rPr>
          <w:rFonts w:hint="eastAsia" w:hAnsi="宋体" w:cs="宋体"/>
          <w:color w:val="000000" w:themeColor="text1"/>
          <w:kern w:val="0"/>
          <w:highlight w:val="white"/>
          <w14:textFill>
            <w14:solidFill>
              <w14:schemeClr w14:val="tx1"/>
            </w14:solidFill>
          </w14:textFill>
        </w:rPr>
        <w:t>最终结果以查询为准</w:t>
      </w:r>
      <w:r>
        <w:rPr>
          <w:rFonts w:hint="eastAsia" w:hAnsi="宋体" w:cs="宋体"/>
          <w:color w:val="000000" w:themeColor="text1"/>
          <w:kern w:val="0"/>
          <w14:textFill>
            <w14:solidFill>
              <w14:schemeClr w14:val="tx1"/>
            </w14:solidFill>
          </w14:textFill>
        </w:rPr>
        <w:t>；</w:t>
      </w:r>
    </w:p>
    <w:p w14:paraId="718DD452">
      <w:pPr>
        <w:pStyle w:val="19"/>
        <w:spacing w:line="360" w:lineRule="auto"/>
        <w:rPr>
          <w:rFonts w:hAnsi="宋体" w:cs="宋体"/>
          <w:color w:val="000000" w:themeColor="text1"/>
          <w:kern w:val="0"/>
          <w14:textFill>
            <w14:solidFill>
              <w14:schemeClr w14:val="tx1"/>
            </w14:solidFill>
          </w14:textFill>
        </w:rPr>
      </w:pPr>
      <w:r>
        <w:rPr>
          <w:rFonts w:hint="eastAsia" w:hAnsi="宋体" w:cs="宋体"/>
          <w:color w:val="000000" w:themeColor="text1"/>
          <w:kern w:val="0"/>
          <w14:textFill>
            <w14:solidFill>
              <w14:schemeClr w14:val="tx1"/>
            </w14:solidFill>
          </w14:textFill>
        </w:rPr>
        <w:t>（4）报价人应自行承担所提供上述资料任何错漏而导致的一切后果。</w:t>
      </w:r>
    </w:p>
    <w:p w14:paraId="389CA72E">
      <w:pPr>
        <w:rPr>
          <w:rFonts w:ascii="宋体" w:hAnsi="宋体" w:cs="宋体"/>
          <w:color w:val="000000" w:themeColor="text1"/>
          <w14:textFill>
            <w14:solidFill>
              <w14:schemeClr w14:val="tx1"/>
            </w14:solidFill>
          </w14:textFill>
        </w:rPr>
      </w:pPr>
      <w:bookmarkStart w:id="110" w:name="_Toc16361"/>
      <w:bookmarkStart w:id="111" w:name="_Toc14731"/>
      <w:bookmarkStart w:id="112" w:name="_Toc6740"/>
      <w:bookmarkStart w:id="113" w:name="_Toc24846"/>
      <w:bookmarkStart w:id="114" w:name="_Toc9001"/>
      <w:bookmarkStart w:id="115" w:name="_Toc22254"/>
      <w:bookmarkStart w:id="116" w:name="_Toc29015"/>
      <w:bookmarkStart w:id="117" w:name="_Toc16647"/>
      <w:bookmarkStart w:id="118" w:name="_Toc24877731"/>
      <w:bookmarkStart w:id="119" w:name="_Toc2840367"/>
      <w:bookmarkStart w:id="120" w:name="_Toc231010434"/>
      <w:bookmarkStart w:id="121" w:name="_Toc234746277"/>
      <w:bookmarkStart w:id="122" w:name="_Toc24702364"/>
      <w:r>
        <w:rPr>
          <w:rFonts w:hint="eastAsia" w:ascii="宋体" w:hAnsi="宋体" w:cs="宋体"/>
          <w:color w:val="000000" w:themeColor="text1"/>
          <w14:textFill>
            <w14:solidFill>
              <w14:schemeClr w14:val="tx1"/>
            </w14:solidFill>
          </w14:textFill>
        </w:rPr>
        <w:br w:type="page"/>
      </w:r>
    </w:p>
    <w:p w14:paraId="1450F4EC">
      <w:pPr>
        <w:pStyle w:val="3"/>
        <w:spacing w:before="0" w:after="12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格式1                      报 价 函</w:t>
      </w:r>
      <w:bookmarkEnd w:id="110"/>
      <w:bookmarkEnd w:id="111"/>
      <w:bookmarkEnd w:id="112"/>
      <w:bookmarkEnd w:id="113"/>
      <w:bookmarkEnd w:id="114"/>
      <w:bookmarkEnd w:id="115"/>
      <w:bookmarkEnd w:id="116"/>
      <w:bookmarkEnd w:id="117"/>
    </w:p>
    <w:p w14:paraId="3BBFCB37">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致广东远东招标代理有限公司：</w:t>
      </w:r>
    </w:p>
    <w:p w14:paraId="38C010CE">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我方确认收到你方提供的</w:t>
      </w:r>
      <w:r>
        <w:rPr>
          <w:rFonts w:hint="eastAsia" w:ascii="宋体" w:hAnsi="宋体" w:cs="宋体"/>
          <w:color w:val="000000" w:themeColor="text1"/>
          <w:szCs w:val="21"/>
          <w:u w:val="single"/>
          <w14:textFill>
            <w14:solidFill>
              <w14:schemeClr w14:val="tx1"/>
            </w14:solidFill>
          </w14:textFill>
        </w:rPr>
        <w:t xml:space="preserve">         项目</w:t>
      </w:r>
      <w:r>
        <w:rPr>
          <w:rFonts w:hint="eastAsia" w:ascii="宋体" w:hAnsi="宋体" w:cs="宋体"/>
          <w:color w:val="000000" w:themeColor="text1"/>
          <w:szCs w:val="21"/>
          <w14:textFill>
            <w14:solidFill>
              <w14:schemeClr w14:val="tx1"/>
            </w14:solidFill>
          </w14:textFill>
        </w:rPr>
        <w:t>及其相关服务的磋商文件的全部内容。我方：</w:t>
      </w:r>
      <w:r>
        <w:rPr>
          <w:rFonts w:hint="eastAsia" w:ascii="宋体" w:hAnsi="宋体" w:cs="宋体"/>
          <w:color w:val="000000" w:themeColor="text1"/>
          <w:szCs w:val="21"/>
          <w:u w:val="single"/>
          <w14:textFill>
            <w14:solidFill>
              <w14:schemeClr w14:val="tx1"/>
            </w14:solidFill>
          </w14:textFill>
        </w:rPr>
        <w:t>（报价人名称）</w:t>
      </w:r>
      <w:r>
        <w:rPr>
          <w:rFonts w:hint="eastAsia" w:ascii="宋体" w:hAnsi="宋体" w:cs="宋体"/>
          <w:color w:val="000000" w:themeColor="text1"/>
          <w:szCs w:val="21"/>
          <w14:textFill>
            <w14:solidFill>
              <w14:schemeClr w14:val="tx1"/>
            </w14:solidFill>
          </w14:textFill>
        </w:rPr>
        <w:t>作为报价者正式授权</w:t>
      </w:r>
      <w:r>
        <w:rPr>
          <w:rFonts w:hint="eastAsia" w:ascii="宋体" w:hAnsi="宋体" w:cs="宋体"/>
          <w:color w:val="000000" w:themeColor="text1"/>
          <w:szCs w:val="21"/>
          <w:u w:val="single"/>
          <w14:textFill>
            <w14:solidFill>
              <w14:schemeClr w14:val="tx1"/>
            </w14:solidFill>
          </w14:textFill>
        </w:rPr>
        <w:t>（授权代表全名、职务）</w:t>
      </w:r>
      <w:r>
        <w:rPr>
          <w:rFonts w:hint="eastAsia" w:ascii="宋体" w:hAnsi="宋体" w:cs="宋体"/>
          <w:color w:val="000000" w:themeColor="text1"/>
          <w:szCs w:val="21"/>
          <w14:textFill>
            <w14:solidFill>
              <w14:schemeClr w14:val="tx1"/>
            </w14:solidFill>
          </w14:textFill>
        </w:rPr>
        <w:t>代表我方进行有关报价的一切事宜。在此提交的报价文件，正本一份，副本两份。我方已完全明白磋商文件的所有条款要求，并重申以下几点：</w:t>
      </w:r>
    </w:p>
    <w:p w14:paraId="12D36D7B">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1.我方决定参加：项目编号为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的报价；</w:t>
      </w:r>
    </w:p>
    <w:p w14:paraId="714FA4B8">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2.本报价文件的有效期为报价截止日后</w:t>
      </w:r>
      <w:r>
        <w:rPr>
          <w:rFonts w:hint="eastAsia" w:ascii="宋体" w:hAnsi="宋体" w:cs="宋体"/>
          <w:color w:val="000000" w:themeColor="text1"/>
          <w:szCs w:val="21"/>
          <w:u w:val="single"/>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天有效，如被确定为成交人，有效期将延至合同终止日为止；</w:t>
      </w:r>
    </w:p>
    <w:p w14:paraId="47F978F4">
      <w:pPr>
        <w:spacing w:line="360" w:lineRule="auto"/>
        <w:ind w:left="240" w:hanging="2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3.我方已详细研究了磋商文件的所有内容包括修正（如果有）和所有已提供的参考资料以及有关格式并完全明白，我方放弃在此方面提出含糊意见或误解的一切权利；</w:t>
      </w:r>
    </w:p>
    <w:p w14:paraId="6F9124D1">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4.我方同意按照你方可能提出的要求提供与报价有关的任何其它数据或信息；</w:t>
      </w:r>
    </w:p>
    <w:p w14:paraId="29A957A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5.我方理解磋商小组不一定接受最低报价或任何你方可能收到的报价；</w:t>
      </w:r>
    </w:p>
    <w:p w14:paraId="1BEFB480">
      <w:pPr>
        <w:spacing w:line="360" w:lineRule="auto"/>
        <w:ind w:left="240" w:hanging="2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6.我方如被确定为成交人，将保证履行磋商文件以及磋商文件修改书（如有的话）中的全部责任和义务，按质、按量、按期完成《合同》中的全部任务；</w:t>
      </w:r>
    </w:p>
    <w:p w14:paraId="1DA6C875">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7.我方自行完全承担因报价文件错误、缺漏、不清晰而导致的一切后果；</w:t>
      </w:r>
    </w:p>
    <w:p w14:paraId="609098D4">
      <w:pPr>
        <w:spacing w:line="360" w:lineRule="auto"/>
        <w:ind w:left="240" w:hanging="2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8.我方确认此次磋商中提供的一切资料均是真实的，准确的，并完全承担因此产生的一切后果。</w:t>
      </w:r>
    </w:p>
    <w:p w14:paraId="4323FA7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9.我方的报价被接受，我方同意按照磋商文件规定向采购代理机构缴纳采购代理服务费。</w:t>
      </w:r>
    </w:p>
    <w:p w14:paraId="0FD0DF7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所有与本磋商文件有关的函件请发往下列地址：</w:t>
      </w:r>
    </w:p>
    <w:p w14:paraId="422A8373">
      <w:pPr>
        <w:spacing w:line="360" w:lineRule="auto"/>
        <w:ind w:firstLine="210" w:firstLineChars="100"/>
        <w:rPr>
          <w:rFonts w:ascii="宋体" w:hAnsi="宋体" w:cs="宋体"/>
          <w:color w:val="000000" w:themeColor="text1"/>
          <w:szCs w:val="21"/>
          <w14:textFill>
            <w14:solidFill>
              <w14:schemeClr w14:val="tx1"/>
            </w14:solidFill>
          </w14:textFill>
        </w:rPr>
      </w:pPr>
    </w:p>
    <w:p w14:paraId="1637DB38">
      <w:pPr>
        <w:spacing w:line="360" w:lineRule="auto"/>
        <w:ind w:firstLine="420" w:firstLineChars="20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报价人全称（加盖公章）：</w:t>
      </w:r>
      <w:r>
        <w:rPr>
          <w:rFonts w:hint="eastAsia" w:ascii="宋体" w:hAnsi="宋体" w:cs="宋体"/>
          <w:color w:val="000000" w:themeColor="text1"/>
          <w:szCs w:val="21"/>
          <w:u w:val="single"/>
          <w14:textFill>
            <w14:solidFill>
              <w14:schemeClr w14:val="tx1"/>
            </w14:solidFill>
          </w14:textFill>
        </w:rPr>
        <w:t xml:space="preserve">                                            </w:t>
      </w:r>
    </w:p>
    <w:p w14:paraId="483DDAB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邮政编码：</w:t>
      </w:r>
      <w:r>
        <w:rPr>
          <w:rFonts w:hint="eastAsia" w:ascii="宋体" w:hAnsi="宋体" w:cs="宋体"/>
          <w:color w:val="000000" w:themeColor="text1"/>
          <w:szCs w:val="21"/>
          <w:u w:val="single"/>
          <w14:textFill>
            <w14:solidFill>
              <w14:schemeClr w14:val="tx1"/>
            </w14:solidFill>
          </w14:textFill>
        </w:rPr>
        <w:t xml:space="preserve">                    </w:t>
      </w:r>
    </w:p>
    <w:p w14:paraId="302D42D0">
      <w:pPr>
        <w:spacing w:line="360" w:lineRule="auto"/>
        <w:ind w:firstLine="420" w:firstLineChars="20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法定代表或其授权代表（签字）：</w:t>
      </w:r>
      <w:r>
        <w:rPr>
          <w:rFonts w:hint="eastAsia" w:ascii="宋体" w:hAnsi="宋体" w:cs="宋体"/>
          <w:color w:val="000000" w:themeColor="text1"/>
          <w:szCs w:val="21"/>
          <w:u w:val="single"/>
          <w14:textFill>
            <w14:solidFill>
              <w14:schemeClr w14:val="tx1"/>
            </w14:solidFill>
          </w14:textFill>
        </w:rPr>
        <w:t xml:space="preserve">                                       </w:t>
      </w:r>
    </w:p>
    <w:p w14:paraId="5A2179B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  期：     年   月   日</w:t>
      </w:r>
    </w:p>
    <w:p w14:paraId="7A09EAB5">
      <w:pPr>
        <w:spacing w:line="360" w:lineRule="auto"/>
        <w:ind w:firstLine="420" w:firstLineChars="200"/>
        <w:rPr>
          <w:rFonts w:ascii="宋体" w:hAnsi="宋体" w:cs="宋体"/>
          <w:color w:val="000000" w:themeColor="text1"/>
          <w:szCs w:val="21"/>
          <w14:textFill>
            <w14:solidFill>
              <w14:schemeClr w14:val="tx1"/>
            </w14:solidFill>
          </w14:textFill>
        </w:rPr>
      </w:pPr>
    </w:p>
    <w:p w14:paraId="263B2405">
      <w:pPr>
        <w:spacing w:line="360" w:lineRule="auto"/>
        <w:ind w:firstLine="420" w:firstLineChars="200"/>
        <w:rPr>
          <w:rFonts w:ascii="宋体" w:hAnsi="宋体" w:cs="宋体"/>
          <w:color w:val="000000" w:themeColor="text1"/>
          <w:szCs w:val="21"/>
          <w14:textFill>
            <w14:solidFill>
              <w14:schemeClr w14:val="tx1"/>
            </w14:solidFill>
          </w14:textFill>
        </w:rPr>
      </w:pPr>
    </w:p>
    <w:p w14:paraId="2E4092F3">
      <w:pPr>
        <w:spacing w:line="360" w:lineRule="auto"/>
        <w:ind w:firstLine="420" w:firstLineChars="200"/>
        <w:rPr>
          <w:rFonts w:ascii="宋体" w:hAnsi="宋体" w:cs="宋体"/>
          <w:color w:val="000000" w:themeColor="text1"/>
          <w:szCs w:val="21"/>
          <w14:textFill>
            <w14:solidFill>
              <w14:schemeClr w14:val="tx1"/>
            </w14:solidFill>
          </w14:textFill>
        </w:rPr>
      </w:pPr>
    </w:p>
    <w:p w14:paraId="085CCAB6">
      <w:pPr>
        <w:spacing w:line="360" w:lineRule="auto"/>
        <w:ind w:firstLine="420" w:firstLineChars="200"/>
        <w:rPr>
          <w:rFonts w:ascii="宋体" w:hAnsi="宋体" w:cs="宋体"/>
          <w:color w:val="000000" w:themeColor="text1"/>
          <w:szCs w:val="21"/>
          <w14:textFill>
            <w14:solidFill>
              <w14:schemeClr w14:val="tx1"/>
            </w14:solidFill>
          </w14:textFill>
        </w:rPr>
      </w:pPr>
    </w:p>
    <w:p w14:paraId="00D66918">
      <w:pPr>
        <w:spacing w:line="360" w:lineRule="auto"/>
        <w:ind w:firstLine="420" w:firstLineChars="200"/>
        <w:rPr>
          <w:rFonts w:ascii="宋体" w:hAnsi="宋体" w:cs="宋体"/>
          <w:color w:val="000000" w:themeColor="text1"/>
          <w:szCs w:val="21"/>
          <w14:textFill>
            <w14:solidFill>
              <w14:schemeClr w14:val="tx1"/>
            </w14:solidFill>
          </w14:textFill>
        </w:rPr>
      </w:pPr>
    </w:p>
    <w:p w14:paraId="6EC0BC65">
      <w:pPr>
        <w:rPr>
          <w:rFonts w:ascii="宋体" w:hAnsi="宋体" w:cs="宋体"/>
          <w:color w:val="000000" w:themeColor="text1"/>
          <w14:textFill>
            <w14:solidFill>
              <w14:schemeClr w14:val="tx1"/>
            </w14:solidFill>
          </w14:textFill>
        </w:rPr>
      </w:pPr>
      <w:bookmarkStart w:id="123" w:name="_Toc28586"/>
      <w:bookmarkStart w:id="124" w:name="_Toc8611"/>
      <w:bookmarkStart w:id="125" w:name="_Toc27528"/>
      <w:bookmarkStart w:id="126" w:name="_Toc23059"/>
      <w:bookmarkStart w:id="127" w:name="_Toc31548"/>
      <w:bookmarkStart w:id="128" w:name="_Toc19886"/>
      <w:bookmarkStart w:id="129" w:name="_Toc6098"/>
      <w:bookmarkStart w:id="130" w:name="_Toc32278"/>
      <w:r>
        <w:rPr>
          <w:rFonts w:hint="eastAsia" w:ascii="宋体" w:hAnsi="宋体" w:cs="宋体"/>
          <w:color w:val="000000" w:themeColor="text1"/>
          <w14:textFill>
            <w14:solidFill>
              <w14:schemeClr w14:val="tx1"/>
            </w14:solidFill>
          </w14:textFill>
        </w:rPr>
        <w:br w:type="page"/>
      </w:r>
    </w:p>
    <w:bookmarkEnd w:id="123"/>
    <w:bookmarkEnd w:id="124"/>
    <w:bookmarkEnd w:id="125"/>
    <w:bookmarkEnd w:id="126"/>
    <w:bookmarkEnd w:id="127"/>
    <w:bookmarkEnd w:id="128"/>
    <w:bookmarkEnd w:id="129"/>
    <w:bookmarkEnd w:id="130"/>
    <w:p w14:paraId="33604511">
      <w:pPr>
        <w:pStyle w:val="3"/>
        <w:spacing w:before="0" w:after="12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格式2                   首次报价一览表</w:t>
      </w:r>
    </w:p>
    <w:p w14:paraId="505F4FF8">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                     </w:t>
      </w: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3"/>
        <w:gridCol w:w="1959"/>
        <w:gridCol w:w="4701"/>
      </w:tblGrid>
      <w:tr w14:paraId="28B75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1477" w:type="pct"/>
            <w:tcBorders>
              <w:bottom w:val="single" w:color="auto" w:sz="4" w:space="0"/>
            </w:tcBorders>
            <w:vAlign w:val="center"/>
          </w:tcPr>
          <w:p w14:paraId="0934F379">
            <w:pPr>
              <w:jc w:val="center"/>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报价人名称</w:t>
            </w:r>
          </w:p>
        </w:tc>
        <w:tc>
          <w:tcPr>
            <w:tcW w:w="1036" w:type="pct"/>
            <w:tcBorders>
              <w:bottom w:val="single" w:color="auto" w:sz="4" w:space="0"/>
            </w:tcBorders>
            <w:vAlign w:val="center"/>
          </w:tcPr>
          <w:p w14:paraId="50CD6B46">
            <w:pPr>
              <w:jc w:val="center"/>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报价下浮率</w:t>
            </w:r>
          </w:p>
        </w:tc>
        <w:tc>
          <w:tcPr>
            <w:tcW w:w="2486" w:type="pct"/>
            <w:tcBorders>
              <w:bottom w:val="single" w:color="auto" w:sz="4" w:space="0"/>
            </w:tcBorders>
            <w:vAlign w:val="center"/>
          </w:tcPr>
          <w:p w14:paraId="1067F1D6">
            <w:pPr>
              <w:jc w:val="center"/>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供应期限</w:t>
            </w:r>
          </w:p>
        </w:tc>
      </w:tr>
      <w:tr w14:paraId="21F3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477" w:type="pct"/>
            <w:vAlign w:val="center"/>
          </w:tcPr>
          <w:p w14:paraId="1C85024E">
            <w:pPr>
              <w:jc w:val="center"/>
              <w:rPr>
                <w:rFonts w:ascii="宋体" w:hAnsi="宋体"/>
                <w:color w:val="000000" w:themeColor="text1"/>
                <w:szCs w:val="21"/>
                <w14:textFill>
                  <w14:solidFill>
                    <w14:schemeClr w14:val="tx1"/>
                  </w14:solidFill>
                </w14:textFill>
              </w:rPr>
            </w:pPr>
          </w:p>
        </w:tc>
        <w:tc>
          <w:tcPr>
            <w:tcW w:w="1036" w:type="pct"/>
            <w:vAlign w:val="center"/>
          </w:tcPr>
          <w:p w14:paraId="61BE3E86">
            <w:pPr>
              <w:ind w:firstLine="210" w:firstLineChars="10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2486" w:type="pct"/>
            <w:vAlign w:val="center"/>
          </w:tcPr>
          <w:p w14:paraId="32E75F64">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自合同签订之日起一年</w:t>
            </w:r>
            <w:r>
              <w:rPr>
                <w:rFonts w:hint="eastAsia" w:ascii="宋体" w:hAnsi="宋体" w:cs="Arial"/>
                <w:color w:val="000000" w:themeColor="text1"/>
                <w:szCs w:val="21"/>
                <w14:textFill>
                  <w14:solidFill>
                    <w14:schemeClr w14:val="tx1"/>
                  </w14:solidFill>
                </w14:textFill>
              </w:rPr>
              <w:t>或累计结算金额达到项目预算金额时，合同自动终止，以两者先到者为准</w:t>
            </w:r>
            <w:r>
              <w:rPr>
                <w:rFonts w:hint="eastAsia" w:ascii="宋体" w:hAnsi="宋体"/>
                <w:color w:val="000000" w:themeColor="text1"/>
                <w:szCs w:val="21"/>
                <w14:textFill>
                  <w14:solidFill>
                    <w14:schemeClr w14:val="tx1"/>
                  </w14:solidFill>
                </w14:textFill>
              </w:rPr>
              <w:t>。</w:t>
            </w:r>
          </w:p>
        </w:tc>
      </w:tr>
    </w:tbl>
    <w:p w14:paraId="75E34421">
      <w:pPr>
        <w:spacing w:line="360" w:lineRule="auto"/>
        <w:ind w:left="17" w:leftChars="8" w:firstLine="403" w:firstLineChars="19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注：1.报价包括了项目的全部费用。本项目投标人各自报出统一且唯一的报价下浮率，下浮率必须为固定报价，保留两位小数点，不接受区间报价，下浮率范围：（0%≤报价下浮率＜100%）。</w:t>
      </w:r>
    </w:p>
    <w:p w14:paraId="64EC5278">
      <w:pPr>
        <w:spacing w:line="360" w:lineRule="auto"/>
        <w:ind w:left="17" w:leftChars="8" w:firstLine="403" w:firstLineChars="19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2.结算公式：结算价格=基准单价×（1-成交下浮率）×实际供货数量。</w:t>
      </w:r>
    </w:p>
    <w:p w14:paraId="26D95FD3">
      <w:pPr>
        <w:spacing w:line="360" w:lineRule="auto"/>
        <w:ind w:left="17" w:leftChars="8" w:firstLine="403" w:firstLineChars="19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3.本表格须附在正副本的报价文件中，并另封装一份在 “报价信封”内，封口加盖公章。</w:t>
      </w:r>
    </w:p>
    <w:p w14:paraId="384B76E3">
      <w:pPr>
        <w:pStyle w:val="21"/>
        <w:spacing w:line="360" w:lineRule="auto"/>
        <w:rPr>
          <w:rFonts w:ascii="宋体" w:hAnsi="宋体" w:cs="宋体"/>
          <w:color w:val="000000" w:themeColor="text1"/>
          <w:sz w:val="21"/>
          <w:szCs w:val="21"/>
          <w14:textFill>
            <w14:solidFill>
              <w14:schemeClr w14:val="tx1"/>
            </w14:solidFill>
          </w14:textFill>
        </w:rPr>
      </w:pPr>
    </w:p>
    <w:p w14:paraId="7AC37C70">
      <w:pPr>
        <w:pStyle w:val="21"/>
        <w:spacing w:line="360" w:lineRule="auto"/>
        <w:rPr>
          <w:rFonts w:ascii="宋体" w:hAnsi="宋体" w:cs="宋体"/>
          <w:color w:val="000000" w:themeColor="text1"/>
          <w:sz w:val="21"/>
          <w:szCs w:val="21"/>
          <w14:textFill>
            <w14:solidFill>
              <w14:schemeClr w14:val="tx1"/>
            </w14:solidFill>
          </w14:textFill>
        </w:rPr>
      </w:pPr>
    </w:p>
    <w:p w14:paraId="4BA6130B">
      <w:pPr>
        <w:pStyle w:val="21"/>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62E0F440">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法定代表人或其授权代表（签字）：                   日    期：     年   月   日</w:t>
      </w:r>
    </w:p>
    <w:p w14:paraId="5C0E83F4">
      <w:pPr>
        <w:spacing w:line="360" w:lineRule="auto"/>
        <w:rPr>
          <w:rFonts w:ascii="宋体" w:hAnsi="宋体" w:cs="宋体"/>
          <w:color w:val="000000" w:themeColor="text1"/>
          <w14:textFill>
            <w14:solidFill>
              <w14:schemeClr w14:val="tx1"/>
            </w14:solidFill>
          </w14:textFill>
        </w:rPr>
      </w:pPr>
    </w:p>
    <w:p w14:paraId="15AD6309">
      <w:pPr>
        <w:rPr>
          <w:rFonts w:ascii="宋体" w:hAnsi="宋体" w:cs="宋体"/>
          <w:color w:val="000000" w:themeColor="text1"/>
          <w14:textFill>
            <w14:solidFill>
              <w14:schemeClr w14:val="tx1"/>
            </w14:solidFill>
          </w14:textFill>
        </w:rPr>
      </w:pPr>
      <w:bookmarkStart w:id="131" w:name="_Toc2904"/>
      <w:bookmarkStart w:id="132" w:name="_Toc27895"/>
      <w:bookmarkStart w:id="133" w:name="_Toc11698"/>
      <w:bookmarkStart w:id="134" w:name="_Toc2013"/>
      <w:bookmarkStart w:id="135" w:name="_Toc13610"/>
      <w:bookmarkStart w:id="136" w:name="_Toc18971"/>
      <w:bookmarkStart w:id="137" w:name="_Toc27746"/>
      <w:bookmarkStart w:id="138" w:name="_Toc4506"/>
      <w:r>
        <w:rPr>
          <w:rFonts w:hint="eastAsia" w:ascii="宋体" w:hAnsi="宋体" w:cs="宋体"/>
          <w:color w:val="000000" w:themeColor="text1"/>
          <w14:textFill>
            <w14:solidFill>
              <w14:schemeClr w14:val="tx1"/>
            </w14:solidFill>
          </w14:textFill>
        </w:rPr>
        <w:br w:type="page"/>
      </w:r>
    </w:p>
    <w:bookmarkEnd w:id="131"/>
    <w:bookmarkEnd w:id="132"/>
    <w:bookmarkEnd w:id="133"/>
    <w:bookmarkEnd w:id="134"/>
    <w:bookmarkEnd w:id="135"/>
    <w:bookmarkEnd w:id="136"/>
    <w:bookmarkEnd w:id="137"/>
    <w:bookmarkEnd w:id="138"/>
    <w:p w14:paraId="32B16F97">
      <w:pPr>
        <w:pStyle w:val="3"/>
        <w:rPr>
          <w:rFonts w:cs="宋体"/>
          <w:b w:val="0"/>
          <w:bCs/>
          <w:color w:val="000000" w:themeColor="text1"/>
          <w14:textFill>
            <w14:solidFill>
              <w14:schemeClr w14:val="tx1"/>
            </w14:solidFill>
          </w14:textFill>
        </w:rPr>
      </w:pPr>
      <w:bookmarkStart w:id="139" w:name="_Toc27503"/>
      <w:bookmarkStart w:id="140" w:name="_Toc31044"/>
      <w:bookmarkStart w:id="141" w:name="_Toc19859"/>
      <w:bookmarkStart w:id="142" w:name="_Toc20410"/>
      <w:bookmarkStart w:id="143" w:name="_Toc369"/>
      <w:bookmarkStart w:id="144" w:name="_Toc21765"/>
      <w:bookmarkStart w:id="145" w:name="_Toc4969"/>
      <w:bookmarkStart w:id="146" w:name="_Toc7248"/>
      <w:r>
        <w:rPr>
          <w:rFonts w:hint="eastAsia" w:cs="宋体"/>
          <w:color w:val="000000" w:themeColor="text1"/>
          <w14:textFill>
            <w14:solidFill>
              <w14:schemeClr w14:val="tx1"/>
            </w14:solidFill>
          </w14:textFill>
        </w:rPr>
        <w:t>格式3               法定代表人证明及授权书</w:t>
      </w:r>
      <w:bookmarkEnd w:id="139"/>
      <w:bookmarkEnd w:id="140"/>
      <w:bookmarkEnd w:id="141"/>
      <w:bookmarkEnd w:id="142"/>
      <w:bookmarkEnd w:id="143"/>
      <w:bookmarkEnd w:id="144"/>
      <w:bookmarkEnd w:id="145"/>
      <w:bookmarkEnd w:id="146"/>
    </w:p>
    <w:p w14:paraId="3F9A0757">
      <w:pPr>
        <w:pStyle w:val="19"/>
        <w:spacing w:line="300" w:lineRule="auto"/>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致广东远东招标代理有限公司：</w:t>
      </w:r>
      <w:r>
        <w:rPr>
          <w:rFonts w:hint="eastAsia" w:hAnsi="宋体" w:cs="宋体"/>
          <w:color w:val="000000" w:themeColor="text1"/>
          <w:szCs w:val="21"/>
          <w14:textFill>
            <w14:solidFill>
              <w14:schemeClr w14:val="tx1"/>
            </w14:solidFill>
          </w14:textFill>
        </w:rPr>
        <w:tab/>
      </w:r>
    </w:p>
    <w:p w14:paraId="72807939">
      <w:pPr>
        <w:pStyle w:val="19"/>
        <w:spacing w:line="300" w:lineRule="auto"/>
        <w:ind w:firstLine="420" w:firstLineChars="200"/>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本授权证明：</w:t>
      </w:r>
      <w:r>
        <w:rPr>
          <w:rFonts w:hint="eastAsia" w:hAnsi="宋体" w:cs="宋体"/>
          <w:i/>
          <w:color w:val="000000" w:themeColor="text1"/>
          <w:szCs w:val="21"/>
          <w:u w:val="single"/>
          <w14:textFill>
            <w14:solidFill>
              <w14:schemeClr w14:val="tx1"/>
            </w14:solidFill>
          </w14:textFill>
        </w:rPr>
        <w:t>（法定代表人姓名）</w:t>
      </w:r>
      <w:r>
        <w:rPr>
          <w:rFonts w:hint="eastAsia" w:hAnsi="宋体" w:cs="宋体"/>
          <w:color w:val="000000" w:themeColor="text1"/>
          <w:szCs w:val="21"/>
          <w14:textFill>
            <w14:solidFill>
              <w14:schemeClr w14:val="tx1"/>
            </w14:solidFill>
          </w14:textFill>
        </w:rPr>
        <w:t>是注册于</w:t>
      </w:r>
      <w:r>
        <w:rPr>
          <w:rFonts w:hint="eastAsia" w:hAnsi="宋体" w:cs="宋体"/>
          <w:i/>
          <w:color w:val="000000" w:themeColor="text1"/>
          <w:szCs w:val="21"/>
          <w:u w:val="single"/>
          <w14:textFill>
            <w14:solidFill>
              <w14:schemeClr w14:val="tx1"/>
            </w14:solidFill>
          </w14:textFill>
        </w:rPr>
        <w:t>（省、市、县）</w:t>
      </w:r>
      <w:r>
        <w:rPr>
          <w:rFonts w:hint="eastAsia" w:hAnsi="宋体" w:cs="宋体"/>
          <w:color w:val="000000" w:themeColor="text1"/>
          <w:szCs w:val="21"/>
          <w14:textFill>
            <w14:solidFill>
              <w14:schemeClr w14:val="tx1"/>
            </w14:solidFill>
          </w14:textFill>
        </w:rPr>
        <w:t>的</w:t>
      </w:r>
      <w:r>
        <w:rPr>
          <w:rFonts w:hint="eastAsia" w:hAnsi="宋体" w:cs="宋体"/>
          <w:i/>
          <w:color w:val="000000" w:themeColor="text1"/>
          <w:szCs w:val="21"/>
          <w:u w:val="single"/>
          <w14:textFill>
            <w14:solidFill>
              <w14:schemeClr w14:val="tx1"/>
            </w14:solidFill>
          </w14:textFill>
        </w:rPr>
        <w:t>（报价人名称）</w:t>
      </w:r>
      <w:r>
        <w:rPr>
          <w:rFonts w:hint="eastAsia" w:hAnsi="宋体" w:cs="宋体"/>
          <w:color w:val="000000" w:themeColor="text1"/>
          <w:szCs w:val="21"/>
          <w14:textFill>
            <w14:solidFill>
              <w14:schemeClr w14:val="tx1"/>
            </w14:solidFill>
          </w14:textFill>
        </w:rPr>
        <w:t>的法定代表人，现任</w:t>
      </w:r>
      <w:r>
        <w:rPr>
          <w:rFonts w:hint="eastAsia" w:hAnsi="宋体" w:cs="宋体"/>
          <w:i/>
          <w:color w:val="000000" w:themeColor="text1"/>
          <w:szCs w:val="21"/>
          <w:u w:val="single"/>
          <w14:textFill>
            <w14:solidFill>
              <w14:schemeClr w14:val="tx1"/>
            </w14:solidFill>
          </w14:textFill>
        </w:rPr>
        <w:t>（法定代表人职务）</w:t>
      </w:r>
      <w:r>
        <w:rPr>
          <w:rFonts w:hint="eastAsia" w:hAnsi="宋体" w:cs="宋体"/>
          <w:color w:val="000000" w:themeColor="text1"/>
          <w:szCs w:val="21"/>
          <w14:textFill>
            <w14:solidFill>
              <w14:schemeClr w14:val="tx1"/>
            </w14:solidFill>
          </w14:textFill>
        </w:rPr>
        <w:t>。在此授权</w:t>
      </w:r>
      <w:r>
        <w:rPr>
          <w:rFonts w:hint="eastAsia" w:hAnsi="宋体" w:cs="宋体"/>
          <w:i/>
          <w:color w:val="000000" w:themeColor="text1"/>
          <w:szCs w:val="21"/>
          <w:u w:val="single"/>
          <w14:textFill>
            <w14:solidFill>
              <w14:schemeClr w14:val="tx1"/>
            </w14:solidFill>
          </w14:textFill>
        </w:rPr>
        <w:t>（被授权人姓名、职务）</w:t>
      </w:r>
      <w:r>
        <w:rPr>
          <w:rFonts w:hint="eastAsia" w:hAnsi="宋体" w:cs="宋体"/>
          <w:color w:val="000000" w:themeColor="text1"/>
          <w:szCs w:val="21"/>
          <w14:textFill>
            <w14:solidFill>
              <w14:schemeClr w14:val="tx1"/>
            </w14:solidFill>
          </w14:textFill>
        </w:rPr>
        <w:t>作为我公司的全权代理人，在</w:t>
      </w:r>
      <w:r>
        <w:rPr>
          <w:rFonts w:hint="eastAsia" w:hAnsi="宋体" w:cs="宋体"/>
          <w:i/>
          <w:color w:val="000000" w:themeColor="text1"/>
          <w:szCs w:val="21"/>
          <w:u w:val="single"/>
          <w14:textFill>
            <w14:solidFill>
              <w14:schemeClr w14:val="tx1"/>
            </w14:solidFill>
          </w14:textFill>
        </w:rPr>
        <w:t>（项目名称）</w:t>
      </w:r>
      <w:r>
        <w:rPr>
          <w:rFonts w:hint="eastAsia" w:hAnsi="宋体" w:cs="宋体"/>
          <w:color w:val="000000" w:themeColor="text1"/>
          <w:szCs w:val="21"/>
          <w14:textFill>
            <w14:solidFill>
              <w14:schemeClr w14:val="tx1"/>
            </w14:solidFill>
          </w14:textFill>
        </w:rPr>
        <w:t>的报价（项目编号为：</w:t>
      </w:r>
      <w:r>
        <w:rPr>
          <w:rFonts w:hint="eastAsia" w:hAnsi="宋体" w:cs="宋体"/>
          <w:color w:val="000000" w:themeColor="text1"/>
          <w:szCs w:val="21"/>
          <w:u w:val="single"/>
          <w14:textFill>
            <w14:solidFill>
              <w14:schemeClr w14:val="tx1"/>
            </w14:solidFill>
          </w14:textFill>
        </w:rPr>
        <w:t xml:space="preserve">                  </w:t>
      </w:r>
      <w:r>
        <w:rPr>
          <w:rFonts w:hint="eastAsia" w:hAnsi="宋体" w:cs="宋体"/>
          <w:color w:val="000000" w:themeColor="text1"/>
          <w:szCs w:val="21"/>
          <w14:textFill>
            <w14:solidFill>
              <w14:schemeClr w14:val="tx1"/>
            </w14:solidFill>
          </w14:textFill>
        </w:rPr>
        <w:t>）及其合同执行过程中，以我公司的名义处理一切与之有关的事务。</w:t>
      </w:r>
    </w:p>
    <w:p w14:paraId="085A8E46">
      <w:pPr>
        <w:spacing w:line="30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本授权书于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日签字生效，特此声明。</w:t>
      </w:r>
    </w:p>
    <w:p w14:paraId="046473C9">
      <w:pPr>
        <w:spacing w:line="300" w:lineRule="auto"/>
        <w:ind w:firstLine="420" w:firstLineChars="200"/>
        <w:rPr>
          <w:rFonts w:ascii="宋体" w:hAnsi="宋体" w:cs="宋体"/>
          <w:color w:val="000000" w:themeColor="text1"/>
          <w:szCs w:val="21"/>
          <w14:textFill>
            <w14:solidFill>
              <w14:schemeClr w14:val="tx1"/>
            </w14:solidFill>
          </w14:textFill>
        </w:rPr>
      </w:pPr>
    </w:p>
    <w:p w14:paraId="1CC923BE">
      <w:pPr>
        <w:pStyle w:val="19"/>
        <w:spacing w:line="300" w:lineRule="auto"/>
        <w:jc w:val="center"/>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法定代表人</w:t>
      </w:r>
    </w:p>
    <w:p w14:paraId="6D398D6E">
      <w:pPr>
        <w:spacing w:line="300" w:lineRule="auto"/>
        <w:ind w:firstLine="422"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居民身份证正反面复印件粘贴处</w:t>
      </w:r>
    </w:p>
    <w:p w14:paraId="1CEC89DB">
      <w:pPr>
        <w:spacing w:line="300" w:lineRule="auto"/>
        <w:ind w:firstLine="420" w:firstLineChars="200"/>
        <w:rPr>
          <w:rFonts w:ascii="宋体" w:hAnsi="宋体" w:cs="宋体"/>
          <w:color w:val="000000" w:themeColor="text1"/>
          <w:szCs w:val="21"/>
          <w14:textFill>
            <w14:solidFill>
              <w14:schemeClr w14:val="tx1"/>
            </w14:solidFill>
          </w14:textFill>
        </w:rPr>
      </w:pPr>
    </w:p>
    <w:p w14:paraId="44E07A24">
      <w:pPr>
        <w:spacing w:line="300" w:lineRule="auto"/>
        <w:ind w:firstLine="420" w:firstLineChars="200"/>
        <w:rPr>
          <w:rFonts w:ascii="宋体" w:hAnsi="宋体" w:cs="宋体"/>
          <w:color w:val="000000" w:themeColor="text1"/>
          <w:szCs w:val="21"/>
          <w14:textFill>
            <w14:solidFill>
              <w14:schemeClr w14:val="tx1"/>
            </w14:solidFill>
          </w14:textFill>
        </w:rPr>
      </w:pPr>
    </w:p>
    <w:p w14:paraId="20925459">
      <w:pPr>
        <w:spacing w:line="300" w:lineRule="auto"/>
        <w:ind w:firstLine="420" w:firstLineChars="200"/>
        <w:rPr>
          <w:rFonts w:ascii="宋体" w:hAnsi="宋体" w:cs="宋体"/>
          <w:color w:val="000000" w:themeColor="text1"/>
          <w:szCs w:val="21"/>
          <w14:textFill>
            <w14:solidFill>
              <w14:schemeClr w14:val="tx1"/>
            </w14:solidFill>
          </w14:textFill>
        </w:rPr>
      </w:pPr>
    </w:p>
    <w:p w14:paraId="5F2D1A8B">
      <w:pPr>
        <w:pStyle w:val="19"/>
        <w:spacing w:line="300" w:lineRule="auto"/>
        <w:jc w:val="center"/>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被授权人(报价人授权代表)</w:t>
      </w:r>
    </w:p>
    <w:p w14:paraId="565C99E7">
      <w:pPr>
        <w:spacing w:line="300" w:lineRule="auto"/>
        <w:ind w:firstLine="422"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居民身份证正反面复印件粘贴处</w:t>
      </w:r>
    </w:p>
    <w:p w14:paraId="79FF178C">
      <w:pPr>
        <w:spacing w:line="300" w:lineRule="auto"/>
        <w:ind w:firstLine="105" w:firstLineChars="50"/>
        <w:rPr>
          <w:rFonts w:ascii="宋体" w:hAnsi="宋体" w:cs="宋体"/>
          <w:color w:val="000000" w:themeColor="text1"/>
          <w:szCs w:val="21"/>
          <w14:textFill>
            <w14:solidFill>
              <w14:schemeClr w14:val="tx1"/>
            </w14:solidFill>
          </w14:textFill>
        </w:rPr>
      </w:pPr>
    </w:p>
    <w:p w14:paraId="53174F8A">
      <w:pPr>
        <w:spacing w:line="300" w:lineRule="auto"/>
        <w:ind w:firstLine="105" w:firstLineChars="50"/>
        <w:rPr>
          <w:rFonts w:ascii="宋体" w:hAnsi="宋体" w:cs="宋体"/>
          <w:color w:val="000000" w:themeColor="text1"/>
          <w:szCs w:val="21"/>
          <w14:textFill>
            <w14:solidFill>
              <w14:schemeClr w14:val="tx1"/>
            </w14:solidFill>
          </w14:textFill>
        </w:rPr>
      </w:pPr>
    </w:p>
    <w:p w14:paraId="59C43B62">
      <w:pPr>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报价人全称（加盖公章）：                     地       址：</w:t>
      </w:r>
    </w:p>
    <w:p w14:paraId="0B627C20">
      <w:pP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法定代表人（签字或签章）：                   被授权人(报价人授权代表)（签字）：</w:t>
      </w:r>
    </w:p>
    <w:p w14:paraId="24CC3052">
      <w:pPr>
        <w:rPr>
          <w:rFonts w:ascii="宋体" w:hAnsi="宋体" w:cs="宋体"/>
          <w:color w:val="000000" w:themeColor="text1"/>
          <w14:textFill>
            <w14:solidFill>
              <w14:schemeClr w14:val="tx1"/>
            </w14:solidFill>
          </w14:textFill>
        </w:rPr>
      </w:pPr>
    </w:p>
    <w:p w14:paraId="552F0C94">
      <w:pPr>
        <w:rPr>
          <w:rFonts w:ascii="宋体" w:hAnsi="宋体" w:cs="宋体"/>
          <w:color w:val="000000" w:themeColor="text1"/>
          <w14:textFill>
            <w14:solidFill>
              <w14:schemeClr w14:val="tx1"/>
            </w14:solidFill>
          </w14:textFill>
        </w:rPr>
      </w:pPr>
    </w:p>
    <w:p w14:paraId="01374011">
      <w:pPr>
        <w:rPr>
          <w:rFonts w:ascii="宋体" w:hAnsi="宋体" w:cs="宋体"/>
          <w:color w:val="000000" w:themeColor="text1"/>
          <w14:textFill>
            <w14:solidFill>
              <w14:schemeClr w14:val="tx1"/>
            </w14:solidFill>
          </w14:textFill>
        </w:rPr>
      </w:pPr>
    </w:p>
    <w:p w14:paraId="6A9015D6">
      <w:pPr>
        <w:rPr>
          <w:rFonts w:ascii="宋体" w:hAnsi="宋体" w:cs="宋体"/>
          <w:color w:val="000000" w:themeColor="text1"/>
          <w14:textFill>
            <w14:solidFill>
              <w14:schemeClr w14:val="tx1"/>
            </w14:solidFill>
          </w14:textFill>
        </w:rPr>
      </w:pPr>
    </w:p>
    <w:p w14:paraId="19D62091">
      <w:pPr>
        <w:rPr>
          <w:rFonts w:ascii="宋体" w:hAnsi="宋体" w:cs="宋体"/>
          <w:color w:val="000000" w:themeColor="text1"/>
          <w14:textFill>
            <w14:solidFill>
              <w14:schemeClr w14:val="tx1"/>
            </w14:solidFill>
          </w14:textFill>
        </w:rPr>
      </w:pPr>
    </w:p>
    <w:p w14:paraId="27D84F22">
      <w:pPr>
        <w:rPr>
          <w:rFonts w:ascii="宋体" w:hAnsi="宋体" w:cs="宋体"/>
          <w:color w:val="000000" w:themeColor="text1"/>
          <w14:textFill>
            <w14:solidFill>
              <w14:schemeClr w14:val="tx1"/>
            </w14:solidFill>
          </w14:textFill>
        </w:rPr>
      </w:pPr>
    </w:p>
    <w:p w14:paraId="70385897">
      <w:pPr>
        <w:rPr>
          <w:rFonts w:ascii="宋体" w:hAnsi="宋体" w:cs="宋体"/>
          <w:color w:val="000000" w:themeColor="text1"/>
          <w14:textFill>
            <w14:solidFill>
              <w14:schemeClr w14:val="tx1"/>
            </w14:solidFill>
          </w14:textFill>
        </w:rPr>
      </w:pPr>
    </w:p>
    <w:p w14:paraId="430BEB8B">
      <w:pPr>
        <w:rPr>
          <w:rFonts w:ascii="宋体" w:hAnsi="宋体" w:cs="宋体"/>
          <w:color w:val="000000" w:themeColor="text1"/>
          <w14:textFill>
            <w14:solidFill>
              <w14:schemeClr w14:val="tx1"/>
            </w14:solidFill>
          </w14:textFill>
        </w:rPr>
      </w:pPr>
    </w:p>
    <w:p w14:paraId="25D285D7">
      <w:pPr>
        <w:rPr>
          <w:rFonts w:ascii="宋体" w:hAnsi="宋体" w:cs="宋体"/>
          <w:color w:val="000000" w:themeColor="text1"/>
          <w14:textFill>
            <w14:solidFill>
              <w14:schemeClr w14:val="tx1"/>
            </w14:solidFill>
          </w14:textFill>
        </w:rPr>
      </w:pPr>
    </w:p>
    <w:p w14:paraId="77C78837">
      <w:pPr>
        <w:rPr>
          <w:rFonts w:ascii="宋体" w:hAnsi="宋体" w:cs="宋体"/>
          <w:color w:val="000000" w:themeColor="text1"/>
          <w14:textFill>
            <w14:solidFill>
              <w14:schemeClr w14:val="tx1"/>
            </w14:solidFill>
          </w14:textFill>
        </w:rPr>
      </w:pPr>
    </w:p>
    <w:p w14:paraId="281BDE74">
      <w:pPr>
        <w:rPr>
          <w:rFonts w:ascii="宋体" w:hAnsi="宋体" w:cs="宋体"/>
          <w:color w:val="000000" w:themeColor="text1"/>
          <w14:textFill>
            <w14:solidFill>
              <w14:schemeClr w14:val="tx1"/>
            </w14:solidFill>
          </w14:textFill>
        </w:rPr>
      </w:pPr>
    </w:p>
    <w:p w14:paraId="0D36A4AE">
      <w:pPr>
        <w:rPr>
          <w:rFonts w:ascii="宋体" w:hAnsi="宋体" w:cs="宋体"/>
          <w:color w:val="000000" w:themeColor="text1"/>
          <w14:textFill>
            <w14:solidFill>
              <w14:schemeClr w14:val="tx1"/>
            </w14:solidFill>
          </w14:textFill>
        </w:rPr>
      </w:pPr>
    </w:p>
    <w:p w14:paraId="2163C248">
      <w:pPr>
        <w:rPr>
          <w:rFonts w:ascii="宋体" w:hAnsi="宋体" w:cs="宋体"/>
          <w:color w:val="000000" w:themeColor="text1"/>
          <w14:textFill>
            <w14:solidFill>
              <w14:schemeClr w14:val="tx1"/>
            </w14:solidFill>
          </w14:textFill>
        </w:rPr>
      </w:pPr>
    </w:p>
    <w:p w14:paraId="40DE9644">
      <w:pPr>
        <w:rPr>
          <w:rFonts w:ascii="宋体" w:hAnsi="宋体" w:cs="宋体"/>
          <w:color w:val="000000" w:themeColor="text1"/>
          <w14:textFill>
            <w14:solidFill>
              <w14:schemeClr w14:val="tx1"/>
            </w14:solidFill>
          </w14:textFill>
        </w:rPr>
      </w:pPr>
    </w:p>
    <w:p w14:paraId="05ACA4B6">
      <w:pPr>
        <w:rPr>
          <w:rFonts w:ascii="宋体" w:hAnsi="宋体" w:cs="宋体"/>
          <w:color w:val="000000" w:themeColor="text1"/>
          <w14:textFill>
            <w14:solidFill>
              <w14:schemeClr w14:val="tx1"/>
            </w14:solidFill>
          </w14:textFill>
        </w:rPr>
      </w:pPr>
    </w:p>
    <w:p w14:paraId="6E554817">
      <w:pPr>
        <w:rPr>
          <w:rFonts w:ascii="宋体" w:hAnsi="宋体" w:cs="宋体"/>
          <w:color w:val="000000" w:themeColor="text1"/>
          <w14:textFill>
            <w14:solidFill>
              <w14:schemeClr w14:val="tx1"/>
            </w14:solidFill>
          </w14:textFill>
        </w:rPr>
      </w:pPr>
    </w:p>
    <w:p w14:paraId="13784C1D">
      <w:pPr>
        <w:rPr>
          <w:rFonts w:ascii="宋体" w:hAnsi="宋体" w:cs="宋体"/>
          <w:color w:val="000000" w:themeColor="text1"/>
          <w14:textFill>
            <w14:solidFill>
              <w14:schemeClr w14:val="tx1"/>
            </w14:solidFill>
          </w14:textFill>
        </w:rPr>
      </w:pPr>
    </w:p>
    <w:p w14:paraId="3290BD58">
      <w:pPr>
        <w:rPr>
          <w:rFonts w:ascii="宋体" w:hAnsi="宋体" w:cs="宋体"/>
          <w:color w:val="000000" w:themeColor="text1"/>
          <w14:textFill>
            <w14:solidFill>
              <w14:schemeClr w14:val="tx1"/>
            </w14:solidFill>
          </w14:textFill>
        </w:rPr>
      </w:pPr>
    </w:p>
    <w:p w14:paraId="3D40F5FB">
      <w:pPr>
        <w:rPr>
          <w:rFonts w:ascii="宋体" w:hAnsi="宋体" w:cs="宋体"/>
          <w:color w:val="000000" w:themeColor="text1"/>
          <w14:textFill>
            <w14:solidFill>
              <w14:schemeClr w14:val="tx1"/>
            </w14:solidFill>
          </w14:textFill>
        </w:rPr>
      </w:pPr>
    </w:p>
    <w:p w14:paraId="4454C8EE">
      <w:pPr>
        <w:rPr>
          <w:rFonts w:ascii="宋体" w:hAnsi="宋体" w:cs="宋体"/>
          <w:color w:val="000000" w:themeColor="text1"/>
          <w14:textFill>
            <w14:solidFill>
              <w14:schemeClr w14:val="tx1"/>
            </w14:solidFill>
          </w14:textFill>
        </w:rPr>
      </w:pPr>
    </w:p>
    <w:p w14:paraId="4DE739C7">
      <w:pPr>
        <w:pStyle w:val="3"/>
        <w:rPr>
          <w:rFonts w:cs="宋体"/>
          <w:color w:val="000000" w:themeColor="text1"/>
          <w14:textFill>
            <w14:solidFill>
              <w14:schemeClr w14:val="tx1"/>
            </w14:solidFill>
          </w14:textFill>
        </w:rPr>
      </w:pPr>
      <w:bookmarkStart w:id="147" w:name="_Toc17831"/>
      <w:bookmarkStart w:id="148" w:name="_Toc14715"/>
      <w:bookmarkStart w:id="149" w:name="_Toc3492"/>
      <w:bookmarkStart w:id="150" w:name="_Toc30369"/>
      <w:bookmarkStart w:id="151" w:name="_Toc8326"/>
      <w:bookmarkStart w:id="152" w:name="_Toc20386"/>
      <w:bookmarkStart w:id="153" w:name="_Toc20581"/>
      <w:bookmarkStart w:id="154" w:name="_Toc1843"/>
      <w:r>
        <w:rPr>
          <w:rFonts w:hint="eastAsia" w:cs="宋体"/>
          <w:color w:val="000000" w:themeColor="text1"/>
          <w14:textFill>
            <w14:solidFill>
              <w14:schemeClr w14:val="tx1"/>
            </w14:solidFill>
          </w14:textFill>
        </w:rPr>
        <w:t>格式4                 实质性条款响应一览表</w:t>
      </w:r>
      <w:bookmarkEnd w:id="147"/>
      <w:bookmarkEnd w:id="148"/>
      <w:bookmarkEnd w:id="149"/>
      <w:bookmarkEnd w:id="150"/>
      <w:bookmarkEnd w:id="151"/>
      <w:bookmarkEnd w:id="152"/>
      <w:bookmarkEnd w:id="153"/>
      <w:bookmarkEnd w:id="154"/>
    </w:p>
    <w:p w14:paraId="7B6563DA">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r>
        <w:rPr>
          <w:rFonts w:hint="eastAsia" w:ascii="宋体" w:hAnsi="宋体" w:cs="宋体"/>
          <w:color w:val="000000" w:themeColor="text1"/>
          <w:kern w:val="28"/>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项目编号： </w:t>
      </w:r>
      <w:r>
        <w:rPr>
          <w:rFonts w:hint="eastAsia" w:ascii="宋体" w:hAnsi="宋体" w:cs="宋体"/>
          <w:bCs/>
          <w:color w:val="000000" w:themeColor="text1"/>
          <w:szCs w:val="21"/>
          <w14:textFill>
            <w14:solidFill>
              <w14:schemeClr w14:val="tx1"/>
            </w14:solidFill>
          </w14:textFill>
        </w:rPr>
        <w:t xml:space="preserve">             </w:t>
      </w:r>
    </w:p>
    <w:tbl>
      <w:tblPr>
        <w:tblStyle w:val="38"/>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3277"/>
        <w:gridCol w:w="1785"/>
        <w:gridCol w:w="1888"/>
        <w:gridCol w:w="1354"/>
      </w:tblGrid>
      <w:tr w14:paraId="0ADF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871" w:type="dxa"/>
            <w:vAlign w:val="center"/>
          </w:tcPr>
          <w:p w14:paraId="63968E40">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3277" w:type="dxa"/>
            <w:tcBorders>
              <w:left w:val="single" w:color="000000" w:sz="4" w:space="0"/>
            </w:tcBorders>
            <w:vAlign w:val="center"/>
          </w:tcPr>
          <w:p w14:paraId="16E97461">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带“★”号响应内容</w:t>
            </w:r>
          </w:p>
        </w:tc>
        <w:tc>
          <w:tcPr>
            <w:tcW w:w="1785" w:type="dxa"/>
            <w:vAlign w:val="center"/>
          </w:tcPr>
          <w:p w14:paraId="69F8239B">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1888" w:type="dxa"/>
            <w:vAlign w:val="center"/>
          </w:tcPr>
          <w:p w14:paraId="0DACDAD8">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偏离说明</w:t>
            </w:r>
          </w:p>
        </w:tc>
        <w:tc>
          <w:tcPr>
            <w:tcW w:w="1354" w:type="dxa"/>
            <w:vAlign w:val="center"/>
          </w:tcPr>
          <w:p w14:paraId="490BF3B7">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响应页码</w:t>
            </w:r>
          </w:p>
        </w:tc>
      </w:tr>
      <w:tr w14:paraId="0622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871" w:type="dxa"/>
            <w:vAlign w:val="center"/>
          </w:tcPr>
          <w:p w14:paraId="40E6621C">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3277" w:type="dxa"/>
            <w:tcBorders>
              <w:left w:val="single" w:color="000000" w:sz="4" w:space="0"/>
            </w:tcBorders>
            <w:vAlign w:val="center"/>
          </w:tcPr>
          <w:p w14:paraId="6566395F">
            <w:pPr>
              <w:spacing w:line="2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合格报价人资格要求</w:t>
            </w:r>
          </w:p>
        </w:tc>
        <w:tc>
          <w:tcPr>
            <w:tcW w:w="1785" w:type="dxa"/>
          </w:tcPr>
          <w:p w14:paraId="06AB98E1">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888" w:type="dxa"/>
          </w:tcPr>
          <w:p w14:paraId="5173B98E">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354" w:type="dxa"/>
          </w:tcPr>
          <w:p w14:paraId="6E66B026">
            <w:pPr>
              <w:spacing w:before="240" w:line="240" w:lineRule="exact"/>
              <w:rPr>
                <w:rFonts w:ascii="宋体" w:hAnsi="宋体" w:cs="宋体"/>
                <w:color w:val="000000" w:themeColor="text1"/>
                <w:szCs w:val="21"/>
                <w14:textFill>
                  <w14:solidFill>
                    <w14:schemeClr w14:val="tx1"/>
                  </w14:solidFill>
                </w14:textFill>
              </w:rPr>
            </w:pPr>
          </w:p>
        </w:tc>
      </w:tr>
      <w:tr w14:paraId="7D3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871" w:type="dxa"/>
            <w:vAlign w:val="center"/>
          </w:tcPr>
          <w:p w14:paraId="7EAB05BA">
            <w:pPr>
              <w:spacing w:before="240" w:line="240" w:lineRule="exact"/>
              <w:ind w:left="902" w:hanging="90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3277" w:type="dxa"/>
            <w:tcBorders>
              <w:left w:val="single" w:color="000000" w:sz="4" w:space="0"/>
            </w:tcBorders>
            <w:vAlign w:val="center"/>
          </w:tcPr>
          <w:p w14:paraId="3CECAF3A">
            <w:pPr>
              <w:spacing w:line="240" w:lineRule="exact"/>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报价文件格式带“★”内容</w:t>
            </w:r>
          </w:p>
        </w:tc>
        <w:tc>
          <w:tcPr>
            <w:tcW w:w="1785" w:type="dxa"/>
          </w:tcPr>
          <w:p w14:paraId="10B68019">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888" w:type="dxa"/>
          </w:tcPr>
          <w:p w14:paraId="195B4A9B">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354" w:type="dxa"/>
          </w:tcPr>
          <w:p w14:paraId="3FBEE62D">
            <w:pPr>
              <w:spacing w:before="240" w:line="240" w:lineRule="exact"/>
              <w:ind w:left="902" w:hanging="902"/>
              <w:rPr>
                <w:rFonts w:ascii="宋体" w:hAnsi="宋体" w:cs="宋体"/>
                <w:color w:val="000000" w:themeColor="text1"/>
                <w:szCs w:val="21"/>
                <w14:textFill>
                  <w14:solidFill>
                    <w14:schemeClr w14:val="tx1"/>
                  </w14:solidFill>
                </w14:textFill>
              </w:rPr>
            </w:pPr>
          </w:p>
        </w:tc>
      </w:tr>
      <w:tr w14:paraId="03E0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871" w:type="dxa"/>
            <w:vAlign w:val="center"/>
          </w:tcPr>
          <w:p w14:paraId="2FC85356">
            <w:pPr>
              <w:spacing w:before="240" w:line="240" w:lineRule="exact"/>
              <w:ind w:firstLine="105" w:firstLineChars="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3277" w:type="dxa"/>
            <w:tcBorders>
              <w:left w:val="single" w:color="000000" w:sz="4" w:space="0"/>
            </w:tcBorders>
          </w:tcPr>
          <w:p w14:paraId="1C9A246C">
            <w:pPr>
              <w:spacing w:line="240" w:lineRule="exact"/>
              <w:rPr>
                <w:rFonts w:ascii="宋体" w:hAnsi="宋体" w:cs="宋体"/>
                <w:color w:val="000000" w:themeColor="text1"/>
                <w:szCs w:val="21"/>
                <w14:textFill>
                  <w14:solidFill>
                    <w14:schemeClr w14:val="tx1"/>
                  </w14:solidFill>
                </w14:textFill>
              </w:rPr>
            </w:pPr>
          </w:p>
        </w:tc>
        <w:tc>
          <w:tcPr>
            <w:tcW w:w="1785" w:type="dxa"/>
          </w:tcPr>
          <w:p w14:paraId="4BF8A793">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888" w:type="dxa"/>
          </w:tcPr>
          <w:p w14:paraId="3E9BA39C">
            <w:pPr>
              <w:spacing w:before="240" w:line="240" w:lineRule="exact"/>
              <w:ind w:left="902" w:hanging="902"/>
              <w:rPr>
                <w:rFonts w:ascii="宋体" w:hAnsi="宋体" w:cs="宋体"/>
                <w:color w:val="000000" w:themeColor="text1"/>
                <w:szCs w:val="21"/>
                <w14:textFill>
                  <w14:solidFill>
                    <w14:schemeClr w14:val="tx1"/>
                  </w14:solidFill>
                </w14:textFill>
              </w:rPr>
            </w:pPr>
          </w:p>
        </w:tc>
        <w:tc>
          <w:tcPr>
            <w:tcW w:w="1354" w:type="dxa"/>
          </w:tcPr>
          <w:p w14:paraId="4070C3B4">
            <w:pPr>
              <w:spacing w:before="240" w:line="240" w:lineRule="exact"/>
              <w:ind w:left="902" w:hanging="902"/>
              <w:rPr>
                <w:rFonts w:ascii="宋体" w:hAnsi="宋体" w:cs="宋体"/>
                <w:color w:val="000000" w:themeColor="text1"/>
                <w:szCs w:val="21"/>
                <w14:textFill>
                  <w14:solidFill>
                    <w14:schemeClr w14:val="tx1"/>
                  </w14:solidFill>
                </w14:textFill>
              </w:rPr>
            </w:pPr>
          </w:p>
        </w:tc>
      </w:tr>
    </w:tbl>
    <w:p w14:paraId="2215D79C">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说明：1、报价人必须对应磋商文件的 “★”号条款逐条应答并按要求填写上表。</w:t>
      </w:r>
    </w:p>
    <w:p w14:paraId="67CB6F14">
      <w:pPr>
        <w:ind w:left="510" w:leftChars="243" w:firstLine="103" w:firstLineChars="49"/>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2、对完全响应的条目在上表相应列中标注“○”。对有偏离的条目在上表相应列中标注“×”，并简述偏离内容。</w:t>
      </w:r>
    </w:p>
    <w:p w14:paraId="30672A4D">
      <w:pPr>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3、本表“是否响应”、“偏离说明”、“响应页码”不填写内容的视为完全响应。</w:t>
      </w:r>
    </w:p>
    <w:p w14:paraId="55AF7AE7">
      <w:pPr>
        <w:ind w:firstLine="422" w:firstLineChars="200"/>
        <w:rPr>
          <w:rFonts w:ascii="宋体" w:hAnsi="宋体" w:cs="宋体"/>
          <w:b/>
          <w:bCs/>
          <w:color w:val="000000" w:themeColor="text1"/>
          <w:szCs w:val="21"/>
          <w14:textFill>
            <w14:solidFill>
              <w14:schemeClr w14:val="tx1"/>
            </w14:solidFill>
          </w14:textFill>
        </w:rPr>
      </w:pPr>
    </w:p>
    <w:p w14:paraId="267C0A11">
      <w:pPr>
        <w:ind w:firstLine="422" w:firstLineChars="200"/>
        <w:rPr>
          <w:rFonts w:ascii="宋体" w:hAnsi="宋体" w:cs="宋体"/>
          <w:b/>
          <w:bCs/>
          <w:color w:val="000000" w:themeColor="text1"/>
          <w:szCs w:val="21"/>
          <w14:textFill>
            <w14:solidFill>
              <w14:schemeClr w14:val="tx1"/>
            </w14:solidFill>
          </w14:textFill>
        </w:rPr>
      </w:pPr>
    </w:p>
    <w:p w14:paraId="35FB4871">
      <w:pPr>
        <w:ind w:firstLine="422" w:firstLineChars="200"/>
        <w:rPr>
          <w:rFonts w:ascii="宋体" w:hAnsi="宋体" w:cs="宋体"/>
          <w:b/>
          <w:bCs/>
          <w:color w:val="000000" w:themeColor="text1"/>
          <w:szCs w:val="21"/>
          <w14:textFill>
            <w14:solidFill>
              <w14:schemeClr w14:val="tx1"/>
            </w14:solidFill>
          </w14:textFill>
        </w:rPr>
      </w:pPr>
    </w:p>
    <w:p w14:paraId="769A1EA8">
      <w:pPr>
        <w:pStyle w:val="4"/>
        <w:rPr>
          <w:rFonts w:ascii="宋体" w:hAnsi="宋体" w:cs="宋体"/>
          <w:b/>
          <w:bCs/>
          <w:color w:val="000000" w:themeColor="text1"/>
          <w:szCs w:val="21"/>
          <w14:textFill>
            <w14:solidFill>
              <w14:schemeClr w14:val="tx1"/>
            </w14:solidFill>
          </w14:textFill>
        </w:rPr>
      </w:pPr>
    </w:p>
    <w:p w14:paraId="5205D699">
      <w:pPr>
        <w:pStyle w:val="4"/>
        <w:rPr>
          <w:rFonts w:ascii="宋体" w:hAnsi="宋体" w:cs="宋体"/>
          <w:b/>
          <w:bCs/>
          <w:color w:val="000000" w:themeColor="text1"/>
          <w:szCs w:val="21"/>
          <w14:textFill>
            <w14:solidFill>
              <w14:schemeClr w14:val="tx1"/>
            </w14:solidFill>
          </w14:textFill>
        </w:rPr>
      </w:pPr>
    </w:p>
    <w:p w14:paraId="25282173">
      <w:pPr>
        <w:pStyle w:val="4"/>
        <w:rPr>
          <w:rFonts w:ascii="宋体" w:hAnsi="宋体" w:cs="宋体"/>
          <w:b/>
          <w:bCs/>
          <w:color w:val="000000" w:themeColor="text1"/>
          <w:szCs w:val="21"/>
          <w14:textFill>
            <w14:solidFill>
              <w14:schemeClr w14:val="tx1"/>
            </w14:solidFill>
          </w14:textFill>
        </w:rPr>
      </w:pPr>
    </w:p>
    <w:p w14:paraId="79387ED6">
      <w:pPr>
        <w:pStyle w:val="4"/>
        <w:rPr>
          <w:rFonts w:ascii="宋体" w:hAnsi="宋体" w:cs="宋体"/>
          <w:b/>
          <w:bCs/>
          <w:color w:val="000000" w:themeColor="text1"/>
          <w:szCs w:val="21"/>
          <w14:textFill>
            <w14:solidFill>
              <w14:schemeClr w14:val="tx1"/>
            </w14:solidFill>
          </w14:textFill>
        </w:rPr>
      </w:pPr>
    </w:p>
    <w:p w14:paraId="5BF9D6C3">
      <w:pPr>
        <w:pStyle w:val="4"/>
        <w:rPr>
          <w:rFonts w:ascii="宋体" w:hAnsi="宋体" w:cs="宋体"/>
          <w:b/>
          <w:bCs/>
          <w:color w:val="000000" w:themeColor="text1"/>
          <w:szCs w:val="21"/>
          <w14:textFill>
            <w14:solidFill>
              <w14:schemeClr w14:val="tx1"/>
            </w14:solidFill>
          </w14:textFill>
        </w:rPr>
      </w:pPr>
    </w:p>
    <w:p w14:paraId="45154A07">
      <w:pPr>
        <w:pStyle w:val="4"/>
        <w:rPr>
          <w:rFonts w:ascii="宋体" w:hAnsi="宋体" w:cs="宋体"/>
          <w:b/>
          <w:bCs/>
          <w:color w:val="000000" w:themeColor="text1"/>
          <w:szCs w:val="21"/>
          <w14:textFill>
            <w14:solidFill>
              <w14:schemeClr w14:val="tx1"/>
            </w14:solidFill>
          </w14:textFill>
        </w:rPr>
      </w:pPr>
    </w:p>
    <w:p w14:paraId="02FFBB4C">
      <w:pPr>
        <w:pStyle w:val="4"/>
        <w:rPr>
          <w:rFonts w:ascii="宋体" w:hAnsi="宋体" w:cs="宋体"/>
          <w:b/>
          <w:bCs/>
          <w:color w:val="000000" w:themeColor="text1"/>
          <w:szCs w:val="21"/>
          <w14:textFill>
            <w14:solidFill>
              <w14:schemeClr w14:val="tx1"/>
            </w14:solidFill>
          </w14:textFill>
        </w:rPr>
      </w:pPr>
    </w:p>
    <w:p w14:paraId="0C6A341E">
      <w:pPr>
        <w:pStyle w:val="4"/>
        <w:rPr>
          <w:rFonts w:ascii="宋体" w:hAnsi="宋体" w:cs="宋体"/>
          <w:b/>
          <w:bCs/>
          <w:color w:val="000000" w:themeColor="text1"/>
          <w:szCs w:val="21"/>
          <w14:textFill>
            <w14:solidFill>
              <w14:schemeClr w14:val="tx1"/>
            </w14:solidFill>
          </w14:textFill>
        </w:rPr>
      </w:pPr>
    </w:p>
    <w:p w14:paraId="0A7C9D84">
      <w:pPr>
        <w:pStyle w:val="4"/>
        <w:rPr>
          <w:rFonts w:ascii="宋体" w:hAnsi="宋体" w:cs="宋体"/>
          <w:b/>
          <w:bCs/>
          <w:color w:val="000000" w:themeColor="text1"/>
          <w:szCs w:val="21"/>
          <w14:textFill>
            <w14:solidFill>
              <w14:schemeClr w14:val="tx1"/>
            </w14:solidFill>
          </w14:textFill>
        </w:rPr>
      </w:pPr>
    </w:p>
    <w:p w14:paraId="7232A3C8">
      <w:pPr>
        <w:pStyle w:val="4"/>
        <w:rPr>
          <w:rFonts w:ascii="宋体" w:hAnsi="宋体" w:cs="宋体"/>
          <w:b/>
          <w:bCs/>
          <w:color w:val="000000" w:themeColor="text1"/>
          <w:szCs w:val="21"/>
          <w14:textFill>
            <w14:solidFill>
              <w14:schemeClr w14:val="tx1"/>
            </w14:solidFill>
          </w14:textFill>
        </w:rPr>
      </w:pPr>
    </w:p>
    <w:p w14:paraId="5AD4C8E5">
      <w:pPr>
        <w:pStyle w:val="4"/>
        <w:rPr>
          <w:rFonts w:ascii="宋体" w:hAnsi="宋体" w:cs="宋体"/>
          <w:b/>
          <w:bCs/>
          <w:color w:val="000000" w:themeColor="text1"/>
          <w:szCs w:val="21"/>
          <w14:textFill>
            <w14:solidFill>
              <w14:schemeClr w14:val="tx1"/>
            </w14:solidFill>
          </w14:textFill>
        </w:rPr>
      </w:pPr>
    </w:p>
    <w:p w14:paraId="69827A35">
      <w:pPr>
        <w:pStyle w:val="4"/>
        <w:rPr>
          <w:rFonts w:ascii="宋体" w:hAnsi="宋体" w:cs="宋体"/>
          <w:b/>
          <w:bCs/>
          <w:color w:val="000000" w:themeColor="text1"/>
          <w:szCs w:val="21"/>
          <w14:textFill>
            <w14:solidFill>
              <w14:schemeClr w14:val="tx1"/>
            </w14:solidFill>
          </w14:textFill>
        </w:rPr>
      </w:pPr>
    </w:p>
    <w:p w14:paraId="375899C6">
      <w:pPr>
        <w:pStyle w:val="4"/>
        <w:rPr>
          <w:rFonts w:ascii="宋体" w:hAnsi="宋体" w:cs="宋体"/>
          <w:b/>
          <w:bCs/>
          <w:color w:val="000000" w:themeColor="text1"/>
          <w:szCs w:val="21"/>
          <w14:textFill>
            <w14:solidFill>
              <w14:schemeClr w14:val="tx1"/>
            </w14:solidFill>
          </w14:textFill>
        </w:rPr>
      </w:pPr>
    </w:p>
    <w:p w14:paraId="525445F5">
      <w:pPr>
        <w:pStyle w:val="4"/>
        <w:rPr>
          <w:rFonts w:ascii="宋体" w:hAnsi="宋体" w:cs="宋体"/>
          <w:b/>
          <w:bCs/>
          <w:color w:val="000000" w:themeColor="text1"/>
          <w:szCs w:val="21"/>
          <w14:textFill>
            <w14:solidFill>
              <w14:schemeClr w14:val="tx1"/>
            </w14:solidFill>
          </w14:textFill>
        </w:rPr>
      </w:pPr>
    </w:p>
    <w:p w14:paraId="14200B2F">
      <w:pPr>
        <w:pStyle w:val="4"/>
        <w:rPr>
          <w:rFonts w:ascii="宋体" w:hAnsi="宋体" w:cs="宋体"/>
          <w:b/>
          <w:bCs/>
          <w:color w:val="000000" w:themeColor="text1"/>
          <w:szCs w:val="21"/>
          <w14:textFill>
            <w14:solidFill>
              <w14:schemeClr w14:val="tx1"/>
            </w14:solidFill>
          </w14:textFill>
        </w:rPr>
      </w:pPr>
    </w:p>
    <w:p w14:paraId="11A8B514">
      <w:pPr>
        <w:ind w:firstLine="422" w:firstLineChars="200"/>
        <w:rPr>
          <w:rFonts w:ascii="宋体" w:hAnsi="宋体" w:cs="宋体"/>
          <w:b/>
          <w:bCs/>
          <w:color w:val="000000" w:themeColor="text1"/>
          <w:szCs w:val="21"/>
          <w14:textFill>
            <w14:solidFill>
              <w14:schemeClr w14:val="tx1"/>
            </w14:solidFill>
          </w14:textFill>
        </w:rPr>
      </w:pPr>
    </w:p>
    <w:p w14:paraId="3B53B710">
      <w:pPr>
        <w:ind w:firstLine="422" w:firstLineChars="200"/>
        <w:rPr>
          <w:rFonts w:ascii="宋体" w:hAnsi="宋体" w:cs="宋体"/>
          <w:b/>
          <w:bCs/>
          <w:color w:val="000000" w:themeColor="text1"/>
          <w:szCs w:val="21"/>
          <w14:textFill>
            <w14:solidFill>
              <w14:schemeClr w14:val="tx1"/>
            </w14:solidFill>
          </w14:textFill>
        </w:rPr>
      </w:pPr>
    </w:p>
    <w:p w14:paraId="7991AB10">
      <w:pPr>
        <w:pStyle w:val="3"/>
        <w:spacing w:before="0" w:after="120"/>
        <w:rPr>
          <w:rFonts w:cs="宋体"/>
          <w:color w:val="000000" w:themeColor="text1"/>
          <w14:textFill>
            <w14:solidFill>
              <w14:schemeClr w14:val="tx1"/>
            </w14:solidFill>
          </w14:textFill>
        </w:rPr>
      </w:pPr>
      <w:bookmarkStart w:id="155" w:name="_Toc794"/>
      <w:bookmarkStart w:id="156" w:name="_Toc14765"/>
      <w:bookmarkStart w:id="157" w:name="_Toc7064"/>
      <w:bookmarkStart w:id="158" w:name="_Toc1439"/>
      <w:bookmarkStart w:id="159" w:name="_Toc10960"/>
      <w:bookmarkStart w:id="160" w:name="_Toc26195"/>
      <w:bookmarkStart w:id="161" w:name="_Toc11052"/>
      <w:bookmarkStart w:id="162" w:name="_Toc22390"/>
      <w:r>
        <w:rPr>
          <w:rFonts w:hint="eastAsia" w:cs="宋体"/>
          <w:color w:val="000000" w:themeColor="text1"/>
          <w14:textFill>
            <w14:solidFill>
              <w14:schemeClr w14:val="tx1"/>
            </w14:solidFill>
          </w14:textFill>
        </w:rPr>
        <w:t xml:space="preserve">格式5          </w:t>
      </w:r>
      <w:r>
        <w:rPr>
          <w:rFonts w:hint="eastAsia" w:cs="宋体"/>
          <w:color w:val="000000" w:themeColor="text1"/>
          <w:szCs w:val="22"/>
          <w14:textFill>
            <w14:solidFill>
              <w14:schemeClr w14:val="tx1"/>
            </w14:solidFill>
          </w14:textFill>
        </w:rPr>
        <w:t xml:space="preserve">   </w:t>
      </w:r>
      <w:bookmarkEnd w:id="155"/>
      <w:bookmarkEnd w:id="156"/>
      <w:bookmarkEnd w:id="157"/>
      <w:bookmarkEnd w:id="158"/>
      <w:bookmarkEnd w:id="159"/>
      <w:bookmarkEnd w:id="160"/>
      <w:bookmarkEnd w:id="161"/>
      <w:bookmarkEnd w:id="162"/>
      <w:r>
        <w:rPr>
          <w:rFonts w:hint="eastAsia" w:cs="宋体"/>
          <w:color w:val="000000" w:themeColor="text1"/>
          <w:szCs w:val="22"/>
          <w14:textFill>
            <w14:solidFill>
              <w14:schemeClr w14:val="tx1"/>
            </w14:solidFill>
          </w14:textFill>
        </w:rPr>
        <w:t xml:space="preserve">       资格声明函  </w:t>
      </w:r>
      <w:r>
        <w:rPr>
          <w:rFonts w:hint="eastAsia" w:cs="宋体"/>
          <w:color w:val="000000" w:themeColor="text1"/>
          <w14:textFill>
            <w14:solidFill>
              <w14:schemeClr w14:val="tx1"/>
            </w14:solidFill>
          </w14:textFill>
        </w:rPr>
        <w:t xml:space="preserve"> </w:t>
      </w:r>
    </w:p>
    <w:p w14:paraId="726F9FBB">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致广东远东招标代理有限公司：</w:t>
      </w:r>
    </w:p>
    <w:p w14:paraId="67ABC747">
      <w:pPr>
        <w:spacing w:line="360" w:lineRule="auto"/>
        <w:ind w:firstLine="5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我方愿响应你方</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日发布的</w:t>
      </w:r>
      <w:r>
        <w:rPr>
          <w:rFonts w:hint="eastAsia" w:ascii="宋体" w:hAnsi="宋体" w:cs="宋体"/>
          <w:color w:val="000000" w:themeColor="text1"/>
          <w:kern w:val="0"/>
          <w:szCs w:val="21"/>
          <w:u w:val="single"/>
          <w14:textFill>
            <w14:solidFill>
              <w14:schemeClr w14:val="tx1"/>
            </w14:solidFill>
          </w14:textFill>
        </w:rPr>
        <w:t xml:space="preserve">     项目</w:t>
      </w:r>
      <w:r>
        <w:rPr>
          <w:rFonts w:hint="eastAsia" w:ascii="宋体" w:hAnsi="宋体" w:cs="宋体"/>
          <w:color w:val="000000" w:themeColor="text1"/>
          <w:kern w:val="0"/>
          <w:szCs w:val="21"/>
          <w14:textFill>
            <w14:solidFill>
              <w14:schemeClr w14:val="tx1"/>
            </w14:solidFill>
          </w14:textFill>
        </w:rPr>
        <w:t>（项目编号：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报价邀请，参与报价，提供采购人需求中规定的全部内容，并按采购文件要求提交所附资格文件且声明和保证如下：</w:t>
      </w:r>
    </w:p>
    <w:p w14:paraId="0D0E4FAA">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我方为本次报价所提交的所有证明我方提供货物和服务合格和我方资格的文件是真实的和正确的，并愿为其真实性和正确性承担法律责任；核验我方提供相关复印件与原件不一致的，或我方无法在规定时间内提供原件的，采购人或采购代理机构有权取消我方报价或成交资格；提供给采购人的货物及服务与报价承诺一致。</w:t>
      </w:r>
    </w:p>
    <w:p w14:paraId="255AE496">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2.我方在参与本次报价时，符合供应商资格条件要求及其他法律法规规定的其他条件。</w:t>
      </w:r>
    </w:p>
    <w:p w14:paraId="0985EE69">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3.我方具有良好的商业信誉和健全的财务会计制度。</w:t>
      </w:r>
    </w:p>
    <w:p w14:paraId="5E725226">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4.我方有依法缴纳税收和社会保障资金的良好记录。</w:t>
      </w:r>
    </w:p>
    <w:p w14:paraId="37E061F4">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5.我方具有履行合同所必须的设备和专业技术能力。</w:t>
      </w:r>
    </w:p>
    <w:p w14:paraId="0E949FFF">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6.我方在参加本次采购活动前三年内在经营活动中没有重大违法记录。</w:t>
      </w:r>
    </w:p>
    <w:p w14:paraId="0AD62122">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7.我方符合法律、行政法规规定的其他条件，不存在以下不得参加本项目（同一子包）响应的情形之一：</w:t>
      </w:r>
    </w:p>
    <w:p w14:paraId="67955D03">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1）不同供应商的单位负责人为同一人或者存在直接控股、管理关系；</w:t>
      </w:r>
    </w:p>
    <w:p w14:paraId="5FE22C6E">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2）供应商为采购项目提供整体设计、规范编制或者项目管理、监理、检测等服务。</w:t>
      </w:r>
    </w:p>
    <w:p w14:paraId="67A6E9C5">
      <w:pPr>
        <w:widowControl/>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8.我方如成交，除不可抗力原因外，将在规定时间内与采购人签订合同。</w:t>
      </w:r>
    </w:p>
    <w:p w14:paraId="2F58825A">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如有违反上述声明之情形或我方声明与事实不符，我方对被取消成交资格无异议，同时，我方无条件接受相关部门以提供虚假材料谋取成交处理。</w:t>
      </w:r>
    </w:p>
    <w:p w14:paraId="371EFD1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报价人全称（加盖公章）:</w:t>
      </w:r>
    </w:p>
    <w:p w14:paraId="4109638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法定代表人或其报价人授权代表(签字)：                   日    期：     年   月   日</w:t>
      </w:r>
    </w:p>
    <w:p w14:paraId="6387A657">
      <w:pPr>
        <w:tabs>
          <w:tab w:val="left" w:pos="374"/>
        </w:tabs>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ab/>
      </w:r>
    </w:p>
    <w:p w14:paraId="2A258958">
      <w:pPr>
        <w:pStyle w:val="4"/>
        <w:rPr>
          <w:rFonts w:ascii="宋体" w:hAnsi="宋体" w:cs="宋体"/>
          <w:b/>
          <w:bCs/>
          <w:color w:val="000000" w:themeColor="text1"/>
          <w:szCs w:val="21"/>
          <w14:textFill>
            <w14:solidFill>
              <w14:schemeClr w14:val="tx1"/>
            </w14:solidFill>
          </w14:textFill>
        </w:rPr>
      </w:pPr>
    </w:p>
    <w:p w14:paraId="033CA905">
      <w:pPr>
        <w:pStyle w:val="4"/>
        <w:rPr>
          <w:rFonts w:ascii="宋体" w:hAnsi="宋体" w:cs="宋体"/>
          <w:b/>
          <w:bCs/>
          <w:color w:val="000000" w:themeColor="text1"/>
          <w:szCs w:val="21"/>
          <w14:textFill>
            <w14:solidFill>
              <w14:schemeClr w14:val="tx1"/>
            </w14:solidFill>
          </w14:textFill>
        </w:rPr>
      </w:pPr>
    </w:p>
    <w:p w14:paraId="1B279F7F">
      <w:pPr>
        <w:pStyle w:val="4"/>
        <w:rPr>
          <w:rFonts w:ascii="宋体" w:hAnsi="宋体" w:cs="宋体"/>
          <w:b/>
          <w:bCs/>
          <w:color w:val="000000" w:themeColor="text1"/>
          <w:szCs w:val="21"/>
          <w14:textFill>
            <w14:solidFill>
              <w14:schemeClr w14:val="tx1"/>
            </w14:solidFill>
          </w14:textFill>
        </w:rPr>
      </w:pPr>
    </w:p>
    <w:p w14:paraId="7F093438">
      <w:pPr>
        <w:pStyle w:val="4"/>
        <w:rPr>
          <w:rFonts w:ascii="宋体" w:hAnsi="宋体" w:cs="宋体"/>
          <w:b/>
          <w:bCs/>
          <w:color w:val="000000" w:themeColor="text1"/>
          <w:szCs w:val="21"/>
          <w14:textFill>
            <w14:solidFill>
              <w14:schemeClr w14:val="tx1"/>
            </w14:solidFill>
          </w14:textFill>
        </w:rPr>
      </w:pPr>
    </w:p>
    <w:p w14:paraId="3CF6658F">
      <w:pPr>
        <w:pStyle w:val="4"/>
        <w:rPr>
          <w:rFonts w:ascii="宋体" w:hAnsi="宋体" w:cs="宋体"/>
          <w:b/>
          <w:bCs/>
          <w:color w:val="000000" w:themeColor="text1"/>
          <w:szCs w:val="21"/>
          <w14:textFill>
            <w14:solidFill>
              <w14:schemeClr w14:val="tx1"/>
            </w14:solidFill>
          </w14:textFill>
        </w:rPr>
      </w:pPr>
    </w:p>
    <w:p w14:paraId="54F5C7EB">
      <w:pPr>
        <w:pStyle w:val="3"/>
        <w:spacing w:line="240" w:lineRule="auto"/>
        <w:rPr>
          <w:rFonts w:cs="宋体"/>
          <w:color w:val="000000" w:themeColor="text1"/>
          <w14:textFill>
            <w14:solidFill>
              <w14:schemeClr w14:val="tx1"/>
            </w14:solidFill>
          </w14:textFill>
        </w:rPr>
      </w:pPr>
      <w:bookmarkStart w:id="163" w:name="_Toc21293"/>
      <w:bookmarkStart w:id="164" w:name="_Toc15542"/>
      <w:r>
        <w:rPr>
          <w:rFonts w:hint="eastAsia" w:cs="宋体"/>
          <w:color w:val="000000" w:themeColor="text1"/>
          <w14:textFill>
            <w14:solidFill>
              <w14:schemeClr w14:val="tx1"/>
            </w14:solidFill>
          </w14:textFill>
        </w:rPr>
        <w:t>格式6                      商务评审索引表</w:t>
      </w:r>
      <w:bookmarkEnd w:id="163"/>
      <w:bookmarkEnd w:id="164"/>
    </w:p>
    <w:tbl>
      <w:tblPr>
        <w:tblStyle w:val="38"/>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4016"/>
        <w:gridCol w:w="2710"/>
        <w:gridCol w:w="2206"/>
      </w:tblGrid>
      <w:tr w14:paraId="47E7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tcPr>
          <w:p w14:paraId="678DB2D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4016" w:type="dxa"/>
            <w:vAlign w:val="center"/>
          </w:tcPr>
          <w:p w14:paraId="43C401F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评审内容</w:t>
            </w:r>
          </w:p>
          <w:p w14:paraId="1F2885F5">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（注：此部分可直接引用磋商文件第五章评审细则相应内容）</w:t>
            </w:r>
          </w:p>
        </w:tc>
        <w:tc>
          <w:tcPr>
            <w:tcW w:w="2710" w:type="dxa"/>
            <w:vAlign w:val="center"/>
          </w:tcPr>
          <w:p w14:paraId="04241BFB">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响应情况</w:t>
            </w:r>
          </w:p>
        </w:tc>
        <w:tc>
          <w:tcPr>
            <w:tcW w:w="2206" w:type="dxa"/>
            <w:vAlign w:val="center"/>
          </w:tcPr>
          <w:p w14:paraId="556E25D7">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报价文件响应内容对应页码</w:t>
            </w:r>
          </w:p>
        </w:tc>
      </w:tr>
      <w:tr w14:paraId="2020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6AE2EEE3">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016" w:type="dxa"/>
            <w:vAlign w:val="center"/>
          </w:tcPr>
          <w:p w14:paraId="0437636A">
            <w:pPr>
              <w:rPr>
                <w:rFonts w:ascii="宋体" w:hAnsi="宋体" w:cs="宋体"/>
                <w:color w:val="000000" w:themeColor="text1"/>
                <w:szCs w:val="21"/>
                <w14:textFill>
                  <w14:solidFill>
                    <w14:schemeClr w14:val="tx1"/>
                  </w14:solidFill>
                </w14:textFill>
              </w:rPr>
            </w:pPr>
          </w:p>
        </w:tc>
        <w:tc>
          <w:tcPr>
            <w:tcW w:w="2710" w:type="dxa"/>
            <w:vAlign w:val="center"/>
          </w:tcPr>
          <w:p w14:paraId="405A139E">
            <w:pPr>
              <w:rPr>
                <w:rFonts w:ascii="宋体" w:hAnsi="宋体" w:cs="宋体"/>
                <w:color w:val="000000" w:themeColor="text1"/>
                <w:szCs w:val="21"/>
                <w14:textFill>
                  <w14:solidFill>
                    <w14:schemeClr w14:val="tx1"/>
                  </w14:solidFill>
                </w14:textFill>
              </w:rPr>
            </w:pPr>
          </w:p>
        </w:tc>
        <w:tc>
          <w:tcPr>
            <w:tcW w:w="2206" w:type="dxa"/>
            <w:vAlign w:val="center"/>
          </w:tcPr>
          <w:p w14:paraId="5DB621A4">
            <w:pPr>
              <w:jc w:val="center"/>
              <w:rPr>
                <w:rFonts w:ascii="宋体" w:hAnsi="宋体" w:cs="宋体"/>
                <w:color w:val="000000" w:themeColor="text1"/>
                <w:szCs w:val="21"/>
                <w14:textFill>
                  <w14:solidFill>
                    <w14:schemeClr w14:val="tx1"/>
                  </w14:solidFill>
                </w14:textFill>
              </w:rPr>
            </w:pPr>
          </w:p>
        </w:tc>
      </w:tr>
      <w:tr w14:paraId="3E23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5E01700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016" w:type="dxa"/>
            <w:vAlign w:val="center"/>
          </w:tcPr>
          <w:p w14:paraId="141E61A4">
            <w:pPr>
              <w:rPr>
                <w:rFonts w:ascii="宋体" w:hAnsi="宋体" w:cs="宋体"/>
                <w:color w:val="000000" w:themeColor="text1"/>
                <w:szCs w:val="21"/>
                <w14:textFill>
                  <w14:solidFill>
                    <w14:schemeClr w14:val="tx1"/>
                  </w14:solidFill>
                </w14:textFill>
              </w:rPr>
            </w:pPr>
          </w:p>
        </w:tc>
        <w:tc>
          <w:tcPr>
            <w:tcW w:w="2710" w:type="dxa"/>
            <w:vAlign w:val="center"/>
          </w:tcPr>
          <w:p w14:paraId="1A7829C2">
            <w:pPr>
              <w:rPr>
                <w:rFonts w:ascii="宋体" w:hAnsi="宋体" w:cs="宋体"/>
                <w:color w:val="000000" w:themeColor="text1"/>
                <w:szCs w:val="21"/>
                <w14:textFill>
                  <w14:solidFill>
                    <w14:schemeClr w14:val="tx1"/>
                  </w14:solidFill>
                </w14:textFill>
              </w:rPr>
            </w:pPr>
          </w:p>
        </w:tc>
        <w:tc>
          <w:tcPr>
            <w:tcW w:w="2206" w:type="dxa"/>
            <w:vAlign w:val="center"/>
          </w:tcPr>
          <w:p w14:paraId="01D64D46">
            <w:pPr>
              <w:jc w:val="center"/>
              <w:rPr>
                <w:rFonts w:ascii="宋体" w:hAnsi="宋体" w:cs="宋体"/>
                <w:color w:val="000000" w:themeColor="text1"/>
                <w:szCs w:val="21"/>
                <w14:textFill>
                  <w14:solidFill>
                    <w14:schemeClr w14:val="tx1"/>
                  </w14:solidFill>
                </w14:textFill>
              </w:rPr>
            </w:pPr>
          </w:p>
        </w:tc>
      </w:tr>
      <w:tr w14:paraId="238CA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515681A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4016" w:type="dxa"/>
            <w:vAlign w:val="center"/>
          </w:tcPr>
          <w:p w14:paraId="12BBB8A7">
            <w:pPr>
              <w:rPr>
                <w:rFonts w:ascii="宋体" w:hAnsi="宋体" w:cs="宋体"/>
                <w:color w:val="000000" w:themeColor="text1"/>
                <w:szCs w:val="21"/>
                <w14:textFill>
                  <w14:solidFill>
                    <w14:schemeClr w14:val="tx1"/>
                  </w14:solidFill>
                </w14:textFill>
              </w:rPr>
            </w:pPr>
          </w:p>
        </w:tc>
        <w:tc>
          <w:tcPr>
            <w:tcW w:w="2710" w:type="dxa"/>
            <w:vAlign w:val="center"/>
          </w:tcPr>
          <w:p w14:paraId="6C8BD254">
            <w:pPr>
              <w:rPr>
                <w:rFonts w:ascii="宋体" w:hAnsi="宋体" w:cs="宋体"/>
                <w:color w:val="000000" w:themeColor="text1"/>
                <w:szCs w:val="21"/>
                <w14:textFill>
                  <w14:solidFill>
                    <w14:schemeClr w14:val="tx1"/>
                  </w14:solidFill>
                </w14:textFill>
              </w:rPr>
            </w:pPr>
          </w:p>
        </w:tc>
        <w:tc>
          <w:tcPr>
            <w:tcW w:w="2206" w:type="dxa"/>
            <w:vAlign w:val="center"/>
          </w:tcPr>
          <w:p w14:paraId="7E6E45B1">
            <w:pPr>
              <w:jc w:val="center"/>
              <w:rPr>
                <w:rFonts w:ascii="宋体" w:hAnsi="宋体" w:cs="宋体"/>
                <w:color w:val="000000" w:themeColor="text1"/>
                <w:szCs w:val="21"/>
                <w14:textFill>
                  <w14:solidFill>
                    <w14:schemeClr w14:val="tx1"/>
                  </w14:solidFill>
                </w14:textFill>
              </w:rPr>
            </w:pPr>
          </w:p>
        </w:tc>
      </w:tr>
    </w:tbl>
    <w:p w14:paraId="1F8067B8">
      <w:pPr>
        <w:ind w:firstLine="422" w:firstLineChars="200"/>
        <w:rPr>
          <w:rFonts w:ascii="宋体" w:hAnsi="宋体" w:cs="宋体"/>
          <w:b/>
          <w:bCs/>
          <w:color w:val="000000" w:themeColor="text1"/>
          <w:szCs w:val="21"/>
          <w14:textFill>
            <w14:solidFill>
              <w14:schemeClr w14:val="tx1"/>
            </w14:solidFill>
          </w14:textFill>
        </w:rPr>
      </w:pPr>
    </w:p>
    <w:p w14:paraId="66C1A25D">
      <w:pPr>
        <w:ind w:firstLine="422" w:firstLineChars="200"/>
        <w:rPr>
          <w:rFonts w:ascii="宋体" w:hAnsi="宋体" w:cs="宋体"/>
          <w:b/>
          <w:bCs/>
          <w:color w:val="000000" w:themeColor="text1"/>
          <w:szCs w:val="21"/>
          <w14:textFill>
            <w14:solidFill>
              <w14:schemeClr w14:val="tx1"/>
            </w14:solidFill>
          </w14:textFill>
        </w:rPr>
      </w:pPr>
    </w:p>
    <w:p w14:paraId="446A15C5">
      <w:pPr>
        <w:ind w:firstLine="422" w:firstLineChars="200"/>
        <w:rPr>
          <w:rFonts w:ascii="宋体" w:hAnsi="宋体" w:cs="宋体"/>
          <w:b/>
          <w:bCs/>
          <w:color w:val="000000" w:themeColor="text1"/>
          <w:szCs w:val="21"/>
          <w14:textFill>
            <w14:solidFill>
              <w14:schemeClr w14:val="tx1"/>
            </w14:solidFill>
          </w14:textFill>
        </w:rPr>
      </w:pPr>
    </w:p>
    <w:p w14:paraId="44D82FB3">
      <w:pPr>
        <w:pStyle w:val="3"/>
        <w:spacing w:line="240" w:lineRule="auto"/>
        <w:ind w:firstLine="4216" w:firstLineChars="1400"/>
        <w:rPr>
          <w:rFonts w:cs="宋体"/>
          <w:color w:val="000000" w:themeColor="text1"/>
          <w14:textFill>
            <w14:solidFill>
              <w14:schemeClr w14:val="tx1"/>
            </w14:solidFill>
          </w14:textFill>
        </w:rPr>
      </w:pPr>
      <w:bookmarkStart w:id="165" w:name="_Toc209"/>
      <w:bookmarkStart w:id="166" w:name="_Toc29073"/>
      <w:r>
        <w:rPr>
          <w:rFonts w:hint="eastAsia" w:cs="宋体"/>
          <w:color w:val="000000" w:themeColor="text1"/>
          <w14:textFill>
            <w14:solidFill>
              <w14:schemeClr w14:val="tx1"/>
            </w14:solidFill>
          </w14:textFill>
        </w:rPr>
        <w:t>技术评审索引表</w:t>
      </w:r>
      <w:bookmarkEnd w:id="165"/>
      <w:bookmarkEnd w:id="166"/>
    </w:p>
    <w:tbl>
      <w:tblPr>
        <w:tblStyle w:val="38"/>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4016"/>
        <w:gridCol w:w="2710"/>
        <w:gridCol w:w="2206"/>
      </w:tblGrid>
      <w:tr w14:paraId="6C22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tcPr>
          <w:p w14:paraId="6A2BD02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4016" w:type="dxa"/>
            <w:vAlign w:val="center"/>
          </w:tcPr>
          <w:p w14:paraId="200BAF4B">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评审内容</w:t>
            </w:r>
          </w:p>
          <w:p w14:paraId="0F1B128A">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（注：此部分可直接引用磋商文件第五章评审细则相应内容）</w:t>
            </w:r>
          </w:p>
        </w:tc>
        <w:tc>
          <w:tcPr>
            <w:tcW w:w="2710" w:type="dxa"/>
            <w:vAlign w:val="center"/>
          </w:tcPr>
          <w:p w14:paraId="7359236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响应情况</w:t>
            </w:r>
          </w:p>
        </w:tc>
        <w:tc>
          <w:tcPr>
            <w:tcW w:w="2206" w:type="dxa"/>
            <w:vAlign w:val="center"/>
          </w:tcPr>
          <w:p w14:paraId="1F8F289A">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报价文件响应内容对应页码</w:t>
            </w:r>
          </w:p>
        </w:tc>
      </w:tr>
      <w:tr w14:paraId="776E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3202CFAC">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016" w:type="dxa"/>
            <w:vAlign w:val="center"/>
          </w:tcPr>
          <w:p w14:paraId="492BF47C">
            <w:pPr>
              <w:rPr>
                <w:rFonts w:ascii="宋体" w:hAnsi="宋体" w:cs="宋体"/>
                <w:color w:val="000000" w:themeColor="text1"/>
                <w:szCs w:val="21"/>
                <w14:textFill>
                  <w14:solidFill>
                    <w14:schemeClr w14:val="tx1"/>
                  </w14:solidFill>
                </w14:textFill>
              </w:rPr>
            </w:pPr>
          </w:p>
        </w:tc>
        <w:tc>
          <w:tcPr>
            <w:tcW w:w="2710" w:type="dxa"/>
            <w:vAlign w:val="center"/>
          </w:tcPr>
          <w:p w14:paraId="1F70DAF9">
            <w:pPr>
              <w:rPr>
                <w:rFonts w:ascii="宋体" w:hAnsi="宋体" w:cs="宋体"/>
                <w:color w:val="000000" w:themeColor="text1"/>
                <w:szCs w:val="21"/>
                <w14:textFill>
                  <w14:solidFill>
                    <w14:schemeClr w14:val="tx1"/>
                  </w14:solidFill>
                </w14:textFill>
              </w:rPr>
            </w:pPr>
          </w:p>
        </w:tc>
        <w:tc>
          <w:tcPr>
            <w:tcW w:w="2206" w:type="dxa"/>
            <w:vAlign w:val="center"/>
          </w:tcPr>
          <w:p w14:paraId="4E7213A0">
            <w:pPr>
              <w:jc w:val="center"/>
              <w:rPr>
                <w:rFonts w:ascii="宋体" w:hAnsi="宋体" w:cs="宋体"/>
                <w:color w:val="000000" w:themeColor="text1"/>
                <w:szCs w:val="21"/>
                <w14:textFill>
                  <w14:solidFill>
                    <w14:schemeClr w14:val="tx1"/>
                  </w14:solidFill>
                </w14:textFill>
              </w:rPr>
            </w:pPr>
          </w:p>
        </w:tc>
      </w:tr>
      <w:tr w14:paraId="172F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3E2C3D2B">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016" w:type="dxa"/>
            <w:vAlign w:val="center"/>
          </w:tcPr>
          <w:p w14:paraId="02D858B9">
            <w:pPr>
              <w:rPr>
                <w:rFonts w:ascii="宋体" w:hAnsi="宋体" w:cs="宋体"/>
                <w:color w:val="000000" w:themeColor="text1"/>
                <w:szCs w:val="21"/>
                <w14:textFill>
                  <w14:solidFill>
                    <w14:schemeClr w14:val="tx1"/>
                  </w14:solidFill>
                </w14:textFill>
              </w:rPr>
            </w:pPr>
          </w:p>
        </w:tc>
        <w:tc>
          <w:tcPr>
            <w:tcW w:w="2710" w:type="dxa"/>
            <w:vAlign w:val="center"/>
          </w:tcPr>
          <w:p w14:paraId="6A7B913D">
            <w:pPr>
              <w:rPr>
                <w:rFonts w:ascii="宋体" w:hAnsi="宋体" w:cs="宋体"/>
                <w:color w:val="000000" w:themeColor="text1"/>
                <w:szCs w:val="21"/>
                <w14:textFill>
                  <w14:solidFill>
                    <w14:schemeClr w14:val="tx1"/>
                  </w14:solidFill>
                </w14:textFill>
              </w:rPr>
            </w:pPr>
          </w:p>
        </w:tc>
        <w:tc>
          <w:tcPr>
            <w:tcW w:w="2206" w:type="dxa"/>
            <w:vAlign w:val="center"/>
          </w:tcPr>
          <w:p w14:paraId="0D41EDCB">
            <w:pPr>
              <w:jc w:val="center"/>
              <w:rPr>
                <w:rFonts w:ascii="宋体" w:hAnsi="宋体" w:cs="宋体"/>
                <w:color w:val="000000" w:themeColor="text1"/>
                <w:szCs w:val="21"/>
                <w14:textFill>
                  <w14:solidFill>
                    <w14:schemeClr w14:val="tx1"/>
                  </w14:solidFill>
                </w14:textFill>
              </w:rPr>
            </w:pPr>
          </w:p>
        </w:tc>
      </w:tr>
      <w:tr w14:paraId="14BC0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148" w:type="dxa"/>
            <w:vAlign w:val="center"/>
          </w:tcPr>
          <w:p w14:paraId="6B12140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4016" w:type="dxa"/>
            <w:vAlign w:val="center"/>
          </w:tcPr>
          <w:p w14:paraId="35715D41">
            <w:pPr>
              <w:rPr>
                <w:rFonts w:ascii="宋体" w:hAnsi="宋体" w:cs="宋体"/>
                <w:color w:val="000000" w:themeColor="text1"/>
                <w:szCs w:val="21"/>
                <w14:textFill>
                  <w14:solidFill>
                    <w14:schemeClr w14:val="tx1"/>
                  </w14:solidFill>
                </w14:textFill>
              </w:rPr>
            </w:pPr>
          </w:p>
        </w:tc>
        <w:tc>
          <w:tcPr>
            <w:tcW w:w="2710" w:type="dxa"/>
            <w:vAlign w:val="center"/>
          </w:tcPr>
          <w:p w14:paraId="4009BD9E">
            <w:pPr>
              <w:rPr>
                <w:rFonts w:ascii="宋体" w:hAnsi="宋体" w:cs="宋体"/>
                <w:color w:val="000000" w:themeColor="text1"/>
                <w:szCs w:val="21"/>
                <w14:textFill>
                  <w14:solidFill>
                    <w14:schemeClr w14:val="tx1"/>
                  </w14:solidFill>
                </w14:textFill>
              </w:rPr>
            </w:pPr>
          </w:p>
        </w:tc>
        <w:tc>
          <w:tcPr>
            <w:tcW w:w="2206" w:type="dxa"/>
            <w:vAlign w:val="center"/>
          </w:tcPr>
          <w:p w14:paraId="45560682">
            <w:pPr>
              <w:jc w:val="center"/>
              <w:rPr>
                <w:rFonts w:ascii="宋体" w:hAnsi="宋体" w:cs="宋体"/>
                <w:color w:val="000000" w:themeColor="text1"/>
                <w:szCs w:val="21"/>
                <w14:textFill>
                  <w14:solidFill>
                    <w14:schemeClr w14:val="tx1"/>
                  </w14:solidFill>
                </w14:textFill>
              </w:rPr>
            </w:pPr>
          </w:p>
        </w:tc>
      </w:tr>
    </w:tbl>
    <w:p w14:paraId="5E2CB6AA">
      <w:pPr>
        <w:ind w:firstLine="422" w:firstLineChars="200"/>
        <w:rPr>
          <w:rFonts w:ascii="宋体" w:hAnsi="宋体" w:cs="宋体"/>
          <w:b/>
          <w:bCs/>
          <w:color w:val="000000" w:themeColor="text1"/>
          <w:szCs w:val="21"/>
          <w14:textFill>
            <w14:solidFill>
              <w14:schemeClr w14:val="tx1"/>
            </w14:solidFill>
          </w14:textFill>
        </w:rPr>
      </w:pPr>
    </w:p>
    <w:p w14:paraId="13A81A97">
      <w:pPr>
        <w:ind w:firstLine="422" w:firstLineChars="200"/>
        <w:rPr>
          <w:rFonts w:ascii="宋体" w:hAnsi="宋体" w:cs="宋体"/>
          <w:b/>
          <w:bCs/>
          <w:color w:val="000000" w:themeColor="text1"/>
          <w:szCs w:val="21"/>
          <w14:textFill>
            <w14:solidFill>
              <w14:schemeClr w14:val="tx1"/>
            </w14:solidFill>
          </w14:textFill>
        </w:rPr>
      </w:pPr>
    </w:p>
    <w:p w14:paraId="125CA533">
      <w:pPr>
        <w:pStyle w:val="4"/>
        <w:rPr>
          <w:rFonts w:ascii="宋体" w:hAnsi="宋体" w:cs="宋体"/>
          <w:b/>
          <w:bCs/>
          <w:color w:val="000000" w:themeColor="text1"/>
          <w:szCs w:val="21"/>
          <w14:textFill>
            <w14:solidFill>
              <w14:schemeClr w14:val="tx1"/>
            </w14:solidFill>
          </w14:textFill>
        </w:rPr>
      </w:pPr>
    </w:p>
    <w:p w14:paraId="261B986A">
      <w:pPr>
        <w:pStyle w:val="4"/>
        <w:rPr>
          <w:rFonts w:ascii="宋体" w:hAnsi="宋体" w:cs="宋体"/>
          <w:b/>
          <w:bCs/>
          <w:color w:val="000000" w:themeColor="text1"/>
          <w:szCs w:val="21"/>
          <w14:textFill>
            <w14:solidFill>
              <w14:schemeClr w14:val="tx1"/>
            </w14:solidFill>
          </w14:textFill>
        </w:rPr>
      </w:pPr>
    </w:p>
    <w:p w14:paraId="39ED28A9">
      <w:pPr>
        <w:pStyle w:val="4"/>
        <w:rPr>
          <w:rFonts w:ascii="宋体" w:hAnsi="宋体" w:cs="宋体"/>
          <w:b/>
          <w:bCs/>
          <w:color w:val="000000" w:themeColor="text1"/>
          <w:szCs w:val="21"/>
          <w14:textFill>
            <w14:solidFill>
              <w14:schemeClr w14:val="tx1"/>
            </w14:solidFill>
          </w14:textFill>
        </w:rPr>
      </w:pPr>
    </w:p>
    <w:p w14:paraId="49DD50C2">
      <w:pPr>
        <w:pStyle w:val="4"/>
        <w:rPr>
          <w:rFonts w:ascii="宋体" w:hAnsi="宋体" w:cs="宋体"/>
          <w:b/>
          <w:bCs/>
          <w:color w:val="000000" w:themeColor="text1"/>
          <w:szCs w:val="21"/>
          <w14:textFill>
            <w14:solidFill>
              <w14:schemeClr w14:val="tx1"/>
            </w14:solidFill>
          </w14:textFill>
        </w:rPr>
      </w:pPr>
    </w:p>
    <w:p w14:paraId="441BFB58">
      <w:pPr>
        <w:pStyle w:val="4"/>
        <w:rPr>
          <w:rFonts w:ascii="宋体" w:hAnsi="宋体" w:cs="宋体"/>
          <w:b/>
          <w:bCs/>
          <w:color w:val="000000" w:themeColor="text1"/>
          <w:szCs w:val="21"/>
          <w14:textFill>
            <w14:solidFill>
              <w14:schemeClr w14:val="tx1"/>
            </w14:solidFill>
          </w14:textFill>
        </w:rPr>
      </w:pPr>
    </w:p>
    <w:p w14:paraId="3A06359D">
      <w:pPr>
        <w:pStyle w:val="4"/>
        <w:rPr>
          <w:rFonts w:ascii="宋体" w:hAnsi="宋体" w:cs="宋体"/>
          <w:b/>
          <w:bCs/>
          <w:color w:val="000000" w:themeColor="text1"/>
          <w:szCs w:val="21"/>
          <w14:textFill>
            <w14:solidFill>
              <w14:schemeClr w14:val="tx1"/>
            </w14:solidFill>
          </w14:textFill>
        </w:rPr>
      </w:pPr>
    </w:p>
    <w:p w14:paraId="3850ED2C">
      <w:pPr>
        <w:ind w:firstLine="422" w:firstLineChars="200"/>
        <w:rPr>
          <w:rFonts w:ascii="宋体" w:hAnsi="宋体" w:cs="宋体"/>
          <w:b/>
          <w:bCs/>
          <w:color w:val="000000" w:themeColor="text1"/>
          <w:szCs w:val="21"/>
          <w14:textFill>
            <w14:solidFill>
              <w14:schemeClr w14:val="tx1"/>
            </w14:solidFill>
          </w14:textFill>
        </w:rPr>
      </w:pPr>
    </w:p>
    <w:p w14:paraId="2043EC42">
      <w:pPr>
        <w:pStyle w:val="4"/>
        <w:rPr>
          <w:rFonts w:ascii="宋体" w:hAnsi="宋体" w:cs="宋体"/>
          <w:b/>
          <w:bCs/>
          <w:color w:val="000000" w:themeColor="text1"/>
          <w:szCs w:val="21"/>
          <w14:textFill>
            <w14:solidFill>
              <w14:schemeClr w14:val="tx1"/>
            </w14:solidFill>
          </w14:textFill>
        </w:rPr>
      </w:pPr>
    </w:p>
    <w:p w14:paraId="2098ADAF">
      <w:pPr>
        <w:rPr>
          <w:rFonts w:ascii="宋体" w:hAnsi="宋体" w:cs="宋体"/>
          <w:color w:val="000000" w:themeColor="text1"/>
          <w14:textFill>
            <w14:solidFill>
              <w14:schemeClr w14:val="tx1"/>
            </w14:solidFill>
          </w14:textFill>
        </w:rPr>
      </w:pPr>
      <w:bookmarkStart w:id="167" w:name="_Toc20576"/>
      <w:bookmarkStart w:id="168" w:name="_Toc9409"/>
      <w:bookmarkStart w:id="169" w:name="_Toc14016"/>
      <w:bookmarkStart w:id="170" w:name="_Toc26955"/>
      <w:bookmarkStart w:id="171" w:name="_Toc20093"/>
      <w:bookmarkStart w:id="172" w:name="_Toc21363"/>
      <w:bookmarkStart w:id="173" w:name="_Toc5691"/>
      <w:bookmarkStart w:id="174" w:name="_Toc792"/>
      <w:r>
        <w:rPr>
          <w:rFonts w:hint="eastAsia" w:ascii="宋体" w:hAnsi="宋体" w:cs="宋体"/>
          <w:color w:val="000000" w:themeColor="text1"/>
          <w14:textFill>
            <w14:solidFill>
              <w14:schemeClr w14:val="tx1"/>
            </w14:solidFill>
          </w14:textFill>
        </w:rPr>
        <w:br w:type="page"/>
      </w:r>
    </w:p>
    <w:p w14:paraId="1140D33B">
      <w:pPr>
        <w:pStyle w:val="3"/>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格式7                同类项目业绩表</w:t>
      </w:r>
      <w:bookmarkEnd w:id="167"/>
      <w:bookmarkEnd w:id="168"/>
      <w:bookmarkEnd w:id="169"/>
      <w:bookmarkEnd w:id="170"/>
      <w:bookmarkEnd w:id="171"/>
      <w:bookmarkEnd w:id="172"/>
      <w:bookmarkEnd w:id="173"/>
      <w:bookmarkEnd w:id="174"/>
    </w:p>
    <w:p w14:paraId="77ACD73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                    </w:t>
      </w:r>
    </w:p>
    <w:tbl>
      <w:tblPr>
        <w:tblStyle w:val="38"/>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7"/>
        <w:gridCol w:w="1344"/>
        <w:gridCol w:w="1344"/>
        <w:gridCol w:w="1727"/>
        <w:gridCol w:w="1344"/>
        <w:gridCol w:w="2119"/>
      </w:tblGrid>
      <w:tr w14:paraId="7D77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37" w:type="dxa"/>
            <w:vAlign w:val="center"/>
          </w:tcPr>
          <w:p w14:paraId="09804A9F">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1344" w:type="dxa"/>
            <w:vAlign w:val="center"/>
          </w:tcPr>
          <w:p w14:paraId="086AB317">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业主名称</w:t>
            </w:r>
          </w:p>
        </w:tc>
        <w:tc>
          <w:tcPr>
            <w:tcW w:w="1344" w:type="dxa"/>
            <w:vAlign w:val="center"/>
          </w:tcPr>
          <w:p w14:paraId="52A98803">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项目名称</w:t>
            </w:r>
          </w:p>
        </w:tc>
        <w:tc>
          <w:tcPr>
            <w:tcW w:w="1727" w:type="dxa"/>
            <w:vAlign w:val="center"/>
          </w:tcPr>
          <w:p w14:paraId="18A1746B">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合同总价</w:t>
            </w:r>
          </w:p>
        </w:tc>
        <w:tc>
          <w:tcPr>
            <w:tcW w:w="1344" w:type="dxa"/>
            <w:vAlign w:val="center"/>
          </w:tcPr>
          <w:p w14:paraId="6727702F">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完成时间</w:t>
            </w:r>
          </w:p>
        </w:tc>
        <w:tc>
          <w:tcPr>
            <w:tcW w:w="2119" w:type="dxa"/>
            <w:vAlign w:val="center"/>
          </w:tcPr>
          <w:p w14:paraId="3CC48997">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业主单位</w:t>
            </w:r>
          </w:p>
          <w:p w14:paraId="6DF4B420">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联系人及电话</w:t>
            </w:r>
          </w:p>
        </w:tc>
      </w:tr>
      <w:tr w14:paraId="50DC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237" w:type="dxa"/>
            <w:vAlign w:val="center"/>
          </w:tcPr>
          <w:p w14:paraId="78336FA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344" w:type="dxa"/>
            <w:vAlign w:val="center"/>
          </w:tcPr>
          <w:p w14:paraId="082B3CBA">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6312B581">
            <w:pPr>
              <w:spacing w:line="360" w:lineRule="auto"/>
              <w:jc w:val="center"/>
              <w:rPr>
                <w:rFonts w:ascii="宋体" w:hAnsi="宋体" w:cs="宋体"/>
                <w:color w:val="000000" w:themeColor="text1"/>
                <w:szCs w:val="21"/>
                <w14:textFill>
                  <w14:solidFill>
                    <w14:schemeClr w14:val="tx1"/>
                  </w14:solidFill>
                </w14:textFill>
              </w:rPr>
            </w:pPr>
          </w:p>
        </w:tc>
        <w:tc>
          <w:tcPr>
            <w:tcW w:w="1727" w:type="dxa"/>
            <w:vAlign w:val="center"/>
          </w:tcPr>
          <w:p w14:paraId="671EB37C">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0CB17C21">
            <w:pPr>
              <w:spacing w:line="360" w:lineRule="auto"/>
              <w:jc w:val="center"/>
              <w:rPr>
                <w:rFonts w:ascii="宋体" w:hAnsi="宋体" w:cs="宋体"/>
                <w:color w:val="000000" w:themeColor="text1"/>
                <w:szCs w:val="21"/>
                <w14:textFill>
                  <w14:solidFill>
                    <w14:schemeClr w14:val="tx1"/>
                  </w14:solidFill>
                </w14:textFill>
              </w:rPr>
            </w:pPr>
          </w:p>
        </w:tc>
        <w:tc>
          <w:tcPr>
            <w:tcW w:w="2119" w:type="dxa"/>
            <w:vAlign w:val="center"/>
          </w:tcPr>
          <w:p w14:paraId="203169F8">
            <w:pPr>
              <w:spacing w:line="360" w:lineRule="auto"/>
              <w:jc w:val="center"/>
              <w:rPr>
                <w:rFonts w:ascii="宋体" w:hAnsi="宋体" w:cs="宋体"/>
                <w:color w:val="000000" w:themeColor="text1"/>
                <w:szCs w:val="21"/>
                <w14:textFill>
                  <w14:solidFill>
                    <w14:schemeClr w14:val="tx1"/>
                  </w14:solidFill>
                </w14:textFill>
              </w:rPr>
            </w:pPr>
          </w:p>
        </w:tc>
      </w:tr>
      <w:tr w14:paraId="0BB2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1237" w:type="dxa"/>
            <w:vAlign w:val="center"/>
          </w:tcPr>
          <w:p w14:paraId="3CCCAAEB">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1344" w:type="dxa"/>
            <w:vAlign w:val="center"/>
          </w:tcPr>
          <w:p w14:paraId="35DFA9A1">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300D607F">
            <w:pPr>
              <w:spacing w:line="360" w:lineRule="auto"/>
              <w:jc w:val="center"/>
              <w:rPr>
                <w:rFonts w:ascii="宋体" w:hAnsi="宋体" w:cs="宋体"/>
                <w:color w:val="000000" w:themeColor="text1"/>
                <w:szCs w:val="21"/>
                <w14:textFill>
                  <w14:solidFill>
                    <w14:schemeClr w14:val="tx1"/>
                  </w14:solidFill>
                </w14:textFill>
              </w:rPr>
            </w:pPr>
          </w:p>
        </w:tc>
        <w:tc>
          <w:tcPr>
            <w:tcW w:w="1727" w:type="dxa"/>
            <w:vAlign w:val="center"/>
          </w:tcPr>
          <w:p w14:paraId="48A80766">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003BA6CF">
            <w:pPr>
              <w:spacing w:line="360" w:lineRule="auto"/>
              <w:jc w:val="center"/>
              <w:rPr>
                <w:rFonts w:ascii="宋体" w:hAnsi="宋体" w:cs="宋体"/>
                <w:color w:val="000000" w:themeColor="text1"/>
                <w:szCs w:val="21"/>
                <w14:textFill>
                  <w14:solidFill>
                    <w14:schemeClr w14:val="tx1"/>
                  </w14:solidFill>
                </w14:textFill>
              </w:rPr>
            </w:pPr>
          </w:p>
        </w:tc>
        <w:tc>
          <w:tcPr>
            <w:tcW w:w="2119" w:type="dxa"/>
            <w:vAlign w:val="center"/>
          </w:tcPr>
          <w:p w14:paraId="55E55678">
            <w:pPr>
              <w:spacing w:line="360" w:lineRule="auto"/>
              <w:jc w:val="center"/>
              <w:rPr>
                <w:rFonts w:ascii="宋体" w:hAnsi="宋体" w:cs="宋体"/>
                <w:color w:val="000000" w:themeColor="text1"/>
                <w:szCs w:val="21"/>
                <w14:textFill>
                  <w14:solidFill>
                    <w14:schemeClr w14:val="tx1"/>
                  </w14:solidFill>
                </w14:textFill>
              </w:rPr>
            </w:pPr>
          </w:p>
        </w:tc>
      </w:tr>
      <w:tr w14:paraId="260B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1237" w:type="dxa"/>
            <w:vAlign w:val="center"/>
          </w:tcPr>
          <w:p w14:paraId="29D429C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344" w:type="dxa"/>
            <w:vAlign w:val="center"/>
          </w:tcPr>
          <w:p w14:paraId="2F62EEBD">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47EB3DFC">
            <w:pPr>
              <w:spacing w:line="360" w:lineRule="auto"/>
              <w:jc w:val="center"/>
              <w:rPr>
                <w:rFonts w:ascii="宋体" w:hAnsi="宋体" w:cs="宋体"/>
                <w:color w:val="000000" w:themeColor="text1"/>
                <w:szCs w:val="21"/>
                <w14:textFill>
                  <w14:solidFill>
                    <w14:schemeClr w14:val="tx1"/>
                  </w14:solidFill>
                </w14:textFill>
              </w:rPr>
            </w:pPr>
          </w:p>
        </w:tc>
        <w:tc>
          <w:tcPr>
            <w:tcW w:w="1727" w:type="dxa"/>
            <w:vAlign w:val="center"/>
          </w:tcPr>
          <w:p w14:paraId="72358147">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4E9CBC03">
            <w:pPr>
              <w:spacing w:line="360" w:lineRule="auto"/>
              <w:jc w:val="center"/>
              <w:rPr>
                <w:rFonts w:ascii="宋体" w:hAnsi="宋体" w:cs="宋体"/>
                <w:color w:val="000000" w:themeColor="text1"/>
                <w:szCs w:val="21"/>
                <w14:textFill>
                  <w14:solidFill>
                    <w14:schemeClr w14:val="tx1"/>
                  </w14:solidFill>
                </w14:textFill>
              </w:rPr>
            </w:pPr>
          </w:p>
        </w:tc>
        <w:tc>
          <w:tcPr>
            <w:tcW w:w="2119" w:type="dxa"/>
            <w:vAlign w:val="center"/>
          </w:tcPr>
          <w:p w14:paraId="1F640506">
            <w:pPr>
              <w:spacing w:line="360" w:lineRule="auto"/>
              <w:jc w:val="center"/>
              <w:rPr>
                <w:rFonts w:ascii="宋体" w:hAnsi="宋体" w:cs="宋体"/>
                <w:color w:val="000000" w:themeColor="text1"/>
                <w:szCs w:val="21"/>
                <w14:textFill>
                  <w14:solidFill>
                    <w14:schemeClr w14:val="tx1"/>
                  </w14:solidFill>
                </w14:textFill>
              </w:rPr>
            </w:pPr>
          </w:p>
        </w:tc>
      </w:tr>
      <w:tr w14:paraId="1B53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37" w:type="dxa"/>
            <w:vAlign w:val="center"/>
          </w:tcPr>
          <w:p w14:paraId="777CAFA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小计</w:t>
            </w:r>
          </w:p>
        </w:tc>
        <w:tc>
          <w:tcPr>
            <w:tcW w:w="1344" w:type="dxa"/>
            <w:vAlign w:val="center"/>
          </w:tcPr>
          <w:p w14:paraId="405066A7">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7FD33E50">
            <w:pPr>
              <w:spacing w:line="360" w:lineRule="auto"/>
              <w:jc w:val="center"/>
              <w:rPr>
                <w:rFonts w:ascii="宋体" w:hAnsi="宋体" w:cs="宋体"/>
                <w:color w:val="000000" w:themeColor="text1"/>
                <w:szCs w:val="21"/>
                <w14:textFill>
                  <w14:solidFill>
                    <w14:schemeClr w14:val="tx1"/>
                  </w14:solidFill>
                </w14:textFill>
              </w:rPr>
            </w:pPr>
          </w:p>
        </w:tc>
        <w:tc>
          <w:tcPr>
            <w:tcW w:w="1727" w:type="dxa"/>
            <w:vAlign w:val="center"/>
          </w:tcPr>
          <w:p w14:paraId="29ACDA4F">
            <w:pPr>
              <w:spacing w:line="360" w:lineRule="auto"/>
              <w:jc w:val="center"/>
              <w:rPr>
                <w:rFonts w:ascii="宋体" w:hAnsi="宋体" w:cs="宋体"/>
                <w:color w:val="000000" w:themeColor="text1"/>
                <w:szCs w:val="21"/>
                <w14:textFill>
                  <w14:solidFill>
                    <w14:schemeClr w14:val="tx1"/>
                  </w14:solidFill>
                </w14:textFill>
              </w:rPr>
            </w:pPr>
          </w:p>
        </w:tc>
        <w:tc>
          <w:tcPr>
            <w:tcW w:w="1344" w:type="dxa"/>
            <w:vAlign w:val="center"/>
          </w:tcPr>
          <w:p w14:paraId="350FF232">
            <w:pPr>
              <w:spacing w:line="360" w:lineRule="auto"/>
              <w:jc w:val="center"/>
              <w:rPr>
                <w:rFonts w:ascii="宋体" w:hAnsi="宋体" w:cs="宋体"/>
                <w:color w:val="000000" w:themeColor="text1"/>
                <w:szCs w:val="21"/>
                <w14:textFill>
                  <w14:solidFill>
                    <w14:schemeClr w14:val="tx1"/>
                  </w14:solidFill>
                </w14:textFill>
              </w:rPr>
            </w:pPr>
          </w:p>
        </w:tc>
        <w:tc>
          <w:tcPr>
            <w:tcW w:w="2119" w:type="dxa"/>
            <w:vAlign w:val="center"/>
          </w:tcPr>
          <w:p w14:paraId="4F0B5D34">
            <w:pPr>
              <w:spacing w:line="360" w:lineRule="auto"/>
              <w:jc w:val="center"/>
              <w:rPr>
                <w:rFonts w:ascii="宋体" w:hAnsi="宋体" w:cs="宋体"/>
                <w:color w:val="000000" w:themeColor="text1"/>
                <w:szCs w:val="21"/>
                <w14:textFill>
                  <w14:solidFill>
                    <w14:schemeClr w14:val="tx1"/>
                  </w14:solidFill>
                </w14:textFill>
              </w:rPr>
            </w:pPr>
          </w:p>
        </w:tc>
      </w:tr>
    </w:tbl>
    <w:p w14:paraId="31CEA7A9">
      <w:pPr>
        <w:ind w:left="526" w:leftChars="150" w:hanging="211" w:hangingChars="1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注：报价人应提供相关证明附件。</w:t>
      </w:r>
    </w:p>
    <w:p w14:paraId="2B541DE8">
      <w:pPr>
        <w:pStyle w:val="21"/>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222B7D42">
      <w:pPr>
        <w:spacing w:line="48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法定代表或其授权代表（签字）：                       日    期：     年   月   日</w:t>
      </w:r>
    </w:p>
    <w:p w14:paraId="5C956769">
      <w:pPr>
        <w:spacing w:line="480" w:lineRule="auto"/>
        <w:rPr>
          <w:rFonts w:ascii="宋体" w:hAnsi="宋体" w:cs="宋体"/>
          <w:color w:val="000000" w:themeColor="text1"/>
          <w14:textFill>
            <w14:solidFill>
              <w14:schemeClr w14:val="tx1"/>
            </w14:solidFill>
          </w14:textFill>
        </w:rPr>
      </w:pPr>
    </w:p>
    <w:p w14:paraId="346BFE1B">
      <w:pPr>
        <w:pStyle w:val="3"/>
        <w:spacing w:before="0" w:after="120"/>
        <w:rPr>
          <w:rFonts w:cs="宋体"/>
          <w:color w:val="000000" w:themeColor="text1"/>
          <w14:textFill>
            <w14:solidFill>
              <w14:schemeClr w14:val="tx1"/>
            </w14:solidFill>
          </w14:textFill>
        </w:rPr>
      </w:pPr>
      <w:bookmarkStart w:id="175" w:name="_Toc4981"/>
      <w:bookmarkStart w:id="176" w:name="_Toc4394"/>
      <w:bookmarkStart w:id="177" w:name="_Toc27003"/>
      <w:bookmarkStart w:id="178" w:name="_Toc30834"/>
      <w:bookmarkStart w:id="179" w:name="_Toc21992"/>
      <w:bookmarkStart w:id="180" w:name="_Toc26839"/>
      <w:bookmarkStart w:id="181" w:name="_Toc29227"/>
      <w:bookmarkStart w:id="182" w:name="_Toc2084"/>
      <w:r>
        <w:rPr>
          <w:rFonts w:hint="eastAsia" w:cs="宋体"/>
          <w:color w:val="000000" w:themeColor="text1"/>
          <w14:textFill>
            <w14:solidFill>
              <w14:schemeClr w14:val="tx1"/>
            </w14:solidFill>
          </w14:textFill>
        </w:rPr>
        <w:t>格式8                与采购人需求差异表</w:t>
      </w:r>
      <w:bookmarkEnd w:id="175"/>
      <w:bookmarkEnd w:id="176"/>
      <w:bookmarkEnd w:id="177"/>
      <w:bookmarkEnd w:id="178"/>
      <w:bookmarkEnd w:id="179"/>
      <w:bookmarkEnd w:id="180"/>
      <w:bookmarkEnd w:id="181"/>
      <w:bookmarkEnd w:id="182"/>
      <w:r>
        <w:rPr>
          <w:rFonts w:hint="eastAsia" w:cs="宋体"/>
          <w:color w:val="000000" w:themeColor="text1"/>
          <w14:textFill>
            <w14:solidFill>
              <w14:schemeClr w14:val="tx1"/>
            </w14:solidFill>
          </w14:textFill>
        </w:rPr>
        <w:t xml:space="preserve"> </w:t>
      </w:r>
    </w:p>
    <w:p w14:paraId="7421C16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                      </w:t>
      </w:r>
    </w:p>
    <w:tbl>
      <w:tblPr>
        <w:tblStyle w:val="38"/>
        <w:tblW w:w="9302" w:type="dxa"/>
        <w:tblInd w:w="0" w:type="dxa"/>
        <w:tblLayout w:type="fixed"/>
        <w:tblCellMar>
          <w:top w:w="0" w:type="dxa"/>
          <w:left w:w="30" w:type="dxa"/>
          <w:bottom w:w="0" w:type="dxa"/>
          <w:right w:w="30" w:type="dxa"/>
        </w:tblCellMar>
      </w:tblPr>
      <w:tblGrid>
        <w:gridCol w:w="1500"/>
        <w:gridCol w:w="840"/>
        <w:gridCol w:w="3242"/>
        <w:gridCol w:w="1860"/>
        <w:gridCol w:w="1860"/>
      </w:tblGrid>
      <w:tr w14:paraId="5CCE70E3">
        <w:tblPrEx>
          <w:tblCellMar>
            <w:top w:w="0" w:type="dxa"/>
            <w:left w:w="30" w:type="dxa"/>
            <w:bottom w:w="0" w:type="dxa"/>
            <w:right w:w="30" w:type="dxa"/>
          </w:tblCellMar>
        </w:tblPrEx>
        <w:trPr>
          <w:cantSplit/>
          <w:trHeight w:val="283" w:hRule="atLeast"/>
        </w:trPr>
        <w:tc>
          <w:tcPr>
            <w:tcW w:w="1500" w:type="dxa"/>
            <w:vMerge w:val="restart"/>
            <w:tcBorders>
              <w:top w:val="single" w:color="auto" w:sz="12" w:space="0"/>
              <w:left w:val="single" w:color="auto" w:sz="12" w:space="0"/>
              <w:right w:val="single" w:color="auto" w:sz="6" w:space="0"/>
            </w:tcBorders>
            <w:vAlign w:val="center"/>
          </w:tcPr>
          <w:p w14:paraId="4C3E16DE">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4082" w:type="dxa"/>
            <w:gridSpan w:val="2"/>
            <w:tcBorders>
              <w:top w:val="single" w:color="auto" w:sz="12" w:space="0"/>
              <w:left w:val="single" w:color="auto" w:sz="6" w:space="0"/>
              <w:bottom w:val="single" w:color="auto" w:sz="6" w:space="0"/>
            </w:tcBorders>
            <w:vAlign w:val="center"/>
          </w:tcPr>
          <w:p w14:paraId="4AA98027">
            <w:pPr>
              <w:autoSpaceDE w:val="0"/>
              <w:autoSpaceDN w:val="0"/>
              <w:adjustRightIn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磋商文件要求</w:t>
            </w:r>
          </w:p>
        </w:tc>
        <w:tc>
          <w:tcPr>
            <w:tcW w:w="3720" w:type="dxa"/>
            <w:gridSpan w:val="2"/>
            <w:tcBorders>
              <w:top w:val="single" w:color="auto" w:sz="12" w:space="0"/>
              <w:left w:val="single" w:color="auto" w:sz="6" w:space="0"/>
              <w:bottom w:val="single" w:color="auto" w:sz="6" w:space="0"/>
              <w:right w:val="single" w:color="auto" w:sz="12" w:space="0"/>
            </w:tcBorders>
            <w:vAlign w:val="center"/>
          </w:tcPr>
          <w:p w14:paraId="3CB0A731">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报价文件内容</w:t>
            </w:r>
          </w:p>
        </w:tc>
      </w:tr>
      <w:tr w14:paraId="33C3A5C1">
        <w:tblPrEx>
          <w:tblCellMar>
            <w:top w:w="0" w:type="dxa"/>
            <w:left w:w="30" w:type="dxa"/>
            <w:bottom w:w="0" w:type="dxa"/>
            <w:right w:w="30" w:type="dxa"/>
          </w:tblCellMar>
        </w:tblPrEx>
        <w:trPr>
          <w:cantSplit/>
          <w:trHeight w:val="146" w:hRule="atLeast"/>
        </w:trPr>
        <w:tc>
          <w:tcPr>
            <w:tcW w:w="1500" w:type="dxa"/>
            <w:vMerge w:val="continue"/>
            <w:tcBorders>
              <w:left w:val="single" w:color="auto" w:sz="12" w:space="0"/>
              <w:bottom w:val="single" w:color="auto" w:sz="6" w:space="0"/>
              <w:right w:val="single" w:color="auto" w:sz="6" w:space="0"/>
            </w:tcBorders>
            <w:vAlign w:val="center"/>
          </w:tcPr>
          <w:p w14:paraId="6E941454">
            <w:pPr>
              <w:autoSpaceDE w:val="0"/>
              <w:autoSpaceDN w:val="0"/>
              <w:adjustRightInd w:val="0"/>
              <w:rPr>
                <w:rFonts w:ascii="宋体" w:hAnsi="宋体" w:cs="宋体"/>
                <w:color w:val="000000" w:themeColor="text1"/>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4DB3FBB8">
            <w:pPr>
              <w:autoSpaceDE w:val="0"/>
              <w:autoSpaceDN w:val="0"/>
              <w:adjustRightIn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原条目</w:t>
            </w:r>
          </w:p>
        </w:tc>
        <w:tc>
          <w:tcPr>
            <w:tcW w:w="3242" w:type="dxa"/>
            <w:tcBorders>
              <w:top w:val="single" w:color="auto" w:sz="6" w:space="0"/>
              <w:left w:val="single" w:color="auto" w:sz="6" w:space="0"/>
              <w:bottom w:val="single" w:color="auto" w:sz="6" w:space="0"/>
              <w:right w:val="single" w:color="auto" w:sz="6" w:space="0"/>
            </w:tcBorders>
            <w:vAlign w:val="center"/>
          </w:tcPr>
          <w:p w14:paraId="4ABACEBA">
            <w:pPr>
              <w:autoSpaceDE w:val="0"/>
              <w:autoSpaceDN w:val="0"/>
              <w:adjustRightIn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简要内容</w:t>
            </w:r>
          </w:p>
        </w:tc>
        <w:tc>
          <w:tcPr>
            <w:tcW w:w="1860" w:type="dxa"/>
            <w:tcBorders>
              <w:top w:val="single" w:color="auto" w:sz="6" w:space="0"/>
              <w:left w:val="single" w:color="auto" w:sz="6" w:space="0"/>
              <w:bottom w:val="single" w:color="auto" w:sz="6" w:space="0"/>
              <w:right w:val="single" w:color="auto" w:sz="6" w:space="0"/>
            </w:tcBorders>
            <w:vAlign w:val="center"/>
          </w:tcPr>
          <w:p w14:paraId="55038801">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1860" w:type="dxa"/>
            <w:tcBorders>
              <w:top w:val="single" w:color="auto" w:sz="6" w:space="0"/>
              <w:left w:val="single" w:color="auto" w:sz="6" w:space="0"/>
              <w:bottom w:val="single" w:color="auto" w:sz="6" w:space="0"/>
              <w:right w:val="single" w:color="auto" w:sz="12" w:space="0"/>
            </w:tcBorders>
            <w:vAlign w:val="center"/>
          </w:tcPr>
          <w:p w14:paraId="2145519C">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偏离说明</w:t>
            </w:r>
          </w:p>
        </w:tc>
      </w:tr>
      <w:tr w14:paraId="0327B265">
        <w:tblPrEx>
          <w:tblCellMar>
            <w:top w:w="0" w:type="dxa"/>
            <w:left w:w="30" w:type="dxa"/>
            <w:bottom w:w="0" w:type="dxa"/>
            <w:right w:w="30" w:type="dxa"/>
          </w:tblCellMar>
        </w:tblPrEx>
        <w:trPr>
          <w:cantSplit/>
          <w:trHeight w:val="326" w:hRule="exact"/>
        </w:trPr>
        <w:tc>
          <w:tcPr>
            <w:tcW w:w="1500" w:type="dxa"/>
            <w:tcBorders>
              <w:top w:val="single" w:color="auto" w:sz="6" w:space="0"/>
              <w:left w:val="single" w:color="auto" w:sz="12" w:space="0"/>
              <w:bottom w:val="single" w:color="auto" w:sz="6" w:space="0"/>
              <w:right w:val="single" w:color="auto" w:sz="6" w:space="0"/>
            </w:tcBorders>
            <w:vAlign w:val="center"/>
          </w:tcPr>
          <w:p w14:paraId="5421003E">
            <w:pPr>
              <w:autoSpaceDE w:val="0"/>
              <w:autoSpaceDN w:val="0"/>
              <w:adjustRightInd w:val="0"/>
              <w:rPr>
                <w:rFonts w:ascii="宋体" w:hAnsi="宋体" w:cs="宋体"/>
                <w:color w:val="000000" w:themeColor="text1"/>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57BD110E">
            <w:pPr>
              <w:autoSpaceDE w:val="0"/>
              <w:autoSpaceDN w:val="0"/>
              <w:adjustRightIn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w:t>
            </w:r>
          </w:p>
        </w:tc>
        <w:tc>
          <w:tcPr>
            <w:tcW w:w="3242" w:type="dxa"/>
            <w:tcBorders>
              <w:top w:val="single" w:color="auto" w:sz="6" w:space="0"/>
              <w:left w:val="single" w:color="auto" w:sz="6" w:space="0"/>
              <w:bottom w:val="single" w:color="auto" w:sz="6" w:space="0"/>
              <w:right w:val="single" w:color="auto" w:sz="6" w:space="0"/>
            </w:tcBorders>
            <w:vAlign w:val="center"/>
          </w:tcPr>
          <w:p w14:paraId="6166D6BB">
            <w:pPr>
              <w:autoSpaceDE w:val="0"/>
              <w:autoSpaceDN w:val="0"/>
              <w:adjustRightIn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60" w:type="dxa"/>
            <w:tcBorders>
              <w:top w:val="single" w:color="auto" w:sz="6" w:space="0"/>
              <w:left w:val="single" w:color="auto" w:sz="6" w:space="0"/>
              <w:bottom w:val="single" w:color="auto" w:sz="6" w:space="0"/>
              <w:right w:val="single" w:color="auto" w:sz="6" w:space="0"/>
            </w:tcBorders>
            <w:vAlign w:val="center"/>
          </w:tcPr>
          <w:p w14:paraId="20712356">
            <w:pPr>
              <w:autoSpaceDE w:val="0"/>
              <w:autoSpaceDN w:val="0"/>
              <w:adjustRightInd w:val="0"/>
              <w:rPr>
                <w:rFonts w:ascii="宋体" w:hAnsi="宋体" w:cs="宋体"/>
                <w:color w:val="000000" w:themeColor="text1"/>
                <w:szCs w:val="21"/>
                <w14:textFill>
                  <w14:solidFill>
                    <w14:schemeClr w14:val="tx1"/>
                  </w14:solidFill>
                </w14:textFill>
              </w:rPr>
            </w:pPr>
          </w:p>
        </w:tc>
        <w:tc>
          <w:tcPr>
            <w:tcW w:w="1860" w:type="dxa"/>
            <w:tcBorders>
              <w:top w:val="single" w:color="auto" w:sz="6" w:space="0"/>
              <w:left w:val="single" w:color="auto" w:sz="6" w:space="0"/>
              <w:bottom w:val="single" w:color="auto" w:sz="6" w:space="0"/>
              <w:right w:val="single" w:color="auto" w:sz="12" w:space="0"/>
            </w:tcBorders>
            <w:vAlign w:val="center"/>
          </w:tcPr>
          <w:p w14:paraId="44F919EA">
            <w:pPr>
              <w:autoSpaceDE w:val="0"/>
              <w:autoSpaceDN w:val="0"/>
              <w:adjustRightInd w:val="0"/>
              <w:rPr>
                <w:rFonts w:ascii="宋体" w:hAnsi="宋体" w:cs="宋体"/>
                <w:color w:val="000000" w:themeColor="text1"/>
                <w:szCs w:val="21"/>
                <w14:textFill>
                  <w14:solidFill>
                    <w14:schemeClr w14:val="tx1"/>
                  </w14:solidFill>
                </w14:textFill>
              </w:rPr>
            </w:pPr>
          </w:p>
        </w:tc>
      </w:tr>
      <w:tr w14:paraId="21D48301">
        <w:tblPrEx>
          <w:tblCellMar>
            <w:top w:w="0" w:type="dxa"/>
            <w:left w:w="30" w:type="dxa"/>
            <w:bottom w:w="0" w:type="dxa"/>
            <w:right w:w="30" w:type="dxa"/>
          </w:tblCellMar>
        </w:tblPrEx>
        <w:trPr>
          <w:cantSplit/>
          <w:trHeight w:val="302" w:hRule="exact"/>
        </w:trPr>
        <w:tc>
          <w:tcPr>
            <w:tcW w:w="1500" w:type="dxa"/>
            <w:tcBorders>
              <w:top w:val="single" w:color="auto" w:sz="6" w:space="0"/>
              <w:left w:val="single" w:color="auto" w:sz="12" w:space="0"/>
              <w:bottom w:val="single" w:color="auto" w:sz="6" w:space="0"/>
              <w:right w:val="single" w:color="auto" w:sz="6" w:space="0"/>
            </w:tcBorders>
            <w:vAlign w:val="center"/>
          </w:tcPr>
          <w:p w14:paraId="55B36FF8">
            <w:pPr>
              <w:autoSpaceDE w:val="0"/>
              <w:autoSpaceDN w:val="0"/>
              <w:adjustRightInd w:val="0"/>
              <w:rPr>
                <w:rFonts w:ascii="宋体" w:hAnsi="宋体" w:cs="宋体"/>
                <w:color w:val="000000" w:themeColor="text1"/>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10D8162E">
            <w:pPr>
              <w:autoSpaceDE w:val="0"/>
              <w:autoSpaceDN w:val="0"/>
              <w:adjustRightIn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w:t>
            </w:r>
          </w:p>
        </w:tc>
        <w:tc>
          <w:tcPr>
            <w:tcW w:w="3242" w:type="dxa"/>
            <w:tcBorders>
              <w:top w:val="single" w:color="auto" w:sz="6" w:space="0"/>
              <w:left w:val="single" w:color="auto" w:sz="6" w:space="0"/>
              <w:bottom w:val="single" w:color="auto" w:sz="6" w:space="0"/>
              <w:right w:val="single" w:color="auto" w:sz="6" w:space="0"/>
            </w:tcBorders>
            <w:vAlign w:val="center"/>
          </w:tcPr>
          <w:p w14:paraId="36776106">
            <w:pPr>
              <w:autoSpaceDE w:val="0"/>
              <w:autoSpaceDN w:val="0"/>
              <w:adjustRightIn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60" w:type="dxa"/>
            <w:tcBorders>
              <w:top w:val="single" w:color="auto" w:sz="6" w:space="0"/>
              <w:left w:val="single" w:color="auto" w:sz="6" w:space="0"/>
              <w:bottom w:val="single" w:color="auto" w:sz="6" w:space="0"/>
              <w:right w:val="single" w:color="auto" w:sz="6" w:space="0"/>
            </w:tcBorders>
            <w:vAlign w:val="center"/>
          </w:tcPr>
          <w:p w14:paraId="21E6B168">
            <w:pPr>
              <w:autoSpaceDE w:val="0"/>
              <w:autoSpaceDN w:val="0"/>
              <w:adjustRightInd w:val="0"/>
              <w:rPr>
                <w:rFonts w:ascii="宋体" w:hAnsi="宋体" w:cs="宋体"/>
                <w:color w:val="000000" w:themeColor="text1"/>
                <w:szCs w:val="21"/>
                <w14:textFill>
                  <w14:solidFill>
                    <w14:schemeClr w14:val="tx1"/>
                  </w14:solidFill>
                </w14:textFill>
              </w:rPr>
            </w:pPr>
          </w:p>
        </w:tc>
        <w:tc>
          <w:tcPr>
            <w:tcW w:w="1860" w:type="dxa"/>
            <w:tcBorders>
              <w:top w:val="single" w:color="auto" w:sz="6" w:space="0"/>
              <w:left w:val="single" w:color="auto" w:sz="6" w:space="0"/>
              <w:bottom w:val="single" w:color="auto" w:sz="6" w:space="0"/>
              <w:right w:val="single" w:color="auto" w:sz="12" w:space="0"/>
            </w:tcBorders>
            <w:vAlign w:val="center"/>
          </w:tcPr>
          <w:p w14:paraId="70E25A0A">
            <w:pPr>
              <w:autoSpaceDE w:val="0"/>
              <w:autoSpaceDN w:val="0"/>
              <w:adjustRightInd w:val="0"/>
              <w:rPr>
                <w:rFonts w:ascii="宋体" w:hAnsi="宋体" w:cs="宋体"/>
                <w:color w:val="000000" w:themeColor="text1"/>
                <w:szCs w:val="21"/>
                <w14:textFill>
                  <w14:solidFill>
                    <w14:schemeClr w14:val="tx1"/>
                  </w14:solidFill>
                </w14:textFill>
              </w:rPr>
            </w:pPr>
          </w:p>
        </w:tc>
      </w:tr>
      <w:tr w14:paraId="60909EFF">
        <w:tblPrEx>
          <w:tblCellMar>
            <w:top w:w="0" w:type="dxa"/>
            <w:left w:w="30" w:type="dxa"/>
            <w:bottom w:w="0" w:type="dxa"/>
            <w:right w:w="30" w:type="dxa"/>
          </w:tblCellMar>
        </w:tblPrEx>
        <w:trPr>
          <w:cantSplit/>
          <w:trHeight w:val="306" w:hRule="exact"/>
        </w:trPr>
        <w:tc>
          <w:tcPr>
            <w:tcW w:w="1500" w:type="dxa"/>
            <w:tcBorders>
              <w:top w:val="single" w:color="auto" w:sz="6" w:space="0"/>
              <w:left w:val="single" w:color="auto" w:sz="12" w:space="0"/>
              <w:bottom w:val="single" w:color="auto" w:sz="6" w:space="0"/>
              <w:right w:val="single" w:color="auto" w:sz="6" w:space="0"/>
            </w:tcBorders>
            <w:vAlign w:val="center"/>
          </w:tcPr>
          <w:p w14:paraId="782B1078">
            <w:pPr>
              <w:autoSpaceDE w:val="0"/>
              <w:autoSpaceDN w:val="0"/>
              <w:adjustRightInd w:val="0"/>
              <w:rPr>
                <w:rFonts w:ascii="宋体" w:hAnsi="宋体" w:cs="宋体"/>
                <w:color w:val="000000" w:themeColor="text1"/>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ACA465A">
            <w:pPr>
              <w:autoSpaceDE w:val="0"/>
              <w:autoSpaceDN w:val="0"/>
              <w:adjustRightIn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w:t>
            </w:r>
          </w:p>
        </w:tc>
        <w:tc>
          <w:tcPr>
            <w:tcW w:w="3242" w:type="dxa"/>
            <w:tcBorders>
              <w:top w:val="single" w:color="auto" w:sz="6" w:space="0"/>
              <w:left w:val="single" w:color="auto" w:sz="6" w:space="0"/>
              <w:bottom w:val="single" w:color="auto" w:sz="6" w:space="0"/>
              <w:right w:val="single" w:color="auto" w:sz="6" w:space="0"/>
            </w:tcBorders>
            <w:vAlign w:val="center"/>
          </w:tcPr>
          <w:p w14:paraId="7C3984C4">
            <w:pPr>
              <w:spacing w:line="360" w:lineRule="auto"/>
              <w:outlineLvl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60" w:type="dxa"/>
            <w:tcBorders>
              <w:top w:val="single" w:color="auto" w:sz="6" w:space="0"/>
              <w:left w:val="single" w:color="auto" w:sz="6" w:space="0"/>
              <w:bottom w:val="single" w:color="auto" w:sz="6" w:space="0"/>
              <w:right w:val="single" w:color="auto" w:sz="6" w:space="0"/>
            </w:tcBorders>
            <w:vAlign w:val="center"/>
          </w:tcPr>
          <w:p w14:paraId="187D5D2F">
            <w:pPr>
              <w:autoSpaceDE w:val="0"/>
              <w:autoSpaceDN w:val="0"/>
              <w:adjustRightInd w:val="0"/>
              <w:rPr>
                <w:rFonts w:ascii="宋体" w:hAnsi="宋体" w:cs="宋体"/>
                <w:color w:val="000000" w:themeColor="text1"/>
                <w:szCs w:val="21"/>
                <w14:textFill>
                  <w14:solidFill>
                    <w14:schemeClr w14:val="tx1"/>
                  </w14:solidFill>
                </w14:textFill>
              </w:rPr>
            </w:pPr>
          </w:p>
        </w:tc>
        <w:tc>
          <w:tcPr>
            <w:tcW w:w="1860" w:type="dxa"/>
            <w:tcBorders>
              <w:top w:val="single" w:color="auto" w:sz="6" w:space="0"/>
              <w:left w:val="single" w:color="auto" w:sz="6" w:space="0"/>
              <w:bottom w:val="single" w:color="auto" w:sz="6" w:space="0"/>
              <w:right w:val="single" w:color="auto" w:sz="12" w:space="0"/>
            </w:tcBorders>
            <w:vAlign w:val="center"/>
          </w:tcPr>
          <w:p w14:paraId="61126864">
            <w:pPr>
              <w:autoSpaceDE w:val="0"/>
              <w:autoSpaceDN w:val="0"/>
              <w:adjustRightInd w:val="0"/>
              <w:rPr>
                <w:rFonts w:ascii="宋体" w:hAnsi="宋体" w:cs="宋体"/>
                <w:color w:val="000000" w:themeColor="text1"/>
                <w:szCs w:val="21"/>
                <w14:textFill>
                  <w14:solidFill>
                    <w14:schemeClr w14:val="tx1"/>
                  </w14:solidFill>
                </w14:textFill>
              </w:rPr>
            </w:pPr>
          </w:p>
        </w:tc>
      </w:tr>
    </w:tbl>
    <w:p w14:paraId="7D6971DB">
      <w:pPr>
        <w:spacing w:line="360" w:lineRule="auto"/>
        <w:ind w:left="527" w:leftChars="50" w:hanging="422" w:hangingChars="200"/>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报价人应根据其提供的货物和服务，逐条对照磋商文件《采购人需求》的内容要求填写，有差异的，不论是技术或商务上，均须在此表中列明两者的简要内容，以便查对和评审。除“偏离说明”栏所列的内容外，其余按《采购人需求》的内容执行。本表提供空表的视为完全响应。</w:t>
      </w:r>
    </w:p>
    <w:p w14:paraId="55F993F3">
      <w:pPr>
        <w:pStyle w:val="21"/>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37991343">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法定代表或其授权代表（签字）：                       日    期：     年   月   日</w:t>
      </w:r>
    </w:p>
    <w:p w14:paraId="134C4270">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35C3BE1">
      <w:pPr>
        <w:pStyle w:val="3"/>
        <w:spacing w:before="0" w:after="120"/>
        <w:rPr>
          <w:rFonts w:cs="宋体"/>
          <w:color w:val="000000" w:themeColor="text1"/>
          <w14:textFill>
            <w14:solidFill>
              <w14:schemeClr w14:val="tx1"/>
            </w14:solidFill>
          </w14:textFill>
        </w:rPr>
      </w:pPr>
      <w:bookmarkStart w:id="183" w:name="_Toc7508"/>
      <w:bookmarkStart w:id="184" w:name="_Toc8575"/>
      <w:bookmarkStart w:id="185" w:name="_Toc22074"/>
      <w:bookmarkStart w:id="186" w:name="_Toc23834"/>
      <w:bookmarkStart w:id="187" w:name="_Toc27516"/>
      <w:bookmarkStart w:id="188" w:name="_Toc13974"/>
      <w:bookmarkStart w:id="189" w:name="_Toc14512"/>
      <w:bookmarkStart w:id="190" w:name="_Toc16348"/>
      <w:r>
        <w:rPr>
          <w:rFonts w:hint="eastAsia" w:cs="宋体"/>
          <w:color w:val="000000" w:themeColor="text1"/>
          <w14:textFill>
            <w14:solidFill>
              <w14:schemeClr w14:val="tx1"/>
            </w14:solidFill>
          </w14:textFill>
        </w:rPr>
        <w:t>格式9                 合同条款响应一览表</w:t>
      </w:r>
      <w:bookmarkEnd w:id="183"/>
      <w:bookmarkEnd w:id="184"/>
      <w:bookmarkEnd w:id="185"/>
      <w:bookmarkEnd w:id="186"/>
      <w:bookmarkEnd w:id="187"/>
      <w:bookmarkEnd w:id="188"/>
      <w:bookmarkEnd w:id="189"/>
      <w:bookmarkEnd w:id="190"/>
    </w:p>
    <w:p w14:paraId="739E2583">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                       </w:t>
      </w:r>
    </w:p>
    <w:tbl>
      <w:tblPr>
        <w:tblStyle w:val="38"/>
        <w:tblW w:w="9301" w:type="dxa"/>
        <w:jc w:val="center"/>
        <w:tblLayout w:type="fixed"/>
        <w:tblCellMar>
          <w:top w:w="0" w:type="dxa"/>
          <w:left w:w="30" w:type="dxa"/>
          <w:bottom w:w="0" w:type="dxa"/>
          <w:right w:w="30" w:type="dxa"/>
        </w:tblCellMar>
      </w:tblPr>
      <w:tblGrid>
        <w:gridCol w:w="1828"/>
        <w:gridCol w:w="2919"/>
        <w:gridCol w:w="1762"/>
        <w:gridCol w:w="2792"/>
      </w:tblGrid>
      <w:tr w14:paraId="1249DABA">
        <w:tblPrEx>
          <w:tblCellMar>
            <w:top w:w="0" w:type="dxa"/>
            <w:left w:w="30" w:type="dxa"/>
            <w:bottom w:w="0" w:type="dxa"/>
            <w:right w:w="30" w:type="dxa"/>
          </w:tblCellMar>
        </w:tblPrEx>
        <w:trPr>
          <w:cantSplit/>
          <w:trHeight w:val="340" w:hRule="atLeast"/>
          <w:jc w:val="center"/>
        </w:trPr>
        <w:tc>
          <w:tcPr>
            <w:tcW w:w="1828" w:type="dxa"/>
            <w:vMerge w:val="restart"/>
            <w:tcBorders>
              <w:top w:val="single" w:color="auto" w:sz="6" w:space="0"/>
              <w:left w:val="single" w:color="auto" w:sz="6" w:space="0"/>
              <w:right w:val="single" w:color="auto" w:sz="6" w:space="0"/>
            </w:tcBorders>
            <w:vAlign w:val="center"/>
          </w:tcPr>
          <w:p w14:paraId="61B3496E">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919" w:type="dxa"/>
            <w:tcBorders>
              <w:top w:val="single" w:color="auto" w:sz="6" w:space="0"/>
              <w:left w:val="single" w:color="auto" w:sz="4" w:space="0"/>
              <w:bottom w:val="single" w:color="auto" w:sz="4" w:space="0"/>
            </w:tcBorders>
            <w:vAlign w:val="center"/>
          </w:tcPr>
          <w:p w14:paraId="23A1BA4A">
            <w:pPr>
              <w:autoSpaceDE w:val="0"/>
              <w:autoSpaceDN w:val="0"/>
              <w:adjustRightInd w:val="0"/>
              <w:spacing w:line="360" w:lineRule="auto"/>
              <w:ind w:left="-2" w:leftChars="-1"/>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磋商文件合同要求</w:t>
            </w:r>
          </w:p>
        </w:tc>
        <w:tc>
          <w:tcPr>
            <w:tcW w:w="4554" w:type="dxa"/>
            <w:gridSpan w:val="2"/>
            <w:tcBorders>
              <w:top w:val="single" w:color="auto" w:sz="6" w:space="0"/>
              <w:left w:val="single" w:color="auto" w:sz="6" w:space="0"/>
              <w:bottom w:val="single" w:color="auto" w:sz="6" w:space="0"/>
              <w:right w:val="single" w:color="auto" w:sz="6" w:space="0"/>
            </w:tcBorders>
            <w:vAlign w:val="center"/>
          </w:tcPr>
          <w:p w14:paraId="145E1EEE">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报价文件内容</w:t>
            </w:r>
          </w:p>
        </w:tc>
      </w:tr>
      <w:tr w14:paraId="45A0C15B">
        <w:tblPrEx>
          <w:tblCellMar>
            <w:top w:w="0" w:type="dxa"/>
            <w:left w:w="30" w:type="dxa"/>
            <w:bottom w:w="0" w:type="dxa"/>
            <w:right w:w="30" w:type="dxa"/>
          </w:tblCellMar>
        </w:tblPrEx>
        <w:trPr>
          <w:cantSplit/>
          <w:trHeight w:val="340" w:hRule="atLeast"/>
          <w:jc w:val="center"/>
        </w:trPr>
        <w:tc>
          <w:tcPr>
            <w:tcW w:w="1828" w:type="dxa"/>
            <w:vMerge w:val="continue"/>
            <w:tcBorders>
              <w:left w:val="single" w:color="auto" w:sz="6" w:space="0"/>
              <w:bottom w:val="single" w:color="auto" w:sz="6" w:space="0"/>
              <w:right w:val="single" w:color="auto" w:sz="6" w:space="0"/>
            </w:tcBorders>
            <w:vAlign w:val="center"/>
          </w:tcPr>
          <w:p w14:paraId="32C579DD">
            <w:pPr>
              <w:autoSpaceDE w:val="0"/>
              <w:autoSpaceDN w:val="0"/>
              <w:adjustRightInd w:val="0"/>
              <w:jc w:val="center"/>
              <w:rPr>
                <w:rFonts w:ascii="宋体" w:hAnsi="宋体" w:cs="宋体"/>
                <w:color w:val="000000" w:themeColor="text1"/>
                <w:szCs w:val="21"/>
                <w14:textFill>
                  <w14:solidFill>
                    <w14:schemeClr w14:val="tx1"/>
                  </w14:solidFill>
                </w14:textFill>
              </w:rPr>
            </w:pPr>
          </w:p>
        </w:tc>
        <w:tc>
          <w:tcPr>
            <w:tcW w:w="2919" w:type="dxa"/>
            <w:tcBorders>
              <w:top w:val="single" w:color="auto" w:sz="6" w:space="0"/>
              <w:left w:val="single" w:color="auto" w:sz="4" w:space="0"/>
              <w:bottom w:val="single" w:color="auto" w:sz="6" w:space="0"/>
              <w:right w:val="single" w:color="auto" w:sz="6" w:space="0"/>
            </w:tcBorders>
            <w:vAlign w:val="center"/>
          </w:tcPr>
          <w:p w14:paraId="262D83BA">
            <w:pPr>
              <w:autoSpaceDE w:val="0"/>
              <w:autoSpaceDN w:val="0"/>
              <w:adjustRightIn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条款号</w:t>
            </w:r>
          </w:p>
        </w:tc>
        <w:tc>
          <w:tcPr>
            <w:tcW w:w="1762" w:type="dxa"/>
            <w:tcBorders>
              <w:top w:val="single" w:color="auto" w:sz="6" w:space="0"/>
              <w:left w:val="single" w:color="auto" w:sz="6" w:space="0"/>
              <w:bottom w:val="single" w:color="auto" w:sz="6" w:space="0"/>
              <w:right w:val="single" w:color="auto" w:sz="6" w:space="0"/>
            </w:tcBorders>
            <w:vAlign w:val="center"/>
          </w:tcPr>
          <w:p w14:paraId="19DE3734">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792" w:type="dxa"/>
            <w:tcBorders>
              <w:top w:val="single" w:color="auto" w:sz="6" w:space="0"/>
              <w:left w:val="single" w:color="auto" w:sz="6" w:space="0"/>
              <w:bottom w:val="single" w:color="auto" w:sz="6" w:space="0"/>
              <w:right w:val="single" w:color="auto" w:sz="6" w:space="0"/>
            </w:tcBorders>
            <w:vAlign w:val="center"/>
          </w:tcPr>
          <w:p w14:paraId="5688D995">
            <w:pPr>
              <w:autoSpaceDE w:val="0"/>
              <w:autoSpaceDN w:val="0"/>
              <w:adjustRightIn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差异说明</w:t>
            </w:r>
          </w:p>
        </w:tc>
      </w:tr>
      <w:tr w14:paraId="1911B903">
        <w:tblPrEx>
          <w:tblCellMar>
            <w:top w:w="0" w:type="dxa"/>
            <w:left w:w="30" w:type="dxa"/>
            <w:bottom w:w="0" w:type="dxa"/>
            <w:right w:w="30" w:type="dxa"/>
          </w:tblCellMar>
        </w:tblPrEx>
        <w:trPr>
          <w:cantSplit/>
          <w:trHeight w:val="392" w:hRule="exact"/>
          <w:jc w:val="center"/>
        </w:trPr>
        <w:tc>
          <w:tcPr>
            <w:tcW w:w="1828" w:type="dxa"/>
            <w:tcBorders>
              <w:top w:val="single" w:color="auto" w:sz="6" w:space="0"/>
              <w:left w:val="single" w:color="auto" w:sz="6" w:space="0"/>
              <w:bottom w:val="single" w:color="auto" w:sz="6" w:space="0"/>
              <w:right w:val="single" w:color="auto" w:sz="6" w:space="0"/>
            </w:tcBorders>
            <w:vAlign w:val="center"/>
          </w:tcPr>
          <w:p w14:paraId="7F1C67D7">
            <w:pPr>
              <w:widowControl/>
              <w:autoSpaceDE w:val="0"/>
              <w:autoSpaceDN w:val="0"/>
              <w:adjustRightInd w:val="0"/>
              <w:rPr>
                <w:rFonts w:ascii="宋体" w:hAnsi="宋体" w:cs="宋体"/>
                <w:color w:val="000000" w:themeColor="text1"/>
                <w:szCs w:val="21"/>
                <w14:textFill>
                  <w14:solidFill>
                    <w14:schemeClr w14:val="tx1"/>
                  </w14:solidFill>
                </w14:textFill>
              </w:rPr>
            </w:pPr>
          </w:p>
        </w:tc>
        <w:tc>
          <w:tcPr>
            <w:tcW w:w="2919" w:type="dxa"/>
            <w:tcBorders>
              <w:top w:val="single" w:color="auto" w:sz="6" w:space="0"/>
              <w:left w:val="single" w:color="auto" w:sz="6" w:space="0"/>
              <w:bottom w:val="single" w:color="auto" w:sz="6" w:space="0"/>
              <w:right w:val="single" w:color="auto" w:sz="6" w:space="0"/>
            </w:tcBorders>
            <w:vAlign w:val="center"/>
          </w:tcPr>
          <w:p w14:paraId="58FEFADC">
            <w:pPr>
              <w:spacing w:line="360" w:lineRule="auto"/>
              <w:rPr>
                <w:rFonts w:ascii="宋体" w:hAnsi="宋体" w:cs="宋体"/>
                <w:color w:val="000000" w:themeColor="text1"/>
                <w:szCs w:val="21"/>
                <w14:textFill>
                  <w14:solidFill>
                    <w14:schemeClr w14:val="tx1"/>
                  </w14:solidFill>
                </w14:textFill>
              </w:rPr>
            </w:pPr>
          </w:p>
        </w:tc>
        <w:tc>
          <w:tcPr>
            <w:tcW w:w="1762" w:type="dxa"/>
            <w:tcBorders>
              <w:top w:val="single" w:color="auto" w:sz="6" w:space="0"/>
              <w:left w:val="single" w:color="auto" w:sz="6" w:space="0"/>
              <w:bottom w:val="single" w:color="auto" w:sz="6" w:space="0"/>
              <w:right w:val="single" w:color="auto" w:sz="6" w:space="0"/>
            </w:tcBorders>
            <w:vAlign w:val="center"/>
          </w:tcPr>
          <w:p w14:paraId="33F05F25">
            <w:pPr>
              <w:autoSpaceDE w:val="0"/>
              <w:autoSpaceDN w:val="0"/>
              <w:adjustRightInd w:val="0"/>
              <w:jc w:val="right"/>
              <w:rPr>
                <w:rFonts w:ascii="宋体" w:hAnsi="宋体" w:cs="宋体"/>
                <w:color w:val="000000" w:themeColor="text1"/>
                <w:szCs w:val="21"/>
                <w14:textFill>
                  <w14:solidFill>
                    <w14:schemeClr w14:val="tx1"/>
                  </w14:solidFill>
                </w14:textFill>
              </w:rPr>
            </w:pPr>
          </w:p>
        </w:tc>
        <w:tc>
          <w:tcPr>
            <w:tcW w:w="2792" w:type="dxa"/>
            <w:tcBorders>
              <w:top w:val="single" w:color="auto" w:sz="6" w:space="0"/>
              <w:left w:val="single" w:color="auto" w:sz="6" w:space="0"/>
              <w:bottom w:val="single" w:color="auto" w:sz="6" w:space="0"/>
              <w:right w:val="single" w:color="auto" w:sz="6" w:space="0"/>
            </w:tcBorders>
            <w:vAlign w:val="center"/>
          </w:tcPr>
          <w:p w14:paraId="1E6D5576">
            <w:pPr>
              <w:autoSpaceDE w:val="0"/>
              <w:autoSpaceDN w:val="0"/>
              <w:adjustRightInd w:val="0"/>
              <w:jc w:val="right"/>
              <w:rPr>
                <w:rFonts w:ascii="宋体" w:hAnsi="宋体" w:cs="宋体"/>
                <w:color w:val="000000" w:themeColor="text1"/>
                <w:szCs w:val="21"/>
                <w14:textFill>
                  <w14:solidFill>
                    <w14:schemeClr w14:val="tx1"/>
                  </w14:solidFill>
                </w14:textFill>
              </w:rPr>
            </w:pPr>
          </w:p>
        </w:tc>
      </w:tr>
      <w:tr w14:paraId="3ED5D531">
        <w:tblPrEx>
          <w:tblCellMar>
            <w:top w:w="0" w:type="dxa"/>
            <w:left w:w="30" w:type="dxa"/>
            <w:bottom w:w="0" w:type="dxa"/>
            <w:right w:w="30" w:type="dxa"/>
          </w:tblCellMar>
        </w:tblPrEx>
        <w:trPr>
          <w:cantSplit/>
          <w:trHeight w:val="312" w:hRule="exact"/>
          <w:jc w:val="center"/>
        </w:trPr>
        <w:tc>
          <w:tcPr>
            <w:tcW w:w="1828" w:type="dxa"/>
            <w:tcBorders>
              <w:top w:val="single" w:color="auto" w:sz="6" w:space="0"/>
              <w:left w:val="single" w:color="auto" w:sz="6" w:space="0"/>
              <w:bottom w:val="single" w:color="auto" w:sz="6" w:space="0"/>
              <w:right w:val="single" w:color="auto" w:sz="6" w:space="0"/>
            </w:tcBorders>
            <w:vAlign w:val="center"/>
          </w:tcPr>
          <w:p w14:paraId="606970C1">
            <w:pPr>
              <w:widowControl/>
              <w:autoSpaceDE w:val="0"/>
              <w:autoSpaceDN w:val="0"/>
              <w:adjustRightInd w:val="0"/>
              <w:rPr>
                <w:rFonts w:ascii="宋体" w:hAnsi="宋体" w:cs="宋体"/>
                <w:color w:val="000000" w:themeColor="text1"/>
                <w:szCs w:val="21"/>
                <w14:textFill>
                  <w14:solidFill>
                    <w14:schemeClr w14:val="tx1"/>
                  </w14:solidFill>
                </w14:textFill>
              </w:rPr>
            </w:pPr>
          </w:p>
        </w:tc>
        <w:tc>
          <w:tcPr>
            <w:tcW w:w="2919" w:type="dxa"/>
            <w:tcBorders>
              <w:top w:val="single" w:color="auto" w:sz="6" w:space="0"/>
              <w:left w:val="single" w:color="auto" w:sz="6" w:space="0"/>
              <w:bottom w:val="single" w:color="auto" w:sz="6" w:space="0"/>
              <w:right w:val="single" w:color="auto" w:sz="6" w:space="0"/>
            </w:tcBorders>
            <w:vAlign w:val="center"/>
          </w:tcPr>
          <w:p w14:paraId="02F49687">
            <w:pPr>
              <w:autoSpaceDE w:val="0"/>
              <w:autoSpaceDN w:val="0"/>
              <w:adjustRightInd w:val="0"/>
              <w:spacing w:line="360" w:lineRule="auto"/>
              <w:rPr>
                <w:rFonts w:ascii="宋体" w:hAnsi="宋体" w:cs="宋体"/>
                <w:color w:val="000000" w:themeColor="text1"/>
                <w:szCs w:val="21"/>
                <w14:textFill>
                  <w14:solidFill>
                    <w14:schemeClr w14:val="tx1"/>
                  </w14:solidFill>
                </w14:textFill>
              </w:rPr>
            </w:pPr>
          </w:p>
        </w:tc>
        <w:tc>
          <w:tcPr>
            <w:tcW w:w="1762" w:type="dxa"/>
            <w:tcBorders>
              <w:top w:val="single" w:color="auto" w:sz="6" w:space="0"/>
              <w:left w:val="single" w:color="auto" w:sz="6" w:space="0"/>
              <w:bottom w:val="single" w:color="auto" w:sz="6" w:space="0"/>
              <w:right w:val="single" w:color="auto" w:sz="6" w:space="0"/>
            </w:tcBorders>
            <w:vAlign w:val="center"/>
          </w:tcPr>
          <w:p w14:paraId="2834EFA7">
            <w:pPr>
              <w:autoSpaceDE w:val="0"/>
              <w:autoSpaceDN w:val="0"/>
              <w:adjustRightInd w:val="0"/>
              <w:jc w:val="right"/>
              <w:rPr>
                <w:rFonts w:ascii="宋体" w:hAnsi="宋体" w:cs="宋体"/>
                <w:color w:val="000000" w:themeColor="text1"/>
                <w:szCs w:val="21"/>
                <w14:textFill>
                  <w14:solidFill>
                    <w14:schemeClr w14:val="tx1"/>
                  </w14:solidFill>
                </w14:textFill>
              </w:rPr>
            </w:pPr>
          </w:p>
        </w:tc>
        <w:tc>
          <w:tcPr>
            <w:tcW w:w="2792" w:type="dxa"/>
            <w:tcBorders>
              <w:top w:val="single" w:color="auto" w:sz="6" w:space="0"/>
              <w:left w:val="single" w:color="auto" w:sz="6" w:space="0"/>
              <w:bottom w:val="single" w:color="auto" w:sz="6" w:space="0"/>
              <w:right w:val="single" w:color="auto" w:sz="6" w:space="0"/>
            </w:tcBorders>
            <w:vAlign w:val="center"/>
          </w:tcPr>
          <w:p w14:paraId="7939C6D7">
            <w:pPr>
              <w:autoSpaceDE w:val="0"/>
              <w:autoSpaceDN w:val="0"/>
              <w:adjustRightInd w:val="0"/>
              <w:jc w:val="right"/>
              <w:rPr>
                <w:rFonts w:ascii="宋体" w:hAnsi="宋体" w:cs="宋体"/>
                <w:color w:val="000000" w:themeColor="text1"/>
                <w:szCs w:val="21"/>
                <w14:textFill>
                  <w14:solidFill>
                    <w14:schemeClr w14:val="tx1"/>
                  </w14:solidFill>
                </w14:textFill>
              </w:rPr>
            </w:pPr>
          </w:p>
        </w:tc>
      </w:tr>
      <w:tr w14:paraId="05E9E30E">
        <w:tblPrEx>
          <w:tblCellMar>
            <w:top w:w="0" w:type="dxa"/>
            <w:left w:w="30" w:type="dxa"/>
            <w:bottom w:w="0" w:type="dxa"/>
            <w:right w:w="30" w:type="dxa"/>
          </w:tblCellMar>
        </w:tblPrEx>
        <w:trPr>
          <w:cantSplit/>
          <w:trHeight w:val="302" w:hRule="exact"/>
          <w:jc w:val="center"/>
        </w:trPr>
        <w:tc>
          <w:tcPr>
            <w:tcW w:w="1828" w:type="dxa"/>
            <w:tcBorders>
              <w:top w:val="single" w:color="auto" w:sz="6" w:space="0"/>
              <w:left w:val="single" w:color="auto" w:sz="6" w:space="0"/>
              <w:bottom w:val="single" w:color="auto" w:sz="6" w:space="0"/>
              <w:right w:val="single" w:color="auto" w:sz="6" w:space="0"/>
            </w:tcBorders>
            <w:vAlign w:val="center"/>
          </w:tcPr>
          <w:p w14:paraId="11786819">
            <w:pPr>
              <w:widowControl/>
              <w:autoSpaceDE w:val="0"/>
              <w:autoSpaceDN w:val="0"/>
              <w:adjustRightInd w:val="0"/>
              <w:rPr>
                <w:rFonts w:ascii="宋体" w:hAnsi="宋体" w:cs="宋体"/>
                <w:color w:val="000000" w:themeColor="text1"/>
                <w:szCs w:val="21"/>
                <w14:textFill>
                  <w14:solidFill>
                    <w14:schemeClr w14:val="tx1"/>
                  </w14:solidFill>
                </w14:textFill>
              </w:rPr>
            </w:pPr>
          </w:p>
        </w:tc>
        <w:tc>
          <w:tcPr>
            <w:tcW w:w="2919" w:type="dxa"/>
            <w:tcBorders>
              <w:top w:val="single" w:color="auto" w:sz="6" w:space="0"/>
              <w:left w:val="single" w:color="auto" w:sz="6" w:space="0"/>
              <w:bottom w:val="single" w:color="auto" w:sz="6" w:space="0"/>
              <w:right w:val="single" w:color="auto" w:sz="6" w:space="0"/>
            </w:tcBorders>
            <w:vAlign w:val="center"/>
          </w:tcPr>
          <w:p w14:paraId="0934DD0B">
            <w:pPr>
              <w:autoSpaceDE w:val="0"/>
              <w:autoSpaceDN w:val="0"/>
              <w:adjustRightInd w:val="0"/>
              <w:spacing w:line="360" w:lineRule="auto"/>
              <w:rPr>
                <w:rFonts w:ascii="宋体" w:hAnsi="宋体" w:cs="宋体"/>
                <w:color w:val="000000" w:themeColor="text1"/>
                <w:szCs w:val="21"/>
                <w14:textFill>
                  <w14:solidFill>
                    <w14:schemeClr w14:val="tx1"/>
                  </w14:solidFill>
                </w14:textFill>
              </w:rPr>
            </w:pPr>
          </w:p>
        </w:tc>
        <w:tc>
          <w:tcPr>
            <w:tcW w:w="1762" w:type="dxa"/>
            <w:tcBorders>
              <w:top w:val="single" w:color="auto" w:sz="6" w:space="0"/>
              <w:left w:val="single" w:color="auto" w:sz="6" w:space="0"/>
              <w:bottom w:val="single" w:color="auto" w:sz="6" w:space="0"/>
              <w:right w:val="single" w:color="auto" w:sz="6" w:space="0"/>
            </w:tcBorders>
            <w:vAlign w:val="center"/>
          </w:tcPr>
          <w:p w14:paraId="316CE211">
            <w:pPr>
              <w:spacing w:line="360" w:lineRule="auto"/>
              <w:ind w:firstLine="420" w:firstLineChars="200"/>
              <w:rPr>
                <w:rFonts w:ascii="宋体" w:hAnsi="宋体" w:cs="宋体"/>
                <w:color w:val="000000" w:themeColor="text1"/>
                <w:szCs w:val="21"/>
                <w14:textFill>
                  <w14:solidFill>
                    <w14:schemeClr w14:val="tx1"/>
                  </w14:solidFill>
                </w14:textFill>
              </w:rPr>
            </w:pPr>
          </w:p>
        </w:tc>
        <w:tc>
          <w:tcPr>
            <w:tcW w:w="2792" w:type="dxa"/>
            <w:tcBorders>
              <w:top w:val="single" w:color="auto" w:sz="6" w:space="0"/>
              <w:left w:val="single" w:color="auto" w:sz="6" w:space="0"/>
              <w:bottom w:val="single" w:color="auto" w:sz="6" w:space="0"/>
              <w:right w:val="single" w:color="auto" w:sz="6" w:space="0"/>
            </w:tcBorders>
            <w:vAlign w:val="center"/>
          </w:tcPr>
          <w:p w14:paraId="5421178D">
            <w:pPr>
              <w:autoSpaceDE w:val="0"/>
              <w:autoSpaceDN w:val="0"/>
              <w:adjustRightInd w:val="0"/>
              <w:jc w:val="right"/>
              <w:rPr>
                <w:rFonts w:ascii="宋体" w:hAnsi="宋体" w:cs="宋体"/>
                <w:color w:val="000000" w:themeColor="text1"/>
                <w:szCs w:val="21"/>
                <w14:textFill>
                  <w14:solidFill>
                    <w14:schemeClr w14:val="tx1"/>
                  </w14:solidFill>
                </w14:textFill>
              </w:rPr>
            </w:pPr>
          </w:p>
        </w:tc>
      </w:tr>
    </w:tbl>
    <w:p w14:paraId="14F0C6CE">
      <w:pPr>
        <w:spacing w:before="120" w:line="360" w:lineRule="auto"/>
        <w:ind w:left="723" w:hanging="723" w:hangingChars="34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注：1.报价人应对照磋商文件第四章合同条款所列内容逐条对应填写，完全满足的在“是否响应”栏中填“响应”；有差异的则在“差异说明”栏中列出差异的具体内容。本表提供空表的视为完全响应。</w:t>
      </w:r>
    </w:p>
    <w:p w14:paraId="7B67EF95">
      <w:pPr>
        <w:spacing w:before="120" w:line="360" w:lineRule="auto"/>
        <w:ind w:firstLine="413" w:firstLineChars="196"/>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2.除“差异说明”栏所列的内容以外，其余按《合同书》格式中的条款执行。</w:t>
      </w:r>
    </w:p>
    <w:p w14:paraId="7DBA7EFA">
      <w:pPr>
        <w:spacing w:line="360" w:lineRule="auto"/>
        <w:rPr>
          <w:rFonts w:ascii="宋体" w:hAnsi="宋体" w:cs="宋体"/>
          <w:color w:val="000000" w:themeColor="text1"/>
          <w14:textFill>
            <w14:solidFill>
              <w14:schemeClr w14:val="tx1"/>
            </w14:solidFill>
          </w14:textFill>
        </w:rPr>
      </w:pPr>
    </w:p>
    <w:p w14:paraId="3291B860">
      <w:pPr>
        <w:pStyle w:val="21"/>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5FF117B1">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法定代表或其授权代表（签字）：                       日    期：     年   月   日</w:t>
      </w:r>
    </w:p>
    <w:p w14:paraId="0EB96576">
      <w:pPr>
        <w:spacing w:line="360" w:lineRule="auto"/>
        <w:rPr>
          <w:rFonts w:ascii="宋体" w:hAnsi="宋体" w:cs="宋体"/>
          <w:color w:val="000000" w:themeColor="text1"/>
          <w14:textFill>
            <w14:solidFill>
              <w14:schemeClr w14:val="tx1"/>
            </w14:solidFill>
          </w14:textFill>
        </w:rPr>
      </w:pPr>
    </w:p>
    <w:p w14:paraId="57D1FC39">
      <w:pPr>
        <w:spacing w:line="360" w:lineRule="auto"/>
        <w:rPr>
          <w:rFonts w:ascii="宋体" w:hAnsi="宋体" w:cs="宋体"/>
          <w:color w:val="000000" w:themeColor="text1"/>
          <w14:textFill>
            <w14:solidFill>
              <w14:schemeClr w14:val="tx1"/>
            </w14:solidFill>
          </w14:textFill>
        </w:rPr>
      </w:pPr>
    </w:p>
    <w:p w14:paraId="0EA83C16">
      <w:pPr>
        <w:spacing w:line="360" w:lineRule="auto"/>
        <w:rPr>
          <w:rFonts w:ascii="宋体" w:hAnsi="宋体" w:cs="宋体"/>
          <w:color w:val="000000" w:themeColor="text1"/>
          <w14:textFill>
            <w14:solidFill>
              <w14:schemeClr w14:val="tx1"/>
            </w14:solidFill>
          </w14:textFill>
        </w:rPr>
      </w:pPr>
    </w:p>
    <w:p w14:paraId="66A0940B">
      <w:pPr>
        <w:pStyle w:val="3"/>
        <w:spacing w:before="0" w:after="120"/>
        <w:rPr>
          <w:rFonts w:cs="宋体"/>
          <w:color w:val="000000" w:themeColor="text1"/>
          <w14:textFill>
            <w14:solidFill>
              <w14:schemeClr w14:val="tx1"/>
            </w14:solidFill>
          </w14:textFill>
        </w:rPr>
      </w:pPr>
      <w:bookmarkStart w:id="191" w:name="_Toc8021"/>
      <w:bookmarkStart w:id="192" w:name="_Toc958"/>
      <w:bookmarkStart w:id="193" w:name="_Toc17564"/>
      <w:bookmarkStart w:id="194" w:name="_Toc5645"/>
      <w:bookmarkStart w:id="195" w:name="_Toc20645"/>
      <w:bookmarkStart w:id="196" w:name="_Toc5834"/>
      <w:bookmarkStart w:id="197" w:name="_Toc28437"/>
      <w:bookmarkStart w:id="198" w:name="_Toc31293"/>
      <w:r>
        <w:rPr>
          <w:rFonts w:hint="eastAsia" w:cs="宋体"/>
          <w:color w:val="000000" w:themeColor="text1"/>
          <w14:textFill>
            <w14:solidFill>
              <w14:schemeClr w14:val="tx1"/>
            </w14:solidFill>
          </w14:textFill>
        </w:rPr>
        <w:t>格式10           缴交采购代理服务费承诺书</w:t>
      </w:r>
      <w:bookmarkEnd w:id="191"/>
      <w:bookmarkEnd w:id="192"/>
      <w:bookmarkEnd w:id="193"/>
      <w:bookmarkEnd w:id="194"/>
      <w:bookmarkEnd w:id="195"/>
      <w:bookmarkEnd w:id="196"/>
      <w:bookmarkEnd w:id="197"/>
      <w:bookmarkEnd w:id="198"/>
    </w:p>
    <w:p w14:paraId="0C588486">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致广东远东招标代理有限公司：</w:t>
      </w:r>
    </w:p>
    <w:p w14:paraId="68D570C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如果我方在贵公司组织的项目名称：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）磋商采购项目中被确定为成交候选人，我方保证在收到《成交通知书》前，按照磋商文件的规定向贵公司交纳采购代理服务费。</w:t>
      </w:r>
    </w:p>
    <w:p w14:paraId="40E8C15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自成交公告发出之日起5个工作日内仍未能足额缴纳的，我司承诺按上述规定的200％赔付贵方；15个工作日仍未支付上述全部费用的，贵方有权公布我司未履行承诺状况并上报相关主管部门列入未诚信履约名单。</w:t>
      </w:r>
    </w:p>
    <w:p w14:paraId="148265D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特此承诺！</w:t>
      </w:r>
    </w:p>
    <w:p w14:paraId="0086BB75">
      <w:pPr>
        <w:pStyle w:val="21"/>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1EFD8B37">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法定代表或其授权代表（签字）：                       日    期：     年   月   日</w:t>
      </w:r>
    </w:p>
    <w:p w14:paraId="3DB48691">
      <w:pPr>
        <w:spacing w:line="360" w:lineRule="auto"/>
        <w:rPr>
          <w:rFonts w:ascii="宋体" w:hAnsi="宋体" w:cs="宋体"/>
          <w:color w:val="000000" w:themeColor="text1"/>
          <w:sz w:val="24"/>
          <w14:textFill>
            <w14:solidFill>
              <w14:schemeClr w14:val="tx1"/>
            </w14:solidFill>
          </w14:textFill>
        </w:rPr>
      </w:pPr>
    </w:p>
    <w:p w14:paraId="5DB4E978">
      <w:pPr>
        <w:pStyle w:val="3"/>
        <w:spacing w:before="20" w:after="20" w:line="440" w:lineRule="exact"/>
        <w:rPr>
          <w:rFonts w:cs="宋体"/>
          <w:color w:val="000000" w:themeColor="text1"/>
          <w:sz w:val="32"/>
          <w:szCs w:val="32"/>
          <w14:textFill>
            <w14:solidFill>
              <w14:schemeClr w14:val="tx1"/>
            </w14:solidFill>
          </w14:textFill>
        </w:rPr>
      </w:pPr>
      <w:bookmarkStart w:id="199" w:name="_Toc6396"/>
      <w:bookmarkStart w:id="200" w:name="_Toc25813"/>
      <w:bookmarkStart w:id="201" w:name="_Toc32560"/>
      <w:bookmarkStart w:id="202" w:name="_Toc10372"/>
      <w:bookmarkStart w:id="203" w:name="_Toc24361"/>
      <w:bookmarkStart w:id="204" w:name="_Toc17157"/>
      <w:bookmarkStart w:id="205" w:name="_Toc19778"/>
      <w:bookmarkStart w:id="206" w:name="_Toc3318"/>
      <w:r>
        <w:rPr>
          <w:rFonts w:hint="eastAsia" w:cs="宋体"/>
          <w:color w:val="000000" w:themeColor="text1"/>
          <w14:textFill>
            <w14:solidFill>
              <w14:schemeClr w14:val="tx1"/>
            </w14:solidFill>
          </w14:textFill>
        </w:rPr>
        <w:t>格式11               同意磋商文件条款说明</w:t>
      </w:r>
      <w:bookmarkEnd w:id="199"/>
      <w:bookmarkEnd w:id="200"/>
      <w:bookmarkEnd w:id="201"/>
      <w:bookmarkEnd w:id="202"/>
      <w:bookmarkEnd w:id="203"/>
      <w:bookmarkEnd w:id="204"/>
      <w:bookmarkEnd w:id="205"/>
      <w:bookmarkEnd w:id="206"/>
    </w:p>
    <w:p w14:paraId="2C10ADBA">
      <w:pPr>
        <w:widowControl/>
        <w:spacing w:line="480" w:lineRule="auto"/>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致广东远东招标代理有限公司：</w:t>
      </w:r>
    </w:p>
    <w:p w14:paraId="5936867B">
      <w:pPr>
        <w:spacing w:line="480" w:lineRule="auto"/>
        <w:ind w:firstLine="478" w:firstLineChars="228"/>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为响应你方组织的项目名称：</w:t>
      </w:r>
      <w:r>
        <w:rPr>
          <w:rFonts w:hint="eastAsia" w:ascii="宋体" w:hAnsi="宋体" w:cs="宋体"/>
          <w:color w:val="000000" w:themeColor="text1"/>
          <w:kern w:val="28"/>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项目的竞争性磋商【项目编号：</w:t>
      </w:r>
      <w:r>
        <w:rPr>
          <w:rFonts w:hint="eastAsia" w:ascii="宋体" w:hAnsi="宋体" w:cs="宋体"/>
          <w:color w:val="000000" w:themeColor="text1"/>
          <w:kern w:val="28"/>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我方在参与报价前已详细研究了磋商文件的所有内容，包括修改文件（如果有的话）和所有已提供的参考资料以及有关附件，我方完全明白并认为此磋商文件没有倾向性，也没有存在排斥潜在报价人的内容，我方并同意磋商文件的相关条款。</w:t>
      </w:r>
    </w:p>
    <w:p w14:paraId="0A751D45">
      <w:pPr>
        <w:spacing w:line="480" w:lineRule="auto"/>
        <w:ind w:firstLine="478" w:firstLineChars="228"/>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特此声明。</w:t>
      </w:r>
    </w:p>
    <w:p w14:paraId="6C73B9F2">
      <w:pPr>
        <w:pStyle w:val="21"/>
        <w:spacing w:line="48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报价人全称（加盖公章）： </w:t>
      </w:r>
    </w:p>
    <w:p w14:paraId="48FB9ED1">
      <w:pPr>
        <w:spacing w:line="48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法定代表或其授权代表（签字）：                       日    期：     年   月   日</w:t>
      </w:r>
      <w:bookmarkEnd w:id="118"/>
      <w:bookmarkEnd w:id="119"/>
      <w:bookmarkEnd w:id="120"/>
      <w:bookmarkEnd w:id="121"/>
      <w:bookmarkEnd w:id="122"/>
    </w:p>
    <w:p w14:paraId="25CFF244">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53826C94">
      <w:pPr>
        <w:keepNext/>
        <w:keepLines/>
        <w:spacing w:before="260" w:after="260" w:line="360" w:lineRule="auto"/>
        <w:outlineLvl w:val="1"/>
        <w:rPr>
          <w:rFonts w:ascii="黑体" w:hAnsi="Arial"/>
          <w:b/>
          <w:bCs/>
          <w:color w:val="000000" w:themeColor="text1"/>
          <w:sz w:val="30"/>
          <w14:textFill>
            <w14:solidFill>
              <w14:schemeClr w14:val="tx1"/>
            </w14:solidFill>
          </w14:textFill>
        </w:rPr>
      </w:pPr>
      <w:r>
        <w:rPr>
          <w:rFonts w:hint="eastAsia" w:ascii="黑体" w:hAnsi="Arial" w:eastAsia="黑体"/>
          <w:b/>
          <w:bCs/>
          <w:color w:val="000000" w:themeColor="text1"/>
          <w:sz w:val="32"/>
          <w:szCs w:val="32"/>
          <w14:textFill>
            <w14:solidFill>
              <w14:schemeClr w14:val="tx1"/>
            </w14:solidFill>
          </w14:textFill>
        </w:rPr>
        <w:t>格式1</w:t>
      </w:r>
      <w:r>
        <w:rPr>
          <w:rFonts w:hint="eastAsia" w:ascii="黑体" w:hAnsi="Arial"/>
          <w:b/>
          <w:bCs/>
          <w:color w:val="000000" w:themeColor="text1"/>
          <w:sz w:val="32"/>
          <w:szCs w:val="32"/>
          <w14:textFill>
            <w14:solidFill>
              <w14:schemeClr w14:val="tx1"/>
            </w14:solidFill>
          </w14:textFill>
        </w:rPr>
        <w:t>2</w:t>
      </w:r>
      <w:r>
        <w:rPr>
          <w:rFonts w:hint="eastAsia" w:ascii="黑体" w:hAnsi="Arial" w:eastAsia="黑体"/>
          <w:b/>
          <w:bCs/>
          <w:color w:val="000000" w:themeColor="text1"/>
          <w:sz w:val="32"/>
          <w:szCs w:val="32"/>
          <w14:textFill>
            <w14:solidFill>
              <w14:schemeClr w14:val="tx1"/>
            </w14:solidFill>
          </w14:textFill>
        </w:rPr>
        <w:t xml:space="preserve">              </w:t>
      </w:r>
      <w:r>
        <w:rPr>
          <w:rFonts w:hint="eastAsia" w:ascii="黑体" w:hAnsi="Arial"/>
          <w:b/>
          <w:bCs/>
          <w:color w:val="000000" w:themeColor="text1"/>
          <w:sz w:val="30"/>
          <w14:textFill>
            <w14:solidFill>
              <w14:schemeClr w14:val="tx1"/>
            </w14:solidFill>
          </w14:textFill>
        </w:rPr>
        <w:t xml:space="preserve"> 中小企业声明函</w:t>
      </w:r>
    </w:p>
    <w:p w14:paraId="063DF8F3">
      <w:pPr>
        <w:ind w:firstLine="420"/>
        <w:rPr>
          <w:b/>
          <w:bCs/>
          <w:color w:val="000000" w:themeColor="text1"/>
          <w14:textFill>
            <w14:solidFill>
              <w14:schemeClr w14:val="tx1"/>
            </w14:solidFill>
          </w14:textFill>
        </w:rPr>
      </w:pPr>
      <w:r>
        <w:rPr>
          <w:b/>
          <w:bCs/>
          <w:color w:val="000000" w:themeColor="text1"/>
          <w14:textFill>
            <w14:solidFill>
              <w14:schemeClr w14:val="tx1"/>
            </w14:solidFill>
          </w14:textFill>
        </w:rPr>
        <w:t>中小企业声明函（承接本项目</w:t>
      </w:r>
      <w:r>
        <w:rPr>
          <w:rFonts w:hint="eastAsia"/>
          <w:b/>
          <w:bCs/>
          <w:color w:val="000000" w:themeColor="text1"/>
          <w14:textFill>
            <w14:solidFill>
              <w14:schemeClr w14:val="tx1"/>
            </w14:solidFill>
          </w14:textFill>
        </w:rPr>
        <w:t>货物</w:t>
      </w:r>
      <w:r>
        <w:rPr>
          <w:b/>
          <w:bCs/>
          <w:color w:val="000000" w:themeColor="text1"/>
          <w14:textFill>
            <w14:solidFill>
              <w14:schemeClr w14:val="tx1"/>
            </w14:solidFill>
          </w14:textFill>
        </w:rPr>
        <w:t>为中小企业时提交本函，所属行业应符合采购文件中明确的本项目所属行业）</w:t>
      </w:r>
    </w:p>
    <w:p w14:paraId="4B600E3D">
      <w:pPr>
        <w:ind w:firstLine="480"/>
        <w:rPr>
          <w:color w:val="000000" w:themeColor="text1"/>
          <w14:textFill>
            <w14:solidFill>
              <w14:schemeClr w14:val="tx1"/>
            </w14:solidFill>
          </w14:textFill>
        </w:rPr>
      </w:pPr>
    </w:p>
    <w:p w14:paraId="628D0FF9">
      <w:pPr>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本公司郑重声明，根据《政府采购促进中小企业发展管理办法》（财库﹝2020﹞46号）的规定，本公司参加</w:t>
      </w:r>
      <w:r>
        <w:rPr>
          <w:color w:val="000000" w:themeColor="text1"/>
          <w:u w:val="single"/>
          <w14:textFill>
            <w14:solidFill>
              <w14:schemeClr w14:val="tx1"/>
            </w14:solidFill>
          </w14:textFill>
        </w:rPr>
        <w:t>（</w:t>
      </w:r>
      <w:r>
        <w:rPr>
          <w:rFonts w:hint="eastAsia"/>
          <w:color w:val="000000" w:themeColor="text1"/>
          <w:u w:val="single"/>
          <w14:textFill>
            <w14:solidFill>
              <w14:schemeClr w14:val="tx1"/>
            </w14:solidFill>
          </w14:textFill>
        </w:rPr>
        <w:t>中华人民共和国天河出入境边防检查站</w:t>
      </w:r>
      <w:r>
        <w:rPr>
          <w:color w:val="000000" w:themeColor="text1"/>
          <w:u w:val="single"/>
          <w14:textFill>
            <w14:solidFill>
              <w14:schemeClr w14:val="tx1"/>
            </w14:solidFill>
          </w14:textFill>
        </w:rPr>
        <w:t>）</w:t>
      </w:r>
      <w:r>
        <w:rPr>
          <w:color w:val="000000" w:themeColor="text1"/>
          <w14:textFill>
            <w14:solidFill>
              <w14:schemeClr w14:val="tx1"/>
            </w14:solidFill>
          </w14:textFill>
        </w:rPr>
        <w:t>的</w:t>
      </w:r>
      <w:r>
        <w:rPr>
          <w:color w:val="000000" w:themeColor="text1"/>
          <w:u w:val="single"/>
          <w14:textFill>
            <w14:solidFill>
              <w14:schemeClr w14:val="tx1"/>
            </w14:solidFill>
          </w14:textFill>
        </w:rPr>
        <w:t>（</w:t>
      </w:r>
      <w:r>
        <w:rPr>
          <w:rFonts w:hint="eastAsia"/>
          <w:color w:val="000000" w:themeColor="text1"/>
          <w:u w:val="single"/>
          <w14:textFill>
            <w14:solidFill>
              <w14:schemeClr w14:val="tx1"/>
            </w14:solidFill>
          </w14:textFill>
        </w:rPr>
        <w:t>中华人民共和国天河出入境边防检查站2026年度办公、保洁用品及食堂耗材集中采购项目</w:t>
      </w:r>
      <w:r>
        <w:rPr>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活动，</w:t>
      </w:r>
      <w:r>
        <w:rPr>
          <w:rFonts w:hint="eastAsia"/>
          <w:color w:val="000000" w:themeColor="text1"/>
          <w14:textFill>
            <w14:solidFill>
              <w14:schemeClr w14:val="tx1"/>
            </w14:solidFill>
          </w14:textFill>
        </w:rPr>
        <w:t>提供的货物全部由符合政策要求的中小企业制造</w:t>
      </w:r>
      <w:r>
        <w:rPr>
          <w:color w:val="000000" w:themeColor="text1"/>
          <w14:textFill>
            <w14:solidFill>
              <w14:schemeClr w14:val="tx1"/>
            </w14:solidFill>
          </w14:textFill>
        </w:rPr>
        <w:t>。相关企业（含联合体中的中小企业、签订分包意向协议的中小企业）的具体情况如下：</w:t>
      </w:r>
    </w:p>
    <w:p w14:paraId="43D155CC">
      <w:pPr>
        <w:pStyle w:val="123"/>
        <w:ind w:firstLine="480"/>
        <w:rPr>
          <w:rFonts w:hint="default"/>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1.</w:t>
      </w:r>
      <w:r>
        <w:rPr>
          <w:color w:val="000000" w:themeColor="text1"/>
          <w:sz w:val="21"/>
          <w:szCs w:val="21"/>
          <w:u w:val="single"/>
          <w14:textFill>
            <w14:solidFill>
              <w14:schemeClr w14:val="tx1"/>
            </w14:solidFill>
          </w14:textFill>
        </w:rPr>
        <w:t>（</w:t>
      </w:r>
      <w:r>
        <w:rPr>
          <w:color w:val="000000" w:themeColor="text1"/>
          <w:sz w:val="21"/>
          <w:szCs w:val="21"/>
          <w:u w:val="single"/>
          <w:lang w:eastAsia="zh-CN"/>
          <w14:textFill>
            <w14:solidFill>
              <w14:schemeClr w14:val="tx1"/>
            </w14:solidFill>
          </w14:textFill>
        </w:rPr>
        <w:t xml:space="preserve">     </w:t>
      </w:r>
      <w:r>
        <w:rPr>
          <w:color w:val="000000" w:themeColor="text1"/>
          <w:sz w:val="21"/>
          <w:szCs w:val="21"/>
          <w:u w:val="single"/>
          <w14:textFill>
            <w14:solidFill>
              <w14:schemeClr w14:val="tx1"/>
            </w14:solidFill>
          </w14:textFill>
        </w:rPr>
        <w:t>）</w:t>
      </w:r>
      <w:r>
        <w:rPr>
          <w:color w:val="000000" w:themeColor="text1"/>
          <w:sz w:val="21"/>
          <w:szCs w:val="21"/>
          <w14:textFill>
            <w14:solidFill>
              <w14:schemeClr w14:val="tx1"/>
            </w14:solidFill>
          </w14:textFill>
        </w:rPr>
        <w:t>，属于</w:t>
      </w:r>
      <w:r>
        <w:rPr>
          <w:color w:val="000000" w:themeColor="text1"/>
          <w:sz w:val="21"/>
          <w:szCs w:val="21"/>
          <w:u w:val="single"/>
          <w14:textFill>
            <w14:solidFill>
              <w14:schemeClr w14:val="tx1"/>
            </w14:solidFill>
          </w14:textFill>
        </w:rPr>
        <w:t>（</w:t>
      </w:r>
      <w:r>
        <w:rPr>
          <w:color w:val="000000" w:themeColor="text1"/>
          <w:sz w:val="21"/>
          <w:szCs w:val="21"/>
          <w:u w:val="single"/>
          <w:lang w:eastAsia="zh-CN"/>
          <w14:textFill>
            <w14:solidFill>
              <w14:schemeClr w14:val="tx1"/>
            </w14:solidFill>
          </w14:textFill>
        </w:rPr>
        <w:t>零售业</w:t>
      </w:r>
      <w:r>
        <w:rPr>
          <w:color w:val="000000" w:themeColor="text1"/>
          <w:sz w:val="21"/>
          <w:szCs w:val="21"/>
          <w:u w:val="single"/>
          <w14:textFill>
            <w14:solidFill>
              <w14:schemeClr w14:val="tx1"/>
            </w14:solidFill>
          </w14:textFill>
        </w:rPr>
        <w:t>）</w:t>
      </w:r>
      <w:r>
        <w:rPr>
          <w:color w:val="000000" w:themeColor="text1"/>
          <w:sz w:val="21"/>
          <w:szCs w:val="21"/>
          <w14:textFill>
            <w14:solidFill>
              <w14:schemeClr w14:val="tx1"/>
            </w14:solidFill>
          </w14:textFill>
        </w:rPr>
        <w:t>行业；</w:t>
      </w:r>
      <w:r>
        <w:rPr>
          <w:color w:val="000000" w:themeColor="text1"/>
          <w14:textFill>
            <w14:solidFill>
              <w14:schemeClr w14:val="tx1"/>
            </w14:solidFill>
          </w14:textFill>
        </w:rPr>
        <w:t>承接</w:t>
      </w:r>
      <w:r>
        <w:rPr>
          <w:color w:val="000000" w:themeColor="text1"/>
          <w:lang w:eastAsia="zh-CN"/>
          <w14:textFill>
            <w14:solidFill>
              <w14:schemeClr w14:val="tx1"/>
            </w14:solidFill>
          </w14:textFill>
        </w:rPr>
        <w:t>企业</w:t>
      </w:r>
      <w:r>
        <w:rPr>
          <w:color w:val="000000" w:themeColor="text1"/>
          <w:sz w:val="21"/>
          <w:szCs w:val="21"/>
          <w14:textFill>
            <w14:solidFill>
              <w14:schemeClr w14:val="tx1"/>
            </w14:solidFill>
          </w14:textFill>
        </w:rPr>
        <w:t>为</w:t>
      </w:r>
      <w:r>
        <w:rPr>
          <w:color w:val="000000" w:themeColor="text1"/>
          <w:sz w:val="21"/>
          <w:szCs w:val="21"/>
          <w:u w:val="single"/>
          <w14:textFill>
            <w14:solidFill>
              <w14:schemeClr w14:val="tx1"/>
            </w14:solidFill>
          </w14:textFill>
        </w:rPr>
        <w:t>（企业名称）</w:t>
      </w:r>
      <w:r>
        <w:rPr>
          <w:color w:val="000000" w:themeColor="text1"/>
          <w:sz w:val="21"/>
          <w:szCs w:val="21"/>
          <w14:textFill>
            <w14:solidFill>
              <w14:schemeClr w14:val="tx1"/>
            </w14:solidFill>
          </w14:textFill>
        </w:rPr>
        <w:t>，从业人员__________________人，营业收入为__________________万元，资产总额为__________________万元，属于</w:t>
      </w:r>
      <w:r>
        <w:rPr>
          <w:color w:val="000000" w:themeColor="text1"/>
          <w:sz w:val="21"/>
          <w:szCs w:val="21"/>
          <w:u w:val="single"/>
          <w14:textFill>
            <w14:solidFill>
              <w14:schemeClr w14:val="tx1"/>
            </w14:solidFill>
          </w14:textFill>
        </w:rPr>
        <w:t>（中型企业、小型企业、微型企业）</w:t>
      </w:r>
      <w:r>
        <w:rPr>
          <w:color w:val="000000" w:themeColor="text1"/>
          <w:sz w:val="21"/>
          <w:szCs w:val="21"/>
          <w14:textFill>
            <w14:solidFill>
              <w14:schemeClr w14:val="tx1"/>
            </w14:solidFill>
          </w14:textFill>
        </w:rPr>
        <w:t>；</w:t>
      </w:r>
    </w:p>
    <w:p w14:paraId="2E77707D">
      <w:pPr>
        <w:spacing w:line="360" w:lineRule="auto"/>
        <w:ind w:firstLine="48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color w:val="000000" w:themeColor="text1"/>
          <w:szCs w:val="21"/>
          <w:u w:val="single"/>
          <w14:textFill>
            <w14:solidFill>
              <w14:schemeClr w14:val="tx1"/>
            </w14:solidFill>
          </w14:textFill>
        </w:rPr>
        <w:t>（</w:t>
      </w:r>
      <w:r>
        <w:rPr>
          <w:rFonts w:hint="eastAsia"/>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w:t>
      </w:r>
      <w:r>
        <w:rPr>
          <w:color w:val="000000" w:themeColor="text1"/>
          <w:szCs w:val="21"/>
          <w14:textFill>
            <w14:solidFill>
              <w14:schemeClr w14:val="tx1"/>
            </w14:solidFill>
          </w14:textFill>
        </w:rPr>
        <w:t>，属于</w:t>
      </w:r>
      <w:r>
        <w:rPr>
          <w:color w:val="000000" w:themeColor="text1"/>
          <w:szCs w:val="21"/>
          <w:u w:val="single"/>
          <w14:textFill>
            <w14:solidFill>
              <w14:schemeClr w14:val="tx1"/>
            </w14:solidFill>
          </w14:textFill>
        </w:rPr>
        <w:t>（</w:t>
      </w:r>
      <w:r>
        <w:rPr>
          <w:rFonts w:hint="eastAsia"/>
          <w:color w:val="000000" w:themeColor="text1"/>
          <w:szCs w:val="21"/>
          <w:u w:val="single"/>
          <w14:textFill>
            <w14:solidFill>
              <w14:schemeClr w14:val="tx1"/>
            </w14:solidFill>
          </w14:textFill>
        </w:rPr>
        <w:t>零售业</w:t>
      </w:r>
      <w:r>
        <w:rPr>
          <w:color w:val="000000" w:themeColor="text1"/>
          <w:szCs w:val="21"/>
          <w:u w:val="single"/>
          <w14:textFill>
            <w14:solidFill>
              <w14:schemeClr w14:val="tx1"/>
            </w14:solidFill>
          </w14:textFill>
        </w:rPr>
        <w:t>）</w:t>
      </w:r>
      <w:r>
        <w:rPr>
          <w:color w:val="000000" w:themeColor="text1"/>
          <w:szCs w:val="21"/>
          <w14:textFill>
            <w14:solidFill>
              <w14:schemeClr w14:val="tx1"/>
            </w14:solidFill>
          </w14:textFill>
        </w:rPr>
        <w:t>行业；</w:t>
      </w:r>
      <w:r>
        <w:rPr>
          <w:color w:val="000000" w:themeColor="text1"/>
          <w14:textFill>
            <w14:solidFill>
              <w14:schemeClr w14:val="tx1"/>
            </w14:solidFill>
          </w14:textFill>
        </w:rPr>
        <w:t>承接</w:t>
      </w:r>
      <w:r>
        <w:rPr>
          <w:rFonts w:hint="eastAsia"/>
          <w:color w:val="000000" w:themeColor="text1"/>
          <w14:textFill>
            <w14:solidFill>
              <w14:schemeClr w14:val="tx1"/>
            </w14:solidFill>
          </w14:textFill>
        </w:rPr>
        <w:t>企业</w:t>
      </w:r>
      <w:r>
        <w:rPr>
          <w:color w:val="000000" w:themeColor="text1"/>
          <w:szCs w:val="21"/>
          <w14:textFill>
            <w14:solidFill>
              <w14:schemeClr w14:val="tx1"/>
            </w14:solidFill>
          </w14:textFill>
        </w:rPr>
        <w:t>为</w:t>
      </w:r>
      <w:r>
        <w:rPr>
          <w:color w:val="000000" w:themeColor="text1"/>
          <w:szCs w:val="21"/>
          <w:u w:val="single"/>
          <w14:textFill>
            <w14:solidFill>
              <w14:schemeClr w14:val="tx1"/>
            </w14:solidFill>
          </w14:textFill>
        </w:rPr>
        <w:t>（企业名称）</w:t>
      </w:r>
      <w:r>
        <w:rPr>
          <w:color w:val="000000" w:themeColor="text1"/>
          <w:szCs w:val="21"/>
          <w14:textFill>
            <w14:solidFill>
              <w14:schemeClr w14:val="tx1"/>
            </w14:solidFill>
          </w14:textFill>
        </w:rPr>
        <w:t>，从业人员__________________人，营业收入为__________________万元，资产总额为__________________万元，属于</w:t>
      </w:r>
      <w:r>
        <w:rPr>
          <w:color w:val="000000" w:themeColor="text1"/>
          <w:szCs w:val="21"/>
          <w:u w:val="single"/>
          <w14:textFill>
            <w14:solidFill>
              <w14:schemeClr w14:val="tx1"/>
            </w14:solidFill>
          </w14:textFill>
        </w:rPr>
        <w:t>（中型企业、小型企业、微型企业）</w:t>
      </w:r>
      <w:r>
        <w:rPr>
          <w:color w:val="000000" w:themeColor="text1"/>
          <w:szCs w:val="21"/>
          <w14:textFill>
            <w14:solidFill>
              <w14:schemeClr w14:val="tx1"/>
            </w14:solidFill>
          </w14:textFill>
        </w:rPr>
        <w:t>；</w:t>
      </w:r>
    </w:p>
    <w:p w14:paraId="0B25EF61">
      <w:pPr>
        <w:spacing w:line="360" w:lineRule="auto"/>
        <w:ind w:firstLine="48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w:t>
      </w:r>
      <w:r>
        <w:rPr>
          <w:b/>
          <w:bCs/>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1DAC3802">
      <w:pPr>
        <w:spacing w:line="360" w:lineRule="auto"/>
        <w:ind w:firstLine="48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w:t>
      </w:r>
      <w:r>
        <w:rPr>
          <w:b/>
          <w:bCs/>
          <w:color w:val="000000" w:themeColor="text1"/>
          <w14:textFill>
            <w14:solidFill>
              <w14:schemeClr w14:val="tx1"/>
            </w14:solidFill>
          </w14:textFill>
        </w:rPr>
        <w:t>本企业对上述声明内容的真实性负责。如有虚假，将依法承担相应责任。</w:t>
      </w:r>
    </w:p>
    <w:p w14:paraId="01AAD710">
      <w:pPr>
        <w:spacing w:line="360" w:lineRule="auto"/>
        <w:jc w:val="right"/>
        <w:rPr>
          <w:color w:val="000000" w:themeColor="text1"/>
          <w14:textFill>
            <w14:solidFill>
              <w14:schemeClr w14:val="tx1"/>
            </w14:solidFill>
          </w14:textFill>
        </w:rPr>
      </w:pPr>
    </w:p>
    <w:p w14:paraId="21CBB704">
      <w:pPr>
        <w:spacing w:line="360" w:lineRule="auto"/>
        <w:jc w:val="right"/>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报价人</w:t>
      </w:r>
      <w:r>
        <w:rPr>
          <w:rFonts w:hint="eastAsia" w:ascii="宋体" w:hAnsi="宋体" w:cs="宋体"/>
          <w:color w:val="000000" w:themeColor="text1"/>
          <w:szCs w:val="21"/>
          <w14:textFill>
            <w14:solidFill>
              <w14:schemeClr w14:val="tx1"/>
            </w14:solidFill>
          </w14:textFill>
        </w:rPr>
        <w:t>全称（加盖公章）</w:t>
      </w:r>
      <w:r>
        <w:rPr>
          <w:color w:val="000000" w:themeColor="text1"/>
          <w14:textFill>
            <w14:solidFill>
              <w14:schemeClr w14:val="tx1"/>
            </w14:solidFill>
          </w14:textFill>
        </w:rPr>
        <w:t>：__________________</w:t>
      </w:r>
    </w:p>
    <w:p w14:paraId="3158D2B6">
      <w:pPr>
        <w:spacing w:line="360" w:lineRule="auto"/>
        <w:jc w:val="right"/>
        <w:rPr>
          <w:color w:val="000000" w:themeColor="text1"/>
          <w14:textFill>
            <w14:solidFill>
              <w14:schemeClr w14:val="tx1"/>
            </w14:solidFill>
          </w14:textFill>
        </w:rPr>
      </w:pPr>
      <w:r>
        <w:rPr>
          <w:color w:val="000000" w:themeColor="text1"/>
          <w14:textFill>
            <w14:solidFill>
              <w14:schemeClr w14:val="tx1"/>
            </w14:solidFill>
          </w14:textFill>
        </w:rPr>
        <w:t xml:space="preserve"> 日  期：__________________</w:t>
      </w:r>
    </w:p>
    <w:p w14:paraId="3773E922">
      <w:pPr>
        <w:spacing w:line="360" w:lineRule="auto"/>
        <w:ind w:firstLine="480"/>
        <w:rPr>
          <w:color w:val="000000" w:themeColor="text1"/>
          <w14:textFill>
            <w14:solidFill>
              <w14:schemeClr w14:val="tx1"/>
            </w14:solidFill>
          </w14:textFill>
        </w:rPr>
      </w:pPr>
    </w:p>
    <w:p w14:paraId="308C80E8">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1：从业人员、营业收入、资产总额填报上一年度数据，无上一年度数据的新成立企业可不填报。</w:t>
      </w:r>
    </w:p>
    <w:p w14:paraId="66F46180">
      <w:pPr>
        <w:spacing w:line="360" w:lineRule="auto"/>
        <w:rPr>
          <w:rFonts w:ascii="黑体" w:hAnsi="Arial" w:eastAsia="黑体"/>
          <w:b/>
          <w:bCs/>
          <w:color w:val="000000" w:themeColor="text1"/>
          <w:sz w:val="32"/>
          <w:szCs w:val="32"/>
          <w14:textFill>
            <w14:solidFill>
              <w14:schemeClr w14:val="tx1"/>
            </w14:solidFill>
          </w14:textFill>
        </w:rPr>
      </w:pPr>
      <w:r>
        <w:rPr>
          <w:color w:val="000000" w:themeColor="text1"/>
          <w14:textFill>
            <w14:solidFill>
              <w14:schemeClr w14:val="tx1"/>
            </w14:solidFill>
          </w14:textFill>
        </w:rPr>
        <w:t>2：供应商应当自行核实是否属于小微企业，并认真填写声明函，若有虚假将追究其责任。</w:t>
      </w:r>
    </w:p>
    <w:p w14:paraId="61E68ADF">
      <w:pPr>
        <w:rPr>
          <w:rFonts w:ascii="黑体" w:hAnsi="Arial" w:eastAsia="黑体"/>
          <w:b/>
          <w:bCs/>
          <w:color w:val="000000" w:themeColor="text1"/>
          <w:sz w:val="32"/>
          <w:szCs w:val="32"/>
          <w14:textFill>
            <w14:solidFill>
              <w14:schemeClr w14:val="tx1"/>
            </w14:solidFill>
          </w14:textFill>
        </w:rPr>
      </w:pPr>
      <w:r>
        <w:rPr>
          <w:rFonts w:hint="eastAsia" w:ascii="黑体" w:hAnsi="Arial" w:eastAsia="黑体"/>
          <w:b/>
          <w:bCs/>
          <w:color w:val="000000" w:themeColor="text1"/>
          <w:sz w:val="32"/>
          <w:szCs w:val="32"/>
          <w14:textFill>
            <w14:solidFill>
              <w14:schemeClr w14:val="tx1"/>
            </w14:solidFill>
          </w14:textFill>
        </w:rPr>
        <w:br w:type="page"/>
      </w:r>
    </w:p>
    <w:p w14:paraId="3FDC35C4">
      <w:pPr>
        <w:keepNext/>
        <w:keepLines/>
        <w:spacing w:before="260" w:after="260" w:line="360" w:lineRule="auto"/>
        <w:outlineLvl w:val="1"/>
        <w:rPr>
          <w:rFonts w:ascii="黑体" w:hAnsi="Arial" w:eastAsia="黑体"/>
          <w:b/>
          <w:bCs/>
          <w:color w:val="000000" w:themeColor="text1"/>
          <w:sz w:val="32"/>
          <w:szCs w:val="32"/>
          <w14:textFill>
            <w14:solidFill>
              <w14:schemeClr w14:val="tx1"/>
            </w14:solidFill>
          </w14:textFill>
        </w:rPr>
      </w:pPr>
      <w:r>
        <w:rPr>
          <w:rFonts w:hint="eastAsia" w:ascii="黑体" w:hAnsi="Arial" w:eastAsia="黑体"/>
          <w:b/>
          <w:bCs/>
          <w:color w:val="000000" w:themeColor="text1"/>
          <w:sz w:val="32"/>
          <w:szCs w:val="32"/>
          <w14:textFill>
            <w14:solidFill>
              <w14:schemeClr w14:val="tx1"/>
            </w14:solidFill>
          </w14:textFill>
        </w:rPr>
        <w:t>格式13            残疾人福利性单位声明函</w:t>
      </w:r>
    </w:p>
    <w:p w14:paraId="64E52AAC">
      <w:pPr>
        <w:rPr>
          <w:color w:val="000000" w:themeColor="text1"/>
          <w14:textFill>
            <w14:solidFill>
              <w14:schemeClr w14:val="tx1"/>
            </w14:solidFill>
          </w14:textFill>
        </w:rPr>
      </w:pPr>
    </w:p>
    <w:p w14:paraId="34EC672B">
      <w:pPr>
        <w:rPr>
          <w:color w:val="000000" w:themeColor="text1"/>
          <w14:textFill>
            <w14:solidFill>
              <w14:schemeClr w14:val="tx1"/>
            </w14:solidFill>
          </w14:textFill>
        </w:rPr>
      </w:pPr>
    </w:p>
    <w:p w14:paraId="0CC8C313">
      <w:pPr>
        <w:spacing w:line="588" w:lineRule="exact"/>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D549E">
      <w:pPr>
        <w:spacing w:line="588" w:lineRule="exact"/>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本单位对上述声明的真实性负责。如有虚假，将依法承担相应责任。</w:t>
      </w:r>
    </w:p>
    <w:p w14:paraId="004557D8">
      <w:pPr>
        <w:spacing w:line="588" w:lineRule="exact"/>
        <w:ind w:firstLine="444" w:firstLineChars="200"/>
        <w:rPr>
          <w:rFonts w:ascii="宋体" w:hAnsi="宋体" w:cs="宋体"/>
          <w:color w:val="000000" w:themeColor="text1"/>
          <w:spacing w:val="6"/>
          <w:szCs w:val="21"/>
          <w14:textFill>
            <w14:solidFill>
              <w14:schemeClr w14:val="tx1"/>
            </w14:solidFill>
          </w14:textFill>
        </w:rPr>
      </w:pPr>
    </w:p>
    <w:p w14:paraId="38E8FBD7">
      <w:pPr>
        <w:spacing w:line="588" w:lineRule="exact"/>
        <w:ind w:firstLine="444" w:firstLineChars="200"/>
        <w:rPr>
          <w:rFonts w:ascii="宋体" w:hAnsi="宋体" w:cs="宋体"/>
          <w:color w:val="000000" w:themeColor="text1"/>
          <w:spacing w:val="6"/>
          <w:szCs w:val="21"/>
          <w14:textFill>
            <w14:solidFill>
              <w14:schemeClr w14:val="tx1"/>
            </w14:solidFill>
          </w14:textFill>
        </w:rPr>
      </w:pPr>
    </w:p>
    <w:p w14:paraId="551DC3B2">
      <w:pPr>
        <w:spacing w:line="360" w:lineRule="auto"/>
        <w:jc w:val="right"/>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报价人</w:t>
      </w:r>
      <w:r>
        <w:rPr>
          <w:rFonts w:hint="eastAsia" w:ascii="宋体" w:hAnsi="宋体" w:cs="宋体"/>
          <w:color w:val="000000" w:themeColor="text1"/>
          <w:szCs w:val="21"/>
          <w14:textFill>
            <w14:solidFill>
              <w14:schemeClr w14:val="tx1"/>
            </w14:solidFill>
          </w14:textFill>
        </w:rPr>
        <w:t>全称（加盖公章）</w:t>
      </w:r>
      <w:r>
        <w:rPr>
          <w:color w:val="000000" w:themeColor="text1"/>
          <w14:textFill>
            <w14:solidFill>
              <w14:schemeClr w14:val="tx1"/>
            </w14:solidFill>
          </w14:textFill>
        </w:rPr>
        <w:t>：__________________</w:t>
      </w:r>
    </w:p>
    <w:p w14:paraId="2A435B88">
      <w:pPr>
        <w:jc w:val="right"/>
        <w:rPr>
          <w:color w:val="000000" w:themeColor="text1"/>
          <w14:textFill>
            <w14:solidFill>
              <w14:schemeClr w14:val="tx1"/>
            </w14:solidFill>
          </w14:textFill>
        </w:rPr>
      </w:pPr>
      <w:r>
        <w:rPr>
          <w:color w:val="000000" w:themeColor="text1"/>
          <w14:textFill>
            <w14:solidFill>
              <w14:schemeClr w14:val="tx1"/>
            </w14:solidFill>
          </w14:textFill>
        </w:rPr>
        <w:t xml:space="preserve"> 日  期：__________________</w:t>
      </w:r>
    </w:p>
    <w:p w14:paraId="47E789A4">
      <w:pPr>
        <w:keepNext/>
        <w:keepLines/>
        <w:spacing w:before="260" w:after="260" w:line="360" w:lineRule="auto"/>
        <w:outlineLvl w:val="1"/>
        <w:rPr>
          <w:rFonts w:ascii="黑体" w:hAnsi="Arial" w:eastAsia="黑体"/>
          <w:b/>
          <w:bCs/>
          <w:color w:val="000000" w:themeColor="text1"/>
          <w:sz w:val="32"/>
          <w:szCs w:val="32"/>
          <w14:textFill>
            <w14:solidFill>
              <w14:schemeClr w14:val="tx1"/>
            </w14:solidFill>
          </w14:textFill>
        </w:rPr>
      </w:pPr>
      <w:r>
        <w:rPr>
          <w:rFonts w:ascii="宋体" w:hAnsi="宋体"/>
          <w:b/>
          <w:color w:val="000000" w:themeColor="text1"/>
          <w:sz w:val="30"/>
          <w:szCs w:val="24"/>
          <w14:textFill>
            <w14:solidFill>
              <w14:schemeClr w14:val="tx1"/>
            </w14:solidFill>
          </w14:textFill>
        </w:rPr>
        <w:br w:type="page"/>
      </w:r>
      <w:r>
        <w:rPr>
          <w:rFonts w:hint="eastAsia" w:ascii="黑体" w:hAnsi="Arial" w:eastAsia="黑体"/>
          <w:b/>
          <w:bCs/>
          <w:color w:val="000000" w:themeColor="text1"/>
          <w:sz w:val="32"/>
          <w:szCs w:val="32"/>
          <w14:textFill>
            <w14:solidFill>
              <w14:schemeClr w14:val="tx1"/>
            </w14:solidFill>
          </w14:textFill>
        </w:rPr>
        <w:t>格式14              监狱企业证明材料</w:t>
      </w:r>
    </w:p>
    <w:p w14:paraId="3C200C38">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提供由监狱管理局、戒毒管理局（含新疆生产建设兵团）出具的属于监狱企业的证明文件。</w:t>
      </w:r>
    </w:p>
    <w:p w14:paraId="31375DF2">
      <w:pPr>
        <w:spacing w:line="480" w:lineRule="auto"/>
        <w:rPr>
          <w:rFonts w:ascii="宋体" w:hAnsi="宋体" w:cs="宋体"/>
          <w:color w:val="000000" w:themeColor="text1"/>
          <w14:textFill>
            <w14:solidFill>
              <w14:schemeClr w14:val="tx1"/>
            </w14:solidFill>
          </w14:textFill>
        </w:rPr>
      </w:pPr>
    </w:p>
    <w:sectPr>
      <w:type w:val="continuous"/>
      <w:pgSz w:w="11906" w:h="16838"/>
      <w:pgMar w:top="1417" w:right="1304" w:bottom="1361" w:left="1361" w:header="737" w:footer="73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2AF12">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35</w:t>
    </w:r>
    <w:r>
      <w:fldChar w:fldCharType="end"/>
    </w:r>
  </w:p>
  <w:p w14:paraId="46205EDD">
    <w:pPr>
      <w:pStyle w:val="65"/>
      <w:ind w:firstLine="1530" w:firstLineChars="850"/>
      <w:jc w:val="both"/>
    </w:pP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广东远东招标代理有限公司</w:t>
    </w:r>
    <w:r>
      <w:t>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80460">
    <w:pPr>
      <w:pBdr>
        <w:bottom w:val="thinThickSmallGap" w:color="auto" w:sz="12" w:space="1"/>
      </w:pBdr>
      <w:rPr>
        <w:sz w:val="18"/>
        <w:szCs w:val="18"/>
      </w:rPr>
    </w:pPr>
    <w:r>
      <w:rPr>
        <w:rFonts w:hint="eastAsia" w:ascii="宋体" w:hAnsi="宋体"/>
        <w:color w:val="000000"/>
        <w:sz w:val="18"/>
        <w:szCs w:val="18"/>
      </w:rPr>
      <w:t>项目名称：中华人民共和国天河出入境边防检查站2026年度办公、保洁用品及食堂耗材集中采购项目</w:t>
    </w:r>
    <w:r>
      <w:rPr>
        <w:rFonts w:hint="eastAsia"/>
        <w:sz w:val="18"/>
        <w:szCs w:val="18"/>
      </w:rPr>
      <w:t xml:space="preserve">         </w:t>
    </w:r>
  </w:p>
  <w:p w14:paraId="47AD068C">
    <w:pPr>
      <w:pBdr>
        <w:bottom w:val="thinThickSmallGap" w:color="auto" w:sz="12" w:space="1"/>
      </w:pBdr>
    </w:pPr>
    <w:r>
      <w:rPr>
        <w:rFonts w:hint="eastAsia" w:ascii="宋体" w:hAnsi="宋体"/>
        <w:sz w:val="18"/>
        <w:szCs w:val="18"/>
      </w:rPr>
      <w:t>项目编号：GDYD260090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83087">
    <w:pPr>
      <w:pStyle w:val="34"/>
      <w:pBdr>
        <w:bottom w:val="thinThickLargeGap" w:color="auto" w:sz="6" w:space="1"/>
      </w:pBdr>
      <w:tabs>
        <w:tab w:val="center" w:pos="4153"/>
        <w:tab w:val="right" w:pos="8306"/>
      </w:tabs>
      <w:snapToGrid w:val="0"/>
      <w:rPr>
        <w:rFonts w:ascii="宋体" w:hAnsi="宋体" w:eastAsia="黑体"/>
        <w:sz w:val="18"/>
        <w:szCs w:val="18"/>
      </w:rPr>
    </w:pPr>
    <w:r>
      <w:rPr>
        <w:rFonts w:hint="eastAsia" w:eastAsia="黑体" w:cs="黑体"/>
        <w:sz w:val="18"/>
        <w:szCs w:val="18"/>
      </w:rPr>
      <w:t>广东远东招标代理有限公司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AE30C3"/>
    <w:multiLevelType w:val="multilevel"/>
    <w:tmpl w:val="22AE30C3"/>
    <w:lvl w:ilvl="0" w:tentative="0">
      <w:start w:val="1"/>
      <w:numFmt w:val="decimal"/>
      <w:lvlText w:val="%1."/>
      <w:lvlJc w:val="left"/>
      <w:pPr>
        <w:tabs>
          <w:tab w:val="left" w:pos="425"/>
        </w:tabs>
        <w:ind w:left="425" w:hanging="425"/>
      </w:pPr>
      <w:rPr>
        <w:rFonts w:hint="eastAsia"/>
        <w:b/>
        <w:i w:val="0"/>
        <w:sz w:val="21"/>
        <w:szCs w:val="21"/>
      </w:rPr>
    </w:lvl>
    <w:lvl w:ilvl="1" w:tentative="0">
      <w:start w:val="1"/>
      <w:numFmt w:val="decimal"/>
      <w:lvlText w:val="%1.%2."/>
      <w:lvlJc w:val="left"/>
      <w:pPr>
        <w:tabs>
          <w:tab w:val="left" w:pos="567"/>
        </w:tabs>
        <w:ind w:left="567" w:hanging="567"/>
      </w:pPr>
      <w:rPr>
        <w:rFonts w:hint="eastAsia" w:ascii="宋体" w:hAnsi="宋体" w:eastAsia="宋体"/>
        <w:b/>
        <w:i w:val="0"/>
        <w:sz w:val="21"/>
        <w:szCs w:val="21"/>
      </w:rPr>
    </w:lvl>
    <w:lvl w:ilvl="2" w:tentative="0">
      <w:start w:val="1"/>
      <w:numFmt w:val="decimal"/>
      <w:lvlText w:val="%1.%2.%3."/>
      <w:lvlJc w:val="left"/>
      <w:pPr>
        <w:tabs>
          <w:tab w:val="left" w:pos="624"/>
        </w:tabs>
        <w:ind w:left="624" w:hanging="624"/>
      </w:pPr>
      <w:rPr>
        <w:rFonts w:hint="eastAsia" w:ascii="宋体" w:eastAsia="宋体"/>
        <w:b w:val="0"/>
        <w:i w:val="0"/>
        <w:color w:val="auto"/>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320366CC"/>
    <w:multiLevelType w:val="multilevel"/>
    <w:tmpl w:val="320366CC"/>
    <w:lvl w:ilvl="0" w:tentative="0">
      <w:start w:val="1"/>
      <w:numFmt w:val="japaneseCounting"/>
      <w:lvlText w:val="第%1章"/>
      <w:lvlJc w:val="left"/>
      <w:pPr>
        <w:ind w:left="1170" w:hanging="117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lZGRmOTI4ZDVkZjM1YTg4NDFjZTFlZGQ0NTIyNmUifQ=="/>
  </w:docVars>
  <w:rsids>
    <w:rsidRoot w:val="005A29A4"/>
    <w:rsid w:val="00001636"/>
    <w:rsid w:val="00001CF8"/>
    <w:rsid w:val="000066CF"/>
    <w:rsid w:val="0000697F"/>
    <w:rsid w:val="00007082"/>
    <w:rsid w:val="00010B31"/>
    <w:rsid w:val="0001365E"/>
    <w:rsid w:val="00013DC8"/>
    <w:rsid w:val="00014C1B"/>
    <w:rsid w:val="00014DD0"/>
    <w:rsid w:val="00015458"/>
    <w:rsid w:val="00015EBB"/>
    <w:rsid w:val="00016237"/>
    <w:rsid w:val="000167A7"/>
    <w:rsid w:val="00016D5B"/>
    <w:rsid w:val="00023ACE"/>
    <w:rsid w:val="0002470E"/>
    <w:rsid w:val="00026E6B"/>
    <w:rsid w:val="000342BA"/>
    <w:rsid w:val="00034C0F"/>
    <w:rsid w:val="000363A7"/>
    <w:rsid w:val="00040261"/>
    <w:rsid w:val="000402E0"/>
    <w:rsid w:val="00040AF2"/>
    <w:rsid w:val="0004172C"/>
    <w:rsid w:val="00043B80"/>
    <w:rsid w:val="00044476"/>
    <w:rsid w:val="00046348"/>
    <w:rsid w:val="00046891"/>
    <w:rsid w:val="00046CE7"/>
    <w:rsid w:val="00051628"/>
    <w:rsid w:val="00052C12"/>
    <w:rsid w:val="00052E4D"/>
    <w:rsid w:val="00053960"/>
    <w:rsid w:val="000600B4"/>
    <w:rsid w:val="0006384E"/>
    <w:rsid w:val="00063D6E"/>
    <w:rsid w:val="00063E89"/>
    <w:rsid w:val="00065938"/>
    <w:rsid w:val="00065B3B"/>
    <w:rsid w:val="00066B1F"/>
    <w:rsid w:val="000670CD"/>
    <w:rsid w:val="0006795B"/>
    <w:rsid w:val="000709D2"/>
    <w:rsid w:val="0007145F"/>
    <w:rsid w:val="000732A6"/>
    <w:rsid w:val="00074948"/>
    <w:rsid w:val="00074D28"/>
    <w:rsid w:val="0007604C"/>
    <w:rsid w:val="00076442"/>
    <w:rsid w:val="000776E1"/>
    <w:rsid w:val="0008032E"/>
    <w:rsid w:val="0008252C"/>
    <w:rsid w:val="00084B26"/>
    <w:rsid w:val="00086961"/>
    <w:rsid w:val="0008755E"/>
    <w:rsid w:val="00090A48"/>
    <w:rsid w:val="0009197F"/>
    <w:rsid w:val="00092A43"/>
    <w:rsid w:val="00093AC0"/>
    <w:rsid w:val="000944CE"/>
    <w:rsid w:val="000957EA"/>
    <w:rsid w:val="000A09C0"/>
    <w:rsid w:val="000A0BEA"/>
    <w:rsid w:val="000A30D6"/>
    <w:rsid w:val="000A74F5"/>
    <w:rsid w:val="000B05D7"/>
    <w:rsid w:val="000B148B"/>
    <w:rsid w:val="000B2146"/>
    <w:rsid w:val="000B239D"/>
    <w:rsid w:val="000B23AA"/>
    <w:rsid w:val="000B245E"/>
    <w:rsid w:val="000B3575"/>
    <w:rsid w:val="000B3AE0"/>
    <w:rsid w:val="000B4C97"/>
    <w:rsid w:val="000B52BE"/>
    <w:rsid w:val="000B55FE"/>
    <w:rsid w:val="000B5D1D"/>
    <w:rsid w:val="000B5E42"/>
    <w:rsid w:val="000B7149"/>
    <w:rsid w:val="000B7246"/>
    <w:rsid w:val="000C1C30"/>
    <w:rsid w:val="000C1FE0"/>
    <w:rsid w:val="000C3E16"/>
    <w:rsid w:val="000C45DD"/>
    <w:rsid w:val="000C504F"/>
    <w:rsid w:val="000C76BD"/>
    <w:rsid w:val="000C774C"/>
    <w:rsid w:val="000D12B2"/>
    <w:rsid w:val="000D25D3"/>
    <w:rsid w:val="000D3688"/>
    <w:rsid w:val="000D4F71"/>
    <w:rsid w:val="000D69BF"/>
    <w:rsid w:val="000D76A4"/>
    <w:rsid w:val="000E05BC"/>
    <w:rsid w:val="000E0AE2"/>
    <w:rsid w:val="000E1247"/>
    <w:rsid w:val="000E1597"/>
    <w:rsid w:val="000E1D36"/>
    <w:rsid w:val="000E2357"/>
    <w:rsid w:val="000E2766"/>
    <w:rsid w:val="000E2D70"/>
    <w:rsid w:val="000E37EC"/>
    <w:rsid w:val="000E7279"/>
    <w:rsid w:val="000F040C"/>
    <w:rsid w:val="000F2F90"/>
    <w:rsid w:val="000F5D03"/>
    <w:rsid w:val="000F6EEF"/>
    <w:rsid w:val="000F7F92"/>
    <w:rsid w:val="00101830"/>
    <w:rsid w:val="0010203E"/>
    <w:rsid w:val="00102E56"/>
    <w:rsid w:val="00103C13"/>
    <w:rsid w:val="00104DA5"/>
    <w:rsid w:val="00105A6A"/>
    <w:rsid w:val="00106C39"/>
    <w:rsid w:val="0010784C"/>
    <w:rsid w:val="00107944"/>
    <w:rsid w:val="001114A7"/>
    <w:rsid w:val="00111F49"/>
    <w:rsid w:val="00112D98"/>
    <w:rsid w:val="00113101"/>
    <w:rsid w:val="00113BF6"/>
    <w:rsid w:val="00113EDC"/>
    <w:rsid w:val="00114959"/>
    <w:rsid w:val="0011538F"/>
    <w:rsid w:val="00116D35"/>
    <w:rsid w:val="00120503"/>
    <w:rsid w:val="001306E4"/>
    <w:rsid w:val="00131318"/>
    <w:rsid w:val="0013370B"/>
    <w:rsid w:val="001338F6"/>
    <w:rsid w:val="00133B4A"/>
    <w:rsid w:val="0013437D"/>
    <w:rsid w:val="00136820"/>
    <w:rsid w:val="0014016A"/>
    <w:rsid w:val="00140B8A"/>
    <w:rsid w:val="0014129D"/>
    <w:rsid w:val="00141557"/>
    <w:rsid w:val="001420DC"/>
    <w:rsid w:val="00142BDD"/>
    <w:rsid w:val="00147647"/>
    <w:rsid w:val="0015264B"/>
    <w:rsid w:val="00153BDE"/>
    <w:rsid w:val="00153D4A"/>
    <w:rsid w:val="00153DEE"/>
    <w:rsid w:val="0015440A"/>
    <w:rsid w:val="00154894"/>
    <w:rsid w:val="00155053"/>
    <w:rsid w:val="0015516C"/>
    <w:rsid w:val="00160121"/>
    <w:rsid w:val="001601ED"/>
    <w:rsid w:val="00160E4B"/>
    <w:rsid w:val="00161327"/>
    <w:rsid w:val="001619EC"/>
    <w:rsid w:val="00162996"/>
    <w:rsid w:val="00162DDB"/>
    <w:rsid w:val="00162E02"/>
    <w:rsid w:val="0016379C"/>
    <w:rsid w:val="00163AF2"/>
    <w:rsid w:val="0016505C"/>
    <w:rsid w:val="001650E5"/>
    <w:rsid w:val="001667CC"/>
    <w:rsid w:val="0016692B"/>
    <w:rsid w:val="001675F1"/>
    <w:rsid w:val="00170B68"/>
    <w:rsid w:val="00170FC9"/>
    <w:rsid w:val="00172BE4"/>
    <w:rsid w:val="00175EF9"/>
    <w:rsid w:val="001761A9"/>
    <w:rsid w:val="001771C8"/>
    <w:rsid w:val="0017770D"/>
    <w:rsid w:val="00180343"/>
    <w:rsid w:val="00180642"/>
    <w:rsid w:val="00181DAA"/>
    <w:rsid w:val="00183D8C"/>
    <w:rsid w:val="00184514"/>
    <w:rsid w:val="00184E3E"/>
    <w:rsid w:val="0018519A"/>
    <w:rsid w:val="001863B6"/>
    <w:rsid w:val="001902CD"/>
    <w:rsid w:val="00191844"/>
    <w:rsid w:val="0019646F"/>
    <w:rsid w:val="0019666D"/>
    <w:rsid w:val="00197A43"/>
    <w:rsid w:val="001A3539"/>
    <w:rsid w:val="001A61F2"/>
    <w:rsid w:val="001A7093"/>
    <w:rsid w:val="001B0DEC"/>
    <w:rsid w:val="001B1FB8"/>
    <w:rsid w:val="001B5113"/>
    <w:rsid w:val="001B66C8"/>
    <w:rsid w:val="001B72C1"/>
    <w:rsid w:val="001B73E2"/>
    <w:rsid w:val="001B7EB8"/>
    <w:rsid w:val="001C20B4"/>
    <w:rsid w:val="001C38F9"/>
    <w:rsid w:val="001C3B75"/>
    <w:rsid w:val="001C5FDD"/>
    <w:rsid w:val="001D1E61"/>
    <w:rsid w:val="001D3097"/>
    <w:rsid w:val="001D45AF"/>
    <w:rsid w:val="001D5514"/>
    <w:rsid w:val="001D610B"/>
    <w:rsid w:val="001D64BB"/>
    <w:rsid w:val="001E1C0D"/>
    <w:rsid w:val="001E4002"/>
    <w:rsid w:val="001E53D9"/>
    <w:rsid w:val="001E612C"/>
    <w:rsid w:val="001E665A"/>
    <w:rsid w:val="001F0004"/>
    <w:rsid w:val="001F177C"/>
    <w:rsid w:val="001F3076"/>
    <w:rsid w:val="001F3898"/>
    <w:rsid w:val="001F3DE5"/>
    <w:rsid w:val="001F5154"/>
    <w:rsid w:val="001F6564"/>
    <w:rsid w:val="001F6B86"/>
    <w:rsid w:val="001F6C39"/>
    <w:rsid w:val="001F7AAB"/>
    <w:rsid w:val="001F7AC3"/>
    <w:rsid w:val="00200EF9"/>
    <w:rsid w:val="00201814"/>
    <w:rsid w:val="0020355F"/>
    <w:rsid w:val="00207F89"/>
    <w:rsid w:val="002114E7"/>
    <w:rsid w:val="00211853"/>
    <w:rsid w:val="00211DCC"/>
    <w:rsid w:val="0021330B"/>
    <w:rsid w:val="00215C8C"/>
    <w:rsid w:val="00216ADE"/>
    <w:rsid w:val="00220189"/>
    <w:rsid w:val="00222602"/>
    <w:rsid w:val="00222725"/>
    <w:rsid w:val="00222BFC"/>
    <w:rsid w:val="00222EBD"/>
    <w:rsid w:val="002238C6"/>
    <w:rsid w:val="002250C1"/>
    <w:rsid w:val="00225DDD"/>
    <w:rsid w:val="00226D1A"/>
    <w:rsid w:val="002338EF"/>
    <w:rsid w:val="0023422B"/>
    <w:rsid w:val="00235092"/>
    <w:rsid w:val="002359A6"/>
    <w:rsid w:val="002365DD"/>
    <w:rsid w:val="00236919"/>
    <w:rsid w:val="00237F28"/>
    <w:rsid w:val="00240B4E"/>
    <w:rsid w:val="00241638"/>
    <w:rsid w:val="002423D2"/>
    <w:rsid w:val="00243DF0"/>
    <w:rsid w:val="002460D5"/>
    <w:rsid w:val="002502DF"/>
    <w:rsid w:val="0025033E"/>
    <w:rsid w:val="00251535"/>
    <w:rsid w:val="0025209A"/>
    <w:rsid w:val="002527A1"/>
    <w:rsid w:val="002529D9"/>
    <w:rsid w:val="00255C64"/>
    <w:rsid w:val="00256092"/>
    <w:rsid w:val="00256126"/>
    <w:rsid w:val="0025767D"/>
    <w:rsid w:val="002600C9"/>
    <w:rsid w:val="002609AA"/>
    <w:rsid w:val="00260B3D"/>
    <w:rsid w:val="00261781"/>
    <w:rsid w:val="00261E26"/>
    <w:rsid w:val="00263F6B"/>
    <w:rsid w:val="00266792"/>
    <w:rsid w:val="00266F10"/>
    <w:rsid w:val="00267236"/>
    <w:rsid w:val="0027253C"/>
    <w:rsid w:val="00272B04"/>
    <w:rsid w:val="00273DCB"/>
    <w:rsid w:val="00275929"/>
    <w:rsid w:val="0027636F"/>
    <w:rsid w:val="00277A82"/>
    <w:rsid w:val="00282CA2"/>
    <w:rsid w:val="00282F3B"/>
    <w:rsid w:val="00283E3E"/>
    <w:rsid w:val="002840AC"/>
    <w:rsid w:val="0028707B"/>
    <w:rsid w:val="0028794C"/>
    <w:rsid w:val="002952D0"/>
    <w:rsid w:val="0029592C"/>
    <w:rsid w:val="002978BB"/>
    <w:rsid w:val="002A0915"/>
    <w:rsid w:val="002A13C7"/>
    <w:rsid w:val="002A1B31"/>
    <w:rsid w:val="002A2743"/>
    <w:rsid w:val="002A5F76"/>
    <w:rsid w:val="002A6111"/>
    <w:rsid w:val="002A6957"/>
    <w:rsid w:val="002A7F8C"/>
    <w:rsid w:val="002B0D6B"/>
    <w:rsid w:val="002B1734"/>
    <w:rsid w:val="002B1814"/>
    <w:rsid w:val="002B19C9"/>
    <w:rsid w:val="002B297B"/>
    <w:rsid w:val="002B452C"/>
    <w:rsid w:val="002B524C"/>
    <w:rsid w:val="002B680C"/>
    <w:rsid w:val="002B6C06"/>
    <w:rsid w:val="002B6DFA"/>
    <w:rsid w:val="002C0101"/>
    <w:rsid w:val="002C170A"/>
    <w:rsid w:val="002C1A8D"/>
    <w:rsid w:val="002C2347"/>
    <w:rsid w:val="002C3EC7"/>
    <w:rsid w:val="002C53CA"/>
    <w:rsid w:val="002C5560"/>
    <w:rsid w:val="002C5A2E"/>
    <w:rsid w:val="002C692E"/>
    <w:rsid w:val="002C6F9D"/>
    <w:rsid w:val="002D00CF"/>
    <w:rsid w:val="002D0385"/>
    <w:rsid w:val="002D113C"/>
    <w:rsid w:val="002D2937"/>
    <w:rsid w:val="002D461B"/>
    <w:rsid w:val="002D630B"/>
    <w:rsid w:val="002D781A"/>
    <w:rsid w:val="002D79F8"/>
    <w:rsid w:val="002E01A4"/>
    <w:rsid w:val="002E0C59"/>
    <w:rsid w:val="002E3331"/>
    <w:rsid w:val="002E3EE5"/>
    <w:rsid w:val="002E51D8"/>
    <w:rsid w:val="002F172A"/>
    <w:rsid w:val="002F299C"/>
    <w:rsid w:val="002F6181"/>
    <w:rsid w:val="002F70CB"/>
    <w:rsid w:val="002F75F0"/>
    <w:rsid w:val="003024C9"/>
    <w:rsid w:val="00302919"/>
    <w:rsid w:val="003078FE"/>
    <w:rsid w:val="00307D9F"/>
    <w:rsid w:val="0031229F"/>
    <w:rsid w:val="003142A5"/>
    <w:rsid w:val="0031780F"/>
    <w:rsid w:val="00320FFB"/>
    <w:rsid w:val="003217DF"/>
    <w:rsid w:val="003232A1"/>
    <w:rsid w:val="0032497B"/>
    <w:rsid w:val="00324C29"/>
    <w:rsid w:val="00326460"/>
    <w:rsid w:val="00326D8C"/>
    <w:rsid w:val="00330282"/>
    <w:rsid w:val="003329C0"/>
    <w:rsid w:val="00336E83"/>
    <w:rsid w:val="00337C3F"/>
    <w:rsid w:val="003409CB"/>
    <w:rsid w:val="00342014"/>
    <w:rsid w:val="00344FCB"/>
    <w:rsid w:val="003450E7"/>
    <w:rsid w:val="0034656F"/>
    <w:rsid w:val="00346DF2"/>
    <w:rsid w:val="0034701A"/>
    <w:rsid w:val="00347967"/>
    <w:rsid w:val="00350FC7"/>
    <w:rsid w:val="00351C6A"/>
    <w:rsid w:val="00353DEA"/>
    <w:rsid w:val="00356B8C"/>
    <w:rsid w:val="003600A7"/>
    <w:rsid w:val="00361696"/>
    <w:rsid w:val="0036197D"/>
    <w:rsid w:val="00362890"/>
    <w:rsid w:val="00362C13"/>
    <w:rsid w:val="00363C14"/>
    <w:rsid w:val="003640D9"/>
    <w:rsid w:val="00364AA2"/>
    <w:rsid w:val="00364DA4"/>
    <w:rsid w:val="00366ACD"/>
    <w:rsid w:val="00367AFC"/>
    <w:rsid w:val="003703F2"/>
    <w:rsid w:val="003715B9"/>
    <w:rsid w:val="00371B84"/>
    <w:rsid w:val="00372D4E"/>
    <w:rsid w:val="0037310A"/>
    <w:rsid w:val="0037415F"/>
    <w:rsid w:val="00374C9B"/>
    <w:rsid w:val="003772A5"/>
    <w:rsid w:val="00377978"/>
    <w:rsid w:val="00377A1A"/>
    <w:rsid w:val="00377BCC"/>
    <w:rsid w:val="00381320"/>
    <w:rsid w:val="00382C39"/>
    <w:rsid w:val="0038553C"/>
    <w:rsid w:val="00386CD7"/>
    <w:rsid w:val="00387F24"/>
    <w:rsid w:val="0039160C"/>
    <w:rsid w:val="00391E2C"/>
    <w:rsid w:val="00393DED"/>
    <w:rsid w:val="00394050"/>
    <w:rsid w:val="003946BC"/>
    <w:rsid w:val="00394CB9"/>
    <w:rsid w:val="00395F16"/>
    <w:rsid w:val="0039627C"/>
    <w:rsid w:val="00397073"/>
    <w:rsid w:val="0039762B"/>
    <w:rsid w:val="003A0A1A"/>
    <w:rsid w:val="003A1CF7"/>
    <w:rsid w:val="003A1F05"/>
    <w:rsid w:val="003A1F3B"/>
    <w:rsid w:val="003A2172"/>
    <w:rsid w:val="003A2700"/>
    <w:rsid w:val="003A29D9"/>
    <w:rsid w:val="003A44D0"/>
    <w:rsid w:val="003A4B99"/>
    <w:rsid w:val="003A6560"/>
    <w:rsid w:val="003A6898"/>
    <w:rsid w:val="003B13BD"/>
    <w:rsid w:val="003B329F"/>
    <w:rsid w:val="003B5875"/>
    <w:rsid w:val="003B7178"/>
    <w:rsid w:val="003C0313"/>
    <w:rsid w:val="003C10B9"/>
    <w:rsid w:val="003C5443"/>
    <w:rsid w:val="003C5D1C"/>
    <w:rsid w:val="003D06E3"/>
    <w:rsid w:val="003D0725"/>
    <w:rsid w:val="003D2D45"/>
    <w:rsid w:val="003D2E69"/>
    <w:rsid w:val="003D371E"/>
    <w:rsid w:val="003D680A"/>
    <w:rsid w:val="003E1A3F"/>
    <w:rsid w:val="003E1AFF"/>
    <w:rsid w:val="003E1D9F"/>
    <w:rsid w:val="003E26B1"/>
    <w:rsid w:val="003E408B"/>
    <w:rsid w:val="003E414F"/>
    <w:rsid w:val="003E49E8"/>
    <w:rsid w:val="003E58D5"/>
    <w:rsid w:val="003E6087"/>
    <w:rsid w:val="003E6B33"/>
    <w:rsid w:val="003F0557"/>
    <w:rsid w:val="003F05A5"/>
    <w:rsid w:val="003F0C0B"/>
    <w:rsid w:val="003F0CCA"/>
    <w:rsid w:val="003F222E"/>
    <w:rsid w:val="003F258A"/>
    <w:rsid w:val="003F7490"/>
    <w:rsid w:val="00400CAF"/>
    <w:rsid w:val="00404A01"/>
    <w:rsid w:val="00404E13"/>
    <w:rsid w:val="004062B6"/>
    <w:rsid w:val="00407E78"/>
    <w:rsid w:val="00407FF8"/>
    <w:rsid w:val="0041029F"/>
    <w:rsid w:val="004137C0"/>
    <w:rsid w:val="00413AE9"/>
    <w:rsid w:val="00414BDA"/>
    <w:rsid w:val="0041600C"/>
    <w:rsid w:val="0041606D"/>
    <w:rsid w:val="004161D1"/>
    <w:rsid w:val="0041685A"/>
    <w:rsid w:val="0042091E"/>
    <w:rsid w:val="004215A5"/>
    <w:rsid w:val="004215C4"/>
    <w:rsid w:val="00423C20"/>
    <w:rsid w:val="00423F51"/>
    <w:rsid w:val="00425062"/>
    <w:rsid w:val="00430D33"/>
    <w:rsid w:val="00430F73"/>
    <w:rsid w:val="00431458"/>
    <w:rsid w:val="00434732"/>
    <w:rsid w:val="00436BDC"/>
    <w:rsid w:val="00436EDB"/>
    <w:rsid w:val="00440371"/>
    <w:rsid w:val="00445033"/>
    <w:rsid w:val="00446AE7"/>
    <w:rsid w:val="00446C99"/>
    <w:rsid w:val="00447E92"/>
    <w:rsid w:val="0045089D"/>
    <w:rsid w:val="00451404"/>
    <w:rsid w:val="00452AC1"/>
    <w:rsid w:val="00453DA0"/>
    <w:rsid w:val="00454720"/>
    <w:rsid w:val="0046127F"/>
    <w:rsid w:val="004612D7"/>
    <w:rsid w:val="00461AB0"/>
    <w:rsid w:val="004625B4"/>
    <w:rsid w:val="00462FC6"/>
    <w:rsid w:val="004642F9"/>
    <w:rsid w:val="00464400"/>
    <w:rsid w:val="00466101"/>
    <w:rsid w:val="004719F3"/>
    <w:rsid w:val="00471D74"/>
    <w:rsid w:val="00472525"/>
    <w:rsid w:val="0047331D"/>
    <w:rsid w:val="0047337D"/>
    <w:rsid w:val="00474069"/>
    <w:rsid w:val="004744DD"/>
    <w:rsid w:val="00474802"/>
    <w:rsid w:val="00476D37"/>
    <w:rsid w:val="00480EA4"/>
    <w:rsid w:val="00484D02"/>
    <w:rsid w:val="00486841"/>
    <w:rsid w:val="00487071"/>
    <w:rsid w:val="0049165E"/>
    <w:rsid w:val="00492431"/>
    <w:rsid w:val="0049251B"/>
    <w:rsid w:val="004925F4"/>
    <w:rsid w:val="00492947"/>
    <w:rsid w:val="00492CF5"/>
    <w:rsid w:val="00492E09"/>
    <w:rsid w:val="00493C33"/>
    <w:rsid w:val="00493D89"/>
    <w:rsid w:val="0049417F"/>
    <w:rsid w:val="004947F9"/>
    <w:rsid w:val="00494CAE"/>
    <w:rsid w:val="0049630A"/>
    <w:rsid w:val="00497150"/>
    <w:rsid w:val="004A590E"/>
    <w:rsid w:val="004A5D0D"/>
    <w:rsid w:val="004A65C4"/>
    <w:rsid w:val="004A7CC7"/>
    <w:rsid w:val="004B3818"/>
    <w:rsid w:val="004B47AC"/>
    <w:rsid w:val="004B50BA"/>
    <w:rsid w:val="004B5955"/>
    <w:rsid w:val="004B70EE"/>
    <w:rsid w:val="004C078E"/>
    <w:rsid w:val="004C2144"/>
    <w:rsid w:val="004C31E4"/>
    <w:rsid w:val="004C511F"/>
    <w:rsid w:val="004C5D38"/>
    <w:rsid w:val="004D1A66"/>
    <w:rsid w:val="004D1E4C"/>
    <w:rsid w:val="004D2A69"/>
    <w:rsid w:val="004D2F80"/>
    <w:rsid w:val="004D4541"/>
    <w:rsid w:val="004D55CA"/>
    <w:rsid w:val="004D5E4A"/>
    <w:rsid w:val="004D7BC1"/>
    <w:rsid w:val="004D7EA7"/>
    <w:rsid w:val="004D7FDA"/>
    <w:rsid w:val="004E1F53"/>
    <w:rsid w:val="004E7170"/>
    <w:rsid w:val="004E7955"/>
    <w:rsid w:val="004F0129"/>
    <w:rsid w:val="004F1203"/>
    <w:rsid w:val="004F1500"/>
    <w:rsid w:val="004F31B5"/>
    <w:rsid w:val="004F625E"/>
    <w:rsid w:val="004F661C"/>
    <w:rsid w:val="004F72FD"/>
    <w:rsid w:val="004F7C56"/>
    <w:rsid w:val="004F7EDE"/>
    <w:rsid w:val="005024E5"/>
    <w:rsid w:val="00502DE4"/>
    <w:rsid w:val="00503651"/>
    <w:rsid w:val="00503B5E"/>
    <w:rsid w:val="005046D7"/>
    <w:rsid w:val="00504F4A"/>
    <w:rsid w:val="005052F2"/>
    <w:rsid w:val="005062DF"/>
    <w:rsid w:val="00507E06"/>
    <w:rsid w:val="00510637"/>
    <w:rsid w:val="0051139E"/>
    <w:rsid w:val="00511F6F"/>
    <w:rsid w:val="0051426C"/>
    <w:rsid w:val="0051775A"/>
    <w:rsid w:val="00517B29"/>
    <w:rsid w:val="00522F5B"/>
    <w:rsid w:val="00523C3F"/>
    <w:rsid w:val="00523F4D"/>
    <w:rsid w:val="00524208"/>
    <w:rsid w:val="00525104"/>
    <w:rsid w:val="00525CD6"/>
    <w:rsid w:val="00526083"/>
    <w:rsid w:val="005312CD"/>
    <w:rsid w:val="00531717"/>
    <w:rsid w:val="00532ECB"/>
    <w:rsid w:val="0053539D"/>
    <w:rsid w:val="005374B9"/>
    <w:rsid w:val="00537BB8"/>
    <w:rsid w:val="00537BCE"/>
    <w:rsid w:val="00547159"/>
    <w:rsid w:val="005504EC"/>
    <w:rsid w:val="00551EB1"/>
    <w:rsid w:val="005524F4"/>
    <w:rsid w:val="005528DC"/>
    <w:rsid w:val="00552C03"/>
    <w:rsid w:val="005539D3"/>
    <w:rsid w:val="005546B5"/>
    <w:rsid w:val="00554889"/>
    <w:rsid w:val="00562465"/>
    <w:rsid w:val="00563A56"/>
    <w:rsid w:val="005653F2"/>
    <w:rsid w:val="005654C4"/>
    <w:rsid w:val="00567945"/>
    <w:rsid w:val="005701CA"/>
    <w:rsid w:val="0057342A"/>
    <w:rsid w:val="00575C60"/>
    <w:rsid w:val="00581209"/>
    <w:rsid w:val="0058246A"/>
    <w:rsid w:val="005830B1"/>
    <w:rsid w:val="00584D3C"/>
    <w:rsid w:val="00585B02"/>
    <w:rsid w:val="005952B9"/>
    <w:rsid w:val="00596D04"/>
    <w:rsid w:val="0059763A"/>
    <w:rsid w:val="005A04A2"/>
    <w:rsid w:val="005A0630"/>
    <w:rsid w:val="005A16B7"/>
    <w:rsid w:val="005A29A4"/>
    <w:rsid w:val="005A32F7"/>
    <w:rsid w:val="005A42C8"/>
    <w:rsid w:val="005A5CDD"/>
    <w:rsid w:val="005A75B5"/>
    <w:rsid w:val="005A769A"/>
    <w:rsid w:val="005A788A"/>
    <w:rsid w:val="005B0ACE"/>
    <w:rsid w:val="005B18A8"/>
    <w:rsid w:val="005B2368"/>
    <w:rsid w:val="005B3CF5"/>
    <w:rsid w:val="005B3E72"/>
    <w:rsid w:val="005B6BA8"/>
    <w:rsid w:val="005C18F6"/>
    <w:rsid w:val="005C1AD0"/>
    <w:rsid w:val="005C3301"/>
    <w:rsid w:val="005C42AC"/>
    <w:rsid w:val="005C4656"/>
    <w:rsid w:val="005C4BED"/>
    <w:rsid w:val="005C61A4"/>
    <w:rsid w:val="005C696B"/>
    <w:rsid w:val="005C6CC5"/>
    <w:rsid w:val="005C7E97"/>
    <w:rsid w:val="005D104E"/>
    <w:rsid w:val="005D15A2"/>
    <w:rsid w:val="005D2C1F"/>
    <w:rsid w:val="005D5AC0"/>
    <w:rsid w:val="005D6FD5"/>
    <w:rsid w:val="005D739E"/>
    <w:rsid w:val="005E164C"/>
    <w:rsid w:val="005E3B7F"/>
    <w:rsid w:val="005E3E53"/>
    <w:rsid w:val="005E44F9"/>
    <w:rsid w:val="005E5923"/>
    <w:rsid w:val="005E6D80"/>
    <w:rsid w:val="005F0746"/>
    <w:rsid w:val="006003BA"/>
    <w:rsid w:val="00600F09"/>
    <w:rsid w:val="0060112B"/>
    <w:rsid w:val="00601CD3"/>
    <w:rsid w:val="00602B6E"/>
    <w:rsid w:val="00602DAF"/>
    <w:rsid w:val="006040A7"/>
    <w:rsid w:val="00604358"/>
    <w:rsid w:val="00605414"/>
    <w:rsid w:val="006069B2"/>
    <w:rsid w:val="00606D21"/>
    <w:rsid w:val="006126C9"/>
    <w:rsid w:val="00612C35"/>
    <w:rsid w:val="00612D58"/>
    <w:rsid w:val="006136BA"/>
    <w:rsid w:val="00615899"/>
    <w:rsid w:val="00616526"/>
    <w:rsid w:val="00616919"/>
    <w:rsid w:val="00617E19"/>
    <w:rsid w:val="00620D5C"/>
    <w:rsid w:val="0062165A"/>
    <w:rsid w:val="00621C10"/>
    <w:rsid w:val="00624516"/>
    <w:rsid w:val="00624A48"/>
    <w:rsid w:val="0062623C"/>
    <w:rsid w:val="00626B6E"/>
    <w:rsid w:val="00630899"/>
    <w:rsid w:val="00630D09"/>
    <w:rsid w:val="00630FB1"/>
    <w:rsid w:val="006329C9"/>
    <w:rsid w:val="00632B62"/>
    <w:rsid w:val="006353F0"/>
    <w:rsid w:val="006368D3"/>
    <w:rsid w:val="00637914"/>
    <w:rsid w:val="00640365"/>
    <w:rsid w:val="006404F7"/>
    <w:rsid w:val="006406BF"/>
    <w:rsid w:val="006407C9"/>
    <w:rsid w:val="00641216"/>
    <w:rsid w:val="006443DD"/>
    <w:rsid w:val="006451D5"/>
    <w:rsid w:val="006469B8"/>
    <w:rsid w:val="006472D2"/>
    <w:rsid w:val="00652122"/>
    <w:rsid w:val="00652D27"/>
    <w:rsid w:val="00652E40"/>
    <w:rsid w:val="006532DA"/>
    <w:rsid w:val="00656C05"/>
    <w:rsid w:val="00660932"/>
    <w:rsid w:val="006622F9"/>
    <w:rsid w:val="006624F2"/>
    <w:rsid w:val="006628C0"/>
    <w:rsid w:val="0066364C"/>
    <w:rsid w:val="00663881"/>
    <w:rsid w:val="006643E5"/>
    <w:rsid w:val="0066462F"/>
    <w:rsid w:val="00665051"/>
    <w:rsid w:val="0066552F"/>
    <w:rsid w:val="00666B61"/>
    <w:rsid w:val="00670273"/>
    <w:rsid w:val="006709F6"/>
    <w:rsid w:val="00671AB7"/>
    <w:rsid w:val="006745BE"/>
    <w:rsid w:val="00675799"/>
    <w:rsid w:val="00675C38"/>
    <w:rsid w:val="00675EB8"/>
    <w:rsid w:val="00676177"/>
    <w:rsid w:val="00677BE9"/>
    <w:rsid w:val="006807D8"/>
    <w:rsid w:val="00680EFD"/>
    <w:rsid w:val="0068116E"/>
    <w:rsid w:val="00681DD2"/>
    <w:rsid w:val="00682336"/>
    <w:rsid w:val="00682A4B"/>
    <w:rsid w:val="00682D8A"/>
    <w:rsid w:val="00682FA9"/>
    <w:rsid w:val="00683168"/>
    <w:rsid w:val="0068424D"/>
    <w:rsid w:val="006865BD"/>
    <w:rsid w:val="00686670"/>
    <w:rsid w:val="00687F84"/>
    <w:rsid w:val="006901BD"/>
    <w:rsid w:val="00692830"/>
    <w:rsid w:val="0069354E"/>
    <w:rsid w:val="00695D47"/>
    <w:rsid w:val="0069615D"/>
    <w:rsid w:val="006969B8"/>
    <w:rsid w:val="006A00FA"/>
    <w:rsid w:val="006A1EBD"/>
    <w:rsid w:val="006A3BE8"/>
    <w:rsid w:val="006A447E"/>
    <w:rsid w:val="006A556C"/>
    <w:rsid w:val="006A73C3"/>
    <w:rsid w:val="006A76C2"/>
    <w:rsid w:val="006A7E72"/>
    <w:rsid w:val="006B0615"/>
    <w:rsid w:val="006B0857"/>
    <w:rsid w:val="006B13D5"/>
    <w:rsid w:val="006B1D6A"/>
    <w:rsid w:val="006B6501"/>
    <w:rsid w:val="006B6A98"/>
    <w:rsid w:val="006B6CDE"/>
    <w:rsid w:val="006B7DF8"/>
    <w:rsid w:val="006C0B88"/>
    <w:rsid w:val="006C17D1"/>
    <w:rsid w:val="006C1F1B"/>
    <w:rsid w:val="006C1F37"/>
    <w:rsid w:val="006C2461"/>
    <w:rsid w:val="006C305A"/>
    <w:rsid w:val="006D1689"/>
    <w:rsid w:val="006D3750"/>
    <w:rsid w:val="006D41BF"/>
    <w:rsid w:val="006D47A7"/>
    <w:rsid w:val="006D5A7C"/>
    <w:rsid w:val="006E2035"/>
    <w:rsid w:val="006E242E"/>
    <w:rsid w:val="006E33CB"/>
    <w:rsid w:val="006E4816"/>
    <w:rsid w:val="006E7947"/>
    <w:rsid w:val="006F154C"/>
    <w:rsid w:val="006F1C0A"/>
    <w:rsid w:val="006F1C65"/>
    <w:rsid w:val="006F2E26"/>
    <w:rsid w:val="006F430D"/>
    <w:rsid w:val="006F4609"/>
    <w:rsid w:val="006F6377"/>
    <w:rsid w:val="006F6B37"/>
    <w:rsid w:val="006F6D57"/>
    <w:rsid w:val="00702102"/>
    <w:rsid w:val="00702187"/>
    <w:rsid w:val="0070566E"/>
    <w:rsid w:val="00705C06"/>
    <w:rsid w:val="00705E3C"/>
    <w:rsid w:val="00710D3F"/>
    <w:rsid w:val="007112A7"/>
    <w:rsid w:val="00711C63"/>
    <w:rsid w:val="00713059"/>
    <w:rsid w:val="00713F4D"/>
    <w:rsid w:val="00714A85"/>
    <w:rsid w:val="0071605E"/>
    <w:rsid w:val="00721BEE"/>
    <w:rsid w:val="00723110"/>
    <w:rsid w:val="00723298"/>
    <w:rsid w:val="007245C8"/>
    <w:rsid w:val="007248FE"/>
    <w:rsid w:val="00724D66"/>
    <w:rsid w:val="00726118"/>
    <w:rsid w:val="0072627B"/>
    <w:rsid w:val="0072777A"/>
    <w:rsid w:val="0073152A"/>
    <w:rsid w:val="0073169E"/>
    <w:rsid w:val="007403FC"/>
    <w:rsid w:val="007424E5"/>
    <w:rsid w:val="00745904"/>
    <w:rsid w:val="007534F6"/>
    <w:rsid w:val="00754F01"/>
    <w:rsid w:val="00756635"/>
    <w:rsid w:val="0075783F"/>
    <w:rsid w:val="0076098F"/>
    <w:rsid w:val="007613C1"/>
    <w:rsid w:val="00761D6B"/>
    <w:rsid w:val="00762C69"/>
    <w:rsid w:val="00765369"/>
    <w:rsid w:val="00765BBB"/>
    <w:rsid w:val="00765E9D"/>
    <w:rsid w:val="0076621D"/>
    <w:rsid w:val="00766629"/>
    <w:rsid w:val="00770B68"/>
    <w:rsid w:val="00771D89"/>
    <w:rsid w:val="00772A66"/>
    <w:rsid w:val="00773CBE"/>
    <w:rsid w:val="00774015"/>
    <w:rsid w:val="0077446E"/>
    <w:rsid w:val="00776896"/>
    <w:rsid w:val="0078431D"/>
    <w:rsid w:val="00790F11"/>
    <w:rsid w:val="007922E1"/>
    <w:rsid w:val="00792378"/>
    <w:rsid w:val="007949BD"/>
    <w:rsid w:val="00795905"/>
    <w:rsid w:val="00797C05"/>
    <w:rsid w:val="007A0D05"/>
    <w:rsid w:val="007A1EA5"/>
    <w:rsid w:val="007A2519"/>
    <w:rsid w:val="007A3DFD"/>
    <w:rsid w:val="007B021A"/>
    <w:rsid w:val="007B0425"/>
    <w:rsid w:val="007B2361"/>
    <w:rsid w:val="007B2B25"/>
    <w:rsid w:val="007B388A"/>
    <w:rsid w:val="007B4331"/>
    <w:rsid w:val="007B4F8F"/>
    <w:rsid w:val="007B58EA"/>
    <w:rsid w:val="007B7A1D"/>
    <w:rsid w:val="007C18A1"/>
    <w:rsid w:val="007C2D38"/>
    <w:rsid w:val="007C3292"/>
    <w:rsid w:val="007C5113"/>
    <w:rsid w:val="007C5C47"/>
    <w:rsid w:val="007C5EF4"/>
    <w:rsid w:val="007C6168"/>
    <w:rsid w:val="007C7126"/>
    <w:rsid w:val="007D2A4C"/>
    <w:rsid w:val="007D50F1"/>
    <w:rsid w:val="007D5227"/>
    <w:rsid w:val="007D52C2"/>
    <w:rsid w:val="007D55A8"/>
    <w:rsid w:val="007D646D"/>
    <w:rsid w:val="007D6CED"/>
    <w:rsid w:val="007D713D"/>
    <w:rsid w:val="007D7B02"/>
    <w:rsid w:val="007E042B"/>
    <w:rsid w:val="007E2DB5"/>
    <w:rsid w:val="007E3C34"/>
    <w:rsid w:val="007E59C5"/>
    <w:rsid w:val="007F4886"/>
    <w:rsid w:val="008000B2"/>
    <w:rsid w:val="008008DB"/>
    <w:rsid w:val="00803C5B"/>
    <w:rsid w:val="00804726"/>
    <w:rsid w:val="00804ED9"/>
    <w:rsid w:val="00806914"/>
    <w:rsid w:val="00807A6B"/>
    <w:rsid w:val="00807BCF"/>
    <w:rsid w:val="00812780"/>
    <w:rsid w:val="008138ED"/>
    <w:rsid w:val="00816F42"/>
    <w:rsid w:val="008170AD"/>
    <w:rsid w:val="00817AC7"/>
    <w:rsid w:val="00817D19"/>
    <w:rsid w:val="00821709"/>
    <w:rsid w:val="00822FDD"/>
    <w:rsid w:val="00825FC5"/>
    <w:rsid w:val="00826EB4"/>
    <w:rsid w:val="008310D9"/>
    <w:rsid w:val="008327A3"/>
    <w:rsid w:val="00833956"/>
    <w:rsid w:val="008345EC"/>
    <w:rsid w:val="00834BB5"/>
    <w:rsid w:val="008375A8"/>
    <w:rsid w:val="008428E3"/>
    <w:rsid w:val="00842DF1"/>
    <w:rsid w:val="00845E3E"/>
    <w:rsid w:val="00850634"/>
    <w:rsid w:val="00850710"/>
    <w:rsid w:val="008528EE"/>
    <w:rsid w:val="0085647C"/>
    <w:rsid w:val="0086006D"/>
    <w:rsid w:val="008700EC"/>
    <w:rsid w:val="0087180C"/>
    <w:rsid w:val="008722BB"/>
    <w:rsid w:val="008726E9"/>
    <w:rsid w:val="00872BE7"/>
    <w:rsid w:val="00872FD7"/>
    <w:rsid w:val="0087326A"/>
    <w:rsid w:val="0087376C"/>
    <w:rsid w:val="00874210"/>
    <w:rsid w:val="00875E5F"/>
    <w:rsid w:val="0087609E"/>
    <w:rsid w:val="00876269"/>
    <w:rsid w:val="00876D30"/>
    <w:rsid w:val="008776D3"/>
    <w:rsid w:val="00880C77"/>
    <w:rsid w:val="00882392"/>
    <w:rsid w:val="00882CF7"/>
    <w:rsid w:val="00883B65"/>
    <w:rsid w:val="00884432"/>
    <w:rsid w:val="00884FC0"/>
    <w:rsid w:val="00886429"/>
    <w:rsid w:val="00890513"/>
    <w:rsid w:val="008912FF"/>
    <w:rsid w:val="00894BD8"/>
    <w:rsid w:val="00894FDC"/>
    <w:rsid w:val="008978B1"/>
    <w:rsid w:val="008A3557"/>
    <w:rsid w:val="008A37A6"/>
    <w:rsid w:val="008A54D2"/>
    <w:rsid w:val="008A7513"/>
    <w:rsid w:val="008B044C"/>
    <w:rsid w:val="008B0811"/>
    <w:rsid w:val="008B144B"/>
    <w:rsid w:val="008B1469"/>
    <w:rsid w:val="008B60A9"/>
    <w:rsid w:val="008B62AE"/>
    <w:rsid w:val="008B6BB5"/>
    <w:rsid w:val="008C29A1"/>
    <w:rsid w:val="008D0C13"/>
    <w:rsid w:val="008D0EAE"/>
    <w:rsid w:val="008D30ED"/>
    <w:rsid w:val="008D3552"/>
    <w:rsid w:val="008D4024"/>
    <w:rsid w:val="008D6A82"/>
    <w:rsid w:val="008E1CF5"/>
    <w:rsid w:val="008E240B"/>
    <w:rsid w:val="008E2B65"/>
    <w:rsid w:val="008E2C13"/>
    <w:rsid w:val="008E3BA0"/>
    <w:rsid w:val="008E5272"/>
    <w:rsid w:val="008E5784"/>
    <w:rsid w:val="008E624C"/>
    <w:rsid w:val="008F252A"/>
    <w:rsid w:val="008F363C"/>
    <w:rsid w:val="009020DD"/>
    <w:rsid w:val="00902E8D"/>
    <w:rsid w:val="0090431A"/>
    <w:rsid w:val="009056A8"/>
    <w:rsid w:val="0090722D"/>
    <w:rsid w:val="00907FA8"/>
    <w:rsid w:val="009140F3"/>
    <w:rsid w:val="00916721"/>
    <w:rsid w:val="00917806"/>
    <w:rsid w:val="009179BC"/>
    <w:rsid w:val="00917D23"/>
    <w:rsid w:val="0092005C"/>
    <w:rsid w:val="009207F9"/>
    <w:rsid w:val="00920EAC"/>
    <w:rsid w:val="00921810"/>
    <w:rsid w:val="00921C66"/>
    <w:rsid w:val="0092322F"/>
    <w:rsid w:val="0092393D"/>
    <w:rsid w:val="00924E47"/>
    <w:rsid w:val="009304C5"/>
    <w:rsid w:val="00930687"/>
    <w:rsid w:val="00932D48"/>
    <w:rsid w:val="00933D09"/>
    <w:rsid w:val="00934575"/>
    <w:rsid w:val="009404D9"/>
    <w:rsid w:val="00941F76"/>
    <w:rsid w:val="009425AF"/>
    <w:rsid w:val="009428A9"/>
    <w:rsid w:val="0094706B"/>
    <w:rsid w:val="009472DC"/>
    <w:rsid w:val="00947698"/>
    <w:rsid w:val="00947DF0"/>
    <w:rsid w:val="00950B24"/>
    <w:rsid w:val="0095420F"/>
    <w:rsid w:val="00954892"/>
    <w:rsid w:val="00957A4A"/>
    <w:rsid w:val="00960D5A"/>
    <w:rsid w:val="009613AC"/>
    <w:rsid w:val="0096149D"/>
    <w:rsid w:val="00963939"/>
    <w:rsid w:val="00966A2E"/>
    <w:rsid w:val="00970CCB"/>
    <w:rsid w:val="0097213A"/>
    <w:rsid w:val="00972980"/>
    <w:rsid w:val="00973834"/>
    <w:rsid w:val="009738E3"/>
    <w:rsid w:val="00975ACF"/>
    <w:rsid w:val="00975C15"/>
    <w:rsid w:val="00976B9D"/>
    <w:rsid w:val="009806C5"/>
    <w:rsid w:val="00980DFE"/>
    <w:rsid w:val="00981C0C"/>
    <w:rsid w:val="00982D8C"/>
    <w:rsid w:val="009830E3"/>
    <w:rsid w:val="0098433D"/>
    <w:rsid w:val="00984B3E"/>
    <w:rsid w:val="009853A6"/>
    <w:rsid w:val="00985E0D"/>
    <w:rsid w:val="00987033"/>
    <w:rsid w:val="009874A1"/>
    <w:rsid w:val="009874CF"/>
    <w:rsid w:val="009906E5"/>
    <w:rsid w:val="00990EB2"/>
    <w:rsid w:val="00994B6D"/>
    <w:rsid w:val="00994CA5"/>
    <w:rsid w:val="00995018"/>
    <w:rsid w:val="00995028"/>
    <w:rsid w:val="00995779"/>
    <w:rsid w:val="009A278A"/>
    <w:rsid w:val="009A3C15"/>
    <w:rsid w:val="009A4A88"/>
    <w:rsid w:val="009A4B72"/>
    <w:rsid w:val="009B3E12"/>
    <w:rsid w:val="009B6733"/>
    <w:rsid w:val="009B7300"/>
    <w:rsid w:val="009B7310"/>
    <w:rsid w:val="009C0AF2"/>
    <w:rsid w:val="009C2A29"/>
    <w:rsid w:val="009C437A"/>
    <w:rsid w:val="009C4E75"/>
    <w:rsid w:val="009C6168"/>
    <w:rsid w:val="009C618C"/>
    <w:rsid w:val="009C72DA"/>
    <w:rsid w:val="009C730A"/>
    <w:rsid w:val="009C7385"/>
    <w:rsid w:val="009D09FE"/>
    <w:rsid w:val="009D0DCF"/>
    <w:rsid w:val="009D3467"/>
    <w:rsid w:val="009D7550"/>
    <w:rsid w:val="009D758C"/>
    <w:rsid w:val="009E01EA"/>
    <w:rsid w:val="009E021E"/>
    <w:rsid w:val="009E3847"/>
    <w:rsid w:val="009E3F5E"/>
    <w:rsid w:val="009E6EB9"/>
    <w:rsid w:val="009E6F7B"/>
    <w:rsid w:val="009E7A0E"/>
    <w:rsid w:val="009F15BB"/>
    <w:rsid w:val="009F268D"/>
    <w:rsid w:val="009F2C1B"/>
    <w:rsid w:val="009F30CA"/>
    <w:rsid w:val="009F5044"/>
    <w:rsid w:val="009F73AA"/>
    <w:rsid w:val="009F7426"/>
    <w:rsid w:val="00A00191"/>
    <w:rsid w:val="00A00400"/>
    <w:rsid w:val="00A009E9"/>
    <w:rsid w:val="00A00AB0"/>
    <w:rsid w:val="00A00EEC"/>
    <w:rsid w:val="00A01B91"/>
    <w:rsid w:val="00A02721"/>
    <w:rsid w:val="00A04E57"/>
    <w:rsid w:val="00A06EE1"/>
    <w:rsid w:val="00A108B0"/>
    <w:rsid w:val="00A140EA"/>
    <w:rsid w:val="00A152DE"/>
    <w:rsid w:val="00A20B3A"/>
    <w:rsid w:val="00A21046"/>
    <w:rsid w:val="00A2190B"/>
    <w:rsid w:val="00A23795"/>
    <w:rsid w:val="00A238D9"/>
    <w:rsid w:val="00A27718"/>
    <w:rsid w:val="00A30A01"/>
    <w:rsid w:val="00A30BBF"/>
    <w:rsid w:val="00A30C75"/>
    <w:rsid w:val="00A36A34"/>
    <w:rsid w:val="00A3720A"/>
    <w:rsid w:val="00A41AAB"/>
    <w:rsid w:val="00A42441"/>
    <w:rsid w:val="00A430EA"/>
    <w:rsid w:val="00A44D98"/>
    <w:rsid w:val="00A46190"/>
    <w:rsid w:val="00A46811"/>
    <w:rsid w:val="00A47033"/>
    <w:rsid w:val="00A51BAB"/>
    <w:rsid w:val="00A5250E"/>
    <w:rsid w:val="00A54919"/>
    <w:rsid w:val="00A55976"/>
    <w:rsid w:val="00A5626E"/>
    <w:rsid w:val="00A578D2"/>
    <w:rsid w:val="00A61FCC"/>
    <w:rsid w:val="00A66F62"/>
    <w:rsid w:val="00A670CA"/>
    <w:rsid w:val="00A715BE"/>
    <w:rsid w:val="00A73448"/>
    <w:rsid w:val="00A75073"/>
    <w:rsid w:val="00A776E8"/>
    <w:rsid w:val="00A777FD"/>
    <w:rsid w:val="00A77B51"/>
    <w:rsid w:val="00A817CD"/>
    <w:rsid w:val="00A818A0"/>
    <w:rsid w:val="00A81BDB"/>
    <w:rsid w:val="00A824B0"/>
    <w:rsid w:val="00A83377"/>
    <w:rsid w:val="00A83736"/>
    <w:rsid w:val="00A83779"/>
    <w:rsid w:val="00A84E4D"/>
    <w:rsid w:val="00A86603"/>
    <w:rsid w:val="00A95BCF"/>
    <w:rsid w:val="00A961E4"/>
    <w:rsid w:val="00A9663C"/>
    <w:rsid w:val="00A97171"/>
    <w:rsid w:val="00A97ACF"/>
    <w:rsid w:val="00A97B27"/>
    <w:rsid w:val="00AA0C29"/>
    <w:rsid w:val="00AA11CC"/>
    <w:rsid w:val="00AA124A"/>
    <w:rsid w:val="00AA281C"/>
    <w:rsid w:val="00AA6635"/>
    <w:rsid w:val="00AA6661"/>
    <w:rsid w:val="00AA6B9D"/>
    <w:rsid w:val="00AA73E5"/>
    <w:rsid w:val="00AB0F0C"/>
    <w:rsid w:val="00AB1F9E"/>
    <w:rsid w:val="00AB32F7"/>
    <w:rsid w:val="00AB3AE7"/>
    <w:rsid w:val="00AB44F9"/>
    <w:rsid w:val="00AB60DF"/>
    <w:rsid w:val="00AB6D52"/>
    <w:rsid w:val="00AB7BD4"/>
    <w:rsid w:val="00AB7DDC"/>
    <w:rsid w:val="00AC2A17"/>
    <w:rsid w:val="00AC2D00"/>
    <w:rsid w:val="00AC3D62"/>
    <w:rsid w:val="00AC4089"/>
    <w:rsid w:val="00AC4C45"/>
    <w:rsid w:val="00AC51E6"/>
    <w:rsid w:val="00AC5FDF"/>
    <w:rsid w:val="00AC6899"/>
    <w:rsid w:val="00AC69ED"/>
    <w:rsid w:val="00AC7837"/>
    <w:rsid w:val="00AD0B58"/>
    <w:rsid w:val="00AD1A9B"/>
    <w:rsid w:val="00AD2882"/>
    <w:rsid w:val="00AD314B"/>
    <w:rsid w:val="00AD3AD0"/>
    <w:rsid w:val="00AD4744"/>
    <w:rsid w:val="00AD549B"/>
    <w:rsid w:val="00AD56AC"/>
    <w:rsid w:val="00AD5A76"/>
    <w:rsid w:val="00AE073B"/>
    <w:rsid w:val="00AE0D56"/>
    <w:rsid w:val="00AE22A3"/>
    <w:rsid w:val="00AE3ED8"/>
    <w:rsid w:val="00AE4FF6"/>
    <w:rsid w:val="00AE50C1"/>
    <w:rsid w:val="00AE5EC3"/>
    <w:rsid w:val="00AE6547"/>
    <w:rsid w:val="00AF1D44"/>
    <w:rsid w:val="00AF545F"/>
    <w:rsid w:val="00AF5CE8"/>
    <w:rsid w:val="00AF7A1E"/>
    <w:rsid w:val="00B00D32"/>
    <w:rsid w:val="00B01953"/>
    <w:rsid w:val="00B02C54"/>
    <w:rsid w:val="00B03B83"/>
    <w:rsid w:val="00B044C0"/>
    <w:rsid w:val="00B0552A"/>
    <w:rsid w:val="00B06F6B"/>
    <w:rsid w:val="00B0722E"/>
    <w:rsid w:val="00B078DB"/>
    <w:rsid w:val="00B136D7"/>
    <w:rsid w:val="00B1431D"/>
    <w:rsid w:val="00B148A5"/>
    <w:rsid w:val="00B174B8"/>
    <w:rsid w:val="00B20541"/>
    <w:rsid w:val="00B24445"/>
    <w:rsid w:val="00B247CC"/>
    <w:rsid w:val="00B25DBD"/>
    <w:rsid w:val="00B267B8"/>
    <w:rsid w:val="00B27B1A"/>
    <w:rsid w:val="00B36164"/>
    <w:rsid w:val="00B36335"/>
    <w:rsid w:val="00B4014B"/>
    <w:rsid w:val="00B42129"/>
    <w:rsid w:val="00B42A81"/>
    <w:rsid w:val="00B440C8"/>
    <w:rsid w:val="00B44374"/>
    <w:rsid w:val="00B44AED"/>
    <w:rsid w:val="00B45052"/>
    <w:rsid w:val="00B50967"/>
    <w:rsid w:val="00B51437"/>
    <w:rsid w:val="00B51C25"/>
    <w:rsid w:val="00B53F04"/>
    <w:rsid w:val="00B547E3"/>
    <w:rsid w:val="00B55DFE"/>
    <w:rsid w:val="00B61997"/>
    <w:rsid w:val="00B62EB4"/>
    <w:rsid w:val="00B64147"/>
    <w:rsid w:val="00B64F8C"/>
    <w:rsid w:val="00B65AC4"/>
    <w:rsid w:val="00B67612"/>
    <w:rsid w:val="00B67FD9"/>
    <w:rsid w:val="00B70241"/>
    <w:rsid w:val="00B73381"/>
    <w:rsid w:val="00B80796"/>
    <w:rsid w:val="00B82FB1"/>
    <w:rsid w:val="00B83A8F"/>
    <w:rsid w:val="00B85371"/>
    <w:rsid w:val="00B854B9"/>
    <w:rsid w:val="00B85642"/>
    <w:rsid w:val="00B858F8"/>
    <w:rsid w:val="00B90695"/>
    <w:rsid w:val="00B91BCF"/>
    <w:rsid w:val="00B91E54"/>
    <w:rsid w:val="00B921E3"/>
    <w:rsid w:val="00B92C91"/>
    <w:rsid w:val="00B92F5D"/>
    <w:rsid w:val="00B9384D"/>
    <w:rsid w:val="00B95498"/>
    <w:rsid w:val="00B958CF"/>
    <w:rsid w:val="00B961F1"/>
    <w:rsid w:val="00BA32CD"/>
    <w:rsid w:val="00BA38BF"/>
    <w:rsid w:val="00BA44AE"/>
    <w:rsid w:val="00BB02FD"/>
    <w:rsid w:val="00BB357D"/>
    <w:rsid w:val="00BB620F"/>
    <w:rsid w:val="00BC1F4F"/>
    <w:rsid w:val="00BC270B"/>
    <w:rsid w:val="00BC35D3"/>
    <w:rsid w:val="00BC4BDD"/>
    <w:rsid w:val="00BC5094"/>
    <w:rsid w:val="00BC594F"/>
    <w:rsid w:val="00BD03E8"/>
    <w:rsid w:val="00BD044F"/>
    <w:rsid w:val="00BD11C5"/>
    <w:rsid w:val="00BD3E67"/>
    <w:rsid w:val="00BD5769"/>
    <w:rsid w:val="00BD5866"/>
    <w:rsid w:val="00BD6605"/>
    <w:rsid w:val="00BD663B"/>
    <w:rsid w:val="00BD76A5"/>
    <w:rsid w:val="00BD7B73"/>
    <w:rsid w:val="00BE0077"/>
    <w:rsid w:val="00BE05D4"/>
    <w:rsid w:val="00BE1A27"/>
    <w:rsid w:val="00BE2453"/>
    <w:rsid w:val="00BE25A5"/>
    <w:rsid w:val="00BE3142"/>
    <w:rsid w:val="00BE442A"/>
    <w:rsid w:val="00BE453A"/>
    <w:rsid w:val="00BE4E72"/>
    <w:rsid w:val="00BE5B72"/>
    <w:rsid w:val="00BE7435"/>
    <w:rsid w:val="00BE7EA8"/>
    <w:rsid w:val="00BF22BD"/>
    <w:rsid w:val="00BF466E"/>
    <w:rsid w:val="00BF4EA7"/>
    <w:rsid w:val="00BF6EA7"/>
    <w:rsid w:val="00BF710B"/>
    <w:rsid w:val="00C0033C"/>
    <w:rsid w:val="00C004F1"/>
    <w:rsid w:val="00C013F2"/>
    <w:rsid w:val="00C0360F"/>
    <w:rsid w:val="00C03C7C"/>
    <w:rsid w:val="00C04180"/>
    <w:rsid w:val="00C04B7A"/>
    <w:rsid w:val="00C04FFA"/>
    <w:rsid w:val="00C07EB2"/>
    <w:rsid w:val="00C10D7F"/>
    <w:rsid w:val="00C11AD5"/>
    <w:rsid w:val="00C1239F"/>
    <w:rsid w:val="00C1292D"/>
    <w:rsid w:val="00C1419B"/>
    <w:rsid w:val="00C1670A"/>
    <w:rsid w:val="00C20296"/>
    <w:rsid w:val="00C212C4"/>
    <w:rsid w:val="00C2363F"/>
    <w:rsid w:val="00C2370C"/>
    <w:rsid w:val="00C24558"/>
    <w:rsid w:val="00C24B67"/>
    <w:rsid w:val="00C25710"/>
    <w:rsid w:val="00C25B5F"/>
    <w:rsid w:val="00C25F52"/>
    <w:rsid w:val="00C27BD9"/>
    <w:rsid w:val="00C3046D"/>
    <w:rsid w:val="00C32366"/>
    <w:rsid w:val="00C35FAA"/>
    <w:rsid w:val="00C407AC"/>
    <w:rsid w:val="00C40BE3"/>
    <w:rsid w:val="00C40F3A"/>
    <w:rsid w:val="00C41444"/>
    <w:rsid w:val="00C41ED7"/>
    <w:rsid w:val="00C44667"/>
    <w:rsid w:val="00C44F47"/>
    <w:rsid w:val="00C45561"/>
    <w:rsid w:val="00C46DA0"/>
    <w:rsid w:val="00C478F5"/>
    <w:rsid w:val="00C533C1"/>
    <w:rsid w:val="00C53CB2"/>
    <w:rsid w:val="00C542AF"/>
    <w:rsid w:val="00C560FF"/>
    <w:rsid w:val="00C56887"/>
    <w:rsid w:val="00C56958"/>
    <w:rsid w:val="00C60266"/>
    <w:rsid w:val="00C609CE"/>
    <w:rsid w:val="00C6149C"/>
    <w:rsid w:val="00C66131"/>
    <w:rsid w:val="00C70E98"/>
    <w:rsid w:val="00C71428"/>
    <w:rsid w:val="00C72DE8"/>
    <w:rsid w:val="00C738F8"/>
    <w:rsid w:val="00C73B4C"/>
    <w:rsid w:val="00C74583"/>
    <w:rsid w:val="00C76831"/>
    <w:rsid w:val="00C8135A"/>
    <w:rsid w:val="00C81587"/>
    <w:rsid w:val="00C81DEA"/>
    <w:rsid w:val="00C83D30"/>
    <w:rsid w:val="00C8481B"/>
    <w:rsid w:val="00C860FD"/>
    <w:rsid w:val="00C86F1A"/>
    <w:rsid w:val="00C90E02"/>
    <w:rsid w:val="00C90FD5"/>
    <w:rsid w:val="00C9154A"/>
    <w:rsid w:val="00C96352"/>
    <w:rsid w:val="00C977BF"/>
    <w:rsid w:val="00CA1E14"/>
    <w:rsid w:val="00CA22D7"/>
    <w:rsid w:val="00CA2BA6"/>
    <w:rsid w:val="00CA3EBB"/>
    <w:rsid w:val="00CA47B3"/>
    <w:rsid w:val="00CA6C9B"/>
    <w:rsid w:val="00CA7420"/>
    <w:rsid w:val="00CB0680"/>
    <w:rsid w:val="00CB1254"/>
    <w:rsid w:val="00CB41EC"/>
    <w:rsid w:val="00CB5C80"/>
    <w:rsid w:val="00CB697A"/>
    <w:rsid w:val="00CB7181"/>
    <w:rsid w:val="00CB7AB8"/>
    <w:rsid w:val="00CB7BF7"/>
    <w:rsid w:val="00CB7C42"/>
    <w:rsid w:val="00CB7D27"/>
    <w:rsid w:val="00CC0FF5"/>
    <w:rsid w:val="00CC2606"/>
    <w:rsid w:val="00CC287F"/>
    <w:rsid w:val="00CC49EB"/>
    <w:rsid w:val="00CC4DE2"/>
    <w:rsid w:val="00CC604A"/>
    <w:rsid w:val="00CC6C72"/>
    <w:rsid w:val="00CD0AF0"/>
    <w:rsid w:val="00CD1A3E"/>
    <w:rsid w:val="00CD2820"/>
    <w:rsid w:val="00CD2C9A"/>
    <w:rsid w:val="00CD3505"/>
    <w:rsid w:val="00CD49B8"/>
    <w:rsid w:val="00CD5CDD"/>
    <w:rsid w:val="00CD6014"/>
    <w:rsid w:val="00CD6963"/>
    <w:rsid w:val="00CD6BD8"/>
    <w:rsid w:val="00CD71C1"/>
    <w:rsid w:val="00CE1019"/>
    <w:rsid w:val="00CE165D"/>
    <w:rsid w:val="00CE16C3"/>
    <w:rsid w:val="00CE3CDF"/>
    <w:rsid w:val="00CE5026"/>
    <w:rsid w:val="00CE62A2"/>
    <w:rsid w:val="00CE6527"/>
    <w:rsid w:val="00CE7790"/>
    <w:rsid w:val="00CF019A"/>
    <w:rsid w:val="00CF30E5"/>
    <w:rsid w:val="00CF4349"/>
    <w:rsid w:val="00CF550B"/>
    <w:rsid w:val="00D01DD2"/>
    <w:rsid w:val="00D05FB8"/>
    <w:rsid w:val="00D10578"/>
    <w:rsid w:val="00D11578"/>
    <w:rsid w:val="00D11F55"/>
    <w:rsid w:val="00D133F3"/>
    <w:rsid w:val="00D1385D"/>
    <w:rsid w:val="00D1427C"/>
    <w:rsid w:val="00D16C3E"/>
    <w:rsid w:val="00D16E02"/>
    <w:rsid w:val="00D20DC0"/>
    <w:rsid w:val="00D21983"/>
    <w:rsid w:val="00D22CF8"/>
    <w:rsid w:val="00D24910"/>
    <w:rsid w:val="00D24BF7"/>
    <w:rsid w:val="00D264AE"/>
    <w:rsid w:val="00D27981"/>
    <w:rsid w:val="00D27EC4"/>
    <w:rsid w:val="00D30552"/>
    <w:rsid w:val="00D31FA1"/>
    <w:rsid w:val="00D332A2"/>
    <w:rsid w:val="00D36873"/>
    <w:rsid w:val="00D37F83"/>
    <w:rsid w:val="00D40BC4"/>
    <w:rsid w:val="00D41935"/>
    <w:rsid w:val="00D42646"/>
    <w:rsid w:val="00D43362"/>
    <w:rsid w:val="00D45C1E"/>
    <w:rsid w:val="00D50FDE"/>
    <w:rsid w:val="00D52C3D"/>
    <w:rsid w:val="00D52F25"/>
    <w:rsid w:val="00D53B18"/>
    <w:rsid w:val="00D5477F"/>
    <w:rsid w:val="00D54AA8"/>
    <w:rsid w:val="00D5591C"/>
    <w:rsid w:val="00D55EB3"/>
    <w:rsid w:val="00D5667B"/>
    <w:rsid w:val="00D56F99"/>
    <w:rsid w:val="00D61B40"/>
    <w:rsid w:val="00D6272E"/>
    <w:rsid w:val="00D63A93"/>
    <w:rsid w:val="00D65E95"/>
    <w:rsid w:val="00D66214"/>
    <w:rsid w:val="00D67DD2"/>
    <w:rsid w:val="00D70075"/>
    <w:rsid w:val="00D709C2"/>
    <w:rsid w:val="00D71FEF"/>
    <w:rsid w:val="00D7348C"/>
    <w:rsid w:val="00D73E13"/>
    <w:rsid w:val="00D74B77"/>
    <w:rsid w:val="00D752AA"/>
    <w:rsid w:val="00D75C79"/>
    <w:rsid w:val="00D77012"/>
    <w:rsid w:val="00D779DE"/>
    <w:rsid w:val="00D845DF"/>
    <w:rsid w:val="00D847AB"/>
    <w:rsid w:val="00D85892"/>
    <w:rsid w:val="00D86B78"/>
    <w:rsid w:val="00D90DB8"/>
    <w:rsid w:val="00D9186B"/>
    <w:rsid w:val="00D92337"/>
    <w:rsid w:val="00D92A0E"/>
    <w:rsid w:val="00D92B16"/>
    <w:rsid w:val="00D95EBB"/>
    <w:rsid w:val="00D96525"/>
    <w:rsid w:val="00D975D9"/>
    <w:rsid w:val="00DA0FE1"/>
    <w:rsid w:val="00DA2B1C"/>
    <w:rsid w:val="00DA381B"/>
    <w:rsid w:val="00DA5CD4"/>
    <w:rsid w:val="00DA720A"/>
    <w:rsid w:val="00DA72C9"/>
    <w:rsid w:val="00DA7A36"/>
    <w:rsid w:val="00DB0A74"/>
    <w:rsid w:val="00DB135C"/>
    <w:rsid w:val="00DB19AD"/>
    <w:rsid w:val="00DB25B8"/>
    <w:rsid w:val="00DB359E"/>
    <w:rsid w:val="00DB3C04"/>
    <w:rsid w:val="00DB4A36"/>
    <w:rsid w:val="00DB4BBC"/>
    <w:rsid w:val="00DB6EF4"/>
    <w:rsid w:val="00DC168C"/>
    <w:rsid w:val="00DC18A8"/>
    <w:rsid w:val="00DC2154"/>
    <w:rsid w:val="00DC5669"/>
    <w:rsid w:val="00DC5C7A"/>
    <w:rsid w:val="00DC6273"/>
    <w:rsid w:val="00DC6369"/>
    <w:rsid w:val="00DC6E10"/>
    <w:rsid w:val="00DC6E41"/>
    <w:rsid w:val="00DC7B0A"/>
    <w:rsid w:val="00DD0459"/>
    <w:rsid w:val="00DD10ED"/>
    <w:rsid w:val="00DD15CC"/>
    <w:rsid w:val="00DD15DF"/>
    <w:rsid w:val="00DD3008"/>
    <w:rsid w:val="00DD3E79"/>
    <w:rsid w:val="00DD4029"/>
    <w:rsid w:val="00DD4058"/>
    <w:rsid w:val="00DD4D8B"/>
    <w:rsid w:val="00DD7B63"/>
    <w:rsid w:val="00DE2912"/>
    <w:rsid w:val="00DE4DAA"/>
    <w:rsid w:val="00DE6462"/>
    <w:rsid w:val="00DE746C"/>
    <w:rsid w:val="00DF06AD"/>
    <w:rsid w:val="00DF10DB"/>
    <w:rsid w:val="00DF1975"/>
    <w:rsid w:val="00DF1DA4"/>
    <w:rsid w:val="00DF42B9"/>
    <w:rsid w:val="00DF4432"/>
    <w:rsid w:val="00DF564A"/>
    <w:rsid w:val="00DF574A"/>
    <w:rsid w:val="00DF5BCD"/>
    <w:rsid w:val="00E0150C"/>
    <w:rsid w:val="00E01959"/>
    <w:rsid w:val="00E04777"/>
    <w:rsid w:val="00E05B5E"/>
    <w:rsid w:val="00E07161"/>
    <w:rsid w:val="00E075DE"/>
    <w:rsid w:val="00E07770"/>
    <w:rsid w:val="00E10097"/>
    <w:rsid w:val="00E10476"/>
    <w:rsid w:val="00E10675"/>
    <w:rsid w:val="00E12C0F"/>
    <w:rsid w:val="00E15A0E"/>
    <w:rsid w:val="00E16E86"/>
    <w:rsid w:val="00E17426"/>
    <w:rsid w:val="00E20EE9"/>
    <w:rsid w:val="00E21216"/>
    <w:rsid w:val="00E217E3"/>
    <w:rsid w:val="00E21C2E"/>
    <w:rsid w:val="00E21DFB"/>
    <w:rsid w:val="00E229C0"/>
    <w:rsid w:val="00E24DC7"/>
    <w:rsid w:val="00E25514"/>
    <w:rsid w:val="00E25E90"/>
    <w:rsid w:val="00E27517"/>
    <w:rsid w:val="00E27EE7"/>
    <w:rsid w:val="00E31246"/>
    <w:rsid w:val="00E32304"/>
    <w:rsid w:val="00E336D0"/>
    <w:rsid w:val="00E341E7"/>
    <w:rsid w:val="00E35518"/>
    <w:rsid w:val="00E37BCF"/>
    <w:rsid w:val="00E4081E"/>
    <w:rsid w:val="00E408A3"/>
    <w:rsid w:val="00E423BB"/>
    <w:rsid w:val="00E4736C"/>
    <w:rsid w:val="00E47962"/>
    <w:rsid w:val="00E47AB6"/>
    <w:rsid w:val="00E514E9"/>
    <w:rsid w:val="00E523E8"/>
    <w:rsid w:val="00E530A5"/>
    <w:rsid w:val="00E53517"/>
    <w:rsid w:val="00E53C89"/>
    <w:rsid w:val="00E573F6"/>
    <w:rsid w:val="00E6078B"/>
    <w:rsid w:val="00E61265"/>
    <w:rsid w:val="00E6166C"/>
    <w:rsid w:val="00E646BE"/>
    <w:rsid w:val="00E6516C"/>
    <w:rsid w:val="00E65626"/>
    <w:rsid w:val="00E66075"/>
    <w:rsid w:val="00E66818"/>
    <w:rsid w:val="00E671C6"/>
    <w:rsid w:val="00E672FC"/>
    <w:rsid w:val="00E67EF5"/>
    <w:rsid w:val="00E70A96"/>
    <w:rsid w:val="00E73127"/>
    <w:rsid w:val="00E740EE"/>
    <w:rsid w:val="00E811B7"/>
    <w:rsid w:val="00E818BA"/>
    <w:rsid w:val="00E82506"/>
    <w:rsid w:val="00E844B6"/>
    <w:rsid w:val="00E877EC"/>
    <w:rsid w:val="00E9131D"/>
    <w:rsid w:val="00E913BA"/>
    <w:rsid w:val="00E93657"/>
    <w:rsid w:val="00E95DC5"/>
    <w:rsid w:val="00E9664A"/>
    <w:rsid w:val="00E97155"/>
    <w:rsid w:val="00EA1674"/>
    <w:rsid w:val="00EA1CCE"/>
    <w:rsid w:val="00EA5021"/>
    <w:rsid w:val="00EA65C0"/>
    <w:rsid w:val="00EA7358"/>
    <w:rsid w:val="00EA74B6"/>
    <w:rsid w:val="00EA7CC8"/>
    <w:rsid w:val="00EA7FF5"/>
    <w:rsid w:val="00EB0207"/>
    <w:rsid w:val="00EB03A7"/>
    <w:rsid w:val="00EB1AD3"/>
    <w:rsid w:val="00EB5C86"/>
    <w:rsid w:val="00EC02F7"/>
    <w:rsid w:val="00EC0D3A"/>
    <w:rsid w:val="00EC12B9"/>
    <w:rsid w:val="00EC1C6F"/>
    <w:rsid w:val="00EC1FF1"/>
    <w:rsid w:val="00EC21AA"/>
    <w:rsid w:val="00EC494E"/>
    <w:rsid w:val="00EC5BA3"/>
    <w:rsid w:val="00EC775B"/>
    <w:rsid w:val="00ED2535"/>
    <w:rsid w:val="00ED2E64"/>
    <w:rsid w:val="00ED3271"/>
    <w:rsid w:val="00ED3872"/>
    <w:rsid w:val="00ED490D"/>
    <w:rsid w:val="00ED622C"/>
    <w:rsid w:val="00ED6F6C"/>
    <w:rsid w:val="00ED7E43"/>
    <w:rsid w:val="00EE01A2"/>
    <w:rsid w:val="00EE1BD0"/>
    <w:rsid w:val="00EE20AC"/>
    <w:rsid w:val="00EE2254"/>
    <w:rsid w:val="00EF04A6"/>
    <w:rsid w:val="00EF2E85"/>
    <w:rsid w:val="00EF5457"/>
    <w:rsid w:val="00EF59DE"/>
    <w:rsid w:val="00EF6456"/>
    <w:rsid w:val="00EF655A"/>
    <w:rsid w:val="00EF7E38"/>
    <w:rsid w:val="00F01ABB"/>
    <w:rsid w:val="00F026A7"/>
    <w:rsid w:val="00F02B39"/>
    <w:rsid w:val="00F04790"/>
    <w:rsid w:val="00F048D0"/>
    <w:rsid w:val="00F04B95"/>
    <w:rsid w:val="00F053A7"/>
    <w:rsid w:val="00F07B80"/>
    <w:rsid w:val="00F07ED2"/>
    <w:rsid w:val="00F14840"/>
    <w:rsid w:val="00F16E64"/>
    <w:rsid w:val="00F17980"/>
    <w:rsid w:val="00F20B16"/>
    <w:rsid w:val="00F21354"/>
    <w:rsid w:val="00F2261B"/>
    <w:rsid w:val="00F22B4F"/>
    <w:rsid w:val="00F24187"/>
    <w:rsid w:val="00F25AC0"/>
    <w:rsid w:val="00F30072"/>
    <w:rsid w:val="00F31781"/>
    <w:rsid w:val="00F31ACE"/>
    <w:rsid w:val="00F31F22"/>
    <w:rsid w:val="00F31FC9"/>
    <w:rsid w:val="00F3325F"/>
    <w:rsid w:val="00F34B41"/>
    <w:rsid w:val="00F36DBA"/>
    <w:rsid w:val="00F36FFC"/>
    <w:rsid w:val="00F3782D"/>
    <w:rsid w:val="00F37B03"/>
    <w:rsid w:val="00F424BA"/>
    <w:rsid w:val="00F42584"/>
    <w:rsid w:val="00F4424E"/>
    <w:rsid w:val="00F45A01"/>
    <w:rsid w:val="00F47785"/>
    <w:rsid w:val="00F5205C"/>
    <w:rsid w:val="00F53358"/>
    <w:rsid w:val="00F55DDF"/>
    <w:rsid w:val="00F5709F"/>
    <w:rsid w:val="00F60467"/>
    <w:rsid w:val="00F61BF4"/>
    <w:rsid w:val="00F63773"/>
    <w:rsid w:val="00F66A0A"/>
    <w:rsid w:val="00F67141"/>
    <w:rsid w:val="00F73D7B"/>
    <w:rsid w:val="00F73DCF"/>
    <w:rsid w:val="00F742CE"/>
    <w:rsid w:val="00F7461D"/>
    <w:rsid w:val="00F80A89"/>
    <w:rsid w:val="00F80B96"/>
    <w:rsid w:val="00F81A6E"/>
    <w:rsid w:val="00F839F5"/>
    <w:rsid w:val="00F8476A"/>
    <w:rsid w:val="00F91C9F"/>
    <w:rsid w:val="00F964A7"/>
    <w:rsid w:val="00F96B7A"/>
    <w:rsid w:val="00F9769D"/>
    <w:rsid w:val="00FA1399"/>
    <w:rsid w:val="00FA171B"/>
    <w:rsid w:val="00FA2003"/>
    <w:rsid w:val="00FA2BEC"/>
    <w:rsid w:val="00FA2CB5"/>
    <w:rsid w:val="00FA3F11"/>
    <w:rsid w:val="00FA4226"/>
    <w:rsid w:val="00FA427D"/>
    <w:rsid w:val="00FA44B8"/>
    <w:rsid w:val="00FA4FC7"/>
    <w:rsid w:val="00FA60C0"/>
    <w:rsid w:val="00FB0A36"/>
    <w:rsid w:val="00FB3BAB"/>
    <w:rsid w:val="00FB3C16"/>
    <w:rsid w:val="00FB508F"/>
    <w:rsid w:val="00FB518A"/>
    <w:rsid w:val="00FB52B5"/>
    <w:rsid w:val="00FB6EC2"/>
    <w:rsid w:val="00FC401D"/>
    <w:rsid w:val="00FC4DF2"/>
    <w:rsid w:val="00FC5C4E"/>
    <w:rsid w:val="00FC7A89"/>
    <w:rsid w:val="00FD16A3"/>
    <w:rsid w:val="00FD17F2"/>
    <w:rsid w:val="00FD1D47"/>
    <w:rsid w:val="00FD2130"/>
    <w:rsid w:val="00FD269F"/>
    <w:rsid w:val="00FD4A07"/>
    <w:rsid w:val="00FD6F7F"/>
    <w:rsid w:val="00FD760C"/>
    <w:rsid w:val="00FD77CE"/>
    <w:rsid w:val="00FE0D01"/>
    <w:rsid w:val="00FE2E21"/>
    <w:rsid w:val="00FE322A"/>
    <w:rsid w:val="00FE4BCA"/>
    <w:rsid w:val="00FE53E3"/>
    <w:rsid w:val="00FE5EB4"/>
    <w:rsid w:val="00FE6FE9"/>
    <w:rsid w:val="00FF05D1"/>
    <w:rsid w:val="00FF23FA"/>
    <w:rsid w:val="00FF6B3C"/>
    <w:rsid w:val="01127559"/>
    <w:rsid w:val="0125033A"/>
    <w:rsid w:val="01C128B3"/>
    <w:rsid w:val="02485FDF"/>
    <w:rsid w:val="05C01E78"/>
    <w:rsid w:val="05C05B68"/>
    <w:rsid w:val="06544A56"/>
    <w:rsid w:val="0675770C"/>
    <w:rsid w:val="06A412E6"/>
    <w:rsid w:val="07D86A71"/>
    <w:rsid w:val="07DC615D"/>
    <w:rsid w:val="08882EC7"/>
    <w:rsid w:val="0B022495"/>
    <w:rsid w:val="0BDD18B1"/>
    <w:rsid w:val="0C203318"/>
    <w:rsid w:val="0DA60917"/>
    <w:rsid w:val="0E9067B4"/>
    <w:rsid w:val="0EF87696"/>
    <w:rsid w:val="106E77D4"/>
    <w:rsid w:val="109A66C6"/>
    <w:rsid w:val="10D96BCB"/>
    <w:rsid w:val="112169A8"/>
    <w:rsid w:val="115D26B4"/>
    <w:rsid w:val="119A46DD"/>
    <w:rsid w:val="130B4293"/>
    <w:rsid w:val="13785C95"/>
    <w:rsid w:val="138D12A6"/>
    <w:rsid w:val="14D0288F"/>
    <w:rsid w:val="17956039"/>
    <w:rsid w:val="185D010F"/>
    <w:rsid w:val="18DE7F81"/>
    <w:rsid w:val="18F03A7C"/>
    <w:rsid w:val="1912765F"/>
    <w:rsid w:val="1A7A56DB"/>
    <w:rsid w:val="1B9164B1"/>
    <w:rsid w:val="1BA10390"/>
    <w:rsid w:val="1CB664E8"/>
    <w:rsid w:val="1CFF4CB1"/>
    <w:rsid w:val="1D0061A6"/>
    <w:rsid w:val="1E7F1892"/>
    <w:rsid w:val="1F0F45F5"/>
    <w:rsid w:val="1F520C0C"/>
    <w:rsid w:val="1F5223B1"/>
    <w:rsid w:val="1F9B47BD"/>
    <w:rsid w:val="1FB86C18"/>
    <w:rsid w:val="200E3D50"/>
    <w:rsid w:val="201B778C"/>
    <w:rsid w:val="201E51BF"/>
    <w:rsid w:val="208002BF"/>
    <w:rsid w:val="20B94D58"/>
    <w:rsid w:val="2189597C"/>
    <w:rsid w:val="21B9341F"/>
    <w:rsid w:val="21F316B8"/>
    <w:rsid w:val="22877143"/>
    <w:rsid w:val="22FC161C"/>
    <w:rsid w:val="23081F74"/>
    <w:rsid w:val="23EF1F03"/>
    <w:rsid w:val="24DB75DD"/>
    <w:rsid w:val="254E1F1D"/>
    <w:rsid w:val="27384BE2"/>
    <w:rsid w:val="277003EF"/>
    <w:rsid w:val="2955491F"/>
    <w:rsid w:val="2A975467"/>
    <w:rsid w:val="2AE163DB"/>
    <w:rsid w:val="2B641114"/>
    <w:rsid w:val="2CC7093C"/>
    <w:rsid w:val="2ED270D0"/>
    <w:rsid w:val="2FB330B3"/>
    <w:rsid w:val="2FE23F09"/>
    <w:rsid w:val="2FED73DB"/>
    <w:rsid w:val="304029D1"/>
    <w:rsid w:val="30F70DC7"/>
    <w:rsid w:val="31336A26"/>
    <w:rsid w:val="3170012E"/>
    <w:rsid w:val="321D2690"/>
    <w:rsid w:val="32C81347"/>
    <w:rsid w:val="32DA3091"/>
    <w:rsid w:val="330501CE"/>
    <w:rsid w:val="3317670F"/>
    <w:rsid w:val="33A31D51"/>
    <w:rsid w:val="34076053"/>
    <w:rsid w:val="34920A06"/>
    <w:rsid w:val="356F59B5"/>
    <w:rsid w:val="35A12254"/>
    <w:rsid w:val="35C21C82"/>
    <w:rsid w:val="36462755"/>
    <w:rsid w:val="384E2F6C"/>
    <w:rsid w:val="38D84EDE"/>
    <w:rsid w:val="39DC7D6B"/>
    <w:rsid w:val="3B5578B6"/>
    <w:rsid w:val="3C9E73AB"/>
    <w:rsid w:val="3CB04AAE"/>
    <w:rsid w:val="3D4A5D46"/>
    <w:rsid w:val="3D810C48"/>
    <w:rsid w:val="3F84742A"/>
    <w:rsid w:val="3F913AE2"/>
    <w:rsid w:val="3FD80A85"/>
    <w:rsid w:val="3FF820BF"/>
    <w:rsid w:val="400A553D"/>
    <w:rsid w:val="41196418"/>
    <w:rsid w:val="41F22FAE"/>
    <w:rsid w:val="420D3E8E"/>
    <w:rsid w:val="437A0E13"/>
    <w:rsid w:val="43BD7B93"/>
    <w:rsid w:val="43F379D3"/>
    <w:rsid w:val="442773CD"/>
    <w:rsid w:val="44B12739"/>
    <w:rsid w:val="44F60496"/>
    <w:rsid w:val="4513305D"/>
    <w:rsid w:val="453123B0"/>
    <w:rsid w:val="46EA7A88"/>
    <w:rsid w:val="484D2B5A"/>
    <w:rsid w:val="48BE4346"/>
    <w:rsid w:val="49EE5BB0"/>
    <w:rsid w:val="4A285381"/>
    <w:rsid w:val="4A6B6515"/>
    <w:rsid w:val="4AB0329D"/>
    <w:rsid w:val="4B1A6945"/>
    <w:rsid w:val="4B6905D9"/>
    <w:rsid w:val="4D114348"/>
    <w:rsid w:val="4EAF30FC"/>
    <w:rsid w:val="500B3A3E"/>
    <w:rsid w:val="50C63757"/>
    <w:rsid w:val="529943C7"/>
    <w:rsid w:val="553C0FA1"/>
    <w:rsid w:val="55B76B7C"/>
    <w:rsid w:val="56543BF7"/>
    <w:rsid w:val="58300B96"/>
    <w:rsid w:val="58435A74"/>
    <w:rsid w:val="588815A1"/>
    <w:rsid w:val="58C31F40"/>
    <w:rsid w:val="5B612B0E"/>
    <w:rsid w:val="5C94424B"/>
    <w:rsid w:val="5C991842"/>
    <w:rsid w:val="5CB70BFA"/>
    <w:rsid w:val="5CDA6946"/>
    <w:rsid w:val="5D833A11"/>
    <w:rsid w:val="5DC42A9A"/>
    <w:rsid w:val="5E466B0E"/>
    <w:rsid w:val="5E930B30"/>
    <w:rsid w:val="5F067E47"/>
    <w:rsid w:val="5F3A1321"/>
    <w:rsid w:val="60722F77"/>
    <w:rsid w:val="61FF44ED"/>
    <w:rsid w:val="629219CD"/>
    <w:rsid w:val="63463EC9"/>
    <w:rsid w:val="640275DA"/>
    <w:rsid w:val="64EC7147"/>
    <w:rsid w:val="64F910E0"/>
    <w:rsid w:val="650973D6"/>
    <w:rsid w:val="655B38B9"/>
    <w:rsid w:val="65854722"/>
    <w:rsid w:val="661543E0"/>
    <w:rsid w:val="66257A6D"/>
    <w:rsid w:val="66CE7718"/>
    <w:rsid w:val="66FA0151"/>
    <w:rsid w:val="67AF3CD2"/>
    <w:rsid w:val="67F95B88"/>
    <w:rsid w:val="6AB65109"/>
    <w:rsid w:val="6AF83485"/>
    <w:rsid w:val="6AFB0490"/>
    <w:rsid w:val="6DF94E4A"/>
    <w:rsid w:val="6E7E6FAA"/>
    <w:rsid w:val="6F9A49C0"/>
    <w:rsid w:val="70697F6C"/>
    <w:rsid w:val="70811C91"/>
    <w:rsid w:val="70F24B0C"/>
    <w:rsid w:val="712426B0"/>
    <w:rsid w:val="719D5558"/>
    <w:rsid w:val="728B471F"/>
    <w:rsid w:val="737F5FFE"/>
    <w:rsid w:val="74680216"/>
    <w:rsid w:val="74BA7410"/>
    <w:rsid w:val="74F91A18"/>
    <w:rsid w:val="763111B5"/>
    <w:rsid w:val="773E2DF8"/>
    <w:rsid w:val="77531FC7"/>
    <w:rsid w:val="78501B64"/>
    <w:rsid w:val="78725DCD"/>
    <w:rsid w:val="79240DCD"/>
    <w:rsid w:val="79916CD5"/>
    <w:rsid w:val="7A8053EA"/>
    <w:rsid w:val="7B1558D8"/>
    <w:rsid w:val="7B321117"/>
    <w:rsid w:val="7BEC552C"/>
    <w:rsid w:val="7C264859"/>
    <w:rsid w:val="7C6454C4"/>
    <w:rsid w:val="7CBD7515"/>
    <w:rsid w:val="7D424A7F"/>
    <w:rsid w:val="7DFF4675"/>
    <w:rsid w:val="7EB40F59"/>
    <w:rsid w:val="7EDC1C9C"/>
    <w:rsid w:val="7FE70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9"/>
    <w:autoRedefine/>
    <w:qFormat/>
    <w:uiPriority w:val="0"/>
    <w:pPr>
      <w:keepNext/>
      <w:keepLines/>
      <w:spacing w:before="340" w:after="330" w:line="578" w:lineRule="auto"/>
      <w:outlineLvl w:val="0"/>
    </w:pPr>
    <w:rPr>
      <w:b/>
      <w:kern w:val="44"/>
      <w:sz w:val="44"/>
    </w:rPr>
  </w:style>
  <w:style w:type="paragraph" w:styleId="3">
    <w:name w:val="heading 2"/>
    <w:basedOn w:val="1"/>
    <w:next w:val="4"/>
    <w:link w:val="50"/>
    <w:autoRedefine/>
    <w:qFormat/>
    <w:uiPriority w:val="0"/>
    <w:pPr>
      <w:keepNext/>
      <w:keepLines/>
      <w:spacing w:before="260" w:after="260" w:line="360" w:lineRule="auto"/>
      <w:outlineLvl w:val="1"/>
    </w:pPr>
    <w:rPr>
      <w:rFonts w:ascii="宋体" w:hAnsi="宋体"/>
      <w:b/>
      <w:color w:val="000000"/>
      <w:sz w:val="30"/>
    </w:rPr>
  </w:style>
  <w:style w:type="paragraph" w:styleId="5">
    <w:name w:val="heading 3"/>
    <w:basedOn w:val="1"/>
    <w:next w:val="4"/>
    <w:link w:val="51"/>
    <w:autoRedefine/>
    <w:qFormat/>
    <w:uiPriority w:val="0"/>
    <w:pPr>
      <w:keepNext/>
      <w:keepLines/>
      <w:autoSpaceDE w:val="0"/>
      <w:autoSpaceDN w:val="0"/>
      <w:adjustRightInd w:val="0"/>
      <w:snapToGrid w:val="0"/>
      <w:spacing w:before="360" w:after="260" w:line="360" w:lineRule="auto"/>
      <w:textAlignment w:val="baseline"/>
      <w:outlineLvl w:val="2"/>
    </w:pPr>
    <w:rPr>
      <w:rFonts w:ascii="宋体" w:hAnsi="宋体"/>
      <w:b/>
      <w:sz w:val="28"/>
    </w:rPr>
  </w:style>
  <w:style w:type="paragraph" w:styleId="6">
    <w:name w:val="heading 4"/>
    <w:basedOn w:val="1"/>
    <w:next w:val="1"/>
    <w:link w:val="52"/>
    <w:autoRedefine/>
    <w:qFormat/>
    <w:uiPriority w:val="0"/>
    <w:pPr>
      <w:keepNext/>
      <w:keepLines/>
      <w:spacing w:before="280" w:after="290" w:line="376" w:lineRule="auto"/>
      <w:outlineLvl w:val="3"/>
    </w:pPr>
    <w:rPr>
      <w:rFonts w:ascii="宋体" w:hAnsi="宋体"/>
      <w:b/>
      <w:sz w:val="28"/>
    </w:rPr>
  </w:style>
  <w:style w:type="paragraph" w:styleId="7">
    <w:name w:val="heading 5"/>
    <w:basedOn w:val="1"/>
    <w:next w:val="8"/>
    <w:link w:val="53"/>
    <w:autoRedefine/>
    <w:qFormat/>
    <w:uiPriority w:val="0"/>
    <w:pPr>
      <w:spacing w:before="60" w:after="60" w:line="360" w:lineRule="auto"/>
      <w:outlineLvl w:val="4"/>
    </w:pPr>
    <w:rPr>
      <w:b/>
      <w:bCs/>
      <w:sz w:val="28"/>
      <w:szCs w:val="28"/>
    </w:rPr>
  </w:style>
  <w:style w:type="paragraph" w:styleId="9">
    <w:name w:val="heading 6"/>
    <w:basedOn w:val="1"/>
    <w:next w:val="8"/>
    <w:link w:val="54"/>
    <w:autoRedefine/>
    <w:qFormat/>
    <w:uiPriority w:val="0"/>
    <w:pPr>
      <w:spacing w:before="60" w:after="60" w:line="360" w:lineRule="auto"/>
      <w:outlineLvl w:val="5"/>
    </w:pPr>
    <w:rPr>
      <w:b/>
      <w:bCs/>
      <w:sz w:val="24"/>
      <w:szCs w:val="24"/>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59"/>
    <w:autoRedefine/>
    <w:qFormat/>
    <w:uiPriority w:val="0"/>
    <w:pPr>
      <w:spacing w:line="360" w:lineRule="auto"/>
      <w:ind w:firstLine="420"/>
    </w:pPr>
    <w:rPr>
      <w:rFonts w:asciiTheme="minorHAnsi" w:hAnsiTheme="minorHAnsi" w:cstheme="minorBidi"/>
      <w:sz w:val="24"/>
      <w:szCs w:val="22"/>
    </w:rPr>
  </w:style>
  <w:style w:type="paragraph" w:styleId="8">
    <w:name w:val="Body Text"/>
    <w:basedOn w:val="1"/>
    <w:link w:val="72"/>
    <w:autoRedefine/>
    <w:qFormat/>
    <w:uiPriority w:val="0"/>
    <w:pPr>
      <w:spacing w:line="360" w:lineRule="auto"/>
    </w:pPr>
    <w:rPr>
      <w:rFonts w:ascii="黑体"/>
      <w:sz w:val="24"/>
    </w:rPr>
  </w:style>
  <w:style w:type="paragraph" w:styleId="10">
    <w:name w:val="toc 7"/>
    <w:basedOn w:val="1"/>
    <w:next w:val="1"/>
    <w:autoRedefine/>
    <w:semiHidden/>
    <w:qFormat/>
    <w:uiPriority w:val="0"/>
    <w:pPr>
      <w:ind w:left="1260"/>
      <w:jc w:val="left"/>
    </w:pPr>
    <w:rPr>
      <w:szCs w:val="21"/>
    </w:rPr>
  </w:style>
  <w:style w:type="paragraph" w:styleId="11">
    <w:name w:val="List Bullet"/>
    <w:basedOn w:val="1"/>
    <w:autoRedefine/>
    <w:qFormat/>
    <w:uiPriority w:val="0"/>
    <w:pPr>
      <w:tabs>
        <w:tab w:val="left" w:pos="360"/>
      </w:tabs>
      <w:autoSpaceDE w:val="0"/>
      <w:autoSpaceDN w:val="0"/>
      <w:adjustRightInd w:val="0"/>
      <w:snapToGrid w:val="0"/>
      <w:spacing w:line="360" w:lineRule="auto"/>
      <w:ind w:left="360" w:hanging="360"/>
      <w:textAlignment w:val="baseline"/>
    </w:pPr>
    <w:rPr>
      <w:rFonts w:ascii="宋体" w:hAnsi="Tms Rmn"/>
      <w:snapToGrid w:val="0"/>
      <w:color w:val="000000"/>
      <w:kern w:val="24"/>
      <w:sz w:val="28"/>
    </w:rPr>
  </w:style>
  <w:style w:type="paragraph" w:styleId="12">
    <w:name w:val="Document Map"/>
    <w:basedOn w:val="1"/>
    <w:link w:val="71"/>
    <w:autoRedefine/>
    <w:semiHidden/>
    <w:qFormat/>
    <w:uiPriority w:val="0"/>
    <w:pPr>
      <w:shd w:val="clear" w:color="auto" w:fill="000080"/>
    </w:pPr>
  </w:style>
  <w:style w:type="paragraph" w:styleId="13">
    <w:name w:val="annotation text"/>
    <w:basedOn w:val="1"/>
    <w:link w:val="92"/>
    <w:autoRedefine/>
    <w:semiHidden/>
    <w:qFormat/>
    <w:uiPriority w:val="0"/>
    <w:pPr>
      <w:jc w:val="left"/>
    </w:pPr>
    <w:rPr>
      <w:rFonts w:asciiTheme="minorHAnsi" w:hAnsiTheme="minorHAnsi" w:cstheme="minorBidi"/>
      <w:szCs w:val="24"/>
    </w:rPr>
  </w:style>
  <w:style w:type="paragraph" w:styleId="14">
    <w:name w:val="Body Text 3"/>
    <w:basedOn w:val="1"/>
    <w:link w:val="102"/>
    <w:autoRedefine/>
    <w:qFormat/>
    <w:uiPriority w:val="0"/>
    <w:pPr>
      <w:spacing w:line="360" w:lineRule="auto"/>
    </w:pPr>
    <w:rPr>
      <w:rFonts w:ascii="宋体" w:hAnsi="宋体"/>
      <w:b/>
      <w:bCs/>
    </w:rPr>
  </w:style>
  <w:style w:type="paragraph" w:styleId="15">
    <w:name w:val="Body Text Indent"/>
    <w:basedOn w:val="1"/>
    <w:next w:val="16"/>
    <w:link w:val="104"/>
    <w:autoRedefine/>
    <w:qFormat/>
    <w:uiPriority w:val="0"/>
    <w:pPr>
      <w:spacing w:line="360" w:lineRule="auto"/>
      <w:ind w:left="480"/>
    </w:pPr>
    <w:rPr>
      <w:rFonts w:ascii="宋体"/>
      <w:sz w:val="24"/>
    </w:rPr>
  </w:style>
  <w:style w:type="paragraph" w:styleId="16">
    <w:name w:val="envelope return"/>
    <w:basedOn w:val="1"/>
    <w:autoRedefine/>
    <w:qFormat/>
    <w:uiPriority w:val="0"/>
    <w:pPr>
      <w:snapToGrid w:val="0"/>
    </w:pPr>
    <w:rPr>
      <w:rFonts w:ascii="Arial" w:hAnsi="Arial"/>
    </w:rPr>
  </w:style>
  <w:style w:type="paragraph" w:styleId="17">
    <w:name w:val="toc 5"/>
    <w:basedOn w:val="1"/>
    <w:next w:val="1"/>
    <w:autoRedefine/>
    <w:semiHidden/>
    <w:qFormat/>
    <w:uiPriority w:val="0"/>
    <w:pPr>
      <w:ind w:left="840"/>
      <w:jc w:val="left"/>
    </w:pPr>
    <w:rPr>
      <w:szCs w:val="21"/>
    </w:rPr>
  </w:style>
  <w:style w:type="paragraph" w:styleId="18">
    <w:name w:val="toc 3"/>
    <w:basedOn w:val="1"/>
    <w:next w:val="1"/>
    <w:autoRedefine/>
    <w:semiHidden/>
    <w:qFormat/>
    <w:uiPriority w:val="0"/>
    <w:pPr>
      <w:ind w:left="420"/>
      <w:jc w:val="left"/>
    </w:pPr>
    <w:rPr>
      <w:i/>
      <w:iCs/>
      <w:szCs w:val="24"/>
    </w:rPr>
  </w:style>
  <w:style w:type="paragraph" w:styleId="19">
    <w:name w:val="Plain Text"/>
    <w:basedOn w:val="1"/>
    <w:next w:val="1"/>
    <w:link w:val="77"/>
    <w:autoRedefine/>
    <w:qFormat/>
    <w:uiPriority w:val="0"/>
    <w:rPr>
      <w:rFonts w:ascii="宋体" w:hAnsi="Courier New" w:cstheme="minorBidi"/>
      <w:szCs w:val="22"/>
    </w:rPr>
  </w:style>
  <w:style w:type="paragraph" w:styleId="20">
    <w:name w:val="toc 8"/>
    <w:basedOn w:val="1"/>
    <w:next w:val="1"/>
    <w:autoRedefine/>
    <w:semiHidden/>
    <w:qFormat/>
    <w:uiPriority w:val="0"/>
    <w:pPr>
      <w:ind w:left="1470"/>
      <w:jc w:val="left"/>
    </w:pPr>
    <w:rPr>
      <w:szCs w:val="21"/>
    </w:rPr>
  </w:style>
  <w:style w:type="paragraph" w:styleId="21">
    <w:name w:val="Date"/>
    <w:basedOn w:val="1"/>
    <w:next w:val="1"/>
    <w:link w:val="70"/>
    <w:autoRedefine/>
    <w:qFormat/>
    <w:uiPriority w:val="0"/>
    <w:rPr>
      <w:sz w:val="24"/>
    </w:rPr>
  </w:style>
  <w:style w:type="paragraph" w:styleId="22">
    <w:name w:val="Body Text Indent 2"/>
    <w:basedOn w:val="1"/>
    <w:link w:val="99"/>
    <w:autoRedefine/>
    <w:qFormat/>
    <w:uiPriority w:val="0"/>
    <w:pPr>
      <w:autoSpaceDE w:val="0"/>
      <w:autoSpaceDN w:val="0"/>
      <w:adjustRightInd w:val="0"/>
      <w:spacing w:line="360" w:lineRule="auto"/>
      <w:ind w:firstLine="538"/>
      <w:jc w:val="left"/>
    </w:pPr>
    <w:rPr>
      <w:rFonts w:ascii="仿宋_GB2312" w:eastAsia="仿宋_GB2312"/>
      <w:color w:val="000000"/>
      <w:kern w:val="0"/>
      <w:sz w:val="28"/>
    </w:rPr>
  </w:style>
  <w:style w:type="paragraph" w:styleId="23">
    <w:name w:val="Balloon Text"/>
    <w:basedOn w:val="1"/>
    <w:link w:val="90"/>
    <w:autoRedefine/>
    <w:semiHidden/>
    <w:qFormat/>
    <w:uiPriority w:val="0"/>
    <w:rPr>
      <w:sz w:val="18"/>
      <w:szCs w:val="18"/>
    </w:rPr>
  </w:style>
  <w:style w:type="paragraph" w:styleId="24">
    <w:name w:val="footer"/>
    <w:basedOn w:val="1"/>
    <w:link w:val="94"/>
    <w:autoRedefine/>
    <w:qFormat/>
    <w:uiPriority w:val="0"/>
    <w:pPr>
      <w:pBdr>
        <w:top w:val="single" w:color="auto" w:sz="4" w:space="1"/>
      </w:pBdr>
      <w:tabs>
        <w:tab w:val="center" w:pos="4153"/>
        <w:tab w:val="right" w:pos="8306"/>
      </w:tabs>
      <w:snapToGrid w:val="0"/>
      <w:spacing w:line="360" w:lineRule="auto"/>
      <w:jc w:val="left"/>
    </w:pPr>
    <w:rPr>
      <w:sz w:val="18"/>
    </w:rPr>
  </w:style>
  <w:style w:type="paragraph" w:styleId="25">
    <w:name w:val="header"/>
    <w:basedOn w:val="1"/>
    <w:link w:val="76"/>
    <w:autoRedefine/>
    <w:qFormat/>
    <w:uiPriority w:val="0"/>
    <w:pPr>
      <w:pBdr>
        <w:bottom w:val="thinThickSmallGap" w:color="auto" w:sz="12" w:space="1"/>
      </w:pBdr>
      <w:tabs>
        <w:tab w:val="center" w:pos="4153"/>
        <w:tab w:val="right" w:pos="8306"/>
      </w:tabs>
      <w:snapToGrid w:val="0"/>
      <w:spacing w:line="360" w:lineRule="auto"/>
      <w:jc w:val="center"/>
    </w:pPr>
    <w:rPr>
      <w:rFonts w:hint="eastAsia" w:ascii="宋体" w:hAnsi="宋体" w:cs="宋体"/>
      <w:sz w:val="18"/>
      <w:szCs w:val="18"/>
    </w:rPr>
  </w:style>
  <w:style w:type="paragraph" w:styleId="26">
    <w:name w:val="toc 1"/>
    <w:basedOn w:val="1"/>
    <w:next w:val="1"/>
    <w:autoRedefine/>
    <w:qFormat/>
    <w:uiPriority w:val="39"/>
    <w:pPr>
      <w:tabs>
        <w:tab w:val="right" w:leader="dot" w:pos="9344"/>
      </w:tabs>
      <w:spacing w:before="120" w:after="120"/>
      <w:jc w:val="left"/>
    </w:pPr>
    <w:rPr>
      <w:rFonts w:ascii="宋体" w:hAnsi="宋体"/>
      <w:b/>
      <w:bCs/>
      <w:caps/>
      <w:sz w:val="24"/>
      <w:szCs w:val="24"/>
    </w:rPr>
  </w:style>
  <w:style w:type="paragraph" w:styleId="27">
    <w:name w:val="toc 4"/>
    <w:basedOn w:val="1"/>
    <w:next w:val="1"/>
    <w:autoRedefine/>
    <w:semiHidden/>
    <w:qFormat/>
    <w:uiPriority w:val="0"/>
    <w:pPr>
      <w:ind w:left="630"/>
      <w:jc w:val="left"/>
    </w:pPr>
    <w:rPr>
      <w:szCs w:val="21"/>
    </w:rPr>
  </w:style>
  <w:style w:type="paragraph" w:styleId="28">
    <w:name w:val="toc 6"/>
    <w:basedOn w:val="1"/>
    <w:next w:val="1"/>
    <w:autoRedefine/>
    <w:semiHidden/>
    <w:qFormat/>
    <w:uiPriority w:val="0"/>
    <w:pPr>
      <w:ind w:left="1050"/>
      <w:jc w:val="left"/>
    </w:pPr>
    <w:rPr>
      <w:szCs w:val="21"/>
    </w:rPr>
  </w:style>
  <w:style w:type="paragraph" w:styleId="29">
    <w:name w:val="Body Text Indent 3"/>
    <w:basedOn w:val="1"/>
    <w:link w:val="73"/>
    <w:autoRedefine/>
    <w:qFormat/>
    <w:uiPriority w:val="0"/>
    <w:pPr>
      <w:spacing w:line="360" w:lineRule="auto"/>
      <w:ind w:firstLine="480"/>
    </w:pPr>
    <w:rPr>
      <w:sz w:val="24"/>
    </w:rPr>
  </w:style>
  <w:style w:type="paragraph" w:styleId="30">
    <w:name w:val="toc 2"/>
    <w:basedOn w:val="1"/>
    <w:next w:val="1"/>
    <w:autoRedefine/>
    <w:qFormat/>
    <w:uiPriority w:val="39"/>
    <w:pPr>
      <w:ind w:left="210"/>
      <w:jc w:val="left"/>
    </w:pPr>
    <w:rPr>
      <w:smallCaps/>
      <w:szCs w:val="24"/>
    </w:rPr>
  </w:style>
  <w:style w:type="paragraph" w:styleId="31">
    <w:name w:val="toc 9"/>
    <w:basedOn w:val="1"/>
    <w:next w:val="1"/>
    <w:autoRedefine/>
    <w:semiHidden/>
    <w:qFormat/>
    <w:uiPriority w:val="0"/>
    <w:pPr>
      <w:ind w:left="1680"/>
      <w:jc w:val="left"/>
    </w:pPr>
    <w:rPr>
      <w:szCs w:val="21"/>
    </w:rPr>
  </w:style>
  <w:style w:type="paragraph" w:styleId="32">
    <w:name w:val="Body Text 2"/>
    <w:basedOn w:val="1"/>
    <w:link w:val="68"/>
    <w:autoRedefine/>
    <w:qFormat/>
    <w:uiPriority w:val="0"/>
    <w:rPr>
      <w:rFonts w:eastAsia="楷体_GB2312"/>
      <w:sz w:val="28"/>
    </w:rPr>
  </w:style>
  <w:style w:type="paragraph" w:styleId="33">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autoRedefine/>
    <w:qFormat/>
    <w:uiPriority w:val="99"/>
    <w:rPr>
      <w:sz w:val="24"/>
      <w:szCs w:val="24"/>
    </w:rPr>
  </w:style>
  <w:style w:type="paragraph" w:styleId="35">
    <w:name w:val="index 1"/>
    <w:basedOn w:val="1"/>
    <w:next w:val="1"/>
    <w:autoRedefine/>
    <w:semiHidden/>
    <w:qFormat/>
    <w:uiPriority w:val="0"/>
    <w:rPr>
      <w:rFonts w:ascii="宋体" w:hAnsi="宋体"/>
      <w:sz w:val="24"/>
      <w:szCs w:val="24"/>
    </w:rPr>
  </w:style>
  <w:style w:type="paragraph" w:styleId="36">
    <w:name w:val="annotation subject"/>
    <w:basedOn w:val="13"/>
    <w:next w:val="13"/>
    <w:link w:val="96"/>
    <w:autoRedefine/>
    <w:semiHidden/>
    <w:qFormat/>
    <w:uiPriority w:val="0"/>
    <w:rPr>
      <w:b/>
      <w:bCs/>
      <w:szCs w:val="20"/>
    </w:rPr>
  </w:style>
  <w:style w:type="paragraph" w:styleId="37">
    <w:name w:val="Body Text First Indent 2"/>
    <w:basedOn w:val="15"/>
    <w:autoRedefine/>
    <w:qFormat/>
    <w:uiPriority w:val="0"/>
    <w:pPr>
      <w:ind w:firstLine="420" w:firstLineChars="200"/>
    </w:pPr>
  </w:style>
  <w:style w:type="table" w:styleId="39">
    <w:name w:val="Table Grid"/>
    <w:basedOn w:val="38"/>
    <w:autoRedefine/>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page number"/>
    <w:basedOn w:val="40"/>
    <w:autoRedefine/>
    <w:qFormat/>
    <w:uiPriority w:val="0"/>
    <w:rPr>
      <w:rFonts w:eastAsia="宋体"/>
      <w:sz w:val="18"/>
    </w:rPr>
  </w:style>
  <w:style w:type="character" w:styleId="43">
    <w:name w:val="FollowedHyperlink"/>
    <w:autoRedefine/>
    <w:qFormat/>
    <w:uiPriority w:val="0"/>
    <w:rPr>
      <w:color w:val="800080"/>
      <w:u w:val="single"/>
    </w:rPr>
  </w:style>
  <w:style w:type="character" w:styleId="44">
    <w:name w:val="Hyperlink"/>
    <w:autoRedefine/>
    <w:qFormat/>
    <w:uiPriority w:val="99"/>
    <w:rPr>
      <w:color w:val="0000FF"/>
      <w:u w:val="single"/>
    </w:rPr>
  </w:style>
  <w:style w:type="character" w:styleId="45">
    <w:name w:val="annotation reference"/>
    <w:autoRedefine/>
    <w:semiHidden/>
    <w:qFormat/>
    <w:uiPriority w:val="0"/>
    <w:rPr>
      <w:sz w:val="21"/>
      <w:szCs w:val="21"/>
    </w:rPr>
  </w:style>
  <w:style w:type="paragraph" w:customStyle="1" w:styleId="4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_Style 3"/>
    <w:basedOn w:val="1"/>
    <w:next w:val="29"/>
    <w:autoRedefine/>
    <w:qFormat/>
    <w:uiPriority w:val="0"/>
    <w:pPr>
      <w:ind w:firstLine="420" w:firstLineChars="200"/>
    </w:pPr>
    <w:rPr>
      <w:rFonts w:ascii="Calibri" w:hAnsi="Calibri"/>
      <w:szCs w:val="22"/>
    </w:rPr>
  </w:style>
  <w:style w:type="paragraph" w:customStyle="1" w:styleId="48">
    <w:name w:val="样式 10 磅1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9">
    <w:name w:val="标题 1 Char"/>
    <w:basedOn w:val="40"/>
    <w:link w:val="2"/>
    <w:autoRedefine/>
    <w:qFormat/>
    <w:uiPriority w:val="0"/>
    <w:rPr>
      <w:rFonts w:ascii="Times New Roman" w:hAnsi="Times New Roman" w:eastAsia="宋体" w:cs="Times New Roman"/>
      <w:b/>
      <w:kern w:val="44"/>
      <w:sz w:val="44"/>
      <w:szCs w:val="20"/>
    </w:rPr>
  </w:style>
  <w:style w:type="character" w:customStyle="1" w:styleId="50">
    <w:name w:val="标题 2 Char"/>
    <w:basedOn w:val="40"/>
    <w:link w:val="3"/>
    <w:autoRedefine/>
    <w:qFormat/>
    <w:uiPriority w:val="0"/>
    <w:rPr>
      <w:rFonts w:ascii="宋体" w:hAnsi="宋体" w:eastAsia="宋体" w:cs="Times New Roman"/>
      <w:b/>
      <w:color w:val="000000"/>
      <w:sz w:val="30"/>
      <w:szCs w:val="20"/>
    </w:rPr>
  </w:style>
  <w:style w:type="character" w:customStyle="1" w:styleId="51">
    <w:name w:val="标题 3 Char"/>
    <w:basedOn w:val="40"/>
    <w:link w:val="5"/>
    <w:autoRedefine/>
    <w:qFormat/>
    <w:uiPriority w:val="0"/>
    <w:rPr>
      <w:rFonts w:ascii="宋体" w:hAnsi="宋体" w:eastAsia="宋体" w:cs="Times New Roman"/>
      <w:b/>
      <w:sz w:val="28"/>
      <w:szCs w:val="20"/>
    </w:rPr>
  </w:style>
  <w:style w:type="character" w:customStyle="1" w:styleId="52">
    <w:name w:val="标题 4 Char"/>
    <w:basedOn w:val="40"/>
    <w:link w:val="6"/>
    <w:autoRedefine/>
    <w:qFormat/>
    <w:uiPriority w:val="0"/>
    <w:rPr>
      <w:rFonts w:ascii="宋体" w:hAnsi="宋体" w:eastAsia="宋体" w:cs="Times New Roman"/>
      <w:b/>
      <w:sz w:val="28"/>
      <w:szCs w:val="20"/>
    </w:rPr>
  </w:style>
  <w:style w:type="character" w:customStyle="1" w:styleId="53">
    <w:name w:val="标题 5 Char"/>
    <w:basedOn w:val="40"/>
    <w:link w:val="7"/>
    <w:autoRedefine/>
    <w:qFormat/>
    <w:uiPriority w:val="0"/>
    <w:rPr>
      <w:rFonts w:ascii="Times New Roman" w:hAnsi="Times New Roman" w:eastAsia="宋体" w:cs="Times New Roman"/>
      <w:b/>
      <w:bCs/>
      <w:sz w:val="28"/>
      <w:szCs w:val="28"/>
    </w:rPr>
  </w:style>
  <w:style w:type="character" w:customStyle="1" w:styleId="54">
    <w:name w:val="标题 6 Char"/>
    <w:basedOn w:val="40"/>
    <w:link w:val="9"/>
    <w:autoRedefine/>
    <w:qFormat/>
    <w:uiPriority w:val="0"/>
    <w:rPr>
      <w:rFonts w:ascii="Times New Roman" w:hAnsi="Times New Roman" w:eastAsia="宋体" w:cs="Times New Roman"/>
      <w:b/>
      <w:bCs/>
      <w:sz w:val="24"/>
      <w:szCs w:val="24"/>
    </w:rPr>
  </w:style>
  <w:style w:type="character" w:customStyle="1" w:styleId="55">
    <w:name w:val="unnamed21"/>
    <w:autoRedefine/>
    <w:qFormat/>
    <w:uiPriority w:val="0"/>
    <w:rPr>
      <w:b/>
      <w:bCs/>
      <w:color w:val="FF6600"/>
      <w:sz w:val="26"/>
      <w:szCs w:val="26"/>
      <w:u w:val="none"/>
    </w:rPr>
  </w:style>
  <w:style w:type="character" w:customStyle="1" w:styleId="56">
    <w:name w:val="p141"/>
    <w:basedOn w:val="40"/>
    <w:autoRedefine/>
    <w:qFormat/>
    <w:uiPriority w:val="0"/>
    <w:rPr>
      <w:sz w:val="21"/>
      <w:szCs w:val="21"/>
    </w:rPr>
  </w:style>
  <w:style w:type="character" w:customStyle="1" w:styleId="57">
    <w:name w:val="纯文本 Char"/>
    <w:autoRedefine/>
    <w:qFormat/>
    <w:uiPriority w:val="0"/>
    <w:rPr>
      <w:rFonts w:ascii="宋体" w:hAnsi="Courier New" w:eastAsia="宋体"/>
    </w:rPr>
  </w:style>
  <w:style w:type="character" w:customStyle="1" w:styleId="58">
    <w:name w:val="Char Char6"/>
    <w:autoRedefine/>
    <w:qFormat/>
    <w:uiPriority w:val="0"/>
    <w:rPr>
      <w:rFonts w:ascii="宋体" w:hAnsi="Courier New" w:eastAsia="宋体"/>
      <w:kern w:val="2"/>
      <w:sz w:val="24"/>
      <w:lang w:val="en-US" w:eastAsia="zh-CN" w:bidi="ar-SA"/>
    </w:rPr>
  </w:style>
  <w:style w:type="character" w:customStyle="1" w:styleId="59">
    <w:name w:val="正文缩进 Char"/>
    <w:link w:val="4"/>
    <w:autoRedefine/>
    <w:qFormat/>
    <w:uiPriority w:val="0"/>
    <w:rPr>
      <w:rFonts w:eastAsia="宋体"/>
      <w:sz w:val="24"/>
    </w:rPr>
  </w:style>
  <w:style w:type="character" w:customStyle="1" w:styleId="60">
    <w:name w:val="批注文字 Char"/>
    <w:autoRedefine/>
    <w:qFormat/>
    <w:uiPriority w:val="0"/>
    <w:rPr>
      <w:rFonts w:eastAsia="宋体"/>
      <w:szCs w:val="24"/>
    </w:rPr>
  </w:style>
  <w:style w:type="character" w:customStyle="1" w:styleId="61">
    <w:name w:val="banner11"/>
    <w:autoRedefine/>
    <w:qFormat/>
    <w:uiPriority w:val="0"/>
    <w:rPr>
      <w:color w:val="000099"/>
      <w:sz w:val="32"/>
      <w:szCs w:val="32"/>
    </w:rPr>
  </w:style>
  <w:style w:type="character" w:customStyle="1" w:styleId="62">
    <w:name w:val="页眉 Char"/>
    <w:autoRedefine/>
    <w:qFormat/>
    <w:uiPriority w:val="0"/>
    <w:rPr>
      <w:rFonts w:ascii="宋体" w:hAnsi="宋体" w:eastAsia="宋体" w:cs="宋体"/>
      <w:sz w:val="18"/>
      <w:szCs w:val="18"/>
    </w:rPr>
  </w:style>
  <w:style w:type="character" w:customStyle="1" w:styleId="63">
    <w:name w:val="text1"/>
    <w:autoRedefine/>
    <w:qFormat/>
    <w:uiPriority w:val="0"/>
    <w:rPr>
      <w:sz w:val="21"/>
      <w:szCs w:val="21"/>
      <w:u w:val="none"/>
    </w:rPr>
  </w:style>
  <w:style w:type="character" w:customStyle="1" w:styleId="64">
    <w:name w:val="页脚2 Char"/>
    <w:link w:val="65"/>
    <w:autoRedefine/>
    <w:qFormat/>
    <w:uiPriority w:val="0"/>
    <w:rPr>
      <w:rFonts w:ascii="宋体" w:hAnsi="宋体" w:eastAsia="宋体"/>
      <w:sz w:val="18"/>
      <w:szCs w:val="18"/>
    </w:rPr>
  </w:style>
  <w:style w:type="paragraph" w:customStyle="1" w:styleId="65">
    <w:name w:val="页脚2"/>
    <w:basedOn w:val="1"/>
    <w:link w:val="64"/>
    <w:autoRedefine/>
    <w:qFormat/>
    <w:uiPriority w:val="0"/>
    <w:pPr>
      <w:widowControl/>
      <w:pBdr>
        <w:top w:val="single" w:color="auto" w:sz="6" w:space="0"/>
      </w:pBdr>
      <w:jc w:val="right"/>
      <w:textAlignment w:val="center"/>
    </w:pPr>
    <w:rPr>
      <w:rFonts w:ascii="宋体" w:hAnsi="宋体" w:cstheme="minorBidi"/>
      <w:sz w:val="18"/>
      <w:szCs w:val="18"/>
    </w:rPr>
  </w:style>
  <w:style w:type="paragraph" w:customStyle="1" w:styleId="66">
    <w:name w:val="text"/>
    <w:basedOn w:val="1"/>
    <w:autoRedefine/>
    <w:qFormat/>
    <w:uiPriority w:val="0"/>
    <w:pPr>
      <w:widowControl/>
      <w:spacing w:before="100" w:beforeAutospacing="1" w:after="100" w:afterAutospacing="1" w:line="347" w:lineRule="atLeast"/>
      <w:jc w:val="left"/>
    </w:pPr>
    <w:rPr>
      <w:rFonts w:ascii="Arial Unicode MS" w:hAnsi="Arial Unicode MS" w:eastAsia="Arial Unicode MS" w:cs="Arial Unicode MS"/>
      <w:color w:val="000000"/>
      <w:kern w:val="0"/>
      <w:szCs w:val="21"/>
    </w:rPr>
  </w:style>
  <w:style w:type="paragraph" w:customStyle="1" w:styleId="67">
    <w:name w:val="D文1"/>
    <w:basedOn w:val="1"/>
    <w:autoRedefine/>
    <w:qFormat/>
    <w:uiPriority w:val="0"/>
    <w:pPr>
      <w:tabs>
        <w:tab w:val="left" w:pos="720"/>
      </w:tabs>
      <w:autoSpaceDE w:val="0"/>
      <w:autoSpaceDN w:val="0"/>
      <w:adjustRightInd w:val="0"/>
      <w:spacing w:after="120" w:line="480" w:lineRule="atLeast"/>
      <w:ind w:left="680" w:firstLine="510"/>
    </w:pPr>
    <w:rPr>
      <w:rFonts w:ascii="宋体"/>
      <w:kern w:val="0"/>
      <w:sz w:val="24"/>
    </w:rPr>
  </w:style>
  <w:style w:type="character" w:customStyle="1" w:styleId="68">
    <w:name w:val="正文文本 2 Char"/>
    <w:basedOn w:val="40"/>
    <w:link w:val="32"/>
    <w:autoRedefine/>
    <w:qFormat/>
    <w:uiPriority w:val="0"/>
    <w:rPr>
      <w:rFonts w:ascii="Times New Roman" w:hAnsi="Times New Roman" w:eastAsia="楷体_GB2312" w:cs="Times New Roman"/>
      <w:sz w:val="28"/>
      <w:szCs w:val="20"/>
    </w:rPr>
  </w:style>
  <w:style w:type="paragraph" w:customStyle="1" w:styleId="69">
    <w:name w:val="xl22"/>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character" w:customStyle="1" w:styleId="70">
    <w:name w:val="日期 Char"/>
    <w:basedOn w:val="40"/>
    <w:link w:val="21"/>
    <w:autoRedefine/>
    <w:qFormat/>
    <w:uiPriority w:val="0"/>
    <w:rPr>
      <w:rFonts w:ascii="Times New Roman" w:hAnsi="Times New Roman" w:eastAsia="宋体" w:cs="Times New Roman"/>
      <w:sz w:val="24"/>
      <w:szCs w:val="20"/>
    </w:rPr>
  </w:style>
  <w:style w:type="character" w:customStyle="1" w:styleId="71">
    <w:name w:val="文档结构图 Char"/>
    <w:basedOn w:val="40"/>
    <w:link w:val="12"/>
    <w:autoRedefine/>
    <w:semiHidden/>
    <w:qFormat/>
    <w:uiPriority w:val="0"/>
    <w:rPr>
      <w:rFonts w:ascii="Times New Roman" w:hAnsi="Times New Roman" w:eastAsia="宋体" w:cs="Times New Roman"/>
      <w:szCs w:val="20"/>
      <w:shd w:val="clear" w:color="auto" w:fill="000080"/>
    </w:rPr>
  </w:style>
  <w:style w:type="character" w:customStyle="1" w:styleId="72">
    <w:name w:val="正文文本 Char"/>
    <w:basedOn w:val="40"/>
    <w:link w:val="8"/>
    <w:autoRedefine/>
    <w:qFormat/>
    <w:uiPriority w:val="0"/>
    <w:rPr>
      <w:rFonts w:ascii="黑体" w:hAnsi="Times New Roman" w:eastAsia="宋体" w:cs="Times New Roman"/>
      <w:sz w:val="24"/>
      <w:szCs w:val="20"/>
    </w:rPr>
  </w:style>
  <w:style w:type="character" w:customStyle="1" w:styleId="73">
    <w:name w:val="正文文本缩进 3 Char"/>
    <w:basedOn w:val="40"/>
    <w:link w:val="29"/>
    <w:autoRedefine/>
    <w:qFormat/>
    <w:uiPriority w:val="0"/>
    <w:rPr>
      <w:rFonts w:ascii="Times New Roman" w:hAnsi="Times New Roman" w:eastAsia="宋体" w:cs="Times New Roman"/>
      <w:sz w:val="24"/>
      <w:szCs w:val="20"/>
    </w:rPr>
  </w:style>
  <w:style w:type="paragraph" w:customStyle="1" w:styleId="74">
    <w:name w:val="样式 样式 标题 2H2PIM2Heading 2 Hidden2nd levelh22Header 2l2Titr... + ..."/>
    <w:basedOn w:val="1"/>
    <w:autoRedefine/>
    <w:qFormat/>
    <w:uiPriority w:val="0"/>
    <w:pPr>
      <w:keepNext/>
      <w:keepLines/>
      <w:spacing w:beforeLines="50" w:line="360" w:lineRule="auto"/>
      <w:ind w:left="180"/>
      <w:outlineLvl w:val="1"/>
    </w:pPr>
    <w:rPr>
      <w:rFonts w:ascii="宋体" w:hAnsi="宋体"/>
      <w:b/>
      <w:sz w:val="28"/>
    </w:rPr>
  </w:style>
  <w:style w:type="paragraph" w:customStyle="1" w:styleId="75">
    <w:name w:val="Char Char Char1 Char"/>
    <w:basedOn w:val="1"/>
    <w:autoRedefine/>
    <w:qFormat/>
    <w:uiPriority w:val="0"/>
    <w:pPr>
      <w:tabs>
        <w:tab w:val="left" w:pos="425"/>
      </w:tabs>
      <w:ind w:left="425" w:hanging="425"/>
    </w:pPr>
    <w:rPr>
      <w:rFonts w:eastAsia="仿宋_GB2312"/>
      <w:kern w:val="24"/>
      <w:sz w:val="24"/>
      <w:szCs w:val="24"/>
    </w:rPr>
  </w:style>
  <w:style w:type="character" w:customStyle="1" w:styleId="76">
    <w:name w:val="页眉 Char1"/>
    <w:basedOn w:val="40"/>
    <w:link w:val="25"/>
    <w:autoRedefine/>
    <w:semiHidden/>
    <w:qFormat/>
    <w:uiPriority w:val="99"/>
    <w:rPr>
      <w:rFonts w:ascii="Times New Roman" w:hAnsi="Times New Roman" w:eastAsia="宋体" w:cs="Times New Roman"/>
      <w:sz w:val="18"/>
      <w:szCs w:val="18"/>
    </w:rPr>
  </w:style>
  <w:style w:type="character" w:customStyle="1" w:styleId="77">
    <w:name w:val="纯文本 Char1"/>
    <w:basedOn w:val="40"/>
    <w:link w:val="19"/>
    <w:autoRedefine/>
    <w:semiHidden/>
    <w:qFormat/>
    <w:uiPriority w:val="99"/>
    <w:rPr>
      <w:rFonts w:ascii="宋体" w:hAnsi="Courier New" w:eastAsia="宋体" w:cs="Courier New"/>
      <w:szCs w:val="21"/>
    </w:rPr>
  </w:style>
  <w:style w:type="paragraph" w:customStyle="1" w:styleId="78">
    <w:name w:val="Char Char Char"/>
    <w:basedOn w:val="1"/>
    <w:autoRedefine/>
    <w:qFormat/>
    <w:uiPriority w:val="0"/>
    <w:rPr>
      <w:rFonts w:ascii="Tahoma" w:hAnsi="Tahoma"/>
      <w:sz w:val="24"/>
    </w:rPr>
  </w:style>
  <w:style w:type="paragraph" w:customStyle="1" w:styleId="7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HTML 预设格式 Char"/>
    <w:basedOn w:val="40"/>
    <w:link w:val="33"/>
    <w:autoRedefine/>
    <w:qFormat/>
    <w:uiPriority w:val="0"/>
    <w:rPr>
      <w:rFonts w:ascii="黑体" w:hAnsi="Courier New" w:eastAsia="黑体" w:cs="Courier New"/>
      <w:kern w:val="0"/>
      <w:sz w:val="20"/>
      <w:szCs w:val="20"/>
    </w:rPr>
  </w:style>
  <w:style w:type="paragraph" w:customStyle="1" w:styleId="81">
    <w:name w:val="正文3"/>
    <w:basedOn w:val="1"/>
    <w:autoRedefine/>
    <w:qFormat/>
    <w:uiPriority w:val="0"/>
    <w:pPr>
      <w:spacing w:before="60" w:after="60" w:line="360" w:lineRule="auto"/>
      <w:outlineLvl w:val="8"/>
    </w:pPr>
    <w:rPr>
      <w:sz w:val="24"/>
      <w:szCs w:val="21"/>
    </w:rPr>
  </w:style>
  <w:style w:type="paragraph" w:customStyle="1" w:styleId="82">
    <w:name w:val="p0"/>
    <w:basedOn w:val="1"/>
    <w:autoRedefine/>
    <w:qFormat/>
    <w:uiPriority w:val="0"/>
    <w:pPr>
      <w:widowControl/>
    </w:pPr>
    <w:rPr>
      <w:kern w:val="0"/>
      <w:szCs w:val="21"/>
    </w:rPr>
  </w:style>
  <w:style w:type="paragraph" w:customStyle="1" w:styleId="83">
    <w:name w:val="xl25"/>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84">
    <w:name w:val="xl24"/>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hint="eastAsia" w:ascii="楷体_GB2312" w:hAnsi="宋体" w:eastAsia="楷体_GB2312"/>
      <w:kern w:val="0"/>
      <w:sz w:val="24"/>
      <w:szCs w:val="24"/>
    </w:rPr>
  </w:style>
  <w:style w:type="paragraph" w:customStyle="1" w:styleId="85">
    <w:name w:val="Char Char Char Char Char Char Char Char Char Char"/>
    <w:basedOn w:val="1"/>
    <w:autoRedefine/>
    <w:qFormat/>
    <w:uiPriority w:val="0"/>
    <w:rPr>
      <w:rFonts w:ascii="Tahoma" w:hAnsi="Tahoma"/>
      <w:sz w:val="24"/>
    </w:rPr>
  </w:style>
  <w:style w:type="paragraph" w:customStyle="1" w:styleId="86">
    <w:name w:val="表格"/>
    <w:basedOn w:val="1"/>
    <w:autoRedefine/>
    <w:qFormat/>
    <w:uiPriority w:val="0"/>
    <w:pPr>
      <w:spacing w:line="400" w:lineRule="exact"/>
    </w:pPr>
    <w:rPr>
      <w:sz w:val="24"/>
      <w:szCs w:val="24"/>
    </w:rPr>
  </w:style>
  <w:style w:type="paragraph" w:customStyle="1" w:styleId="87">
    <w:name w:val="Char Char Char1"/>
    <w:basedOn w:val="1"/>
    <w:autoRedefine/>
    <w:qFormat/>
    <w:uiPriority w:val="0"/>
    <w:rPr>
      <w:rFonts w:ascii="宋体" w:hAnsi="宋体"/>
      <w:b/>
      <w:sz w:val="28"/>
      <w:szCs w:val="28"/>
    </w:rPr>
  </w:style>
  <w:style w:type="paragraph" w:customStyle="1" w:styleId="88">
    <w:name w:val="样式 标题 3H3l3CTh33rd levelLevel 3 HeadHeading 3 - oldISO2..."/>
    <w:basedOn w:val="5"/>
    <w:autoRedefine/>
    <w:qFormat/>
    <w:uiPriority w:val="0"/>
    <w:pPr>
      <w:keepNext w:val="0"/>
      <w:keepLines w:val="0"/>
      <w:autoSpaceDE/>
      <w:autoSpaceDN/>
      <w:adjustRightInd/>
      <w:snapToGrid/>
      <w:spacing w:before="0" w:after="0"/>
      <w:ind w:left="737" w:hanging="539"/>
      <w:textAlignment w:val="auto"/>
    </w:pPr>
    <w:rPr>
      <w:sz w:val="24"/>
    </w:rPr>
  </w:style>
  <w:style w:type="paragraph" w:customStyle="1" w:styleId="89">
    <w:name w:val="列出段落1"/>
    <w:basedOn w:val="1"/>
    <w:autoRedefine/>
    <w:qFormat/>
    <w:uiPriority w:val="34"/>
    <w:pPr>
      <w:autoSpaceDE w:val="0"/>
      <w:autoSpaceDN w:val="0"/>
      <w:adjustRightInd w:val="0"/>
      <w:ind w:firstLine="420" w:firstLineChars="200"/>
    </w:pPr>
    <w:rPr>
      <w:kern w:val="0"/>
      <w:sz w:val="20"/>
    </w:rPr>
  </w:style>
  <w:style w:type="character" w:customStyle="1" w:styleId="90">
    <w:name w:val="批注框文本 Char"/>
    <w:basedOn w:val="40"/>
    <w:link w:val="23"/>
    <w:autoRedefine/>
    <w:semiHidden/>
    <w:qFormat/>
    <w:uiPriority w:val="0"/>
    <w:rPr>
      <w:rFonts w:ascii="Times New Roman" w:hAnsi="Times New Roman" w:eastAsia="宋体" w:cs="Times New Roman"/>
      <w:sz w:val="18"/>
      <w:szCs w:val="18"/>
    </w:rPr>
  </w:style>
  <w:style w:type="paragraph" w:customStyle="1" w:styleId="91">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character" w:customStyle="1" w:styleId="92">
    <w:name w:val="批注文字 Char1"/>
    <w:basedOn w:val="40"/>
    <w:link w:val="13"/>
    <w:autoRedefine/>
    <w:semiHidden/>
    <w:qFormat/>
    <w:uiPriority w:val="99"/>
    <w:rPr>
      <w:rFonts w:ascii="Times New Roman" w:hAnsi="Times New Roman" w:eastAsia="宋体" w:cs="Times New Roman"/>
      <w:szCs w:val="20"/>
    </w:rPr>
  </w:style>
  <w:style w:type="paragraph" w:customStyle="1" w:styleId="93">
    <w:name w:val="Char"/>
    <w:basedOn w:val="1"/>
    <w:autoRedefine/>
    <w:qFormat/>
    <w:uiPriority w:val="0"/>
    <w:pPr>
      <w:widowControl/>
      <w:spacing w:after="160" w:line="240" w:lineRule="exact"/>
      <w:jc w:val="left"/>
    </w:pPr>
    <w:rPr>
      <w:rFonts w:ascii="Verdana" w:hAnsi="Verdana"/>
      <w:kern w:val="0"/>
      <w:lang w:eastAsia="en-US"/>
    </w:rPr>
  </w:style>
  <w:style w:type="character" w:customStyle="1" w:styleId="94">
    <w:name w:val="页脚 Char"/>
    <w:basedOn w:val="40"/>
    <w:link w:val="24"/>
    <w:autoRedefine/>
    <w:qFormat/>
    <w:uiPriority w:val="0"/>
    <w:rPr>
      <w:rFonts w:ascii="Times New Roman" w:hAnsi="Times New Roman" w:eastAsia="宋体" w:cs="Times New Roman"/>
      <w:sz w:val="18"/>
      <w:szCs w:val="20"/>
    </w:rPr>
  </w:style>
  <w:style w:type="paragraph" w:customStyle="1" w:styleId="95">
    <w:name w:val="xl29"/>
    <w:basedOn w:val="1"/>
    <w:autoRedefine/>
    <w:qFormat/>
    <w:uiPriority w:val="0"/>
    <w:pPr>
      <w:widowControl/>
      <w:spacing w:before="100" w:after="100"/>
      <w:jc w:val="center"/>
    </w:pPr>
    <w:rPr>
      <w:rFonts w:ascii="宋体" w:hAnsi="宋体"/>
      <w:kern w:val="0"/>
      <w:sz w:val="28"/>
    </w:rPr>
  </w:style>
  <w:style w:type="character" w:customStyle="1" w:styleId="96">
    <w:name w:val="批注主题 Char"/>
    <w:basedOn w:val="92"/>
    <w:link w:val="36"/>
    <w:autoRedefine/>
    <w:semiHidden/>
    <w:qFormat/>
    <w:uiPriority w:val="0"/>
    <w:rPr>
      <w:rFonts w:ascii="Times New Roman" w:hAnsi="Times New Roman" w:eastAsia="宋体" w:cs="Times New Roman"/>
      <w:b/>
      <w:bCs/>
      <w:szCs w:val="20"/>
    </w:rPr>
  </w:style>
  <w:style w:type="paragraph" w:customStyle="1" w:styleId="97">
    <w:name w:val="图"/>
    <w:basedOn w:val="1"/>
    <w:autoRedefine/>
    <w:qFormat/>
    <w:uiPriority w:val="0"/>
    <w:pPr>
      <w:keepNext/>
      <w:adjustRightInd w:val="0"/>
      <w:spacing w:before="60" w:after="60" w:line="300" w:lineRule="auto"/>
      <w:jc w:val="center"/>
      <w:textAlignment w:val="center"/>
    </w:pPr>
    <w:rPr>
      <w:snapToGrid w:val="0"/>
      <w:spacing w:val="20"/>
      <w:kern w:val="0"/>
      <w:sz w:val="24"/>
    </w:rPr>
  </w:style>
  <w:style w:type="paragraph" w:customStyle="1" w:styleId="98">
    <w:name w:val="表"/>
    <w:basedOn w:val="1"/>
    <w:autoRedefine/>
    <w:qFormat/>
    <w:uiPriority w:val="0"/>
    <w:pPr>
      <w:jc w:val="center"/>
    </w:pPr>
    <w:rPr>
      <w:rFonts w:ascii="宋体" w:hAnsi="宋体"/>
    </w:rPr>
  </w:style>
  <w:style w:type="character" w:customStyle="1" w:styleId="99">
    <w:name w:val="正文文本缩进 2 Char"/>
    <w:basedOn w:val="40"/>
    <w:link w:val="22"/>
    <w:autoRedefine/>
    <w:qFormat/>
    <w:uiPriority w:val="0"/>
    <w:rPr>
      <w:rFonts w:ascii="仿宋_GB2312" w:hAnsi="Times New Roman" w:eastAsia="仿宋_GB2312" w:cs="Times New Roman"/>
      <w:color w:val="000000"/>
      <w:kern w:val="0"/>
      <w:sz w:val="28"/>
      <w:szCs w:val="20"/>
    </w:rPr>
  </w:style>
  <w:style w:type="paragraph" w:customStyle="1" w:styleId="100">
    <w:name w:val="正文1"/>
    <w:basedOn w:val="1"/>
    <w:autoRedefine/>
    <w:qFormat/>
    <w:uiPriority w:val="0"/>
    <w:pPr>
      <w:spacing w:before="60" w:after="60" w:line="360" w:lineRule="auto"/>
      <w:outlineLvl w:val="6"/>
    </w:pPr>
    <w:rPr>
      <w:sz w:val="24"/>
      <w:szCs w:val="24"/>
    </w:rPr>
  </w:style>
  <w:style w:type="paragraph" w:customStyle="1" w:styleId="101">
    <w:name w:val="Char1 Char Char Char Char Char Char Char Char Char"/>
    <w:basedOn w:val="1"/>
    <w:autoRedefine/>
    <w:qFormat/>
    <w:uiPriority w:val="0"/>
    <w:pPr>
      <w:widowControl/>
      <w:spacing w:line="400" w:lineRule="exact"/>
      <w:jc w:val="center"/>
    </w:pPr>
    <w:rPr>
      <w:rFonts w:ascii="Verdana" w:hAnsi="Verdana" w:cs="Verdana"/>
      <w:kern w:val="0"/>
      <w:szCs w:val="21"/>
      <w:lang w:eastAsia="en-US"/>
    </w:rPr>
  </w:style>
  <w:style w:type="character" w:customStyle="1" w:styleId="102">
    <w:name w:val="正文文本 3 Char"/>
    <w:basedOn w:val="40"/>
    <w:link w:val="14"/>
    <w:autoRedefine/>
    <w:qFormat/>
    <w:uiPriority w:val="0"/>
    <w:rPr>
      <w:rFonts w:ascii="宋体" w:hAnsi="宋体" w:eastAsia="宋体" w:cs="Times New Roman"/>
      <w:b/>
      <w:bCs/>
      <w:szCs w:val="20"/>
    </w:rPr>
  </w:style>
  <w:style w:type="paragraph" w:customStyle="1" w:styleId="103">
    <w:name w:val="正文2"/>
    <w:basedOn w:val="1"/>
    <w:autoRedefine/>
    <w:qFormat/>
    <w:uiPriority w:val="0"/>
    <w:pPr>
      <w:spacing w:before="60" w:after="60" w:line="360" w:lineRule="auto"/>
      <w:outlineLvl w:val="7"/>
    </w:pPr>
    <w:rPr>
      <w:sz w:val="24"/>
      <w:szCs w:val="24"/>
    </w:rPr>
  </w:style>
  <w:style w:type="character" w:customStyle="1" w:styleId="104">
    <w:name w:val="正文文本缩进 Char"/>
    <w:basedOn w:val="40"/>
    <w:link w:val="15"/>
    <w:autoRedefine/>
    <w:qFormat/>
    <w:uiPriority w:val="0"/>
    <w:rPr>
      <w:rFonts w:ascii="宋体" w:hAnsi="Times New Roman" w:eastAsia="宋体" w:cs="Times New Roman"/>
      <w:sz w:val="24"/>
      <w:szCs w:val="20"/>
    </w:rPr>
  </w:style>
  <w:style w:type="paragraph" w:customStyle="1" w:styleId="105">
    <w:name w:val="章标题"/>
    <w:next w:val="1"/>
    <w:autoRedefine/>
    <w:qFormat/>
    <w:uiPriority w:val="0"/>
    <w:pPr>
      <w:spacing w:before="50" w:after="50" w:line="360" w:lineRule="auto"/>
      <w:jc w:val="both"/>
      <w:outlineLvl w:val="1"/>
    </w:pPr>
    <w:rPr>
      <w:rFonts w:ascii="黑体" w:hAnsi="Times New Roman" w:eastAsia="黑体" w:cs="Times New Roman"/>
      <w:sz w:val="21"/>
      <w:lang w:val="en-US" w:eastAsia="zh-CN" w:bidi="ar-SA"/>
    </w:rPr>
  </w:style>
  <w:style w:type="paragraph" w:customStyle="1" w:styleId="106">
    <w:name w:val="Char1"/>
    <w:basedOn w:val="1"/>
    <w:autoRedefine/>
    <w:qFormat/>
    <w:uiPriority w:val="0"/>
    <w:pPr>
      <w:widowControl/>
      <w:spacing w:after="160" w:line="240" w:lineRule="exact"/>
      <w:jc w:val="left"/>
    </w:pPr>
    <w:rPr>
      <w:rFonts w:ascii="Verdana" w:hAnsi="Verdana"/>
      <w:kern w:val="0"/>
      <w:lang w:eastAsia="en-US"/>
    </w:rPr>
  </w:style>
  <w:style w:type="paragraph" w:customStyle="1" w:styleId="107">
    <w:name w:val="Char1 Char Char Char"/>
    <w:basedOn w:val="1"/>
    <w:autoRedefine/>
    <w:qFormat/>
    <w:uiPriority w:val="0"/>
    <w:pPr>
      <w:ind w:left="420" w:hanging="420"/>
    </w:pPr>
    <w:rPr>
      <w:sz w:val="24"/>
      <w:szCs w:val="24"/>
    </w:rPr>
  </w:style>
  <w:style w:type="paragraph" w:customStyle="1" w:styleId="108">
    <w:name w:val="列出段落11"/>
    <w:basedOn w:val="1"/>
    <w:autoRedefine/>
    <w:qFormat/>
    <w:uiPriority w:val="0"/>
    <w:pPr>
      <w:ind w:firstLine="420" w:firstLineChars="200"/>
    </w:pPr>
  </w:style>
  <w:style w:type="paragraph" w:customStyle="1" w:styleId="109">
    <w:name w:val="Char Char"/>
    <w:basedOn w:val="1"/>
    <w:autoRedefine/>
    <w:qFormat/>
    <w:uiPriority w:val="0"/>
    <w:pPr>
      <w:widowControl/>
      <w:spacing w:after="160" w:line="240" w:lineRule="exact"/>
      <w:jc w:val="left"/>
    </w:pPr>
    <w:rPr>
      <w:rFonts w:ascii="Verdana" w:hAnsi="Verdana"/>
      <w:kern w:val="0"/>
      <w:lang w:eastAsia="en-US"/>
    </w:rPr>
  </w:style>
  <w:style w:type="paragraph" w:customStyle="1" w:styleId="110">
    <w:name w:val="Char Char1"/>
    <w:basedOn w:val="1"/>
    <w:autoRedefine/>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11">
    <w:name w:val="列出段落2"/>
    <w:basedOn w:val="1"/>
    <w:autoRedefine/>
    <w:qFormat/>
    <w:uiPriority w:val="0"/>
    <w:pPr>
      <w:ind w:firstLine="420" w:firstLineChars="200"/>
    </w:pPr>
    <w:rPr>
      <w:rFonts w:ascii="Calibri" w:hAnsi="Calibri"/>
      <w:szCs w:val="22"/>
    </w:rPr>
  </w:style>
  <w:style w:type="character" w:customStyle="1" w:styleId="112">
    <w:name w:val="weby11"/>
    <w:autoRedefine/>
    <w:qFormat/>
    <w:uiPriority w:val="0"/>
    <w:rPr>
      <w:sz w:val="18"/>
      <w:szCs w:val="18"/>
    </w:rPr>
  </w:style>
  <w:style w:type="paragraph" w:customStyle="1" w:styleId="113">
    <w:name w:val="正文_2"/>
    <w:autoRedefine/>
    <w:qFormat/>
    <w:uiPriority w:val="0"/>
    <w:rPr>
      <w:rFonts w:ascii="Times New Roman" w:hAnsi="Times New Roman" w:eastAsia="宋体" w:cs="Times New Roman"/>
      <w:sz w:val="21"/>
      <w:lang w:val="en-US" w:eastAsia="zh-CN" w:bidi="ar-SA"/>
    </w:rPr>
  </w:style>
  <w:style w:type="character" w:customStyle="1" w:styleId="114">
    <w:name w:val="p141_0"/>
    <w:autoRedefine/>
    <w:qFormat/>
    <w:uiPriority w:val="0"/>
    <w:rPr>
      <w:sz w:val="21"/>
      <w:szCs w:val="21"/>
    </w:rPr>
  </w:style>
  <w:style w:type="paragraph" w:customStyle="1" w:styleId="115">
    <w:name w:val="正文4"/>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116">
    <w:name w:val="正文_0"/>
    <w:basedOn w:val="1"/>
    <w:autoRedefine/>
    <w:qFormat/>
    <w:uiPriority w:val="0"/>
    <w:pPr>
      <w:adjustRightInd w:val="0"/>
      <w:spacing w:line="360" w:lineRule="atLeast"/>
    </w:pPr>
    <w:rPr>
      <w:rFonts w:eastAsia="Times New Roman"/>
      <w:kern w:val="0"/>
      <w:sz w:val="20"/>
    </w:rPr>
  </w:style>
  <w:style w:type="paragraph" w:customStyle="1" w:styleId="117">
    <w:name w:val="xl26"/>
    <w:basedOn w:val="1"/>
    <w:autoRedefine/>
    <w:qFormat/>
    <w:uiPriority w:val="0"/>
    <w:pPr>
      <w:widowControl/>
      <w:spacing w:before="100" w:beforeAutospacing="1" w:after="100" w:afterAutospacing="1"/>
      <w:jc w:val="center"/>
    </w:pPr>
    <w:rPr>
      <w:rFonts w:hint="eastAsia" w:ascii="仿宋_GB2312" w:hAnsi="宋体" w:eastAsia="仿宋_GB2312"/>
      <w:szCs w:val="24"/>
    </w:rPr>
  </w:style>
  <w:style w:type="paragraph" w:customStyle="1" w:styleId="118">
    <w:name w:val="font5"/>
    <w:basedOn w:val="1"/>
    <w:autoRedefine/>
    <w:qFormat/>
    <w:uiPriority w:val="0"/>
    <w:pPr>
      <w:widowControl/>
      <w:spacing w:before="100" w:beforeAutospacing="1" w:after="100" w:afterAutospacing="1"/>
    </w:pPr>
    <w:rPr>
      <w:rFonts w:hAnsi="宋体" w:cs="宋体"/>
      <w:sz w:val="18"/>
      <w:szCs w:val="18"/>
    </w:rPr>
  </w:style>
  <w:style w:type="paragraph" w:customStyle="1" w:styleId="119">
    <w:name w:val="正文_1_0"/>
    <w:autoRedefine/>
    <w:qFormat/>
    <w:uiPriority w:val="0"/>
    <w:pPr>
      <w:widowControl w:val="0"/>
      <w:jc w:val="both"/>
    </w:pPr>
    <w:rPr>
      <w:rFonts w:ascii="Times New Roman" w:hAnsi="Times New Roman" w:eastAsia="宋体" w:cs="宋体"/>
      <w:kern w:val="2"/>
      <w:sz w:val="21"/>
      <w:szCs w:val="24"/>
      <w:lang w:val="en-US" w:eastAsia="zh-CN" w:bidi="ar-SA"/>
    </w:rPr>
  </w:style>
  <w:style w:type="paragraph" w:styleId="120">
    <w:name w:val="List Paragraph"/>
    <w:basedOn w:val="1"/>
    <w:autoRedefine/>
    <w:qFormat/>
    <w:uiPriority w:val="99"/>
    <w:pPr>
      <w:ind w:firstLine="420" w:firstLineChars="200"/>
    </w:pPr>
    <w:rPr>
      <w:rFonts w:ascii="Calibri" w:hAnsi="Calibri" w:cs="黑体"/>
      <w:szCs w:val="24"/>
    </w:rPr>
  </w:style>
  <w:style w:type="paragraph" w:customStyle="1" w:styleId="121">
    <w:name w:val="正文_1"/>
    <w:autoRedefine/>
    <w:qFormat/>
    <w:uiPriority w:val="0"/>
    <w:pPr>
      <w:widowControl w:val="0"/>
      <w:jc w:val="both"/>
    </w:pPr>
    <w:rPr>
      <w:rFonts w:ascii="Times New Roman" w:hAnsi="Times New Roman" w:eastAsia="宋体" w:cs="宋体"/>
      <w:kern w:val="2"/>
      <w:sz w:val="21"/>
      <w:szCs w:val="21"/>
      <w:lang w:val="en-US" w:eastAsia="zh-CN" w:bidi="ar-SA"/>
    </w:rPr>
  </w:style>
  <w:style w:type="paragraph" w:customStyle="1" w:styleId="122">
    <w:name w:val="Normal Indent1"/>
    <w:qFormat/>
    <w:uiPriority w:val="0"/>
    <w:pPr>
      <w:ind w:firstLine="420"/>
    </w:pPr>
    <w:rPr>
      <w:rFonts w:ascii="Times New Roman" w:hAnsi="Times New Roman" w:eastAsia="宋体" w:cs="Times New Roman"/>
      <w:sz w:val="21"/>
      <w:lang w:val="en-US" w:eastAsia="zh-CN" w:bidi="ar-SA"/>
    </w:rPr>
  </w:style>
  <w:style w:type="paragraph" w:customStyle="1" w:styleId="123">
    <w:name w:val="null3"/>
    <w:qFormat/>
    <w:uiPriority w:val="0"/>
    <w:rPr>
      <w:rFonts w:hint="eastAsia" w:ascii="Calibri" w:hAnsi="Calibri" w:eastAsia="宋体" w:cs="Times New Roman"/>
      <w:lang w:val="en-US" w:eastAsia="zh-Hans" w:bidi="ar-SA"/>
    </w:rPr>
  </w:style>
  <w:style w:type="paragraph" w:customStyle="1" w:styleId="124">
    <w:name w:val="_Style 2"/>
    <w:basedOn w:val="1"/>
    <w:qFormat/>
    <w:uiPriority w:val="0"/>
    <w:pPr>
      <w:framePr w:hSpace="180" w:wrap="around" w:vAnchor="text" w:hAnchor="page" w:x="1175" w:y="280"/>
      <w:suppressOverlap/>
      <w:widowControl/>
      <w:spacing w:line="360" w:lineRule="auto"/>
    </w:pPr>
    <w:rPr>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15df04bb-cc4d-45f9-8d51-fba51b9ee5e2</errorID>
      <errorWord>具体详见采购人</errorWord>
      <group>L1_Word</group>
      <groupName>字词问题</groupName>
      <ability>L2_Typo</ability>
      <abilityName>字词错误</abilityName>
      <candidateList>
        <item>详见采购人</item>
      </candidateList>
      <explain/>
      <paraID>1FAB8885</paraID>
      <start>52</start>
      <end>59</end>
      <status>unmodified</status>
      <modifiedWord/>
      <trackRevisions>false</trackRevisions>
    </reviewItem>
    <reviewItem>
      <errorID>bcb70f88-f8a0-4064-9c47-f6eac03e8952</errorID>
      <errorWord>）</errorWord>
      <group>L1_AI</group>
      <groupName>深度校对</groupName>
      <ability>L2_AI_Punc</ability>
      <abilityName>标点纠错</abilityName>
      <candidateList>
        <item>）。</item>
      </candidateList>
      <explain/>
      <paraID>1FAB8885</paraID>
      <start>61</start>
      <end>62</end>
      <status>unmodified</status>
      <modifiedWord/>
      <trackRevisions>false</trackRevisions>
    </reviewItem>
    <reviewItem>
      <errorID>4dd27b52-95d6-4134-b015-4c9e24121846</errorID>
      <errorWord>（</errorWord>
      <group>L1_Punc</group>
      <groupName>标点问题</groupName>
      <ability>L2_Punc</ability>
      <abilityName>标点符号检查</abilityName>
      <candidateList/>
      <explain>同一形式括号套用。</explain>
      <paraID>1A2BA101</paraID>
      <start>45</start>
      <end>46</end>
      <status>unmodified</status>
      <modifiedWord/>
      <trackRevisions>false</trackRevisions>
    </reviewItem>
    <reviewItem>
      <errorID>94d1da1b-2fb9-41eb-8f3c-1cffc3e98fa9</errorID>
      <errorWord>）</errorWord>
      <group>L1_Punc</group>
      <groupName>标点问题</groupName>
      <ability>L2_Punc</ability>
      <abilityName>标点符号检查</abilityName>
      <candidateList/>
      <explain>同一形式括号套用。</explain>
      <paraID>1A2BA101</paraID>
      <start>48</start>
      <end>49</end>
      <status>unmodified</status>
      <modifiedWord/>
      <trackRevisions>false</trackRevisions>
    </reviewItem>
    <reviewItem>
      <errorID>1b6a6f74-2896-4551-bb4d-40f7a154241c</errorID>
      <errorWord>（</errorWord>
      <group>L1_Punc</group>
      <groupName>标点问题</groupName>
      <ability>L2_Punc</ability>
      <abilityName>标点符号检查</abilityName>
      <candidateList/>
      <explain>同一形式括号套用。</explain>
      <paraID>1A2BA101</paraID>
      <start>59</start>
      <end>60</end>
      <status>unmodified</status>
      <modifiedWord/>
      <trackRevisions>false</trackRevisions>
    </reviewItem>
    <reviewItem>
      <errorID>31fd8c64-3017-4ba0-834c-89bcf231c755</errorID>
      <errorWord>）</errorWord>
      <group>L1_Punc</group>
      <groupName>标点问题</groupName>
      <ability>L2_Punc</ability>
      <abilityName>标点符号检查</abilityName>
      <candidateList/>
      <explain>同一形式括号套用。</explain>
      <paraID>1A2BA101</paraID>
      <start>77</start>
      <end>78</end>
      <status>unmodified</status>
      <modifiedWord/>
      <trackRevisions>false</trackRevisions>
    </reviewItem>
    <reviewItem>
      <errorID>752f8523-b199-4c3f-8392-cd2cb32f6e0c</errorID>
      <errorWord>。</errorWord>
      <group>L1_AI</group>
      <groupName>深度校对</groupName>
      <ability>L2_AI_Punc</ability>
      <abilityName>标点纠错</abilityName>
      <candidateList>
        <item>；</item>
      </candidateList>
      <explain/>
      <paraID>1A2BA101</paraID>
      <start>83</start>
      <end>84</end>
      <status>unmodified</status>
      <modifiedWord/>
      <trackRevisions>false</trackRevisions>
    </reviewItem>
    <reviewItem>
      <errorID>1d31399e-8d09-4e97-88e2-45a278f20db2</errorID>
      <errorWord>（</errorWord>
      <group>L1_Punc</group>
      <groupName>标点问题</groupName>
      <ability>L2_Punc</ability>
      <abilityName>标点符号检查</abilityName>
      <candidateList/>
      <explain>同一形式括号套用。</explain>
      <paraID>1A2BA101</paraID>
      <start>90</start>
      <end>91</end>
      <status>unmodified</status>
      <modifiedWord/>
      <trackRevisions>false</trackRevisions>
    </reviewItem>
    <reviewItem>
      <errorID>055ae6b1-505d-46c0-9a34-e8e88560253d</errorID>
      <errorWord>）</errorWord>
      <group>L1_Punc</group>
      <groupName>标点问题</groupName>
      <ability>L2_Punc</ability>
      <abilityName>标点符号检查</abilityName>
      <candidateList/>
      <explain>同一形式括号套用。</explain>
      <paraID>1A2BA101</paraID>
      <start>93</start>
      <end>94</end>
      <status>unmodified</status>
      <modifiedWord/>
      <trackRevisions>false</trackRevisions>
    </reviewItem>
    <reviewItem>
      <errorID>ecace538-5ab3-45fd-a35a-be6624679cd7</errorID>
      <errorWord>-</errorWord>
      <group>L1_Format</group>
      <groupName>格式问题</groupName>
      <ability>L2_HalfPunc</ability>
      <abilityName>全半角检查</abilityName>
      <candidateList>
        <item>－</item>
      </candidateList>
      <explain>文本全半角错误。</explain>
      <paraID>455F82AB</paraID>
      <start>32</start>
      <end>33</end>
      <status>unmodified</status>
      <modifiedWord/>
      <trackRevisions>false</trackRevisions>
    </reviewItem>
    <reviewItem>
      <errorID>7527023d-0ef1-451a-a37d-6810e5e02c9e</errorID>
      <errorWord>-</errorWord>
      <group>L1_Format</group>
      <groupName>格式问题</groupName>
      <ability>L2_HalfPunc</ability>
      <abilityName>全半角检查</abilityName>
      <candidateList>
        <item>－</item>
      </candidateList>
      <explain>文本全半角错误。</explain>
      <paraID>2AC420EC</paraID>
      <start>32</start>
      <end>33</end>
      <status>unmodified</status>
      <modifiedWord/>
      <trackRevisions>false</trackRevisions>
    </reviewItem>
    <reviewItem>
      <errorID>543d362d-8f30-442f-9646-3339b3d33007</errorID>
      <errorWord>-</errorWord>
      <group>L1_Format</group>
      <groupName>格式问题</groupName>
      <ability>L2_HalfPunc</ability>
      <abilityName>全半角检查</abilityName>
      <candidateList>
        <item>－</item>
      </candidateList>
      <explain>文本全半角错误。</explain>
      <paraID>61814861</paraID>
      <start>39</start>
      <end>40</end>
      <status>unmodified</status>
      <modifiedWord/>
      <trackRevisions>false</trackRevisions>
    </reviewItem>
    <reviewItem>
      <errorID>f1fff159-9071-4305-9209-47ba4d865d7f</errorID>
      <errorWord>：</errorWord>
      <group>L1_AI</group>
      <groupName>深度校对</groupName>
      <ability>L2_AI_Punc</ability>
      <abilityName>标点纠错</abilityName>
      <candidateList>
        <item>。</item>
      </candidateList>
      <explain/>
      <paraID>65384AF7</paraID>
      <start>35</start>
      <end>36</end>
      <status>unmodified</status>
      <modifiedWord/>
      <trackRevisions>false</trackRevisions>
    </reviewItem>
    <reviewItem>
      <errorID>9a1f66ca-42be-452d-b9c8-4a4a497a031c</errorID>
      <errorWord>。</errorWord>
      <group>L1_AI</group>
      <groupName>深度校对</groupName>
      <ability>L2_AI_Punc</ability>
      <abilityName>标点纠错</abilityName>
      <candidateList>
        <item/>
      </candidateList>
      <explain/>
      <paraID>65384AF7</paraID>
      <start>89</start>
      <end>90</end>
      <status>unmodified</status>
      <modifiedWord/>
      <trackRevisions>false</trackRevisions>
    </reviewItem>
    <reviewItem>
      <errorID>c4b27653-4ff6-4ead-89da-83ec792f3a9d</errorID>
      <errorWord>200</errorWord>
      <group>L1_AI</group>
      <groupName>深度校对</groupName>
      <ability>L2_AI_Grammar</ability>
      <abilityName>语法纠错</abilityName>
      <candidateList>
        <item>20200</item>
      </candidateList>
      <explain/>
      <paraID>65384AF7</paraID>
      <start>163</start>
      <end>166</end>
      <status>unmodified</status>
      <modifiedWord/>
      <trackRevisions>false</trackRevisions>
    </reviewItem>
    <reviewItem>
      <errorID>82826bda-850f-41c8-8821-a604edec3ace</errorID>
      <errorWord>。</errorWord>
      <group>L1_AI</group>
      <groupName>深度校对</groupName>
      <ability>L2_AI_Punc</ability>
      <abilityName>标点纠错</abilityName>
      <candidateList>
        <item/>
      </candidateList>
      <explain/>
      <paraID>65384AF7</paraID>
      <start>175</start>
      <end>176</end>
      <status>unmodified</status>
      <modifiedWord/>
      <trackRevisions>false</trackRevisions>
    </reviewItem>
    <reviewItem>
      <errorID>0a054d41-c56e-4fd9-9e72-0ec9b9c03c49</errorID>
      <errorWord>-</errorWord>
      <group>L1_Format</group>
      <groupName>格式问题</groupName>
      <ability>L2_HalfPunc</ability>
      <abilityName>全半角检查</abilityName>
      <candidateList>
        <item>－</item>
      </candidateList>
      <explain>文本全半角错误。</explain>
      <paraID>65384AF7</paraID>
      <start>185</start>
      <end>186</end>
      <status>unmodified</status>
      <modifiedWord/>
      <trackRevisions>false</trackRevisions>
    </reviewItem>
    <reviewItem>
      <errorID>e2ba7e8b-2152-44ad-9507-5211277c1c26</errorID>
      <errorWord>-</errorWord>
      <group>L1_Format</group>
      <groupName>格式问题</groupName>
      <ability>L2_HalfPunc</ability>
      <abilityName>全半角检查</abilityName>
      <candidateList>
        <item>－</item>
      </candidateList>
      <explain>文本全半角错误。</explain>
      <paraID>7B4D4AFD</paraID>
      <start>29</start>
      <end>30</end>
      <status>unmodified</status>
      <modifiedWord/>
      <trackRevisions>false</trackRevisions>
    </reviewItem>
    <reviewItem>
      <errorID>bff51930-ebaa-4ef2-9563-a4cc059516f7</errorID>
      <errorWord>-</errorWord>
      <group>L1_Format</group>
      <groupName>格式问题</groupName>
      <ability>L2_HalfPunc</ability>
      <abilityName>全半角检查</abilityName>
      <candidateList>
        <item>－</item>
      </candidateList>
      <explain>文本全半角错误。</explain>
      <paraID>4F609F94</paraID>
      <start>101</start>
      <end>102</end>
      <status>unmodified</status>
      <modifiedWord/>
      <trackRevisions>false</trackRevisions>
    </reviewItem>
    <reviewItem>
      <errorID>ad79d84d-7d1b-4d2b-9467-aa7d2461d3f5</errorID>
      <errorWord>；</errorWord>
      <group>L1_AI</group>
      <groupName>深度校对</groupName>
      <ability>L2_AI_Punc</ability>
      <abilityName>标点纠错</abilityName>
      <candidateList>
        <item>、</item>
      </candidateList>
      <explain/>
      <paraID>548CB5E6</paraID>
      <start>47</start>
      <end>48</end>
      <status>unmodified</status>
      <modifiedWord/>
      <trackRevisions>false</trackRevisions>
    </reviewItem>
    <reviewItem>
      <errorID>b68574ad-7da4-4a72-8ad6-ac90273ec458</errorID>
      <errorWord>(</errorWord>
      <group>L1_Format</group>
      <groupName>格式问题</groupName>
      <ability>L2_HalfPunc</ability>
      <abilityName>全半角检查</abilityName>
      <candidateList>
        <item>（</item>
      </candidateList>
      <explain>文本全半角错误。</explain>
      <paraID>548CB5E6</paraID>
      <start>56</start>
      <end>57</end>
      <status>unmodified</status>
      <modifiedWord/>
      <trackRevisions>false</trackRevisions>
    </reviewItem>
    <reviewItem>
      <errorID>64f0da2c-2576-490a-9417-671eea5215b9</errorID>
      <errorWord>)</errorWord>
      <group>L1_Format</group>
      <groupName>格式问题</groupName>
      <ability>L2_HalfPunc</ability>
      <abilityName>全半角检查</abilityName>
      <candidateList>
        <item>）</item>
      </candidateList>
      <explain>文本全半角错误。</explain>
      <paraID>548CB5E6</paraID>
      <start>79</start>
      <end>80</end>
      <status>unmodified</status>
      <modifiedWord/>
      <trackRevisions>false</trackRevisions>
    </reviewItem>
    <reviewItem>
      <errorID>264aecee-0726-4d2e-8fc3-00f866268b6d</errorID>
      <errorWord>；</errorWord>
      <group>L1_AI</group>
      <groupName>深度校对</groupName>
      <ability>L2_AI_Punc</ability>
      <abilityName>标点纠错</abilityName>
      <candidateList>
        <item>，</item>
      </candidateList>
      <explain/>
      <paraID>548CB5E6</paraID>
      <start>109</start>
      <end>110</end>
      <status>unmodified</status>
      <modifiedWord/>
      <trackRevisions>false</trackRevisions>
    </reviewItem>
    <reviewItem>
      <errorID>55491e0f-4420-498a-b624-02f013ded32f</errorID>
      <errorWord>(</errorWord>
      <group>L1_Format</group>
      <groupName>格式问题</groupName>
      <ability>L2_HalfPunc</ability>
      <abilityName>全半角检查</abilityName>
      <candidateList>
        <item>（</item>
      </candidateList>
      <explain>文本全半角错误。</explain>
      <paraID>548CB5E6</paraID>
      <start>120</start>
      <end>121</end>
      <status>unmodified</status>
      <modifiedWord/>
      <trackRevisions>false</trackRevisions>
    </reviewItem>
    <reviewItem>
      <errorID>e393e0e9-b2fb-4611-a1b9-488f102f1f2e</errorID>
      <errorWord>)</errorWord>
      <group>L1_Format</group>
      <groupName>格式问题</groupName>
      <ability>L2_HalfPunc</ability>
      <abilityName>全半角检查</abilityName>
      <candidateList>
        <item>）</item>
      </candidateList>
      <explain>文本全半角错误。</explain>
      <paraID>548CB5E6</paraID>
      <start>136</start>
      <end>137</end>
      <status>unmodified</status>
      <modifiedWord/>
      <trackRevisions>false</trackRevisions>
    </reviewItem>
    <reviewItem>
      <errorID>8771e1af-2a30-4304-ae94-61fe9af00c13</errorID>
      <errorWord>（</errorWord>
      <group>L1_Punc</group>
      <groupName>标点问题</groupName>
      <ability>L2_Punc</ability>
      <abilityName>标点符号检查</abilityName>
      <candidateList>
        <item/>
      </candidateList>
      <explain>同一形式括号套用。</explain>
      <paraID>548CB5E6</paraID>
      <start>170</start>
      <end>171</end>
      <status>unmodified</status>
      <modifiedWord/>
      <trackRevisions>false</trackRevisions>
    </reviewItem>
    <reviewItem>
      <errorID>a6fd1a52-d9d7-4871-8b39-406ded74e170</errorID>
      <errorWord>（</errorWord>
      <group>L1_Punc</group>
      <groupName>标点问题</groupName>
      <ability>L2_Punc</ability>
      <abilityName>标点符号检查</abilityName>
      <candidateList/>
      <explain>同一形式括号套用。</explain>
      <paraID>548CB5E6</paraID>
      <start>201</start>
      <end>202</end>
      <status>unmodified</status>
      <modifiedWord/>
      <trackRevisions>false</trackRevisions>
    </reviewItem>
    <reviewItem>
      <errorID>1b3ee353-c913-4fcd-b9d9-ff42e91e30e4</errorID>
      <errorWord>）</errorWord>
      <group>L1_Punc</group>
      <groupName>标点问题</groupName>
      <ability>L2_Punc</ability>
      <abilityName>标点符号检查</abilityName>
      <candidateList/>
      <explain>同一形式括号套用。</explain>
      <paraID>548CB5E6</paraID>
      <start>219</start>
      <end>220</end>
      <status>unmodified</status>
      <modifiedWord/>
      <trackRevisions>false</trackRevisions>
    </reviewItem>
    <reviewItem>
      <errorID>d179b1b2-3258-44be-97fe-12db574b55f8</errorID>
      <errorWord>（</errorWord>
      <group>L1_Punc</group>
      <groupName>标点问题</groupName>
      <ability>L2_Punc</ability>
      <abilityName>标点符号检查</abilityName>
      <candidateList/>
      <explain>同一形式括号套用。</explain>
      <paraID>548CB5E6</paraID>
      <start>229</start>
      <end>230</end>
      <status>unmodified</status>
      <modifiedWord/>
      <trackRevisions>false</trackRevisions>
    </reviewItem>
    <reviewItem>
      <errorID>92570623-87f6-4bc7-913d-4bdcd8e13314</errorID>
      <errorWord>）</errorWord>
      <group>L1_Punc</group>
      <groupName>标点问题</groupName>
      <ability>L2_Punc</ability>
      <abilityName>标点符号检查</abilityName>
      <candidateList/>
      <explain>同一形式括号套用。</explain>
      <paraID>548CB5E6</paraID>
      <start>252</start>
      <end>253</end>
      <status>unmodified</status>
      <modifiedWord/>
      <trackRevisions>false</trackRevisions>
    </reviewItem>
    <reviewItem>
      <errorID>ed3b8e69-17b5-43c7-90fd-e620523c39ad</errorID>
      <errorWord>(</errorWord>
      <group>L1_Punc</group>
      <groupName>标点问题</groupName>
      <ability>L2_Punc</ability>
      <abilityName>标点符号检查</abilityName>
      <candidateList/>
      <explain>同一形式括号套用。</explain>
      <paraID>548CB5E6</paraID>
      <start>261</start>
      <end>262</end>
      <status>unmodified</status>
      <modifiedWord/>
      <trackRevisions>false</trackRevisions>
    </reviewItem>
    <reviewItem>
      <errorID>bcdad90a-a2b7-4056-8188-59ad506bca62</errorID>
      <errorWord>)</errorWord>
      <group>L1_Punc</group>
      <groupName>标点问题</groupName>
      <ability>L2_Punc</ability>
      <abilityName>标点符号检查</abilityName>
      <candidateList/>
      <explain>同一形式括号套用。</explain>
      <paraID>548CB5E6</paraID>
      <start>277</start>
      <end>278</end>
      <status>unmodified</status>
      <modifiedWord/>
      <trackRevisions>false</trackRevisions>
    </reviewItem>
    <reviewItem>
      <errorID>3c176c11-42ad-4d52-b229-93000d7207a4</errorID>
      <errorWord>）</errorWord>
      <group>L1_Punc</group>
      <groupName>标点问题</groupName>
      <ability>L2_Punc</ability>
      <abilityName>标点符号检查</abilityName>
      <candidateList/>
      <explain>同一形式括号套用。</explain>
      <paraID>548CB5E6</paraID>
      <start>341</start>
      <end>342</end>
      <status>unmodified</status>
      <modifiedWord/>
      <trackRevisions>false</trackRevisions>
    </reviewItem>
    <reviewItem>
      <errorID>250faca6-d4b3-4977-bb1f-147783298149</errorID>
      <errorWord>：</errorWord>
      <group>L1_Format</group>
      <groupName>格式问题</groupName>
      <ability>L2_HalfPunc</ability>
      <abilityName>全半角检查</abilityName>
      <candidateList>
        <item>:</item>
      </candidateList>
      <explain>文本全半角错误。</explain>
      <paraID>1088657B</paraID>
      <start>42</start>
      <end>43</end>
      <status>unmodified</status>
      <modifiedWord/>
      <trackRevisions>false</trackRevisions>
    </reviewItem>
    <reviewItem>
      <errorID>2b14702c-d7d5-4ab4-9477-054a51cf9030</errorID>
      <errorWord>：</errorWord>
      <group>L1_Format</group>
      <groupName>格式问题</groupName>
      <ability>L2_HalfPunc</ability>
      <abilityName>全半角检查</abilityName>
      <candidateList>
        <item>:</item>
      </candidateList>
      <explain>文本全半角错误。</explain>
      <paraID>1088657B</paraID>
      <start>48</start>
      <end>49</end>
      <status>unmodified</status>
      <modifiedWord/>
      <trackRevisions>false</trackRevisions>
    </reviewItem>
    <reviewItem>
      <errorID>2fd2990c-1664-4462-8711-363f70d3a08a</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1088657B</paraID>
      <start>52</start>
      <end>59</end>
      <status>unmodified</status>
      <modifiedWord/>
      <trackRevisions>false</trackRevisions>
    </reviewItem>
    <reviewItem>
      <errorID>cbc91bfd-37d6-4800-b62c-e2ec75e68160</errorID>
      <errorWord>：</errorWord>
      <group>L1_Format</group>
      <groupName>格式问题</groupName>
      <ability>L2_HalfPunc</ability>
      <abilityName>全半角检查</abilityName>
      <candidateList>
        <item>:</item>
      </candidateList>
      <explain>文本全半角错误。</explain>
      <paraID>1088657B</paraID>
      <start>62</start>
      <end>63</end>
      <status>unmodified</status>
      <modifiedWord/>
      <trackRevisions>false</trackRevisions>
    </reviewItem>
    <reviewItem>
      <errorID>7ec6c5b4-87c4-4c9f-bd62-19afc868b3c6</errorID>
      <errorWord>(</errorWord>
      <group>L1_Format</group>
      <groupName>格式问题</groupName>
      <ability>L2_HalfPunc</ability>
      <abilityName>全半角检查</abilityName>
      <candidateList>
        <item>（</item>
      </candidateList>
      <explain>文本全半角错误。</explain>
      <paraID>73E2E564</paraID>
      <start>14</start>
      <end>15</end>
      <status>unmodified</status>
      <modifiedWord/>
      <trackRevisions>false</trackRevisions>
    </reviewItem>
    <reviewItem>
      <errorID>82296a5b-1a39-4f35-b8a7-cc48851c5fd9</errorID>
      <errorWord>)</errorWord>
      <group>L1_Format</group>
      <groupName>格式问题</groupName>
      <ability>L2_HalfPunc</ability>
      <abilityName>全半角检查</abilityName>
      <candidateList>
        <item>）</item>
      </candidateList>
      <explain>文本全半角错误。</explain>
      <paraID>73E2E564</paraID>
      <start>37</start>
      <end>38</end>
      <status>unmodified</status>
      <modifiedWord/>
      <trackRevisions>false</trackRevisions>
    </reviewItem>
    <reviewItem>
      <errorID>d532a01f-a4d7-4566-9588-89600aa509b1</errorID>
      <errorWord>可</errorWord>
      <group>L1_AI</group>
      <groupName>深度校对</groupName>
      <ability>L2_AI_Grammar</ability>
      <abilityName>语法纠错</abilityName>
      <candidateList>
        <item>内容可</item>
      </candidateList>
      <explain/>
      <paraID>73E2E564</paraID>
      <start>45</start>
      <end>48</end>
      <status>modified</status>
      <modifiedWord>内容可</modifiedWord>
      <trackRevisions>false</trackRevisions>
    </reviewItem>
    <reviewItem>
      <errorID>6c969385-ed18-485a-98ca-26275e0a65ba</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73E2E564</paraID>
      <start>78</start>
      <end>81</end>
      <status>unmodified</status>
      <modifiedWord/>
      <trackRevisions>false</trackRevisions>
    </reviewItem>
    <reviewItem>
      <errorID>9079d6ab-c13b-44db-a3d4-290c49eb262e</errorID>
      <errorWord>&gt;</errorWord>
      <group>L1_Format</group>
      <groupName>格式问题</groupName>
      <ability>L2_HalfPunc</ability>
      <abilityName>全半角检查</abilityName>
      <candidateList>
        <item>〉</item>
      </candidateList>
      <explain>文本全半角错误。</explain>
      <paraID>73E2E564</paraID>
      <start>89</start>
      <end>90</end>
      <status>unmodified</status>
      <modifiedWord/>
      <trackRevisions>false</trackRevisions>
    </reviewItem>
    <reviewItem>
      <errorID>7394817b-ba15-436f-94e2-b3fb973f7e15</errorID>
      <errorWord>(</errorWord>
      <group>L1_Format</group>
      <groupName>格式问题</groupName>
      <ability>L2_HalfPunc</ability>
      <abilityName>全半角检查</abilityName>
      <candidateList>
        <item>（</item>
      </candidateList>
      <explain>文本全半角错误。</explain>
      <paraID>73E2E564</paraID>
      <start>96</start>
      <end>97</end>
      <status>unmodified</status>
      <modifiedWord/>
      <trackRevisions>false</trackRevisions>
    </reviewItem>
    <reviewItem>
      <errorID>682f215b-992e-4821-b2d4-8031edd67386</errorID>
      <errorWord>)</errorWord>
      <group>L1_Format</group>
      <groupName>格式问题</groupName>
      <ability>L2_HalfPunc</ability>
      <abilityName>全半角检查</abilityName>
      <candidateList>
        <item>）</item>
      </candidateList>
      <explain>文本全半角错误。</explain>
      <paraID>73E2E564</paraID>
      <start>100</start>
      <end>101</end>
      <status>unmodified</status>
      <modifiedWord/>
      <trackRevisions>false</trackRevisions>
    </reviewItem>
    <reviewItem>
      <errorID>75ff661a-1520-4740-8d21-2aa134ac0e32</errorID>
      <errorWord>&gt;</errorWord>
      <group>L1_Format</group>
      <groupName>格式问题</groupName>
      <ability>L2_HalfPunc</ability>
      <abilityName>全半角检查</abilityName>
      <candidateList>
        <item>〉</item>
      </candidateList>
      <explain>文本全半角错误。</explain>
      <paraID>73E2E564</paraID>
      <start>240</start>
      <end>241</end>
      <status>unmodified</status>
      <modifiedWord/>
      <trackRevisions>false</trackRevisions>
    </reviewItem>
    <reviewItem>
      <errorID>ee69a125-610b-4bc4-8dd9-d14905c6829f</errorID>
      <errorWord>，</errorWord>
      <group>L1_AI</group>
      <groupName>深度校对</groupName>
      <ability>L2_AI_Punc</ability>
      <abilityName>标点纠错</abilityName>
      <candidateList>
        <item>；</item>
      </candidateList>
      <explain/>
      <paraID>5741A0B2</paraID>
      <start>48</start>
      <end>49</end>
      <status>unmodified</status>
      <modifiedWord/>
      <trackRevisions>false</trackRevisions>
    </reviewItem>
    <reviewItem>
      <errorID>f592c59f-36f0-4fb4-91e1-31b888b70ea7</errorID>
      <errorWord>9</errorWord>
      <group>L1_AI</group>
      <groupName>深度校对</groupName>
      <ability>L2_AI_Word</ability>
      <abilityName>字词纠错</abilityName>
      <candidateList>
        <item> 9</item>
      </candidateList>
      <explain/>
      <paraID>5BBFC9C2</paraID>
      <start>29</start>
      <end>30</end>
      <status>unmodified</status>
      <modifiedWord/>
      <trackRevisions>false</trackRevisions>
    </reviewItem>
    <reviewItem>
      <errorID>c5b1b7fc-7120-403f-879d-880fd5e278ae</errorID>
      <errorWord>(</errorWord>
      <group>L1_Format</group>
      <groupName>格式问题</groupName>
      <ability>L2_HalfPunc</ability>
      <abilityName>全半角检查</abilityName>
      <candidateList>
        <item>（</item>
      </candidateList>
      <explain>文本全半角错误。</explain>
      <paraID>7B0609FD</paraID>
      <start>22</start>
      <end>23</end>
      <status>unmodified</status>
      <modifiedWord/>
      <trackRevisions>false</trackRevisions>
    </reviewItem>
    <reviewItem>
      <errorID>3043d45b-0cb0-463b-abf8-c3a6dbe909f5</errorID>
      <errorWord>)</errorWord>
      <group>L1_Format</group>
      <groupName>格式问题</groupName>
      <ability>L2_HalfPunc</ability>
      <abilityName>全半角检查</abilityName>
      <candidateList>
        <item>）</item>
      </candidateList>
      <explain>文本全半角错误。</explain>
      <paraID>7B0609FD</paraID>
      <start>38</start>
      <end>39</end>
      <status>unmodified</status>
      <modifiedWord/>
      <trackRevisions>false</trackRevisions>
    </reviewItem>
    <reviewItem>
      <errorID>a8d1016e-a111-4247-942d-3145f33acd32</errorID>
      <errorWord>承担所有</errorWord>
      <group>L1_AI</group>
      <groupName>深度校对</groupName>
      <ability>L2_AI_Grammar</ability>
      <abilityName>语法纠错</abilityName>
      <candidateList>
        <item>承担</item>
      </candidateList>
      <explain/>
      <paraID>27DCF827</paraID>
      <start>4</start>
      <end>6</end>
      <status>modified</status>
      <modifiedWord>承担</modifiedWord>
      <trackRevisions>false</trackRevisions>
    </reviewItem>
    <reviewItem>
      <errorID>293200e5-2a12-4b7d-ac90-d4bd339152e7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2884D2B0</paraID>
      <start>5</start>
      <end>8</end>
      <status>unmodified</status>
      <modifiedWord/>
      <trackRevisions>false</trackRevisions>
    </reviewItem>
    <reviewItem>
      <errorID>5d3cdfa6-104e-4a72-90c8-aeff175875cf</errorID>
      <errorWord>,</errorWord>
      <group>L1_Format</group>
      <groupName>格式问题</groupName>
      <ability>L2_HalfPunc</ability>
      <abilityName>全半角检查</abilityName>
      <candidateList>
        <item>，</item>
      </candidateList>
      <explain>文本全半角错误。</explain>
      <paraID>3AC29C5D</paraID>
      <start>8</start>
      <end>9</end>
      <status>unmodified</status>
      <modifiedWord/>
      <trackRevisions>false</trackRevisions>
    </reviewItem>
    <reviewItem>
      <errorID>192c95fe-22ff-48f7-a558-478e411348fc</errorID>
      <errorWord>等或其他</errorWord>
      <group>L1_AI</group>
      <groupName>深度校对</groupName>
      <ability>L2_AI_Grammar</ability>
      <abilityName>语法纠错</abilityName>
      <candidateList>
        <item>等</item>
      </candidateList>
      <explain/>
      <paraID>6FA0BD5F</paraID>
      <start>24</start>
      <end>28</end>
      <status>unmodified</status>
      <modifiedWord/>
      <trackRevisions>false</trackRevisions>
    </reviewItem>
    <reviewItem>
      <errorID>a6eb098f-3c95-4b5d-9f3d-07e00a97296b</errorID>
      <errorWord>而不</errorWord>
      <group>L1_AI</group>
      <groupName>深度校对</groupName>
      <ability>L2_AI_Word</ability>
      <abilityName>字词纠错</abilityName>
      <candidateList>
        <item>不</item>
      </candidateList>
      <explain/>
      <paraID>33691175</paraID>
      <start>18</start>
      <end>19</end>
      <status>modified</status>
      <modifiedWord>不</modifiedWord>
      <trackRevisions>false</trackRevisions>
    </reviewItem>
    <reviewItem>
      <errorID>38a66d3f-29e9-4a7e-b50d-da63fcc111df</errorID>
      <errorWord>其它</errorWord>
      <group>L1_Word</group>
      <groupName>字词问题</groupName>
      <ability>L2_Alias</ability>
      <abilityName>也作/曾用词</abilityName>
      <candidateList>
        <item>其他</item>
      </candidateList>
      <explain>词汇[其它]为不规范表述或旧称，其规范书面表述为[其他]。</explain>
      <paraID>4B3A27F3</paraID>
      <start>79</start>
      <end>81</end>
      <status>unmodified</status>
      <modifiedWord/>
      <trackRevisions>false</trackRevisions>
    </reviewItem>
    <reviewItem>
      <errorID>2f7979e8-e08d-4c25-8d22-d21a7371dcec</errorID>
      <errorWord>的</errorWord>
      <group>L1_AI</group>
      <groupName>深度校对</groupName>
      <ability>L2_AI_Grammar</ability>
      <abilityName>语法纠错</abilityName>
      <candidateList>
        <item>相关费用的</item>
      </candidateList>
      <explain/>
      <paraID>4B3A27F3</paraID>
      <start>167</start>
      <end>168</end>
      <status>unmodified</status>
      <modifiedWord/>
      <trackRevisions>false</trackRevisions>
    </reviewItem>
    <reviewItem>
      <errorID>8764806e-b4b9-4a5d-bd80-7f0dc003a5d1</errorID>
      <errorWord>已</errorWord>
      <group>L1_AI</group>
      <groupName>深度校对</groupName>
      <ability>L2_AI_Grammar</ability>
      <abilityName>语法纠错</abilityName>
      <candidateList>
        <item>该费用已</item>
      </candidateList>
      <explain/>
      <paraID>4B3A27F3</paraID>
      <start>171</start>
      <end>172</end>
      <status>unmodified</status>
      <modifiedWord/>
      <trackRevisions>false</trackRevisions>
    </reviewItem>
    <reviewItem>
      <errorID>67a6a4bc-0610-4059-90c2-0397a501a134</errorID>
      <errorWord>其它</errorWord>
      <group>L1_Word</group>
      <groupName>字词问题</groupName>
      <ability>L2_Alias</ability>
      <abilityName>也作/曾用词</abilityName>
      <candidateList>
        <item>其他</item>
      </candidateList>
      <explain>词汇[其它]为不规范表述或旧称，其规范书面表述为[其他]。</explain>
      <paraID>4B3A27F3</paraID>
      <start>220</start>
      <end>222</end>
      <status>unmodified</status>
      <modifiedWord/>
      <trackRevisions>false</trackRevisions>
    </reviewItem>
    <reviewItem>
      <errorID>6a7b7c7f-a8c0-4fb0-b478-109f36460e41</errorID>
      <errorWord>,</errorWord>
      <group>L1_Format</group>
      <groupName>格式问题</groupName>
      <ability>L2_HalfPunc</ability>
      <abilityName>全半角检查</abilityName>
      <candidateList>
        <item>，</item>
      </candidateList>
      <explain>文本全半角错误。</explain>
      <paraID>13323383</paraID>
      <start>39</start>
      <end>40</end>
      <status>unmodified</status>
      <modifiedWord/>
      <trackRevisions>false</trackRevisions>
    </reviewItem>
    <reviewItem>
      <errorID>c21df186-7fbc-4669-8f73-fb1bcea6729a</errorID>
      <errorWord>便签纸</errorWord>
      <group>L1_Word</group>
      <groupName>字词问题</groupName>
      <ability>L2_Typo</ability>
      <abilityName>字词错误</abilityName>
      <candidateList>
        <item>便笺纸</item>
      </candidateList>
      <explain/>
      <paraID>2C7055A9</paraID>
      <start>26</start>
      <end>29</end>
      <status>unmodified</status>
      <modifiedWord/>
      <trackRevisions>false</trackRevisions>
    </reviewItem>
    <reviewItem>
      <errorID>d28d8e11-c175-4bc8-80db-5c155cc22960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23D28E70</paraID>
      <start>5</start>
      <end>8</end>
      <status>unmodified</status>
      <modifiedWord/>
      <trackRevisions>false</trackRevisions>
    </reviewItem>
    <reviewItem>
      <errorID>7b468ab1-57ce-498e-b539-bd429c10491a</errorID>
      <errorWord>便签纸</errorWord>
      <group>L1_Word</group>
      <groupName>字词问题</groupName>
      <ability>L2_Typo</ability>
      <abilityName>字词错误</abilityName>
      <candidateList>
        <item>便笺纸</item>
      </candidateList>
      <explain/>
      <paraID>57F1F536</paraID>
      <start>26</start>
      <end>29</end>
      <status>unmodified</status>
      <modifiedWord/>
      <trackRevisions>false</trackRevisions>
    </reviewItem>
    <reviewItem>
      <errorID>ba2e4102-7401-4ced-85fc-3eebbc743e24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69C6688E</paraID>
      <start>4</start>
      <end>7</end>
      <status>unmodified</status>
      <modifiedWord/>
      <trackRevisions>false</trackRevisions>
    </reviewItem>
    <reviewItem>
      <errorID>00eec2b5-339a-4281-9f81-de102479fc0b</errorID>
      <errorWord>接受</errorWord>
      <group>L1_Word</group>
      <groupName>字词问题</groupName>
      <ability>L2_Typo</ability>
      <abilityName>字词错误</abilityName>
      <candidateList>
        <item>接收</item>
      </candidateList>
      <explain>存在发音相同字词的误用。</explain>
      <paraID>18B23A98</paraID>
      <start>13</start>
      <end>15</end>
      <status>unmodified</status>
      <modifiedWord/>
      <trackRevisions>false</trackRevisions>
    </reviewItem>
    <reviewItem>
      <errorID>9fea10f0-0564-49ea-8a24-0def33eb5d8a</errorID>
      <errorWord>法律、法规</errorWord>
      <group>L1_Word</group>
      <groupName>字词问题</groupName>
      <ability>L2_Typo</ability>
      <abilityName>字词错误</abilityName>
      <candidateList>
        <item>法律法规</item>
      </candidateList>
      <explain/>
      <paraID>326745DE</paraID>
      <start>2</start>
      <end>7</end>
      <status>unmodified</status>
      <modifiedWord/>
      <trackRevisions>false</trackRevisions>
    </reviewItem>
    <reviewItem>
      <errorID>101aa794-6cc3-4a5a-8a8a-72ba700f778c</errorID>
      <errorWord>&lt;</errorWord>
      <group>L1_Format</group>
      <groupName>格式问题</groupName>
      <ability>L2_HalfPunc</ability>
      <abilityName>全半角检查</abilityName>
      <candidateList>
        <item>〈</item>
      </candidateList>
      <explain>文本全半角错误。</explain>
      <paraID>6559E0FC</paraID>
      <start>53</start>
      <end>54</end>
      <status>unmodified</status>
      <modifiedWord/>
      <trackRevisions>false</trackRevisions>
    </reviewItem>
    <reviewItem>
      <errorID>de92eebf-e541-4e09-94ed-3a35bad3bf60</errorID>
      <errorWord>&lt;</errorWord>
      <group>L1_Format</group>
      <groupName>格式问题</groupName>
      <ability>L2_HalfPunc</ability>
      <abilityName>全半角检查</abilityName>
      <candidateList>
        <item>〈</item>
      </candidateList>
      <explain>文本全半角错误。</explain>
      <paraID>752466E0</paraID>
      <start>53</start>
      <end>54</end>
      <status>unmodified</status>
      <modifiedWord/>
      <trackRevisions>false</trackRevisions>
    </reviewItem>
    <reviewItem>
      <errorID>3381bf49-4a0e-4049-a410-0b1a0d93e2dd</errorID>
      <errorWord>&lt;</errorWord>
      <group>L1_Format</group>
      <groupName>格式问题</groupName>
      <ability>L2_HalfPunc</ability>
      <abilityName>全半角检查</abilityName>
      <candidateList>
        <item>〈</item>
      </candidateList>
      <explain>文本全半角错误。</explain>
      <paraID>6F75CD28</paraID>
      <start>38</start>
      <end>39</end>
      <status>unmodified</status>
      <modifiedWord/>
      <trackRevisions>false</trackRevisions>
    </reviewItem>
    <reviewItem>
      <errorID>41b4c835-b0d2-494a-bd35-c70a7d68a65f</errorID>
      <errorWord>-</errorWord>
      <group>L1_Format</group>
      <groupName>格式问题</groupName>
      <ability>L2_HalfPunc</ability>
      <abilityName>全半角检查</abilityName>
      <candidateList>
        <item>－</item>
      </candidateList>
      <explain>文本全半角错误。</explain>
      <paraID>152E7E0A</paraID>
      <start>114</start>
      <end>115</end>
      <status>unmodified</status>
      <modifiedWord/>
      <trackRevisions>false</trackRevisions>
    </reviewItem>
    <reviewItem>
      <errorID>1f7ef19b-47df-4c45-a6f4-21ef95661962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443B1177</paraID>
      <start>25</start>
      <end>28</end>
      <status>unmodified</status>
      <modifiedWord/>
      <trackRevisions>false</trackRevisions>
    </reviewItem>
    <reviewItem>
      <errorID>ccb0874a-8e19-4218-a782-73a347729c02</errorID>
      <errorWord>、</errorWord>
      <group>L1_Word</group>
      <groupName>字词问题</groupName>
      <ability>L2_Typo</ability>
      <abilityName>字词错误</abilityName>
      <candidateList>
        <item>、小</item>
      </candidateList>
      <explain/>
      <paraID>443B1177</paraID>
      <start>157</start>
      <end>158</end>
      <status>unmodified</status>
      <modifiedWord/>
      <trackRevisions>false</trackRevisions>
    </reviewItem>
    <reviewItem>
      <errorID>ec2698d6-164e-4d1b-b6de-4c4d255897a3</errorID>
      <errorWord>;</errorWord>
      <group>L1_Format</group>
      <groupName>格式问题</groupName>
      <ability>L2_HalfPunc</ability>
      <abilityName>全半角检查</abilityName>
      <candidateList>
        <item>；</item>
      </candidateList>
      <explain>文本全半角错误。</explain>
      <paraID>64F229DB</paraID>
      <start>64</start>
      <end>65</end>
      <status>unmodified</status>
      <modifiedWord/>
      <trackRevisions>false</trackRevisions>
    </reviewItem>
    <reviewItem>
      <errorID>e60af3cc-4be3-45d6-bfab-1192b3e8ce98</errorID>
      <errorWord>[2011]300号</errorWord>
      <group>L1_Knowledge</group>
      <groupName>知识性问题</groupName>
      <ability>L2_Knowledge</ability>
      <abilityName>其他知识</abilityName>
      <candidateList>
        <item>〔2011〕300号</item>
      </candidateList>
      <explain>发文字号格式错误。</explain>
      <paraID>60826236</paraID>
      <start>66</start>
      <end>76</end>
      <status>unmodified</status>
      <modifiedWord/>
      <trackRevisions>false</trackRevisions>
    </reviewItem>
    <reviewItem>
      <errorID>94465241-bbd0-4b0d-82de-d23e9ca0a084</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3832E55D</paraID>
      <start>54</start>
      <end>58</end>
      <status>unmodified</status>
      <modifiedWord/>
      <trackRevisions>false</trackRevisions>
    </reviewItem>
    <reviewItem>
      <errorID>1f42a8d8-4baf-42eb-955f-4ed5d02ea2be</errorID>
      <errorWord>法律、法规</errorWord>
      <group>L1_Word</group>
      <groupName>字词问题</groupName>
      <ability>L2_Typo</ability>
      <abilityName>字词错误</abilityName>
      <candidateList>
        <item>法律法规</item>
      </candidateList>
      <explain/>
      <paraID>6CA814C0</paraID>
      <start>3</start>
      <end>8</end>
      <status>unmodified</status>
      <modifiedWord/>
      <trackRevisions>false</trackRevisions>
    </reviewItem>
    <reviewItem>
      <errorID>ee50eb69-a7bd-4bea-b70d-3f4a103f3e30</errorID>
      <errorWord>法律、法规</errorWord>
      <group>L1_Word</group>
      <groupName>字词问题</groupName>
      <ability>L2_Typo</ability>
      <abilityName>字词错误</abilityName>
      <candidateList>
        <item>法律法规</item>
      </candidateList>
      <explain/>
      <paraID>66687443</paraID>
      <start>11</start>
      <end>16</end>
      <status>unmodified</status>
      <modifiedWord/>
      <trackRevisions>false</trackRevisions>
    </reviewItem>
    <reviewItem>
      <errorID>6506f24d-c434-41ca-a2d3-7c7ee24f2f21</errorID>
      <errorWord>法律、法规</errorWord>
      <group>L1_Word</group>
      <groupName>字词问题</groupName>
      <ability>L2_Typo</ability>
      <abilityName>字词错误</abilityName>
      <candidateList>
        <item>法律法规</item>
      </candidateList>
      <explain/>
      <paraID>21340354</paraID>
      <start>11</start>
      <end>16</end>
      <status>unmodified</status>
      <modifiedWord/>
      <trackRevisions>false</trackRevisions>
    </reviewItem>
    <reviewItem>
      <errorID>878fe755-1d66-4dcc-88e8-6691699ac5e1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2A78CC68</paraID>
      <start>15</start>
      <end>17</end>
      <status>unmodified</status>
      <modifiedWord/>
      <trackRevisions>false</trackRevisions>
    </reviewItem>
    <reviewItem>
      <errorID>9d569512-7ab1-461d-9126-2c3d2c7b532b</errorID>
      <errorWord>详实</errorWord>
      <group>L1_Word</group>
      <groupName>字词问题</groupName>
      <ability>L2_Typo</ability>
      <abilityName>字词错误</abilityName>
      <candidateList>
        <item>翔实</item>
      </candidateList>
      <explain/>
      <paraID>78421501</paraID>
      <start>6</start>
      <end>8</end>
      <status>unmodified</status>
      <modifiedWord/>
      <trackRevisions>false</trackRevisions>
    </reviewItem>
    <reviewItem>
      <errorID>8c1ac452-cb01-4bfb-8401-9c1772325fcc</errorID>
      <errorWord>（</errorWord>
      <group>L1_Punc</group>
      <groupName>标点问题</groupName>
      <ability>L2_Punc</ability>
      <abilityName>标点符号检查</abilityName>
      <candidateList/>
      <explain>同一形式括号套用。</explain>
      <paraID> EB11E12</paraID>
      <start>41</start>
      <end>42</end>
      <status>unmodified</status>
      <modifiedWord/>
      <trackRevisions>false</trackRevisions>
    </reviewItem>
    <reviewItem>
      <errorID>81d5462a-93ce-45ea-8066-8a8db1fb4563</errorID>
      <errorWord>）</errorWord>
      <group>L1_Punc</group>
      <groupName>标点问题</groupName>
      <ability>L2_Punc</ability>
      <abilityName>标点符号检查</abilityName>
      <candidateList/>
      <explain>同一形式括号套用。</explain>
      <paraID> EB11E12</paraID>
      <start>44</start>
      <end>45</end>
      <status>unmodified</status>
      <modifiedWord/>
      <trackRevisions>false</trackRevisions>
    </reviewItem>
    <reviewItem>
      <errorID>4483c088-7340-41c5-abab-a42cfdfd4590</errorID>
      <errorWord>（</errorWord>
      <group>L1_Punc</group>
      <groupName>标点问题</groupName>
      <ability>L2_Punc</ability>
      <abilityName>标点符号检查</abilityName>
      <candidateList/>
      <explain>同一形式括号套用。</explain>
      <paraID> EB11E12</paraID>
      <start>55</start>
      <end>56</end>
      <status>unmodified</status>
      <modifiedWord/>
      <trackRevisions>false</trackRevisions>
    </reviewItem>
    <reviewItem>
      <errorID>e80403ca-c090-4f91-966f-b00c5cdda9d3</errorID>
      <errorWord>）</errorWord>
      <group>L1_Punc</group>
      <groupName>标点问题</groupName>
      <ability>L2_Punc</ability>
      <abilityName>标点符号检查</abilityName>
      <candidateList/>
      <explain>同一形式括号套用。</explain>
      <paraID> EB11E12</paraID>
      <start>73</start>
      <end>74</end>
      <status>unmodified</status>
      <modifiedWord/>
      <trackRevisions>false</trackRevisions>
    </reviewItem>
    <reviewItem>
      <errorID>d5124536-5f7a-44d2-9611-2181c1dba77a</errorID>
      <errorWord>（</errorWord>
      <group>L1_Punc</group>
      <groupName>标点问题</groupName>
      <ability>L2_Punc</ability>
      <abilityName>标点符号检查</abilityName>
      <candidateList/>
      <explain>同一形式括号套用。</explain>
      <paraID> EB11E12</paraID>
      <start>86</start>
      <end>87</end>
      <status>unmodified</status>
      <modifiedWord/>
      <trackRevisions>false</trackRevisions>
    </reviewItem>
    <reviewItem>
      <errorID>a55764f2-f308-4580-b900-3cadfe547053</errorID>
      <errorWord>）</errorWord>
      <group>L1_Punc</group>
      <groupName>标点问题</groupName>
      <ability>L2_Punc</ability>
      <abilityName>标点符号检查</abilityName>
      <candidateList/>
      <explain>同一形式括号套用。</explain>
      <paraID> EB11E12</paraID>
      <start>89</start>
      <end>90</end>
      <status>unmodified</status>
      <modifiedWord/>
      <trackRevisions>false</trackRevisions>
    </reviewItem>
    <reviewItem>
      <errorID>20b368ae-8512-4188-b106-39e19203b925</errorID>
      <errorWord>(</errorWord>
      <group>L1_Format</group>
      <groupName>格式问题</groupName>
      <ability>L2_HalfPunc</ability>
      <abilityName>全半角检查</abilityName>
      <candidateList>
        <item>（</item>
      </candidateList>
      <explain>文本全半角错误。</explain>
      <paraID>7F32C331</paraID>
      <start>54</start>
      <end>55</end>
      <status>unmodified</status>
      <modifiedWord/>
      <trackRevisions>false</trackRevisions>
    </reviewItem>
    <reviewItem>
      <errorID>e77264c1-9bc4-46aa-baf4-724e3e911cf6</errorID>
      <errorWord>)</errorWord>
      <group>L1_Format</group>
      <groupName>格式问题</groupName>
      <ability>L2_HalfPunc</ability>
      <abilityName>全半角检查</abilityName>
      <candidateList>
        <item>）</item>
      </candidateList>
      <explain>文本全半角错误。</explain>
      <paraID>7F32C331</paraID>
      <start>77</start>
      <end>78</end>
      <status>unmodified</status>
      <modifiedWord/>
      <trackRevisions>false</trackRevisions>
    </reviewItem>
    <reviewItem>
      <errorID>b9f5af58-cdb1-4c2e-adfd-fbbd5ccfd4fc</errorID>
      <errorWord>(</errorWord>
      <group>L1_Format</group>
      <groupName>格式问题</groupName>
      <ability>L2_HalfPunc</ability>
      <abilityName>全半角检查</abilityName>
      <candidateList>
        <item>（</item>
      </candidateList>
      <explain>文本全半角错误。</explain>
      <paraID>7F32C331</paraID>
      <start>118</start>
      <end>119</end>
      <status>unmodified</status>
      <modifiedWord/>
      <trackRevisions>false</trackRevisions>
    </reviewItem>
    <reviewItem>
      <errorID>535e9b7a-a15b-46f9-85f9-667ccffc9c57</errorID>
      <errorWord>)</errorWord>
      <group>L1_Format</group>
      <groupName>格式问题</groupName>
      <ability>L2_HalfPunc</ability>
      <abilityName>全半角检查</abilityName>
      <candidateList>
        <item>）</item>
      </candidateList>
      <explain>文本全半角错误。</explain>
      <paraID>7F32C331</paraID>
      <start>134</start>
      <end>135</end>
      <status>unmodified</status>
      <modifiedWord/>
      <trackRevisions>false</trackRevisions>
    </reviewItem>
    <reviewItem>
      <errorID>a6cbcae4-9984-47fc-a4b6-87bde35edad3</errorID>
      <errorWord>（</errorWord>
      <group>L1_Punc</group>
      <groupName>标点问题</groupName>
      <ability>L2_Punc</ability>
      <abilityName>标点符号检查</abilityName>
      <candidateList>
        <item/>
      </candidateList>
      <explain>同一形式括号套用。</explain>
      <paraID>7F32C331</paraID>
      <start>168</start>
      <end>169</end>
      <status>unmodified</status>
      <modifiedWord/>
      <trackRevisions>false</trackRevisions>
    </reviewItem>
    <reviewItem>
      <errorID>5c6cf3c2-8807-4925-a509-7acce063a7c0</errorID>
      <errorWord>（</errorWord>
      <group>L1_Punc</group>
      <groupName>标点问题</groupName>
      <ability>L2_Punc</ability>
      <abilityName>标点符号检查</abilityName>
      <candidateList/>
      <explain>同一形式括号套用。</explain>
      <paraID>7F32C331</paraID>
      <start>199</start>
      <end>200</end>
      <status>unmodified</status>
      <modifiedWord/>
      <trackRevisions>false</trackRevisions>
    </reviewItem>
    <reviewItem>
      <errorID>88f19237-e20c-42f7-b8e3-88ade1c67fea</errorID>
      <errorWord>）</errorWord>
      <group>L1_Punc</group>
      <groupName>标点问题</groupName>
      <ability>L2_Punc</ability>
      <abilityName>标点符号检查</abilityName>
      <candidateList/>
      <explain>同一形式括号套用。</explain>
      <paraID>7F32C331</paraID>
      <start>217</start>
      <end>218</end>
      <status>unmodified</status>
      <modifiedWord/>
      <trackRevisions>false</trackRevisions>
    </reviewItem>
    <reviewItem>
      <errorID>bdec8d8b-9932-4bcc-ac97-50d2c0a9d4a3</errorID>
      <errorWord>（</errorWord>
      <group>L1_Punc</group>
      <groupName>标点问题</groupName>
      <ability>L2_Punc</ability>
      <abilityName>标点符号检查</abilityName>
      <candidateList/>
      <explain>同一形式括号套用。</explain>
      <paraID>7F32C331</paraID>
      <start>227</start>
      <end>228</end>
      <status>unmodified</status>
      <modifiedWord/>
      <trackRevisions>false</trackRevisions>
    </reviewItem>
    <reviewItem>
      <errorID>3f3411c4-f279-48c1-97e1-dbe1d6fa930c</errorID>
      <errorWord>）</errorWord>
      <group>L1_Punc</group>
      <groupName>标点问题</groupName>
      <ability>L2_Punc</ability>
      <abilityName>标点符号检查</abilityName>
      <candidateList/>
      <explain>同一形式括号套用。</explain>
      <paraID>7F32C331</paraID>
      <start>250</start>
      <end>251</end>
      <status>unmodified</status>
      <modifiedWord/>
      <trackRevisions>false</trackRevisions>
    </reviewItem>
    <reviewItem>
      <errorID>593eda22-8844-4855-b23e-e96c864f2260</errorID>
      <errorWord>(</errorWord>
      <group>L1_Punc</group>
      <groupName>标点问题</groupName>
      <ability>L2_Punc</ability>
      <abilityName>标点符号检查</abilityName>
      <candidateList/>
      <explain>同一形式括号套用。</explain>
      <paraID>7F32C331</paraID>
      <start>259</start>
      <end>260</end>
      <status>unmodified</status>
      <modifiedWord/>
      <trackRevisions>false</trackRevisions>
    </reviewItem>
    <reviewItem>
      <errorID>edbb1257-c9fd-4b55-a77c-56e667775d58</errorID>
      <errorWord>)</errorWord>
      <group>L1_Punc</group>
      <groupName>标点问题</groupName>
      <ability>L2_Punc</ability>
      <abilityName>标点符号检查</abilityName>
      <candidateList/>
      <explain>同一形式括号套用。</explain>
      <paraID>7F32C331</paraID>
      <start>275</start>
      <end>276</end>
      <status>unmodified</status>
      <modifiedWord/>
      <trackRevisions>false</trackRevisions>
    </reviewItem>
    <reviewItem>
      <errorID>fa933a0b-b9e5-4126-8d0c-b3ba446d8aaa</errorID>
      <errorWord>）</errorWord>
      <group>L1_Punc</group>
      <groupName>标点问题</groupName>
      <ability>L2_Punc</ability>
      <abilityName>标点符号检查</abilityName>
      <candidateList/>
      <explain>同一形式括号套用。</explain>
      <paraID>7F32C331</paraID>
      <start>339</start>
      <end>340</end>
      <status>unmodified</status>
      <modifiedWord/>
      <trackRevisions>false</trackRevisions>
    </reviewItem>
    <reviewItem>
      <errorID>abd65d47-597d-434e-8b62-091f730873ea</errorID>
      <errorWord>-</errorWord>
      <group>L1_Format</group>
      <groupName>格式问题</groupName>
      <ability>L2_HalfPunc</ability>
      <abilityName>全半角检查</abilityName>
      <candidateList>
        <item>－</item>
      </candidateList>
      <explain>文本全半角错误。</explain>
      <paraID>35626B80</paraID>
      <start>16</start>
      <end>17</end>
      <status>unmodified</status>
      <modifiedWord/>
      <trackRevisions>false</trackRevisions>
    </reviewItem>
    <reviewItem>
      <errorID>37bc94cd-e59d-4cbd-9c04-8aa3ce3ec9eb</errorID>
      <errorWord>其它数据</errorWord>
      <group>L1_Word</group>
      <groupName>字词问题</groupName>
      <ability>L2_Alias</ability>
      <abilityName>也作/曾用词</abilityName>
      <candidateList>
        <item>其他数据</item>
      </candidateList>
      <explain>词汇[其它数据]为不规范表述或旧称，其规范书面表述为[其他数据]。</explain>
      <paraID>6F9124D1</paraID>
      <start>27</start>
      <end>31</end>
      <status>unmodified</status>
      <modifiedWord/>
      <trackRevisions>false</trackRevisions>
    </reviewItem>
    <reviewItem>
      <errorID>5e7dd2fe-7fd9-460d-86d9-4b13af8219b7</errorID>
      <errorWord>表</errorWord>
      <group>L1_Word</group>
      <groupName>字词问题</groupName>
      <ability>L2_Typo</ability>
      <abilityName>字词错误</abilityName>
      <candidateList>
        <item>表人</item>
      </candidateList>
      <explain/>
      <paraID>302D42D0</paraID>
      <start>3</start>
      <end>4</end>
      <status>unmodified</status>
      <modifiedWord/>
      <trackRevisions>false</trackRevisions>
    </reviewItem>
    <reviewItem>
      <errorID>9fab5101-7ab3-4ba2-9614-71a9c6a42672</errorID>
      <errorWord>(</errorWord>
      <group>L1_Format</group>
      <groupName>格式问题</groupName>
      <ability>L2_HalfPunc</ability>
      <abilityName>全半角检查</abilityName>
      <candidateList>
        <item>（</item>
      </candidateList>
      <explain>文本全半角错误。</explain>
      <paraID>5F2D1A8B</paraID>
      <start>4</start>
      <end>5</end>
      <status>unmodified</status>
      <modifiedWord/>
      <trackRevisions>false</trackRevisions>
    </reviewItem>
    <reviewItem>
      <errorID>c038ad46-d27e-40b2-a6d8-f3d89334b75d</errorID>
      <errorWord>)</errorWord>
      <group>L1_Format</group>
      <groupName>格式问题</groupName>
      <ability>L2_HalfPunc</ability>
      <abilityName>全半角检查</abilityName>
      <candidateList>
        <item>）</item>
      </candidateList>
      <explain>文本全半角错误。</explain>
      <paraID>5F2D1A8B</paraID>
      <start>12</start>
      <end>13</end>
      <status>unmodified</status>
      <modifiedWord/>
      <trackRevisions>false</trackRevisions>
    </reviewItem>
    <reviewItem>
      <errorID>69f37dd7-4d83-4981-ad54-4b9530993749</errorID>
      <errorWord>(</errorWord>
      <group>L1_Format</group>
      <groupName>格式问题</groupName>
      <ability>L2_HalfPunc</ability>
      <abilityName>全半角检查</abilityName>
      <candidateList>
        <item>（</item>
      </candidateList>
      <explain>文本全半角错误。</explain>
      <paraID> B627C20</paraID>
      <start>36</start>
      <end>37</end>
      <status>unmodified</status>
      <modifiedWord/>
      <trackRevisions>false</trackRevisions>
    </reviewItem>
    <reviewItem>
      <errorID>264f751b-cf42-460c-a624-f031064c8ef8</errorID>
      <errorWord>)</errorWord>
      <group>L1_Format</group>
      <groupName>格式问题</groupName>
      <ability>L2_HalfPunc</ability>
      <abilityName>全半角检查</abilityName>
      <candidateList>
        <item>）</item>
      </candidateList>
      <explain>文本全半角错误。</explain>
      <paraID> B627C20</paraID>
      <start>44</start>
      <end>45</end>
      <status>unmodified</status>
      <modifiedWord/>
      <trackRevisions>false</trackRevisions>
    </reviewItem>
    <reviewItem>
      <errorID>afc83667-76d3-4714-82e7-90e34a73bc6c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67CB6F14</paraID>
      <start>0</start>
      <end>2</end>
      <status>unmodified</status>
      <modifiedWord/>
      <trackRevisions>false</trackRevisions>
    </reviewItem>
    <reviewItem>
      <errorID>d5486b18-2415-4a47-b653-cf022902fd1c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30672A4D</paraID>
      <start>0</start>
      <end>2</end>
      <status>unmodified</status>
      <modifiedWord/>
      <trackRevisions>false</trackRevisions>
    </reviewItem>
    <reviewItem>
      <errorID>406c102c-45eb-45b3-a03f-c2d8c6f4f33f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30672A4D</paraID>
      <start>9</start>
      <end>12</end>
      <status>unmodified</status>
      <modifiedWord/>
      <trackRevisions>false</trackRevisions>
    </reviewItem>
    <reviewItem>
      <errorID>f2844617-513a-46e4-a593-3fc7e3b86abc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30672A4D</paraID>
      <start>16</start>
      <end>19</end>
      <status>unmodified</status>
      <modifiedWord/>
      <trackRevisions>false</trackRevisions>
    </reviewItem>
    <reviewItem>
      <errorID>5329b114-d535-4b87-9aed-713296f11a9a</errorID>
      <errorWord>所必须的</errorWord>
      <group>L1_Word</group>
      <groupName>字词问题</groupName>
      <ability>L2_Typo</ability>
      <abilityName>字词错误</abilityName>
      <candidateList>
        <item>所必需的</item>
      </candidateList>
      <explain/>
      <paraID>37E061F4</paraID>
      <start>10</start>
      <end>14</end>
      <status>unmodified</status>
      <modifiedWord/>
      <trackRevisions>false</trackRevisions>
    </reviewItem>
    <reviewItem>
      <errorID>2338f22b-be5a-4c3f-8bd0-c09ce642dc2b</errorID>
      <errorWord>:</errorWord>
      <group>L1_Format</group>
      <groupName>格式问题</groupName>
      <ability>L2_HalfPunc</ability>
      <abilityName>全半角检查</abilityName>
      <candidateList>
        <item>：</item>
      </candidateList>
      <explain>文本全半角错误。</explain>
      <paraID>371EFD15</paraID>
      <start>11</start>
      <end>12</end>
      <status>unmodified</status>
      <modifiedWord/>
      <trackRevisions>false</trackRevisions>
    </reviewItem>
    <reviewItem>
      <errorID>d331a43d-aa81-4b39-a276-83973fe4c8c7</errorID>
      <errorWord>(</errorWord>
      <group>L1_Format</group>
      <groupName>格式问题</groupName>
      <ability>L2_HalfPunc</ability>
      <abilityName>全半角检查</abilityName>
      <candidateList>
        <item>（</item>
      </candidateList>
      <explain>文本全半角错误。</explain>
      <paraID>4109638C</paraID>
      <start>14</start>
      <end>15</end>
      <status>unmodified</status>
      <modifiedWord/>
      <trackRevisions>false</trackRevisions>
    </reviewItem>
    <reviewItem>
      <errorID>e4fda0f4-2744-4664-9574-a18e3fddcf00</errorID>
      <errorWord>)</errorWord>
      <group>L1_Format</group>
      <groupName>格式问题</groupName>
      <ability>L2_HalfPunc</ability>
      <abilityName>全半角检查</abilityName>
      <candidateList>
        <item>）</item>
      </candidateList>
      <explain>文本全半角错误。</explain>
      <paraID>4109638C</paraID>
      <start>17</start>
      <end>18</end>
      <status>unmodified</status>
      <modifiedWord/>
      <trackRevisions>false</trackRevisions>
    </reviewItem>
    <reviewItem>
      <errorID>1614644f-ee76-47dd-86de-690562cada26</errorID>
      <errorWord>表</errorWord>
      <group>L1_Word</group>
      <groupName>字词问题</groupName>
      <ability>L2_Typo</ability>
      <abilityName>字词错误</abilityName>
      <candidateList>
        <item>表人</item>
      </candidateList>
      <explain/>
      <paraID>222B7D42</paraID>
      <start>3</start>
      <end>4</end>
      <status>unmodified</status>
      <modifiedWord/>
      <trackRevisions>false</trackRevisions>
    </reviewItem>
    <reviewItem>
      <errorID>e09ceb39-dac9-45ad-8b87-345a0f9100dd</errorID>
      <errorWord>表</errorWord>
      <group>L1_Word</group>
      <groupName>字词问题</groupName>
      <ability>L2_Typo</ability>
      <abilityName>字词错误</abilityName>
      <candidateList>
        <item>表人</item>
      </candidateList>
      <explain/>
      <paraID>37991343</paraID>
      <start>3</start>
      <end>4</end>
      <status>unmodified</status>
      <modifiedWord/>
      <trackRevisions>false</trackRevisions>
    </reviewItem>
    <reviewItem>
      <errorID>93a1160e-37fc-4d25-8326-b776ccbe057a</errorID>
      <errorWord>表</errorWord>
      <group>L1_Word</group>
      <groupName>字词问题</groupName>
      <ability>L2_Typo</ability>
      <abilityName>字词错误</abilityName>
      <candidateList>
        <item>表人</item>
      </candidateList>
      <explain/>
      <paraID>5FF117B1</paraID>
      <start>3</start>
      <end>4</end>
      <status>unmodified</status>
      <modifiedWord/>
      <trackRevisions>false</trackRevisions>
    </reviewItem>
    <reviewItem>
      <errorID>634a923e-e122-4cf0-bdb2-4ad1ca65b272</errorID>
      <errorWord>表</errorWord>
      <group>L1_Word</group>
      <groupName>字词问题</groupName>
      <ability>L2_Typo</ability>
      <abilityName>字词错误</abilityName>
      <candidateList>
        <item>表人</item>
      </candidateList>
      <explain/>
      <paraID>1EFD8B37</paraID>
      <start>3</start>
      <end>4</end>
      <status>unmodified</status>
      <modifiedWord/>
      <trackRevisions>false</trackRevisions>
    </reviewItem>
    <reviewItem>
      <errorID>a3839f71-a5e2-40b1-a471-73994dc4ac66</errorID>
      <errorWord>表</errorWord>
      <group>L1_Word</group>
      <groupName>字词问题</groupName>
      <ability>L2_Typo</ability>
      <abilityName>字词错误</abilityName>
      <candidateList>
        <item>表人</item>
      </candidateList>
      <explain/>
      <paraID>48FB9ED1</paraID>
      <start>3</start>
      <end>4</end>
      <status>unmodified</status>
      <modifiedWord/>
      <trackRevisions>false</trackRevisions>
    </reviewItem>
    <reviewItem>
      <errorID>b58d264d-e6ca-4c24-afc4-97ad670d1da5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308C80E8</paraID>
      <start>0</start>
      <end>2</end>
      <status>unmodified</status>
      <modifiedWord/>
      <trackRevisions>false</trackRevisions>
    </reviewItem>
    <reviewItem>
      <errorID>a08fe5cb-8a85-45f2-84a6-8f8929cce69e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66F46180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527C6D8-C55F-40FC-B0DA-62E0F319D6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27593</Words>
  <Characters>28913</Characters>
  <Lines>227</Lines>
  <Paragraphs>64</Paragraphs>
  <TotalTime>126</TotalTime>
  <ScaleCrop>false</ScaleCrop>
  <LinksUpToDate>false</LinksUpToDate>
  <CharactersWithSpaces>30411</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2026-03-06T01:45:00Z</dcterms:created>
  <dc:creator>微软用户</dc:creator>
  <cp:lastModifiedBy>湘湘</cp:lastModifiedBy>
  <dcterms:modified xsi:type="dcterms:W3CDTF">2026-03-09T10:13:30Z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2D31229A4AED40F9828E1B24A8E1C0D7_13</vt:lpwstr>
  </property>
  <property fmtid="{D5CDD505-2E9C-101B-9397-08002B2CF9AE}" pid="4" name="KSOTemplateDocerSaveRecord">
    <vt:lpwstr>eyJoZGlkIjoiMGIyN2I4ZTBmODcyNDU2MjFmMzQ2NjdlNmQwZjA4NDQiLCJ1c2VySWQiOiIyMjcyNTkzMDMifQ==</vt:lpwstr>
  </property>
</Properties>
</file>