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767438">
      <w:pPr>
        <w:keepNext w:val="0"/>
        <w:keepLines w:val="0"/>
        <w:pageBreakBefore w:val="0"/>
        <w:widowControl w:val="0"/>
        <w:kinsoku/>
        <w:wordWrap/>
        <w:overflowPunct/>
        <w:topLinePunct w:val="0"/>
        <w:autoSpaceDE/>
        <w:autoSpaceDN/>
        <w:bidi w:val="0"/>
        <w:adjustRightInd/>
        <w:snapToGrid/>
        <w:spacing w:line="960" w:lineRule="auto"/>
        <w:jc w:val="center"/>
        <w:textAlignment w:val="auto"/>
        <w:rPr>
          <w:rFonts w:hint="eastAsia" w:ascii="宋体" w:hAnsi="宋体" w:cs="宋体"/>
          <w:b/>
          <w:bCs/>
          <w:color w:val="auto"/>
          <w:sz w:val="48"/>
          <w:szCs w:val="48"/>
          <w:highlight w:val="none"/>
          <w:lang w:eastAsia="zh-CN"/>
        </w:rPr>
      </w:pPr>
      <w:r>
        <w:rPr>
          <w:rFonts w:hint="eastAsia" w:ascii="宋体" w:hAnsi="宋体" w:cs="宋体"/>
          <w:b/>
          <w:bCs/>
          <w:color w:val="auto"/>
          <w:sz w:val="48"/>
          <w:szCs w:val="48"/>
          <w:highlight w:val="none"/>
          <w:lang w:eastAsia="zh-CN"/>
        </w:rPr>
        <w:t>云南能源职业技术学院综合分析检测平台项目</w:t>
      </w:r>
    </w:p>
    <w:p w14:paraId="4C455FDC">
      <w:pPr>
        <w:keepNext w:val="0"/>
        <w:keepLines w:val="0"/>
        <w:pageBreakBefore w:val="0"/>
        <w:widowControl w:val="0"/>
        <w:kinsoku/>
        <w:wordWrap/>
        <w:overflowPunct/>
        <w:topLinePunct w:val="0"/>
        <w:autoSpaceDE/>
        <w:autoSpaceDN/>
        <w:bidi w:val="0"/>
        <w:adjustRightInd/>
        <w:snapToGrid/>
        <w:spacing w:line="960" w:lineRule="auto"/>
        <w:jc w:val="center"/>
        <w:textAlignment w:val="auto"/>
        <w:rPr>
          <w:rFonts w:hint="default" w:ascii="宋体" w:hAnsi="宋体" w:cs="宋体"/>
          <w:b/>
          <w:bCs/>
          <w:color w:val="auto"/>
          <w:sz w:val="40"/>
          <w:szCs w:val="40"/>
          <w:highlight w:val="none"/>
          <w:lang w:val="en-US" w:eastAsia="zh-CN"/>
        </w:rPr>
      </w:pPr>
      <w:r>
        <w:rPr>
          <w:rFonts w:hint="eastAsia" w:ascii="宋体" w:hAnsi="宋体" w:eastAsia="宋体" w:cs="宋体"/>
          <w:b/>
          <w:bCs/>
          <w:color w:val="auto"/>
          <w:sz w:val="60"/>
          <w:szCs w:val="56"/>
          <w:highlight w:val="none"/>
        </w:rPr>
        <w:t>招 标 文 件</w:t>
      </w:r>
    </w:p>
    <w:p w14:paraId="5ECC11D8">
      <w:pPr>
        <w:pStyle w:val="12"/>
        <w:jc w:val="center"/>
        <w:rPr>
          <w:rFonts w:hint="eastAsia" w:ascii="宋体" w:hAnsi="宋体" w:eastAsia="宋体" w:cs="宋体"/>
          <w:b/>
          <w:bCs/>
          <w:color w:val="auto"/>
          <w:sz w:val="72"/>
          <w:highlight w:val="none"/>
          <w:u w:val="single"/>
        </w:rPr>
      </w:pPr>
      <w:r>
        <w:rPr>
          <w:rFonts w:hint="eastAsia" w:ascii="宋体" w:hAnsi="宋体" w:eastAsia="宋体" w:cs="宋体"/>
          <w:b/>
          <w:bCs/>
          <w:color w:val="auto"/>
          <w:sz w:val="28"/>
          <w:szCs w:val="28"/>
          <w:highlight w:val="none"/>
        </w:rPr>
        <w:t>项目编号：</w:t>
      </w:r>
      <w:r>
        <w:rPr>
          <w:rFonts w:hint="eastAsia" w:hAnsi="宋体" w:cs="宋体"/>
          <w:b/>
          <w:bCs/>
          <w:color w:val="auto"/>
          <w:sz w:val="28"/>
          <w:szCs w:val="28"/>
          <w:highlight w:val="none"/>
          <w:lang w:eastAsia="zh-CN"/>
        </w:rPr>
        <w:t>康成:2025-QJ-046号</w:t>
      </w:r>
    </w:p>
    <w:p w14:paraId="74627D1A">
      <w:pPr>
        <w:pStyle w:val="12"/>
        <w:spacing w:line="360" w:lineRule="auto"/>
        <w:jc w:val="center"/>
        <w:rPr>
          <w:rFonts w:hint="eastAsia" w:ascii="宋体" w:hAnsi="宋体" w:eastAsia="宋体" w:cs="宋体"/>
          <w:color w:val="auto"/>
          <w:highlight w:val="none"/>
          <w:u w:val="single"/>
        </w:rPr>
      </w:pPr>
      <w:r>
        <w:rPr>
          <w:rFonts w:hint="eastAsia" w:ascii="宋体" w:hAnsi="宋体" w:eastAsia="宋体" w:cs="宋体"/>
          <w:b/>
          <w:bCs/>
          <w:color w:val="000000"/>
          <w:sz w:val="48"/>
          <w:szCs w:val="48"/>
          <w:lang w:eastAsia="zh-CN"/>
        </w:rPr>
        <w:drawing>
          <wp:anchor distT="0" distB="0" distL="114300" distR="114300" simplePos="0" relativeHeight="251662336" behindDoc="0" locked="0" layoutInCell="1" allowOverlap="1">
            <wp:simplePos x="0" y="0"/>
            <wp:positionH relativeFrom="column">
              <wp:posOffset>1340485</wp:posOffset>
            </wp:positionH>
            <wp:positionV relativeFrom="paragraph">
              <wp:posOffset>355600</wp:posOffset>
            </wp:positionV>
            <wp:extent cx="3469005" cy="3469005"/>
            <wp:effectExtent l="0" t="0" r="17145" b="17145"/>
            <wp:wrapTopAndBottom/>
            <wp:docPr id="4" name="图片 1" descr="云南康成工程咨询有限公司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云南康成工程咨询有限公司_画板 1"/>
                    <pic:cNvPicPr>
                      <a:picLocks noChangeAspect="1"/>
                    </pic:cNvPicPr>
                  </pic:nvPicPr>
                  <pic:blipFill>
                    <a:blip r:embed="rId9"/>
                    <a:stretch>
                      <a:fillRect/>
                    </a:stretch>
                  </pic:blipFill>
                  <pic:spPr>
                    <a:xfrm>
                      <a:off x="0" y="0"/>
                      <a:ext cx="3469005" cy="3469005"/>
                    </a:xfrm>
                    <a:prstGeom prst="rect">
                      <a:avLst/>
                    </a:prstGeom>
                    <a:noFill/>
                    <a:ln>
                      <a:noFill/>
                    </a:ln>
                  </pic:spPr>
                </pic:pic>
              </a:graphicData>
            </a:graphic>
          </wp:anchor>
        </w:drawing>
      </w:r>
    </w:p>
    <w:p w14:paraId="15C4CDAC">
      <w:pPr>
        <w:rPr>
          <w:rFonts w:hint="eastAsia" w:ascii="宋体" w:hAnsi="宋体" w:eastAsia="宋体" w:cs="宋体"/>
          <w:color w:val="auto"/>
          <w:highlight w:val="none"/>
        </w:rPr>
      </w:pPr>
    </w:p>
    <w:p w14:paraId="33B76786">
      <w:pPr>
        <w:pStyle w:val="12"/>
        <w:spacing w:line="360" w:lineRule="auto"/>
        <w:rPr>
          <w:rFonts w:hint="eastAsia" w:ascii="宋体" w:hAnsi="宋体" w:eastAsia="宋体" w:cs="宋体"/>
          <w:color w:val="auto"/>
          <w:highlight w:val="none"/>
          <w:u w:val="single"/>
        </w:rPr>
      </w:pPr>
    </w:p>
    <w:p w14:paraId="4ADF6D56">
      <w:pPr>
        <w:pStyle w:val="12"/>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   购   人：</w:t>
      </w:r>
      <w:r>
        <w:rPr>
          <w:rFonts w:hint="eastAsia" w:hAnsi="宋体" w:cs="宋体"/>
          <w:b/>
          <w:bCs/>
          <w:color w:val="auto"/>
          <w:sz w:val="32"/>
          <w:szCs w:val="32"/>
          <w:highlight w:val="none"/>
          <w:lang w:eastAsia="zh-CN"/>
        </w:rPr>
        <w:t>云南能源职业技术学院</w:t>
      </w:r>
    </w:p>
    <w:p w14:paraId="7A9C0476">
      <w:pPr>
        <w:pStyle w:val="12"/>
        <w:spacing w:line="360" w:lineRule="auto"/>
        <w:jc w:val="center"/>
        <w:rPr>
          <w:rFonts w:hint="eastAsia" w:ascii="宋体" w:hAnsi="宋体" w:eastAsia="宋体" w:cs="宋体"/>
          <w:b/>
          <w:bCs/>
          <w:color w:val="auto"/>
          <w:sz w:val="32"/>
          <w:szCs w:val="32"/>
          <w:highlight w:val="none"/>
        </w:rPr>
      </w:pPr>
    </w:p>
    <w:p w14:paraId="03795488">
      <w:pPr>
        <w:pStyle w:val="12"/>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采购代理机构：</w:t>
      </w:r>
      <w:r>
        <w:rPr>
          <w:rFonts w:hint="eastAsia" w:hAnsi="宋体" w:cs="宋体"/>
          <w:b/>
          <w:bCs/>
          <w:color w:val="auto"/>
          <w:sz w:val="32"/>
          <w:szCs w:val="32"/>
          <w:highlight w:val="none"/>
          <w:lang w:eastAsia="zh-CN"/>
        </w:rPr>
        <w:t>云南康成工程咨询有限公司</w:t>
      </w:r>
    </w:p>
    <w:p w14:paraId="3B8CCCAA">
      <w:pPr>
        <w:pStyle w:val="12"/>
        <w:spacing w:line="360" w:lineRule="auto"/>
        <w:jc w:val="center"/>
        <w:rPr>
          <w:rFonts w:hint="eastAsia" w:ascii="宋体" w:hAnsi="宋体" w:eastAsia="宋体" w:cs="宋体"/>
          <w:b/>
          <w:bCs/>
          <w:color w:val="auto"/>
          <w:sz w:val="32"/>
          <w:szCs w:val="32"/>
          <w:highlight w:val="none"/>
        </w:rPr>
      </w:pPr>
    </w:p>
    <w:p w14:paraId="48FDED92">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日    期：二</w:t>
      </w:r>
      <w:r>
        <w:rPr>
          <w:rFonts w:hint="eastAsia" w:ascii="宋体" w:hAnsi="宋体" w:eastAsia="宋体" w:cs="宋体"/>
          <w:b/>
          <w:bCs/>
          <w:color w:val="auto"/>
          <w:sz w:val="32"/>
          <w:szCs w:val="32"/>
          <w:highlight w:val="none"/>
          <w:lang w:val="en-US" w:eastAsia="zh-CN"/>
        </w:rPr>
        <w:t>零</w:t>
      </w:r>
      <w:r>
        <w:rPr>
          <w:rFonts w:hint="eastAsia" w:ascii="宋体" w:hAnsi="宋体" w:eastAsia="宋体" w:cs="宋体"/>
          <w:b/>
          <w:bCs/>
          <w:color w:val="auto"/>
          <w:sz w:val="32"/>
          <w:szCs w:val="32"/>
          <w:highlight w:val="none"/>
        </w:rPr>
        <w:t>二</w:t>
      </w:r>
      <w:r>
        <w:rPr>
          <w:rFonts w:hint="eastAsia" w:ascii="宋体" w:hAnsi="宋体" w:eastAsia="宋体" w:cs="宋体"/>
          <w:b/>
          <w:bCs/>
          <w:color w:val="auto"/>
          <w:sz w:val="32"/>
          <w:szCs w:val="32"/>
          <w:highlight w:val="none"/>
          <w:lang w:val="en-US" w:eastAsia="zh-CN"/>
        </w:rPr>
        <w:t>五</w:t>
      </w:r>
      <w:r>
        <w:rPr>
          <w:rFonts w:hint="eastAsia" w:ascii="宋体" w:hAnsi="宋体" w:eastAsia="宋体" w:cs="宋体"/>
          <w:b/>
          <w:bCs/>
          <w:color w:val="auto"/>
          <w:sz w:val="32"/>
          <w:szCs w:val="32"/>
          <w:highlight w:val="none"/>
        </w:rPr>
        <w:t>年</w:t>
      </w:r>
      <w:r>
        <w:rPr>
          <w:rFonts w:hint="eastAsia" w:ascii="宋体" w:hAnsi="宋体" w:cs="宋体"/>
          <w:b/>
          <w:bCs/>
          <w:color w:val="auto"/>
          <w:sz w:val="32"/>
          <w:szCs w:val="32"/>
          <w:highlight w:val="none"/>
          <w:lang w:val="en-US" w:eastAsia="zh-CN"/>
        </w:rPr>
        <w:t>十一</w:t>
      </w:r>
      <w:r>
        <w:rPr>
          <w:rFonts w:hint="eastAsia" w:ascii="宋体" w:hAnsi="宋体" w:eastAsia="宋体" w:cs="宋体"/>
          <w:b/>
          <w:bCs/>
          <w:color w:val="auto"/>
          <w:sz w:val="32"/>
          <w:szCs w:val="32"/>
          <w:highlight w:val="none"/>
        </w:rPr>
        <w:t>月</w:t>
      </w:r>
    </w:p>
    <w:p w14:paraId="27804084">
      <w:pPr>
        <w:pStyle w:val="9"/>
        <w:rPr>
          <w:rFonts w:hint="eastAsia" w:ascii="宋体" w:hAnsi="宋体" w:eastAsia="宋体" w:cs="宋体"/>
          <w:b/>
          <w:bCs/>
          <w:color w:val="auto"/>
          <w:sz w:val="32"/>
          <w:szCs w:val="32"/>
          <w:highlight w:val="none"/>
        </w:rPr>
      </w:pPr>
    </w:p>
    <w:p w14:paraId="4C0EF0BE">
      <w:pPr>
        <w:rPr>
          <w:rFonts w:hint="eastAsia" w:ascii="宋体" w:hAnsi="宋体" w:eastAsia="宋体" w:cs="宋体"/>
          <w:b/>
          <w:bCs/>
          <w:color w:val="auto"/>
          <w:sz w:val="32"/>
          <w:szCs w:val="32"/>
          <w:highlight w:val="none"/>
        </w:rPr>
      </w:pPr>
    </w:p>
    <w:p w14:paraId="0C2EC907">
      <w:pPr>
        <w:jc w:val="center"/>
        <w:rPr>
          <w:rFonts w:hint="eastAsia" w:ascii="宋体" w:hAnsi="宋体" w:eastAsia="宋体" w:cs="宋体"/>
          <w:b/>
          <w:bCs/>
          <w:color w:val="auto"/>
          <w:sz w:val="36"/>
          <w:szCs w:val="36"/>
          <w:highlight w:val="none"/>
        </w:rPr>
        <w:sectPr>
          <w:headerReference r:id="rId4" w:type="first"/>
          <w:footerReference r:id="rId5" w:type="first"/>
          <w:headerReference r:id="rId3" w:type="default"/>
          <w:pgSz w:w="11906" w:h="16838"/>
          <w:pgMar w:top="1247" w:right="1020" w:bottom="1247" w:left="1020" w:header="851" w:footer="992" w:gutter="0"/>
          <w:pgBorders>
            <w:top w:val="none" w:sz="0" w:space="0"/>
            <w:left w:val="none" w:sz="0" w:space="0"/>
            <w:bottom w:val="none" w:sz="0" w:space="0"/>
            <w:right w:val="none" w:sz="0" w:space="0"/>
          </w:pgBorders>
          <w:pgNumType w:fmt="numberInDash"/>
          <w:cols w:space="708" w:num="1"/>
          <w:docGrid w:type="lines" w:linePitch="312" w:charSpace="0"/>
        </w:sectPr>
      </w:pPr>
    </w:p>
    <w:p w14:paraId="3CD179DA">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en-US" w:eastAsia="zh-CN"/>
        </w:rPr>
        <w:t xml:space="preserve">招 标 文 件 </w:t>
      </w:r>
      <w:r>
        <w:rPr>
          <w:rFonts w:hint="eastAsia" w:ascii="宋体" w:hAnsi="宋体" w:eastAsia="宋体" w:cs="宋体"/>
          <w:b/>
          <w:bCs/>
          <w:color w:val="auto"/>
          <w:sz w:val="36"/>
          <w:szCs w:val="36"/>
          <w:highlight w:val="none"/>
        </w:rPr>
        <w:t>目</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录</w:t>
      </w:r>
    </w:p>
    <w:p w14:paraId="2F01B078">
      <w:pPr>
        <w:pStyle w:val="17"/>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"1-2"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_Toc10302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第一章 招标公告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_Toc10302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- 1 -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2D82716">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_Toc22466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一、项目基本情况</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_Toc22466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- 1 -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87D7C0B">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_Toc6285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二、供应商资格要求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_Toc6285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- 1 -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6BAFDCF">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_Toc2393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三、获取招标文件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_Toc2393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- 2 -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E04BE87">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_Toc31200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四、提交投标文件截止时间、开标时间和地点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_Toc31200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- 2 -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FBAAF9A">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_Toc2618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五、公告期限</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_Toc2618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- 3 -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36C8B1C">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_Toc29517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六、其他补充事宜</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_Toc29517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- 3 -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4B5D6B2">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_Toc27103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val="en-US" w:eastAsia="zh-CN"/>
        </w:rPr>
        <w:t>七、联系方式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_Toc27103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- 3 -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9DECE4C">
      <w:pPr>
        <w:pStyle w:val="17"/>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_Toc12349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kern w:val="2"/>
          <w:sz w:val="24"/>
          <w:szCs w:val="24"/>
          <w:highlight w:val="none"/>
          <w:lang w:val="en-US" w:eastAsia="zh-CN" w:bidi="ar-SA"/>
        </w:rPr>
        <w:t>第二章 供应商须知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_Toc12349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- 5 -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E930D78">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_Toc24725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供应商须知前附表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_Toc24725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- 5 -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0D49B9E">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一、总则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- 11 -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09C1AB3">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_Toc7893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8"/>
          <w:highlight w:val="none"/>
        </w:rPr>
        <w:t>二、招标文件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_Toc7893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- 13 -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833930B">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_Toc23826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三、投标文件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_Toc23826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- 13 -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04DD934">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_Toc23597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四、投标文件的提交</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_Toc23597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- 16 -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4997C884">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_Toc22360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五、开标与评标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_Toc22360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- 16 -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EF19AC2">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_Toc19086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六、中标结果</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_Toc19086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- 18 -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C59C450">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_Toc6202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七、 其他事项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_Toc6202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- 19 -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9FE934F">
      <w:pPr>
        <w:pStyle w:val="17"/>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_Toc30976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第三章 评标办法（综合评分法）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_Toc30976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- 20 -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EC8511C">
      <w:pPr>
        <w:pStyle w:val="17"/>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_Toc20265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第四章 合同书样式及主要条款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_Toc20265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- 40 -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4D9C8F7D">
      <w:pPr>
        <w:pStyle w:val="17"/>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_Toc19555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第五章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_Toc19555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- 45 -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D9A1C73">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_Toc22377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一、资格审查部分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_Toc22377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- 47 -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923F520">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_Toc27628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32"/>
          <w:highlight w:val="none"/>
        </w:rPr>
        <w:t>二、</w:t>
      </w:r>
      <w:r>
        <w:rPr>
          <w:rFonts w:hint="eastAsia" w:ascii="宋体" w:hAnsi="宋体" w:eastAsia="宋体" w:cs="宋体"/>
          <w:bCs/>
          <w:color w:val="auto"/>
          <w:sz w:val="24"/>
          <w:szCs w:val="32"/>
          <w:highlight w:val="none"/>
          <w:lang w:val="en-US" w:eastAsia="zh-CN"/>
        </w:rPr>
        <w:t>商务</w:t>
      </w:r>
      <w:r>
        <w:rPr>
          <w:rFonts w:hint="eastAsia" w:ascii="宋体" w:hAnsi="宋体" w:eastAsia="宋体" w:cs="宋体"/>
          <w:bCs/>
          <w:color w:val="auto"/>
          <w:sz w:val="24"/>
          <w:szCs w:val="32"/>
          <w:highlight w:val="none"/>
        </w:rPr>
        <w:t>部分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_Toc27628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- 58 -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15A0131">
      <w:pPr>
        <w:pStyle w:val="19"/>
        <w:tabs>
          <w:tab w:val="right" w:leader="dot" w:pos="986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_Toc5268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三、技术部分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_Toc5268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- 64 -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CA79659">
      <w:pPr>
        <w:pStyle w:val="17"/>
        <w:tabs>
          <w:tab w:val="right" w:leader="dot" w:pos="9866"/>
        </w:tabs>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_Toc4920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第六章 招标需求及技术要求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_Toc4920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- 66 -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62112F1">
      <w:pPr>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end"/>
      </w:r>
      <w:bookmarkStart w:id="0" w:name="_Toc31654"/>
      <w:bookmarkStart w:id="1" w:name="_Toc6008"/>
      <w:bookmarkStart w:id="2" w:name="_Toc1290"/>
    </w:p>
    <w:p w14:paraId="338F2FFC">
      <w:pPr>
        <w:pStyle w:val="2"/>
        <w:spacing w:line="360" w:lineRule="auto"/>
        <w:rPr>
          <w:rFonts w:hint="eastAsia" w:ascii="宋体" w:hAnsi="宋体" w:eastAsia="宋体" w:cs="宋体"/>
          <w:color w:val="auto"/>
          <w:highlight w:val="none"/>
        </w:rPr>
        <w:sectPr>
          <w:footerReference r:id="rId6" w:type="default"/>
          <w:pgSz w:w="11906" w:h="16838"/>
          <w:pgMar w:top="1247" w:right="1020" w:bottom="1247" w:left="1020" w:header="851" w:footer="992" w:gutter="0"/>
          <w:pgBorders>
            <w:top w:val="none" w:sz="0" w:space="0"/>
            <w:left w:val="none" w:sz="0" w:space="0"/>
            <w:bottom w:val="none" w:sz="0" w:space="0"/>
            <w:right w:val="none" w:sz="0" w:space="0"/>
          </w:pgBorders>
          <w:pgNumType w:fmt="numberInDash"/>
          <w:cols w:space="708" w:num="1"/>
          <w:docGrid w:type="lines" w:linePitch="312" w:charSpace="0"/>
        </w:sectPr>
      </w:pPr>
    </w:p>
    <w:p w14:paraId="1200182D">
      <w:pPr>
        <w:pStyle w:val="2"/>
        <w:spacing w:line="360" w:lineRule="auto"/>
        <w:rPr>
          <w:rFonts w:hint="eastAsia" w:ascii="宋体" w:hAnsi="宋体" w:eastAsia="宋体" w:cs="宋体"/>
          <w:color w:val="auto"/>
          <w:highlight w:val="none"/>
        </w:rPr>
      </w:pPr>
      <w:bookmarkStart w:id="3" w:name="_Toc10302"/>
      <w:r>
        <w:rPr>
          <w:rFonts w:hint="eastAsia" w:ascii="宋体" w:hAnsi="宋体" w:eastAsia="宋体" w:cs="宋体"/>
          <w:color w:val="auto"/>
          <w:highlight w:val="none"/>
        </w:rPr>
        <w:t>第一章 招标公告</w:t>
      </w:r>
      <w:bookmarkEnd w:id="0"/>
      <w:bookmarkEnd w:id="1"/>
      <w:bookmarkEnd w:id="2"/>
      <w:bookmarkEnd w:id="3"/>
    </w:p>
    <w:p w14:paraId="7947B6B7">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color w:val="auto"/>
          <w:highlight w:val="none"/>
        </w:rPr>
      </w:pPr>
      <w:bookmarkStart w:id="4" w:name="OLE_LINK1"/>
      <w:bookmarkStart w:id="5" w:name="OLE_LINK7"/>
      <w:bookmarkStart w:id="6" w:name="OLE_LINK6"/>
      <w:bookmarkStart w:id="7" w:name="OLE_LINK4"/>
      <w:bookmarkStart w:id="8" w:name="OLE_LINK3"/>
      <w:r>
        <w:rPr>
          <w:rFonts w:hint="eastAsia" w:ascii="宋体" w:hAnsi="宋体" w:eastAsia="宋体" w:cs="宋体"/>
          <w:color w:val="auto"/>
          <w:highlight w:val="none"/>
        </w:rPr>
        <w:t>项目概况：</w:t>
      </w:r>
    </w:p>
    <w:p w14:paraId="0DCE86D3">
      <w:pPr>
        <w:pBdr>
          <w:top w:val="single" w:color="auto" w:sz="4" w:space="1"/>
          <w:left w:val="single" w:color="auto" w:sz="4" w:space="4"/>
          <w:bottom w:val="single" w:color="auto" w:sz="4" w:space="1"/>
          <w:right w:val="single" w:color="auto" w:sz="4" w:space="4"/>
        </w:pBdr>
        <w:wordWrap w:val="0"/>
        <w:spacing w:line="360" w:lineRule="auto"/>
        <w:ind w:firstLine="480" w:firstLineChars="200"/>
        <w:rPr>
          <w:rFonts w:hint="eastAsia" w:ascii="宋体" w:hAnsi="宋体" w:eastAsia="宋体" w:cs="宋体"/>
          <w:color w:val="auto"/>
          <w:szCs w:val="21"/>
          <w:highlight w:val="none"/>
        </w:rPr>
      </w:pPr>
      <w:bookmarkStart w:id="9" w:name="_Toc35393621"/>
      <w:bookmarkStart w:id="10" w:name="_Hlk24379207"/>
      <w:bookmarkStart w:id="11" w:name="_Toc32189"/>
      <w:bookmarkStart w:id="12" w:name="_Toc24892"/>
      <w:bookmarkStart w:id="13" w:name="_Toc28359079"/>
      <w:bookmarkStart w:id="14" w:name="_Toc54552201"/>
      <w:bookmarkStart w:id="15" w:name="_Toc25986"/>
      <w:bookmarkStart w:id="16" w:name="_Toc28359002"/>
      <w:bookmarkStart w:id="17" w:name="_Toc16147"/>
      <w:bookmarkStart w:id="18" w:name="_Toc35393790"/>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云南能源职业技术学院综合分析检测平台项目</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招标项目的潜在投标人应在</w:t>
      </w:r>
      <w:r>
        <w:rPr>
          <w:rFonts w:hint="eastAsia" w:ascii="宋体" w:hAnsi="宋体" w:eastAsia="宋体" w:cs="宋体"/>
          <w:color w:val="auto"/>
          <w:szCs w:val="21"/>
          <w:highlight w:val="none"/>
          <w:u w:val="single"/>
          <w:lang w:val="en-US" w:eastAsia="zh-CN"/>
        </w:rPr>
        <w:t xml:space="preserve"> “政采云”平台线上 </w:t>
      </w:r>
      <w:r>
        <w:rPr>
          <w:rFonts w:hint="eastAsia" w:ascii="宋体" w:hAnsi="宋体" w:eastAsia="宋体" w:cs="宋体"/>
          <w:color w:val="auto"/>
          <w:szCs w:val="21"/>
          <w:highlight w:val="none"/>
        </w:rPr>
        <w:t>获取招标文件，并于</w:t>
      </w:r>
      <w:r>
        <w:rPr>
          <w:rFonts w:hint="eastAsia" w:ascii="宋体" w:hAnsi="宋体" w:eastAsia="宋体" w:cs="宋体"/>
          <w:color w:val="auto"/>
          <w:szCs w:val="21"/>
          <w:highlight w:val="none"/>
          <w:u w:val="single"/>
          <w:lang w:val="en-US" w:eastAsia="zh-CN"/>
        </w:rPr>
        <w:t xml:space="preserve"> 2025</w:t>
      </w:r>
      <w:r>
        <w:rPr>
          <w:rFonts w:hint="eastAsia" w:ascii="宋体" w:hAnsi="宋体" w:eastAsia="宋体" w:cs="宋体"/>
          <w:color w:val="auto"/>
          <w:szCs w:val="21"/>
          <w:highlight w:val="none"/>
          <w:u w:val="single"/>
        </w:rPr>
        <w:t>年</w:t>
      </w:r>
      <w:r>
        <w:rPr>
          <w:rFonts w:hint="eastAsia" w:ascii="宋体" w:hAnsi="宋体" w:cs="宋体"/>
          <w:color w:val="auto"/>
          <w:szCs w:val="21"/>
          <w:highlight w:val="none"/>
          <w:u w:val="single"/>
          <w:lang w:val="en-US" w:eastAsia="zh-CN"/>
        </w:rPr>
        <w:t>12</w:t>
      </w:r>
      <w:r>
        <w:rPr>
          <w:rFonts w:hint="eastAsia" w:ascii="宋体" w:hAnsi="宋体" w:eastAsia="宋体" w:cs="宋体"/>
          <w:color w:val="auto"/>
          <w:szCs w:val="21"/>
          <w:highlight w:val="none"/>
          <w:u w:val="single"/>
        </w:rPr>
        <w:t>月</w:t>
      </w:r>
      <w:r>
        <w:rPr>
          <w:rFonts w:hint="eastAsia" w:ascii="宋体" w:hAnsi="宋体" w:cs="宋体"/>
          <w:color w:val="auto"/>
          <w:szCs w:val="21"/>
          <w:highlight w:val="none"/>
          <w:u w:val="single"/>
          <w:lang w:val="en-US" w:eastAsia="zh-CN"/>
        </w:rPr>
        <w:t>24</w:t>
      </w:r>
      <w:r>
        <w:rPr>
          <w:rFonts w:hint="eastAsia" w:ascii="宋体" w:hAnsi="宋体" w:eastAsia="宋体" w:cs="宋体"/>
          <w:color w:val="auto"/>
          <w:szCs w:val="21"/>
          <w:highlight w:val="none"/>
          <w:u w:val="single"/>
        </w:rPr>
        <w:t>日</w:t>
      </w:r>
      <w:r>
        <w:rPr>
          <w:rFonts w:hint="eastAsia" w:ascii="宋体" w:hAnsi="宋体" w:cs="宋体"/>
          <w:color w:val="auto"/>
          <w:szCs w:val="21"/>
          <w:highlight w:val="none"/>
          <w:u w:val="single"/>
          <w:lang w:val="en-US" w:eastAsia="zh-CN"/>
        </w:rPr>
        <w:t>15</w:t>
      </w:r>
      <w:r>
        <w:rPr>
          <w:rFonts w:hint="eastAsia" w:ascii="宋体" w:hAnsi="宋体" w:eastAsia="宋体" w:cs="宋体"/>
          <w:color w:val="auto"/>
          <w:szCs w:val="21"/>
          <w:highlight w:val="none"/>
          <w:u w:val="single"/>
        </w:rPr>
        <w:t>点</w:t>
      </w:r>
      <w:r>
        <w:rPr>
          <w:rFonts w:hint="eastAsia" w:ascii="宋体" w:hAnsi="宋体" w:cs="宋体"/>
          <w:color w:val="auto"/>
          <w:szCs w:val="21"/>
          <w:highlight w:val="none"/>
          <w:u w:val="single"/>
          <w:lang w:val="en-US" w:eastAsia="zh-CN"/>
        </w:rPr>
        <w:t>00</w:t>
      </w:r>
      <w:r>
        <w:rPr>
          <w:rFonts w:hint="eastAsia" w:ascii="宋体" w:hAnsi="宋体" w:eastAsia="宋体" w:cs="宋体"/>
          <w:color w:val="auto"/>
          <w:szCs w:val="21"/>
          <w:highlight w:val="none"/>
          <w:u w:val="single"/>
        </w:rPr>
        <w:t>分</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（北京时间）前递交投标文件。</w:t>
      </w:r>
    </w:p>
    <w:p w14:paraId="5734BFB5">
      <w:pPr>
        <w:pStyle w:val="3"/>
        <w:keepLines w:val="0"/>
        <w:pageBreakBefore w:val="0"/>
        <w:widowControl w:val="0"/>
        <w:kinsoku/>
        <w:wordWrap/>
        <w:overflowPunct/>
        <w:topLinePunct w:val="0"/>
        <w:autoSpaceDE/>
        <w:autoSpaceDN/>
        <w:bidi w:val="0"/>
        <w:spacing w:before="0" w:after="0" w:line="420" w:lineRule="exact"/>
        <w:ind w:left="0" w:leftChars="0" w:right="0" w:firstLine="0" w:firstLineChars="0"/>
        <w:jc w:val="left"/>
        <w:rPr>
          <w:rFonts w:hint="eastAsia" w:ascii="宋体" w:hAnsi="宋体" w:eastAsia="宋体" w:cs="宋体"/>
          <w:color w:val="auto"/>
          <w:sz w:val="24"/>
          <w:szCs w:val="24"/>
          <w:highlight w:val="none"/>
        </w:rPr>
      </w:pPr>
      <w:bookmarkStart w:id="19" w:name="_Toc22466"/>
      <w:bookmarkStart w:id="20" w:name="_Toc22619"/>
      <w:bookmarkStart w:id="21" w:name="_Toc35393622"/>
      <w:bookmarkStart w:id="22" w:name="_Toc11535"/>
      <w:bookmarkStart w:id="23" w:name="_Toc35393791"/>
      <w:bookmarkStart w:id="24" w:name="_Toc28359003"/>
      <w:bookmarkStart w:id="25" w:name="_Toc25966"/>
      <w:bookmarkStart w:id="26" w:name="_Toc781"/>
      <w:bookmarkStart w:id="27" w:name="_Toc54552202"/>
      <w:bookmarkStart w:id="28" w:name="_Toc28359080"/>
      <w:r>
        <w:rPr>
          <w:rFonts w:hint="eastAsia" w:ascii="宋体" w:hAnsi="宋体" w:eastAsia="宋体" w:cs="宋体"/>
          <w:color w:val="auto"/>
          <w:sz w:val="24"/>
          <w:szCs w:val="24"/>
          <w:highlight w:val="none"/>
        </w:rPr>
        <w:t>一、项目基本情况</w:t>
      </w:r>
      <w:bookmarkEnd w:id="19"/>
    </w:p>
    <w:p w14:paraId="309890F4">
      <w:pPr>
        <w:keepLines w:val="0"/>
        <w:pageBreakBefore w:val="0"/>
        <w:widowControl w:val="0"/>
        <w:kinsoku/>
        <w:wordWrap/>
        <w:overflowPunct/>
        <w:topLinePunct w:val="0"/>
        <w:autoSpaceDE/>
        <w:autoSpaceDN/>
        <w:bidi w:val="0"/>
        <w:snapToGrid w:val="0"/>
        <w:spacing w:line="420" w:lineRule="exact"/>
        <w:ind w:right="0" w:firstLine="48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rPr>
        <w:t>项目编号</w:t>
      </w:r>
      <w:r>
        <w:rPr>
          <w:rFonts w:hint="eastAsia" w:ascii="宋体" w:hAnsi="宋体" w:eastAsia="宋体" w:cs="宋体"/>
          <w:color w:val="auto"/>
          <w:highlight w:val="none"/>
        </w:rPr>
        <w:t>：</w:t>
      </w:r>
      <w:r>
        <w:rPr>
          <w:rFonts w:hint="eastAsia" w:ascii="宋体" w:hAnsi="宋体" w:cs="宋体"/>
          <w:color w:val="auto"/>
          <w:highlight w:val="none"/>
          <w:lang w:eastAsia="zh-CN"/>
        </w:rPr>
        <w:t>康成:2025-QJ-046号</w:t>
      </w:r>
      <w:r>
        <w:rPr>
          <w:rFonts w:hint="eastAsia" w:ascii="宋体" w:hAnsi="宋体" w:eastAsia="宋体" w:cs="宋体"/>
          <w:color w:val="auto"/>
          <w:highlight w:val="none"/>
        </w:rPr>
        <w:t>；</w:t>
      </w:r>
    </w:p>
    <w:p w14:paraId="389A6597">
      <w:pPr>
        <w:keepLines w:val="0"/>
        <w:pageBreakBefore w:val="0"/>
        <w:widowControl w:val="0"/>
        <w:kinsoku/>
        <w:wordWrap/>
        <w:overflowPunct/>
        <w:topLinePunct w:val="0"/>
        <w:autoSpaceDE/>
        <w:autoSpaceDN/>
        <w:bidi w:val="0"/>
        <w:snapToGrid w:val="0"/>
        <w:spacing w:line="420" w:lineRule="exact"/>
        <w:ind w:right="0" w:firstLine="48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rPr>
        <w:t>项目名称</w:t>
      </w:r>
      <w:r>
        <w:rPr>
          <w:rFonts w:hint="eastAsia" w:ascii="宋体" w:hAnsi="宋体" w:eastAsia="宋体" w:cs="宋体"/>
          <w:color w:val="auto"/>
          <w:highlight w:val="none"/>
        </w:rPr>
        <w:t>：</w:t>
      </w:r>
      <w:r>
        <w:rPr>
          <w:rFonts w:hint="eastAsia" w:ascii="宋体" w:hAnsi="宋体" w:cs="宋体"/>
          <w:color w:val="auto"/>
          <w:highlight w:val="none"/>
          <w:lang w:eastAsia="zh-CN"/>
        </w:rPr>
        <w:t>云南能源职业技术学院综合分析检测平台项目</w:t>
      </w:r>
      <w:r>
        <w:rPr>
          <w:rFonts w:hint="eastAsia" w:ascii="宋体" w:hAnsi="宋体" w:eastAsia="宋体" w:cs="宋体"/>
          <w:color w:val="auto"/>
          <w:highlight w:val="none"/>
        </w:rPr>
        <w:t>；</w:t>
      </w:r>
    </w:p>
    <w:p w14:paraId="400FCFD5">
      <w:pPr>
        <w:keepLines w:val="0"/>
        <w:pageBreakBefore w:val="0"/>
        <w:widowControl w:val="0"/>
        <w:kinsoku/>
        <w:wordWrap/>
        <w:overflowPunct/>
        <w:topLinePunct w:val="0"/>
        <w:autoSpaceDE/>
        <w:autoSpaceDN/>
        <w:bidi w:val="0"/>
        <w:snapToGrid w:val="0"/>
        <w:spacing w:line="420" w:lineRule="exact"/>
        <w:ind w:right="0" w:firstLine="48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rPr>
        <w:t>采购方式：</w:t>
      </w:r>
      <w:r>
        <w:rPr>
          <w:rFonts w:hint="eastAsia" w:ascii="宋体" w:hAnsi="宋体" w:eastAsia="宋体" w:cs="宋体"/>
          <w:color w:val="auto"/>
          <w:highlight w:val="none"/>
        </w:rPr>
        <w:t xml:space="preserve"> ☑ 公开</w:t>
      </w:r>
      <w:r>
        <w:rPr>
          <w:rFonts w:hint="eastAsia" w:ascii="宋体" w:hAnsi="宋体" w:eastAsia="宋体" w:cs="宋体"/>
          <w:color w:val="auto"/>
          <w:highlight w:val="none"/>
          <w:lang w:val="en-US" w:eastAsia="zh-CN"/>
        </w:rPr>
        <w:t>招标</w:t>
      </w:r>
    </w:p>
    <w:p w14:paraId="2EBFDD5B">
      <w:pPr>
        <w:keepLines w:val="0"/>
        <w:pageBreakBefore w:val="0"/>
        <w:widowControl w:val="0"/>
        <w:kinsoku/>
        <w:wordWrap/>
        <w:overflowPunct/>
        <w:topLinePunct w:val="0"/>
        <w:autoSpaceDE/>
        <w:autoSpaceDN/>
        <w:bidi w:val="0"/>
        <w:snapToGrid w:val="0"/>
        <w:spacing w:line="420" w:lineRule="exact"/>
        <w:ind w:right="0" w:firstLine="482" w:firstLineChars="20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资金来源：</w:t>
      </w:r>
      <w:r>
        <w:rPr>
          <w:rFonts w:hint="eastAsia" w:ascii="宋体" w:hAnsi="宋体" w:eastAsia="宋体" w:cs="宋体"/>
          <w:color w:val="auto"/>
          <w:highlight w:val="none"/>
        </w:rPr>
        <w:t>财政资金；</w:t>
      </w:r>
    </w:p>
    <w:p w14:paraId="64EB54B3">
      <w:pPr>
        <w:keepLines w:val="0"/>
        <w:pageBreakBefore w:val="0"/>
        <w:widowControl w:val="0"/>
        <w:kinsoku/>
        <w:wordWrap/>
        <w:overflowPunct/>
        <w:topLinePunct w:val="0"/>
        <w:autoSpaceDE/>
        <w:autoSpaceDN/>
        <w:bidi w:val="0"/>
        <w:snapToGrid w:val="0"/>
        <w:spacing w:line="420" w:lineRule="exact"/>
        <w:ind w:right="0" w:firstLine="482" w:firstLineChars="20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预算金额：</w:t>
      </w:r>
      <w:r>
        <w:rPr>
          <w:rFonts w:hint="eastAsia" w:ascii="宋体" w:hAnsi="宋体" w:cs="宋体"/>
          <w:b w:val="0"/>
          <w:bCs w:val="0"/>
          <w:color w:val="auto"/>
          <w:highlight w:val="none"/>
          <w:lang w:val="en-US" w:eastAsia="zh-CN"/>
        </w:rPr>
        <w:t>2030000.00</w:t>
      </w:r>
      <w:r>
        <w:rPr>
          <w:rFonts w:hint="eastAsia" w:ascii="宋体" w:hAnsi="宋体" w:eastAsia="宋体" w:cs="宋体"/>
          <w:b w:val="0"/>
          <w:bCs w:val="0"/>
          <w:color w:val="auto"/>
          <w:highlight w:val="none"/>
          <w:lang w:val="en-US" w:eastAsia="zh-CN"/>
        </w:rPr>
        <w:t>元</w:t>
      </w:r>
      <w:r>
        <w:rPr>
          <w:rFonts w:hint="eastAsia" w:ascii="宋体" w:hAnsi="宋体" w:eastAsia="宋体" w:cs="宋体"/>
          <w:b w:val="0"/>
          <w:bCs w:val="0"/>
          <w:color w:val="auto"/>
          <w:highlight w:val="none"/>
        </w:rPr>
        <w:t>；</w:t>
      </w:r>
    </w:p>
    <w:p w14:paraId="6B659876">
      <w:pPr>
        <w:keepLines w:val="0"/>
        <w:pageBreakBefore w:val="0"/>
        <w:widowControl w:val="0"/>
        <w:kinsoku/>
        <w:wordWrap/>
        <w:overflowPunct/>
        <w:topLinePunct w:val="0"/>
        <w:autoSpaceDE/>
        <w:autoSpaceDN/>
        <w:bidi w:val="0"/>
        <w:snapToGrid w:val="0"/>
        <w:spacing w:line="420" w:lineRule="exact"/>
        <w:ind w:right="0" w:firstLine="482" w:firstLineChars="200"/>
        <w:jc w:val="left"/>
        <w:rPr>
          <w:rFonts w:hint="eastAsia" w:ascii="宋体" w:hAnsi="宋体" w:eastAsia="宋体" w:cs="宋体"/>
          <w:color w:val="auto"/>
          <w:highlight w:val="none"/>
          <w:u w:val="single"/>
        </w:rPr>
      </w:pPr>
      <w:r>
        <w:rPr>
          <w:rFonts w:hint="eastAsia" w:ascii="宋体" w:hAnsi="宋体" w:eastAsia="宋体" w:cs="宋体"/>
          <w:b/>
          <w:bCs/>
          <w:color w:val="auto"/>
          <w:highlight w:val="none"/>
        </w:rPr>
        <w:t>最高限价</w:t>
      </w:r>
      <w:r>
        <w:rPr>
          <w:rFonts w:hint="eastAsia" w:ascii="宋体" w:hAnsi="宋体" w:eastAsia="宋体" w:cs="宋体"/>
          <w:color w:val="auto"/>
          <w:highlight w:val="none"/>
        </w:rPr>
        <w:t>：</w:t>
      </w:r>
      <w:r>
        <w:rPr>
          <w:rFonts w:hint="eastAsia" w:ascii="宋体" w:hAnsi="宋体" w:cs="宋体"/>
          <w:b w:val="0"/>
          <w:bCs w:val="0"/>
          <w:color w:val="auto"/>
          <w:highlight w:val="none"/>
          <w:lang w:val="en-US" w:eastAsia="zh-CN"/>
        </w:rPr>
        <w:t>2030000.00</w:t>
      </w:r>
      <w:r>
        <w:rPr>
          <w:rFonts w:hint="eastAsia" w:ascii="宋体" w:hAnsi="宋体" w:eastAsia="宋体" w:cs="宋体"/>
          <w:color w:val="auto"/>
          <w:highlight w:val="none"/>
          <w:lang w:val="en-US" w:eastAsia="zh-CN"/>
        </w:rPr>
        <w:t>元</w:t>
      </w:r>
      <w:r>
        <w:rPr>
          <w:rFonts w:hint="eastAsia" w:ascii="宋体" w:hAnsi="宋体" w:eastAsia="宋体" w:cs="宋体"/>
          <w:color w:val="auto"/>
          <w:highlight w:val="none"/>
        </w:rPr>
        <w:t>；</w:t>
      </w:r>
    </w:p>
    <w:p w14:paraId="6529E6F1">
      <w:pPr>
        <w:keepLines w:val="0"/>
        <w:pageBreakBefore w:val="0"/>
        <w:widowControl w:val="0"/>
        <w:kinsoku/>
        <w:wordWrap/>
        <w:overflowPunct/>
        <w:topLinePunct w:val="0"/>
        <w:autoSpaceDE/>
        <w:autoSpaceDN/>
        <w:bidi w:val="0"/>
        <w:snapToGrid w:val="0"/>
        <w:spacing w:line="420" w:lineRule="exact"/>
        <w:ind w:right="0" w:firstLine="48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rPr>
        <w:t>采购需求</w:t>
      </w:r>
      <w:r>
        <w:rPr>
          <w:rFonts w:hint="eastAsia" w:ascii="宋体" w:hAnsi="宋体" w:eastAsia="宋体" w:cs="宋体"/>
          <w:color w:val="auto"/>
          <w:highlight w:val="none"/>
        </w:rPr>
        <w:t>：</w:t>
      </w:r>
      <w:r>
        <w:rPr>
          <w:rFonts w:hint="eastAsia" w:ascii="宋体" w:hAnsi="宋体" w:eastAsia="宋体" w:cs="宋体"/>
          <w:i w:val="0"/>
          <w:iCs w:val="0"/>
          <w:color w:val="auto"/>
          <w:kern w:val="2"/>
          <w:sz w:val="24"/>
          <w:szCs w:val="24"/>
          <w:highlight w:val="none"/>
          <w:lang w:val="en-US" w:eastAsia="zh-CN" w:bidi="ar"/>
        </w:rPr>
        <w:t>精密仪器室、普通仪器实训室、称量室，具体参数及要求见采购文件第六章“招标需求及技术要求”</w:t>
      </w:r>
      <w:r>
        <w:rPr>
          <w:rFonts w:hint="eastAsia" w:ascii="宋体" w:hAnsi="宋体" w:eastAsia="宋体" w:cs="宋体"/>
          <w:color w:val="auto"/>
          <w:highlight w:val="none"/>
        </w:rPr>
        <w:t>；</w:t>
      </w:r>
    </w:p>
    <w:p w14:paraId="32356B57">
      <w:pPr>
        <w:keepLines w:val="0"/>
        <w:pageBreakBefore w:val="0"/>
        <w:widowControl w:val="0"/>
        <w:kinsoku/>
        <w:wordWrap/>
        <w:overflowPunct/>
        <w:topLinePunct w:val="0"/>
        <w:autoSpaceDE/>
        <w:autoSpaceDN/>
        <w:bidi w:val="0"/>
        <w:snapToGrid w:val="0"/>
        <w:spacing w:line="420" w:lineRule="exact"/>
        <w:ind w:right="0" w:firstLine="482" w:firstLineChars="200"/>
        <w:jc w:val="left"/>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合同履行期限</w:t>
      </w:r>
      <w:r>
        <w:rPr>
          <w:rFonts w:hint="eastAsia" w:ascii="宋体" w:hAnsi="宋体" w:eastAsia="宋体" w:cs="宋体"/>
          <w:b/>
          <w:bCs/>
          <w:color w:val="auto"/>
          <w:highlight w:val="none"/>
        </w:rPr>
        <w:t>：</w:t>
      </w:r>
      <w:r>
        <w:rPr>
          <w:rFonts w:hint="eastAsia" w:ascii="宋体" w:hAnsi="宋体" w:eastAsia="宋体" w:cs="宋体"/>
          <w:color w:val="auto"/>
          <w:highlight w:val="none"/>
          <w:lang w:eastAsia="zh-CN"/>
        </w:rPr>
        <w:t>合同签订后30日历天内交货并安装调试完成并投入使用</w:t>
      </w:r>
      <w:r>
        <w:rPr>
          <w:rFonts w:hint="eastAsia" w:ascii="宋体" w:hAnsi="宋体" w:eastAsia="宋体" w:cs="宋体"/>
          <w:color w:val="auto"/>
          <w:highlight w:val="none"/>
        </w:rPr>
        <w:t>；</w:t>
      </w:r>
    </w:p>
    <w:p w14:paraId="3F72336E">
      <w:pPr>
        <w:pStyle w:val="9"/>
        <w:keepLines w:val="0"/>
        <w:pageBreakBefore w:val="0"/>
        <w:widowControl w:val="0"/>
        <w:kinsoku/>
        <w:wordWrap/>
        <w:overflowPunct/>
        <w:topLinePunct w:val="0"/>
        <w:autoSpaceDE/>
        <w:autoSpaceDN/>
        <w:bidi w:val="0"/>
        <w:spacing w:after="0" w:line="420" w:lineRule="exact"/>
        <w:ind w:right="0" w:firstLine="482" w:firstLineChars="20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本项目不接受联合体投标。</w:t>
      </w:r>
    </w:p>
    <w:p w14:paraId="094AB7AB">
      <w:pPr>
        <w:pStyle w:val="3"/>
        <w:keepLines w:val="0"/>
        <w:pageBreakBefore w:val="0"/>
        <w:widowControl w:val="0"/>
        <w:kinsoku/>
        <w:wordWrap/>
        <w:overflowPunct/>
        <w:topLinePunct w:val="0"/>
        <w:autoSpaceDE/>
        <w:autoSpaceDN/>
        <w:bidi w:val="0"/>
        <w:spacing w:before="0" w:after="0" w:line="420" w:lineRule="exact"/>
        <w:ind w:left="0" w:leftChars="0" w:right="0" w:firstLine="0" w:firstLineChars="0"/>
        <w:jc w:val="left"/>
        <w:rPr>
          <w:rFonts w:hint="eastAsia" w:ascii="宋体" w:hAnsi="宋体" w:eastAsia="宋体" w:cs="宋体"/>
          <w:color w:val="auto"/>
          <w:sz w:val="24"/>
          <w:szCs w:val="24"/>
          <w:highlight w:val="none"/>
        </w:rPr>
      </w:pPr>
      <w:bookmarkStart w:id="29" w:name="_Toc6285"/>
      <w:r>
        <w:rPr>
          <w:rFonts w:hint="eastAsia" w:ascii="宋体" w:hAnsi="宋体" w:eastAsia="宋体" w:cs="宋体"/>
          <w:color w:val="auto"/>
          <w:sz w:val="24"/>
          <w:szCs w:val="24"/>
          <w:highlight w:val="none"/>
        </w:rPr>
        <w:t>二、供应商资格要求</w:t>
      </w:r>
      <w:bookmarkEnd w:id="20"/>
      <w:bookmarkEnd w:id="21"/>
      <w:bookmarkEnd w:id="22"/>
      <w:bookmarkEnd w:id="23"/>
      <w:bookmarkEnd w:id="24"/>
      <w:bookmarkEnd w:id="25"/>
      <w:bookmarkEnd w:id="26"/>
      <w:bookmarkEnd w:id="27"/>
      <w:bookmarkEnd w:id="28"/>
      <w:bookmarkEnd w:id="29"/>
    </w:p>
    <w:p w14:paraId="789C4127">
      <w:pPr>
        <w:keepLines w:val="0"/>
        <w:pageBreakBefore w:val="0"/>
        <w:widowControl w:val="0"/>
        <w:kinsoku/>
        <w:wordWrap/>
        <w:overflowPunct/>
        <w:topLinePunct w:val="0"/>
        <w:autoSpaceDE/>
        <w:autoSpaceDN/>
        <w:bidi w:val="0"/>
        <w:snapToGrid w:val="0"/>
        <w:spacing w:line="420" w:lineRule="exact"/>
        <w:ind w:right="0" w:firstLine="482" w:firstLineChars="200"/>
        <w:jc w:val="left"/>
        <w:rPr>
          <w:rFonts w:hint="eastAsia" w:ascii="宋体" w:hAnsi="宋体" w:eastAsia="宋体" w:cs="宋体"/>
          <w:color w:val="auto"/>
          <w:highlight w:val="none"/>
        </w:rPr>
      </w:pPr>
      <w:r>
        <w:rPr>
          <w:rFonts w:hint="eastAsia" w:ascii="宋体" w:hAnsi="宋体" w:eastAsia="宋体" w:cs="宋体"/>
          <w:b/>
          <w:color w:val="auto"/>
          <w:highlight w:val="none"/>
        </w:rPr>
        <w:t>1．满足《中华人民共和国政府采购法》第二十二条规定；</w:t>
      </w:r>
    </w:p>
    <w:p w14:paraId="42941C7B">
      <w:pPr>
        <w:keepLines w:val="0"/>
        <w:pageBreakBefore w:val="0"/>
        <w:widowControl w:val="0"/>
        <w:kinsoku/>
        <w:wordWrap/>
        <w:overflowPunct/>
        <w:topLinePunct w:val="0"/>
        <w:autoSpaceDE/>
        <w:autoSpaceDN/>
        <w:bidi w:val="0"/>
        <w:snapToGrid w:val="0"/>
        <w:spacing w:line="420" w:lineRule="exact"/>
        <w:ind w:right="0" w:firstLine="480" w:firstLineChars="20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满足《中华人民共和国政府采购法》第二十二条规定，</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实行自愿原则并应当以书面形式作出资格信用承诺（详见</w:t>
      </w:r>
      <w:r>
        <w:rPr>
          <w:rFonts w:hint="eastAsia" w:ascii="宋体" w:hAnsi="宋体" w:eastAsia="宋体" w:cs="宋体"/>
          <w:color w:val="auto"/>
          <w:sz w:val="24"/>
          <w:szCs w:val="24"/>
          <w:highlight w:val="none"/>
          <w:lang w:eastAsia="zh-CN"/>
        </w:rPr>
        <w:t>“第五章响应文件文件格式”</w:t>
      </w:r>
      <w:r>
        <w:rPr>
          <w:rFonts w:hint="eastAsia" w:ascii="宋体" w:hAnsi="宋体" w:eastAsia="宋体" w:cs="宋体"/>
          <w:color w:val="auto"/>
          <w:sz w:val="24"/>
          <w:szCs w:val="24"/>
          <w:highlight w:val="none"/>
          <w:lang w:val="en-US" w:eastAsia="zh-CN"/>
        </w:rPr>
        <w:t>资格审查部分“格式3-</w:t>
      </w:r>
      <w:r>
        <w:rPr>
          <w:rFonts w:hint="eastAsia" w:ascii="宋体" w:hAnsi="宋体" w:eastAsia="宋体" w:cs="宋体"/>
          <w:color w:val="auto"/>
          <w:sz w:val="24"/>
          <w:szCs w:val="24"/>
          <w:highlight w:val="none"/>
        </w:rPr>
        <w:t>资格条件承诺函</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未提供资格信用承诺的</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存在不良信用记录的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，在信用修复前不适用承诺制，应当按照《中华人民共和国政府采购法》</w:t>
      </w:r>
      <w:r>
        <w:rPr>
          <w:rFonts w:hint="eastAsia" w:ascii="宋体" w:hAnsi="宋体" w:eastAsia="宋体" w:cs="宋体"/>
          <w:color w:val="auto"/>
          <w:sz w:val="24"/>
          <w:szCs w:val="24"/>
          <w:highlight w:val="none"/>
          <w:lang w:val="en-US" w:eastAsia="zh-CN"/>
        </w:rPr>
        <w:t>二十二条</w:t>
      </w:r>
      <w:r>
        <w:rPr>
          <w:rFonts w:hint="eastAsia" w:ascii="宋体" w:hAnsi="宋体" w:eastAsia="宋体" w:cs="宋体"/>
          <w:color w:val="auto"/>
          <w:sz w:val="24"/>
          <w:szCs w:val="24"/>
          <w:highlight w:val="none"/>
        </w:rPr>
        <w:t>及其实施条例相关规定</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提供相应的证明材料</w:t>
      </w:r>
      <w:r>
        <w:rPr>
          <w:rFonts w:hint="eastAsia" w:ascii="宋体" w:hAnsi="宋体" w:eastAsia="宋体" w:cs="宋体"/>
          <w:color w:val="auto"/>
          <w:highlight w:val="none"/>
        </w:rPr>
        <w:t>。</w:t>
      </w:r>
    </w:p>
    <w:p w14:paraId="0F3D1317">
      <w:pPr>
        <w:keepLines w:val="0"/>
        <w:pageBreakBefore w:val="0"/>
        <w:widowControl w:val="0"/>
        <w:numPr>
          <w:ilvl w:val="0"/>
          <w:numId w:val="1"/>
        </w:numPr>
        <w:kinsoku/>
        <w:wordWrap/>
        <w:overflowPunct/>
        <w:topLinePunct w:val="0"/>
        <w:autoSpaceDE/>
        <w:autoSpaceDN/>
        <w:bidi w:val="0"/>
        <w:snapToGrid w:val="0"/>
        <w:spacing w:line="420" w:lineRule="exact"/>
        <w:ind w:right="0" w:firstLine="482" w:firstLineChars="200"/>
        <w:jc w:val="left"/>
        <w:rPr>
          <w:rFonts w:hint="eastAsia" w:ascii="宋体" w:hAnsi="宋体" w:eastAsia="宋体" w:cs="宋体"/>
          <w:b/>
          <w:color w:val="auto"/>
          <w:highlight w:val="none"/>
        </w:rPr>
      </w:pPr>
      <w:r>
        <w:rPr>
          <w:rFonts w:hint="eastAsia" w:ascii="宋体" w:hAnsi="宋体" w:eastAsia="宋体" w:cs="宋体"/>
          <w:b/>
          <w:color w:val="auto"/>
          <w:highlight w:val="none"/>
        </w:rPr>
        <w:t>落实政府采购政策需满足的资格要求：</w:t>
      </w:r>
    </w:p>
    <w:p w14:paraId="09182DA8">
      <w:pPr>
        <w:pStyle w:val="9"/>
        <w:keepLines w:val="0"/>
        <w:pageBreakBefore w:val="0"/>
        <w:widowControl w:val="0"/>
        <w:kinsoku/>
        <w:overflowPunct/>
        <w:topLinePunct w:val="0"/>
        <w:autoSpaceDE/>
        <w:autoSpaceDN/>
        <w:bidi w:val="0"/>
        <w:spacing w:before="197" w:line="420" w:lineRule="exact"/>
        <w:ind w:left="482"/>
        <w:rPr>
          <w:rFonts w:hint="eastAsia" w:ascii="宋体" w:hAnsi="宋体" w:eastAsia="宋体" w:cs="宋体"/>
          <w:b/>
          <w:color w:val="auto"/>
          <w:highlight w:val="none"/>
        </w:rPr>
      </w:pPr>
      <w:r>
        <w:rPr>
          <w:rFonts w:hint="eastAsia" w:ascii="宋体" w:hAnsi="宋体" w:eastAsia="宋体" w:cs="宋体"/>
          <w:color w:val="auto"/>
          <w:kern w:val="2"/>
          <w:sz w:val="24"/>
          <w:szCs w:val="24"/>
          <w:highlight w:val="none"/>
          <w:lang w:val="en-US" w:eastAsia="zh-CN" w:bidi="ar-SA"/>
        </w:rPr>
        <w:t>本项目是否专门面向中小企业：否。</w:t>
      </w:r>
    </w:p>
    <w:p w14:paraId="5702F198">
      <w:pPr>
        <w:keepLines w:val="0"/>
        <w:pageBreakBefore w:val="0"/>
        <w:widowControl w:val="0"/>
        <w:kinsoku/>
        <w:wordWrap/>
        <w:overflowPunct/>
        <w:topLinePunct w:val="0"/>
        <w:autoSpaceDE/>
        <w:autoSpaceDN/>
        <w:bidi w:val="0"/>
        <w:snapToGrid w:val="0"/>
        <w:spacing w:line="420" w:lineRule="exact"/>
        <w:ind w:right="0"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关于中小企业的规定：根据《政府采购促进中小企业发展管理办法》（财库〔2020〕46号）和《关于进一步加大政府采购支持中小企业力度的通知》财库〔2022〕19号的规定，本项目给予小微（小型、微型）企业报价10%的扣除，用扣除后的价格参与评审。</w:t>
      </w:r>
    </w:p>
    <w:p w14:paraId="4AD8DC0F">
      <w:pPr>
        <w:keepLines w:val="0"/>
        <w:pageBreakBefore w:val="0"/>
        <w:widowControl w:val="0"/>
        <w:kinsoku/>
        <w:wordWrap/>
        <w:overflowPunct/>
        <w:topLinePunct w:val="0"/>
        <w:autoSpaceDE/>
        <w:autoSpaceDN/>
        <w:bidi w:val="0"/>
        <w:snapToGrid w:val="0"/>
        <w:spacing w:line="420" w:lineRule="exact"/>
        <w:ind w:right="0"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注：在货物采购项目中，供应商提供的货物既有中小企业制造货物，也有大型企业制造货物的，不享受本办法规定的中小企业扶持政策。</w:t>
      </w:r>
    </w:p>
    <w:p w14:paraId="7F0EDC45">
      <w:pPr>
        <w:keepLines w:val="0"/>
        <w:pageBreakBefore w:val="0"/>
        <w:widowControl w:val="0"/>
        <w:kinsoku/>
        <w:wordWrap/>
        <w:overflowPunct/>
        <w:topLinePunct w:val="0"/>
        <w:autoSpaceDE/>
        <w:autoSpaceDN/>
        <w:bidi w:val="0"/>
        <w:snapToGrid w:val="0"/>
        <w:spacing w:line="420" w:lineRule="exact"/>
        <w:ind w:right="0"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（2）关于节能、环保产品的规定：政府采购属于节能（环保标志）清单中产品时，在技术、服务等指标同等条件下，应当优先采购节能（环保标志）清单所列的节能（环保标志）产品。</w:t>
      </w:r>
    </w:p>
    <w:p w14:paraId="3022C7DA">
      <w:pPr>
        <w:keepLines w:val="0"/>
        <w:pageBreakBefore w:val="0"/>
        <w:widowControl w:val="0"/>
        <w:kinsoku/>
        <w:wordWrap/>
        <w:overflowPunct/>
        <w:topLinePunct w:val="0"/>
        <w:autoSpaceDE/>
        <w:autoSpaceDN/>
        <w:bidi w:val="0"/>
        <w:snapToGrid w:val="0"/>
        <w:spacing w:line="420" w:lineRule="exact"/>
        <w:ind w:right="0"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（3）关于监狱企业产品的规定：监狱企业视同中小企业，享受评审中价格扣除的政府采购政策。</w:t>
      </w:r>
    </w:p>
    <w:p w14:paraId="790D432C">
      <w:pPr>
        <w:keepLines w:val="0"/>
        <w:pageBreakBefore w:val="0"/>
        <w:widowControl w:val="0"/>
        <w:kinsoku/>
        <w:wordWrap/>
        <w:overflowPunct/>
        <w:topLinePunct w:val="0"/>
        <w:autoSpaceDE/>
        <w:autoSpaceDN/>
        <w:bidi w:val="0"/>
        <w:snapToGrid w:val="0"/>
        <w:spacing w:line="420" w:lineRule="exact"/>
        <w:ind w:right="0"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（4）关于残疾人福利性单位产品的规定，在政府采购活动中，视同中小企业，享受评审中价格扣除的政府采购政策。</w:t>
      </w:r>
    </w:p>
    <w:p w14:paraId="443E22B7">
      <w:pPr>
        <w:keepLines w:val="0"/>
        <w:pageBreakBefore w:val="0"/>
        <w:widowControl w:val="0"/>
        <w:kinsoku/>
        <w:wordWrap/>
        <w:overflowPunct/>
        <w:topLinePunct w:val="0"/>
        <w:autoSpaceDE/>
        <w:autoSpaceDN/>
        <w:bidi w:val="0"/>
        <w:snapToGrid w:val="0"/>
        <w:spacing w:line="420" w:lineRule="exact"/>
        <w:ind w:right="0" w:firstLine="482" w:firstLineChars="200"/>
        <w:jc w:val="lef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3</w:t>
      </w:r>
      <w:r>
        <w:rPr>
          <w:rFonts w:hint="eastAsia" w:ascii="宋体" w:hAnsi="宋体" w:eastAsia="宋体" w:cs="宋体"/>
          <w:b/>
          <w:color w:val="auto"/>
          <w:highlight w:val="none"/>
        </w:rPr>
        <w:t>．本项目的特定资格要求：</w:t>
      </w:r>
    </w:p>
    <w:p w14:paraId="01880E5F">
      <w:pPr>
        <w:keepLines w:val="0"/>
        <w:pageBreakBefore w:val="0"/>
        <w:widowControl w:val="0"/>
        <w:kinsoku/>
        <w:wordWrap/>
        <w:overflowPunct/>
        <w:topLinePunct w:val="0"/>
        <w:autoSpaceDE/>
        <w:autoSpaceDN/>
        <w:bidi w:val="0"/>
        <w:snapToGrid w:val="0"/>
        <w:spacing w:line="420" w:lineRule="exact"/>
        <w:ind w:right="0" w:firstLine="480" w:firstLineChars="200"/>
        <w:jc w:val="lef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无</w:t>
      </w:r>
      <w:r>
        <w:rPr>
          <w:rFonts w:hint="eastAsia" w:ascii="宋体" w:hAnsi="宋体" w:eastAsia="宋体" w:cs="宋体"/>
          <w:color w:val="auto"/>
          <w:highlight w:val="none"/>
          <w:lang w:val="en-US" w:eastAsia="zh-CN"/>
        </w:rPr>
        <w:t>。</w:t>
      </w:r>
    </w:p>
    <w:bookmarkEnd w:id="9"/>
    <w:bookmarkEnd w:id="10"/>
    <w:bookmarkEnd w:id="11"/>
    <w:bookmarkEnd w:id="12"/>
    <w:bookmarkEnd w:id="13"/>
    <w:bookmarkEnd w:id="14"/>
    <w:bookmarkEnd w:id="15"/>
    <w:bookmarkEnd w:id="16"/>
    <w:bookmarkEnd w:id="17"/>
    <w:bookmarkEnd w:id="18"/>
    <w:p w14:paraId="502D9423">
      <w:pPr>
        <w:pStyle w:val="3"/>
        <w:keepLines w:val="0"/>
        <w:pageBreakBefore w:val="0"/>
        <w:widowControl w:val="0"/>
        <w:kinsoku/>
        <w:wordWrap/>
        <w:overflowPunct/>
        <w:topLinePunct w:val="0"/>
        <w:autoSpaceDE/>
        <w:autoSpaceDN/>
        <w:bidi w:val="0"/>
        <w:spacing w:before="0" w:after="0" w:line="420" w:lineRule="exact"/>
        <w:ind w:left="0" w:leftChars="0" w:right="0" w:firstLine="0" w:firstLineChars="0"/>
        <w:jc w:val="left"/>
        <w:rPr>
          <w:rFonts w:hint="eastAsia" w:ascii="宋体" w:hAnsi="宋体" w:eastAsia="宋体" w:cs="宋体"/>
          <w:color w:val="auto"/>
          <w:sz w:val="24"/>
          <w:szCs w:val="24"/>
          <w:highlight w:val="none"/>
        </w:rPr>
      </w:pPr>
      <w:bookmarkStart w:id="30" w:name="_Toc35393792"/>
      <w:bookmarkStart w:id="31" w:name="_Toc28359004"/>
      <w:bookmarkStart w:id="32" w:name="_Toc28359081"/>
      <w:bookmarkStart w:id="33" w:name="_Toc16204"/>
      <w:bookmarkStart w:id="34" w:name="_Toc35393623"/>
      <w:bookmarkStart w:id="35" w:name="_Toc25857"/>
      <w:bookmarkStart w:id="36" w:name="_Toc21502"/>
      <w:bookmarkStart w:id="37" w:name="_Toc29892"/>
      <w:bookmarkStart w:id="38" w:name="_Toc2393"/>
      <w:r>
        <w:rPr>
          <w:rFonts w:hint="eastAsia" w:ascii="宋体" w:hAnsi="宋体" w:eastAsia="宋体" w:cs="宋体"/>
          <w:color w:val="auto"/>
          <w:sz w:val="24"/>
          <w:szCs w:val="24"/>
          <w:highlight w:val="none"/>
        </w:rPr>
        <w:t>三、获取招标文件</w:t>
      </w:r>
      <w:bookmarkEnd w:id="30"/>
      <w:bookmarkEnd w:id="31"/>
      <w:bookmarkEnd w:id="32"/>
      <w:bookmarkEnd w:id="33"/>
      <w:bookmarkEnd w:id="34"/>
      <w:bookmarkEnd w:id="35"/>
      <w:bookmarkEnd w:id="36"/>
      <w:bookmarkEnd w:id="37"/>
      <w:bookmarkEnd w:id="38"/>
    </w:p>
    <w:p w14:paraId="68376340">
      <w:pPr>
        <w:keepLines w:val="0"/>
        <w:pageBreakBefore w:val="0"/>
        <w:widowControl w:val="0"/>
        <w:kinsoku/>
        <w:wordWrap/>
        <w:overflowPunct/>
        <w:topLinePunct w:val="0"/>
        <w:autoSpaceDE/>
        <w:autoSpaceDN/>
        <w:bidi w:val="0"/>
        <w:snapToGrid w:val="0"/>
        <w:spacing w:line="420" w:lineRule="exact"/>
        <w:ind w:right="0" w:firstLine="48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1、时间：</w:t>
      </w:r>
      <w:r>
        <w:rPr>
          <w:rFonts w:hint="eastAsia" w:ascii="宋体" w:hAnsi="宋体" w:eastAsia="宋体" w:cs="宋体"/>
          <w:color w:val="auto"/>
          <w:szCs w:val="21"/>
          <w:highlight w:val="none"/>
          <w:lang w:val="en-US" w:eastAsia="zh-CN"/>
        </w:rPr>
        <w:t>2025</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12</w:t>
      </w:r>
      <w:r>
        <w:rPr>
          <w:rFonts w:hint="eastAsia" w:ascii="宋体" w:hAnsi="宋体" w:eastAsia="宋体" w:cs="宋体"/>
          <w:color w:val="auto"/>
          <w:szCs w:val="21"/>
          <w:highlight w:val="none"/>
          <w:lang w:val="en-US" w:eastAsia="zh-CN"/>
        </w:rPr>
        <w:t>月</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日</w:t>
      </w:r>
      <w:r>
        <w:rPr>
          <w:rFonts w:hint="eastAsia" w:ascii="宋体" w:hAnsi="宋体" w:eastAsia="宋体" w:cs="宋体"/>
          <w:color w:val="auto"/>
          <w:szCs w:val="21"/>
          <w:highlight w:val="none"/>
        </w:rPr>
        <w:t>至</w:t>
      </w:r>
      <w:r>
        <w:rPr>
          <w:rFonts w:hint="eastAsia" w:ascii="宋体" w:hAnsi="宋体" w:eastAsia="宋体" w:cs="宋体"/>
          <w:color w:val="auto"/>
          <w:szCs w:val="21"/>
          <w:highlight w:val="none"/>
          <w:lang w:val="en-US" w:eastAsia="zh-CN"/>
        </w:rPr>
        <w:t>2025</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12</w:t>
      </w:r>
      <w:r>
        <w:rPr>
          <w:rFonts w:hint="eastAsia" w:ascii="宋体" w:hAnsi="宋体" w:eastAsia="宋体" w:cs="宋体"/>
          <w:color w:val="auto"/>
          <w:szCs w:val="21"/>
          <w:highlight w:val="none"/>
          <w:lang w:val="en-US" w:eastAsia="zh-CN"/>
        </w:rPr>
        <w:t>月</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en-US" w:eastAsia="zh-CN"/>
        </w:rPr>
        <w:t>日</w:t>
      </w:r>
      <w:r>
        <w:rPr>
          <w:rFonts w:hint="eastAsia" w:ascii="宋体" w:hAnsi="宋体" w:eastAsia="宋体" w:cs="宋体"/>
          <w:color w:val="auto"/>
          <w:szCs w:val="21"/>
          <w:highlight w:val="none"/>
        </w:rPr>
        <w:t>，每天</w:t>
      </w:r>
      <w:r>
        <w:rPr>
          <w:rFonts w:hint="eastAsia" w:ascii="宋体" w:hAnsi="宋体" w:eastAsia="宋体" w:cs="宋体"/>
          <w:color w:val="auto"/>
          <w:szCs w:val="21"/>
          <w:highlight w:val="none"/>
          <w:lang w:val="en-US" w:eastAsia="zh-CN"/>
        </w:rPr>
        <w:t>06</w:t>
      </w:r>
      <w:r>
        <w:rPr>
          <w:rFonts w:hint="eastAsia" w:ascii="宋体" w:hAnsi="宋体" w:eastAsia="宋体" w:cs="宋体"/>
          <w:color w:val="auto"/>
          <w:szCs w:val="21"/>
          <w:highlight w:val="none"/>
        </w:rPr>
        <w:t>时</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0分至12时00分，下午</w:t>
      </w:r>
      <w:r>
        <w:rPr>
          <w:rFonts w:hint="eastAsia" w:ascii="宋体" w:hAnsi="宋体" w:eastAsia="宋体" w:cs="宋体"/>
          <w:color w:val="auto"/>
          <w:szCs w:val="21"/>
          <w:highlight w:val="none"/>
          <w:lang w:val="en-US" w:eastAsia="zh-CN"/>
        </w:rPr>
        <w:t>12</w:t>
      </w:r>
      <w:r>
        <w:rPr>
          <w:rFonts w:hint="eastAsia" w:ascii="宋体" w:hAnsi="宋体" w:eastAsia="宋体" w:cs="宋体"/>
          <w:color w:val="auto"/>
          <w:szCs w:val="21"/>
          <w:highlight w:val="none"/>
        </w:rPr>
        <w:t>时</w:t>
      </w:r>
      <w:r>
        <w:rPr>
          <w:rFonts w:hint="eastAsia" w:ascii="宋体" w:hAnsi="宋体" w:eastAsia="宋体" w:cs="宋体"/>
          <w:color w:val="auto"/>
          <w:szCs w:val="21"/>
          <w:highlight w:val="none"/>
          <w:lang w:val="en-US" w:eastAsia="zh-CN"/>
        </w:rPr>
        <w:t>00</w:t>
      </w:r>
      <w:r>
        <w:rPr>
          <w:rFonts w:hint="eastAsia" w:ascii="宋体" w:hAnsi="宋体" w:eastAsia="宋体" w:cs="宋体"/>
          <w:color w:val="auto"/>
          <w:szCs w:val="21"/>
          <w:highlight w:val="none"/>
        </w:rPr>
        <w:t>分至</w:t>
      </w:r>
      <w:r>
        <w:rPr>
          <w:rFonts w:hint="eastAsia" w:ascii="宋体" w:hAnsi="宋体" w:eastAsia="宋体" w:cs="宋体"/>
          <w:color w:val="auto"/>
          <w:szCs w:val="21"/>
          <w:highlight w:val="none"/>
          <w:lang w:val="en-US" w:eastAsia="zh-CN"/>
        </w:rPr>
        <w:t>23</w:t>
      </w:r>
      <w:r>
        <w:rPr>
          <w:rFonts w:hint="eastAsia" w:ascii="宋体" w:hAnsi="宋体" w:eastAsia="宋体" w:cs="宋体"/>
          <w:color w:val="auto"/>
          <w:szCs w:val="21"/>
          <w:highlight w:val="none"/>
        </w:rPr>
        <w:t>时</w:t>
      </w:r>
      <w:r>
        <w:rPr>
          <w:rFonts w:hint="eastAsia" w:ascii="宋体" w:hAnsi="宋体" w:eastAsia="宋体" w:cs="宋体"/>
          <w:color w:val="auto"/>
          <w:szCs w:val="21"/>
          <w:highlight w:val="none"/>
          <w:lang w:val="en-US" w:eastAsia="zh-CN"/>
        </w:rPr>
        <w:t>59</w:t>
      </w:r>
      <w:r>
        <w:rPr>
          <w:rFonts w:hint="eastAsia" w:ascii="宋体" w:hAnsi="宋体" w:eastAsia="宋体" w:cs="宋体"/>
          <w:color w:val="auto"/>
          <w:szCs w:val="21"/>
          <w:highlight w:val="none"/>
        </w:rPr>
        <w:t>分（北京时间，法定节假日除外）。</w:t>
      </w:r>
    </w:p>
    <w:p w14:paraId="089FECBB">
      <w:pPr>
        <w:keepLines w:val="0"/>
        <w:pageBreakBefore w:val="0"/>
        <w:widowControl w:val="0"/>
        <w:kinsoku/>
        <w:wordWrap/>
        <w:overflowPunct/>
        <w:topLinePunct w:val="0"/>
        <w:autoSpaceDE/>
        <w:autoSpaceDN/>
        <w:bidi w:val="0"/>
        <w:snapToGrid w:val="0"/>
        <w:spacing w:line="420" w:lineRule="exact"/>
        <w:ind w:right="0" w:firstLine="48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2、地点：</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自行在“政采云”平台（http：//www.zcygov.cn）下载招标文件（操作路径：登录“政采云”平台-项目采购-获取招标文件-找到本项目-点击“申请获取招标文件”），电子投标文件制作需要基于“政采云”平台（http：//www.zcygov.cn）获取的招标文件编制。</w:t>
      </w:r>
    </w:p>
    <w:p w14:paraId="777EFEA1">
      <w:pPr>
        <w:keepLines w:val="0"/>
        <w:pageBreakBefore w:val="0"/>
        <w:widowControl w:val="0"/>
        <w:kinsoku/>
        <w:wordWrap/>
        <w:overflowPunct/>
        <w:topLinePunct w:val="0"/>
        <w:autoSpaceDE/>
        <w:autoSpaceDN/>
        <w:bidi w:val="0"/>
        <w:snapToGrid w:val="0"/>
        <w:spacing w:line="420" w:lineRule="exact"/>
        <w:ind w:right="0" w:firstLine="48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3、方式：凡有意参加</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者，须在政采云平台办理数字证书（CA），CA申领链接：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https://middle.zcygov.cn/ca/apply/list?_app_=zcy.sys</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，并在政采云绑定数字证书（CA）后在网上获取招标文件及其它采购资料，数字证书（CA）详见其办理流程。注：云南本地供应商如之前已在云南 CA在线数字证书办理网进行过注册并办理过企业数字证书（CA），直接绑定即可，无需重复办理（2023年</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1月</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1日前办理的云南CA需到云南CA办理处进行升级）。外省供应商在政采云平台办理的其他CA可直接使用，无需重复办理。</w:t>
      </w:r>
    </w:p>
    <w:p w14:paraId="4D0E11FC">
      <w:pPr>
        <w:keepLines w:val="0"/>
        <w:pageBreakBefore w:val="0"/>
        <w:widowControl w:val="0"/>
        <w:kinsoku/>
        <w:wordWrap/>
        <w:overflowPunct/>
        <w:topLinePunct w:val="0"/>
        <w:autoSpaceDE/>
        <w:autoSpaceDN/>
        <w:bidi w:val="0"/>
        <w:snapToGrid w:val="0"/>
        <w:spacing w:line="420" w:lineRule="exact"/>
        <w:ind w:right="0" w:firstLine="48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4、售价：0元。</w:t>
      </w:r>
    </w:p>
    <w:p w14:paraId="0688A737">
      <w:pPr>
        <w:pStyle w:val="3"/>
        <w:keepLines w:val="0"/>
        <w:pageBreakBefore w:val="0"/>
        <w:widowControl w:val="0"/>
        <w:kinsoku/>
        <w:wordWrap/>
        <w:overflowPunct/>
        <w:topLinePunct w:val="0"/>
        <w:autoSpaceDE/>
        <w:autoSpaceDN/>
        <w:bidi w:val="0"/>
        <w:spacing w:before="0" w:after="0" w:line="420" w:lineRule="exact"/>
        <w:ind w:left="0" w:leftChars="0" w:right="0" w:firstLine="0" w:firstLineChars="0"/>
        <w:jc w:val="left"/>
        <w:rPr>
          <w:rFonts w:hint="eastAsia" w:ascii="宋体" w:hAnsi="宋体" w:eastAsia="宋体" w:cs="宋体"/>
          <w:color w:val="auto"/>
          <w:sz w:val="24"/>
          <w:szCs w:val="24"/>
          <w:highlight w:val="none"/>
        </w:rPr>
      </w:pPr>
      <w:bookmarkStart w:id="39" w:name="_Toc28359005"/>
      <w:bookmarkStart w:id="40" w:name="_Toc28359082"/>
      <w:bookmarkStart w:id="41" w:name="_Toc32029"/>
      <w:bookmarkStart w:id="42" w:name="_Toc6586"/>
      <w:bookmarkStart w:id="43" w:name="_Toc35393793"/>
      <w:bookmarkStart w:id="44" w:name="_Toc31200"/>
      <w:bookmarkStart w:id="45" w:name="_Toc1002"/>
      <w:bookmarkStart w:id="46" w:name="_Toc29118"/>
      <w:bookmarkStart w:id="47" w:name="_Toc35393624"/>
      <w:bookmarkStart w:id="48" w:name="_Toc54552203"/>
      <w:r>
        <w:rPr>
          <w:rFonts w:hint="eastAsia" w:ascii="宋体" w:hAnsi="宋体" w:eastAsia="宋体" w:cs="宋体"/>
          <w:color w:val="auto"/>
          <w:sz w:val="24"/>
          <w:szCs w:val="24"/>
          <w:highlight w:val="none"/>
        </w:rPr>
        <w:t>四、提交投标文件</w:t>
      </w:r>
      <w:bookmarkEnd w:id="39"/>
      <w:bookmarkEnd w:id="40"/>
      <w:r>
        <w:rPr>
          <w:rFonts w:hint="eastAsia" w:ascii="宋体" w:hAnsi="宋体" w:eastAsia="宋体" w:cs="宋体"/>
          <w:color w:val="auto"/>
          <w:sz w:val="24"/>
          <w:szCs w:val="24"/>
          <w:highlight w:val="none"/>
        </w:rPr>
        <w:t>截止时间、开标时间和地点</w:t>
      </w:r>
      <w:bookmarkEnd w:id="41"/>
      <w:bookmarkEnd w:id="42"/>
      <w:bookmarkEnd w:id="43"/>
      <w:bookmarkEnd w:id="44"/>
      <w:bookmarkEnd w:id="45"/>
      <w:bookmarkEnd w:id="46"/>
      <w:bookmarkEnd w:id="47"/>
      <w:bookmarkEnd w:id="48"/>
    </w:p>
    <w:p w14:paraId="181076E4">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jc w:val="both"/>
        <w:rPr>
          <w:rFonts w:hint="eastAsia" w:ascii="宋体" w:hAnsi="宋体" w:eastAsia="宋体" w:cs="宋体"/>
          <w:bCs/>
          <w:color w:val="auto"/>
          <w:kern w:val="2"/>
          <w:sz w:val="24"/>
          <w:szCs w:val="24"/>
          <w:highlight w:val="none"/>
          <w:lang w:bidi="ar"/>
        </w:rPr>
      </w:pPr>
      <w:r>
        <w:rPr>
          <w:rFonts w:hint="eastAsia" w:ascii="宋体" w:hAnsi="宋体" w:eastAsia="宋体" w:cs="宋体"/>
          <w:bCs/>
          <w:color w:val="auto"/>
          <w:kern w:val="2"/>
          <w:sz w:val="24"/>
          <w:szCs w:val="24"/>
          <w:highlight w:val="none"/>
          <w:lang w:bidi="ar"/>
        </w:rPr>
        <w:t>1、时间：</w:t>
      </w:r>
      <w:r>
        <w:rPr>
          <w:rFonts w:hint="eastAsia" w:ascii="宋体" w:hAnsi="宋体" w:eastAsia="宋体" w:cs="宋体"/>
          <w:bCs/>
          <w:color w:val="auto"/>
          <w:kern w:val="2"/>
          <w:sz w:val="24"/>
          <w:szCs w:val="24"/>
          <w:highlight w:val="none"/>
          <w:lang w:val="en-US" w:eastAsia="zh-CN" w:bidi="ar"/>
        </w:rPr>
        <w:t>2025</w:t>
      </w:r>
      <w:r>
        <w:rPr>
          <w:rFonts w:hint="eastAsia" w:ascii="宋体" w:hAnsi="宋体" w:eastAsia="宋体" w:cs="宋体"/>
          <w:bCs/>
          <w:color w:val="auto"/>
          <w:kern w:val="2"/>
          <w:sz w:val="24"/>
          <w:szCs w:val="24"/>
          <w:highlight w:val="none"/>
          <w:lang w:eastAsia="zh-CN" w:bidi="ar"/>
        </w:rPr>
        <w:t>年</w:t>
      </w:r>
      <w:r>
        <w:rPr>
          <w:rFonts w:hint="eastAsia" w:ascii="宋体" w:hAnsi="宋体" w:cs="宋体"/>
          <w:bCs/>
          <w:color w:val="auto"/>
          <w:kern w:val="2"/>
          <w:sz w:val="24"/>
          <w:szCs w:val="24"/>
          <w:highlight w:val="none"/>
          <w:lang w:val="en-US" w:eastAsia="zh-CN" w:bidi="ar"/>
        </w:rPr>
        <w:t>12</w:t>
      </w:r>
      <w:r>
        <w:rPr>
          <w:rFonts w:hint="eastAsia" w:ascii="宋体" w:hAnsi="宋体" w:eastAsia="宋体" w:cs="宋体"/>
          <w:bCs/>
          <w:color w:val="auto"/>
          <w:kern w:val="2"/>
          <w:sz w:val="24"/>
          <w:szCs w:val="24"/>
          <w:highlight w:val="none"/>
          <w:lang w:eastAsia="zh-CN" w:bidi="ar"/>
        </w:rPr>
        <w:t>月</w:t>
      </w:r>
      <w:r>
        <w:rPr>
          <w:rFonts w:hint="eastAsia" w:ascii="宋体" w:hAnsi="宋体" w:cs="宋体"/>
          <w:bCs/>
          <w:color w:val="auto"/>
          <w:kern w:val="2"/>
          <w:sz w:val="24"/>
          <w:szCs w:val="24"/>
          <w:highlight w:val="none"/>
          <w:lang w:val="en-US" w:eastAsia="zh-CN" w:bidi="ar"/>
        </w:rPr>
        <w:t>24</w:t>
      </w:r>
      <w:bookmarkStart w:id="476" w:name="_GoBack"/>
      <w:bookmarkEnd w:id="476"/>
      <w:r>
        <w:rPr>
          <w:rFonts w:hint="eastAsia" w:ascii="宋体" w:hAnsi="宋体" w:eastAsia="宋体" w:cs="宋体"/>
          <w:bCs/>
          <w:color w:val="auto"/>
          <w:kern w:val="2"/>
          <w:sz w:val="24"/>
          <w:szCs w:val="24"/>
          <w:highlight w:val="none"/>
          <w:lang w:eastAsia="zh-CN" w:bidi="ar"/>
        </w:rPr>
        <w:t>日</w:t>
      </w:r>
      <w:r>
        <w:rPr>
          <w:rFonts w:hint="eastAsia" w:ascii="宋体" w:hAnsi="宋体" w:cs="宋体"/>
          <w:bCs/>
          <w:color w:val="auto"/>
          <w:kern w:val="2"/>
          <w:sz w:val="24"/>
          <w:szCs w:val="24"/>
          <w:highlight w:val="none"/>
          <w:lang w:val="en-US" w:eastAsia="zh-CN" w:bidi="ar"/>
        </w:rPr>
        <w:t>15</w:t>
      </w:r>
      <w:r>
        <w:rPr>
          <w:rFonts w:hint="eastAsia" w:ascii="宋体" w:hAnsi="宋体" w:eastAsia="宋体" w:cs="宋体"/>
          <w:bCs/>
          <w:color w:val="auto"/>
          <w:kern w:val="2"/>
          <w:sz w:val="24"/>
          <w:szCs w:val="24"/>
          <w:highlight w:val="none"/>
          <w:lang w:val="en-US" w:eastAsia="zh-CN" w:bidi="ar"/>
        </w:rPr>
        <w:t>点</w:t>
      </w:r>
      <w:r>
        <w:rPr>
          <w:rFonts w:hint="eastAsia" w:ascii="宋体" w:hAnsi="宋体" w:cs="宋体"/>
          <w:bCs/>
          <w:color w:val="auto"/>
          <w:kern w:val="2"/>
          <w:sz w:val="24"/>
          <w:szCs w:val="24"/>
          <w:highlight w:val="none"/>
          <w:lang w:val="en-US" w:eastAsia="zh-CN" w:bidi="ar"/>
        </w:rPr>
        <w:t>00</w:t>
      </w:r>
      <w:r>
        <w:rPr>
          <w:rFonts w:hint="eastAsia" w:ascii="宋体" w:hAnsi="宋体" w:eastAsia="宋体" w:cs="宋体"/>
          <w:bCs/>
          <w:color w:val="auto"/>
          <w:kern w:val="2"/>
          <w:sz w:val="24"/>
          <w:szCs w:val="24"/>
          <w:highlight w:val="none"/>
          <w:lang w:val="en-US" w:eastAsia="zh-CN" w:bidi="ar"/>
        </w:rPr>
        <w:t>分</w:t>
      </w:r>
      <w:r>
        <w:rPr>
          <w:rFonts w:hint="eastAsia" w:ascii="宋体" w:hAnsi="宋体" w:eastAsia="宋体" w:cs="宋体"/>
          <w:bCs/>
          <w:color w:val="auto"/>
          <w:kern w:val="2"/>
          <w:sz w:val="24"/>
          <w:szCs w:val="24"/>
          <w:highlight w:val="none"/>
          <w:lang w:bidi="ar"/>
        </w:rPr>
        <w:t>（北京时间）。</w:t>
      </w:r>
    </w:p>
    <w:p w14:paraId="11AEB8E8">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jc w:val="both"/>
        <w:rPr>
          <w:rFonts w:hint="eastAsia" w:ascii="宋体" w:hAnsi="宋体" w:eastAsia="宋体" w:cs="宋体"/>
          <w:bCs/>
          <w:color w:val="auto"/>
          <w:sz w:val="24"/>
          <w:szCs w:val="24"/>
          <w:highlight w:val="none"/>
          <w:u w:val="single"/>
        </w:rPr>
      </w:pPr>
      <w:r>
        <w:rPr>
          <w:rFonts w:hint="eastAsia" w:ascii="宋体" w:hAnsi="宋体" w:eastAsia="宋体" w:cs="宋体"/>
          <w:color w:val="auto"/>
          <w:kern w:val="2"/>
          <w:sz w:val="24"/>
          <w:szCs w:val="24"/>
          <w:highlight w:val="none"/>
          <w:lang w:bidi="ar"/>
        </w:rPr>
        <w:t>2、地点：“政采云”平台开标大厅。</w:t>
      </w:r>
    </w:p>
    <w:p w14:paraId="2D066B57">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jc w:val="both"/>
        <w:rPr>
          <w:rFonts w:hint="eastAsia" w:ascii="宋体" w:hAnsi="宋体" w:eastAsia="宋体" w:cs="宋体"/>
          <w:b w:val="0"/>
          <w:bCs w:val="0"/>
          <w:color w:val="auto"/>
          <w:kern w:val="2"/>
          <w:sz w:val="24"/>
          <w:szCs w:val="24"/>
          <w:highlight w:val="none"/>
          <w:lang w:bidi="ar"/>
        </w:rPr>
      </w:pPr>
      <w:r>
        <w:rPr>
          <w:rFonts w:hint="eastAsia" w:ascii="宋体" w:hAnsi="宋体" w:eastAsia="宋体" w:cs="宋体"/>
          <w:b w:val="0"/>
          <w:bCs w:val="0"/>
          <w:color w:val="auto"/>
          <w:kern w:val="2"/>
          <w:sz w:val="24"/>
          <w:szCs w:val="24"/>
          <w:highlight w:val="none"/>
          <w:lang w:bidi="ar"/>
        </w:rPr>
        <w:t>注：供应商应按照本项目采购文件和“政采云”平台的要求编制、加密后在</w:t>
      </w:r>
      <w:r>
        <w:rPr>
          <w:rFonts w:hint="eastAsia" w:ascii="宋体" w:hAnsi="宋体" w:eastAsia="宋体" w:cs="宋体"/>
          <w:b w:val="0"/>
          <w:bCs w:val="0"/>
          <w:color w:val="auto"/>
          <w:kern w:val="2"/>
          <w:sz w:val="24"/>
          <w:szCs w:val="24"/>
          <w:highlight w:val="none"/>
          <w:lang w:val="en-US" w:eastAsia="zh-CN" w:bidi="ar"/>
        </w:rPr>
        <w:t>投标</w:t>
      </w:r>
      <w:r>
        <w:rPr>
          <w:rFonts w:hint="eastAsia" w:ascii="宋体" w:hAnsi="宋体" w:eastAsia="宋体" w:cs="宋体"/>
          <w:b w:val="0"/>
          <w:bCs w:val="0"/>
          <w:color w:val="auto"/>
          <w:kern w:val="2"/>
          <w:sz w:val="24"/>
          <w:szCs w:val="24"/>
          <w:highlight w:val="none"/>
          <w:lang w:bidi="ar"/>
        </w:rPr>
        <w:t>文件提交截止时间前上传至“政采云”平台，</w:t>
      </w:r>
      <w:r>
        <w:rPr>
          <w:rFonts w:hint="eastAsia" w:ascii="宋体" w:hAnsi="宋体" w:eastAsia="宋体" w:cs="宋体"/>
          <w:b w:val="0"/>
          <w:bCs w:val="0"/>
          <w:color w:val="auto"/>
          <w:kern w:val="2"/>
          <w:sz w:val="24"/>
          <w:szCs w:val="24"/>
          <w:highlight w:val="none"/>
          <w:lang w:val="en-US" w:eastAsia="zh-CN" w:bidi="ar"/>
        </w:rPr>
        <w:t>投标</w:t>
      </w:r>
      <w:r>
        <w:rPr>
          <w:rFonts w:hint="eastAsia" w:ascii="宋体" w:hAnsi="宋体" w:eastAsia="宋体" w:cs="宋体"/>
          <w:b w:val="0"/>
          <w:bCs w:val="0"/>
          <w:color w:val="auto"/>
          <w:kern w:val="2"/>
          <w:sz w:val="24"/>
          <w:szCs w:val="24"/>
          <w:highlight w:val="none"/>
          <w:lang w:bidi="ar"/>
        </w:rPr>
        <w:t>文件提交截止时间前未完成</w:t>
      </w:r>
      <w:r>
        <w:rPr>
          <w:rFonts w:hint="eastAsia" w:ascii="宋体" w:hAnsi="宋体" w:eastAsia="宋体" w:cs="宋体"/>
          <w:b w:val="0"/>
          <w:bCs w:val="0"/>
          <w:color w:val="auto"/>
          <w:kern w:val="2"/>
          <w:sz w:val="24"/>
          <w:szCs w:val="24"/>
          <w:highlight w:val="none"/>
          <w:lang w:val="en-US" w:eastAsia="zh-CN" w:bidi="ar"/>
        </w:rPr>
        <w:t>投标</w:t>
      </w:r>
      <w:r>
        <w:rPr>
          <w:rFonts w:hint="eastAsia" w:ascii="宋体" w:hAnsi="宋体" w:eastAsia="宋体" w:cs="宋体"/>
          <w:b w:val="0"/>
          <w:bCs w:val="0"/>
          <w:color w:val="auto"/>
          <w:kern w:val="2"/>
          <w:sz w:val="24"/>
          <w:szCs w:val="24"/>
          <w:highlight w:val="none"/>
          <w:lang w:bidi="ar"/>
        </w:rPr>
        <w:t>文件上传的，视为撤回</w:t>
      </w:r>
      <w:r>
        <w:rPr>
          <w:rFonts w:hint="eastAsia" w:ascii="宋体" w:hAnsi="宋体" w:eastAsia="宋体" w:cs="宋体"/>
          <w:b w:val="0"/>
          <w:bCs w:val="0"/>
          <w:color w:val="auto"/>
          <w:kern w:val="2"/>
          <w:sz w:val="24"/>
          <w:szCs w:val="24"/>
          <w:highlight w:val="none"/>
          <w:lang w:val="en-US" w:eastAsia="zh-CN" w:bidi="ar"/>
        </w:rPr>
        <w:t>投标</w:t>
      </w:r>
      <w:r>
        <w:rPr>
          <w:rFonts w:hint="eastAsia" w:ascii="宋体" w:hAnsi="宋体" w:eastAsia="宋体" w:cs="宋体"/>
          <w:b w:val="0"/>
          <w:bCs w:val="0"/>
          <w:color w:val="auto"/>
          <w:kern w:val="2"/>
          <w:sz w:val="24"/>
          <w:szCs w:val="24"/>
          <w:highlight w:val="none"/>
          <w:lang w:bidi="ar"/>
        </w:rPr>
        <w:t>文件。供应商在“政采云”平台提交电子版投标文件时，请填写参加远程采购活动经办人联系方式。</w:t>
      </w:r>
    </w:p>
    <w:p w14:paraId="0E35F4E5">
      <w:pPr>
        <w:pStyle w:val="3"/>
        <w:keepLines w:val="0"/>
        <w:pageBreakBefore w:val="0"/>
        <w:widowControl w:val="0"/>
        <w:kinsoku/>
        <w:wordWrap/>
        <w:overflowPunct/>
        <w:topLinePunct w:val="0"/>
        <w:autoSpaceDE/>
        <w:autoSpaceDN/>
        <w:bidi w:val="0"/>
        <w:spacing w:before="0" w:after="0" w:line="420" w:lineRule="exact"/>
        <w:ind w:left="0" w:leftChars="0" w:right="0" w:firstLine="0" w:firstLineChars="0"/>
        <w:jc w:val="left"/>
        <w:rPr>
          <w:rFonts w:hint="eastAsia" w:ascii="宋体" w:hAnsi="宋体" w:eastAsia="宋体" w:cs="宋体"/>
          <w:color w:val="auto"/>
          <w:sz w:val="24"/>
          <w:szCs w:val="24"/>
          <w:highlight w:val="none"/>
        </w:rPr>
      </w:pPr>
      <w:bookmarkStart w:id="49" w:name="_Toc54552204"/>
      <w:bookmarkStart w:id="50" w:name="_Toc9190"/>
      <w:bookmarkStart w:id="51" w:name="_Toc28359084"/>
      <w:bookmarkStart w:id="52" w:name="_Toc9038"/>
      <w:bookmarkStart w:id="53" w:name="_Toc35393794"/>
      <w:bookmarkStart w:id="54" w:name="_Toc35393625"/>
      <w:bookmarkStart w:id="55" w:name="_Toc18833"/>
      <w:bookmarkStart w:id="56" w:name="_Toc16410"/>
      <w:bookmarkStart w:id="57" w:name="_Toc28359007"/>
      <w:bookmarkStart w:id="58" w:name="_Toc2618"/>
      <w:r>
        <w:rPr>
          <w:rFonts w:hint="eastAsia" w:ascii="宋体" w:hAnsi="宋体" w:eastAsia="宋体" w:cs="宋体"/>
          <w:color w:val="auto"/>
          <w:sz w:val="24"/>
          <w:szCs w:val="24"/>
          <w:highlight w:val="none"/>
        </w:rPr>
        <w:t>五、公告期限</w:t>
      </w:r>
      <w:bookmarkEnd w:id="49"/>
      <w:bookmarkEnd w:id="50"/>
      <w:bookmarkEnd w:id="51"/>
      <w:bookmarkEnd w:id="52"/>
      <w:bookmarkEnd w:id="53"/>
      <w:bookmarkEnd w:id="54"/>
      <w:bookmarkEnd w:id="55"/>
      <w:bookmarkEnd w:id="56"/>
      <w:bookmarkEnd w:id="57"/>
      <w:bookmarkEnd w:id="58"/>
    </w:p>
    <w:p w14:paraId="2D07C2D1">
      <w:pPr>
        <w:keepLines w:val="0"/>
        <w:pageBreakBefore w:val="0"/>
        <w:widowControl w:val="0"/>
        <w:kinsoku/>
        <w:wordWrap/>
        <w:overflowPunct/>
        <w:topLinePunct w:val="0"/>
        <w:autoSpaceDE/>
        <w:autoSpaceDN/>
        <w:bidi w:val="0"/>
        <w:snapToGrid w:val="0"/>
        <w:spacing w:line="420" w:lineRule="exact"/>
        <w:ind w:right="0"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自本公告发布之日起5个工作日。</w:t>
      </w:r>
    </w:p>
    <w:p w14:paraId="3D907B78">
      <w:pPr>
        <w:pStyle w:val="3"/>
        <w:keepLines w:val="0"/>
        <w:pageBreakBefore w:val="0"/>
        <w:widowControl w:val="0"/>
        <w:kinsoku/>
        <w:wordWrap/>
        <w:overflowPunct/>
        <w:topLinePunct w:val="0"/>
        <w:autoSpaceDE/>
        <w:autoSpaceDN/>
        <w:bidi w:val="0"/>
        <w:spacing w:before="0" w:after="0" w:line="420" w:lineRule="exact"/>
        <w:ind w:left="0" w:leftChars="0" w:right="0" w:firstLine="0" w:firstLineChars="0"/>
        <w:jc w:val="left"/>
        <w:rPr>
          <w:rFonts w:hint="eastAsia" w:ascii="宋体" w:hAnsi="宋体" w:eastAsia="宋体" w:cs="宋体"/>
          <w:color w:val="auto"/>
          <w:sz w:val="24"/>
          <w:szCs w:val="24"/>
          <w:highlight w:val="none"/>
        </w:rPr>
      </w:pPr>
      <w:bookmarkStart w:id="59" w:name="_Toc32613"/>
      <w:bookmarkStart w:id="60" w:name="_Toc35393795"/>
      <w:bookmarkStart w:id="61" w:name="_Toc22743"/>
      <w:bookmarkStart w:id="62" w:name="_Toc16815"/>
      <w:bookmarkStart w:id="63" w:name="_Toc29517"/>
      <w:bookmarkStart w:id="64" w:name="_Toc5452"/>
      <w:bookmarkStart w:id="65" w:name="_Toc54552205"/>
      <w:bookmarkStart w:id="66" w:name="_Toc35393626"/>
      <w:r>
        <w:rPr>
          <w:rFonts w:hint="eastAsia" w:ascii="宋体" w:hAnsi="宋体" w:eastAsia="宋体" w:cs="宋体"/>
          <w:color w:val="auto"/>
          <w:sz w:val="24"/>
          <w:szCs w:val="24"/>
          <w:highlight w:val="none"/>
        </w:rPr>
        <w:t>六、其他补充事宜</w:t>
      </w:r>
      <w:bookmarkEnd w:id="59"/>
      <w:bookmarkEnd w:id="60"/>
      <w:bookmarkEnd w:id="61"/>
      <w:bookmarkEnd w:id="62"/>
      <w:bookmarkEnd w:id="63"/>
      <w:bookmarkEnd w:id="64"/>
      <w:bookmarkEnd w:id="65"/>
      <w:bookmarkEnd w:id="66"/>
    </w:p>
    <w:p w14:paraId="0A2098DE">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rPr>
          <w:rFonts w:hint="eastAsia" w:ascii="宋体" w:hAnsi="宋体" w:eastAsia="宋体" w:cs="宋体"/>
          <w:color w:val="auto"/>
          <w:sz w:val="24"/>
          <w:szCs w:val="24"/>
          <w:highlight w:val="none"/>
          <w:lang w:eastAsia="zh-CN"/>
        </w:rPr>
      </w:pPr>
      <w:bookmarkStart w:id="67" w:name="_Toc28359085"/>
      <w:bookmarkStart w:id="68" w:name="_Toc54552206"/>
      <w:bookmarkStart w:id="69" w:name="_Toc28359008"/>
      <w:bookmarkStart w:id="70" w:name="_Toc35393627"/>
      <w:bookmarkStart w:id="71" w:name="_Toc35393796"/>
      <w:bookmarkStart w:id="72" w:name="_Toc16321"/>
      <w:bookmarkStart w:id="73" w:name="_Toc24006"/>
      <w:bookmarkStart w:id="74" w:name="_Toc27467"/>
      <w:bookmarkStart w:id="75" w:name="_Toc20099"/>
      <w:r>
        <w:rPr>
          <w:rFonts w:hint="eastAsia" w:ascii="宋体" w:hAnsi="宋体" w:eastAsia="宋体" w:cs="宋体"/>
          <w:color w:val="auto"/>
          <w:sz w:val="24"/>
          <w:szCs w:val="24"/>
          <w:highlight w:val="none"/>
        </w:rPr>
        <w:t>1、开标方式：网上开启</w:t>
      </w:r>
      <w:r>
        <w:rPr>
          <w:rFonts w:hint="eastAsia" w:ascii="宋体" w:hAnsi="宋体" w:eastAsia="宋体" w:cs="宋体"/>
          <w:color w:val="auto"/>
          <w:sz w:val="24"/>
          <w:szCs w:val="24"/>
          <w:highlight w:val="none"/>
          <w:lang w:eastAsia="zh-CN"/>
        </w:rPr>
        <w:t>；</w:t>
      </w:r>
    </w:p>
    <w:p w14:paraId="534484F6">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2、是否需要缴纳投标保证金：</w:t>
      </w:r>
      <w:r>
        <w:rPr>
          <w:rFonts w:hint="eastAsia" w:ascii="宋体" w:hAnsi="宋体" w:eastAsia="宋体" w:cs="宋体"/>
          <w:color w:val="auto"/>
          <w:sz w:val="24"/>
          <w:szCs w:val="24"/>
          <w:highlight w:val="none"/>
          <w:lang w:val="en-US" w:eastAsia="zh-CN"/>
        </w:rPr>
        <w:t>否；</w:t>
      </w:r>
    </w:p>
    <w:p w14:paraId="3D1DF878">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、其他：</w:t>
      </w:r>
    </w:p>
    <w:p w14:paraId="7C85CB46">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.1本次招标公告在《云南省政府采购网》（http://www.yngp.com/）</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中国招标投标公共服务平台（http://www.cebpubservice.com/）</w:t>
      </w:r>
      <w:r>
        <w:rPr>
          <w:rFonts w:hint="eastAsia" w:ascii="宋体" w:hAnsi="宋体" w:eastAsia="宋体" w:cs="宋体"/>
          <w:color w:val="auto"/>
          <w:sz w:val="24"/>
          <w:szCs w:val="24"/>
          <w:highlight w:val="none"/>
        </w:rPr>
        <w:t>上</w:t>
      </w:r>
      <w:r>
        <w:rPr>
          <w:rFonts w:hint="eastAsia" w:ascii="宋体" w:hAnsi="宋体" w:eastAsia="宋体" w:cs="宋体"/>
          <w:color w:val="auto"/>
          <w:sz w:val="24"/>
          <w:szCs w:val="24"/>
          <w:highlight w:val="none"/>
          <w:lang w:val="en-US" w:eastAsia="zh-CN"/>
        </w:rPr>
        <w:t>同时</w:t>
      </w:r>
      <w:r>
        <w:rPr>
          <w:rFonts w:hint="eastAsia" w:ascii="宋体" w:hAnsi="宋体" w:eastAsia="宋体" w:cs="宋体"/>
          <w:color w:val="auto"/>
          <w:sz w:val="24"/>
          <w:szCs w:val="24"/>
          <w:highlight w:val="none"/>
        </w:rPr>
        <w:t>发布，公告内容和时间以云南省政府采购网发布的信息为准</w:t>
      </w:r>
      <w:r>
        <w:rPr>
          <w:rFonts w:hint="eastAsia" w:ascii="宋体" w:hAnsi="宋体" w:eastAsia="宋体" w:cs="宋体"/>
          <w:color w:val="auto"/>
          <w:sz w:val="24"/>
          <w:szCs w:val="24"/>
          <w:highlight w:val="none"/>
          <w:lang w:eastAsia="zh-CN"/>
        </w:rPr>
        <w:t>；</w:t>
      </w:r>
    </w:p>
    <w:p w14:paraId="7B3B86B5">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.2本项目执行政府采购促进中小企业发展、支持监狱企业、促进残疾人就业、强制采购和优先采购节能、环保产品等政府采购政策</w:t>
      </w:r>
      <w:r>
        <w:rPr>
          <w:rFonts w:hint="eastAsia" w:ascii="宋体" w:hAnsi="宋体" w:eastAsia="宋体" w:cs="宋体"/>
          <w:color w:val="auto"/>
          <w:sz w:val="24"/>
          <w:szCs w:val="24"/>
          <w:highlight w:val="none"/>
          <w:lang w:eastAsia="zh-CN"/>
        </w:rPr>
        <w:t>；</w:t>
      </w:r>
    </w:p>
    <w:p w14:paraId="27F3BAD9">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3.3方式：有意参加投标的供应商需要在政采云平台办理数字证书（CA）。完成数字证书（CA）办理后，供应商需要在政采云平台绑定数字证书(CA)，并在平台上获取采购文件和其他相关采购资料；</w:t>
      </w:r>
    </w:p>
    <w:p w14:paraId="1A7F5620">
      <w:pPr>
        <w:keepNext w:val="0"/>
        <w:keepLines w:val="0"/>
        <w:pageBreakBefore w:val="0"/>
        <w:widowControl w:val="0"/>
        <w:kinsoku/>
        <w:wordWrap w:val="0"/>
        <w:overflowPunct/>
        <w:topLinePunct w:val="0"/>
        <w:autoSpaceDE/>
        <w:autoSpaceDN/>
        <w:bidi w:val="0"/>
        <w:adjustRightInd/>
        <w:snapToGrid/>
        <w:spacing w:before="64" w:beforeLines="20" w:after="64" w:afterLines="20" w:line="420" w:lineRule="exact"/>
        <w:ind w:left="48" w:leftChars="20" w:right="48" w:rightChars="2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注：CA办理链接：http://yzt.ynsmartcert.cn/cms/yztmdkj.html或者https://middle.zcygov.cn/ca/apply/list?_app_=zcy.sys</w:t>
      </w:r>
    </w:p>
    <w:p w14:paraId="303E3152">
      <w:pPr>
        <w:keepLines w:val="0"/>
        <w:pageBreakBefore w:val="0"/>
        <w:widowControl w:val="0"/>
        <w:kinsoku/>
        <w:wordWrap/>
        <w:overflowPunct/>
        <w:topLinePunct w:val="0"/>
        <w:autoSpaceDE/>
        <w:autoSpaceDN/>
        <w:bidi w:val="0"/>
        <w:snapToGrid w:val="0"/>
        <w:spacing w:line="420" w:lineRule="exact"/>
        <w:ind w:right="0" w:firstLine="480" w:firstLineChars="200"/>
        <w:jc w:val="left"/>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需要注意的是，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数字证书问题可咨询云南壹证通CA：0871-67276028（紧急可拨19988166369）。</w:t>
      </w:r>
    </w:p>
    <w:p w14:paraId="65C5D461">
      <w:pPr>
        <w:pStyle w:val="3"/>
        <w:keepLines w:val="0"/>
        <w:pageBreakBefore w:val="0"/>
        <w:widowControl w:val="0"/>
        <w:kinsoku/>
        <w:wordWrap/>
        <w:overflowPunct/>
        <w:topLinePunct w:val="0"/>
        <w:autoSpaceDE/>
        <w:autoSpaceDN/>
        <w:bidi w:val="0"/>
        <w:spacing w:before="0" w:after="0" w:line="420" w:lineRule="exact"/>
        <w:ind w:left="0" w:leftChars="0" w:right="0" w:firstLine="0" w:firstLineChars="0"/>
        <w:jc w:val="left"/>
        <w:rPr>
          <w:rFonts w:hint="eastAsia" w:ascii="宋体" w:hAnsi="宋体" w:eastAsia="宋体" w:cs="宋体"/>
          <w:color w:val="auto"/>
          <w:sz w:val="24"/>
          <w:szCs w:val="24"/>
          <w:highlight w:val="none"/>
          <w:lang w:val="en-US" w:eastAsia="zh-CN"/>
        </w:rPr>
      </w:pPr>
      <w:bookmarkStart w:id="76" w:name="_Toc27103"/>
      <w:r>
        <w:rPr>
          <w:rFonts w:hint="eastAsia" w:ascii="宋体" w:hAnsi="宋体" w:eastAsia="宋体" w:cs="宋体"/>
          <w:color w:val="auto"/>
          <w:sz w:val="24"/>
          <w:szCs w:val="24"/>
          <w:highlight w:val="none"/>
          <w:lang w:val="en-US" w:eastAsia="zh-CN"/>
        </w:rPr>
        <w:t>七、联系</w:t>
      </w:r>
      <w:bookmarkEnd w:id="67"/>
      <w:bookmarkEnd w:id="68"/>
      <w:bookmarkEnd w:id="69"/>
      <w:bookmarkEnd w:id="70"/>
      <w:bookmarkEnd w:id="71"/>
      <w:bookmarkEnd w:id="72"/>
      <w:r>
        <w:rPr>
          <w:rFonts w:hint="eastAsia" w:ascii="宋体" w:hAnsi="宋体" w:eastAsia="宋体" w:cs="宋体"/>
          <w:color w:val="auto"/>
          <w:sz w:val="24"/>
          <w:szCs w:val="24"/>
          <w:highlight w:val="none"/>
          <w:lang w:val="en-US" w:eastAsia="zh-CN"/>
        </w:rPr>
        <w:t>方式</w:t>
      </w:r>
      <w:bookmarkEnd w:id="73"/>
      <w:bookmarkEnd w:id="74"/>
      <w:bookmarkEnd w:id="75"/>
      <w:bookmarkEnd w:id="76"/>
    </w:p>
    <w:bookmarkEnd w:id="4"/>
    <w:bookmarkEnd w:id="5"/>
    <w:bookmarkEnd w:id="6"/>
    <w:bookmarkEnd w:id="7"/>
    <w:bookmarkEnd w:id="8"/>
    <w:p w14:paraId="0519EACB">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bidi="ar"/>
        </w:rPr>
        <w:t>1、采购人信息</w:t>
      </w:r>
    </w:p>
    <w:p w14:paraId="4BF77FEC">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rPr>
          <w:rFonts w:hint="eastAsia" w:ascii="宋体" w:hAnsi="宋体" w:eastAsia="宋体" w:cs="宋体"/>
          <w:color w:val="auto"/>
          <w:kern w:val="2"/>
          <w:sz w:val="24"/>
          <w:szCs w:val="24"/>
          <w:highlight w:val="none"/>
          <w:lang w:eastAsia="zh-CN" w:bidi="ar"/>
        </w:rPr>
      </w:pPr>
      <w:r>
        <w:rPr>
          <w:rFonts w:hint="eastAsia" w:ascii="宋体" w:hAnsi="宋体" w:eastAsia="宋体" w:cs="宋体"/>
          <w:color w:val="auto"/>
          <w:kern w:val="2"/>
          <w:sz w:val="24"/>
          <w:szCs w:val="24"/>
          <w:highlight w:val="none"/>
          <w:lang w:bidi="ar"/>
        </w:rPr>
        <w:t>名称：</w:t>
      </w:r>
      <w:r>
        <w:rPr>
          <w:rFonts w:hint="eastAsia" w:ascii="宋体" w:hAnsi="宋体" w:cs="宋体"/>
          <w:color w:val="auto"/>
          <w:kern w:val="2"/>
          <w:sz w:val="24"/>
          <w:szCs w:val="24"/>
          <w:highlight w:val="none"/>
          <w:lang w:eastAsia="zh-CN" w:bidi="ar"/>
        </w:rPr>
        <w:t>云南能源职业技术学院</w:t>
      </w:r>
    </w:p>
    <w:p w14:paraId="69FAD1B8">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地址：</w:t>
      </w:r>
      <w:r>
        <w:rPr>
          <w:rFonts w:hint="eastAsia" w:ascii="宋体" w:hAnsi="宋体" w:cs="宋体"/>
          <w:color w:val="auto"/>
          <w:szCs w:val="21"/>
          <w:highlight w:val="none"/>
          <w:lang w:eastAsia="zh-CN"/>
        </w:rPr>
        <w:t>云南省曲靖市职教中心文苑北路8号</w:t>
      </w:r>
    </w:p>
    <w:p w14:paraId="28419B0F">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rPr>
          <w:rFonts w:hint="eastAsia" w:ascii="宋体" w:hAnsi="宋体" w:eastAsia="宋体" w:cs="宋体"/>
          <w:color w:val="auto"/>
          <w:kern w:val="2"/>
          <w:sz w:val="24"/>
          <w:szCs w:val="24"/>
          <w:highlight w:val="none"/>
          <w:lang w:val="en-US" w:bidi="ar"/>
        </w:rPr>
      </w:pPr>
      <w:r>
        <w:rPr>
          <w:rFonts w:hint="eastAsia" w:ascii="宋体" w:hAnsi="宋体" w:eastAsia="宋体" w:cs="宋体"/>
          <w:color w:val="auto"/>
          <w:kern w:val="2"/>
          <w:sz w:val="24"/>
          <w:szCs w:val="24"/>
          <w:highlight w:val="none"/>
          <w:lang w:bidi="ar"/>
        </w:rPr>
        <w:t>联系方式：</w:t>
      </w:r>
      <w:bookmarkStart w:id="77" w:name="_Toc28359086"/>
      <w:bookmarkStart w:id="78" w:name="_Toc28359009"/>
      <w:r>
        <w:rPr>
          <w:rFonts w:hint="eastAsia" w:ascii="宋体" w:hAnsi="宋体" w:cs="宋体"/>
          <w:color w:val="auto"/>
          <w:kern w:val="2"/>
          <w:sz w:val="24"/>
          <w:szCs w:val="24"/>
          <w:highlight w:val="none"/>
          <w:lang w:eastAsia="zh-CN" w:bidi="ar"/>
        </w:rPr>
        <w:t>0874-3181833</w:t>
      </w:r>
    </w:p>
    <w:p w14:paraId="4875E6D8">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bidi="ar"/>
        </w:rPr>
        <w:t>2、采购代理机构信息</w:t>
      </w:r>
      <w:bookmarkEnd w:id="77"/>
      <w:bookmarkEnd w:id="78"/>
    </w:p>
    <w:p w14:paraId="7469BE4E">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lang w:bidi="ar"/>
        </w:rPr>
        <w:t>名称：</w:t>
      </w:r>
      <w:r>
        <w:rPr>
          <w:rFonts w:hint="eastAsia" w:ascii="宋体" w:hAnsi="宋体" w:cs="宋体"/>
          <w:color w:val="auto"/>
          <w:kern w:val="2"/>
          <w:sz w:val="24"/>
          <w:szCs w:val="24"/>
          <w:highlight w:val="none"/>
          <w:lang w:eastAsia="zh-CN" w:bidi="ar"/>
        </w:rPr>
        <w:t>云南康成工程咨询有限公司</w:t>
      </w:r>
    </w:p>
    <w:p w14:paraId="0418F89B">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lang w:bidi="ar"/>
        </w:rPr>
        <w:t>地址：</w:t>
      </w:r>
      <w:r>
        <w:rPr>
          <w:rFonts w:hint="eastAsia" w:ascii="宋体" w:hAnsi="宋体" w:cs="宋体"/>
          <w:color w:val="auto"/>
          <w:kern w:val="2"/>
          <w:sz w:val="24"/>
          <w:szCs w:val="24"/>
          <w:highlight w:val="none"/>
          <w:lang w:eastAsia="zh-CN" w:bidi="ar"/>
        </w:rPr>
        <w:t>曲靖市麒麟区盛世锦华东江花园一期110-48商铺</w:t>
      </w:r>
    </w:p>
    <w:p w14:paraId="0B5178E8">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lang w:bidi="ar"/>
        </w:rPr>
        <w:t>联系方式：</w:t>
      </w:r>
      <w:bookmarkStart w:id="79" w:name="_Toc28359087"/>
      <w:bookmarkStart w:id="80" w:name="_Toc28359010"/>
      <w:r>
        <w:rPr>
          <w:rFonts w:hint="eastAsia" w:ascii="宋体" w:hAnsi="宋体" w:cs="宋体"/>
          <w:color w:val="auto"/>
          <w:kern w:val="2"/>
          <w:sz w:val="24"/>
          <w:szCs w:val="24"/>
          <w:highlight w:val="none"/>
          <w:lang w:eastAsia="zh-CN" w:bidi="ar"/>
        </w:rPr>
        <w:t>0874-8999188</w:t>
      </w:r>
    </w:p>
    <w:p w14:paraId="2464335E">
      <w:pPr>
        <w:keepLines w:val="0"/>
        <w:pageBreakBefore w:val="0"/>
        <w:widowControl w:val="0"/>
        <w:kinsoku/>
        <w:overflowPunct/>
        <w:topLinePunct w:val="0"/>
        <w:autoSpaceDE/>
        <w:autoSpaceDN/>
        <w:bidi w:val="0"/>
        <w:spacing w:before="64" w:beforeLines="20" w:after="64" w:afterLines="20" w:line="420" w:lineRule="exact"/>
        <w:ind w:left="48" w:leftChars="20" w:right="48" w:rightChars="20" w:firstLine="480" w:firstLineChars="200"/>
        <w:jc w:val="both"/>
        <w:rPr>
          <w:rFonts w:hint="eastAsia" w:ascii="宋体" w:hAnsi="宋体" w:eastAsia="宋体" w:cs="宋体"/>
          <w:color w:val="auto"/>
          <w:sz w:val="24"/>
          <w:szCs w:val="24"/>
          <w:highlight w:val="none"/>
          <w:u w:val="single"/>
        </w:rPr>
      </w:pPr>
      <w:r>
        <w:rPr>
          <w:rFonts w:hint="eastAsia" w:ascii="宋体" w:hAnsi="宋体" w:eastAsia="宋体" w:cs="宋体"/>
          <w:color w:val="auto"/>
          <w:kern w:val="2"/>
          <w:sz w:val="24"/>
          <w:szCs w:val="24"/>
          <w:highlight w:val="none"/>
          <w:lang w:bidi="ar"/>
        </w:rPr>
        <w:t>3、项目联系方式</w:t>
      </w:r>
      <w:bookmarkEnd w:id="79"/>
      <w:bookmarkEnd w:id="80"/>
    </w:p>
    <w:p w14:paraId="1A6613F9">
      <w:pPr>
        <w:pStyle w:val="21"/>
        <w:keepNext w:val="0"/>
        <w:keepLines w:val="0"/>
        <w:pageBreakBefore w:val="0"/>
        <w:widowControl w:val="0"/>
        <w:suppressLineNumbers w:val="0"/>
        <w:kinsoku/>
        <w:wordWrap/>
        <w:overflowPunct/>
        <w:topLinePunct w:val="0"/>
        <w:autoSpaceDE/>
        <w:autoSpaceDN/>
        <w:bidi w:val="0"/>
        <w:adjustRightInd/>
        <w:snapToGrid/>
        <w:spacing w:before="64" w:beforeLines="20" w:beforeAutospacing="0" w:after="64" w:afterLines="20" w:afterAutospacing="0" w:line="420" w:lineRule="exact"/>
        <w:ind w:left="48" w:leftChars="20" w:right="48" w:rightChars="20" w:firstLine="480" w:firstLineChars="200"/>
        <w:jc w:val="both"/>
        <w:textAlignment w:val="auto"/>
        <w:rPr>
          <w:rFonts w:hint="eastAsia" w:ascii="宋体" w:hAnsi="宋体" w:eastAsia="宋体" w:cs="宋体"/>
          <w:i w:val="0"/>
          <w:iCs w:val="0"/>
          <w:color w:val="auto"/>
          <w:kern w:val="2"/>
          <w:sz w:val="24"/>
          <w:szCs w:val="24"/>
          <w:highlight w:val="none"/>
          <w:u w:val="none"/>
          <w:lang w:val="en-US" w:eastAsia="zh-CN" w:bidi="ar"/>
        </w:rPr>
      </w:pPr>
      <w:r>
        <w:rPr>
          <w:rFonts w:hint="eastAsia" w:ascii="宋体" w:hAnsi="宋体" w:eastAsia="宋体" w:cs="宋体"/>
          <w:i w:val="0"/>
          <w:iCs w:val="0"/>
          <w:color w:val="auto"/>
          <w:kern w:val="2"/>
          <w:sz w:val="24"/>
          <w:szCs w:val="24"/>
          <w:highlight w:val="none"/>
          <w:u w:val="none"/>
          <w:lang w:val="en-US" w:eastAsia="zh-CN" w:bidi="ar"/>
        </w:rPr>
        <w:t>项目联系人：</w:t>
      </w:r>
      <w:r>
        <w:rPr>
          <w:rFonts w:hint="eastAsia" w:cs="宋体"/>
          <w:i w:val="0"/>
          <w:iCs w:val="0"/>
          <w:color w:val="auto"/>
          <w:kern w:val="2"/>
          <w:sz w:val="24"/>
          <w:szCs w:val="24"/>
          <w:highlight w:val="none"/>
          <w:u w:val="none"/>
          <w:lang w:val="en-US" w:eastAsia="zh-CN" w:bidi="ar"/>
        </w:rPr>
        <w:t>杨</w:t>
      </w:r>
      <w:r>
        <w:rPr>
          <w:rFonts w:hint="eastAsia" w:ascii="宋体" w:hAnsi="宋体" w:eastAsia="宋体" w:cs="宋体"/>
          <w:i w:val="0"/>
          <w:iCs w:val="0"/>
          <w:color w:val="auto"/>
          <w:kern w:val="2"/>
          <w:sz w:val="24"/>
          <w:szCs w:val="24"/>
          <w:highlight w:val="none"/>
          <w:u w:val="none"/>
          <w:lang w:val="en-US" w:eastAsia="zh-CN" w:bidi="ar"/>
        </w:rPr>
        <w:t>工</w:t>
      </w:r>
    </w:p>
    <w:p w14:paraId="31419C35">
      <w:pPr>
        <w:pStyle w:val="21"/>
        <w:keepNext w:val="0"/>
        <w:keepLines w:val="0"/>
        <w:pageBreakBefore w:val="0"/>
        <w:widowControl w:val="0"/>
        <w:suppressLineNumbers w:val="0"/>
        <w:kinsoku/>
        <w:wordWrap/>
        <w:overflowPunct/>
        <w:topLinePunct w:val="0"/>
        <w:autoSpaceDE/>
        <w:autoSpaceDN/>
        <w:bidi w:val="0"/>
        <w:adjustRightInd/>
        <w:snapToGrid/>
        <w:spacing w:before="64" w:beforeLines="20" w:beforeAutospacing="0" w:after="64" w:afterLines="20" w:afterAutospacing="0" w:line="420" w:lineRule="exact"/>
        <w:ind w:left="48" w:leftChars="20" w:right="48" w:rightChars="2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i w:val="0"/>
          <w:iCs w:val="0"/>
          <w:color w:val="auto"/>
          <w:kern w:val="2"/>
          <w:sz w:val="24"/>
          <w:szCs w:val="24"/>
          <w:highlight w:val="none"/>
          <w:u w:val="none"/>
          <w:lang w:val="en-US" w:eastAsia="zh-CN" w:bidi="ar"/>
        </w:rPr>
        <w:t>电      话：</w:t>
      </w:r>
      <w:bookmarkStart w:id="81" w:name="_Toc16794"/>
      <w:bookmarkEnd w:id="81"/>
      <w:bookmarkStart w:id="82" w:name="_Toc5498"/>
      <w:bookmarkEnd w:id="82"/>
      <w:bookmarkStart w:id="83" w:name="_Toc13994"/>
      <w:bookmarkEnd w:id="83"/>
      <w:bookmarkStart w:id="84" w:name="_Toc23419"/>
      <w:bookmarkEnd w:id="84"/>
      <w:bookmarkStart w:id="85" w:name="_Toc8120"/>
      <w:bookmarkEnd w:id="85"/>
      <w:r>
        <w:rPr>
          <w:rFonts w:hint="eastAsia" w:cs="宋体"/>
          <w:color w:val="auto"/>
          <w:kern w:val="2"/>
          <w:sz w:val="24"/>
          <w:szCs w:val="24"/>
          <w:highlight w:val="none"/>
          <w:lang w:eastAsia="zh-CN" w:bidi="ar"/>
        </w:rPr>
        <w:t>0874-8999188，</w:t>
      </w:r>
      <w:r>
        <w:rPr>
          <w:rFonts w:hint="eastAsia" w:cs="宋体"/>
          <w:color w:val="auto"/>
          <w:kern w:val="2"/>
          <w:sz w:val="24"/>
          <w:szCs w:val="24"/>
          <w:highlight w:val="none"/>
          <w:lang w:val="en-US" w:eastAsia="zh-CN" w:bidi="ar"/>
        </w:rPr>
        <w:t>15559999004</w:t>
      </w:r>
      <w:r>
        <w:rPr>
          <w:rFonts w:hint="eastAsia" w:ascii="宋体" w:hAnsi="宋体" w:eastAsia="宋体" w:cs="宋体"/>
          <w:color w:val="auto"/>
          <w:kern w:val="2"/>
          <w:sz w:val="24"/>
          <w:szCs w:val="24"/>
          <w:highlight w:val="none"/>
          <w:lang w:eastAsia="zh-CN" w:bidi="ar"/>
        </w:rPr>
        <w:t>；</w:t>
      </w:r>
    </w:p>
    <w:p w14:paraId="7653039F">
      <w:pPr>
        <w:keepLines w:val="0"/>
        <w:pageBreakBefore w:val="0"/>
        <w:widowControl/>
        <w:kinsoku/>
        <w:wordWrap/>
        <w:overflowPunct/>
        <w:topLinePunct w:val="0"/>
        <w:autoSpaceDE/>
        <w:autoSpaceDN/>
        <w:bidi w:val="0"/>
        <w:snapToGrid w:val="0"/>
        <w:spacing w:line="360" w:lineRule="auto"/>
        <w:ind w:right="0" w:firstLine="480" w:firstLineChars="200"/>
        <w:jc w:val="left"/>
        <w:rPr>
          <w:rFonts w:hint="eastAsia" w:ascii="宋体" w:hAnsi="宋体" w:eastAsia="宋体" w:cs="宋体"/>
          <w:color w:val="auto"/>
          <w:highlight w:val="none"/>
        </w:rPr>
      </w:pPr>
    </w:p>
    <w:p w14:paraId="30002F53">
      <w:pPr>
        <w:pStyle w:val="9"/>
        <w:jc w:val="center"/>
        <w:outlineLvl w:val="0"/>
        <w:rPr>
          <w:rFonts w:hint="eastAsia" w:ascii="宋体" w:hAnsi="宋体" w:eastAsia="宋体" w:cs="宋体"/>
          <w:color w:val="auto"/>
          <w:highlight w:val="none"/>
        </w:rPr>
      </w:pPr>
      <w:r>
        <w:rPr>
          <w:rFonts w:hint="eastAsia" w:ascii="宋体" w:hAnsi="宋体" w:eastAsia="宋体" w:cs="宋体"/>
          <w:color w:val="auto"/>
          <w:highlight w:val="none"/>
        </w:rPr>
        <w:br w:type="page"/>
      </w:r>
      <w:bookmarkStart w:id="86" w:name="_Toc6255"/>
      <w:bookmarkStart w:id="87" w:name="_Toc27180"/>
      <w:bookmarkStart w:id="88" w:name="_Toc13970"/>
      <w:bookmarkStart w:id="89" w:name="_Toc3035"/>
      <w:bookmarkStart w:id="90" w:name="_Toc12349"/>
      <w:r>
        <w:rPr>
          <w:rFonts w:hint="eastAsia" w:ascii="宋体" w:hAnsi="宋体" w:eastAsia="宋体" w:cs="宋体"/>
          <w:b/>
          <w:color w:val="auto"/>
          <w:kern w:val="2"/>
          <w:sz w:val="32"/>
          <w:szCs w:val="24"/>
          <w:highlight w:val="none"/>
          <w:lang w:val="en-US" w:eastAsia="zh-CN" w:bidi="ar-SA"/>
        </w:rPr>
        <w:t>第二章 供应商须知</w:t>
      </w:r>
      <w:bookmarkEnd w:id="86"/>
      <w:bookmarkEnd w:id="87"/>
      <w:bookmarkEnd w:id="88"/>
      <w:bookmarkEnd w:id="89"/>
      <w:bookmarkEnd w:id="90"/>
    </w:p>
    <w:p w14:paraId="6A77E7F3">
      <w:pPr>
        <w:pStyle w:val="3"/>
        <w:ind w:left="836" w:right="240"/>
        <w:rPr>
          <w:rFonts w:hint="eastAsia" w:ascii="宋体" w:hAnsi="宋体" w:eastAsia="宋体" w:cs="宋体"/>
          <w:color w:val="auto"/>
          <w:highlight w:val="none"/>
        </w:rPr>
      </w:pPr>
      <w:bookmarkStart w:id="91" w:name="_Toc373252445"/>
      <w:bookmarkStart w:id="92" w:name="_Toc6506"/>
      <w:bookmarkStart w:id="93" w:name="_Toc24725"/>
      <w:bookmarkStart w:id="94" w:name="_Toc14992"/>
      <w:bookmarkStart w:id="95" w:name="_Toc5420"/>
      <w:bookmarkStart w:id="96" w:name="_Toc21022"/>
      <w:bookmarkStart w:id="97" w:name="_Toc392492440"/>
      <w:r>
        <w:rPr>
          <w:rFonts w:hint="eastAsia" w:ascii="宋体" w:hAnsi="宋体" w:eastAsia="宋体" w:cs="宋体"/>
          <w:color w:val="auto"/>
          <w:highlight w:val="none"/>
        </w:rPr>
        <w:t>供应商须知前附表</w:t>
      </w:r>
      <w:bookmarkEnd w:id="91"/>
      <w:bookmarkEnd w:id="92"/>
      <w:bookmarkEnd w:id="93"/>
      <w:bookmarkEnd w:id="94"/>
      <w:bookmarkEnd w:id="95"/>
      <w:bookmarkEnd w:id="96"/>
      <w:bookmarkEnd w:id="97"/>
    </w:p>
    <w:tbl>
      <w:tblPr>
        <w:tblStyle w:val="26"/>
        <w:tblW w:w="10035" w:type="dxa"/>
        <w:jc w:val="center"/>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2250"/>
        <w:gridCol w:w="6952"/>
      </w:tblGrid>
      <w:tr w14:paraId="6E4FA88B">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833" w:type="dxa"/>
            <w:tcBorders>
              <w:tl2br w:val="nil"/>
              <w:tr2bl w:val="nil"/>
            </w:tcBorders>
            <w:vAlign w:val="center"/>
          </w:tcPr>
          <w:p w14:paraId="4FCD8F98">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val="en-US" w:eastAsia="zh-CN"/>
              </w:rPr>
              <w:t>序号</w:t>
            </w:r>
          </w:p>
        </w:tc>
        <w:tc>
          <w:tcPr>
            <w:tcW w:w="2250" w:type="dxa"/>
            <w:tcBorders>
              <w:tl2br w:val="nil"/>
              <w:tr2bl w:val="nil"/>
            </w:tcBorders>
            <w:vAlign w:val="center"/>
          </w:tcPr>
          <w:p w14:paraId="203BDF6F">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条 款 名 称</w:t>
            </w:r>
          </w:p>
        </w:tc>
        <w:tc>
          <w:tcPr>
            <w:tcW w:w="6952" w:type="dxa"/>
            <w:tcBorders>
              <w:tl2br w:val="nil"/>
              <w:tr2bl w:val="nil"/>
            </w:tcBorders>
            <w:vAlign w:val="center"/>
          </w:tcPr>
          <w:p w14:paraId="098B416B">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编 列 内 容</w:t>
            </w:r>
          </w:p>
        </w:tc>
      </w:tr>
      <w:tr w14:paraId="24BF673D">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cantSplit/>
          <w:trHeight w:val="322" w:hRule="atLeast"/>
          <w:jc w:val="center"/>
        </w:trPr>
        <w:tc>
          <w:tcPr>
            <w:tcW w:w="833" w:type="dxa"/>
            <w:tcBorders>
              <w:tl2br w:val="nil"/>
              <w:tr2bl w:val="nil"/>
            </w:tcBorders>
            <w:vAlign w:val="center"/>
          </w:tcPr>
          <w:p w14:paraId="2AFD8F1B">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1</w:t>
            </w:r>
          </w:p>
        </w:tc>
        <w:tc>
          <w:tcPr>
            <w:tcW w:w="2250" w:type="dxa"/>
            <w:tcBorders>
              <w:tl2br w:val="nil"/>
              <w:tr2bl w:val="nil"/>
            </w:tcBorders>
            <w:vAlign w:val="center"/>
          </w:tcPr>
          <w:p w14:paraId="38FCFEB5">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u w:val="single"/>
              </w:rPr>
            </w:pPr>
            <w:r>
              <w:rPr>
                <w:rFonts w:hint="eastAsia" w:ascii="宋体" w:hAnsi="宋体" w:eastAsia="宋体" w:cs="宋体"/>
                <w:bCs/>
                <w:color w:val="auto"/>
                <w:szCs w:val="24"/>
                <w:highlight w:val="none"/>
              </w:rPr>
              <w:t>采购人</w:t>
            </w:r>
          </w:p>
        </w:tc>
        <w:tc>
          <w:tcPr>
            <w:tcW w:w="6952" w:type="dxa"/>
            <w:tcBorders>
              <w:tl2br w:val="nil"/>
              <w:tr2bl w:val="nil"/>
            </w:tcBorders>
            <w:vAlign w:val="center"/>
          </w:tcPr>
          <w:p w14:paraId="6D9FA9D3">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bCs/>
                <w:color w:val="auto"/>
                <w:szCs w:val="24"/>
                <w:highlight w:val="none"/>
                <w:lang w:eastAsia="zh-CN"/>
              </w:rPr>
            </w:pPr>
            <w:r>
              <w:rPr>
                <w:rFonts w:hint="eastAsia" w:hAnsi="宋体" w:cs="宋体"/>
                <w:bCs/>
                <w:color w:val="auto"/>
                <w:szCs w:val="24"/>
                <w:highlight w:val="none"/>
                <w:lang w:eastAsia="zh-CN"/>
              </w:rPr>
              <w:t>云南能源职业技术学院</w:t>
            </w:r>
          </w:p>
        </w:tc>
      </w:tr>
      <w:tr w14:paraId="45E6EEC8">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cantSplit/>
          <w:trHeight w:val="71" w:hRule="atLeast"/>
          <w:jc w:val="center"/>
        </w:trPr>
        <w:tc>
          <w:tcPr>
            <w:tcW w:w="833" w:type="dxa"/>
            <w:tcBorders>
              <w:tl2br w:val="nil"/>
              <w:tr2bl w:val="nil"/>
            </w:tcBorders>
            <w:vAlign w:val="center"/>
          </w:tcPr>
          <w:p w14:paraId="73E39750">
            <w:pPr>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2</w:t>
            </w:r>
          </w:p>
        </w:tc>
        <w:tc>
          <w:tcPr>
            <w:tcW w:w="2250" w:type="dxa"/>
            <w:tcBorders>
              <w:tl2br w:val="nil"/>
              <w:tr2bl w:val="nil"/>
            </w:tcBorders>
            <w:vAlign w:val="center"/>
          </w:tcPr>
          <w:p w14:paraId="40CBBAC0">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采购代理机构</w:t>
            </w:r>
          </w:p>
        </w:tc>
        <w:tc>
          <w:tcPr>
            <w:tcW w:w="6952" w:type="dxa"/>
            <w:tcBorders>
              <w:tl2br w:val="nil"/>
              <w:tr2bl w:val="nil"/>
            </w:tcBorders>
            <w:vAlign w:val="center"/>
          </w:tcPr>
          <w:p w14:paraId="2C223974">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color w:val="auto"/>
                <w:szCs w:val="24"/>
                <w:highlight w:val="none"/>
                <w:lang w:eastAsia="zh-CN"/>
              </w:rPr>
            </w:pPr>
            <w:r>
              <w:rPr>
                <w:rFonts w:hint="eastAsia" w:hAnsi="宋体" w:cs="宋体"/>
                <w:color w:val="auto"/>
                <w:szCs w:val="24"/>
                <w:highlight w:val="none"/>
                <w:lang w:eastAsia="zh-CN"/>
              </w:rPr>
              <w:t>云南康成工程咨询有限公司</w:t>
            </w:r>
          </w:p>
        </w:tc>
      </w:tr>
      <w:tr w14:paraId="77D64F1D">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cantSplit/>
          <w:trHeight w:val="214" w:hRule="atLeast"/>
          <w:jc w:val="center"/>
        </w:trPr>
        <w:tc>
          <w:tcPr>
            <w:tcW w:w="833" w:type="dxa"/>
            <w:tcBorders>
              <w:tl2br w:val="nil"/>
              <w:tr2bl w:val="nil"/>
            </w:tcBorders>
            <w:vAlign w:val="center"/>
          </w:tcPr>
          <w:p w14:paraId="61B2EC3F">
            <w:pPr>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250" w:type="dxa"/>
            <w:tcBorders>
              <w:tl2br w:val="nil"/>
              <w:tr2bl w:val="nil"/>
            </w:tcBorders>
            <w:vAlign w:val="center"/>
          </w:tcPr>
          <w:p w14:paraId="7767C858">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项目名称及招标编号</w:t>
            </w:r>
          </w:p>
        </w:tc>
        <w:tc>
          <w:tcPr>
            <w:tcW w:w="6952" w:type="dxa"/>
            <w:tcBorders>
              <w:tl2br w:val="nil"/>
              <w:tr2bl w:val="nil"/>
            </w:tcBorders>
            <w:vAlign w:val="center"/>
          </w:tcPr>
          <w:p w14:paraId="7CDA79F2">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b/>
                <w:color w:val="auto"/>
                <w:szCs w:val="24"/>
                <w:highlight w:val="none"/>
                <w:lang w:eastAsia="zh-CN"/>
              </w:rPr>
            </w:pPr>
            <w:r>
              <w:rPr>
                <w:rFonts w:hint="eastAsia" w:ascii="宋体" w:hAnsi="宋体" w:eastAsia="宋体" w:cs="宋体"/>
                <w:color w:val="auto"/>
                <w:szCs w:val="24"/>
                <w:highlight w:val="none"/>
              </w:rPr>
              <w:t>项目名称：</w:t>
            </w:r>
            <w:r>
              <w:rPr>
                <w:rFonts w:hint="eastAsia" w:hAnsi="宋体" w:cs="宋体"/>
                <w:color w:val="auto"/>
                <w:szCs w:val="24"/>
                <w:highlight w:val="none"/>
                <w:u w:val="none"/>
                <w:lang w:eastAsia="zh-CN"/>
              </w:rPr>
              <w:t>云南能源职业技术学院综合分析检测平台项目</w:t>
            </w:r>
          </w:p>
          <w:p w14:paraId="0C32F803">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bCs/>
                <w:color w:val="auto"/>
                <w:szCs w:val="24"/>
                <w:highlight w:val="none"/>
                <w:u w:val="single"/>
                <w:lang w:eastAsia="zh-CN"/>
              </w:rPr>
            </w:pPr>
            <w:r>
              <w:rPr>
                <w:rFonts w:hint="eastAsia" w:ascii="宋体" w:hAnsi="宋体" w:eastAsia="宋体" w:cs="宋体"/>
                <w:color w:val="auto"/>
                <w:szCs w:val="24"/>
                <w:highlight w:val="none"/>
              </w:rPr>
              <w:t>招标编号：</w:t>
            </w:r>
            <w:r>
              <w:rPr>
                <w:rFonts w:hint="eastAsia" w:hAnsi="宋体" w:cs="宋体"/>
                <w:color w:val="auto"/>
                <w:szCs w:val="24"/>
                <w:highlight w:val="none"/>
                <w:lang w:eastAsia="zh-CN"/>
              </w:rPr>
              <w:t>康成:2025-QJ-046号</w:t>
            </w:r>
          </w:p>
        </w:tc>
      </w:tr>
      <w:tr w14:paraId="7DFCE6A1">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cantSplit/>
          <w:trHeight w:val="214" w:hRule="atLeast"/>
          <w:jc w:val="center"/>
        </w:trPr>
        <w:tc>
          <w:tcPr>
            <w:tcW w:w="833" w:type="dxa"/>
            <w:tcBorders>
              <w:tl2br w:val="nil"/>
              <w:tr2bl w:val="nil"/>
            </w:tcBorders>
            <w:vAlign w:val="center"/>
          </w:tcPr>
          <w:p w14:paraId="1761D456">
            <w:pPr>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4</w:t>
            </w:r>
          </w:p>
        </w:tc>
        <w:tc>
          <w:tcPr>
            <w:tcW w:w="2250" w:type="dxa"/>
            <w:tcBorders>
              <w:tl2br w:val="nil"/>
              <w:tr2bl w:val="nil"/>
            </w:tcBorders>
            <w:vAlign w:val="center"/>
          </w:tcPr>
          <w:p w14:paraId="70F67F99">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采购预算</w:t>
            </w:r>
          </w:p>
        </w:tc>
        <w:tc>
          <w:tcPr>
            <w:tcW w:w="6952" w:type="dxa"/>
            <w:tcBorders>
              <w:tl2br w:val="nil"/>
              <w:tr2bl w:val="nil"/>
            </w:tcBorders>
            <w:vAlign w:val="center"/>
          </w:tcPr>
          <w:p w14:paraId="6AC4801C">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color w:val="auto"/>
                <w:szCs w:val="24"/>
                <w:highlight w:val="none"/>
              </w:rPr>
            </w:pPr>
            <w:r>
              <w:rPr>
                <w:rFonts w:hint="eastAsia" w:hAnsi="宋体" w:cs="宋体"/>
                <w:color w:val="auto"/>
                <w:szCs w:val="24"/>
                <w:highlight w:val="none"/>
                <w:lang w:val="en-US" w:eastAsia="zh-CN"/>
              </w:rPr>
              <w:t>2030000</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r>
      <w:tr w14:paraId="6A4D437C">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833" w:type="dxa"/>
            <w:tcBorders>
              <w:tl2br w:val="nil"/>
              <w:tr2bl w:val="nil"/>
            </w:tcBorders>
            <w:vAlign w:val="center"/>
          </w:tcPr>
          <w:p w14:paraId="3DDC1412">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5</w:t>
            </w:r>
          </w:p>
        </w:tc>
        <w:tc>
          <w:tcPr>
            <w:tcW w:w="2250" w:type="dxa"/>
            <w:tcBorders>
              <w:tl2br w:val="nil"/>
              <w:tr2bl w:val="nil"/>
            </w:tcBorders>
            <w:vAlign w:val="center"/>
          </w:tcPr>
          <w:p w14:paraId="62F2CE46">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采购需求</w:t>
            </w:r>
          </w:p>
        </w:tc>
        <w:tc>
          <w:tcPr>
            <w:tcW w:w="6952" w:type="dxa"/>
            <w:tcBorders>
              <w:tl2br w:val="nil"/>
              <w:tr2bl w:val="nil"/>
            </w:tcBorders>
            <w:vAlign w:val="center"/>
          </w:tcPr>
          <w:p w14:paraId="48785686">
            <w:pPr>
              <w:keepNext w:val="0"/>
              <w:keepLines w:val="0"/>
              <w:pageBreakBefore w:val="0"/>
              <w:kinsoku/>
              <w:wordWrap/>
              <w:overflowPunct/>
              <w:topLinePunct w:val="0"/>
              <w:bidi w:val="0"/>
              <w:adjustRightInd/>
              <w:snapToGrid w:val="0"/>
              <w:spacing w:before="67" w:beforeLines="20" w:after="67" w:afterLines="20"/>
              <w:ind w:left="48" w:leftChars="20" w:right="48" w:rightChars="20"/>
              <w:rPr>
                <w:rFonts w:hint="eastAsia" w:ascii="宋体" w:hAnsi="宋体" w:eastAsia="宋体" w:cs="宋体"/>
                <w:color w:val="auto"/>
                <w:highlight w:val="none"/>
              </w:rPr>
            </w:pPr>
            <w:r>
              <w:rPr>
                <w:rFonts w:hint="eastAsia" w:ascii="宋体" w:hAnsi="宋体" w:cs="宋体"/>
                <w:i w:val="0"/>
                <w:iCs w:val="0"/>
                <w:color w:val="auto"/>
                <w:kern w:val="2"/>
                <w:sz w:val="24"/>
                <w:szCs w:val="24"/>
                <w:highlight w:val="none"/>
                <w:lang w:val="en-US" w:eastAsia="zh-CN" w:bidi="ar"/>
              </w:rPr>
              <w:t>精密仪器室、普通仪器实训室、称量室，具体参数及要求见采购文件第六章“招标需求及技术要求”；</w:t>
            </w:r>
          </w:p>
        </w:tc>
      </w:tr>
      <w:tr w14:paraId="28D911C4">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833" w:type="dxa"/>
            <w:tcBorders>
              <w:tl2br w:val="nil"/>
              <w:tr2bl w:val="nil"/>
            </w:tcBorders>
            <w:vAlign w:val="center"/>
          </w:tcPr>
          <w:p w14:paraId="2C4D178E">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6</w:t>
            </w:r>
          </w:p>
        </w:tc>
        <w:tc>
          <w:tcPr>
            <w:tcW w:w="2250" w:type="dxa"/>
            <w:tcBorders>
              <w:tl2br w:val="nil"/>
              <w:tr2bl w:val="nil"/>
            </w:tcBorders>
            <w:vAlign w:val="center"/>
          </w:tcPr>
          <w:p w14:paraId="741E0350">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合同履行期限</w:t>
            </w:r>
            <w:r>
              <w:rPr>
                <w:rFonts w:hint="eastAsia" w:ascii="宋体" w:hAnsi="宋体" w:eastAsia="宋体" w:cs="宋体"/>
                <w:color w:val="auto"/>
                <w:szCs w:val="24"/>
                <w:highlight w:val="none"/>
              </w:rPr>
              <w:t>、交货地点</w:t>
            </w:r>
          </w:p>
        </w:tc>
        <w:tc>
          <w:tcPr>
            <w:tcW w:w="6952" w:type="dxa"/>
            <w:tcBorders>
              <w:tl2br w:val="nil"/>
              <w:tr2bl w:val="nil"/>
            </w:tcBorders>
            <w:vAlign w:val="center"/>
          </w:tcPr>
          <w:p w14:paraId="380B8035">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合同履行期限：合同签订后30日历天内交货并安装调试完成并投入使用</w:t>
            </w:r>
            <w:r>
              <w:rPr>
                <w:rFonts w:hint="eastAsia" w:ascii="宋体" w:hAnsi="宋体" w:eastAsia="宋体" w:cs="宋体"/>
                <w:color w:val="auto"/>
                <w:szCs w:val="24"/>
                <w:highlight w:val="none"/>
              </w:rPr>
              <w:t>；</w:t>
            </w:r>
          </w:p>
          <w:p w14:paraId="4165D37F">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color w:val="auto"/>
                <w:szCs w:val="24"/>
                <w:highlight w:val="none"/>
              </w:rPr>
            </w:pPr>
            <w:r>
              <w:rPr>
                <w:rFonts w:hint="eastAsia" w:ascii="宋体" w:hAnsi="宋体" w:eastAsia="宋体" w:cs="宋体"/>
                <w:color w:val="auto"/>
                <w:szCs w:val="24"/>
                <w:highlight w:val="none"/>
              </w:rPr>
              <w:t>交货地点：</w:t>
            </w:r>
            <w:r>
              <w:rPr>
                <w:rFonts w:hint="eastAsia" w:ascii="宋体" w:hAnsi="宋体" w:eastAsia="宋体" w:cs="宋体"/>
                <w:bCs/>
                <w:color w:val="auto"/>
                <w:szCs w:val="24"/>
                <w:highlight w:val="none"/>
                <w:lang w:val="en-US" w:eastAsia="zh-CN"/>
              </w:rPr>
              <w:t>采购人</w:t>
            </w:r>
            <w:r>
              <w:rPr>
                <w:rFonts w:hint="eastAsia" w:ascii="宋体" w:hAnsi="宋体" w:eastAsia="宋体" w:cs="宋体"/>
                <w:bCs/>
                <w:color w:val="auto"/>
                <w:szCs w:val="24"/>
                <w:highlight w:val="none"/>
              </w:rPr>
              <w:t>指定地点</w:t>
            </w:r>
            <w:r>
              <w:rPr>
                <w:rFonts w:hint="eastAsia" w:ascii="宋体" w:hAnsi="宋体" w:eastAsia="宋体" w:cs="宋体"/>
                <w:color w:val="auto"/>
                <w:szCs w:val="24"/>
                <w:highlight w:val="none"/>
              </w:rPr>
              <w:t>；</w:t>
            </w:r>
          </w:p>
        </w:tc>
      </w:tr>
      <w:tr w14:paraId="36BBE9D8">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33" w:type="dxa"/>
            <w:tcBorders>
              <w:tl2br w:val="nil"/>
              <w:tr2bl w:val="nil"/>
            </w:tcBorders>
            <w:vAlign w:val="center"/>
          </w:tcPr>
          <w:p w14:paraId="12F2FD22">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7</w:t>
            </w:r>
          </w:p>
        </w:tc>
        <w:tc>
          <w:tcPr>
            <w:tcW w:w="2250" w:type="dxa"/>
            <w:tcBorders>
              <w:tl2br w:val="nil"/>
              <w:tr2bl w:val="nil"/>
            </w:tcBorders>
            <w:vAlign w:val="center"/>
          </w:tcPr>
          <w:p w14:paraId="70156C7D">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供应商资格要求</w:t>
            </w:r>
          </w:p>
        </w:tc>
        <w:tc>
          <w:tcPr>
            <w:tcW w:w="6952" w:type="dxa"/>
            <w:tcBorders>
              <w:tl2br w:val="nil"/>
              <w:tr2bl w:val="nil"/>
            </w:tcBorders>
            <w:vAlign w:val="center"/>
          </w:tcPr>
          <w:p w14:paraId="086EC6EE">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textAlignment w:val="bottom"/>
              <w:rPr>
                <w:rFonts w:hint="eastAsia"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w:t>
            </w:r>
          </w:p>
          <w:p w14:paraId="5A2976DC">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textAlignment w:val="bottom"/>
              <w:rPr>
                <w:rFonts w:hint="eastAsia" w:ascii="宋体" w:hAnsi="宋体" w:eastAsia="宋体" w:cs="宋体"/>
                <w:color w:val="auto"/>
                <w:highlight w:val="none"/>
              </w:rPr>
            </w:pPr>
            <w:r>
              <w:rPr>
                <w:rFonts w:hint="eastAsia" w:ascii="宋体" w:hAnsi="宋体" w:eastAsia="宋体" w:cs="宋体"/>
                <w:color w:val="auto"/>
                <w:highlight w:val="none"/>
              </w:rPr>
              <w:t>满足《中华人民共和国政府采购法》第二十二条规定，</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实行自愿原则并应当以书面形式作出资格信用承诺（详见</w:t>
            </w:r>
            <w:r>
              <w:rPr>
                <w:rFonts w:hint="eastAsia" w:ascii="宋体" w:hAnsi="宋体" w:eastAsia="宋体" w:cs="宋体"/>
                <w:color w:val="auto"/>
                <w:highlight w:val="none"/>
                <w:lang w:eastAsia="zh-CN"/>
              </w:rPr>
              <w:t>“第五章响应文件文件格式”</w:t>
            </w:r>
            <w:r>
              <w:rPr>
                <w:rFonts w:hint="eastAsia" w:ascii="宋体" w:hAnsi="宋体" w:eastAsia="宋体" w:cs="宋体"/>
                <w:color w:val="auto"/>
                <w:highlight w:val="none"/>
                <w:lang w:val="en-US" w:eastAsia="zh-CN"/>
              </w:rPr>
              <w:t>资格审查部分“格式3-</w:t>
            </w:r>
            <w:r>
              <w:rPr>
                <w:rFonts w:hint="eastAsia" w:ascii="宋体" w:hAnsi="宋体" w:eastAsia="宋体" w:cs="宋体"/>
                <w:color w:val="auto"/>
                <w:highlight w:val="none"/>
              </w:rPr>
              <w:t>资格条件承诺函</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未提供资格信用承诺的</w:t>
            </w:r>
            <w:r>
              <w:rPr>
                <w:rFonts w:hint="eastAsia" w:ascii="宋体" w:hAnsi="宋体" w:eastAsia="宋体" w:cs="宋体"/>
                <w:color w:val="auto"/>
                <w:highlight w:val="none"/>
                <w:lang w:val="en-US" w:eastAsia="zh-CN"/>
              </w:rPr>
              <w:t>或</w:t>
            </w:r>
            <w:r>
              <w:rPr>
                <w:rFonts w:hint="eastAsia" w:ascii="宋体" w:hAnsi="宋体" w:eastAsia="宋体" w:cs="宋体"/>
                <w:color w:val="auto"/>
                <w:highlight w:val="none"/>
              </w:rPr>
              <w:t>存在不良信用记录的</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，在信用修复前不适用承诺制，应当按照《中华人民共和国政府采购法》</w:t>
            </w:r>
            <w:r>
              <w:rPr>
                <w:rFonts w:hint="eastAsia" w:ascii="宋体" w:hAnsi="宋体" w:eastAsia="宋体" w:cs="宋体"/>
                <w:color w:val="auto"/>
                <w:highlight w:val="none"/>
                <w:lang w:val="en-US" w:eastAsia="zh-CN"/>
              </w:rPr>
              <w:t>二十二条</w:t>
            </w:r>
            <w:r>
              <w:rPr>
                <w:rFonts w:hint="eastAsia" w:ascii="宋体" w:hAnsi="宋体" w:eastAsia="宋体" w:cs="宋体"/>
                <w:color w:val="auto"/>
                <w:highlight w:val="none"/>
              </w:rPr>
              <w:t>及其实施条例相关规定</w:t>
            </w:r>
            <w:r>
              <w:rPr>
                <w:rFonts w:hint="eastAsia" w:ascii="宋体" w:hAnsi="宋体" w:eastAsia="宋体" w:cs="宋体"/>
                <w:color w:val="auto"/>
                <w:highlight w:val="none"/>
                <w:lang w:val="en-US" w:eastAsia="zh-CN"/>
              </w:rPr>
              <w:t>要求</w:t>
            </w:r>
            <w:r>
              <w:rPr>
                <w:rFonts w:hint="eastAsia" w:ascii="宋体" w:hAnsi="宋体" w:eastAsia="宋体" w:cs="宋体"/>
                <w:color w:val="auto"/>
                <w:highlight w:val="none"/>
              </w:rPr>
              <w:t>提供相应的证明材料。</w:t>
            </w:r>
          </w:p>
          <w:p w14:paraId="6C6C47C3">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textAlignment w:val="bottom"/>
              <w:rPr>
                <w:rFonts w:hint="eastAsia" w:ascii="宋体" w:hAnsi="宋体" w:eastAsia="宋体" w:cs="宋体"/>
                <w:color w:val="auto"/>
                <w:highlight w:val="none"/>
              </w:rPr>
            </w:pPr>
            <w:r>
              <w:rPr>
                <w:rFonts w:hint="eastAsia" w:ascii="宋体" w:hAnsi="宋体" w:eastAsia="宋体" w:cs="宋体"/>
                <w:color w:val="auto"/>
                <w:highlight w:val="none"/>
              </w:rPr>
              <w:t>2．落实政府采购政策需满足的资格要求：</w:t>
            </w:r>
          </w:p>
          <w:p w14:paraId="25360812">
            <w:pPr>
              <w:pStyle w:val="9"/>
              <w:spacing w:before="197" w:line="219"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本项目是否专门面向中小企业：否。</w:t>
            </w:r>
          </w:p>
          <w:p w14:paraId="51C98648">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textAlignment w:val="bottom"/>
              <w:rPr>
                <w:rFonts w:hint="eastAsia" w:ascii="宋体" w:hAnsi="宋体" w:eastAsia="宋体" w:cs="宋体"/>
                <w:color w:val="auto"/>
                <w:highlight w:val="none"/>
              </w:rPr>
            </w:pPr>
            <w:r>
              <w:rPr>
                <w:rFonts w:hint="eastAsia" w:ascii="宋体" w:hAnsi="宋体" w:eastAsia="宋体" w:cs="宋体"/>
                <w:color w:val="auto"/>
                <w:highlight w:val="none"/>
              </w:rPr>
              <w:t>（1）关于中小企业的规定：根据《政府采购促进中小企业发展管理办法》（财库〔2020〕46号）和《关于进一步加大政府采购支持中小企业力度的通知》财库〔2022〕19号的规定，本项目给予小微（小型、微型）企业报价10%的扣除，用扣除后的价格参与评审。</w:t>
            </w:r>
          </w:p>
          <w:p w14:paraId="0D8FAF29">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textAlignment w:val="bottom"/>
              <w:rPr>
                <w:rFonts w:hint="eastAsia" w:ascii="宋体" w:hAnsi="宋体" w:eastAsia="宋体" w:cs="宋体"/>
                <w:color w:val="auto"/>
                <w:highlight w:val="none"/>
              </w:rPr>
            </w:pPr>
            <w:r>
              <w:rPr>
                <w:rFonts w:hint="eastAsia" w:ascii="宋体" w:hAnsi="宋体" w:eastAsia="宋体" w:cs="宋体"/>
                <w:color w:val="auto"/>
                <w:highlight w:val="none"/>
              </w:rPr>
              <w:t>注：在货物采购项目中，供应商提供的货物既有中小企业制造货物，也有大型企业制造货物的，不享受本办法规定的中小企业扶持政策。</w:t>
            </w:r>
          </w:p>
          <w:p w14:paraId="1CA4669C">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textAlignment w:val="bottom"/>
              <w:rPr>
                <w:rFonts w:hint="eastAsia" w:ascii="宋体" w:hAnsi="宋体" w:eastAsia="宋体" w:cs="宋体"/>
                <w:color w:val="auto"/>
                <w:highlight w:val="none"/>
              </w:rPr>
            </w:pPr>
            <w:r>
              <w:rPr>
                <w:rFonts w:hint="eastAsia" w:ascii="宋体" w:hAnsi="宋体" w:eastAsia="宋体" w:cs="宋体"/>
                <w:color w:val="auto"/>
                <w:highlight w:val="none"/>
              </w:rPr>
              <w:t>（2）关于节能、环保产品的规定：政府采购属于节能（环保标志）清单中产品时，在技术、服务等指标同等条件下，应当优先采购节能（环保标志）清单所列的节能（环保标志）产品。</w:t>
            </w:r>
          </w:p>
          <w:p w14:paraId="7373AE6C">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textAlignment w:val="bottom"/>
              <w:rPr>
                <w:rFonts w:hint="eastAsia" w:ascii="宋体" w:hAnsi="宋体" w:eastAsia="宋体" w:cs="宋体"/>
                <w:color w:val="auto"/>
                <w:highlight w:val="none"/>
              </w:rPr>
            </w:pPr>
            <w:r>
              <w:rPr>
                <w:rFonts w:hint="eastAsia" w:ascii="宋体" w:hAnsi="宋体" w:eastAsia="宋体" w:cs="宋体"/>
                <w:color w:val="auto"/>
                <w:highlight w:val="none"/>
              </w:rPr>
              <w:t>（3）关于监狱企业产品的规定：监狱企业视同中小企业，享受评审中价格扣除的政府采购政策。</w:t>
            </w:r>
          </w:p>
          <w:p w14:paraId="1ABEA6D2">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textAlignment w:val="bottom"/>
              <w:rPr>
                <w:rFonts w:hint="eastAsia" w:ascii="宋体" w:hAnsi="宋体" w:eastAsia="宋体" w:cs="宋体"/>
                <w:color w:val="auto"/>
                <w:highlight w:val="none"/>
              </w:rPr>
            </w:pPr>
            <w:r>
              <w:rPr>
                <w:rFonts w:hint="eastAsia" w:ascii="宋体" w:hAnsi="宋体" w:eastAsia="宋体" w:cs="宋体"/>
                <w:color w:val="auto"/>
                <w:highlight w:val="none"/>
              </w:rPr>
              <w:t>（4）关于残疾人福利性单位产品的规定，在政府采购活动中，视同中小企业，享受评审中价格扣除的政府采购政策。</w:t>
            </w:r>
          </w:p>
          <w:p w14:paraId="58D3BD1A">
            <w:pPr>
              <w:keepLines w:val="0"/>
              <w:pageBreakBefore w:val="0"/>
              <w:kinsoku/>
              <w:wordWrap/>
              <w:overflowPunct/>
              <w:topLinePunct w:val="0"/>
              <w:autoSpaceDE/>
              <w:autoSpaceDN/>
              <w:bidi w:val="0"/>
              <w:snapToGrid w:val="0"/>
              <w:spacing w:line="360" w:lineRule="auto"/>
              <w:ind w:right="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3．本项目的特定资格要求：</w:t>
            </w:r>
          </w:p>
          <w:p w14:paraId="30F57DD9">
            <w:pPr>
              <w:keepLines w:val="0"/>
              <w:pageBreakBefore w:val="0"/>
              <w:kinsoku/>
              <w:wordWrap/>
              <w:overflowPunct/>
              <w:topLinePunct w:val="0"/>
              <w:autoSpaceDE/>
              <w:autoSpaceDN/>
              <w:bidi w:val="0"/>
              <w:snapToGrid w:val="0"/>
              <w:spacing w:line="360" w:lineRule="auto"/>
              <w:ind w:right="0"/>
              <w:jc w:val="left"/>
              <w:rPr>
                <w:rFonts w:hint="eastAsia" w:ascii="宋体" w:hAnsi="宋体" w:eastAsia="宋体" w:cs="宋体"/>
                <w:color w:val="auto"/>
                <w:highlight w:val="none"/>
              </w:rPr>
            </w:pPr>
            <w:r>
              <w:rPr>
                <w:rFonts w:hint="eastAsia" w:ascii="宋体" w:hAnsi="宋体" w:cs="宋体"/>
                <w:color w:val="auto"/>
                <w:highlight w:val="none"/>
                <w:lang w:val="en-US" w:eastAsia="zh-CN"/>
              </w:rPr>
              <w:t>无</w:t>
            </w:r>
            <w:r>
              <w:rPr>
                <w:rFonts w:hint="eastAsia" w:ascii="宋体" w:hAnsi="宋体" w:eastAsia="宋体" w:cs="宋体"/>
                <w:color w:val="auto"/>
                <w:highlight w:val="none"/>
                <w:lang w:val="en-US" w:eastAsia="zh-CN"/>
              </w:rPr>
              <w:t>。</w:t>
            </w:r>
          </w:p>
        </w:tc>
      </w:tr>
      <w:tr w14:paraId="36D181BC">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33" w:type="dxa"/>
            <w:tcBorders>
              <w:tl2br w:val="nil"/>
              <w:tr2bl w:val="nil"/>
            </w:tcBorders>
            <w:vAlign w:val="center"/>
          </w:tcPr>
          <w:p w14:paraId="73FEFA0F">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8</w:t>
            </w:r>
          </w:p>
        </w:tc>
        <w:tc>
          <w:tcPr>
            <w:tcW w:w="2250" w:type="dxa"/>
            <w:tcBorders>
              <w:tl2br w:val="nil"/>
              <w:tr2bl w:val="nil"/>
            </w:tcBorders>
            <w:vAlign w:val="center"/>
          </w:tcPr>
          <w:p w14:paraId="30D8D98C">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jc w:val="center"/>
              <w:textAlignment w:val="bottom"/>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质量要求</w:t>
            </w:r>
          </w:p>
        </w:tc>
        <w:tc>
          <w:tcPr>
            <w:tcW w:w="6952" w:type="dxa"/>
            <w:tcBorders>
              <w:tl2br w:val="nil"/>
              <w:tr2bl w:val="nil"/>
            </w:tcBorders>
            <w:vAlign w:val="center"/>
          </w:tcPr>
          <w:p w14:paraId="608297DC">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textAlignment w:val="bottom"/>
              <w:rPr>
                <w:rFonts w:hint="eastAsia" w:ascii="宋体" w:hAnsi="宋体" w:eastAsia="宋体" w:cs="宋体"/>
                <w:color w:val="auto"/>
                <w:highlight w:val="none"/>
              </w:rPr>
            </w:pPr>
            <w:r>
              <w:rPr>
                <w:rFonts w:hint="eastAsia" w:ascii="宋体" w:hAnsi="宋体" w:eastAsia="宋体" w:cs="宋体"/>
                <w:color w:val="auto"/>
                <w:highlight w:val="none"/>
                <w:lang w:eastAsia="zh-CN"/>
              </w:rPr>
              <w:t>所供货物为全新产品，必须符合国家强制性标准，同时通过国家相关检测部门和采购人的合格验收</w:t>
            </w:r>
            <w:r>
              <w:rPr>
                <w:rFonts w:hint="eastAsia" w:ascii="宋体" w:hAnsi="宋体" w:eastAsia="宋体" w:cs="宋体"/>
                <w:b/>
                <w:bCs/>
                <w:color w:val="auto"/>
                <w:highlight w:val="none"/>
              </w:rPr>
              <w:t>；</w:t>
            </w:r>
          </w:p>
        </w:tc>
      </w:tr>
      <w:tr w14:paraId="32398CF8">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33" w:type="dxa"/>
            <w:tcBorders>
              <w:tl2br w:val="nil"/>
              <w:tr2bl w:val="nil"/>
            </w:tcBorders>
            <w:vAlign w:val="center"/>
          </w:tcPr>
          <w:p w14:paraId="7CB4D4D9">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9</w:t>
            </w:r>
          </w:p>
        </w:tc>
        <w:tc>
          <w:tcPr>
            <w:tcW w:w="2250" w:type="dxa"/>
            <w:tcBorders>
              <w:tl2br w:val="nil"/>
              <w:tr2bl w:val="nil"/>
            </w:tcBorders>
            <w:vAlign w:val="center"/>
          </w:tcPr>
          <w:p w14:paraId="4AA7A851">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资格审查方式</w:t>
            </w:r>
          </w:p>
        </w:tc>
        <w:tc>
          <w:tcPr>
            <w:tcW w:w="6952" w:type="dxa"/>
            <w:tcBorders>
              <w:tl2br w:val="nil"/>
              <w:tr2bl w:val="nil"/>
            </w:tcBorders>
            <w:vAlign w:val="center"/>
          </w:tcPr>
          <w:p w14:paraId="0B05BB93">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textAlignment w:val="bottom"/>
              <w:rPr>
                <w:rFonts w:hint="eastAsia" w:ascii="宋体" w:hAnsi="宋体" w:eastAsia="宋体" w:cs="宋体"/>
                <w:color w:val="auto"/>
                <w:highlight w:val="none"/>
              </w:rPr>
            </w:pPr>
            <w:r>
              <w:rPr>
                <w:rFonts w:hint="eastAsia" w:ascii="宋体" w:hAnsi="宋体" w:eastAsia="宋体" w:cs="宋体"/>
                <w:color w:val="auto"/>
                <w:highlight w:val="none"/>
              </w:rPr>
              <w:t>资格后审</w:t>
            </w:r>
          </w:p>
        </w:tc>
      </w:tr>
      <w:tr w14:paraId="01BAE731">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33" w:type="dxa"/>
            <w:tcBorders>
              <w:tl2br w:val="nil"/>
              <w:tr2bl w:val="nil"/>
            </w:tcBorders>
            <w:vAlign w:val="center"/>
          </w:tcPr>
          <w:p w14:paraId="212F1E60">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10</w:t>
            </w:r>
          </w:p>
        </w:tc>
        <w:tc>
          <w:tcPr>
            <w:tcW w:w="2250" w:type="dxa"/>
            <w:tcBorders>
              <w:tl2br w:val="nil"/>
              <w:tr2bl w:val="nil"/>
            </w:tcBorders>
            <w:vAlign w:val="center"/>
          </w:tcPr>
          <w:p w14:paraId="6F080466">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是否接受联合体投标</w:t>
            </w:r>
          </w:p>
        </w:tc>
        <w:tc>
          <w:tcPr>
            <w:tcW w:w="6952" w:type="dxa"/>
            <w:tcBorders>
              <w:tl2br w:val="nil"/>
              <w:tr2bl w:val="nil"/>
            </w:tcBorders>
            <w:vAlign w:val="center"/>
          </w:tcPr>
          <w:p w14:paraId="70DD1E2E">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color w:val="auto"/>
                <w:szCs w:val="24"/>
                <w:highlight w:val="none"/>
              </w:rPr>
            </w:pPr>
            <w:r>
              <w:rPr>
                <w:rFonts w:hint="eastAsia" w:ascii="宋体" w:hAnsi="宋体" w:eastAsia="宋体" w:cs="宋体"/>
                <w:color w:val="auto"/>
                <w:szCs w:val="24"/>
                <w:highlight w:val="none"/>
              </w:rPr>
              <w:t>不接受</w:t>
            </w:r>
          </w:p>
        </w:tc>
      </w:tr>
      <w:tr w14:paraId="41A47A7A">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833" w:type="dxa"/>
            <w:tcBorders>
              <w:tl2br w:val="nil"/>
              <w:tr2bl w:val="nil"/>
            </w:tcBorders>
            <w:vAlign w:val="center"/>
          </w:tcPr>
          <w:p w14:paraId="351449A8">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11</w:t>
            </w:r>
          </w:p>
        </w:tc>
        <w:tc>
          <w:tcPr>
            <w:tcW w:w="2250" w:type="dxa"/>
            <w:tcBorders>
              <w:tl2br w:val="nil"/>
              <w:tr2bl w:val="nil"/>
            </w:tcBorders>
            <w:vAlign w:val="center"/>
          </w:tcPr>
          <w:p w14:paraId="1FD501EA">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采购人澄清的时间和方法</w:t>
            </w:r>
          </w:p>
        </w:tc>
        <w:tc>
          <w:tcPr>
            <w:tcW w:w="6952" w:type="dxa"/>
            <w:tcBorders>
              <w:tl2br w:val="nil"/>
              <w:tr2bl w:val="nil"/>
            </w:tcBorders>
            <w:vAlign w:val="center"/>
          </w:tcPr>
          <w:p w14:paraId="30BB5EBC">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投标截止时间至少15日前，</w:t>
            </w:r>
            <w:r>
              <w:rPr>
                <w:rFonts w:hint="eastAsia" w:ascii="宋体" w:hAnsi="宋体" w:eastAsia="宋体" w:cs="宋体"/>
                <w:color w:val="auto"/>
                <w:kern w:val="2"/>
                <w:sz w:val="24"/>
                <w:szCs w:val="24"/>
                <w:highlight w:val="none"/>
              </w:rPr>
              <w:t>在原公告发布媒体上发布更正公告，并以书面形式通知所有获取招标文件的潜在供应商</w:t>
            </w:r>
            <w:r>
              <w:rPr>
                <w:rFonts w:hint="eastAsia" w:ascii="宋体" w:hAnsi="宋体" w:eastAsia="宋体" w:cs="宋体"/>
                <w:color w:val="auto"/>
                <w:szCs w:val="24"/>
                <w:highlight w:val="none"/>
              </w:rPr>
              <w:t>。不足15日的按法律法规顺延开标时间。</w:t>
            </w:r>
          </w:p>
        </w:tc>
      </w:tr>
      <w:tr w14:paraId="67498051">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833" w:type="dxa"/>
            <w:tcBorders>
              <w:tl2br w:val="nil"/>
              <w:tr2bl w:val="nil"/>
            </w:tcBorders>
            <w:vAlign w:val="center"/>
          </w:tcPr>
          <w:p w14:paraId="11367E00">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12</w:t>
            </w:r>
          </w:p>
        </w:tc>
        <w:tc>
          <w:tcPr>
            <w:tcW w:w="2250" w:type="dxa"/>
            <w:tcBorders>
              <w:tl2br w:val="nil"/>
              <w:tr2bl w:val="nil"/>
            </w:tcBorders>
            <w:vAlign w:val="center"/>
          </w:tcPr>
          <w:p w14:paraId="37387875">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jc w:val="center"/>
              <w:textAlignment w:val="bottom"/>
              <w:rPr>
                <w:rFonts w:hint="eastAsia" w:ascii="宋体" w:hAnsi="宋体" w:eastAsia="宋体" w:cs="宋体"/>
                <w:color w:val="auto"/>
                <w:highlight w:val="none"/>
              </w:rPr>
            </w:pPr>
            <w:r>
              <w:rPr>
                <w:rFonts w:hint="eastAsia" w:ascii="宋体" w:hAnsi="宋体" w:eastAsia="宋体" w:cs="宋体"/>
                <w:color w:val="auto"/>
                <w:kern w:val="0"/>
                <w:highlight w:val="none"/>
              </w:rPr>
              <w:t>供应商提出问题的截止时间和方法</w:t>
            </w:r>
          </w:p>
        </w:tc>
        <w:tc>
          <w:tcPr>
            <w:tcW w:w="6952" w:type="dxa"/>
            <w:tcBorders>
              <w:tl2br w:val="nil"/>
              <w:tr2bl w:val="nil"/>
            </w:tcBorders>
            <w:vAlign w:val="center"/>
          </w:tcPr>
          <w:p w14:paraId="776E6DDD">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color w:val="auto"/>
                <w:szCs w:val="24"/>
                <w:highlight w:val="none"/>
              </w:rPr>
            </w:pPr>
            <w:r>
              <w:rPr>
                <w:rFonts w:hint="eastAsia" w:ascii="宋体" w:hAnsi="宋体" w:eastAsia="宋体" w:cs="宋体"/>
                <w:color w:val="auto"/>
                <w:szCs w:val="24"/>
                <w:highlight w:val="none"/>
              </w:rPr>
              <w:t>在投标截止时间10日前，所有获取了招标文件的潜在供应商通过纸质（书面）方式向采购人或招标代理进行署名提问，采购人或采购代理需对所有潜在供应商进行统一回复。</w:t>
            </w:r>
          </w:p>
        </w:tc>
      </w:tr>
      <w:tr w14:paraId="26A5DAE8">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cantSplit/>
          <w:trHeight w:val="1943" w:hRule="atLeast"/>
          <w:jc w:val="center"/>
        </w:trPr>
        <w:tc>
          <w:tcPr>
            <w:tcW w:w="833" w:type="dxa"/>
            <w:tcBorders>
              <w:tl2br w:val="nil"/>
              <w:tr2bl w:val="nil"/>
            </w:tcBorders>
            <w:vAlign w:val="center"/>
          </w:tcPr>
          <w:p w14:paraId="49FC7B78">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13</w:t>
            </w:r>
          </w:p>
        </w:tc>
        <w:tc>
          <w:tcPr>
            <w:tcW w:w="2250" w:type="dxa"/>
            <w:tcBorders>
              <w:tl2br w:val="nil"/>
              <w:tr2bl w:val="nil"/>
            </w:tcBorders>
            <w:vAlign w:val="center"/>
          </w:tcPr>
          <w:p w14:paraId="5E7F888A">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jc w:val="center"/>
              <w:textAlignment w:val="bottom"/>
              <w:rPr>
                <w:rFonts w:hint="eastAsia" w:ascii="宋体" w:hAnsi="宋体" w:eastAsia="宋体" w:cs="宋体"/>
                <w:color w:val="auto"/>
                <w:highlight w:val="none"/>
              </w:rPr>
            </w:pPr>
            <w:r>
              <w:rPr>
                <w:rFonts w:hint="eastAsia" w:ascii="宋体" w:hAnsi="宋体" w:eastAsia="宋体" w:cs="宋体"/>
                <w:color w:val="auto"/>
                <w:highlight w:val="none"/>
              </w:rPr>
              <w:t>构成投标文件的其他资料</w:t>
            </w:r>
          </w:p>
        </w:tc>
        <w:tc>
          <w:tcPr>
            <w:tcW w:w="6952" w:type="dxa"/>
            <w:tcBorders>
              <w:tl2br w:val="nil"/>
              <w:tr2bl w:val="nil"/>
            </w:tcBorders>
            <w:vAlign w:val="center"/>
          </w:tcPr>
          <w:p w14:paraId="01735E5B">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textAlignment w:val="bottom"/>
              <w:rPr>
                <w:rFonts w:hint="eastAsia" w:ascii="宋体" w:hAnsi="宋体" w:eastAsia="宋体" w:cs="宋体"/>
                <w:color w:val="auto"/>
                <w:highlight w:val="none"/>
              </w:rPr>
            </w:pPr>
            <w:r>
              <w:rPr>
                <w:rFonts w:hint="eastAsia" w:ascii="宋体" w:hAnsi="宋体" w:eastAsia="宋体" w:cs="宋体"/>
                <w:color w:val="auto"/>
                <w:highlight w:val="none"/>
              </w:rPr>
              <w:t>1、招标文件中所涉及的相关资料及证明文件或供应商认为必须提供的其他相关资料。</w:t>
            </w:r>
          </w:p>
          <w:p w14:paraId="7D7F30A3">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textAlignment w:val="bottom"/>
              <w:rPr>
                <w:rFonts w:hint="eastAsia" w:ascii="宋体" w:hAnsi="宋体" w:eastAsia="宋体" w:cs="宋体"/>
                <w:color w:val="auto"/>
                <w:highlight w:val="none"/>
              </w:rPr>
            </w:pPr>
            <w:r>
              <w:rPr>
                <w:rFonts w:hint="eastAsia" w:ascii="宋体" w:hAnsi="宋体" w:eastAsia="宋体" w:cs="宋体"/>
                <w:color w:val="auto"/>
                <w:highlight w:val="none"/>
              </w:rPr>
              <w:t>2、第六章“招标需求及技术要求”中要求提供的其他资料；</w:t>
            </w:r>
          </w:p>
          <w:p w14:paraId="1CEDDBC0">
            <w:pPr>
              <w:keepNext w:val="0"/>
              <w:keepLines w:val="0"/>
              <w:pageBreakBefore w:val="0"/>
              <w:kinsoku/>
              <w:wordWrap/>
              <w:overflowPunct/>
              <w:topLinePunct w:val="0"/>
              <w:autoSpaceDE w:val="0"/>
              <w:autoSpaceDN w:val="0"/>
              <w:bidi w:val="0"/>
              <w:adjustRightInd/>
              <w:snapToGrid w:val="0"/>
              <w:spacing w:before="67" w:beforeLines="20" w:after="67" w:afterLines="20"/>
              <w:ind w:left="48" w:leftChars="20" w:right="48" w:rightChars="20"/>
              <w:textAlignment w:val="bottom"/>
              <w:rPr>
                <w:rFonts w:hint="eastAsia" w:ascii="宋体" w:hAnsi="宋体" w:eastAsia="宋体" w:cs="宋体"/>
                <w:color w:val="auto"/>
                <w:highlight w:val="none"/>
              </w:rPr>
            </w:pPr>
            <w:r>
              <w:rPr>
                <w:rFonts w:hint="eastAsia" w:ascii="宋体" w:hAnsi="宋体" w:eastAsia="宋体" w:cs="宋体"/>
                <w:color w:val="auto"/>
                <w:highlight w:val="none"/>
              </w:rPr>
              <w:t>3、采购人或采购代理机构以书面形式发出的答疑书、补遗书或通知等。</w:t>
            </w:r>
          </w:p>
        </w:tc>
      </w:tr>
      <w:tr w14:paraId="044C6DAF">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833" w:type="dxa"/>
            <w:tcBorders>
              <w:tl2br w:val="nil"/>
              <w:tr2bl w:val="nil"/>
            </w:tcBorders>
            <w:vAlign w:val="center"/>
          </w:tcPr>
          <w:p w14:paraId="381AD7F0">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14</w:t>
            </w:r>
          </w:p>
        </w:tc>
        <w:tc>
          <w:tcPr>
            <w:tcW w:w="2250" w:type="dxa"/>
            <w:tcBorders>
              <w:tl2br w:val="nil"/>
              <w:tr2bl w:val="nil"/>
            </w:tcBorders>
            <w:vAlign w:val="center"/>
          </w:tcPr>
          <w:p w14:paraId="42746196">
            <w:pPr>
              <w:pageBreakBefore w:val="0"/>
              <w:kinsoku/>
              <w:overflowPunct/>
              <w:bidi w:val="0"/>
              <w:spacing w:before="64" w:beforeLines="20" w:after="64" w:afterLines="20" w:line="360" w:lineRule="auto"/>
              <w:ind w:left="48" w:leftChars="20" w:right="48" w:rightChars="20"/>
              <w:jc w:val="center"/>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rPr>
              <w:t>投标报价的其他要求</w:t>
            </w:r>
          </w:p>
        </w:tc>
        <w:tc>
          <w:tcPr>
            <w:tcW w:w="6952" w:type="dxa"/>
            <w:tcBorders>
              <w:tl2br w:val="nil"/>
              <w:tr2bl w:val="nil"/>
            </w:tcBorders>
            <w:vAlign w:val="center"/>
          </w:tcPr>
          <w:p w14:paraId="322D0DEE">
            <w:pPr>
              <w:pageBreakBefore w:val="0"/>
              <w:kinsoku/>
              <w:overflowPunct/>
              <w:bidi w:val="0"/>
              <w:spacing w:before="64" w:beforeLines="20" w:after="64" w:afterLines="20" w:line="360" w:lineRule="auto"/>
              <w:ind w:left="48" w:leftChars="20" w:right="48" w:rightChars="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（1）本次投标报价为</w:t>
            </w:r>
            <w:r>
              <w:rPr>
                <w:rFonts w:hint="eastAsia" w:ascii="宋体" w:hAnsi="宋体" w:eastAsia="宋体" w:cs="宋体"/>
                <w:color w:val="auto"/>
                <w:sz w:val="24"/>
                <w:szCs w:val="24"/>
                <w:highlight w:val="none"/>
                <w:lang w:val="en-US" w:eastAsia="zh-CN"/>
              </w:rPr>
              <w:t>含税</w:t>
            </w:r>
            <w:r>
              <w:rPr>
                <w:rFonts w:hint="eastAsia" w:ascii="宋体" w:hAnsi="宋体" w:eastAsia="宋体" w:cs="宋体"/>
                <w:color w:val="auto"/>
                <w:highlight w:val="none"/>
                <w:lang w:eastAsia="zh-CN"/>
              </w:rPr>
              <w:t>投标总报价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报价应为人民币含税</w:t>
            </w:r>
            <w:r>
              <w:rPr>
                <w:rFonts w:hint="eastAsia" w:ascii="宋体" w:hAnsi="宋体" w:eastAsia="宋体" w:cs="宋体"/>
                <w:color w:val="auto"/>
                <w:sz w:val="24"/>
                <w:szCs w:val="24"/>
                <w:highlight w:val="none"/>
                <w:u w:val="single"/>
                <w:lang w:val="en-US" w:eastAsia="zh-CN"/>
              </w:rPr>
              <w:t>投标总报价（含税）</w:t>
            </w:r>
            <w:r>
              <w:rPr>
                <w:rFonts w:hint="eastAsia" w:ascii="宋体" w:hAnsi="宋体" w:eastAsia="宋体" w:cs="宋体"/>
                <w:color w:val="auto"/>
                <w:sz w:val="24"/>
                <w:szCs w:val="24"/>
                <w:highlight w:val="none"/>
                <w:u w:val="single"/>
              </w:rPr>
              <w:t>（元），包括货物价格（含利润）、货物运输、装卸、保险、税收、安装、调试、检验、培训、售后服务、中标服务费等所需全部费用</w:t>
            </w:r>
            <w:r>
              <w:rPr>
                <w:rFonts w:hint="eastAsia" w:ascii="宋体" w:hAnsi="宋体" w:eastAsia="宋体" w:cs="宋体"/>
                <w:color w:val="auto"/>
                <w:sz w:val="24"/>
                <w:szCs w:val="24"/>
                <w:highlight w:val="none"/>
              </w:rPr>
              <w:t>。</w:t>
            </w:r>
          </w:p>
          <w:p w14:paraId="0A2FE8DB">
            <w:pPr>
              <w:pageBreakBefore w:val="0"/>
              <w:kinsoku/>
              <w:overflowPunct/>
              <w:bidi w:val="0"/>
              <w:spacing w:before="64" w:beforeLines="20" w:after="64" w:afterLines="20" w:line="360" w:lineRule="auto"/>
              <w:ind w:left="48" w:leftChars="20" w:right="48" w:rightChars="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应承担所有与参加投标有关的自身的所有费用，不论采购的结果如何，采购代理机构和采购人在任何情况下均无义务和责任承担这些费用。</w:t>
            </w:r>
          </w:p>
          <w:p w14:paraId="40FBF01F">
            <w:pPr>
              <w:pageBreakBefore w:val="0"/>
              <w:kinsoku/>
              <w:overflowPunct/>
              <w:bidi w:val="0"/>
              <w:spacing w:before="64" w:beforeLines="20" w:after="64" w:afterLines="20" w:line="360" w:lineRule="auto"/>
              <w:ind w:left="48" w:leftChars="20" w:right="48" w:rightChars="20"/>
              <w:jc w:val="both"/>
              <w:rPr>
                <w:rFonts w:hint="eastAsia" w:ascii="宋体" w:hAnsi="宋体" w:eastAsia="宋体" w:cs="宋体"/>
                <w:color w:val="auto"/>
                <w:kern w:val="2"/>
                <w:sz w:val="24"/>
                <w:szCs w:val="24"/>
                <w:highlight w:val="none"/>
                <w:u w:val="single"/>
              </w:rPr>
            </w:pPr>
            <w:r>
              <w:rPr>
                <w:rFonts w:hint="eastAsia" w:ascii="宋体" w:hAnsi="宋体" w:eastAsia="宋体" w:cs="宋体"/>
                <w:color w:val="auto"/>
                <w:sz w:val="24"/>
                <w:szCs w:val="24"/>
                <w:highlight w:val="none"/>
              </w:rPr>
              <w:t>（3）中标服</w:t>
            </w:r>
            <w:r>
              <w:rPr>
                <w:rFonts w:hint="eastAsia" w:ascii="宋体" w:hAnsi="宋体" w:eastAsia="宋体" w:cs="宋体"/>
                <w:color w:val="auto"/>
                <w:kern w:val="2"/>
                <w:sz w:val="24"/>
                <w:szCs w:val="24"/>
                <w:highlight w:val="none"/>
              </w:rPr>
              <w:t>务费：</w:t>
            </w:r>
            <w:r>
              <w:rPr>
                <w:rFonts w:hint="eastAsia" w:ascii="宋体" w:hAnsi="宋体" w:eastAsia="宋体" w:cs="宋体"/>
                <w:color w:val="auto"/>
                <w:kern w:val="2"/>
                <w:sz w:val="24"/>
                <w:szCs w:val="24"/>
                <w:highlight w:val="none"/>
                <w:lang w:val="en-US" w:eastAsia="zh-CN"/>
              </w:rPr>
              <w:t>预估</w:t>
            </w:r>
            <w:r>
              <w:rPr>
                <w:rFonts w:hint="eastAsia" w:ascii="宋体" w:hAnsi="宋体" w:cs="宋体"/>
                <w:color w:val="auto"/>
                <w:kern w:val="2"/>
                <w:sz w:val="24"/>
                <w:szCs w:val="24"/>
                <w:highlight w:val="none"/>
                <w:lang w:val="en-US" w:eastAsia="zh-CN"/>
              </w:rPr>
              <w:t>18200.00</w:t>
            </w:r>
            <w:r>
              <w:rPr>
                <w:rFonts w:hint="eastAsia" w:ascii="宋体" w:hAnsi="宋体" w:eastAsia="宋体" w:cs="宋体"/>
                <w:color w:val="auto"/>
                <w:kern w:val="2"/>
                <w:sz w:val="24"/>
                <w:szCs w:val="24"/>
                <w:highlight w:val="none"/>
                <w:lang w:val="en-US" w:eastAsia="zh-CN"/>
              </w:rPr>
              <w:t>元（以本项目中标价为计费基数</w:t>
            </w:r>
            <w:r>
              <w:rPr>
                <w:rFonts w:hint="eastAsia" w:ascii="宋体" w:hAnsi="宋体"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lang w:val="en-US" w:eastAsia="zh-CN"/>
              </w:rPr>
              <w:t>按差额定率累进法根据下表“货物招标”计算标准</w:t>
            </w:r>
            <w:r>
              <w:rPr>
                <w:rFonts w:hint="eastAsia" w:ascii="宋体" w:hAnsi="宋体" w:cs="宋体"/>
                <w:color w:val="auto"/>
                <w:kern w:val="2"/>
                <w:sz w:val="24"/>
                <w:szCs w:val="24"/>
                <w:highlight w:val="none"/>
                <w:lang w:val="en-US" w:eastAsia="zh-CN"/>
              </w:rPr>
              <w:t>下浮30%</w:t>
            </w:r>
            <w:r>
              <w:rPr>
                <w:rFonts w:hint="eastAsia" w:ascii="宋体" w:hAnsi="宋体" w:eastAsia="宋体" w:cs="宋体"/>
                <w:color w:val="auto"/>
                <w:kern w:val="2"/>
                <w:sz w:val="24"/>
                <w:szCs w:val="24"/>
                <w:highlight w:val="none"/>
                <w:lang w:val="en-US" w:eastAsia="zh-CN"/>
              </w:rPr>
              <w:t>计算）</w:t>
            </w:r>
            <w:r>
              <w:rPr>
                <w:rFonts w:hint="eastAsia" w:ascii="宋体" w:hAnsi="宋体" w:eastAsia="宋体" w:cs="宋体"/>
                <w:color w:val="auto"/>
                <w:kern w:val="2"/>
                <w:sz w:val="24"/>
                <w:szCs w:val="24"/>
                <w:highlight w:val="none"/>
                <w:u w:val="none"/>
                <w:lang w:val="en-US" w:eastAsia="zh-CN"/>
              </w:rPr>
              <w:t>，由中标人在领取中标（成交）通知书时向</w:t>
            </w:r>
            <w:r>
              <w:rPr>
                <w:rFonts w:hint="eastAsia" w:ascii="宋体" w:hAnsi="宋体" w:cs="宋体"/>
                <w:color w:val="auto"/>
                <w:kern w:val="2"/>
                <w:sz w:val="24"/>
                <w:szCs w:val="24"/>
                <w:highlight w:val="none"/>
                <w:u w:val="none"/>
                <w:lang w:val="en-US" w:eastAsia="zh-CN"/>
              </w:rPr>
              <w:t>云南康成工程咨询有限公司</w:t>
            </w:r>
            <w:r>
              <w:rPr>
                <w:rFonts w:hint="eastAsia" w:ascii="宋体" w:hAnsi="宋体" w:eastAsia="宋体" w:cs="宋体"/>
                <w:color w:val="auto"/>
                <w:kern w:val="2"/>
                <w:sz w:val="24"/>
                <w:szCs w:val="24"/>
                <w:highlight w:val="none"/>
                <w:u w:val="none"/>
                <w:lang w:val="en-US" w:eastAsia="zh-CN"/>
              </w:rPr>
              <w:t>一次性足额交纳</w:t>
            </w:r>
            <w:r>
              <w:rPr>
                <w:rFonts w:hint="eastAsia" w:ascii="宋体" w:hAnsi="宋体" w:eastAsia="宋体" w:cs="宋体"/>
                <w:color w:val="auto"/>
                <w:kern w:val="2"/>
                <w:sz w:val="24"/>
                <w:szCs w:val="24"/>
                <w:highlight w:val="none"/>
              </w:rPr>
              <w:t>。</w:t>
            </w:r>
          </w:p>
          <w:p w14:paraId="04BEAF9C">
            <w:pPr>
              <w:pageBreakBefore w:val="0"/>
              <w:kinsoku/>
              <w:overflowPunct/>
              <w:autoSpaceDE w:val="0"/>
              <w:autoSpaceDN w:val="0"/>
              <w:bidi w:val="0"/>
              <w:spacing w:before="64" w:beforeLines="20" w:after="64" w:afterLines="20" w:line="360" w:lineRule="auto"/>
              <w:ind w:left="48" w:leftChars="20" w:right="48" w:rightChars="20"/>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账户名称：</w:t>
            </w:r>
            <w:r>
              <w:rPr>
                <w:rFonts w:hint="eastAsia" w:ascii="宋体" w:hAnsi="宋体" w:cs="宋体"/>
                <w:color w:val="auto"/>
                <w:kern w:val="2"/>
                <w:sz w:val="24"/>
                <w:szCs w:val="24"/>
                <w:highlight w:val="none"/>
                <w:lang w:eastAsia="zh-CN"/>
              </w:rPr>
              <w:t>云南康成工程咨询有限公司</w:t>
            </w:r>
          </w:p>
          <w:p w14:paraId="6446D0C7">
            <w:pPr>
              <w:pStyle w:val="53"/>
              <w:pageBreakBefore w:val="0"/>
              <w:kinsoku/>
              <w:overflowPunct/>
              <w:bidi w:val="0"/>
              <w:spacing w:before="64" w:beforeLines="20" w:after="64" w:afterLines="20" w:line="360" w:lineRule="auto"/>
              <w:ind w:left="48" w:leftChars="20" w:right="48" w:rightChars="20"/>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开户银行：</w:t>
            </w:r>
            <w:r>
              <w:rPr>
                <w:rFonts w:hint="eastAsia" w:ascii="宋体" w:hAnsi="宋体" w:eastAsia="宋体" w:cs="宋体"/>
                <w:color w:val="auto"/>
                <w:sz w:val="24"/>
                <w:highlight w:val="none"/>
              </w:rPr>
              <w:t>中国银行曲靖市分行</w:t>
            </w:r>
          </w:p>
          <w:p w14:paraId="7F120673">
            <w:pPr>
              <w:pageBreakBefore w:val="0"/>
              <w:kinsoku/>
              <w:overflowPunct/>
              <w:autoSpaceDE w:val="0"/>
              <w:autoSpaceDN w:val="0"/>
              <w:bidi w:val="0"/>
              <w:spacing w:before="64" w:beforeLines="20" w:after="64" w:afterLines="20" w:line="360" w:lineRule="auto"/>
              <w:ind w:left="48" w:leftChars="20" w:right="48" w:rightChars="20"/>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账    号：</w:t>
            </w:r>
            <w:r>
              <w:rPr>
                <w:rFonts w:hint="eastAsia" w:ascii="宋体" w:hAnsi="宋体" w:cs="宋体"/>
                <w:color w:val="auto"/>
                <w:kern w:val="2"/>
                <w:sz w:val="24"/>
                <w:szCs w:val="24"/>
                <w:highlight w:val="none"/>
                <w:lang w:eastAsia="zh-CN"/>
              </w:rPr>
              <w:t>5305 0164 6160 0000 0240</w:t>
            </w:r>
          </w:p>
          <w:tbl>
            <w:tblPr>
              <w:tblStyle w:val="26"/>
              <w:tblW w:w="66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3"/>
              <w:gridCol w:w="1279"/>
              <w:gridCol w:w="1346"/>
              <w:gridCol w:w="1125"/>
            </w:tblGrid>
            <w:tr w14:paraId="10658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89" w:hRule="atLeast"/>
              </w:trPr>
              <w:tc>
                <w:tcPr>
                  <w:tcW w:w="2883" w:type="dxa"/>
                  <w:noWrap w:val="0"/>
                  <w:vAlign w:val="top"/>
                </w:tcPr>
                <w:p w14:paraId="3290B66F">
                  <w:pPr>
                    <w:ind w:firstLine="1205" w:firstLineChars="5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250190</wp:posOffset>
                            </wp:positionH>
                            <wp:positionV relativeFrom="paragraph">
                              <wp:posOffset>635</wp:posOffset>
                            </wp:positionV>
                            <wp:extent cx="1511935" cy="1192530"/>
                            <wp:effectExtent l="3175" t="3810" r="8890" b="3810"/>
                            <wp:wrapNone/>
                            <wp:docPr id="11" name="直接连接符 11"/>
                            <wp:cNvGraphicFramePr/>
                            <a:graphic xmlns:a="http://schemas.openxmlformats.org/drawingml/2006/main">
                              <a:graphicData uri="http://schemas.microsoft.com/office/word/2010/wordprocessingShape">
                                <wps:wsp>
                                  <wps:cNvCnPr/>
                                  <wps:spPr>
                                    <a:xfrm flipH="1" flipV="1">
                                      <a:off x="0" y="0"/>
                                      <a:ext cx="1747520" cy="238125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flip:x y;margin-left:19.7pt;margin-top:0.05pt;height:93.9pt;width:119.05pt;z-index:251661312;mso-width-relative:page;mso-height-relative:page;" filled="f" stroked="t" coordsize="21600,21600" o:gfxdata="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fO3t3dEAAAAHAQAADwAAAAAAAAABACAAAAAiAAAAZHJzL2Rvd25y&#10;ZXYueG1sUEsBAhQAFAAAAAgAh07iQMi9CHIFAgAAAgQAAA4AAAAAAAAAAQAgAAAAIAEAAGRycy9l&#10;Mm9Eb2MueG1sUEsFBgAAAAAGAAYAWQEAAJcFAAAAAA==&#10;">
                            <v:fill on="f" focussize="0,0"/>
                            <v:stroke color="#000000" joinstyle="round"/>
                            <v:imagedata o:title=""/>
                            <o:lock v:ext="edit" aspectratio="f"/>
                          </v:line>
                        </w:pict>
                      </mc:Fallback>
                    </mc:AlternateContent>
                  </w:r>
                  <w:r>
                    <w:rPr>
                      <w:rFonts w:hint="eastAsia" w:ascii="宋体" w:hAnsi="宋体" w:eastAsia="宋体" w:cs="宋体"/>
                      <w:b/>
                      <w:bCs/>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-6350</wp:posOffset>
                            </wp:positionV>
                            <wp:extent cx="635" cy="0"/>
                            <wp:effectExtent l="0" t="4445" r="0" b="5080"/>
                            <wp:wrapNone/>
                            <wp:docPr id="12" name="直接连接符 12"/>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9pt;margin-top:-0.5pt;height:0pt;width:0.05pt;z-index:251659264;mso-width-relative:page;mso-height-relative:page;" filled="f" stroked="t" coordsize="21600,21600" o:gfxdata="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Br&#10;kdN+1QAAAAkBAAAPAAAAAAAAAAEAIAAAACIAAABkcnMvZG93bnJldi54bWxQSwECFAAUAAAACACH&#10;TuJA7C4pcu4BAADkAwAADgAAAAAAAAABACAAAAAkAQAAZHJzL2Uyb0RvYy54bWxQSwUGAAAAAAYA&#10;BgBZAQAAhAUAAAAA&#10;">
                            <v:fill on="f" focussize="0,0"/>
                            <v:stroke color="#000000" joinstyle="round"/>
                            <v:imagedata o:title=""/>
                            <o:lock v:ext="edit" aspectratio="f"/>
                          </v:line>
                        </w:pict>
                      </mc:Fallback>
                    </mc:AlternateContent>
                  </w:r>
                  <w:r>
                    <w:rPr>
                      <w:rFonts w:hint="eastAsia" w:ascii="宋体" w:hAnsi="宋体" w:eastAsia="宋体" w:cs="宋体"/>
                      <w:b/>
                      <w:bCs/>
                      <w:color w:val="auto"/>
                      <w:sz w:val="24"/>
                      <w:szCs w:val="24"/>
                      <w:highlight w:val="none"/>
                    </w:rPr>
                    <w:t>服</w:t>
                  </w:r>
                </w:p>
                <w:p w14:paraId="064E361B">
                  <w:pPr>
                    <w:ind w:firstLine="241" w:firstLine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费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务</w:t>
                  </w:r>
                </w:p>
                <w:p w14:paraId="08E5A746">
                  <w:pPr>
                    <w:ind w:firstLine="1205" w:firstLineChars="5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-61595</wp:posOffset>
                            </wp:positionH>
                            <wp:positionV relativeFrom="paragraph">
                              <wp:posOffset>74930</wp:posOffset>
                            </wp:positionV>
                            <wp:extent cx="1830705" cy="723900"/>
                            <wp:effectExtent l="1905" t="4445" r="15240" b="14605"/>
                            <wp:wrapNone/>
                            <wp:docPr id="13" name="直接连接符 13"/>
                            <wp:cNvGraphicFramePr/>
                            <a:graphic xmlns:a="http://schemas.openxmlformats.org/drawingml/2006/main">
                              <a:graphicData uri="http://schemas.microsoft.com/office/word/2010/wordprocessingShape">
                                <wps:wsp>
                                  <wps:cNvCnPr/>
                                  <wps:spPr>
                                    <a:xfrm flipH="1" flipV="1">
                                      <a:off x="0" y="0"/>
                                      <a:ext cx="1997075" cy="171259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flip:x y;margin-left:-4.85pt;margin-top:5.9pt;height:57pt;width:144.15pt;z-index:251660288;mso-width-relative:page;mso-height-relative:page;" filled="f" stroked="t" coordsize="21600,21600" o:gfxdata="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5si8UtEAAAAJAQAADwAAAAAAAAABACAAAAAiAAAAZHJzL2Rvd25yZXYu&#10;eG1sUEsBAhQAFAAAAAgAh07iQLgzLVMCAgAAAgQAAA4AAAAAAAAAAQAgAAAAIAEAAGRycy9lMm9E&#10;b2MueG1sUEsFBgAAAAAGAAYAWQEAAJQFAAAAAA==&#10;">
                            <v:fill on="f" focussize="0,0"/>
                            <v:stroke color="#000000" joinstyle="round"/>
                            <v:imagedata o:title=""/>
                            <o:lock v:ext="edit" aspectratio="f"/>
                          </v:line>
                        </w:pict>
                      </mc:Fallback>
                    </mc:AlternateContent>
                  </w:r>
                  <w:r>
                    <w:rPr>
                      <w:rFonts w:hint="eastAsia" w:ascii="宋体" w:hAnsi="宋体" w:eastAsia="宋体" w:cs="宋体"/>
                      <w:b/>
                      <w:bCs/>
                      <w:color w:val="auto"/>
                      <w:sz w:val="24"/>
                      <w:szCs w:val="24"/>
                      <w:highlight w:val="none"/>
                    </w:rPr>
                    <w:t>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类</w:t>
                  </w:r>
                </w:p>
                <w:p w14:paraId="7853EF9C">
                  <w:pPr>
                    <w:ind w:firstLine="1205" w:firstLineChars="5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率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型</w:t>
                  </w:r>
                </w:p>
                <w:p w14:paraId="3325DE4A">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中标金额</w:t>
                  </w:r>
                </w:p>
                <w:p w14:paraId="048D65A9">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（万元）</w:t>
                  </w:r>
                </w:p>
              </w:tc>
              <w:tc>
                <w:tcPr>
                  <w:tcW w:w="1279" w:type="dxa"/>
                  <w:noWrap w:val="0"/>
                  <w:vAlign w:val="center"/>
                </w:tcPr>
                <w:p w14:paraId="2FF712D5">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货物招标</w:t>
                  </w:r>
                </w:p>
              </w:tc>
              <w:tc>
                <w:tcPr>
                  <w:tcW w:w="1346" w:type="dxa"/>
                  <w:noWrap w:val="0"/>
                  <w:vAlign w:val="center"/>
                </w:tcPr>
                <w:p w14:paraId="03377852">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服务招标</w:t>
                  </w:r>
                </w:p>
              </w:tc>
              <w:tc>
                <w:tcPr>
                  <w:tcW w:w="1125" w:type="dxa"/>
                  <w:noWrap w:val="0"/>
                  <w:vAlign w:val="center"/>
                </w:tcPr>
                <w:p w14:paraId="3E2597A0">
                  <w:pPr>
                    <w:ind w:right="-170" w:rightChars="-71"/>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工程招标</w:t>
                  </w:r>
                </w:p>
              </w:tc>
            </w:tr>
            <w:tr w14:paraId="4C380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3" w:type="dxa"/>
                  <w:noWrap w:val="0"/>
                  <w:vAlign w:val="top"/>
                </w:tcPr>
                <w:p w14:paraId="405B5637">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100以下</w:t>
                  </w:r>
                </w:p>
              </w:tc>
              <w:tc>
                <w:tcPr>
                  <w:tcW w:w="1279" w:type="dxa"/>
                  <w:noWrap w:val="0"/>
                  <w:vAlign w:val="top"/>
                </w:tcPr>
                <w:p w14:paraId="14573535">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1346" w:type="dxa"/>
                  <w:noWrap w:val="0"/>
                  <w:vAlign w:val="top"/>
                </w:tcPr>
                <w:p w14:paraId="0EC5F47E">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1125" w:type="dxa"/>
                  <w:noWrap w:val="0"/>
                  <w:vAlign w:val="top"/>
                </w:tcPr>
                <w:p w14:paraId="3F22CB18">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r>
            <w:tr w14:paraId="149BA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3" w:type="dxa"/>
                  <w:noWrap w:val="0"/>
                  <w:vAlign w:val="top"/>
                </w:tcPr>
                <w:p w14:paraId="2D80269D">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100-500</w:t>
                  </w:r>
                </w:p>
              </w:tc>
              <w:tc>
                <w:tcPr>
                  <w:tcW w:w="1279" w:type="dxa"/>
                  <w:noWrap w:val="0"/>
                  <w:vAlign w:val="top"/>
                </w:tcPr>
                <w:p w14:paraId="33866C4E">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346" w:type="dxa"/>
                  <w:noWrap w:val="0"/>
                  <w:vAlign w:val="top"/>
                </w:tcPr>
                <w:p w14:paraId="32DB414C">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0.8%</w:t>
                  </w:r>
                </w:p>
              </w:tc>
              <w:tc>
                <w:tcPr>
                  <w:tcW w:w="1125" w:type="dxa"/>
                  <w:noWrap w:val="0"/>
                  <w:vAlign w:val="top"/>
                </w:tcPr>
                <w:p w14:paraId="66ABBD17">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0.7%</w:t>
                  </w:r>
                </w:p>
              </w:tc>
            </w:tr>
            <w:tr w14:paraId="43AF9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3" w:type="dxa"/>
                  <w:noWrap w:val="0"/>
                  <w:vAlign w:val="top"/>
                </w:tcPr>
                <w:p w14:paraId="35E475FE">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500-1000</w:t>
                  </w:r>
                </w:p>
              </w:tc>
              <w:tc>
                <w:tcPr>
                  <w:tcW w:w="1279" w:type="dxa"/>
                  <w:noWrap w:val="0"/>
                  <w:vAlign w:val="top"/>
                </w:tcPr>
                <w:p w14:paraId="31C221AB">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0.8%</w:t>
                  </w:r>
                </w:p>
              </w:tc>
              <w:tc>
                <w:tcPr>
                  <w:tcW w:w="1346" w:type="dxa"/>
                  <w:noWrap w:val="0"/>
                  <w:vAlign w:val="top"/>
                </w:tcPr>
                <w:p w14:paraId="13F1B53A">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0.45%</w:t>
                  </w:r>
                </w:p>
              </w:tc>
              <w:tc>
                <w:tcPr>
                  <w:tcW w:w="1125" w:type="dxa"/>
                  <w:noWrap w:val="0"/>
                  <w:vAlign w:val="top"/>
                </w:tcPr>
                <w:p w14:paraId="568511F8">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0.55%</w:t>
                  </w:r>
                </w:p>
              </w:tc>
            </w:tr>
            <w:tr w14:paraId="20087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3" w:type="dxa"/>
                  <w:noWrap w:val="0"/>
                  <w:vAlign w:val="top"/>
                </w:tcPr>
                <w:p w14:paraId="16292959">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1000-5000</w:t>
                  </w:r>
                </w:p>
              </w:tc>
              <w:tc>
                <w:tcPr>
                  <w:tcW w:w="1279" w:type="dxa"/>
                  <w:noWrap w:val="0"/>
                  <w:vAlign w:val="top"/>
                </w:tcPr>
                <w:p w14:paraId="73CC039C">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0.5%</w:t>
                  </w:r>
                </w:p>
              </w:tc>
              <w:tc>
                <w:tcPr>
                  <w:tcW w:w="1346" w:type="dxa"/>
                  <w:noWrap w:val="0"/>
                  <w:vAlign w:val="top"/>
                </w:tcPr>
                <w:p w14:paraId="752FF077">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0.25%</w:t>
                  </w:r>
                </w:p>
              </w:tc>
              <w:tc>
                <w:tcPr>
                  <w:tcW w:w="1125" w:type="dxa"/>
                  <w:noWrap w:val="0"/>
                  <w:vAlign w:val="top"/>
                </w:tcPr>
                <w:p w14:paraId="4620B282">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0.35%</w:t>
                  </w:r>
                </w:p>
              </w:tc>
            </w:tr>
            <w:tr w14:paraId="7E079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3" w:type="dxa"/>
                  <w:noWrap w:val="0"/>
                  <w:vAlign w:val="top"/>
                </w:tcPr>
                <w:p w14:paraId="2EEF4BD4">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5000-10000</w:t>
                  </w:r>
                </w:p>
              </w:tc>
              <w:tc>
                <w:tcPr>
                  <w:tcW w:w="1279" w:type="dxa"/>
                  <w:noWrap w:val="0"/>
                  <w:vAlign w:val="top"/>
                </w:tcPr>
                <w:p w14:paraId="28CDC7B8">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0.25%</w:t>
                  </w:r>
                </w:p>
              </w:tc>
              <w:tc>
                <w:tcPr>
                  <w:tcW w:w="1346" w:type="dxa"/>
                  <w:noWrap w:val="0"/>
                  <w:vAlign w:val="top"/>
                </w:tcPr>
                <w:p w14:paraId="7D50762B">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0.1%</w:t>
                  </w:r>
                </w:p>
              </w:tc>
              <w:tc>
                <w:tcPr>
                  <w:tcW w:w="1125" w:type="dxa"/>
                  <w:noWrap w:val="0"/>
                  <w:vAlign w:val="top"/>
                </w:tcPr>
                <w:p w14:paraId="38BAC44E">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0.2%</w:t>
                  </w:r>
                </w:p>
              </w:tc>
            </w:tr>
            <w:tr w14:paraId="4CAA7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3" w:type="dxa"/>
                  <w:noWrap w:val="0"/>
                  <w:vAlign w:val="top"/>
                </w:tcPr>
                <w:p w14:paraId="4AD82450">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10000-100000</w:t>
                  </w:r>
                </w:p>
              </w:tc>
              <w:tc>
                <w:tcPr>
                  <w:tcW w:w="1279" w:type="dxa"/>
                  <w:noWrap w:val="0"/>
                  <w:vAlign w:val="top"/>
                </w:tcPr>
                <w:p w14:paraId="032BE200">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0.05%</w:t>
                  </w:r>
                </w:p>
              </w:tc>
              <w:tc>
                <w:tcPr>
                  <w:tcW w:w="1346" w:type="dxa"/>
                  <w:noWrap w:val="0"/>
                  <w:vAlign w:val="top"/>
                </w:tcPr>
                <w:p w14:paraId="2C519FD9">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0.05%</w:t>
                  </w:r>
                </w:p>
              </w:tc>
              <w:tc>
                <w:tcPr>
                  <w:tcW w:w="1125" w:type="dxa"/>
                  <w:noWrap w:val="0"/>
                  <w:vAlign w:val="top"/>
                </w:tcPr>
                <w:p w14:paraId="36B4C31D">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0.05%</w:t>
                  </w:r>
                </w:p>
              </w:tc>
            </w:tr>
            <w:tr w14:paraId="3AF2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3" w:type="dxa"/>
                  <w:noWrap w:val="0"/>
                  <w:vAlign w:val="top"/>
                </w:tcPr>
                <w:p w14:paraId="03F7C460">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1000000以上</w:t>
                  </w:r>
                </w:p>
              </w:tc>
              <w:tc>
                <w:tcPr>
                  <w:tcW w:w="1279" w:type="dxa"/>
                  <w:noWrap w:val="0"/>
                  <w:vAlign w:val="top"/>
                </w:tcPr>
                <w:p w14:paraId="3505263B">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0.01%</w:t>
                  </w:r>
                </w:p>
              </w:tc>
              <w:tc>
                <w:tcPr>
                  <w:tcW w:w="1346" w:type="dxa"/>
                  <w:noWrap w:val="0"/>
                  <w:vAlign w:val="top"/>
                </w:tcPr>
                <w:p w14:paraId="75AAA3F4">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0.01%</w:t>
                  </w:r>
                </w:p>
              </w:tc>
              <w:tc>
                <w:tcPr>
                  <w:tcW w:w="1125" w:type="dxa"/>
                  <w:noWrap w:val="0"/>
                  <w:vAlign w:val="top"/>
                </w:tcPr>
                <w:p w14:paraId="056D37B5">
                  <w:pPr>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0.01%</w:t>
                  </w:r>
                </w:p>
              </w:tc>
            </w:tr>
          </w:tbl>
          <w:p w14:paraId="3499598E">
            <w:pPr>
              <w:pStyle w:val="53"/>
              <w:pageBreakBefore w:val="0"/>
              <w:kinsoku/>
              <w:overflowPunct/>
              <w:bidi w:val="0"/>
              <w:spacing w:before="64" w:beforeLines="20" w:after="64" w:afterLines="20" w:line="360" w:lineRule="auto"/>
              <w:ind w:left="48" w:leftChars="20" w:right="48" w:rightChars="20"/>
              <w:jc w:val="center"/>
              <w:rPr>
                <w:rFonts w:hint="eastAsia" w:ascii="宋体" w:hAnsi="宋体" w:eastAsia="宋体" w:cs="宋体"/>
                <w:color w:val="auto"/>
                <w:kern w:val="2"/>
                <w:sz w:val="24"/>
                <w:szCs w:val="24"/>
                <w:highlight w:val="none"/>
                <w:lang w:val="en-US" w:eastAsia="zh-CN"/>
              </w:rPr>
            </w:pPr>
          </w:p>
        </w:tc>
      </w:tr>
      <w:tr w14:paraId="6478FB63">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833" w:type="dxa"/>
            <w:tcBorders>
              <w:tl2br w:val="nil"/>
              <w:tr2bl w:val="nil"/>
            </w:tcBorders>
            <w:vAlign w:val="center"/>
          </w:tcPr>
          <w:p w14:paraId="170C8C0D">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15</w:t>
            </w:r>
          </w:p>
        </w:tc>
        <w:tc>
          <w:tcPr>
            <w:tcW w:w="2250" w:type="dxa"/>
            <w:tcBorders>
              <w:tl2br w:val="nil"/>
              <w:tr2bl w:val="nil"/>
            </w:tcBorders>
            <w:vAlign w:val="center"/>
          </w:tcPr>
          <w:p w14:paraId="277D2C66">
            <w:pPr>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highlight w:val="none"/>
              </w:rPr>
            </w:pPr>
            <w:r>
              <w:rPr>
                <w:rFonts w:hint="eastAsia" w:ascii="宋体" w:hAnsi="宋体" w:eastAsia="宋体" w:cs="宋体"/>
                <w:color w:val="auto"/>
                <w:highlight w:val="none"/>
              </w:rPr>
              <w:t>供应商确认收到招标文件修改的时间</w:t>
            </w:r>
          </w:p>
        </w:tc>
        <w:tc>
          <w:tcPr>
            <w:tcW w:w="6952" w:type="dxa"/>
            <w:tcBorders>
              <w:tl2br w:val="nil"/>
              <w:tr2bl w:val="nil"/>
            </w:tcBorders>
            <w:vAlign w:val="center"/>
          </w:tcPr>
          <w:p w14:paraId="006F2322">
            <w:pPr>
              <w:keepNext w:val="0"/>
              <w:keepLines w:val="0"/>
              <w:pageBreakBefore w:val="0"/>
              <w:kinsoku/>
              <w:wordWrap/>
              <w:overflowPunct/>
              <w:topLinePunct w:val="0"/>
              <w:bidi w:val="0"/>
              <w:adjustRightInd/>
              <w:spacing w:before="67" w:beforeLines="20" w:after="67" w:afterLines="20"/>
              <w:ind w:left="48" w:leftChars="20" w:right="48" w:rightChars="20"/>
              <w:jc w:val="left"/>
              <w:rPr>
                <w:rFonts w:hint="eastAsia" w:ascii="宋体" w:hAnsi="宋体" w:eastAsia="宋体" w:cs="宋体"/>
                <w:color w:val="auto"/>
                <w:highlight w:val="none"/>
              </w:rPr>
            </w:pPr>
            <w:r>
              <w:rPr>
                <w:rFonts w:hint="eastAsia" w:ascii="宋体" w:hAnsi="宋体" w:eastAsia="宋体" w:cs="宋体"/>
                <w:color w:val="auto"/>
                <w:highlight w:val="none"/>
              </w:rPr>
              <w:t>登录云南省政府采购网（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"http://www.yngp.com）、云南省公共资源交易信息平台（www.ynggzyxx.gov.cn）和曲靖市公共资源交易电子服务系统（jyxt.qjggzyxx.gov.cn）上发布"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www.yngp.com）“政采云”平台（http：//www.zcygov.cn）</w:t>
            </w:r>
            <w:r>
              <w:rPr>
                <w:rFonts w:hint="eastAsia" w:ascii="宋体" w:hAnsi="宋体" w:eastAsia="宋体" w:cs="宋体"/>
                <w:color w:val="auto"/>
                <w:highlight w:val="none"/>
                <w:lang w:val="en-US" w:eastAsia="zh-CN"/>
              </w:rPr>
              <w:t>和中国招标投标公共服务平台（http://www.cebpubservice.com/）</w:t>
            </w:r>
            <w:r>
              <w:rPr>
                <w:rFonts w:hint="eastAsia" w:ascii="宋体" w:hAnsi="宋体" w:eastAsia="宋体" w:cs="宋体"/>
                <w:color w:val="auto"/>
                <w:highlight w:val="none"/>
              </w:rPr>
              <w:t>及时查看，不需要另行回复确认。</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cr/>
            </w:r>
          </w:p>
        </w:tc>
      </w:tr>
      <w:tr w14:paraId="35D2A3C0">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833" w:type="dxa"/>
            <w:tcBorders>
              <w:tl2br w:val="nil"/>
              <w:tr2bl w:val="nil"/>
            </w:tcBorders>
            <w:vAlign w:val="center"/>
          </w:tcPr>
          <w:p w14:paraId="212861AD">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16</w:t>
            </w:r>
          </w:p>
        </w:tc>
        <w:tc>
          <w:tcPr>
            <w:tcW w:w="2250" w:type="dxa"/>
            <w:tcBorders>
              <w:tl2br w:val="nil"/>
              <w:tr2bl w:val="nil"/>
            </w:tcBorders>
            <w:vAlign w:val="center"/>
          </w:tcPr>
          <w:p w14:paraId="4004E3F9">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投标有效期</w:t>
            </w:r>
          </w:p>
        </w:tc>
        <w:tc>
          <w:tcPr>
            <w:tcW w:w="6952" w:type="dxa"/>
            <w:tcBorders>
              <w:tl2br w:val="nil"/>
              <w:tr2bl w:val="nil"/>
            </w:tcBorders>
            <w:vAlign w:val="center"/>
          </w:tcPr>
          <w:p w14:paraId="3AA8D562">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color w:val="auto"/>
                <w:szCs w:val="24"/>
                <w:highlight w:val="none"/>
              </w:rPr>
            </w:pPr>
            <w:r>
              <w:rPr>
                <w:rFonts w:hint="eastAsia" w:ascii="宋体" w:hAnsi="宋体" w:eastAsia="宋体" w:cs="宋体"/>
                <w:color w:val="auto"/>
                <w:szCs w:val="24"/>
                <w:highlight w:val="none"/>
              </w:rPr>
              <w:t>从提交投标文件截止之日起</w:t>
            </w:r>
            <w:r>
              <w:rPr>
                <w:rFonts w:hint="eastAsia" w:ascii="宋体" w:hAnsi="宋体" w:eastAsia="宋体" w:cs="宋体"/>
                <w:color w:val="auto"/>
                <w:szCs w:val="24"/>
                <w:highlight w:val="none"/>
                <w:u w:val="single"/>
              </w:rPr>
              <w:t>90</w:t>
            </w:r>
            <w:r>
              <w:rPr>
                <w:rFonts w:hint="eastAsia" w:ascii="宋体" w:hAnsi="宋体" w:eastAsia="宋体" w:cs="宋体"/>
                <w:color w:val="auto"/>
                <w:szCs w:val="24"/>
                <w:highlight w:val="none"/>
              </w:rPr>
              <w:t>日历天</w:t>
            </w:r>
          </w:p>
        </w:tc>
      </w:tr>
      <w:tr w14:paraId="3AEE3C83">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3" w:type="dxa"/>
            <w:tcBorders>
              <w:tl2br w:val="nil"/>
              <w:tr2bl w:val="nil"/>
            </w:tcBorders>
            <w:vAlign w:val="center"/>
          </w:tcPr>
          <w:p w14:paraId="68C744A2">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17</w:t>
            </w:r>
          </w:p>
        </w:tc>
        <w:tc>
          <w:tcPr>
            <w:tcW w:w="2250" w:type="dxa"/>
            <w:tcBorders>
              <w:tl2br w:val="nil"/>
              <w:tr2bl w:val="nil"/>
            </w:tcBorders>
            <w:vAlign w:val="center"/>
          </w:tcPr>
          <w:p w14:paraId="21A26FAD">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投标保证金</w:t>
            </w:r>
          </w:p>
        </w:tc>
        <w:tc>
          <w:tcPr>
            <w:tcW w:w="6952" w:type="dxa"/>
            <w:tcBorders>
              <w:tl2br w:val="nil"/>
              <w:tr2bl w:val="nil"/>
            </w:tcBorders>
            <w:vAlign w:val="center"/>
          </w:tcPr>
          <w:p w14:paraId="53F59565">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本项目不收取保证金。</w:t>
            </w:r>
          </w:p>
        </w:tc>
      </w:tr>
      <w:tr w14:paraId="6B30F6B9">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3" w:type="dxa"/>
            <w:tcBorders>
              <w:tl2br w:val="nil"/>
              <w:tr2bl w:val="nil"/>
            </w:tcBorders>
            <w:vAlign w:val="center"/>
          </w:tcPr>
          <w:p w14:paraId="16E9A6C2">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18</w:t>
            </w:r>
          </w:p>
        </w:tc>
        <w:tc>
          <w:tcPr>
            <w:tcW w:w="2250" w:type="dxa"/>
            <w:tcBorders>
              <w:tl2br w:val="nil"/>
              <w:tr2bl w:val="nil"/>
            </w:tcBorders>
            <w:vAlign w:val="center"/>
          </w:tcPr>
          <w:p w14:paraId="30F759D8">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是否允许递交备选投标方案</w:t>
            </w:r>
          </w:p>
        </w:tc>
        <w:tc>
          <w:tcPr>
            <w:tcW w:w="6952" w:type="dxa"/>
            <w:tcBorders>
              <w:tl2br w:val="nil"/>
              <w:tr2bl w:val="nil"/>
            </w:tcBorders>
            <w:vAlign w:val="center"/>
          </w:tcPr>
          <w:p w14:paraId="119C857E">
            <w:pPr>
              <w:pStyle w:val="12"/>
              <w:keepNext w:val="0"/>
              <w:keepLines w:val="0"/>
              <w:pageBreakBefore w:val="0"/>
              <w:kinsoku/>
              <w:wordWrap/>
              <w:overflowPunct/>
              <w:topLinePunct w:val="0"/>
              <w:bidi w:val="0"/>
              <w:adjustRightInd/>
              <w:spacing w:before="67" w:beforeLines="20" w:after="67" w:afterLines="20"/>
              <w:ind w:left="48" w:leftChars="20" w:right="48" w:rightChars="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不允许</w:t>
            </w:r>
          </w:p>
        </w:tc>
      </w:tr>
      <w:tr w14:paraId="2A7B0637">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3" w:type="dxa"/>
            <w:tcBorders>
              <w:tl2br w:val="nil"/>
              <w:tr2bl w:val="nil"/>
            </w:tcBorders>
            <w:vAlign w:val="center"/>
          </w:tcPr>
          <w:p w14:paraId="102DD1E4">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19</w:t>
            </w:r>
          </w:p>
        </w:tc>
        <w:tc>
          <w:tcPr>
            <w:tcW w:w="2250" w:type="dxa"/>
            <w:tcBorders>
              <w:tl2br w:val="nil"/>
              <w:tr2bl w:val="nil"/>
            </w:tcBorders>
            <w:vAlign w:val="center"/>
          </w:tcPr>
          <w:p w14:paraId="07D6428F">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分包</w:t>
            </w:r>
          </w:p>
        </w:tc>
        <w:tc>
          <w:tcPr>
            <w:tcW w:w="6952" w:type="dxa"/>
            <w:tcBorders>
              <w:tl2br w:val="nil"/>
              <w:tr2bl w:val="nil"/>
            </w:tcBorders>
            <w:vAlign w:val="center"/>
          </w:tcPr>
          <w:p w14:paraId="7BCA3033">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本项目不允许分包。</w:t>
            </w:r>
          </w:p>
        </w:tc>
      </w:tr>
      <w:tr w14:paraId="09E810D6">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3" w:type="dxa"/>
            <w:tcBorders>
              <w:tl2br w:val="nil"/>
              <w:tr2bl w:val="nil"/>
            </w:tcBorders>
            <w:vAlign w:val="center"/>
          </w:tcPr>
          <w:p w14:paraId="1056229A">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20</w:t>
            </w:r>
          </w:p>
        </w:tc>
        <w:tc>
          <w:tcPr>
            <w:tcW w:w="2250" w:type="dxa"/>
            <w:tcBorders>
              <w:tl2br w:val="nil"/>
              <w:tr2bl w:val="nil"/>
            </w:tcBorders>
            <w:vAlign w:val="center"/>
          </w:tcPr>
          <w:p w14:paraId="5F6462D6">
            <w:pPr>
              <w:pageBreakBefore w:val="0"/>
              <w:kinsoku/>
              <w:overflowPunct/>
              <w:bidi w:val="0"/>
              <w:spacing w:before="64" w:beforeLines="20" w:after="64" w:afterLines="20" w:line="360" w:lineRule="auto"/>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 w:val="24"/>
                <w:szCs w:val="24"/>
                <w:highlight w:val="none"/>
              </w:rPr>
              <w:t>电子投标文件格式</w:t>
            </w:r>
          </w:p>
        </w:tc>
        <w:tc>
          <w:tcPr>
            <w:tcW w:w="6952" w:type="dxa"/>
            <w:tcBorders>
              <w:tl2br w:val="nil"/>
              <w:tr2bl w:val="nil"/>
            </w:tcBorders>
            <w:vAlign w:val="center"/>
          </w:tcPr>
          <w:p w14:paraId="5545A69E">
            <w:pPr>
              <w:pStyle w:val="53"/>
              <w:pageBreakBefore w:val="0"/>
              <w:kinsoku/>
              <w:overflowPunct/>
              <w:bidi w:val="0"/>
              <w:spacing w:before="64" w:beforeLines="20" w:after="64" w:afterLines="20" w:line="360" w:lineRule="auto"/>
              <w:ind w:left="48" w:leftChars="20" w:right="48" w:rightChars="20"/>
              <w:jc w:val="both"/>
              <w:rPr>
                <w:rFonts w:hint="eastAsia" w:ascii="宋体" w:hAnsi="宋体" w:eastAsia="宋体" w:cs="宋体"/>
                <w:color w:val="auto"/>
                <w:kern w:val="0"/>
                <w:szCs w:val="24"/>
                <w:highlight w:val="none"/>
              </w:rPr>
            </w:pPr>
            <w:r>
              <w:rPr>
                <w:rFonts w:hint="eastAsia" w:ascii="宋体" w:hAnsi="宋体" w:eastAsia="宋体" w:cs="宋体"/>
                <w:color w:val="auto"/>
                <w:kern w:val="2"/>
                <w:sz w:val="24"/>
                <w:szCs w:val="24"/>
                <w:highlight w:val="none"/>
              </w:rPr>
              <w:t>投标文件全部采用电子文档，</w:t>
            </w:r>
            <w:r>
              <w:rPr>
                <w:rFonts w:hint="eastAsia" w:ascii="宋体" w:hAnsi="宋体" w:eastAsia="宋体" w:cs="宋体"/>
                <w:color w:val="auto"/>
                <w:kern w:val="2"/>
                <w:sz w:val="24"/>
                <w:szCs w:val="24"/>
                <w:highlight w:val="none"/>
                <w:lang w:eastAsia="zh-CN"/>
              </w:rPr>
              <w:t>供应商</w:t>
            </w:r>
            <w:r>
              <w:rPr>
                <w:rFonts w:hint="eastAsia" w:ascii="宋体" w:hAnsi="宋体" w:eastAsia="宋体" w:cs="宋体"/>
                <w:color w:val="auto"/>
                <w:kern w:val="2"/>
                <w:sz w:val="24"/>
                <w:szCs w:val="24"/>
                <w:highlight w:val="none"/>
              </w:rPr>
              <w:t>应安装客户端软件—“政采云电子交易客户端”，并按照招标文件和政采云电子交易平台的要求编制</w:t>
            </w:r>
          </w:p>
        </w:tc>
      </w:tr>
      <w:tr w14:paraId="57960798">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3" w:type="dxa"/>
            <w:tcBorders>
              <w:tl2br w:val="nil"/>
              <w:tr2bl w:val="nil"/>
            </w:tcBorders>
            <w:vAlign w:val="center"/>
          </w:tcPr>
          <w:p w14:paraId="11DB777A">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21</w:t>
            </w:r>
          </w:p>
        </w:tc>
        <w:tc>
          <w:tcPr>
            <w:tcW w:w="2250" w:type="dxa"/>
            <w:tcBorders>
              <w:tl2br w:val="nil"/>
              <w:tr2bl w:val="nil"/>
            </w:tcBorders>
            <w:vAlign w:val="center"/>
          </w:tcPr>
          <w:p w14:paraId="0A0297B9">
            <w:pPr>
              <w:pageBreakBefore w:val="0"/>
              <w:kinsoku/>
              <w:overflowPunct/>
              <w:bidi w:val="0"/>
              <w:spacing w:before="64" w:beforeLines="20" w:after="64" w:afterLines="20" w:line="360" w:lineRule="auto"/>
              <w:ind w:left="48" w:leftChars="20" w:right="48" w:rightChars="20"/>
              <w:jc w:val="center"/>
              <w:rPr>
                <w:rFonts w:hint="eastAsia" w:ascii="宋体" w:hAnsi="宋体" w:eastAsia="宋体" w:cs="宋体"/>
                <w:bCs/>
                <w:color w:val="auto"/>
                <w:highlight w:val="none"/>
              </w:rPr>
            </w:pPr>
            <w:r>
              <w:rPr>
                <w:rFonts w:hint="eastAsia" w:ascii="宋体" w:hAnsi="宋体" w:eastAsia="宋体" w:cs="宋体"/>
                <w:color w:val="auto"/>
                <w:kern w:val="2"/>
                <w:sz w:val="24"/>
                <w:szCs w:val="24"/>
                <w:highlight w:val="none"/>
              </w:rPr>
              <w:t>投标文件加密要求</w:t>
            </w:r>
          </w:p>
        </w:tc>
        <w:tc>
          <w:tcPr>
            <w:tcW w:w="6952" w:type="dxa"/>
            <w:tcBorders>
              <w:tl2br w:val="nil"/>
              <w:tr2bl w:val="nil"/>
            </w:tcBorders>
            <w:vAlign w:val="center"/>
          </w:tcPr>
          <w:p w14:paraId="3205E6FD">
            <w:pPr>
              <w:pStyle w:val="53"/>
              <w:pageBreakBefore w:val="0"/>
              <w:kinsoku/>
              <w:overflowPunct/>
              <w:bidi w:val="0"/>
              <w:spacing w:before="64" w:beforeLines="20" w:after="64" w:afterLines="20" w:line="360" w:lineRule="auto"/>
              <w:ind w:left="48" w:leftChars="20" w:right="48" w:rightChars="2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eastAsia="zh-CN"/>
              </w:rPr>
              <w:t>供应商</w:t>
            </w:r>
            <w:r>
              <w:rPr>
                <w:rFonts w:hint="eastAsia" w:ascii="宋体" w:hAnsi="宋体" w:eastAsia="宋体" w:cs="宋体"/>
                <w:color w:val="auto"/>
                <w:kern w:val="2"/>
                <w:sz w:val="24"/>
                <w:szCs w:val="24"/>
                <w:highlight w:val="none"/>
              </w:rPr>
              <w:t>进行电子交易应安装客户端软件—“政采云电子交易客户端”，并按照招标文件和电子交易平台的要求编制并加密投标文件。</w:t>
            </w:r>
            <w:r>
              <w:rPr>
                <w:rFonts w:hint="eastAsia" w:ascii="宋体" w:hAnsi="宋体" w:eastAsia="宋体" w:cs="宋体"/>
                <w:color w:val="auto"/>
                <w:kern w:val="2"/>
                <w:sz w:val="24"/>
                <w:szCs w:val="24"/>
                <w:highlight w:val="none"/>
                <w:lang w:eastAsia="zh-CN"/>
              </w:rPr>
              <w:t>供应商</w:t>
            </w:r>
            <w:r>
              <w:rPr>
                <w:rFonts w:hint="eastAsia" w:ascii="宋体" w:hAnsi="宋体" w:eastAsia="宋体" w:cs="宋体"/>
                <w:color w:val="auto"/>
                <w:kern w:val="2"/>
                <w:sz w:val="24"/>
                <w:szCs w:val="24"/>
                <w:highlight w:val="none"/>
              </w:rPr>
              <w:t>未按规定加密的投标文件，电子交易平台将拒收并提示；</w:t>
            </w:r>
          </w:p>
          <w:p w14:paraId="6BBE68E2">
            <w:pPr>
              <w:pStyle w:val="53"/>
              <w:pageBreakBefore w:val="0"/>
              <w:kinsoku/>
              <w:overflowPunct/>
              <w:bidi w:val="0"/>
              <w:spacing w:before="64" w:beforeLines="20" w:after="64" w:afterLines="20" w:line="360" w:lineRule="auto"/>
              <w:ind w:left="48" w:leftChars="20" w:right="48" w:rightChars="2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（2）使用“政采云电子交易客户端”需要提前申领 CA 数字证书，申领流程见该项目招标公告附件；</w:t>
            </w:r>
          </w:p>
          <w:p w14:paraId="332A1F0C">
            <w:pPr>
              <w:pStyle w:val="53"/>
              <w:pageBreakBefore w:val="0"/>
              <w:kinsoku/>
              <w:overflowPunct/>
              <w:bidi w:val="0"/>
              <w:spacing w:before="64" w:beforeLines="20" w:after="64" w:afterLines="20" w:line="360" w:lineRule="auto"/>
              <w:ind w:left="48" w:leftChars="20" w:right="48" w:rightChars="20"/>
              <w:jc w:val="both"/>
              <w:rPr>
                <w:rFonts w:hint="eastAsia" w:ascii="宋体" w:hAnsi="宋体" w:eastAsia="宋体" w:cs="宋体"/>
                <w:bCs/>
                <w:color w:val="auto"/>
                <w:highlight w:val="none"/>
              </w:rPr>
            </w:pPr>
            <w:r>
              <w:rPr>
                <w:rFonts w:hint="eastAsia" w:ascii="宋体" w:hAnsi="宋体" w:eastAsia="宋体" w:cs="宋体"/>
                <w:color w:val="auto"/>
                <w:kern w:val="2"/>
                <w:sz w:val="24"/>
                <w:szCs w:val="24"/>
                <w:highlight w:val="none"/>
              </w:rPr>
              <w:t>（3）为确保网上操作合法、有效和安全，</w:t>
            </w:r>
            <w:r>
              <w:rPr>
                <w:rFonts w:hint="eastAsia" w:ascii="宋体" w:hAnsi="宋体" w:eastAsia="宋体" w:cs="宋体"/>
                <w:color w:val="auto"/>
                <w:kern w:val="2"/>
                <w:sz w:val="24"/>
                <w:szCs w:val="24"/>
                <w:highlight w:val="none"/>
                <w:lang w:eastAsia="zh-CN"/>
              </w:rPr>
              <w:t>供应商</w:t>
            </w:r>
            <w:r>
              <w:rPr>
                <w:rFonts w:hint="eastAsia" w:ascii="宋体" w:hAnsi="宋体" w:eastAsia="宋体" w:cs="宋体"/>
                <w:color w:val="auto"/>
                <w:kern w:val="2"/>
                <w:sz w:val="24"/>
                <w:szCs w:val="24"/>
                <w:highlight w:val="none"/>
              </w:rPr>
              <w:t>应当在投标文件提交截止时间前完成在“政府采购云平台”的身份认证，确保在电子交易过程中能够对相关数据电文进行加密和使用电子签名。</w:t>
            </w:r>
          </w:p>
        </w:tc>
      </w:tr>
      <w:tr w14:paraId="093C536B">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3" w:type="dxa"/>
            <w:tcBorders>
              <w:tl2br w:val="nil"/>
              <w:tr2bl w:val="nil"/>
            </w:tcBorders>
            <w:vAlign w:val="center"/>
          </w:tcPr>
          <w:p w14:paraId="04791E21">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w:t>
            </w:r>
            <w:r>
              <w:rPr>
                <w:rFonts w:hint="eastAsia" w:ascii="宋体" w:hAnsi="宋体" w:eastAsia="宋体" w:cs="宋体"/>
                <w:color w:val="auto"/>
                <w:szCs w:val="24"/>
                <w:highlight w:val="none"/>
              </w:rPr>
              <w:t>2</w:t>
            </w:r>
          </w:p>
        </w:tc>
        <w:tc>
          <w:tcPr>
            <w:tcW w:w="2250" w:type="dxa"/>
            <w:tcBorders>
              <w:tl2br w:val="nil"/>
              <w:tr2bl w:val="nil"/>
            </w:tcBorders>
            <w:vAlign w:val="center"/>
          </w:tcPr>
          <w:p w14:paraId="182D35E0">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bCs/>
                <w:color w:val="auto"/>
                <w:highlight w:val="none"/>
              </w:rPr>
            </w:pPr>
            <w:r>
              <w:rPr>
                <w:rFonts w:hint="eastAsia" w:ascii="宋体" w:hAnsi="宋体" w:eastAsia="宋体" w:cs="宋体"/>
                <w:color w:val="auto"/>
                <w:szCs w:val="24"/>
                <w:highlight w:val="none"/>
              </w:rPr>
              <w:t>投标文件的</w:t>
            </w:r>
            <w:r>
              <w:rPr>
                <w:rFonts w:hint="eastAsia" w:ascii="宋体" w:hAnsi="宋体" w:eastAsia="宋体" w:cs="宋体"/>
                <w:color w:val="auto"/>
                <w:highlight w:val="none"/>
                <w:lang w:val="en-US" w:eastAsia="zh-CN"/>
              </w:rPr>
              <w:t>电子签章或签字</w:t>
            </w:r>
            <w:r>
              <w:rPr>
                <w:rFonts w:hint="eastAsia" w:ascii="宋体" w:hAnsi="宋体" w:eastAsia="宋体" w:cs="宋体"/>
                <w:color w:val="auto"/>
                <w:szCs w:val="24"/>
                <w:highlight w:val="none"/>
              </w:rPr>
              <w:t>要求</w:t>
            </w:r>
          </w:p>
        </w:tc>
        <w:tc>
          <w:tcPr>
            <w:tcW w:w="6952" w:type="dxa"/>
            <w:tcBorders>
              <w:tl2br w:val="nil"/>
              <w:tr2bl w:val="nil"/>
            </w:tcBorders>
            <w:vAlign w:val="center"/>
          </w:tcPr>
          <w:p w14:paraId="6DAD8D0E">
            <w:pPr>
              <w:keepNext w:val="0"/>
              <w:keepLines w:val="0"/>
              <w:pageBreakBefore w:val="0"/>
              <w:kinsoku/>
              <w:wordWrap/>
              <w:overflowPunct/>
              <w:topLinePunct w:val="0"/>
              <w:bidi w:val="0"/>
              <w:adjustRightInd/>
              <w:spacing w:before="67" w:beforeLines="20" w:after="67" w:afterLines="20"/>
              <w:ind w:left="48" w:leftChars="20" w:right="48" w:rightChars="20" w:firstLine="4" w:firstLineChars="2"/>
              <w:rPr>
                <w:rFonts w:hint="eastAsia" w:ascii="宋体" w:hAnsi="宋体" w:eastAsia="宋体" w:cs="宋体"/>
                <w:bCs/>
                <w:color w:val="auto"/>
                <w:highlight w:val="none"/>
              </w:rPr>
            </w:pPr>
            <w:r>
              <w:rPr>
                <w:rFonts w:hint="eastAsia" w:ascii="宋体" w:hAnsi="宋体" w:eastAsia="宋体" w:cs="宋体"/>
                <w:color w:val="auto"/>
                <w:highlight w:val="none"/>
              </w:rPr>
              <w:t>投标文件全部采用电子文档，除</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须知前附表另有规定外，投标文件所附证书证件均为原件扫描件，并采用单位和个人数字证书，按招标文件要求在相应位置加盖电子签章。由</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的法定代表人（单位负责人）签字或加盖电子签章的，应附法定代表人（单位负责人）身份证明，由代理人签字或加盖电子签章的，应附由法定代表人（单位负责人）签署的授权委托书。未按采购文件要求进行</w:t>
            </w:r>
            <w:r>
              <w:rPr>
                <w:rFonts w:hint="eastAsia" w:ascii="宋体" w:hAnsi="宋体" w:eastAsia="宋体" w:cs="宋体"/>
                <w:color w:val="auto"/>
                <w:highlight w:val="none"/>
                <w:lang w:val="en-US" w:eastAsia="zh-CN"/>
              </w:rPr>
              <w:t>电子签章或签字</w:t>
            </w:r>
            <w:r>
              <w:rPr>
                <w:rFonts w:hint="eastAsia" w:ascii="宋体" w:hAnsi="宋体" w:eastAsia="宋体" w:cs="宋体"/>
                <w:color w:val="auto"/>
                <w:highlight w:val="none"/>
              </w:rPr>
              <w:t>的其投标文件将被否决。</w:t>
            </w:r>
          </w:p>
        </w:tc>
      </w:tr>
      <w:tr w14:paraId="784A6728">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3" w:type="dxa"/>
            <w:tcBorders>
              <w:tl2br w:val="nil"/>
              <w:tr2bl w:val="nil"/>
            </w:tcBorders>
            <w:vAlign w:val="center"/>
          </w:tcPr>
          <w:p w14:paraId="359555B5">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23</w:t>
            </w:r>
          </w:p>
        </w:tc>
        <w:tc>
          <w:tcPr>
            <w:tcW w:w="2250" w:type="dxa"/>
            <w:tcBorders>
              <w:tl2br w:val="nil"/>
              <w:tr2bl w:val="nil"/>
            </w:tcBorders>
            <w:vAlign w:val="center"/>
          </w:tcPr>
          <w:p w14:paraId="5CE0B014">
            <w:pPr>
              <w:pageBreakBefore w:val="0"/>
              <w:kinsoku/>
              <w:overflowPunct/>
              <w:bidi w:val="0"/>
              <w:spacing w:before="64" w:beforeLines="20" w:after="64" w:afterLines="20" w:line="360" w:lineRule="auto"/>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kern w:val="2"/>
                <w:sz w:val="24"/>
                <w:szCs w:val="24"/>
                <w:highlight w:val="none"/>
              </w:rPr>
              <w:t>投标文件所附证书证件要求、投标文件签字或盖章要求</w:t>
            </w:r>
          </w:p>
        </w:tc>
        <w:tc>
          <w:tcPr>
            <w:tcW w:w="6952" w:type="dxa"/>
            <w:tcBorders>
              <w:tl2br w:val="nil"/>
              <w:tr2bl w:val="nil"/>
            </w:tcBorders>
            <w:vAlign w:val="center"/>
          </w:tcPr>
          <w:p w14:paraId="580E280D">
            <w:pPr>
              <w:pStyle w:val="53"/>
              <w:pageBreakBefore w:val="0"/>
              <w:kinsoku/>
              <w:overflowPunct/>
              <w:bidi w:val="0"/>
              <w:spacing w:before="64" w:beforeLines="20" w:after="64" w:afterLines="20" w:line="360" w:lineRule="auto"/>
              <w:ind w:left="48" w:leftChars="20" w:right="48" w:rightChars="20"/>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投标文件所附证书证件要求：原件扫描件</w:t>
            </w:r>
            <w:r>
              <w:rPr>
                <w:rFonts w:hint="eastAsia" w:ascii="宋体" w:hAnsi="宋体" w:eastAsia="宋体" w:cs="宋体"/>
                <w:color w:val="auto"/>
                <w:kern w:val="2"/>
                <w:sz w:val="24"/>
                <w:szCs w:val="24"/>
                <w:highlight w:val="none"/>
                <w:lang w:eastAsia="zh-CN"/>
              </w:rPr>
              <w:t>；</w:t>
            </w:r>
          </w:p>
          <w:p w14:paraId="685CF36D">
            <w:pPr>
              <w:pStyle w:val="53"/>
              <w:pageBreakBefore w:val="0"/>
              <w:kinsoku/>
              <w:overflowPunct/>
              <w:bidi w:val="0"/>
              <w:spacing w:before="64" w:beforeLines="20" w:after="64" w:afterLines="20" w:line="360" w:lineRule="auto"/>
              <w:ind w:left="48" w:leftChars="20" w:right="48" w:rightChars="20"/>
              <w:jc w:val="both"/>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rPr>
              <w:t>投标文件签字或盖章要求：签字或加盖电子签章</w:t>
            </w:r>
            <w:r>
              <w:rPr>
                <w:rFonts w:hint="eastAsia" w:ascii="宋体" w:hAnsi="宋体" w:eastAsia="宋体" w:cs="宋体"/>
                <w:color w:val="auto"/>
                <w:kern w:val="2"/>
                <w:sz w:val="24"/>
                <w:szCs w:val="24"/>
                <w:highlight w:val="none"/>
                <w:lang w:eastAsia="zh-CN"/>
              </w:rPr>
              <w:t>；</w:t>
            </w:r>
          </w:p>
        </w:tc>
      </w:tr>
      <w:tr w14:paraId="2B1A5C55">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833" w:type="dxa"/>
            <w:tcBorders>
              <w:tl2br w:val="nil"/>
              <w:tr2bl w:val="nil"/>
            </w:tcBorders>
            <w:vAlign w:val="center"/>
          </w:tcPr>
          <w:p w14:paraId="2C1FFBAD">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24</w:t>
            </w:r>
          </w:p>
        </w:tc>
        <w:tc>
          <w:tcPr>
            <w:tcW w:w="2250" w:type="dxa"/>
            <w:tcBorders>
              <w:tl2br w:val="nil"/>
              <w:tr2bl w:val="nil"/>
            </w:tcBorders>
            <w:vAlign w:val="center"/>
          </w:tcPr>
          <w:p w14:paraId="1C7D9487">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递交</w:t>
            </w:r>
            <w:r>
              <w:rPr>
                <w:rFonts w:hint="eastAsia" w:ascii="宋体" w:hAnsi="宋体" w:eastAsia="宋体" w:cs="宋体"/>
                <w:color w:val="auto"/>
                <w:szCs w:val="24"/>
                <w:highlight w:val="none"/>
              </w:rPr>
              <w:t>投标文件截止时间</w:t>
            </w:r>
            <w:r>
              <w:rPr>
                <w:rFonts w:hint="eastAsia" w:ascii="宋体" w:hAnsi="宋体" w:eastAsia="宋体" w:cs="宋体"/>
                <w:color w:val="auto"/>
                <w:szCs w:val="24"/>
                <w:highlight w:val="none"/>
                <w:lang w:val="en-US" w:eastAsia="zh-CN"/>
              </w:rPr>
              <w:t>和地点</w:t>
            </w:r>
          </w:p>
        </w:tc>
        <w:tc>
          <w:tcPr>
            <w:tcW w:w="6952" w:type="dxa"/>
            <w:tcBorders>
              <w:tl2br w:val="nil"/>
              <w:tr2bl w:val="nil"/>
            </w:tcBorders>
            <w:vAlign w:val="center"/>
          </w:tcPr>
          <w:p w14:paraId="33902340">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color w:val="auto"/>
                <w:szCs w:val="24"/>
                <w:highlight w:val="none"/>
              </w:rPr>
            </w:pPr>
            <w:r>
              <w:rPr>
                <w:rFonts w:hint="eastAsia" w:ascii="宋体" w:hAnsi="宋体" w:eastAsia="宋体" w:cs="宋体"/>
                <w:color w:val="auto"/>
                <w:szCs w:val="24"/>
                <w:highlight w:val="none"/>
              </w:rPr>
              <w:t>详见招标公告。</w:t>
            </w:r>
          </w:p>
        </w:tc>
      </w:tr>
      <w:tr w14:paraId="15DEEC8D">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833" w:type="dxa"/>
            <w:tcBorders>
              <w:tl2br w:val="nil"/>
              <w:tr2bl w:val="nil"/>
            </w:tcBorders>
            <w:vAlign w:val="center"/>
          </w:tcPr>
          <w:p w14:paraId="4C6A4AD5">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25</w:t>
            </w:r>
          </w:p>
        </w:tc>
        <w:tc>
          <w:tcPr>
            <w:tcW w:w="2250" w:type="dxa"/>
            <w:tcBorders>
              <w:tl2br w:val="nil"/>
              <w:tr2bl w:val="nil"/>
            </w:tcBorders>
            <w:vAlign w:val="center"/>
          </w:tcPr>
          <w:p w14:paraId="3522FB4B">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highlight w:val="none"/>
              </w:rPr>
            </w:pPr>
            <w:r>
              <w:rPr>
                <w:rFonts w:hint="eastAsia" w:ascii="宋体" w:hAnsi="宋体" w:eastAsia="宋体" w:cs="宋体"/>
                <w:color w:val="auto"/>
                <w:szCs w:val="24"/>
                <w:highlight w:val="none"/>
              </w:rPr>
              <w:t>开标时间和地点</w:t>
            </w:r>
          </w:p>
        </w:tc>
        <w:tc>
          <w:tcPr>
            <w:tcW w:w="6952" w:type="dxa"/>
            <w:tcBorders>
              <w:tl2br w:val="nil"/>
              <w:tr2bl w:val="nil"/>
            </w:tcBorders>
            <w:vAlign w:val="center"/>
          </w:tcPr>
          <w:p w14:paraId="139135A3">
            <w:pPr>
              <w:pStyle w:val="12"/>
              <w:keepNext w:val="0"/>
              <w:keepLines w:val="0"/>
              <w:pageBreakBefore w:val="0"/>
              <w:kinsoku/>
              <w:wordWrap/>
              <w:overflowPunct/>
              <w:topLinePunct w:val="0"/>
              <w:bidi w:val="0"/>
              <w:adjustRightInd/>
              <w:spacing w:before="67" w:beforeLines="20" w:after="67" w:afterLines="20"/>
              <w:ind w:left="1248" w:leftChars="20" w:right="48" w:rightChars="20" w:hanging="1200" w:hangingChars="500"/>
              <w:rPr>
                <w:rFonts w:hint="eastAsia" w:ascii="宋体" w:hAnsi="宋体" w:eastAsia="宋体" w:cs="宋体"/>
                <w:color w:val="auto"/>
                <w:highlight w:val="none"/>
              </w:rPr>
            </w:pPr>
            <w:r>
              <w:rPr>
                <w:rFonts w:hint="eastAsia" w:ascii="宋体" w:hAnsi="宋体" w:eastAsia="宋体" w:cs="宋体"/>
                <w:color w:val="auto"/>
                <w:szCs w:val="24"/>
                <w:highlight w:val="none"/>
              </w:rPr>
              <w:t>详见招标公告。</w:t>
            </w:r>
          </w:p>
        </w:tc>
      </w:tr>
      <w:tr w14:paraId="1F2F5935">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33" w:type="dxa"/>
            <w:tcBorders>
              <w:tl2br w:val="nil"/>
              <w:tr2bl w:val="nil"/>
            </w:tcBorders>
            <w:vAlign w:val="center"/>
          </w:tcPr>
          <w:p w14:paraId="32B85E4D">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rPr>
            </w:pPr>
            <w:r>
              <w:rPr>
                <w:rFonts w:hint="eastAsia" w:ascii="宋体" w:hAnsi="宋体" w:eastAsia="宋体" w:cs="宋体"/>
                <w:color w:val="auto"/>
                <w:szCs w:val="24"/>
                <w:highlight w:val="none"/>
                <w:lang w:val="en-US" w:eastAsia="zh-CN"/>
              </w:rPr>
              <w:t>26</w:t>
            </w:r>
          </w:p>
        </w:tc>
        <w:tc>
          <w:tcPr>
            <w:tcW w:w="2250" w:type="dxa"/>
            <w:tcBorders>
              <w:tl2br w:val="nil"/>
              <w:tr2bl w:val="nil"/>
            </w:tcBorders>
            <w:vAlign w:val="center"/>
          </w:tcPr>
          <w:p w14:paraId="3EFF30DE">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评标方法</w:t>
            </w:r>
          </w:p>
        </w:tc>
        <w:tc>
          <w:tcPr>
            <w:tcW w:w="6952" w:type="dxa"/>
            <w:tcBorders>
              <w:tl2br w:val="nil"/>
              <w:tr2bl w:val="nil"/>
            </w:tcBorders>
            <w:vAlign w:val="center"/>
          </w:tcPr>
          <w:p w14:paraId="30FC49D3">
            <w:pPr>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color w:val="auto"/>
                <w:szCs w:val="24"/>
                <w:highlight w:val="none"/>
              </w:rPr>
            </w:pPr>
            <w:r>
              <w:rPr>
                <w:rFonts w:hint="eastAsia" w:ascii="宋体" w:hAnsi="宋体" w:eastAsia="宋体" w:cs="宋体"/>
                <w:color w:val="auto"/>
                <w:highlight w:val="none"/>
              </w:rPr>
              <w:t>■综合评分法</w:t>
            </w:r>
          </w:p>
        </w:tc>
      </w:tr>
      <w:tr w14:paraId="7BC60D24">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833" w:type="dxa"/>
            <w:tcBorders>
              <w:tl2br w:val="nil"/>
              <w:tr2bl w:val="nil"/>
            </w:tcBorders>
            <w:vAlign w:val="center"/>
          </w:tcPr>
          <w:p w14:paraId="7157834A">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27</w:t>
            </w:r>
          </w:p>
        </w:tc>
        <w:tc>
          <w:tcPr>
            <w:tcW w:w="2250" w:type="dxa"/>
            <w:tcBorders>
              <w:tl2br w:val="nil"/>
              <w:tr2bl w:val="nil"/>
            </w:tcBorders>
            <w:vAlign w:val="center"/>
          </w:tcPr>
          <w:p w14:paraId="5D98F870">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评标委员会的组建</w:t>
            </w:r>
          </w:p>
        </w:tc>
        <w:tc>
          <w:tcPr>
            <w:tcW w:w="6952" w:type="dxa"/>
            <w:tcBorders>
              <w:tl2br w:val="nil"/>
              <w:tr2bl w:val="nil"/>
            </w:tcBorders>
            <w:vAlign w:val="center"/>
          </w:tcPr>
          <w:p w14:paraId="4767C777">
            <w:pPr>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color w:val="auto"/>
                <w:highlight w:val="none"/>
              </w:rPr>
            </w:pPr>
            <w:r>
              <w:rPr>
                <w:rFonts w:hint="eastAsia" w:ascii="宋体" w:hAnsi="宋体" w:eastAsia="宋体" w:cs="宋体"/>
                <w:b/>
                <w:bCs/>
                <w:color w:val="auto"/>
                <w:highlight w:val="none"/>
              </w:rPr>
              <w:t>评标委员会构成：</w:t>
            </w:r>
            <w:r>
              <w:rPr>
                <w:rFonts w:hint="eastAsia" w:ascii="宋体" w:hAnsi="宋体" w:eastAsia="宋体" w:cs="宋体"/>
                <w:color w:val="auto"/>
                <w:highlight w:val="none"/>
              </w:rPr>
              <w:t>5人及以上单数，其中采购人代表不超过评标委员会总人数的1/3（限采购人在职人员，且应当具备评标专家相应的或者类似的条件），专家不少于评标委员会总人数的2/3；</w:t>
            </w:r>
          </w:p>
          <w:p w14:paraId="68A783E5">
            <w:pPr>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color w:val="auto"/>
                <w:highlight w:val="none"/>
              </w:rPr>
            </w:pPr>
            <w:r>
              <w:rPr>
                <w:rFonts w:hint="eastAsia" w:ascii="宋体" w:hAnsi="宋体" w:eastAsia="宋体" w:cs="宋体"/>
                <w:b/>
                <w:bCs/>
                <w:color w:val="auto"/>
                <w:highlight w:val="none"/>
              </w:rPr>
              <w:t>评标专家确定方式：</w:t>
            </w:r>
            <w:r>
              <w:rPr>
                <w:rFonts w:hint="eastAsia" w:ascii="宋体" w:hAnsi="宋体" w:eastAsia="宋体" w:cs="宋体"/>
                <w:color w:val="auto"/>
                <w:highlight w:val="none"/>
              </w:rPr>
              <w:t>在政府采购评审专家库中随机抽取，技术复杂、专业性强的，采购人自行选定相应专业领域的评审专家。</w:t>
            </w:r>
          </w:p>
        </w:tc>
      </w:tr>
      <w:tr w14:paraId="6DD6A6CE">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833" w:type="dxa"/>
            <w:tcBorders>
              <w:tl2br w:val="nil"/>
              <w:tr2bl w:val="nil"/>
            </w:tcBorders>
            <w:vAlign w:val="center"/>
          </w:tcPr>
          <w:p w14:paraId="14E68023">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28</w:t>
            </w:r>
          </w:p>
        </w:tc>
        <w:tc>
          <w:tcPr>
            <w:tcW w:w="2250" w:type="dxa"/>
            <w:tcBorders>
              <w:tl2br w:val="nil"/>
              <w:tr2bl w:val="nil"/>
            </w:tcBorders>
            <w:vAlign w:val="center"/>
          </w:tcPr>
          <w:p w14:paraId="02A7CECB">
            <w:pPr>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highlight w:val="none"/>
              </w:rPr>
              <w:t>是否授权评标委员会确定成交人</w:t>
            </w:r>
          </w:p>
        </w:tc>
        <w:tc>
          <w:tcPr>
            <w:tcW w:w="6952" w:type="dxa"/>
            <w:tcBorders>
              <w:tl2br w:val="nil"/>
              <w:tr2bl w:val="nil"/>
            </w:tcBorders>
            <w:vAlign w:val="center"/>
          </w:tcPr>
          <w:p w14:paraId="5B916242">
            <w:pPr>
              <w:keepNext w:val="0"/>
              <w:keepLines w:val="0"/>
              <w:pageBreakBefore w:val="0"/>
              <w:kinsoku/>
              <w:wordWrap/>
              <w:overflowPunct/>
              <w:topLinePunct w:val="0"/>
              <w:bidi w:val="0"/>
              <w:adjustRightInd/>
              <w:spacing w:before="67" w:beforeLines="20" w:after="67" w:afterLines="20"/>
              <w:ind w:left="48" w:leftChars="20" w:right="48" w:rightChars="20"/>
              <w:jc w:val="both"/>
              <w:rPr>
                <w:rFonts w:hint="eastAsia" w:ascii="宋体" w:hAnsi="宋体" w:eastAsia="宋体" w:cs="宋体"/>
                <w:color w:val="auto"/>
                <w:highlight w:val="none"/>
              </w:rPr>
            </w:pPr>
            <w:r>
              <w:rPr>
                <w:rFonts w:hint="eastAsia" w:ascii="宋体" w:hAnsi="宋体" w:eastAsia="宋体" w:cs="宋体"/>
                <w:color w:val="auto"/>
                <w:highlight w:val="none"/>
              </w:rPr>
              <w:t>否。</w:t>
            </w:r>
          </w:p>
          <w:p w14:paraId="40C6AC45">
            <w:pPr>
              <w:keepNext w:val="0"/>
              <w:keepLines w:val="0"/>
              <w:pageBreakBefore w:val="0"/>
              <w:kinsoku/>
              <w:wordWrap/>
              <w:overflowPunct/>
              <w:topLinePunct w:val="0"/>
              <w:bidi w:val="0"/>
              <w:adjustRightInd/>
              <w:spacing w:before="67" w:beforeLines="20" w:after="67" w:afterLines="20"/>
              <w:ind w:left="48" w:leftChars="20" w:right="48" w:rightChars="20"/>
              <w:jc w:val="both"/>
              <w:rPr>
                <w:rFonts w:hint="eastAsia" w:ascii="宋体" w:hAnsi="宋体" w:eastAsia="宋体" w:cs="宋体"/>
                <w:color w:val="auto"/>
                <w:highlight w:val="none"/>
              </w:rPr>
            </w:pPr>
            <w:r>
              <w:rPr>
                <w:rFonts w:hint="eastAsia" w:ascii="宋体" w:hAnsi="宋体" w:eastAsia="宋体" w:cs="宋体"/>
                <w:color w:val="auto"/>
                <w:highlight w:val="none"/>
              </w:rPr>
              <w:t>推荐的成交候选人数：3</w:t>
            </w:r>
          </w:p>
        </w:tc>
      </w:tr>
      <w:tr w14:paraId="243F67E5">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833" w:type="dxa"/>
            <w:tcBorders>
              <w:tl2br w:val="nil"/>
              <w:tr2bl w:val="nil"/>
            </w:tcBorders>
            <w:vAlign w:val="center"/>
          </w:tcPr>
          <w:p w14:paraId="074ED70D">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29</w:t>
            </w:r>
          </w:p>
        </w:tc>
        <w:tc>
          <w:tcPr>
            <w:tcW w:w="2250" w:type="dxa"/>
            <w:tcBorders>
              <w:tl2br w:val="nil"/>
              <w:tr2bl w:val="nil"/>
            </w:tcBorders>
            <w:vAlign w:val="center"/>
          </w:tcPr>
          <w:p w14:paraId="17A36966">
            <w:pPr>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资格审查</w:t>
            </w:r>
          </w:p>
        </w:tc>
        <w:tc>
          <w:tcPr>
            <w:tcW w:w="6952" w:type="dxa"/>
            <w:tcBorders>
              <w:tl2br w:val="nil"/>
              <w:tr2bl w:val="nil"/>
            </w:tcBorders>
            <w:vAlign w:val="center"/>
          </w:tcPr>
          <w:p w14:paraId="46CED72D">
            <w:pPr>
              <w:pageBreakBefore w:val="0"/>
              <w:kinsoku/>
              <w:overflowPunct/>
              <w:bidi w:val="0"/>
              <w:spacing w:before="64" w:beforeLines="20" w:after="64" w:afterLines="20" w:line="360" w:lineRule="auto"/>
              <w:ind w:right="48" w:rightChars="20"/>
              <w:rPr>
                <w:rFonts w:hint="eastAsia" w:ascii="宋体" w:hAnsi="宋体" w:eastAsia="宋体" w:cs="宋体"/>
                <w:color w:val="auto"/>
                <w:highlight w:val="none"/>
              </w:rPr>
            </w:pPr>
            <w:r>
              <w:rPr>
                <w:rFonts w:hint="eastAsia" w:ascii="宋体" w:hAnsi="宋体" w:eastAsia="宋体" w:cs="宋体"/>
                <w:color w:val="auto"/>
                <w:sz w:val="24"/>
                <w:szCs w:val="24"/>
                <w:highlight w:val="none"/>
              </w:rPr>
              <w:t>公开招标采购项目开标结束后，采购人或者采购代理机构应当依法对投标人的资格进行审查。合格投标人不足3家的，不得评标。</w:t>
            </w:r>
          </w:p>
        </w:tc>
      </w:tr>
      <w:tr w14:paraId="768407E2">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0035" w:type="dxa"/>
            <w:gridSpan w:val="3"/>
            <w:tcBorders>
              <w:tl2br w:val="nil"/>
              <w:tr2bl w:val="nil"/>
            </w:tcBorders>
            <w:vAlign w:val="center"/>
          </w:tcPr>
          <w:p w14:paraId="661E891D">
            <w:pPr>
              <w:pStyle w:val="12"/>
              <w:keepNext w:val="0"/>
              <w:keepLines w:val="0"/>
              <w:pageBreakBefore w:val="0"/>
              <w:kinsoku/>
              <w:wordWrap/>
              <w:overflowPunct/>
              <w:topLinePunct w:val="0"/>
              <w:bidi w:val="0"/>
              <w:adjustRightInd/>
              <w:spacing w:before="67" w:beforeLines="20" w:after="67" w:afterLines="20"/>
              <w:ind w:left="48" w:leftChars="20" w:right="48" w:rightChars="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需要补充的其他内容</w:t>
            </w:r>
          </w:p>
        </w:tc>
      </w:tr>
      <w:tr w14:paraId="7F572BBD">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33" w:type="dxa"/>
            <w:tcBorders>
              <w:tl2br w:val="nil"/>
              <w:tr2bl w:val="nil"/>
            </w:tcBorders>
            <w:vAlign w:val="center"/>
          </w:tcPr>
          <w:p w14:paraId="31168E2E">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1</w:t>
            </w:r>
          </w:p>
        </w:tc>
        <w:tc>
          <w:tcPr>
            <w:tcW w:w="9202" w:type="dxa"/>
            <w:gridSpan w:val="2"/>
            <w:tcBorders>
              <w:tl2br w:val="nil"/>
              <w:tr2bl w:val="nil"/>
            </w:tcBorders>
            <w:vAlign w:val="center"/>
          </w:tcPr>
          <w:p w14:paraId="28C3E171">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供应商如发现招标文件及其评标办法中存在含糊不清、相互矛盾、多种含义以及歧视性不公正条款或违法违规等内容时，请在招标文件规定提疑截止时间内同时向采购人、采购代理机构提出询问，逾期视为对招标文件条款没有任何异议。</w:t>
            </w:r>
          </w:p>
        </w:tc>
      </w:tr>
      <w:tr w14:paraId="4F8E0AE2">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33" w:type="dxa"/>
            <w:tcBorders>
              <w:tl2br w:val="nil"/>
              <w:tr2bl w:val="nil"/>
            </w:tcBorders>
            <w:vAlign w:val="center"/>
          </w:tcPr>
          <w:p w14:paraId="093EAA79">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2</w:t>
            </w:r>
          </w:p>
        </w:tc>
        <w:tc>
          <w:tcPr>
            <w:tcW w:w="9202" w:type="dxa"/>
            <w:gridSpan w:val="2"/>
            <w:tcBorders>
              <w:tl2br w:val="nil"/>
              <w:tr2bl w:val="nil"/>
            </w:tcBorders>
            <w:vAlign w:val="center"/>
          </w:tcPr>
          <w:p w14:paraId="535387D1">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中标公告媒介及期限：</w:t>
            </w:r>
          </w:p>
          <w:p w14:paraId="0E2B019E">
            <w:pPr>
              <w:pStyle w:val="53"/>
              <w:pageBreakBefore w:val="0"/>
              <w:kinsoku/>
              <w:overflowPunct/>
              <w:bidi w:val="0"/>
              <w:spacing w:before="64" w:beforeLines="20" w:after="64" w:afterLines="20" w:line="360" w:lineRule="auto"/>
              <w:ind w:left="48" w:leftChars="20" w:right="48" w:rightChars="20"/>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公告媒介：同发布招标公告的媒介</w:t>
            </w:r>
            <w:r>
              <w:rPr>
                <w:rFonts w:hint="eastAsia" w:ascii="宋体" w:hAnsi="宋体" w:eastAsia="宋体" w:cs="宋体"/>
                <w:color w:val="auto"/>
                <w:kern w:val="2"/>
                <w:sz w:val="24"/>
                <w:szCs w:val="24"/>
                <w:highlight w:val="none"/>
                <w:lang w:eastAsia="zh-CN"/>
              </w:rPr>
              <w:t>；</w:t>
            </w:r>
          </w:p>
          <w:p w14:paraId="5AA859E0">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bCs/>
                <w:color w:val="auto"/>
                <w:szCs w:val="24"/>
                <w:highlight w:val="none"/>
                <w:lang w:eastAsia="zh-CN"/>
              </w:rPr>
            </w:pPr>
            <w:r>
              <w:rPr>
                <w:rFonts w:hint="eastAsia" w:ascii="宋体" w:hAnsi="宋体" w:eastAsia="宋体" w:cs="宋体"/>
                <w:color w:val="auto"/>
                <w:kern w:val="2"/>
                <w:sz w:val="24"/>
                <w:szCs w:val="24"/>
                <w:highlight w:val="none"/>
              </w:rPr>
              <w:t>公告期限：1个工作日</w:t>
            </w:r>
            <w:r>
              <w:rPr>
                <w:rFonts w:hint="eastAsia" w:ascii="宋体" w:hAnsi="宋体" w:eastAsia="宋体" w:cs="宋体"/>
                <w:color w:val="auto"/>
                <w:kern w:val="2"/>
                <w:sz w:val="24"/>
                <w:szCs w:val="24"/>
                <w:highlight w:val="none"/>
                <w:lang w:eastAsia="zh-CN"/>
              </w:rPr>
              <w:t>；</w:t>
            </w:r>
          </w:p>
        </w:tc>
      </w:tr>
      <w:tr w14:paraId="79E9A485">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33" w:type="dxa"/>
            <w:tcBorders>
              <w:tl2br w:val="nil"/>
              <w:tr2bl w:val="nil"/>
            </w:tcBorders>
            <w:vAlign w:val="center"/>
          </w:tcPr>
          <w:p w14:paraId="207B9F97">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3</w:t>
            </w:r>
          </w:p>
        </w:tc>
        <w:tc>
          <w:tcPr>
            <w:tcW w:w="9202" w:type="dxa"/>
            <w:gridSpan w:val="2"/>
            <w:tcBorders>
              <w:tl2br w:val="nil"/>
              <w:tr2bl w:val="nil"/>
            </w:tcBorders>
            <w:vAlign w:val="center"/>
          </w:tcPr>
          <w:p w14:paraId="7E0A5D52">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付款方式：甲乙双方合同约定为准。</w:t>
            </w:r>
          </w:p>
        </w:tc>
      </w:tr>
      <w:tr w14:paraId="348DE9AD">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33" w:type="dxa"/>
            <w:tcBorders>
              <w:tl2br w:val="nil"/>
              <w:tr2bl w:val="nil"/>
            </w:tcBorders>
            <w:vAlign w:val="center"/>
          </w:tcPr>
          <w:p w14:paraId="5AE1B148">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4</w:t>
            </w:r>
          </w:p>
        </w:tc>
        <w:tc>
          <w:tcPr>
            <w:tcW w:w="9202" w:type="dxa"/>
            <w:gridSpan w:val="2"/>
            <w:tcBorders>
              <w:tl2br w:val="nil"/>
              <w:tr2bl w:val="nil"/>
            </w:tcBorders>
            <w:vAlign w:val="center"/>
          </w:tcPr>
          <w:p w14:paraId="5BF49536">
            <w:pPr>
              <w:pStyle w:val="12"/>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bCs/>
                <w:color w:val="auto"/>
                <w:szCs w:val="24"/>
                <w:highlight w:val="none"/>
              </w:rPr>
            </w:pPr>
            <w:r>
              <w:rPr>
                <w:rFonts w:hint="eastAsia" w:ascii="宋体" w:hAnsi="宋体" w:eastAsia="宋体" w:cs="宋体"/>
                <w:b/>
                <w:bCs/>
                <w:color w:val="auto"/>
                <w:szCs w:val="24"/>
                <w:highlight w:val="none"/>
              </w:rPr>
              <w:t>★</w:t>
            </w:r>
            <w:r>
              <w:rPr>
                <w:rFonts w:hint="eastAsia" w:ascii="宋体" w:hAnsi="宋体" w:eastAsia="宋体" w:cs="宋体"/>
                <w:bCs/>
                <w:color w:val="auto"/>
                <w:szCs w:val="24"/>
                <w:highlight w:val="none"/>
              </w:rPr>
              <w:t>供应商应对投标文件中证明材料的真实性负责，若发现供应商提供虚假证明材料，将按照相关规定进行处理，并承担因此给采购单位带来的一切损失。</w:t>
            </w:r>
          </w:p>
        </w:tc>
      </w:tr>
      <w:tr w14:paraId="146D42B7">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33" w:type="dxa"/>
            <w:tcBorders>
              <w:tl2br w:val="nil"/>
              <w:tr2bl w:val="nil"/>
            </w:tcBorders>
            <w:vAlign w:val="center"/>
          </w:tcPr>
          <w:p w14:paraId="2B30324E">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5</w:t>
            </w:r>
          </w:p>
        </w:tc>
        <w:tc>
          <w:tcPr>
            <w:tcW w:w="9202" w:type="dxa"/>
            <w:gridSpan w:val="2"/>
            <w:tcBorders>
              <w:tl2br w:val="nil"/>
              <w:tr2bl w:val="nil"/>
            </w:tcBorders>
            <w:vAlign w:val="center"/>
          </w:tcPr>
          <w:p w14:paraId="00C8DB0C">
            <w:pPr>
              <w:keepNext w:val="0"/>
              <w:keepLines w:val="0"/>
              <w:pageBreakBefore w:val="0"/>
              <w:kinsoku/>
              <w:wordWrap/>
              <w:overflowPunct/>
              <w:topLinePunct w:val="0"/>
              <w:bidi w:val="0"/>
              <w:adjustRightInd/>
              <w:spacing w:before="67" w:beforeLines="20" w:after="67" w:afterLines="20"/>
              <w:ind w:left="48" w:leftChars="20" w:right="48" w:rightChars="20"/>
              <w:rPr>
                <w:rFonts w:hint="eastAsia" w:ascii="宋体" w:hAnsi="宋体" w:eastAsia="宋体" w:cs="宋体"/>
                <w:bCs/>
                <w:color w:val="auto"/>
                <w:highlight w:val="none"/>
              </w:rPr>
            </w:pPr>
            <w:r>
              <w:rPr>
                <w:rFonts w:hint="eastAsia" w:ascii="宋体" w:hAnsi="宋体" w:eastAsia="宋体" w:cs="宋体"/>
                <w:bCs/>
                <w:color w:val="auto"/>
                <w:highlight w:val="none"/>
              </w:rPr>
              <w:t>知识产权：构成本采购文件各个组成部分的文件，未经采购人书面同意，供应商不得擅自复印和用于非本采购项目所需的其他目的。采购人全部或者部分使用未中标人投标文件中的技术成果或技术方案时，需征得其书面同意，并不得擅自复印或提供给第三人。</w:t>
            </w:r>
          </w:p>
          <w:p w14:paraId="61CB5863">
            <w:pPr>
              <w:keepNext w:val="0"/>
              <w:keepLines w:val="0"/>
              <w:pageBreakBefore w:val="0"/>
              <w:widowControl/>
              <w:kinsoku/>
              <w:wordWrap/>
              <w:overflowPunct/>
              <w:topLinePunct w:val="0"/>
              <w:bidi w:val="0"/>
              <w:adjustRightInd/>
              <w:spacing w:before="67" w:beforeLines="20" w:after="67" w:afterLines="20"/>
              <w:ind w:left="48" w:leftChars="20" w:right="48" w:rightChars="20"/>
              <w:rPr>
                <w:rFonts w:hint="eastAsia" w:ascii="宋体" w:hAnsi="宋体" w:eastAsia="宋体" w:cs="宋体"/>
                <w:bCs/>
                <w:color w:val="auto"/>
                <w:highlight w:val="none"/>
              </w:rPr>
            </w:pPr>
            <w:r>
              <w:rPr>
                <w:rFonts w:hint="eastAsia" w:ascii="宋体" w:hAnsi="宋体" w:eastAsia="宋体" w:cs="宋体"/>
                <w:bCs/>
                <w:color w:val="auto"/>
                <w:highlight w:val="none"/>
              </w:rPr>
              <w:t>供应商在投标文件中采用的第三方知识产权，由供应商自行办理知识产权的使用权，任何涉及知识产权的争议与纠纷，采购人不承担责任。</w:t>
            </w:r>
          </w:p>
        </w:tc>
      </w:tr>
      <w:tr w14:paraId="0BDAACD1">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33" w:type="dxa"/>
            <w:tcBorders>
              <w:tl2br w:val="nil"/>
              <w:tr2bl w:val="nil"/>
            </w:tcBorders>
            <w:vAlign w:val="center"/>
          </w:tcPr>
          <w:p w14:paraId="7E9544D1">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6</w:t>
            </w:r>
          </w:p>
        </w:tc>
        <w:tc>
          <w:tcPr>
            <w:tcW w:w="9202" w:type="dxa"/>
            <w:gridSpan w:val="2"/>
            <w:tcBorders>
              <w:tl2br w:val="nil"/>
              <w:tr2bl w:val="nil"/>
            </w:tcBorders>
            <w:vAlign w:val="center"/>
          </w:tcPr>
          <w:p w14:paraId="530AEA54">
            <w:pPr>
              <w:keepNext w:val="0"/>
              <w:keepLines w:val="0"/>
              <w:pageBreakBefore w:val="0"/>
              <w:widowControl/>
              <w:kinsoku/>
              <w:wordWrap/>
              <w:overflowPunct/>
              <w:topLinePunct w:val="0"/>
              <w:bidi w:val="0"/>
              <w:adjustRightInd/>
              <w:spacing w:before="67" w:beforeLines="20" w:after="67" w:afterLines="20"/>
              <w:ind w:left="48" w:leftChars="20" w:right="48" w:rightChars="20"/>
              <w:rPr>
                <w:rFonts w:hint="eastAsia" w:ascii="宋体" w:hAnsi="宋体" w:eastAsia="宋体" w:cs="宋体"/>
                <w:bCs/>
                <w:color w:val="auto"/>
                <w:highlight w:val="none"/>
              </w:rPr>
            </w:pPr>
            <w:r>
              <w:rPr>
                <w:rFonts w:hint="eastAsia" w:ascii="宋体" w:hAnsi="宋体" w:eastAsia="宋体" w:cs="宋体"/>
                <w:color w:val="auto"/>
                <w:highlight w:val="none"/>
              </w:rPr>
              <w:t>重新采购和变更采购方式：投标截止后的供应商不足三家或通过资格审查或符合性审查的供应商不足三家的，除采购任务取消外，采购文件存在不合理条款或采购程序不符合规定的，改正后依法重新采购；采购文件没有不合理条款、采购程序符合规定的，采购人报财政管理部门批准后变更采购方式。</w:t>
            </w:r>
          </w:p>
        </w:tc>
      </w:tr>
      <w:tr w14:paraId="3911716E">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833" w:type="dxa"/>
            <w:tcBorders>
              <w:tl2br w:val="nil"/>
              <w:tr2bl w:val="nil"/>
            </w:tcBorders>
            <w:vAlign w:val="center"/>
          </w:tcPr>
          <w:p w14:paraId="4DB59719">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7</w:t>
            </w:r>
          </w:p>
        </w:tc>
        <w:tc>
          <w:tcPr>
            <w:tcW w:w="9202" w:type="dxa"/>
            <w:gridSpan w:val="2"/>
            <w:tcBorders>
              <w:tl2br w:val="nil"/>
              <w:tr2bl w:val="nil"/>
            </w:tcBorders>
            <w:vAlign w:val="center"/>
          </w:tcPr>
          <w:p w14:paraId="77D2E0E7">
            <w:pPr>
              <w:keepNext w:val="0"/>
              <w:keepLines w:val="0"/>
              <w:pageBreakBefore w:val="0"/>
              <w:widowControl/>
              <w:kinsoku/>
              <w:wordWrap/>
              <w:overflowPunct/>
              <w:topLinePunct w:val="0"/>
              <w:bidi w:val="0"/>
              <w:adjustRightInd/>
              <w:spacing w:before="67" w:beforeLines="20" w:after="67" w:afterLines="20"/>
              <w:ind w:left="48" w:leftChars="20" w:right="48" w:rightChars="20"/>
              <w:rPr>
                <w:rFonts w:hint="eastAsia" w:ascii="宋体" w:hAnsi="宋体" w:eastAsia="宋体" w:cs="宋体"/>
                <w:bCs/>
                <w:color w:val="auto"/>
                <w:highlight w:val="none"/>
              </w:rPr>
            </w:pPr>
            <w:r>
              <w:rPr>
                <w:rFonts w:hint="eastAsia" w:ascii="宋体" w:hAnsi="宋体" w:eastAsia="宋体" w:cs="宋体"/>
                <w:color w:val="auto"/>
                <w:highlight w:val="none"/>
              </w:rPr>
              <w:t>解释权：构成本采购文件的各个组成文件应互为解释，互为说明；如有不明确或不一致，构成合同文件组成内容的，以合同文件约定内容为准，且以专用合同条款约定的合同文件优先顺序解释；除采购文件中有特别规定外，仅适用于采购投标阶段的规定，按采购公告（投标邀请书）、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488B1E3D">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33" w:type="dxa"/>
            <w:tcBorders>
              <w:tl2br w:val="nil"/>
              <w:tr2bl w:val="nil"/>
            </w:tcBorders>
            <w:vAlign w:val="center"/>
          </w:tcPr>
          <w:p w14:paraId="2C0BAACF">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8</w:t>
            </w:r>
          </w:p>
        </w:tc>
        <w:tc>
          <w:tcPr>
            <w:tcW w:w="9202" w:type="dxa"/>
            <w:gridSpan w:val="2"/>
            <w:tcBorders>
              <w:tl2br w:val="nil"/>
              <w:tr2bl w:val="nil"/>
            </w:tcBorders>
            <w:vAlign w:val="center"/>
          </w:tcPr>
          <w:p w14:paraId="08DA891F">
            <w:pPr>
              <w:keepNext w:val="0"/>
              <w:keepLines w:val="0"/>
              <w:pageBreakBefore w:val="0"/>
              <w:widowControl/>
              <w:kinsoku/>
              <w:wordWrap/>
              <w:overflowPunct/>
              <w:topLinePunct w:val="0"/>
              <w:bidi w:val="0"/>
              <w:adjustRightInd/>
              <w:spacing w:before="67" w:beforeLines="20" w:after="67" w:afterLines="20"/>
              <w:ind w:left="48" w:leftChars="20" w:right="48" w:rightChars="20"/>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本项目所属行业：</w:t>
            </w:r>
            <w:r>
              <w:rPr>
                <w:rFonts w:hint="eastAsia" w:ascii="宋体" w:hAnsi="宋体" w:eastAsia="宋体" w:cs="宋体"/>
                <w:b/>
                <w:bCs/>
                <w:color w:val="auto"/>
                <w:highlight w:val="none"/>
                <w:lang w:val="en-US" w:eastAsia="zh-CN"/>
              </w:rPr>
              <w:t>工业</w:t>
            </w:r>
          </w:p>
        </w:tc>
      </w:tr>
      <w:tr w14:paraId="68680B3A">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33" w:type="dxa"/>
            <w:tcBorders>
              <w:tl2br w:val="nil"/>
              <w:tr2bl w:val="nil"/>
            </w:tcBorders>
            <w:vAlign w:val="center"/>
          </w:tcPr>
          <w:p w14:paraId="549BFB6B">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bookmarkStart w:id="98" w:name="_Toc27408"/>
            <w:bookmarkStart w:id="99" w:name="_Toc373252446"/>
            <w:bookmarkStart w:id="100" w:name="_Toc392492441"/>
            <w:bookmarkStart w:id="101" w:name="_Toc8154"/>
            <w:bookmarkStart w:id="102" w:name="_Toc18546"/>
            <w:bookmarkStart w:id="103" w:name="_Toc392492180"/>
            <w:bookmarkStart w:id="104" w:name="_Toc29366"/>
            <w:r>
              <w:rPr>
                <w:rFonts w:hint="eastAsia" w:ascii="宋体" w:hAnsi="宋体" w:eastAsia="宋体" w:cs="宋体"/>
                <w:color w:val="auto"/>
                <w:szCs w:val="24"/>
                <w:highlight w:val="none"/>
                <w:lang w:val="en-US" w:eastAsia="zh-CN"/>
              </w:rPr>
              <w:t>9</w:t>
            </w:r>
          </w:p>
        </w:tc>
        <w:tc>
          <w:tcPr>
            <w:tcW w:w="9202" w:type="dxa"/>
            <w:gridSpan w:val="2"/>
            <w:tcBorders>
              <w:tl2br w:val="nil"/>
              <w:tr2bl w:val="nil"/>
            </w:tcBorders>
            <w:vAlign w:val="center"/>
          </w:tcPr>
          <w:p w14:paraId="3EFF1BC5">
            <w:pPr>
              <w:keepNext w:val="0"/>
              <w:keepLines w:val="0"/>
              <w:pageBreakBefore w:val="0"/>
              <w:widowControl/>
              <w:kinsoku/>
              <w:wordWrap/>
              <w:overflowPunct/>
              <w:topLinePunct w:val="0"/>
              <w:bidi w:val="0"/>
              <w:adjustRightInd/>
              <w:spacing w:before="67" w:beforeLines="20" w:after="67" w:afterLines="20"/>
              <w:ind w:left="48" w:leftChars="20" w:right="48" w:rightChars="2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核心产品：</w:t>
            </w:r>
            <w:r>
              <w:rPr>
                <w:rFonts w:hint="eastAsia" w:ascii="宋体" w:hAnsi="宋体" w:cs="宋体"/>
                <w:color w:val="000000"/>
                <w:kern w:val="0"/>
                <w:sz w:val="24"/>
                <w:szCs w:val="24"/>
                <w:lang w:val="en-US" w:eastAsia="zh-CN"/>
              </w:rPr>
              <w:t>清单第3项“</w:t>
            </w:r>
            <w:r>
              <w:rPr>
                <w:rFonts w:hint="eastAsia" w:ascii="宋体" w:hAnsi="宋体" w:cs="宋体"/>
                <w:color w:val="000000"/>
                <w:kern w:val="0"/>
                <w:sz w:val="24"/>
                <w:szCs w:val="24"/>
              </w:rPr>
              <w:t>高效液相色谱仪</w:t>
            </w:r>
            <w:r>
              <w:rPr>
                <w:rFonts w:hint="eastAsia" w:ascii="宋体" w:hAnsi="宋体" w:cs="宋体"/>
                <w:color w:val="000000"/>
                <w:kern w:val="0"/>
                <w:sz w:val="24"/>
                <w:szCs w:val="24"/>
                <w:lang w:val="en-US" w:eastAsia="zh-CN"/>
              </w:rPr>
              <w:t>”</w:t>
            </w:r>
          </w:p>
        </w:tc>
      </w:tr>
      <w:tr w14:paraId="387840DA">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33" w:type="dxa"/>
            <w:tcBorders>
              <w:tl2br w:val="nil"/>
              <w:tr2bl w:val="nil"/>
            </w:tcBorders>
            <w:vAlign w:val="center"/>
          </w:tcPr>
          <w:p w14:paraId="593B7F10">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10</w:t>
            </w:r>
          </w:p>
        </w:tc>
        <w:tc>
          <w:tcPr>
            <w:tcW w:w="9202" w:type="dxa"/>
            <w:gridSpan w:val="2"/>
            <w:tcBorders>
              <w:tl2br w:val="nil"/>
              <w:tr2bl w:val="nil"/>
            </w:tcBorders>
            <w:vAlign w:val="center"/>
          </w:tcPr>
          <w:p w14:paraId="5E7A86FD">
            <w:pPr>
              <w:keepNext w:val="0"/>
              <w:keepLines w:val="0"/>
              <w:pageBreakBefore w:val="0"/>
              <w:widowControl/>
              <w:kinsoku/>
              <w:wordWrap/>
              <w:overflowPunct/>
              <w:topLinePunct w:val="0"/>
              <w:bidi w:val="0"/>
              <w:adjustRightInd/>
              <w:spacing w:before="67" w:beforeLines="20" w:after="67" w:afterLines="20"/>
              <w:ind w:left="48" w:leftChars="20" w:right="48" w:rightChars="2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信用查询具体要求</w:t>
            </w:r>
            <w:r>
              <w:rPr>
                <w:rFonts w:hint="eastAsia" w:ascii="宋体" w:hAnsi="宋体" w:eastAsia="宋体" w:cs="宋体"/>
                <w:color w:val="auto"/>
                <w:kern w:val="2"/>
                <w:sz w:val="24"/>
                <w:szCs w:val="24"/>
                <w:highlight w:val="none"/>
                <w:lang w:eastAsia="zh-CN"/>
              </w:rPr>
              <w:t>：</w:t>
            </w:r>
          </w:p>
          <w:p w14:paraId="71CD269F">
            <w:pPr>
              <w:pageBreakBefore w:val="0"/>
              <w:widowControl w:val="0"/>
              <w:kinsoku/>
              <w:overflowPunct/>
              <w:bidi w:val="0"/>
              <w:spacing w:before="64" w:beforeLines="20" w:after="64" w:afterLines="20" w:line="360" w:lineRule="auto"/>
              <w:ind w:left="48" w:leftChars="20" w:right="48" w:rightChars="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本项目将执行在政府采购活动中查询及使用信用记录的规定，具体要求为：</w:t>
            </w:r>
          </w:p>
          <w:p w14:paraId="5EF3760F">
            <w:pPr>
              <w:keepNext w:val="0"/>
              <w:keepLines w:val="0"/>
              <w:pageBreakBefore w:val="0"/>
              <w:widowControl w:val="0"/>
              <w:kinsoku/>
              <w:wordWrap/>
              <w:overflowPunct/>
              <w:topLinePunct w:val="0"/>
              <w:autoSpaceDE/>
              <w:autoSpaceDN/>
              <w:bidi w:val="0"/>
              <w:adjustRightInd/>
              <w:snapToGrid/>
              <w:spacing w:before="64" w:beforeLines="20" w:after="64" w:afterLines="20" w:line="360" w:lineRule="auto"/>
              <w:ind w:left="48" w:leftChars="20" w:right="48" w:rightChars="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应在“信用中国”网站(www.creditchina.gov.cn)未被列入失信被执行人记录、</w:t>
            </w:r>
            <w:r>
              <w:rPr>
                <w:rFonts w:hint="eastAsia" w:ascii="宋体" w:hAnsi="宋体" w:eastAsia="宋体" w:cs="宋体"/>
                <w:color w:val="auto"/>
                <w:sz w:val="24"/>
                <w:szCs w:val="24"/>
                <w:highlight w:val="none"/>
                <w:lang w:val="en-US" w:eastAsia="zh-CN"/>
              </w:rPr>
              <w:t>重大税收违法失信主体</w:t>
            </w:r>
            <w:r>
              <w:rPr>
                <w:rFonts w:hint="eastAsia" w:ascii="宋体" w:hAnsi="宋体" w:eastAsia="宋体" w:cs="宋体"/>
                <w:color w:val="auto"/>
                <w:sz w:val="24"/>
                <w:szCs w:val="24"/>
                <w:highlight w:val="none"/>
              </w:rPr>
              <w:t>且在中国政府采购网(www.ccgp.gov.cn)没有政府采购严重违法失信行为记录(被禁止在一定期限内参加政府采购活动但期限届满的除外)</w:t>
            </w:r>
            <w:r>
              <w:rPr>
                <w:rFonts w:hint="eastAsia" w:ascii="宋体" w:hAnsi="宋体" w:eastAsia="宋体" w:cs="宋体"/>
                <w:color w:val="auto"/>
                <w:sz w:val="24"/>
                <w:szCs w:val="24"/>
                <w:highlight w:val="none"/>
                <w:lang w:eastAsia="zh-CN"/>
              </w:rPr>
              <w:t>；</w:t>
            </w:r>
          </w:p>
          <w:p w14:paraId="758AEA83">
            <w:pPr>
              <w:keepNext w:val="0"/>
              <w:keepLines w:val="0"/>
              <w:pageBreakBefore w:val="0"/>
              <w:widowControl w:val="0"/>
              <w:kinsoku/>
              <w:wordWrap/>
              <w:overflowPunct/>
              <w:topLinePunct w:val="0"/>
              <w:autoSpaceDE/>
              <w:autoSpaceDN/>
              <w:bidi w:val="0"/>
              <w:adjustRightInd/>
              <w:snapToGrid/>
              <w:spacing w:before="64" w:beforeLines="20" w:after="64" w:afterLines="20" w:line="360" w:lineRule="auto"/>
              <w:ind w:left="48" w:leftChars="20" w:right="48" w:rightChars="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信用信息查询的截止时点：投标截止时间当天评标前</w:t>
            </w:r>
            <w:r>
              <w:rPr>
                <w:rFonts w:hint="eastAsia" w:ascii="宋体" w:hAnsi="宋体" w:eastAsia="宋体" w:cs="宋体"/>
                <w:color w:val="auto"/>
                <w:sz w:val="24"/>
                <w:szCs w:val="24"/>
                <w:highlight w:val="none"/>
              </w:rPr>
              <w:t>；</w:t>
            </w:r>
          </w:p>
          <w:p w14:paraId="1C4E1C19">
            <w:pPr>
              <w:keepNext w:val="0"/>
              <w:keepLines w:val="0"/>
              <w:pageBreakBefore w:val="0"/>
              <w:widowControl w:val="0"/>
              <w:kinsoku/>
              <w:wordWrap/>
              <w:overflowPunct/>
              <w:topLinePunct w:val="0"/>
              <w:autoSpaceDE/>
              <w:autoSpaceDN/>
              <w:bidi w:val="0"/>
              <w:adjustRightInd/>
              <w:snapToGrid/>
              <w:spacing w:before="64" w:beforeLines="20" w:after="64" w:afterLines="20" w:line="360" w:lineRule="auto"/>
              <w:ind w:left="48" w:leftChars="20" w:right="48" w:rightChars="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（3）信用信息查询渠道：“信用中国网”、“中国政府采购网”；</w:t>
            </w:r>
          </w:p>
          <w:p w14:paraId="40EE3775">
            <w:pPr>
              <w:keepNext w:val="0"/>
              <w:keepLines w:val="0"/>
              <w:pageBreakBefore w:val="0"/>
              <w:widowControl w:val="0"/>
              <w:kinsoku/>
              <w:wordWrap/>
              <w:overflowPunct/>
              <w:topLinePunct w:val="0"/>
              <w:autoSpaceDE/>
              <w:autoSpaceDN/>
              <w:bidi w:val="0"/>
              <w:adjustRightInd/>
              <w:snapToGrid/>
              <w:spacing w:before="64" w:beforeLines="20" w:after="64" w:afterLines="20" w:line="360" w:lineRule="auto"/>
              <w:ind w:left="48" w:leftChars="20" w:right="48" w:rightChars="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（4）信用信息查询记录和证据留存具体方式：采购人、采购代理机构将经查询存在不良信用记录的潜在</w:t>
            </w:r>
            <w:r>
              <w:rPr>
                <w:rFonts w:hint="eastAsia" w:ascii="宋体" w:hAnsi="宋体" w:eastAsia="宋体" w:cs="宋体"/>
                <w:color w:val="auto"/>
                <w:sz w:val="24"/>
                <w:szCs w:val="24"/>
                <w:highlight w:val="none"/>
                <w:lang w:eastAsia="zh-CN"/>
              </w:rPr>
              <w:t>供应商查询结果证明材料</w:t>
            </w:r>
            <w:r>
              <w:rPr>
                <w:rFonts w:hint="eastAsia" w:ascii="宋体" w:hAnsi="宋体" w:eastAsia="宋体" w:cs="宋体"/>
                <w:color w:val="auto"/>
                <w:sz w:val="24"/>
                <w:szCs w:val="24"/>
                <w:highlight w:val="none"/>
              </w:rPr>
              <w:t>作为查询记录和证据，与其他采购文件一并保存；</w:t>
            </w:r>
          </w:p>
          <w:p w14:paraId="2787C5CF">
            <w:pPr>
              <w:keepNext w:val="0"/>
              <w:keepLines w:val="0"/>
              <w:pageBreakBefore w:val="0"/>
              <w:kinsoku/>
              <w:wordWrap/>
              <w:overflowPunct/>
              <w:topLinePunct w:val="0"/>
              <w:autoSpaceDE/>
              <w:autoSpaceDN/>
              <w:bidi w:val="0"/>
              <w:adjustRightInd/>
              <w:snapToGrid/>
              <w:spacing w:before="64" w:beforeLines="20" w:after="64" w:afterLines="20" w:line="360" w:lineRule="auto"/>
              <w:ind w:left="48" w:leftChars="20" w:right="48" w:rightChars="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（5）信用信息的使用规则：本政府采购项目的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在信用信息查询截止时点（含）之前被列入失信被执行人、</w:t>
            </w:r>
            <w:r>
              <w:rPr>
                <w:rFonts w:hint="eastAsia" w:ascii="宋体" w:hAnsi="宋体" w:eastAsia="宋体" w:cs="宋体"/>
                <w:b w:val="0"/>
                <w:bCs w:val="0"/>
                <w:color w:val="auto"/>
                <w:kern w:val="0"/>
                <w:sz w:val="24"/>
                <w:szCs w:val="24"/>
                <w:highlight w:val="none"/>
                <w:lang w:val="en-US" w:eastAsia="zh-CN" w:bidi="ar-SA"/>
              </w:rPr>
              <w:t>重大税收违法失信主体</w:t>
            </w:r>
            <w:r>
              <w:rPr>
                <w:rFonts w:hint="eastAsia" w:ascii="宋体" w:hAnsi="宋体" w:eastAsia="宋体" w:cs="宋体"/>
                <w:color w:val="auto"/>
                <w:sz w:val="24"/>
                <w:szCs w:val="24"/>
                <w:highlight w:val="none"/>
              </w:rPr>
              <w:t>、政府采购严重违法失信行为记录名单及其他不符合《中华人民共和国政府采购法》第二十二条规定条件的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，其投标无效；</w:t>
            </w:r>
          </w:p>
          <w:p w14:paraId="35F7A10F">
            <w:pPr>
              <w:keepNext w:val="0"/>
              <w:keepLines w:val="0"/>
              <w:pageBreakBefore w:val="0"/>
              <w:widowControl/>
              <w:kinsoku/>
              <w:wordWrap/>
              <w:overflowPunct/>
              <w:topLinePunct w:val="0"/>
              <w:bidi w:val="0"/>
              <w:adjustRightInd/>
              <w:spacing w:before="67" w:beforeLines="20" w:after="67" w:afterLines="20"/>
              <w:ind w:left="48" w:leftChars="20" w:right="48" w:rightChars="20"/>
              <w:rPr>
                <w:rFonts w:hint="eastAsia" w:ascii="宋体" w:hAnsi="宋体" w:eastAsia="宋体" w:cs="宋体"/>
                <w:color w:val="auto"/>
                <w:kern w:val="2"/>
                <w:sz w:val="24"/>
                <w:szCs w:val="24"/>
                <w:highlight w:val="none"/>
                <w:lang w:val="en-US" w:eastAsia="zh-CN"/>
              </w:rPr>
            </w:pP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6</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采购人、采购代理机构通过“信用中国网”、“中国政府采购网”等渠道查询相关主体信用记录，若</w:t>
            </w:r>
            <w:r>
              <w:rPr>
                <w:rFonts w:hint="eastAsia" w:ascii="宋体" w:hAnsi="宋体" w:eastAsia="宋体" w:cs="宋体"/>
                <w:b/>
                <w:bCs/>
                <w:color w:val="auto"/>
                <w:sz w:val="24"/>
                <w:highlight w:val="none"/>
                <w:lang w:eastAsia="zh-CN"/>
              </w:rPr>
              <w:t>供应商</w:t>
            </w:r>
            <w:r>
              <w:rPr>
                <w:rFonts w:hint="eastAsia" w:ascii="宋体" w:hAnsi="宋体" w:eastAsia="宋体" w:cs="宋体"/>
                <w:b/>
                <w:bCs/>
                <w:color w:val="auto"/>
                <w:sz w:val="24"/>
                <w:highlight w:val="none"/>
              </w:rPr>
              <w:t>存在被列入失信被执行人、</w:t>
            </w:r>
            <w:r>
              <w:rPr>
                <w:rFonts w:hint="eastAsia" w:ascii="宋体" w:hAnsi="宋体" w:eastAsia="宋体" w:cs="宋体"/>
                <w:b/>
                <w:bCs/>
                <w:color w:val="auto"/>
                <w:sz w:val="24"/>
                <w:highlight w:val="none"/>
                <w:lang w:val="en-US" w:eastAsia="zh-CN"/>
              </w:rPr>
              <w:t>重大税收违法失信主体</w:t>
            </w:r>
            <w:r>
              <w:rPr>
                <w:rFonts w:hint="eastAsia" w:ascii="宋体" w:hAnsi="宋体" w:eastAsia="宋体" w:cs="宋体"/>
                <w:b/>
                <w:bCs/>
                <w:color w:val="auto"/>
                <w:sz w:val="24"/>
                <w:highlight w:val="none"/>
              </w:rPr>
              <w:t>、政府采购严重违法失信行为记录名单，则投标无效。</w:t>
            </w:r>
          </w:p>
        </w:tc>
      </w:tr>
      <w:tr w14:paraId="5612D4DD">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833" w:type="dxa"/>
            <w:tcBorders>
              <w:tl2br w:val="nil"/>
              <w:tr2bl w:val="nil"/>
            </w:tcBorders>
            <w:vAlign w:val="center"/>
          </w:tcPr>
          <w:p w14:paraId="30008547">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11</w:t>
            </w:r>
          </w:p>
        </w:tc>
        <w:tc>
          <w:tcPr>
            <w:tcW w:w="9202" w:type="dxa"/>
            <w:gridSpan w:val="2"/>
            <w:tcBorders>
              <w:tl2br w:val="nil"/>
              <w:tr2bl w:val="nil"/>
            </w:tcBorders>
            <w:vAlign w:val="center"/>
          </w:tcPr>
          <w:p w14:paraId="4C19200F">
            <w:pPr>
              <w:keepNext w:val="0"/>
              <w:keepLines w:val="0"/>
              <w:pageBreakBefore w:val="0"/>
              <w:widowControl/>
              <w:kinsoku/>
              <w:wordWrap/>
              <w:overflowPunct/>
              <w:topLinePunct w:val="0"/>
              <w:bidi w:val="0"/>
              <w:adjustRightInd/>
              <w:spacing w:before="67" w:beforeLines="20" w:after="67" w:afterLines="20"/>
              <w:ind w:left="48" w:leftChars="20" w:right="48" w:rightChars="20"/>
              <w:rPr>
                <w:rFonts w:hint="eastAsia" w:ascii="宋体" w:hAnsi="宋体" w:eastAsia="宋体" w:cs="宋体"/>
                <w:b/>
                <w:bCs/>
                <w:color w:val="auto"/>
                <w:sz w:val="24"/>
                <w:highlight w:val="none"/>
                <w:lang w:eastAsia="zh-CN"/>
              </w:rPr>
            </w:pPr>
            <w:r>
              <w:rPr>
                <w:rFonts w:hint="eastAsia" w:ascii="宋体" w:hAnsi="宋体" w:eastAsia="宋体" w:cs="宋体"/>
                <w:color w:val="auto"/>
                <w:sz w:val="24"/>
                <w:szCs w:val="24"/>
                <w:highlight w:val="none"/>
                <w:lang w:val="en-US" w:eastAsia="zh-CN"/>
              </w:rPr>
              <w:t>依据《政府采购促进中小企业发展管理办法》（财库〔2020〕46号）规定享受扶持政策获得政府采购合同的，小微企业不得将合同分包给大中型企业，中型企业不得将合同分包给大型企业。</w:t>
            </w:r>
          </w:p>
        </w:tc>
      </w:tr>
      <w:tr w14:paraId="0E853DF7">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33" w:type="dxa"/>
            <w:tcBorders>
              <w:tl2br w:val="nil"/>
              <w:tr2bl w:val="nil"/>
            </w:tcBorders>
            <w:vAlign w:val="center"/>
          </w:tcPr>
          <w:p w14:paraId="63133C42">
            <w:pPr>
              <w:pStyle w:val="12"/>
              <w:keepNext w:val="0"/>
              <w:keepLines w:val="0"/>
              <w:pageBreakBefore w:val="0"/>
              <w:kinsoku/>
              <w:wordWrap/>
              <w:overflowPunct/>
              <w:topLinePunct w:val="0"/>
              <w:bidi w:val="0"/>
              <w:adjustRightInd/>
              <w:spacing w:before="67" w:beforeLines="20" w:after="67" w:afterLines="20"/>
              <w:ind w:left="48" w:leftChars="20" w:right="48" w:rightChars="2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12</w:t>
            </w:r>
          </w:p>
        </w:tc>
        <w:tc>
          <w:tcPr>
            <w:tcW w:w="9202" w:type="dxa"/>
            <w:gridSpan w:val="2"/>
            <w:tcBorders>
              <w:tl2br w:val="nil"/>
              <w:tr2bl w:val="nil"/>
            </w:tcBorders>
            <w:vAlign w:val="center"/>
          </w:tcPr>
          <w:p w14:paraId="54A8651C">
            <w:pPr>
              <w:keepNext w:val="0"/>
              <w:keepLines w:val="0"/>
              <w:pageBreakBefore w:val="0"/>
              <w:widowControl/>
              <w:kinsoku/>
              <w:wordWrap/>
              <w:overflowPunct/>
              <w:topLinePunct w:val="0"/>
              <w:bidi w:val="0"/>
              <w:adjustRightInd/>
              <w:spacing w:before="67" w:beforeLines="20" w:after="67" w:afterLines="20"/>
              <w:ind w:left="48" w:leftChars="20" w:right="48" w:rightChars="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rPr>
              <w:t>追加合同金额</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sz w:val="24"/>
                <w:szCs w:val="24"/>
                <w:highlight w:val="none"/>
              </w:rPr>
              <w:t>政府采购合同履行中，采购人需追加与合同标的相同的货物的，</w:t>
            </w:r>
            <w:r>
              <w:rPr>
                <w:rFonts w:hint="eastAsia" w:ascii="宋体" w:hAnsi="宋体" w:eastAsia="宋体" w:cs="宋体"/>
                <w:color w:val="auto"/>
                <w:sz w:val="24"/>
                <w:highlight w:val="none"/>
              </w:rPr>
              <w:t>在不改变合同其他条款的前提下，可以与中标</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签订补充合同，但所有补充合同的采购金额变更不得超过原合同采购金额的10%，其中金额增加需办理合同追加手续。</w:t>
            </w:r>
          </w:p>
        </w:tc>
      </w:tr>
    </w:tbl>
    <w:p w14:paraId="4AEBCAC4">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2FFD172">
      <w:pPr>
        <w:pStyle w:val="3"/>
        <w:spacing w:line="360" w:lineRule="auto"/>
        <w:ind w:left="594" w:hanging="596" w:hangingChars="212"/>
        <w:rPr>
          <w:rFonts w:hint="eastAsia" w:ascii="宋体" w:hAnsi="宋体" w:eastAsia="宋体" w:cs="宋体"/>
          <w:color w:val="auto"/>
          <w:highlight w:val="none"/>
        </w:rPr>
      </w:pPr>
      <w:bookmarkStart w:id="105" w:name="_Toc38"/>
      <w:r>
        <w:rPr>
          <w:rFonts w:hint="eastAsia" w:ascii="宋体" w:hAnsi="宋体" w:eastAsia="宋体" w:cs="宋体"/>
          <w:color w:val="auto"/>
          <w:highlight w:val="none"/>
        </w:rPr>
        <w:t>一、总则</w:t>
      </w:r>
      <w:bookmarkEnd w:id="98"/>
      <w:bookmarkEnd w:id="99"/>
      <w:bookmarkEnd w:id="100"/>
      <w:bookmarkEnd w:id="101"/>
      <w:bookmarkEnd w:id="102"/>
      <w:bookmarkEnd w:id="103"/>
      <w:bookmarkEnd w:id="104"/>
      <w:bookmarkEnd w:id="105"/>
    </w:p>
    <w:p w14:paraId="7DAACD03">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1.1 项目概况 </w:t>
      </w:r>
    </w:p>
    <w:p w14:paraId="260D53C9">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1.1.1</w:t>
      </w:r>
      <w:r>
        <w:rPr>
          <w:rFonts w:hint="eastAsia" w:ascii="宋体" w:hAnsi="宋体" w:eastAsia="宋体" w:cs="宋体"/>
          <w:color w:val="auto"/>
          <w:sz w:val="24"/>
          <w:szCs w:val="24"/>
          <w:highlight w:val="none"/>
        </w:rPr>
        <w:t>根据《中华人民共和国政府采购法》《中华人民共和国政府采购法实施条例》《政府采购货物和服务招标投标管理办法》（财政部令第87号）等有关规定，本招标项目已具备招标条件，现对本项目进行招标</w:t>
      </w:r>
      <w:r>
        <w:rPr>
          <w:rFonts w:hint="eastAsia" w:ascii="宋体" w:hAnsi="宋体" w:eastAsia="宋体" w:cs="宋体"/>
          <w:color w:val="auto"/>
          <w:highlight w:val="none"/>
        </w:rPr>
        <w:t>。</w:t>
      </w:r>
    </w:p>
    <w:p w14:paraId="602927E7">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1.1.2 本</w:t>
      </w:r>
      <w:bookmarkStart w:id="106" w:name="_Hlk493779507"/>
      <w:r>
        <w:rPr>
          <w:rFonts w:hint="eastAsia" w:ascii="宋体" w:hAnsi="宋体" w:eastAsia="宋体" w:cs="宋体"/>
          <w:color w:val="auto"/>
          <w:highlight w:val="none"/>
        </w:rPr>
        <w:t>采购项目</w:t>
      </w:r>
      <w:bookmarkEnd w:id="106"/>
      <w:r>
        <w:rPr>
          <w:rFonts w:hint="eastAsia" w:ascii="宋体" w:hAnsi="宋体" w:eastAsia="宋体" w:cs="宋体"/>
          <w:color w:val="auto"/>
          <w:highlight w:val="none"/>
        </w:rPr>
        <w:t>采购人信息：见供应商须知前附表。</w:t>
      </w:r>
    </w:p>
    <w:p w14:paraId="7145591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1.1.3 本次采购项目采购代理机构信息：见供应商须知前附表。</w:t>
      </w:r>
    </w:p>
    <w:p w14:paraId="2BF55152">
      <w:pPr>
        <w:spacing w:line="360" w:lineRule="auto"/>
        <w:ind w:firstLine="48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1.1.4 本次采购项目名称：见供应商须知前附表</w:t>
      </w:r>
      <w:r>
        <w:rPr>
          <w:rFonts w:hint="eastAsia" w:ascii="宋体" w:hAnsi="宋体" w:eastAsia="宋体" w:cs="宋体"/>
          <w:color w:val="auto"/>
          <w:highlight w:val="none"/>
          <w:lang w:eastAsia="zh-CN"/>
        </w:rPr>
        <w:t>；</w:t>
      </w:r>
    </w:p>
    <w:p w14:paraId="6649D283">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2.资金来源</w:t>
      </w:r>
    </w:p>
    <w:p w14:paraId="51F5CD97">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 本采购项目的资金来源：财政资金。</w:t>
      </w:r>
    </w:p>
    <w:p w14:paraId="4E064B67">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2.2 本采购项目的出资比例：100%。</w:t>
      </w:r>
    </w:p>
    <w:p w14:paraId="25A73FBC">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2.3 本采购项目的资金落实情况：已落实。</w:t>
      </w:r>
    </w:p>
    <w:p w14:paraId="29DDE8DB">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3.采购需求</w:t>
      </w:r>
    </w:p>
    <w:p w14:paraId="03234229">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3.1 本项目采购需求：见“供应商须知前附表”；</w:t>
      </w:r>
    </w:p>
    <w:p w14:paraId="5320D5C4">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3.2 本项目交货期、交货地点：见“供应商须知前附表”。</w:t>
      </w:r>
    </w:p>
    <w:p w14:paraId="76EB5FB4">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3.3采购进口产品（实质性要求）本项目招标文件中未载明“允许进口产品投标”的产品，拒绝进口产品参与竞争，供应商以进口产品响应时，其投标文件按无效处理。载明“允许进口产品投标”的产品，不限制国产产品参与竞争。</w:t>
      </w:r>
    </w:p>
    <w:p w14:paraId="6063E8C7">
      <w:pPr>
        <w:pStyle w:val="9"/>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不允许进口产品投标</w:t>
      </w:r>
    </w:p>
    <w:p w14:paraId="0825C8A8">
      <w:pPr>
        <w:pStyle w:val="9"/>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口允许进口产品投标</w:t>
      </w:r>
    </w:p>
    <w:p w14:paraId="180D8CC1">
      <w:pPr>
        <w:pStyle w:val="9"/>
        <w:ind w:firstLine="480" w:firstLineChars="200"/>
        <w:rPr>
          <w:rFonts w:hint="eastAsia" w:ascii="宋体" w:hAnsi="宋体" w:eastAsia="宋体" w:cs="宋体"/>
          <w:color w:val="auto"/>
          <w:highlight w:val="none"/>
          <w:u w:val="single"/>
        </w:rPr>
      </w:pPr>
      <w:r>
        <w:rPr>
          <w:rFonts w:hint="eastAsia" w:ascii="宋体" w:hAnsi="宋体" w:eastAsia="宋体" w:cs="宋体"/>
          <w:color w:val="auto"/>
          <w:highlight w:val="none"/>
        </w:rPr>
        <w:t>口部分允许进口产品投标，允许进口投标产品为：</w:t>
      </w:r>
      <w:r>
        <w:rPr>
          <w:rFonts w:hint="eastAsia" w:ascii="宋体" w:hAnsi="宋体" w:eastAsia="宋体" w:cs="宋体"/>
          <w:color w:val="auto"/>
          <w:highlight w:val="none"/>
          <w:u w:val="single"/>
        </w:rPr>
        <w:t xml:space="preserve">         </w:t>
      </w:r>
    </w:p>
    <w:p w14:paraId="670EC597">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4.供应商资格要求</w:t>
      </w:r>
    </w:p>
    <w:p w14:paraId="1A262E7F">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4.1</w:t>
      </w:r>
      <w:r>
        <w:rPr>
          <w:rFonts w:hint="eastAsia" w:ascii="宋体" w:hAnsi="宋体" w:eastAsia="宋体" w:cs="宋体"/>
          <w:color w:val="auto"/>
          <w:szCs w:val="21"/>
          <w:highlight w:val="none"/>
        </w:rPr>
        <w:t>满足《中华人民共和国政府采购法》第二十二条规定：</w:t>
      </w:r>
      <w:r>
        <w:rPr>
          <w:rFonts w:hint="eastAsia" w:ascii="宋体" w:hAnsi="宋体" w:eastAsia="宋体" w:cs="宋体"/>
          <w:color w:val="auto"/>
          <w:highlight w:val="none"/>
        </w:rPr>
        <w:t>见“供应商须知前附表”；</w:t>
      </w:r>
    </w:p>
    <w:p w14:paraId="00D4914F">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4.2落实政府采购政策需满足的资格要求：见“供应商须知前附表”；</w:t>
      </w:r>
    </w:p>
    <w:p w14:paraId="58E23EA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4.3</w:t>
      </w:r>
      <w:r>
        <w:rPr>
          <w:rFonts w:hint="eastAsia" w:ascii="宋体" w:hAnsi="宋体" w:eastAsia="宋体" w:cs="宋体"/>
          <w:color w:val="auto"/>
          <w:szCs w:val="21"/>
          <w:highlight w:val="none"/>
        </w:rPr>
        <w:t>本项目的特定资格要求：</w:t>
      </w:r>
      <w:r>
        <w:rPr>
          <w:rFonts w:hint="eastAsia" w:ascii="宋体" w:hAnsi="宋体" w:eastAsia="宋体" w:cs="宋体"/>
          <w:color w:val="auto"/>
          <w:highlight w:val="none"/>
        </w:rPr>
        <w:t>见“供应商须知前附表”；</w:t>
      </w:r>
    </w:p>
    <w:p w14:paraId="73FCB675">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4.4供货质量要求：所供货物为全新产品，必须符合国家强制性标准，同时通过国家相关检测部门和采购人的合格验收。</w:t>
      </w:r>
    </w:p>
    <w:p w14:paraId="263E6757">
      <w:pPr>
        <w:spacing w:line="360" w:lineRule="auto"/>
        <w:ind w:firstLine="480" w:firstLineChars="200"/>
        <w:rPr>
          <w:rFonts w:hint="eastAsia" w:ascii="宋体" w:hAnsi="宋体" w:eastAsia="宋体" w:cs="宋体"/>
          <w:b/>
          <w:color w:val="auto"/>
          <w:highlight w:val="none"/>
        </w:rPr>
      </w:pPr>
      <w:r>
        <w:rPr>
          <w:rFonts w:hint="eastAsia" w:ascii="宋体" w:hAnsi="宋体" w:eastAsia="宋体" w:cs="宋体"/>
          <w:bCs/>
          <w:color w:val="auto"/>
          <w:highlight w:val="none"/>
        </w:rPr>
        <w:t>4.5 本项目采用资格审查方式：资格后审 （由采购代理机构对供货商资格进行审查）。</w:t>
      </w:r>
    </w:p>
    <w:p w14:paraId="468B1A75">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5.投标费用</w:t>
      </w:r>
    </w:p>
    <w:p w14:paraId="439AEB3D">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5.1不论投标结果如何，供应商均应自行承担所有与准备和参加投标活动有关的全部费用。</w:t>
      </w:r>
    </w:p>
    <w:p w14:paraId="0BB11B95">
      <w:pPr>
        <w:spacing w:line="360" w:lineRule="auto"/>
        <w:ind w:firstLine="482" w:firstLineChars="200"/>
        <w:rPr>
          <w:rFonts w:hint="eastAsia" w:ascii="宋体" w:hAnsi="宋体" w:eastAsia="宋体" w:cs="宋体"/>
          <w:b/>
          <w:color w:val="auto"/>
          <w:highlight w:val="none"/>
        </w:rPr>
      </w:pPr>
      <w:bookmarkStart w:id="107" w:name="_Toc321836356"/>
      <w:r>
        <w:rPr>
          <w:rFonts w:hint="eastAsia" w:ascii="宋体" w:hAnsi="宋体" w:eastAsia="宋体" w:cs="宋体"/>
          <w:b/>
          <w:color w:val="auto"/>
          <w:highlight w:val="none"/>
        </w:rPr>
        <w:t>6.质疑</w:t>
      </w:r>
      <w:bookmarkEnd w:id="107"/>
    </w:p>
    <w:p w14:paraId="67451C4A">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6.1供应商认为招标文件、招标过程和中标结果使自己的权益受到损害的，应当在知道或者应知其权益受到损害之日起7个工作日内，以书面形式向采购代理机构或采购人提出质疑。质疑内容不得含有虚假、恶意成分。当事人对自己提出的主张，有责任提供证据，提出质疑时应同时提交相关证据材料和注明事实的确切来源。</w:t>
      </w:r>
    </w:p>
    <w:p w14:paraId="1B5E18F8">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6.2供应商应知其权益受到损害之日，是指：</w:t>
      </w:r>
    </w:p>
    <w:p w14:paraId="4489BA2F">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（1）对可以质疑的采购文件提出质疑的，为供应商获取采购文件之日；</w:t>
      </w:r>
    </w:p>
    <w:p w14:paraId="22842B0B">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（2）对采购过程提出质疑的，为各采购程序环节结束之日；</w:t>
      </w:r>
    </w:p>
    <w:p w14:paraId="2165254D">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（3）对中标结果提出质疑的，为中标结果公告期限届满之日。</w:t>
      </w:r>
    </w:p>
    <w:p w14:paraId="676F6D8E">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6.3供应商提供的质疑书应符合中华人民共和国财政部第94号令《政府采购质疑和投诉办法》的规定。供应商提供的质疑书（如材料中有外文资料应同时附上中文译本）应当包括以下主要内容：</w:t>
      </w:r>
    </w:p>
    <w:p w14:paraId="75F5BCAC">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（一）供应商的姓名或者名称、地址、邮编、联系人及联系电话；</w:t>
      </w:r>
    </w:p>
    <w:p w14:paraId="18ECADB3">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（二）质疑项目的名称、编号；</w:t>
      </w:r>
    </w:p>
    <w:p w14:paraId="7D6E2B63">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（三）具体、明确的质疑事项和与质疑事项相关的请求；</w:t>
      </w:r>
    </w:p>
    <w:p w14:paraId="1795462F">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（四）事实依据；</w:t>
      </w:r>
    </w:p>
    <w:p w14:paraId="7455619B">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（五）必要的法律依据；</w:t>
      </w:r>
    </w:p>
    <w:p w14:paraId="4129ABD5">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（六）提出质疑的日期。</w:t>
      </w:r>
    </w:p>
    <w:p w14:paraId="5B41C912">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质疑书实行实名制，并提交由法定代表人或其委托代理人签字且盖单位章的原件。</w:t>
      </w:r>
    </w:p>
    <w:p w14:paraId="5C2AF96E">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6.4采购人、采购代理机构将在收到供应商的书面质疑后7个工作日内作出答复，但答复的内容不涉及商业秘密。</w:t>
      </w:r>
    </w:p>
    <w:p w14:paraId="5DE05209">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6.5参与政府采购活动的供应商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14:paraId="05501D48">
      <w:pPr>
        <w:spacing w:line="360" w:lineRule="auto"/>
        <w:ind w:firstLine="482" w:firstLineChars="200"/>
        <w:rPr>
          <w:rFonts w:hint="eastAsia" w:ascii="宋体" w:hAnsi="宋体" w:eastAsia="宋体" w:cs="宋体"/>
          <w:b/>
          <w:color w:val="auto"/>
          <w:highlight w:val="none"/>
        </w:rPr>
      </w:pPr>
      <w:bookmarkStart w:id="108" w:name="_Toc321836357"/>
      <w:r>
        <w:rPr>
          <w:rFonts w:hint="eastAsia" w:ascii="宋体" w:hAnsi="宋体" w:eastAsia="宋体" w:cs="宋体"/>
          <w:b/>
          <w:color w:val="auto"/>
          <w:highlight w:val="none"/>
        </w:rPr>
        <w:t>7.投诉</w:t>
      </w:r>
      <w:bookmarkEnd w:id="108"/>
    </w:p>
    <w:p w14:paraId="30414687">
      <w:pPr>
        <w:pStyle w:val="12"/>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Cs w:val="24"/>
          <w:highlight w:val="none"/>
        </w:rPr>
        <w:t>投诉必须首先经过质疑程序。质疑人对采购人、采购代理机构的答复不满意，或者采购人、采购代理机构未在规定的时间内作出答复的，可以在答复期满后十五个工作日内书面向同级财</w:t>
      </w:r>
      <w:r>
        <w:rPr>
          <w:rFonts w:hint="eastAsia" w:ascii="宋体" w:hAnsi="宋体" w:eastAsia="宋体" w:cs="宋体"/>
          <w:color w:val="auto"/>
          <w:highlight w:val="none"/>
        </w:rPr>
        <w:t>政部门提出投诉。</w:t>
      </w:r>
    </w:p>
    <w:p w14:paraId="033927A3">
      <w:pPr>
        <w:pStyle w:val="12"/>
        <w:spacing w:line="360" w:lineRule="auto"/>
        <w:ind w:firstLine="562" w:firstLineChars="200"/>
        <w:outlineLvl w:val="1"/>
        <w:rPr>
          <w:rFonts w:hint="eastAsia" w:ascii="宋体" w:hAnsi="宋体" w:eastAsia="宋体" w:cs="宋体"/>
          <w:b/>
          <w:bCs/>
          <w:color w:val="auto"/>
          <w:sz w:val="28"/>
          <w:szCs w:val="28"/>
          <w:highlight w:val="none"/>
        </w:rPr>
      </w:pPr>
      <w:bookmarkStart w:id="109" w:name="_Toc3041"/>
      <w:bookmarkStart w:id="110" w:name="_Toc23833"/>
      <w:r>
        <w:rPr>
          <w:rFonts w:hint="eastAsia" w:ascii="宋体" w:hAnsi="宋体" w:eastAsia="宋体" w:cs="宋体"/>
          <w:b/>
          <w:bCs/>
          <w:color w:val="auto"/>
          <w:sz w:val="28"/>
          <w:szCs w:val="28"/>
          <w:highlight w:val="none"/>
        </w:rPr>
        <w:br w:type="page"/>
      </w:r>
      <w:bookmarkStart w:id="111" w:name="_Toc7893"/>
      <w:bookmarkStart w:id="112" w:name="_Toc489"/>
      <w:r>
        <w:rPr>
          <w:rFonts w:hint="eastAsia" w:ascii="宋体" w:hAnsi="宋体" w:eastAsia="宋体" w:cs="宋体"/>
          <w:b/>
          <w:bCs/>
          <w:color w:val="auto"/>
          <w:sz w:val="28"/>
          <w:szCs w:val="28"/>
          <w:highlight w:val="none"/>
        </w:rPr>
        <w:t>二、招标文件</w:t>
      </w:r>
      <w:bookmarkEnd w:id="109"/>
      <w:bookmarkEnd w:id="110"/>
      <w:bookmarkEnd w:id="111"/>
      <w:bookmarkEnd w:id="112"/>
    </w:p>
    <w:p w14:paraId="2B88E7E2">
      <w:pPr>
        <w:pStyle w:val="12"/>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8. 招标文件构成</w:t>
      </w:r>
    </w:p>
    <w:p w14:paraId="4B82486F">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8.1要求提供的货物、采购过程及合同条款在招标文件中均有说明，招标文件共</w:t>
      </w: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章，各章的内容如下：</w:t>
      </w:r>
    </w:p>
    <w:p w14:paraId="373CD4D4">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第一章  招标公告</w:t>
      </w:r>
    </w:p>
    <w:p w14:paraId="271B8EC5">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第二章  供应商须知</w:t>
      </w:r>
    </w:p>
    <w:p w14:paraId="53FF24A4">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第三章  评标办法</w:t>
      </w:r>
    </w:p>
    <w:p w14:paraId="2C81113A">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第四章  合同书样及主要条款</w:t>
      </w:r>
    </w:p>
    <w:p w14:paraId="23293AE8">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第五章  投标文件格式</w:t>
      </w:r>
    </w:p>
    <w:p w14:paraId="6389CB92">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第六章  招标需求及技术要求</w:t>
      </w:r>
    </w:p>
    <w:p w14:paraId="3E6E13C7">
      <w:pPr>
        <w:pStyle w:val="12"/>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9.招标文件的澄清</w:t>
      </w:r>
    </w:p>
    <w:p w14:paraId="2C6B1A8E">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9.1供应商应认真核查招标文件，如有疑问的，供应商可以在 “</w:t>
      </w:r>
      <w:r>
        <w:rPr>
          <w:rFonts w:hint="eastAsia" w:ascii="宋体" w:hAnsi="宋体" w:eastAsia="宋体" w:cs="宋体"/>
          <w:b/>
          <w:bCs/>
          <w:color w:val="auto"/>
          <w:highlight w:val="none"/>
        </w:rPr>
        <w:t>供应商须知前附表</w:t>
      </w:r>
      <w:r>
        <w:rPr>
          <w:rFonts w:hint="eastAsia" w:ascii="宋体" w:hAnsi="宋体" w:eastAsia="宋体" w:cs="宋体"/>
          <w:color w:val="auto"/>
          <w:highlight w:val="none"/>
        </w:rPr>
        <w:t>”规定截止时间前以澄清函形式（加盖单位章）要求采购人澄清，截止时间后送达的澄清要求不予接受。</w:t>
      </w:r>
    </w:p>
    <w:p w14:paraId="0778AAD4">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9.2采购代理机构将以书面形式答复所有购买招标文件的供应商（答复中不包含问题的来源）要求澄清的问题，其他澄清方式为无效。</w:t>
      </w:r>
    </w:p>
    <w:p w14:paraId="28383E16">
      <w:pPr>
        <w:pStyle w:val="12"/>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10.招标文件的澄清或者修改</w:t>
      </w:r>
    </w:p>
    <w:p w14:paraId="1DF26965">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采购代理机构对已发出的招标文件进行必要澄清或者修改的，于招标文件要求提交投标文件截止时间</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日前，在财政部门指定的政府采购信息发布媒体上发布更正公告，并以书面形式通知所有购买招标文件的供应商。该澄清或者修改的内容为招标文件的组成部分。</w:t>
      </w:r>
    </w:p>
    <w:p w14:paraId="436F47D9">
      <w:pPr>
        <w:pStyle w:val="3"/>
        <w:spacing w:line="360" w:lineRule="auto"/>
        <w:ind w:left="0" w:right="240" w:firstLine="0"/>
        <w:rPr>
          <w:rFonts w:hint="eastAsia" w:ascii="宋体" w:hAnsi="宋体" w:eastAsia="宋体" w:cs="宋体"/>
          <w:color w:val="auto"/>
          <w:highlight w:val="none"/>
        </w:rPr>
      </w:pPr>
      <w:bookmarkStart w:id="113" w:name="_Toc392492182"/>
      <w:bookmarkStart w:id="114" w:name="_Toc23826"/>
      <w:bookmarkStart w:id="115" w:name="_Toc25541"/>
      <w:bookmarkStart w:id="116" w:name="_Toc23070"/>
      <w:bookmarkStart w:id="117" w:name="_Toc392492443"/>
      <w:bookmarkStart w:id="118" w:name="_Toc373252448"/>
      <w:bookmarkStart w:id="119" w:name="_Toc27499"/>
      <w:bookmarkStart w:id="120" w:name="_Toc23598"/>
      <w:r>
        <w:rPr>
          <w:rFonts w:hint="eastAsia" w:ascii="宋体" w:hAnsi="宋体" w:eastAsia="宋体" w:cs="宋体"/>
          <w:color w:val="auto"/>
          <w:highlight w:val="none"/>
        </w:rPr>
        <w:t>三、投标文件</w:t>
      </w:r>
      <w:bookmarkEnd w:id="113"/>
      <w:bookmarkEnd w:id="114"/>
      <w:bookmarkEnd w:id="115"/>
      <w:bookmarkEnd w:id="116"/>
      <w:bookmarkEnd w:id="117"/>
      <w:bookmarkEnd w:id="118"/>
      <w:bookmarkEnd w:id="119"/>
      <w:bookmarkEnd w:id="120"/>
    </w:p>
    <w:p w14:paraId="54CCF619">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11.投标文件编写注意事项</w:t>
      </w:r>
    </w:p>
    <w:p w14:paraId="477D8D61">
      <w:pPr>
        <w:spacing w:line="360" w:lineRule="auto"/>
        <w:ind w:firstLine="48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11.1供应商应仔细阅读招标文件，在完全了解采购的内容、技术性能要求详见“招标需求及技术要求”后，编写投标文件。</w:t>
      </w:r>
      <w:r>
        <w:rPr>
          <w:rFonts w:hint="eastAsia" w:ascii="宋体" w:hAnsi="宋体" w:eastAsia="宋体" w:cs="宋体"/>
          <w:color w:val="auto"/>
          <w:highlight w:val="none"/>
          <w:lang w:val="en-US" w:eastAsia="zh-CN"/>
        </w:rPr>
        <w:t>投标</w:t>
      </w:r>
      <w:r>
        <w:rPr>
          <w:rFonts w:hint="eastAsia" w:ascii="宋体" w:hAnsi="宋体" w:eastAsia="宋体" w:cs="宋体"/>
          <w:color w:val="auto"/>
          <w:highlight w:val="none"/>
        </w:rPr>
        <w:t>文件</w:t>
      </w:r>
      <w:r>
        <w:rPr>
          <w:rFonts w:hint="eastAsia" w:ascii="宋体" w:hAnsi="宋体" w:eastAsia="宋体" w:cs="宋体"/>
          <w:color w:val="auto"/>
          <w:highlight w:val="none"/>
          <w:lang w:val="en-US" w:eastAsia="zh-CN"/>
        </w:rPr>
        <w:t>应</w:t>
      </w:r>
      <w:r>
        <w:rPr>
          <w:rFonts w:hint="eastAsia" w:ascii="宋体" w:hAnsi="宋体" w:eastAsia="宋体" w:cs="宋体"/>
          <w:color w:val="auto"/>
          <w:highlight w:val="none"/>
        </w:rPr>
        <w:t>按顺序编写</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并附</w:t>
      </w:r>
      <w:r>
        <w:rPr>
          <w:rFonts w:hint="eastAsia" w:ascii="宋体" w:hAnsi="宋体" w:eastAsia="宋体" w:cs="宋体"/>
          <w:color w:val="auto"/>
          <w:highlight w:val="none"/>
        </w:rPr>
        <w:t>目录和页码</w:t>
      </w:r>
      <w:r>
        <w:rPr>
          <w:rFonts w:hint="eastAsia" w:ascii="宋体" w:hAnsi="宋体" w:eastAsia="宋体" w:cs="宋体"/>
          <w:color w:val="auto"/>
          <w:highlight w:val="none"/>
          <w:lang w:eastAsia="zh-CN"/>
        </w:rPr>
        <w:t>。</w:t>
      </w:r>
    </w:p>
    <w:p w14:paraId="4ACEEEFB">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11.2对招标文件提出的实质性要求和条件作出响应是指：供应商必须对招标文件中的实质性要求和条件的内容作出满足或者优于原要求和条件的承诺，并提供相应的证明材料。</w:t>
      </w:r>
    </w:p>
    <w:p w14:paraId="247A9C0D">
      <w:pPr>
        <w:spacing w:line="360" w:lineRule="auto"/>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11.3</w:t>
      </w:r>
      <w:r>
        <w:rPr>
          <w:rFonts w:hint="eastAsia" w:ascii="宋体" w:hAnsi="宋体" w:eastAsia="宋体" w:cs="宋体"/>
          <w:color w:val="auto"/>
          <w:sz w:val="24"/>
          <w:szCs w:val="24"/>
          <w:highlight w:val="none"/>
        </w:rPr>
        <w:t>投标文件全部采用电子文档，除</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须知前附表另有规定外，投标文件所附证书证件均为原件扫描件，并采用单位和个人数字证书，按招标文件要求在相应位置加盖电子签章。由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的法定代表人（单位负责人）签字或加盖电子签章的，应附法定代表人（单位负责人）身份证明，由代理人签字或加盖电子签章的，应附由法定代表人（单位负责人）签署的授权委托书。</w:t>
      </w:r>
    </w:p>
    <w:p w14:paraId="2C2EEAB7">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12.投标的语言及计量单位</w:t>
      </w:r>
    </w:p>
    <w:p w14:paraId="6A68132E">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12.1供应商的投标文件以及供应商与采购代理机构就有关投标的所有来往函电统一使用中文（特别规定除外）。</w:t>
      </w:r>
    </w:p>
    <w:p w14:paraId="2DDAD876">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12.2投标文件中使用的计量单位除招标文件中有特殊规定外，一律使用中国法定计量单位。</w:t>
      </w:r>
    </w:p>
    <w:p w14:paraId="015A09BA">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13.投标文件构成</w:t>
      </w:r>
    </w:p>
    <w:p w14:paraId="337C323C">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13.1供应商编写的投标文件应由下列部分构成，并按第五章“投标文件格式”要求填写。其他证明资料为原件扫描件。包括但不限于以下内容；</w:t>
      </w:r>
    </w:p>
    <w:p w14:paraId="655B2C0B">
      <w:pPr>
        <w:spacing w:line="360" w:lineRule="auto"/>
        <w:ind w:firstLine="1200" w:firstLineChars="500"/>
        <w:rPr>
          <w:rFonts w:hint="eastAsia" w:ascii="宋体" w:hAnsi="宋体" w:eastAsia="宋体" w:cs="宋体"/>
          <w:color w:val="auto"/>
          <w:highlight w:val="none"/>
        </w:rPr>
      </w:pPr>
      <w:r>
        <w:rPr>
          <w:rFonts w:hint="eastAsia" w:ascii="宋体" w:hAnsi="宋体" w:eastAsia="宋体" w:cs="宋体"/>
          <w:color w:val="auto"/>
          <w:highlight w:val="none"/>
        </w:rPr>
        <w:t>13.1.1资格审查部分；</w:t>
      </w:r>
    </w:p>
    <w:p w14:paraId="0D3D147C">
      <w:pPr>
        <w:spacing w:line="360" w:lineRule="auto"/>
        <w:ind w:firstLine="1200" w:firstLineChars="500"/>
        <w:rPr>
          <w:rFonts w:hint="eastAsia" w:ascii="宋体" w:hAnsi="宋体" w:eastAsia="宋体" w:cs="宋体"/>
          <w:color w:val="auto"/>
          <w:highlight w:val="none"/>
        </w:rPr>
      </w:pPr>
      <w:r>
        <w:rPr>
          <w:rFonts w:hint="eastAsia" w:ascii="宋体" w:hAnsi="宋体" w:eastAsia="宋体" w:cs="宋体"/>
          <w:color w:val="auto"/>
          <w:highlight w:val="none"/>
        </w:rPr>
        <w:t>13.1.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技术部分；</w:t>
      </w:r>
    </w:p>
    <w:p w14:paraId="0B742441">
      <w:pPr>
        <w:spacing w:line="360" w:lineRule="auto"/>
        <w:ind w:firstLine="1200" w:firstLineChars="500"/>
        <w:rPr>
          <w:rFonts w:hint="eastAsia" w:ascii="宋体" w:hAnsi="宋体" w:eastAsia="宋体" w:cs="宋体"/>
          <w:color w:val="auto"/>
          <w:highlight w:val="none"/>
        </w:rPr>
      </w:pPr>
      <w:r>
        <w:rPr>
          <w:rFonts w:hint="eastAsia" w:ascii="宋体" w:hAnsi="宋体" w:eastAsia="宋体" w:cs="宋体"/>
          <w:color w:val="auto"/>
          <w:highlight w:val="none"/>
        </w:rPr>
        <w:t>13.1.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商务部分；</w:t>
      </w:r>
    </w:p>
    <w:p w14:paraId="30216740">
      <w:pPr>
        <w:spacing w:line="360" w:lineRule="auto"/>
        <w:ind w:firstLine="1200" w:firstLineChars="500"/>
        <w:rPr>
          <w:rFonts w:hint="eastAsia" w:ascii="宋体" w:hAnsi="宋体" w:eastAsia="宋体" w:cs="宋体"/>
          <w:color w:val="auto"/>
          <w:highlight w:val="none"/>
        </w:rPr>
      </w:pPr>
      <w:r>
        <w:rPr>
          <w:rFonts w:hint="eastAsia" w:ascii="宋体" w:hAnsi="宋体" w:eastAsia="宋体" w:cs="宋体"/>
          <w:color w:val="auto"/>
          <w:highlight w:val="none"/>
        </w:rPr>
        <w:t>13.1.</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构成</w:t>
      </w:r>
      <w:r>
        <w:rPr>
          <w:rFonts w:hint="eastAsia" w:ascii="宋体" w:hAnsi="宋体" w:eastAsia="宋体" w:cs="宋体"/>
          <w:color w:val="auto"/>
          <w:highlight w:val="none"/>
          <w:lang w:eastAsia="zh-CN"/>
        </w:rPr>
        <w:t>投标文件</w:t>
      </w:r>
      <w:r>
        <w:rPr>
          <w:rFonts w:hint="eastAsia" w:ascii="宋体" w:hAnsi="宋体" w:eastAsia="宋体" w:cs="宋体"/>
          <w:color w:val="auto"/>
          <w:highlight w:val="none"/>
        </w:rPr>
        <w:t>的其他资料。</w:t>
      </w:r>
    </w:p>
    <w:p w14:paraId="38DF64CF">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14. 投标文件的格式要求</w:t>
      </w:r>
    </w:p>
    <w:p w14:paraId="5EC72CAE">
      <w:pPr>
        <w:pStyle w:val="12"/>
        <w:tabs>
          <w:tab w:val="left" w:pos="3030"/>
        </w:tabs>
        <w:spacing w:line="360" w:lineRule="auto"/>
        <w:ind w:firstLine="480" w:firstLineChars="200"/>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14.1供应商应按第五章“</w:t>
      </w:r>
      <w:r>
        <w:rPr>
          <w:rFonts w:hint="eastAsia" w:ascii="宋体" w:hAnsi="宋体" w:eastAsia="宋体" w:cs="宋体"/>
          <w:b/>
          <w:color w:val="auto"/>
          <w:szCs w:val="24"/>
          <w:highlight w:val="none"/>
        </w:rPr>
        <w:t>投标文件格式</w:t>
      </w:r>
      <w:r>
        <w:rPr>
          <w:rFonts w:hint="eastAsia" w:ascii="宋体" w:hAnsi="宋体" w:eastAsia="宋体" w:cs="宋体"/>
          <w:color w:val="auto"/>
          <w:szCs w:val="24"/>
          <w:highlight w:val="none"/>
        </w:rPr>
        <w:t>”提供的格式完整地填写。</w:t>
      </w:r>
    </w:p>
    <w:p w14:paraId="5C3A50F0">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15. 投标报价</w:t>
      </w:r>
    </w:p>
    <w:p w14:paraId="32A101CB">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15.1本项目预算金额及最高限价见第一章“招标公告”，若供应商的投标报价超过最高限价，按不实质性响应招标文件要求处理。</w:t>
      </w:r>
    </w:p>
    <w:p w14:paraId="46F4EFDC">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15.2供应商须就“</w:t>
      </w:r>
      <w:r>
        <w:rPr>
          <w:rFonts w:hint="eastAsia" w:ascii="宋体" w:hAnsi="宋体" w:eastAsia="宋体" w:cs="宋体"/>
          <w:b/>
          <w:color w:val="auto"/>
          <w:szCs w:val="24"/>
          <w:highlight w:val="none"/>
        </w:rPr>
        <w:t>招标需求及技术要求</w:t>
      </w:r>
      <w:r>
        <w:rPr>
          <w:rFonts w:hint="eastAsia" w:ascii="宋体" w:hAnsi="宋体" w:eastAsia="宋体" w:cs="宋体"/>
          <w:color w:val="auto"/>
          <w:szCs w:val="24"/>
          <w:highlight w:val="none"/>
        </w:rPr>
        <w:t>”中的</w:t>
      </w:r>
      <w:r>
        <w:rPr>
          <w:rFonts w:hint="eastAsia" w:ascii="宋体" w:hAnsi="宋体" w:eastAsia="宋体" w:cs="宋体"/>
          <w:bCs/>
          <w:color w:val="auto"/>
          <w:szCs w:val="24"/>
          <w:highlight w:val="none"/>
        </w:rPr>
        <w:t>所投内容作完整唯一报价</w:t>
      </w:r>
      <w:r>
        <w:rPr>
          <w:rFonts w:hint="eastAsia" w:ascii="宋体" w:hAnsi="宋体" w:eastAsia="宋体" w:cs="宋体"/>
          <w:color w:val="auto"/>
          <w:szCs w:val="24"/>
          <w:highlight w:val="none"/>
        </w:rPr>
        <w:t>。供应商的投标报价包括项目实施过程中材料、设备、服务费用、税金、管理费、合理利润、服务人员等所有费用。</w:t>
      </w:r>
    </w:p>
    <w:p w14:paraId="6C6E4CB8">
      <w:pPr>
        <w:pStyle w:val="12"/>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Cs w:val="24"/>
          <w:highlight w:val="none"/>
        </w:rPr>
        <w:t>15.3</w:t>
      </w:r>
      <w:r>
        <w:rPr>
          <w:rFonts w:hint="eastAsia" w:ascii="宋体" w:hAnsi="宋体" w:eastAsia="宋体" w:cs="宋体"/>
          <w:color w:val="auto"/>
          <w:highlight w:val="none"/>
        </w:rPr>
        <w:t>供应商应依据招标文件的要求及有关资料，按国家或行业现行规范，自行测算出满足招标服务要求的竞争性报价。该报价应考虑市场风险、政策性风险、汇率风险等因素，并能保证供应商完成履行合同所需的全部工作，此价格在合同签订后将不作调整。</w:t>
      </w:r>
    </w:p>
    <w:p w14:paraId="426D2E3E">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15.4货物的出厂价指制造厂生产的，满足招标要求及符合国家质量检测标准的货物的价格。包括但不仅限于产品的设计费、供应商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的价格。</w:t>
      </w:r>
    </w:p>
    <w:p w14:paraId="5C10923A">
      <w:pPr>
        <w:pStyle w:val="12"/>
        <w:spacing w:line="360" w:lineRule="auto"/>
        <w:ind w:firstLine="480" w:firstLineChars="200"/>
        <w:rPr>
          <w:rFonts w:hint="eastAsia" w:ascii="宋体" w:hAnsi="宋体" w:eastAsia="宋体" w:cs="宋体"/>
          <w:color w:val="auto"/>
          <w:highlight w:val="none"/>
        </w:rPr>
      </w:pPr>
      <w:r>
        <w:rPr>
          <w:rFonts w:hint="eastAsia" w:ascii="宋体" w:hAnsi="宋体" w:eastAsia="宋体" w:cs="宋体"/>
          <w:bCs/>
          <w:color w:val="auto"/>
          <w:highlight w:val="none"/>
        </w:rPr>
        <w:t>15.5</w:t>
      </w:r>
      <w:r>
        <w:rPr>
          <w:rFonts w:hint="eastAsia" w:ascii="宋体" w:hAnsi="宋体" w:eastAsia="宋体" w:cs="宋体"/>
          <w:b/>
          <w:color w:val="auto"/>
          <w:highlight w:val="none"/>
        </w:rPr>
        <w:t>运杂费用</w:t>
      </w:r>
      <w:r>
        <w:rPr>
          <w:rFonts w:hint="eastAsia" w:ascii="宋体" w:hAnsi="宋体" w:eastAsia="宋体" w:cs="宋体"/>
          <w:b/>
          <w:bCs/>
          <w:color w:val="auto"/>
          <w:highlight w:val="none"/>
        </w:rPr>
        <w:t>：</w:t>
      </w:r>
      <w:r>
        <w:rPr>
          <w:rFonts w:hint="eastAsia" w:ascii="宋体" w:hAnsi="宋体" w:eastAsia="宋体" w:cs="宋体"/>
          <w:color w:val="auto"/>
          <w:highlight w:val="none"/>
        </w:rPr>
        <w:t>即投标货物到交货地点前的所有费用，包括铁路或公路运费、提货及转运费用、短途运费、包装费、装卸费用、安装费用、保险费等。</w:t>
      </w:r>
    </w:p>
    <w:p w14:paraId="397ECCB0">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16.投标货币</w:t>
      </w:r>
    </w:p>
    <w:p w14:paraId="03CC9D2A">
      <w:pPr>
        <w:pStyle w:val="12"/>
        <w:spacing w:line="360" w:lineRule="auto"/>
        <w:ind w:firstLine="480" w:firstLineChars="200"/>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16.1投标以人民币报价。</w:t>
      </w:r>
    </w:p>
    <w:p w14:paraId="67857BC8">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17.投标文件有效期</w:t>
      </w:r>
    </w:p>
    <w:p w14:paraId="0D412217">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17.1在“</w:t>
      </w:r>
      <w:r>
        <w:rPr>
          <w:rFonts w:hint="eastAsia" w:ascii="宋体" w:hAnsi="宋体" w:eastAsia="宋体" w:cs="宋体"/>
          <w:b/>
          <w:bCs/>
          <w:color w:val="auto"/>
          <w:szCs w:val="24"/>
          <w:highlight w:val="none"/>
        </w:rPr>
        <w:t>供应商须知前附表</w:t>
      </w:r>
      <w:r>
        <w:rPr>
          <w:rFonts w:hint="eastAsia" w:ascii="宋体" w:hAnsi="宋体" w:eastAsia="宋体" w:cs="宋体"/>
          <w:color w:val="auto"/>
          <w:szCs w:val="24"/>
          <w:highlight w:val="none"/>
        </w:rPr>
        <w:t>”规定的投标有效期内，供应商不得要求撤销或修改其投标文件。</w:t>
      </w:r>
    </w:p>
    <w:p w14:paraId="166541E6">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17.2在特殊情况需要延长投标有效期的，采购人以书面形式通知所有供应商延长投标有效期。但不得要求或被允许修改或撤销其投标文件；供应商拒绝延长的，其投标文件失效。</w:t>
      </w:r>
    </w:p>
    <w:p w14:paraId="6BBEC6B8">
      <w:pPr>
        <w:spacing w:line="360" w:lineRule="auto"/>
        <w:ind w:firstLine="48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17.3</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中的法定代表人授权委托书</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委托期限</w:t>
      </w:r>
      <w:r>
        <w:rPr>
          <w:rFonts w:hint="eastAsia" w:ascii="宋体" w:hAnsi="宋体" w:eastAsia="宋体" w:cs="宋体"/>
          <w:color w:val="auto"/>
          <w:sz w:val="24"/>
          <w:szCs w:val="24"/>
          <w:highlight w:val="none"/>
          <w:lang w:val="en-US" w:eastAsia="zh-CN"/>
        </w:rPr>
        <w:t>自签署之日起</w:t>
      </w:r>
      <w:r>
        <w:rPr>
          <w:rFonts w:hint="eastAsia" w:ascii="宋体" w:hAnsi="宋体" w:eastAsia="宋体" w:cs="宋体"/>
          <w:color w:val="auto"/>
          <w:sz w:val="24"/>
          <w:szCs w:val="24"/>
          <w:highlight w:val="none"/>
        </w:rPr>
        <w:t>不得</w:t>
      </w:r>
      <w:r>
        <w:rPr>
          <w:rFonts w:hint="eastAsia" w:ascii="宋体" w:hAnsi="宋体" w:eastAsia="宋体" w:cs="宋体"/>
          <w:color w:val="auto"/>
          <w:sz w:val="24"/>
          <w:szCs w:val="24"/>
          <w:highlight w:val="none"/>
          <w:lang w:val="en-US" w:eastAsia="zh-CN"/>
        </w:rPr>
        <w:t>早于本项目的</w:t>
      </w:r>
      <w:r>
        <w:rPr>
          <w:rFonts w:hint="eastAsia" w:ascii="宋体" w:hAnsi="宋体" w:eastAsia="宋体" w:cs="宋体"/>
          <w:color w:val="auto"/>
          <w:sz w:val="24"/>
          <w:szCs w:val="24"/>
          <w:highlight w:val="none"/>
        </w:rPr>
        <w:t>投标有效期，并须写明明确的起止年月日时间</w:t>
      </w:r>
      <w:r>
        <w:rPr>
          <w:rFonts w:hint="eastAsia" w:ascii="宋体" w:hAnsi="宋体" w:eastAsia="宋体" w:cs="宋体"/>
          <w:color w:val="auto"/>
          <w:sz w:val="24"/>
          <w:szCs w:val="24"/>
          <w:highlight w:val="none"/>
          <w:lang w:eastAsia="zh-CN"/>
        </w:rPr>
        <w:t>。</w:t>
      </w:r>
    </w:p>
    <w:p w14:paraId="1BF26D1B">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18. 投标保证金</w:t>
      </w:r>
    </w:p>
    <w:p w14:paraId="1F0C7ED0">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highlight w:val="none"/>
        </w:rPr>
        <w:t>3.7.1根据曲财采（2022）41号文“曲靖市财政局关于明确政府采购保证金管理工作的通知”，本次采购活动不收取投标保证金。</w:t>
      </w:r>
    </w:p>
    <w:p w14:paraId="72E8B366">
      <w:pPr>
        <w:spacing w:line="360" w:lineRule="auto"/>
        <w:ind w:firstLine="482" w:firstLineChars="200"/>
        <w:rPr>
          <w:rFonts w:hint="eastAsia" w:ascii="宋体" w:hAnsi="宋体" w:eastAsia="宋体" w:cs="宋体"/>
          <w:b/>
          <w:color w:val="auto"/>
          <w:highlight w:val="none"/>
        </w:rPr>
      </w:pPr>
      <w:bookmarkStart w:id="121" w:name="_Toc373252449"/>
      <w:r>
        <w:rPr>
          <w:rFonts w:hint="eastAsia" w:ascii="宋体" w:hAnsi="宋体" w:eastAsia="宋体" w:cs="宋体"/>
          <w:b/>
          <w:color w:val="auto"/>
          <w:highlight w:val="none"/>
        </w:rPr>
        <w:t>19.分包</w:t>
      </w:r>
    </w:p>
    <w:p w14:paraId="2D48CC5C">
      <w:pPr>
        <w:pStyle w:val="12"/>
        <w:spacing w:line="360" w:lineRule="auto"/>
        <w:ind w:firstLine="480" w:firstLineChars="200"/>
        <w:rPr>
          <w:rFonts w:hint="eastAsia" w:ascii="宋体" w:hAnsi="宋体" w:eastAsia="宋体" w:cs="宋体"/>
          <w:color w:val="auto"/>
          <w:kern w:val="0"/>
          <w:szCs w:val="24"/>
          <w:highlight w:val="none"/>
        </w:rPr>
      </w:pPr>
      <w:r>
        <w:rPr>
          <w:rFonts w:hint="eastAsia" w:ascii="宋体" w:hAnsi="宋体" w:eastAsia="宋体" w:cs="宋体"/>
          <w:color w:val="auto"/>
          <w:szCs w:val="24"/>
          <w:highlight w:val="none"/>
        </w:rPr>
        <w:t>19.1</w:t>
      </w:r>
      <w:r>
        <w:rPr>
          <w:rFonts w:hint="eastAsia" w:ascii="宋体" w:hAnsi="宋体" w:eastAsia="宋体" w:cs="宋体"/>
          <w:b w:val="0"/>
          <w:bCs w:val="0"/>
          <w:color w:val="auto"/>
          <w:szCs w:val="24"/>
          <w:highlight w:val="none"/>
        </w:rPr>
        <w:t>“供应商须知前附表”</w:t>
      </w:r>
      <w:r>
        <w:rPr>
          <w:rFonts w:hint="eastAsia" w:ascii="宋体" w:hAnsi="宋体" w:eastAsia="宋体" w:cs="宋体"/>
          <w:color w:val="auto"/>
          <w:szCs w:val="24"/>
          <w:highlight w:val="none"/>
        </w:rPr>
        <w:t>规定允许分包的项目，供应商在中标后只能将项目的非主体、</w:t>
      </w:r>
      <w:r>
        <w:rPr>
          <w:rFonts w:hint="eastAsia" w:ascii="宋体" w:hAnsi="宋体" w:eastAsia="宋体" w:cs="宋体"/>
          <w:color w:val="auto"/>
          <w:kern w:val="0"/>
          <w:szCs w:val="24"/>
          <w:highlight w:val="none"/>
        </w:rPr>
        <w:t>非关键性工作分包。供应商应当在投标文件中载明分包承担主体，分包承担主体应当具备相应资质条件且不得再次分包。</w:t>
      </w:r>
    </w:p>
    <w:p w14:paraId="67BAD757">
      <w:pPr>
        <w:pStyle w:val="12"/>
        <w:spacing w:line="360" w:lineRule="auto"/>
        <w:ind w:firstLine="480" w:firstLineChars="200"/>
        <w:rPr>
          <w:rFonts w:hint="eastAsia" w:ascii="宋体" w:hAnsi="宋体" w:eastAsia="宋体" w:cs="宋体"/>
          <w:color w:val="auto"/>
          <w:kern w:val="0"/>
          <w:szCs w:val="24"/>
          <w:highlight w:val="none"/>
        </w:rPr>
      </w:pPr>
      <w:r>
        <w:rPr>
          <w:rFonts w:hint="eastAsia" w:ascii="宋体" w:hAnsi="宋体" w:eastAsia="宋体" w:cs="宋体"/>
          <w:color w:val="auto"/>
          <w:kern w:val="0"/>
          <w:szCs w:val="24"/>
          <w:highlight w:val="none"/>
          <w:lang w:val="en-US" w:eastAsia="zh-CN"/>
        </w:rPr>
        <w:t>19.2</w:t>
      </w:r>
      <w:r>
        <w:rPr>
          <w:rFonts w:hint="eastAsia" w:ascii="宋体" w:hAnsi="宋体" w:eastAsia="宋体" w:cs="宋体"/>
          <w:color w:val="auto"/>
          <w:kern w:val="0"/>
          <w:szCs w:val="24"/>
          <w:highlight w:val="none"/>
        </w:rPr>
        <w:t>“供应商须知前附表”规定</w:t>
      </w:r>
      <w:r>
        <w:rPr>
          <w:rFonts w:hint="eastAsia" w:ascii="宋体" w:hAnsi="宋体" w:eastAsia="宋体" w:cs="宋体"/>
          <w:color w:val="auto"/>
          <w:kern w:val="0"/>
          <w:szCs w:val="24"/>
          <w:highlight w:val="none"/>
          <w:lang w:val="en-US" w:eastAsia="zh-CN"/>
        </w:rPr>
        <w:t>不</w:t>
      </w:r>
      <w:r>
        <w:rPr>
          <w:rFonts w:hint="eastAsia" w:ascii="宋体" w:hAnsi="宋体" w:eastAsia="宋体" w:cs="宋体"/>
          <w:color w:val="auto"/>
          <w:kern w:val="0"/>
          <w:szCs w:val="24"/>
          <w:highlight w:val="none"/>
        </w:rPr>
        <w:t>允许分包的项目</w:t>
      </w:r>
      <w:r>
        <w:rPr>
          <w:rFonts w:hint="eastAsia" w:ascii="宋体" w:hAnsi="宋体" w:eastAsia="宋体" w:cs="宋体"/>
          <w:color w:val="auto"/>
          <w:kern w:val="0"/>
          <w:szCs w:val="24"/>
          <w:highlight w:val="none"/>
          <w:lang w:eastAsia="zh-CN"/>
        </w:rPr>
        <w:t>，</w:t>
      </w:r>
      <w:r>
        <w:rPr>
          <w:rFonts w:hint="eastAsia" w:ascii="宋体" w:hAnsi="宋体" w:eastAsia="宋体" w:cs="宋体"/>
          <w:color w:val="auto"/>
          <w:kern w:val="0"/>
          <w:szCs w:val="24"/>
          <w:highlight w:val="none"/>
          <w:lang w:val="en-US" w:eastAsia="zh-CN"/>
        </w:rPr>
        <w:t>投标文件中需提供经法定代表人电子签名并签章或签字并加盖供应商公章的“不分包承诺书”。</w:t>
      </w:r>
    </w:p>
    <w:p w14:paraId="51A45AF7">
      <w:pPr>
        <w:pStyle w:val="12"/>
        <w:spacing w:line="360" w:lineRule="auto"/>
        <w:ind w:firstLine="480" w:firstLineChars="200"/>
        <w:rPr>
          <w:rFonts w:hint="eastAsia" w:ascii="宋体" w:hAnsi="宋体" w:eastAsia="宋体" w:cs="宋体"/>
          <w:color w:val="auto"/>
          <w:kern w:val="0"/>
          <w:szCs w:val="24"/>
          <w:highlight w:val="none"/>
        </w:rPr>
      </w:pPr>
      <w:r>
        <w:rPr>
          <w:rFonts w:hint="eastAsia" w:ascii="宋体" w:hAnsi="宋体" w:eastAsia="宋体" w:cs="宋体"/>
          <w:color w:val="auto"/>
          <w:kern w:val="0"/>
          <w:szCs w:val="24"/>
          <w:highlight w:val="none"/>
        </w:rPr>
        <w:t>20.供应商应当遵循公平竞争的原则，不得恶意串通，不得妨碍其他供应商的竞争行为，不得损害采购人或者其他供应商的合法权益。</w:t>
      </w:r>
    </w:p>
    <w:p w14:paraId="2309542B">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21.投标文件的编制</w:t>
      </w:r>
    </w:p>
    <w:p w14:paraId="1D93712F">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21.1投标文件须招标文件要求的格式进行编制。如有必要，可以增加附页，作为投标文件的组成部分。其中，在满足采购文件实质性要求的基础上，可以提出比采购文件要求更有利于采购人的承诺。</w:t>
      </w:r>
    </w:p>
    <w:p w14:paraId="4C0D50C4">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21.2投标文件应尽量避免涂改、行间插字或删除。如果出现上述情况，改动之处应加盖单位章或由供应商的法定代表人或其委托代理人签字确认。</w:t>
      </w:r>
    </w:p>
    <w:p w14:paraId="39DF6271">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21.3关键内容字迹潦草、表达不清、未按要求填写而导致非唯一理解，视为未实质性响应招标文件的投标文件。</w:t>
      </w:r>
    </w:p>
    <w:p w14:paraId="51789BBB">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color w:val="auto"/>
          <w:highlight w:val="none"/>
        </w:rPr>
        <w:t>21.4投标文件中提</w:t>
      </w:r>
      <w:r>
        <w:rPr>
          <w:rFonts w:hint="eastAsia" w:ascii="宋体" w:hAnsi="宋体" w:eastAsia="宋体" w:cs="宋体"/>
          <w:bCs/>
          <w:color w:val="auto"/>
          <w:highlight w:val="none"/>
        </w:rPr>
        <w:t>供的资料（包括复印件及扫描件），内容必须清晰可辨，若内容模糊，无法辨识，均视为未提供。</w:t>
      </w:r>
    </w:p>
    <w:p w14:paraId="053C6D2C">
      <w:pPr>
        <w:pStyle w:val="3"/>
        <w:spacing w:line="360" w:lineRule="auto"/>
        <w:ind w:left="0" w:firstLine="0"/>
        <w:rPr>
          <w:rFonts w:hint="eastAsia" w:ascii="宋体" w:hAnsi="宋体" w:eastAsia="宋体" w:cs="宋体"/>
          <w:color w:val="auto"/>
          <w:highlight w:val="none"/>
        </w:rPr>
      </w:pPr>
      <w:bookmarkStart w:id="122" w:name="_Toc392492444"/>
      <w:bookmarkStart w:id="123" w:name="_Toc27232"/>
      <w:bookmarkStart w:id="124" w:name="_Toc392492183"/>
      <w:bookmarkStart w:id="125" w:name="_Toc1950"/>
      <w:bookmarkStart w:id="126" w:name="_Toc4207"/>
      <w:bookmarkStart w:id="127" w:name="_Toc12893"/>
      <w:bookmarkStart w:id="128" w:name="_Toc23597"/>
      <w:r>
        <w:rPr>
          <w:rFonts w:hint="eastAsia" w:ascii="宋体" w:hAnsi="宋体" w:eastAsia="宋体" w:cs="宋体"/>
          <w:color w:val="auto"/>
          <w:highlight w:val="none"/>
        </w:rPr>
        <w:t>四、投标文件的提交</w:t>
      </w:r>
      <w:bookmarkEnd w:id="121"/>
      <w:bookmarkEnd w:id="122"/>
      <w:bookmarkEnd w:id="123"/>
      <w:bookmarkEnd w:id="124"/>
      <w:bookmarkEnd w:id="125"/>
      <w:bookmarkEnd w:id="126"/>
      <w:bookmarkEnd w:id="127"/>
      <w:bookmarkEnd w:id="128"/>
    </w:p>
    <w:p w14:paraId="65EAC433">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22、</w:t>
      </w:r>
      <w:r>
        <w:rPr>
          <w:rFonts w:hint="eastAsia" w:ascii="宋体" w:hAnsi="宋体" w:eastAsia="宋体" w:cs="宋体"/>
          <w:color w:val="auto"/>
          <w:sz w:val="24"/>
          <w:szCs w:val="24"/>
          <w:highlight w:val="none"/>
        </w:rPr>
        <w:t>电子投标文件格式</w:t>
      </w:r>
      <w:r>
        <w:rPr>
          <w:rFonts w:hint="eastAsia" w:ascii="宋体" w:hAnsi="宋体" w:eastAsia="宋体" w:cs="宋体"/>
          <w:color w:val="auto"/>
          <w:szCs w:val="24"/>
          <w:highlight w:val="none"/>
        </w:rPr>
        <w:t>：</w:t>
      </w:r>
    </w:p>
    <w:p w14:paraId="385D88FC">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kern w:val="2"/>
          <w:sz w:val="24"/>
          <w:szCs w:val="24"/>
          <w:highlight w:val="none"/>
        </w:rPr>
        <w:t>投标文件全部采用电子文档，</w:t>
      </w:r>
      <w:r>
        <w:rPr>
          <w:rFonts w:hint="eastAsia" w:ascii="宋体" w:hAnsi="宋体" w:eastAsia="宋体" w:cs="宋体"/>
          <w:color w:val="auto"/>
          <w:kern w:val="2"/>
          <w:sz w:val="24"/>
          <w:szCs w:val="24"/>
          <w:highlight w:val="none"/>
          <w:lang w:eastAsia="zh-CN"/>
        </w:rPr>
        <w:t>供应商</w:t>
      </w:r>
      <w:r>
        <w:rPr>
          <w:rFonts w:hint="eastAsia" w:ascii="宋体" w:hAnsi="宋体" w:eastAsia="宋体" w:cs="宋体"/>
          <w:color w:val="auto"/>
          <w:kern w:val="2"/>
          <w:sz w:val="24"/>
          <w:szCs w:val="24"/>
          <w:highlight w:val="none"/>
        </w:rPr>
        <w:t>应安装客户端软件—“政采云电子交易客户端”，并按照招标文件和政采云电子交易平台的要求编制</w:t>
      </w:r>
      <w:r>
        <w:rPr>
          <w:rFonts w:hint="eastAsia" w:ascii="宋体" w:hAnsi="宋体" w:eastAsia="宋体" w:cs="宋体"/>
          <w:color w:val="auto"/>
          <w:szCs w:val="24"/>
          <w:highlight w:val="none"/>
        </w:rPr>
        <w:t>。</w:t>
      </w:r>
    </w:p>
    <w:p w14:paraId="1A7E4C56">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23、</w:t>
      </w:r>
      <w:r>
        <w:rPr>
          <w:rFonts w:hint="eastAsia" w:ascii="宋体" w:hAnsi="宋体" w:eastAsia="宋体" w:cs="宋体"/>
          <w:color w:val="auto"/>
          <w:kern w:val="2"/>
          <w:sz w:val="24"/>
          <w:szCs w:val="24"/>
          <w:highlight w:val="none"/>
        </w:rPr>
        <w:t>投标文件加密要求</w:t>
      </w:r>
      <w:r>
        <w:rPr>
          <w:rFonts w:hint="eastAsia" w:ascii="宋体" w:hAnsi="宋体" w:eastAsia="宋体" w:cs="宋体"/>
          <w:color w:val="auto"/>
          <w:szCs w:val="24"/>
          <w:highlight w:val="none"/>
        </w:rPr>
        <w:t>：</w:t>
      </w:r>
    </w:p>
    <w:p w14:paraId="0CF030D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23.1</w:t>
      </w:r>
      <w:r>
        <w:rPr>
          <w:rFonts w:hint="eastAsia" w:ascii="宋体" w:hAnsi="宋体" w:eastAsia="宋体" w:cs="宋体"/>
          <w:color w:val="auto"/>
          <w:szCs w:val="24"/>
          <w:highlight w:val="none"/>
          <w:lang w:eastAsia="zh-CN"/>
        </w:rPr>
        <w:t>供应商</w:t>
      </w:r>
      <w:r>
        <w:rPr>
          <w:rFonts w:hint="eastAsia" w:ascii="宋体" w:hAnsi="宋体" w:eastAsia="宋体" w:cs="宋体"/>
          <w:color w:val="auto"/>
          <w:szCs w:val="24"/>
          <w:highlight w:val="none"/>
        </w:rPr>
        <w:t>进行电子交易应安装客户端软件—“政采云电子交易客户端”，并按照招标文件和电子交易平台的要求编制并加密投标文件。</w:t>
      </w:r>
      <w:r>
        <w:rPr>
          <w:rFonts w:hint="eastAsia" w:ascii="宋体" w:hAnsi="宋体" w:eastAsia="宋体" w:cs="宋体"/>
          <w:color w:val="auto"/>
          <w:szCs w:val="24"/>
          <w:highlight w:val="none"/>
          <w:lang w:eastAsia="zh-CN"/>
        </w:rPr>
        <w:t>供应商</w:t>
      </w:r>
      <w:r>
        <w:rPr>
          <w:rFonts w:hint="eastAsia" w:ascii="宋体" w:hAnsi="宋体" w:eastAsia="宋体" w:cs="宋体"/>
          <w:color w:val="auto"/>
          <w:szCs w:val="24"/>
          <w:highlight w:val="none"/>
        </w:rPr>
        <w:t>未按规定加密的投标文件，电子交易平台将拒收并提示；</w:t>
      </w:r>
    </w:p>
    <w:p w14:paraId="1642D553">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23.2</w:t>
      </w:r>
      <w:r>
        <w:rPr>
          <w:rFonts w:hint="eastAsia" w:ascii="宋体" w:hAnsi="宋体" w:eastAsia="宋体" w:cs="宋体"/>
          <w:color w:val="auto"/>
          <w:szCs w:val="24"/>
          <w:highlight w:val="none"/>
        </w:rPr>
        <w:t>使用“政采云电子交易客户端”需要提前申领 CA 数字证书，申领流程见该项目招标公告附件；</w:t>
      </w:r>
    </w:p>
    <w:p w14:paraId="2F2A4995">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23.3</w:t>
      </w:r>
      <w:r>
        <w:rPr>
          <w:rFonts w:hint="eastAsia" w:ascii="宋体" w:hAnsi="宋体" w:eastAsia="宋体" w:cs="宋体"/>
          <w:color w:val="auto"/>
          <w:szCs w:val="24"/>
          <w:highlight w:val="none"/>
        </w:rPr>
        <w:t>为确保网上操作合法、有效和安全，</w:t>
      </w:r>
      <w:r>
        <w:rPr>
          <w:rFonts w:hint="eastAsia" w:ascii="宋体" w:hAnsi="宋体" w:eastAsia="宋体" w:cs="宋体"/>
          <w:color w:val="auto"/>
          <w:szCs w:val="24"/>
          <w:highlight w:val="none"/>
          <w:lang w:eastAsia="zh-CN"/>
        </w:rPr>
        <w:t>供应商</w:t>
      </w:r>
      <w:r>
        <w:rPr>
          <w:rFonts w:hint="eastAsia" w:ascii="宋体" w:hAnsi="宋体" w:eastAsia="宋体" w:cs="宋体"/>
          <w:color w:val="auto"/>
          <w:szCs w:val="24"/>
          <w:highlight w:val="none"/>
        </w:rPr>
        <w:t>应当在投标文件提交截止时间前完成在“政府采购云平台”的身份认证，确保在电子交易过程中能够对相关数据电文进行加密和使用电子签名。。</w:t>
      </w:r>
    </w:p>
    <w:p w14:paraId="328A94FB">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24、</w:t>
      </w:r>
      <w:r>
        <w:rPr>
          <w:rFonts w:hint="eastAsia" w:ascii="宋体" w:hAnsi="宋体" w:eastAsia="宋体" w:cs="宋体"/>
          <w:color w:val="auto"/>
          <w:szCs w:val="24"/>
          <w:highlight w:val="none"/>
          <w:lang w:val="en-US" w:eastAsia="zh-CN"/>
        </w:rPr>
        <w:t>未按时上传的</w:t>
      </w:r>
      <w:r>
        <w:rPr>
          <w:rFonts w:hint="eastAsia" w:ascii="宋体" w:hAnsi="宋体" w:eastAsia="宋体" w:cs="宋体"/>
          <w:color w:val="auto"/>
          <w:szCs w:val="24"/>
          <w:highlight w:val="none"/>
          <w:lang w:eastAsia="zh-CN"/>
        </w:rPr>
        <w:t>投标文件</w:t>
      </w:r>
      <w:r>
        <w:rPr>
          <w:rFonts w:hint="eastAsia" w:ascii="宋体" w:hAnsi="宋体" w:eastAsia="宋体" w:cs="宋体"/>
          <w:color w:val="auto"/>
          <w:szCs w:val="24"/>
          <w:highlight w:val="none"/>
        </w:rPr>
        <w:t>：</w:t>
      </w:r>
    </w:p>
    <w:p w14:paraId="2E2F293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b w:val="0"/>
          <w:bCs w:val="0"/>
          <w:color w:val="auto"/>
          <w:kern w:val="2"/>
          <w:sz w:val="24"/>
          <w:szCs w:val="24"/>
          <w:highlight w:val="none"/>
          <w:lang w:bidi="ar"/>
        </w:rPr>
        <w:t>供应商应按照本项目采购文件和“政采云”平台的要求编制、加密后在</w:t>
      </w:r>
      <w:r>
        <w:rPr>
          <w:rFonts w:hint="eastAsia" w:ascii="宋体" w:hAnsi="宋体" w:eastAsia="宋体" w:cs="宋体"/>
          <w:b w:val="0"/>
          <w:bCs w:val="0"/>
          <w:color w:val="auto"/>
          <w:kern w:val="2"/>
          <w:sz w:val="24"/>
          <w:szCs w:val="24"/>
          <w:highlight w:val="none"/>
          <w:lang w:val="en-US" w:eastAsia="zh-CN" w:bidi="ar"/>
        </w:rPr>
        <w:t>投标</w:t>
      </w:r>
      <w:r>
        <w:rPr>
          <w:rFonts w:hint="eastAsia" w:ascii="宋体" w:hAnsi="宋体" w:eastAsia="宋体" w:cs="宋体"/>
          <w:b w:val="0"/>
          <w:bCs w:val="0"/>
          <w:color w:val="auto"/>
          <w:kern w:val="2"/>
          <w:sz w:val="24"/>
          <w:szCs w:val="24"/>
          <w:highlight w:val="none"/>
          <w:lang w:bidi="ar"/>
        </w:rPr>
        <w:t>文件提交截止时间前上传至“政采云”平台，</w:t>
      </w:r>
      <w:r>
        <w:rPr>
          <w:rFonts w:hint="eastAsia" w:ascii="宋体" w:hAnsi="宋体" w:eastAsia="宋体" w:cs="宋体"/>
          <w:b w:val="0"/>
          <w:bCs w:val="0"/>
          <w:color w:val="auto"/>
          <w:kern w:val="2"/>
          <w:sz w:val="24"/>
          <w:szCs w:val="24"/>
          <w:highlight w:val="none"/>
          <w:lang w:val="en-US" w:eastAsia="zh-CN" w:bidi="ar"/>
        </w:rPr>
        <w:t>投标</w:t>
      </w:r>
      <w:r>
        <w:rPr>
          <w:rFonts w:hint="eastAsia" w:ascii="宋体" w:hAnsi="宋体" w:eastAsia="宋体" w:cs="宋体"/>
          <w:b w:val="0"/>
          <w:bCs w:val="0"/>
          <w:color w:val="auto"/>
          <w:kern w:val="2"/>
          <w:sz w:val="24"/>
          <w:szCs w:val="24"/>
          <w:highlight w:val="none"/>
          <w:lang w:bidi="ar"/>
        </w:rPr>
        <w:t>文件提交截止时间前未完成</w:t>
      </w:r>
      <w:r>
        <w:rPr>
          <w:rFonts w:hint="eastAsia" w:ascii="宋体" w:hAnsi="宋体" w:eastAsia="宋体" w:cs="宋体"/>
          <w:b w:val="0"/>
          <w:bCs w:val="0"/>
          <w:color w:val="auto"/>
          <w:kern w:val="2"/>
          <w:sz w:val="24"/>
          <w:szCs w:val="24"/>
          <w:highlight w:val="none"/>
          <w:lang w:val="en-US" w:eastAsia="zh-CN" w:bidi="ar"/>
        </w:rPr>
        <w:t>投标</w:t>
      </w:r>
      <w:r>
        <w:rPr>
          <w:rFonts w:hint="eastAsia" w:ascii="宋体" w:hAnsi="宋体" w:eastAsia="宋体" w:cs="宋体"/>
          <w:b w:val="0"/>
          <w:bCs w:val="0"/>
          <w:color w:val="auto"/>
          <w:kern w:val="2"/>
          <w:sz w:val="24"/>
          <w:szCs w:val="24"/>
          <w:highlight w:val="none"/>
          <w:lang w:bidi="ar"/>
        </w:rPr>
        <w:t>文件上传的，视为撤回</w:t>
      </w:r>
      <w:r>
        <w:rPr>
          <w:rFonts w:hint="eastAsia" w:ascii="宋体" w:hAnsi="宋体" w:eastAsia="宋体" w:cs="宋体"/>
          <w:b w:val="0"/>
          <w:bCs w:val="0"/>
          <w:color w:val="auto"/>
          <w:kern w:val="2"/>
          <w:sz w:val="24"/>
          <w:szCs w:val="24"/>
          <w:highlight w:val="none"/>
          <w:lang w:val="en-US" w:eastAsia="zh-CN" w:bidi="ar"/>
        </w:rPr>
        <w:t>投标</w:t>
      </w:r>
      <w:r>
        <w:rPr>
          <w:rFonts w:hint="eastAsia" w:ascii="宋体" w:hAnsi="宋体" w:eastAsia="宋体" w:cs="宋体"/>
          <w:b w:val="0"/>
          <w:bCs w:val="0"/>
          <w:color w:val="auto"/>
          <w:kern w:val="2"/>
          <w:sz w:val="24"/>
          <w:szCs w:val="24"/>
          <w:highlight w:val="none"/>
          <w:lang w:bidi="ar"/>
        </w:rPr>
        <w:t>文件</w:t>
      </w:r>
      <w:r>
        <w:rPr>
          <w:rFonts w:hint="eastAsia" w:ascii="宋体" w:hAnsi="宋体" w:eastAsia="宋体" w:cs="宋体"/>
          <w:color w:val="auto"/>
          <w:szCs w:val="24"/>
          <w:highlight w:val="none"/>
        </w:rPr>
        <w:t>。</w:t>
      </w:r>
    </w:p>
    <w:p w14:paraId="73A4FC0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25、</w:t>
      </w:r>
      <w:r>
        <w:rPr>
          <w:rFonts w:hint="eastAsia" w:ascii="宋体" w:hAnsi="宋体" w:eastAsia="宋体" w:cs="宋体"/>
          <w:color w:val="auto"/>
          <w:szCs w:val="24"/>
          <w:highlight w:val="none"/>
          <w:lang w:eastAsia="zh-CN"/>
        </w:rPr>
        <w:t>投标文件</w:t>
      </w:r>
      <w:r>
        <w:rPr>
          <w:rFonts w:hint="eastAsia" w:ascii="宋体" w:hAnsi="宋体" w:eastAsia="宋体" w:cs="宋体"/>
          <w:color w:val="auto"/>
          <w:szCs w:val="24"/>
          <w:highlight w:val="none"/>
        </w:rPr>
        <w:t>的修改和撤回：</w:t>
      </w:r>
    </w:p>
    <w:p w14:paraId="10404488">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25</w:t>
      </w:r>
      <w:r>
        <w:rPr>
          <w:rFonts w:hint="eastAsia" w:ascii="宋体" w:hAnsi="宋体" w:eastAsia="宋体" w:cs="宋体"/>
          <w:color w:val="auto"/>
          <w:szCs w:val="24"/>
          <w:highlight w:val="none"/>
        </w:rPr>
        <w:t>.1在投标截止时间前，</w:t>
      </w:r>
      <w:r>
        <w:rPr>
          <w:rFonts w:hint="eastAsia" w:ascii="宋体" w:hAnsi="宋体" w:eastAsia="宋体" w:cs="宋体"/>
          <w:color w:val="auto"/>
          <w:szCs w:val="24"/>
          <w:highlight w:val="none"/>
          <w:lang w:eastAsia="zh-CN"/>
        </w:rPr>
        <w:t>供应商</w:t>
      </w:r>
      <w:r>
        <w:rPr>
          <w:rFonts w:hint="eastAsia" w:ascii="宋体" w:hAnsi="宋体" w:eastAsia="宋体" w:cs="宋体"/>
          <w:color w:val="auto"/>
          <w:szCs w:val="24"/>
          <w:highlight w:val="none"/>
        </w:rPr>
        <w:t>可以撤回在网上已递交的投标文件，修改后重新递交。</w:t>
      </w:r>
    </w:p>
    <w:p w14:paraId="0B77580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25</w:t>
      </w:r>
      <w:r>
        <w:rPr>
          <w:rFonts w:hint="eastAsia" w:ascii="宋体" w:hAnsi="宋体" w:eastAsia="宋体" w:cs="宋体"/>
          <w:color w:val="auto"/>
          <w:szCs w:val="24"/>
          <w:highlight w:val="none"/>
        </w:rPr>
        <w:t>.2修改的投标文件应按照《电子投标文件编制及报送要求》规定进行编制、加密和递交。。</w:t>
      </w:r>
    </w:p>
    <w:p w14:paraId="5087DF15">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26、诚实信用：</w:t>
      </w:r>
    </w:p>
    <w:p w14:paraId="4BB81303">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26.1 供应商之间不得相互串通</w:t>
      </w:r>
      <w:r>
        <w:rPr>
          <w:rFonts w:hint="eastAsia" w:ascii="宋体" w:hAnsi="宋体" w:eastAsia="宋体" w:cs="宋体"/>
          <w:color w:val="auto"/>
          <w:szCs w:val="24"/>
          <w:highlight w:val="none"/>
          <w:lang w:val="en-US" w:eastAsia="zh-CN"/>
        </w:rPr>
        <w:t>投标</w:t>
      </w:r>
      <w:r>
        <w:rPr>
          <w:rFonts w:hint="eastAsia" w:ascii="宋体" w:hAnsi="宋体" w:eastAsia="宋体" w:cs="宋体"/>
          <w:color w:val="auto"/>
          <w:szCs w:val="24"/>
          <w:highlight w:val="none"/>
        </w:rPr>
        <w:t>报价，不得妨碍其他供应商的公平竞争，不得损害采购人或者其他供应商的合法权益。</w:t>
      </w:r>
    </w:p>
    <w:p w14:paraId="6BD15089">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Cs w:val="24"/>
          <w:highlight w:val="none"/>
        </w:rPr>
        <w:t>26.2 供应商不得以向采购人、代理机构、</w:t>
      </w:r>
      <w:r>
        <w:rPr>
          <w:rFonts w:hint="eastAsia" w:ascii="宋体" w:hAnsi="宋体" w:eastAsia="宋体" w:cs="宋体"/>
          <w:color w:val="auto"/>
          <w:szCs w:val="24"/>
          <w:highlight w:val="none"/>
          <w:lang w:val="en-US" w:eastAsia="zh-CN"/>
        </w:rPr>
        <w:t>评标</w:t>
      </w:r>
      <w:r>
        <w:rPr>
          <w:rFonts w:hint="eastAsia" w:ascii="宋体" w:hAnsi="宋体" w:eastAsia="宋体" w:cs="宋体"/>
          <w:color w:val="auto"/>
          <w:szCs w:val="24"/>
          <w:highlight w:val="none"/>
        </w:rPr>
        <w:t>小组成员行贿或者采取其他不正当手段谋取成交。如果有证据表明供应商有此行为的，将供应商列入不良行为记录名单，按照《政府采购法》有关规定处理。</w:t>
      </w:r>
    </w:p>
    <w:p w14:paraId="52226D1E">
      <w:pPr>
        <w:pStyle w:val="3"/>
        <w:spacing w:line="360" w:lineRule="auto"/>
        <w:ind w:left="0" w:firstLine="0"/>
        <w:rPr>
          <w:rFonts w:hint="eastAsia" w:ascii="宋体" w:hAnsi="宋体" w:eastAsia="宋体" w:cs="宋体"/>
          <w:color w:val="auto"/>
          <w:highlight w:val="none"/>
        </w:rPr>
      </w:pPr>
      <w:bookmarkStart w:id="129" w:name="_Toc17304"/>
      <w:bookmarkStart w:id="130" w:name="_Toc392492445"/>
      <w:bookmarkStart w:id="131" w:name="_Toc392492184"/>
      <w:bookmarkStart w:id="132" w:name="_Toc15479"/>
      <w:bookmarkStart w:id="133" w:name="_Toc32651"/>
      <w:bookmarkStart w:id="134" w:name="_Toc23349"/>
      <w:bookmarkStart w:id="135" w:name="_Toc22360"/>
      <w:bookmarkStart w:id="136" w:name="_Toc373252450"/>
      <w:r>
        <w:rPr>
          <w:rFonts w:hint="eastAsia" w:ascii="宋体" w:hAnsi="宋体" w:eastAsia="宋体" w:cs="宋体"/>
          <w:color w:val="auto"/>
          <w:highlight w:val="none"/>
        </w:rPr>
        <w:t>五、开标与评标</w:t>
      </w:r>
      <w:bookmarkEnd w:id="129"/>
      <w:bookmarkEnd w:id="130"/>
      <w:bookmarkEnd w:id="131"/>
      <w:bookmarkEnd w:id="132"/>
      <w:bookmarkEnd w:id="133"/>
      <w:bookmarkEnd w:id="134"/>
      <w:bookmarkEnd w:id="135"/>
      <w:bookmarkEnd w:id="136"/>
    </w:p>
    <w:p w14:paraId="6C80B037">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25.开标</w:t>
      </w:r>
    </w:p>
    <w:p w14:paraId="5E7C4578">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25.1采购代理机构将在“</w:t>
      </w:r>
      <w:r>
        <w:rPr>
          <w:rFonts w:hint="eastAsia" w:ascii="宋体" w:hAnsi="宋体" w:eastAsia="宋体" w:cs="宋体"/>
          <w:b/>
          <w:bCs/>
          <w:color w:val="auto"/>
          <w:szCs w:val="24"/>
          <w:highlight w:val="none"/>
        </w:rPr>
        <w:t>供应商须知前附表</w:t>
      </w:r>
      <w:r>
        <w:rPr>
          <w:rFonts w:hint="eastAsia" w:ascii="宋体" w:hAnsi="宋体" w:eastAsia="宋体" w:cs="宋体"/>
          <w:color w:val="auto"/>
          <w:szCs w:val="24"/>
          <w:highlight w:val="none"/>
        </w:rPr>
        <w:t>”规定的时间和地点进行开标。</w:t>
      </w:r>
    </w:p>
    <w:p w14:paraId="5B853629">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25.2投标截止时间结束后参加投标的供应商不足三家的，停止开标。</w:t>
      </w:r>
    </w:p>
    <w:p w14:paraId="7077252D">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lang w:val="en-US" w:eastAsia="zh-CN"/>
        </w:rPr>
        <w:t>25.3</w:t>
      </w:r>
      <w:r>
        <w:rPr>
          <w:rFonts w:hint="eastAsia" w:ascii="宋体" w:hAnsi="宋体" w:eastAsia="宋体" w:cs="宋体"/>
          <w:b/>
          <w:bCs/>
          <w:color w:val="auto"/>
          <w:sz w:val="24"/>
          <w:szCs w:val="24"/>
          <w:highlight w:val="none"/>
        </w:rPr>
        <w:t>开标程序</w:t>
      </w:r>
    </w:p>
    <w:p w14:paraId="2BA27A6B">
      <w:pPr>
        <w:pageBreakBefore w:val="0"/>
        <w:kinsoku/>
        <w:overflowPunct/>
        <w:bidi w:val="0"/>
        <w:spacing w:before="64" w:beforeLines="20" w:after="64" w:afterLines="20" w:line="360" w:lineRule="auto"/>
        <w:ind w:left="48" w:leftChars="20" w:right="48" w:rightChars="2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（1）开标会由采购代理机构主持。</w:t>
      </w:r>
    </w:p>
    <w:p w14:paraId="4167E086">
      <w:pPr>
        <w:pageBreakBefore w:val="0"/>
        <w:kinsoku/>
        <w:overflowPunct/>
        <w:bidi w:val="0"/>
        <w:spacing w:before="64" w:beforeLines="20" w:after="64" w:afterLines="20" w:line="360" w:lineRule="auto"/>
        <w:ind w:left="48" w:leftChars="20" w:right="48" w:rightChars="2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顺序按照电子</w:t>
      </w:r>
      <w:r>
        <w:rPr>
          <w:rFonts w:hint="eastAsia" w:ascii="宋体" w:hAnsi="宋体" w:eastAsia="宋体" w:cs="宋体"/>
          <w:color w:val="auto"/>
          <w:sz w:val="24"/>
          <w:szCs w:val="24"/>
          <w:highlight w:val="none"/>
          <w:lang w:val="en-US" w:eastAsia="zh-CN"/>
        </w:rPr>
        <w:t>政采云</w:t>
      </w:r>
      <w:r>
        <w:rPr>
          <w:rFonts w:hint="eastAsia" w:ascii="宋体" w:hAnsi="宋体" w:eastAsia="宋体" w:cs="宋体"/>
          <w:color w:val="auto"/>
          <w:sz w:val="24"/>
          <w:szCs w:val="24"/>
          <w:highlight w:val="none"/>
        </w:rPr>
        <w:t>平台自动提取所有供应商的顺序当众开标。</w:t>
      </w:r>
    </w:p>
    <w:p w14:paraId="375DFA29">
      <w:pPr>
        <w:pageBreakBefore w:val="0"/>
        <w:kinsoku/>
        <w:overflowPunct/>
        <w:bidi w:val="0"/>
        <w:spacing w:before="64" w:beforeLines="20" w:after="64" w:afterLines="20" w:line="360" w:lineRule="auto"/>
        <w:ind w:left="48" w:leftChars="20" w:right="48" w:rightChars="2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（3）唱标：智能播报/由唱标人宣读</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在其电子投标文件中投标价格和招标文件规定的需要宣布的其他内容。</w:t>
      </w:r>
    </w:p>
    <w:p w14:paraId="691E9B02">
      <w:pPr>
        <w:pageBreakBefore w:val="0"/>
        <w:kinsoku/>
        <w:overflowPunct/>
        <w:bidi w:val="0"/>
        <w:spacing w:before="64" w:beforeLines="20" w:after="64" w:afterLines="20" w:line="360" w:lineRule="auto"/>
        <w:ind w:left="48" w:leftChars="20" w:right="48" w:rightChars="2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（4）开标工作人员将做开标记录，参加开标的各相关工作人员须签字确认。</w:t>
      </w:r>
    </w:p>
    <w:p w14:paraId="52597D6E">
      <w:pPr>
        <w:pageBreakBefore w:val="0"/>
        <w:kinsoku/>
        <w:overflowPunct/>
        <w:bidi w:val="0"/>
        <w:spacing w:before="64" w:beforeLines="20" w:after="64" w:afterLines="20" w:line="360" w:lineRule="auto"/>
        <w:ind w:left="48" w:leftChars="20" w:right="48" w:rightChars="20"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开标异议</w:t>
      </w:r>
      <w:r>
        <w:rPr>
          <w:rFonts w:hint="eastAsia" w:ascii="宋体" w:hAnsi="宋体" w:eastAsia="宋体" w:cs="宋体"/>
          <w:b w:val="0"/>
          <w:bCs/>
          <w:color w:val="auto"/>
          <w:sz w:val="24"/>
          <w:szCs w:val="24"/>
          <w:highlight w:val="none"/>
          <w:lang w:eastAsia="zh-CN"/>
        </w:rPr>
        <w:t>：</w:t>
      </w:r>
      <w:r>
        <w:rPr>
          <w:rFonts w:hint="eastAsia" w:ascii="宋体" w:hAnsi="宋体" w:eastAsia="宋体" w:cs="宋体"/>
          <w:color w:val="auto"/>
          <w:sz w:val="24"/>
          <w:szCs w:val="24"/>
          <w:highlight w:val="none"/>
        </w:rPr>
        <w:t>开标过程中如有问题，可以在线提出异议，由代理机构给予回复。在规定的异议询问时间内未提出异议的，则视为对开标结果无异议。</w:t>
      </w:r>
    </w:p>
    <w:p w14:paraId="25E21C29">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26.评标</w:t>
      </w:r>
    </w:p>
    <w:p w14:paraId="4117594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26.1评标由采购人依法组建的评标委员会负责。标委员会构成：5人及以上单数，其中采购人代表不超过评标委员会总人数的1/3（限采购人在职人员，且应当具备评标专家相应的或者类似的条件），专家不少于评标委员会总人数的2/3；评标专家确定方式：在政府采购评审专家库中随机抽取，技术复杂、专业性强的，采购人自行选定相应专业领域的评审专家。</w:t>
      </w:r>
    </w:p>
    <w:p w14:paraId="38A563DB">
      <w:pPr>
        <w:pStyle w:val="12"/>
        <w:spacing w:line="360" w:lineRule="auto"/>
        <w:ind w:firstLine="480" w:firstLineChars="200"/>
        <w:rPr>
          <w:rFonts w:hint="eastAsia" w:ascii="宋体" w:hAnsi="宋体" w:eastAsia="宋体" w:cs="宋体"/>
          <w:bCs/>
          <w:color w:val="auto"/>
          <w:szCs w:val="24"/>
          <w:highlight w:val="none"/>
        </w:rPr>
      </w:pPr>
      <w:bookmarkStart w:id="137" w:name="_Toc191374422"/>
      <w:r>
        <w:rPr>
          <w:rFonts w:hint="eastAsia" w:ascii="宋体" w:hAnsi="宋体" w:eastAsia="宋体" w:cs="宋体"/>
          <w:bCs/>
          <w:color w:val="auto"/>
          <w:szCs w:val="24"/>
          <w:highlight w:val="none"/>
        </w:rPr>
        <w:t>26.2评标原则</w:t>
      </w:r>
      <w:bookmarkEnd w:id="137"/>
      <w:r>
        <w:rPr>
          <w:rFonts w:hint="eastAsia" w:ascii="宋体" w:hAnsi="宋体" w:eastAsia="宋体" w:cs="宋体"/>
          <w:bCs/>
          <w:color w:val="auto"/>
          <w:szCs w:val="24"/>
          <w:highlight w:val="none"/>
        </w:rPr>
        <w:t>及方法</w:t>
      </w:r>
    </w:p>
    <w:p w14:paraId="2E44385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评标活动遵循公平、公正、科学和择优的原则。</w:t>
      </w:r>
    </w:p>
    <w:p w14:paraId="32B18BE3">
      <w:pPr>
        <w:pStyle w:val="12"/>
        <w:spacing w:line="360" w:lineRule="auto"/>
        <w:ind w:firstLine="480" w:firstLineChars="200"/>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26.3</w:t>
      </w:r>
      <w:r>
        <w:rPr>
          <w:rFonts w:hint="eastAsia" w:ascii="宋体" w:hAnsi="宋体" w:eastAsia="宋体" w:cs="宋体"/>
          <w:bCs/>
          <w:color w:val="auto"/>
          <w:szCs w:val="24"/>
          <w:highlight w:val="none"/>
        </w:rPr>
        <w:t>评标方法</w:t>
      </w:r>
    </w:p>
    <w:p w14:paraId="60E3506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本项目按“</w:t>
      </w:r>
      <w:r>
        <w:rPr>
          <w:rFonts w:hint="eastAsia" w:ascii="宋体" w:hAnsi="宋体" w:eastAsia="宋体" w:cs="宋体"/>
          <w:b/>
          <w:bCs/>
          <w:color w:val="auto"/>
          <w:highlight w:val="none"/>
        </w:rPr>
        <w:t>评标办法</w:t>
      </w:r>
      <w:r>
        <w:rPr>
          <w:rFonts w:hint="eastAsia" w:ascii="宋体" w:hAnsi="宋体" w:eastAsia="宋体" w:cs="宋体"/>
          <w:color w:val="auto"/>
          <w:highlight w:val="none"/>
        </w:rPr>
        <w:t>”规定的评标方法评标。在评标中，不得改变招标文件中规定的评标标准、方法和中标条件。</w:t>
      </w:r>
      <w:r>
        <w:rPr>
          <w:rFonts w:hint="eastAsia" w:ascii="宋体" w:hAnsi="宋体" w:eastAsia="宋体" w:cs="宋体"/>
          <w:b/>
          <w:bCs/>
          <w:color w:val="auto"/>
          <w:highlight w:val="none"/>
        </w:rPr>
        <w:t>第三章“评标办法”没有规定的评审因素和标准，不作为评标依据。</w:t>
      </w:r>
    </w:p>
    <w:p w14:paraId="24272FA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26.4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7E1A2275">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26.5在评标过程中，评标委员会发现供应商有本须知20条款规定的情形，应当认定其投标无效，并书面报告本级财政部门。</w:t>
      </w:r>
    </w:p>
    <w:p w14:paraId="0DC178CC">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26.6有下列情形之一的，视为供应商串通投标，其投标无效：</w:t>
      </w:r>
    </w:p>
    <w:p w14:paraId="516C6EBF">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（一）不同供应商的投标文件由同一单位或者个人编制；</w:t>
      </w:r>
    </w:p>
    <w:p w14:paraId="7383FF60">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（二）不同供应商委托同一单位或者个人办理投标事宜；</w:t>
      </w:r>
    </w:p>
    <w:p w14:paraId="733CC70B">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（三）不同供应商的投标文件载明的项目管理成员或者联系人员为同一人；</w:t>
      </w:r>
    </w:p>
    <w:p w14:paraId="40DBDEB7">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（四）不同供应商的投标文件异常一致或者投标报价呈规律性差异；</w:t>
      </w:r>
    </w:p>
    <w:p w14:paraId="22E88FDB">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（五）不同供应商的投标文件相互混装；</w:t>
      </w:r>
    </w:p>
    <w:p w14:paraId="6F42BF4F">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（六）不同供应商的投标保证金从同一单位或者个人的账户转出。</w:t>
      </w:r>
    </w:p>
    <w:p w14:paraId="61505542">
      <w:pPr>
        <w:pStyle w:val="12"/>
        <w:spacing w:line="360" w:lineRule="auto"/>
        <w:ind w:firstLine="482" w:firstLineChars="200"/>
        <w:rPr>
          <w:rFonts w:hint="eastAsia" w:ascii="宋体" w:hAnsi="宋体" w:eastAsia="宋体" w:cs="宋体"/>
          <w:b/>
          <w:bCs w:val="0"/>
          <w:color w:val="auto"/>
          <w:szCs w:val="24"/>
          <w:highlight w:val="none"/>
        </w:rPr>
      </w:pPr>
      <w:r>
        <w:rPr>
          <w:rFonts w:hint="eastAsia" w:ascii="宋体" w:hAnsi="宋体" w:eastAsia="宋体" w:cs="宋体"/>
          <w:b/>
          <w:bCs w:val="0"/>
          <w:color w:val="auto"/>
          <w:szCs w:val="24"/>
          <w:highlight w:val="none"/>
          <w:lang w:val="en-US" w:eastAsia="zh-CN"/>
        </w:rPr>
        <w:t>26.7</w:t>
      </w:r>
      <w:r>
        <w:rPr>
          <w:rFonts w:hint="eastAsia" w:ascii="宋体" w:hAnsi="宋体" w:eastAsia="宋体" w:cs="宋体"/>
          <w:b/>
          <w:bCs w:val="0"/>
          <w:color w:val="auto"/>
          <w:szCs w:val="24"/>
          <w:highlight w:val="none"/>
        </w:rPr>
        <w:t>在招标采购中，出现下列情形之一的，应予废标：</w:t>
      </w:r>
    </w:p>
    <w:p w14:paraId="75A8C351">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（1）符合专业条件的供应商或者对招标文件做实质响应的供应商不足3家的；</w:t>
      </w:r>
    </w:p>
    <w:p w14:paraId="612EECAF">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（2）出现影响采购公正的违法、违规行为的；</w:t>
      </w:r>
    </w:p>
    <w:p w14:paraId="532865F5">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（3）供应商的报价均超过了采购预算，采购人不能支付的；</w:t>
      </w:r>
    </w:p>
    <w:p w14:paraId="3DB134CA">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（4）因重大变故，采购任务取消的。</w:t>
      </w:r>
    </w:p>
    <w:p w14:paraId="0F1A11F3">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废标后，采购人应当将废标理由通知所有供应商。</w:t>
      </w:r>
    </w:p>
    <w:p w14:paraId="12A9C7EF">
      <w:pPr>
        <w:pStyle w:val="3"/>
        <w:ind w:left="0" w:firstLine="0"/>
        <w:rPr>
          <w:rFonts w:hint="eastAsia" w:ascii="宋体" w:hAnsi="宋体" w:eastAsia="宋体" w:cs="宋体"/>
          <w:color w:val="auto"/>
          <w:highlight w:val="none"/>
        </w:rPr>
      </w:pPr>
      <w:bookmarkStart w:id="138" w:name="_Toc392492185"/>
      <w:bookmarkStart w:id="139" w:name="_Toc373252451"/>
      <w:bookmarkStart w:id="140" w:name="_Toc5405"/>
      <w:bookmarkStart w:id="141" w:name="_Toc25055"/>
      <w:bookmarkStart w:id="142" w:name="_Toc392492446"/>
      <w:bookmarkStart w:id="143" w:name="_Toc19086"/>
      <w:bookmarkStart w:id="144" w:name="_Toc7674"/>
      <w:bookmarkStart w:id="145" w:name="_Toc28030"/>
      <w:r>
        <w:rPr>
          <w:rFonts w:hint="eastAsia" w:ascii="宋体" w:hAnsi="宋体" w:eastAsia="宋体" w:cs="宋体"/>
          <w:color w:val="auto"/>
          <w:highlight w:val="none"/>
        </w:rPr>
        <w:t>六、中标结果</w:t>
      </w:r>
      <w:bookmarkEnd w:id="138"/>
      <w:bookmarkEnd w:id="139"/>
      <w:bookmarkEnd w:id="140"/>
      <w:bookmarkEnd w:id="141"/>
      <w:bookmarkEnd w:id="142"/>
      <w:bookmarkEnd w:id="143"/>
      <w:bookmarkEnd w:id="144"/>
      <w:bookmarkEnd w:id="145"/>
    </w:p>
    <w:p w14:paraId="7C0E59B2">
      <w:pPr>
        <w:pStyle w:val="12"/>
        <w:spacing w:line="360" w:lineRule="auto"/>
        <w:ind w:firstLine="482" w:firstLineChars="20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27.中标人的确定</w:t>
      </w:r>
    </w:p>
    <w:p w14:paraId="2357D0BC">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27.1根据《政府采购货物和服务招标投标管理办法》第六十八条的规定，采购代理机构应当在评标结束后2个工作日内将评标报告送采购人。采购人应当自收到评标报告之日起5个工作日内，在评标报告确定的成交候选人名单中按顺序确定成交人。</w:t>
      </w:r>
    </w:p>
    <w:p w14:paraId="4A5D8A77">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27.2成交候选人并列的，由采购人或者采购人委托评标小组按照采购文件规定的方式确定成交人；采购文件未规定的，采取随机抽取的方式确定。采购人自行组织招标的，应当在评标结束后5个工作日内确定成交人。</w:t>
      </w:r>
    </w:p>
    <w:p w14:paraId="2547DB1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27.3采购人在收到评标报告5个工作日内未按评标报告推荐的成交候选人顺序确定成交人，又不能说明合法理由的，视同按评标报告推荐的顺序确定排名第一的成交候选人为成交人。</w:t>
      </w:r>
    </w:p>
    <w:p w14:paraId="16C64D0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27.4成交结果公告内容应当包括采购人和采购代理机构的名称、地址、联系方式，项目名称和项目编号，成交供应商名称、地址和中标金额，主要标的的名称、规格型号、数量、单价、服务要求以及评审专家名单。</w:t>
      </w:r>
    </w:p>
    <w:p w14:paraId="74EEA186">
      <w:pPr>
        <w:pStyle w:val="12"/>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28.成交通知书</w:t>
      </w:r>
    </w:p>
    <w:p w14:paraId="64AFFC66">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28.1成交通知书是合同的一个组成部分。</w:t>
      </w:r>
    </w:p>
    <w:p w14:paraId="724083F4">
      <w:pPr>
        <w:pStyle w:val="12"/>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29.签订合同</w:t>
      </w:r>
    </w:p>
    <w:p w14:paraId="6E80E32A">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29.1采购人与中标人应当在成交通知书发出之日起三十日内，按照采购文件确定的事项签订政府采购合同。</w:t>
      </w:r>
    </w:p>
    <w:p w14:paraId="32FBF1DD">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29.2中标人因不可抗力或者自身原因不能履行政府采购合同的，采购人可以与排位在中标人之后第一位的中标候选人签订政府采购合同，以此类推；也可以重新招标。</w:t>
      </w:r>
    </w:p>
    <w:p w14:paraId="38CACE3B">
      <w:pPr>
        <w:pStyle w:val="12"/>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29.3根据国务院令第658号公布的《中华人民共和国政府采购法实施条例》第五十条规定，采购人应当自政府采购合同签订之日起2个工作日内，将政府采购合同在省级以上人民政府财政部门指定的媒体上公告，但政府采购合同中涉及国家秘密、商业秘密的内容除外。</w:t>
      </w:r>
    </w:p>
    <w:p w14:paraId="2A44867F">
      <w:pPr>
        <w:pStyle w:val="3"/>
        <w:numPr>
          <w:ilvl w:val="0"/>
          <w:numId w:val="2"/>
        </w:numPr>
        <w:ind w:left="0" w:firstLine="0"/>
        <w:rPr>
          <w:rFonts w:hint="eastAsia" w:ascii="宋体" w:hAnsi="宋体" w:eastAsia="宋体" w:cs="宋体"/>
          <w:color w:val="auto"/>
          <w:highlight w:val="none"/>
        </w:rPr>
      </w:pPr>
      <w:bookmarkStart w:id="146" w:name="_Toc392492186"/>
      <w:bookmarkStart w:id="147" w:name="_Toc27708"/>
      <w:bookmarkStart w:id="148" w:name="_Toc17560"/>
      <w:bookmarkStart w:id="149" w:name="_Toc373252452"/>
      <w:bookmarkStart w:id="150" w:name="_Toc23935"/>
      <w:bookmarkStart w:id="151" w:name="_Toc6202"/>
      <w:bookmarkStart w:id="152" w:name="_Toc3995"/>
      <w:bookmarkStart w:id="153" w:name="_Toc392492447"/>
      <w:r>
        <w:rPr>
          <w:rFonts w:hint="eastAsia" w:ascii="宋体" w:hAnsi="宋体" w:eastAsia="宋体" w:cs="宋体"/>
          <w:color w:val="auto"/>
          <w:highlight w:val="none"/>
        </w:rPr>
        <w:t>其他事项</w:t>
      </w:r>
      <w:bookmarkEnd w:id="146"/>
      <w:bookmarkEnd w:id="147"/>
      <w:bookmarkEnd w:id="148"/>
      <w:bookmarkEnd w:id="149"/>
      <w:bookmarkEnd w:id="150"/>
      <w:bookmarkEnd w:id="151"/>
      <w:bookmarkEnd w:id="152"/>
      <w:bookmarkEnd w:id="153"/>
    </w:p>
    <w:p w14:paraId="341B5ED1">
      <w:pPr>
        <w:pStyle w:val="12"/>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30.采购代理服务费</w:t>
      </w:r>
    </w:p>
    <w:p w14:paraId="041DAD3B">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采购代理机构向中标人收取招标代理服务费：</w:t>
      </w:r>
      <w:r>
        <w:rPr>
          <w:rFonts w:hint="eastAsia" w:ascii="宋体" w:hAnsi="宋体" w:eastAsia="宋体" w:cs="宋体"/>
          <w:color w:val="auto"/>
          <w:highlight w:val="none"/>
          <w:lang w:val="en-US" w:eastAsia="zh-CN"/>
        </w:rPr>
        <w:t>详见“供应商须知前附表”</w:t>
      </w:r>
      <w:r>
        <w:rPr>
          <w:rFonts w:hint="eastAsia" w:ascii="宋体" w:hAnsi="宋体" w:eastAsia="宋体" w:cs="宋体"/>
          <w:color w:val="auto"/>
          <w:highlight w:val="none"/>
        </w:rPr>
        <w:t>。</w:t>
      </w:r>
    </w:p>
    <w:p w14:paraId="5EA1BAA6">
      <w:pPr>
        <w:pStyle w:val="12"/>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31.招标文件编制依据</w:t>
      </w:r>
    </w:p>
    <w:p w14:paraId="3A625740">
      <w:pPr>
        <w:pStyle w:val="12"/>
        <w:spacing w:line="360" w:lineRule="auto"/>
        <w:ind w:firstLine="720" w:firstLineChars="30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根据《中华人民共和国政府采购法》《中华人民共和国政府采购法实施条例》《政府采购货物和服务招标投标管理办法》（财政部令第87号）等有关规定</w:t>
      </w:r>
      <w:r>
        <w:rPr>
          <w:rFonts w:hint="eastAsia" w:ascii="宋体" w:hAnsi="宋体" w:eastAsia="宋体" w:cs="宋体"/>
          <w:color w:val="auto"/>
          <w:szCs w:val="24"/>
          <w:highlight w:val="none"/>
        </w:rPr>
        <w:t>。</w:t>
      </w:r>
    </w:p>
    <w:p w14:paraId="6E47FB2A">
      <w:pPr>
        <w:pStyle w:val="12"/>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32.</w:t>
      </w:r>
      <w:r>
        <w:rPr>
          <w:rFonts w:hint="eastAsia" w:ascii="宋体" w:hAnsi="宋体" w:eastAsia="宋体" w:cs="宋体"/>
          <w:b/>
          <w:color w:val="auto"/>
          <w:szCs w:val="24"/>
          <w:highlight w:val="none"/>
        </w:rPr>
        <w:t>需要补充的其他内容</w:t>
      </w:r>
    </w:p>
    <w:p w14:paraId="2157B076">
      <w:pPr>
        <w:pStyle w:val="12"/>
        <w:spacing w:line="360" w:lineRule="auto"/>
        <w:ind w:firstLine="720" w:firstLineChars="3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其他需要补充的其他内容：见“供应商须知前附表”。</w:t>
      </w:r>
    </w:p>
    <w:p w14:paraId="466DA170">
      <w:pPr>
        <w:rPr>
          <w:rFonts w:hint="eastAsia" w:ascii="宋体" w:hAnsi="宋体" w:eastAsia="宋体" w:cs="宋体"/>
          <w:color w:val="auto"/>
          <w:highlight w:val="none"/>
        </w:rPr>
      </w:pPr>
      <w:bookmarkStart w:id="154" w:name="_Toc23774"/>
      <w:bookmarkStart w:id="155" w:name="_Toc2419"/>
      <w:bookmarkStart w:id="156" w:name="_Toc4145"/>
    </w:p>
    <w:p w14:paraId="14BF1F20">
      <w:pPr>
        <w:pStyle w:val="2"/>
        <w:rPr>
          <w:rFonts w:hint="eastAsia" w:ascii="宋体" w:hAnsi="宋体" w:eastAsia="宋体" w:cs="宋体"/>
          <w:color w:val="auto"/>
          <w:highlight w:val="none"/>
        </w:rPr>
      </w:pPr>
      <w:r>
        <w:rPr>
          <w:rFonts w:hint="eastAsia" w:ascii="宋体" w:hAnsi="宋体" w:eastAsia="宋体" w:cs="宋体"/>
          <w:color w:val="auto"/>
          <w:highlight w:val="none"/>
        </w:rPr>
        <w:br w:type="page"/>
      </w:r>
      <w:bookmarkStart w:id="157" w:name="_Toc32577"/>
      <w:bookmarkStart w:id="158" w:name="_Toc30976"/>
      <w:r>
        <w:rPr>
          <w:rFonts w:hint="eastAsia" w:ascii="宋体" w:hAnsi="宋体" w:eastAsia="宋体" w:cs="宋体"/>
          <w:color w:val="auto"/>
          <w:highlight w:val="none"/>
        </w:rPr>
        <w:t>第三章 评标办法（综合评分法）</w:t>
      </w:r>
      <w:bookmarkEnd w:id="154"/>
      <w:bookmarkEnd w:id="155"/>
      <w:bookmarkEnd w:id="156"/>
      <w:bookmarkEnd w:id="157"/>
      <w:bookmarkEnd w:id="158"/>
    </w:p>
    <w:p w14:paraId="0B053287">
      <w:pPr>
        <w:pStyle w:val="3"/>
        <w:rPr>
          <w:rFonts w:hint="eastAsia" w:ascii="宋体" w:hAnsi="宋体" w:eastAsia="宋体" w:cs="宋体"/>
          <w:color w:val="auto"/>
          <w:highlight w:val="none"/>
        </w:rPr>
      </w:pPr>
      <w:bookmarkStart w:id="159" w:name="_Toc3489"/>
      <w:bookmarkStart w:id="160" w:name="_Toc16594"/>
      <w:bookmarkStart w:id="161" w:name="_Toc17084"/>
      <w:bookmarkStart w:id="162" w:name="_Toc31293"/>
      <w:bookmarkStart w:id="163" w:name="_Toc14798"/>
      <w:r>
        <w:rPr>
          <w:rFonts w:hint="eastAsia" w:ascii="宋体" w:hAnsi="宋体" w:eastAsia="宋体" w:cs="宋体"/>
          <w:color w:val="auto"/>
          <w:highlight w:val="none"/>
        </w:rPr>
        <w:t>一、评标办法前附表</w:t>
      </w:r>
      <w:bookmarkEnd w:id="159"/>
      <w:bookmarkEnd w:id="160"/>
      <w:bookmarkEnd w:id="161"/>
      <w:bookmarkEnd w:id="162"/>
      <w:bookmarkEnd w:id="163"/>
    </w:p>
    <w:tbl>
      <w:tblPr>
        <w:tblStyle w:val="26"/>
        <w:tblW w:w="1025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24"/>
        <w:gridCol w:w="760"/>
        <w:gridCol w:w="1573"/>
        <w:gridCol w:w="7395"/>
      </w:tblGrid>
      <w:tr w14:paraId="053E2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284" w:type="dxa"/>
            <w:gridSpan w:val="2"/>
            <w:vAlign w:val="center"/>
          </w:tcPr>
          <w:p w14:paraId="420E154E">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1573" w:type="dxa"/>
            <w:vAlign w:val="center"/>
          </w:tcPr>
          <w:p w14:paraId="6A4A553C">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评审项目</w:t>
            </w:r>
          </w:p>
        </w:tc>
        <w:tc>
          <w:tcPr>
            <w:tcW w:w="7395" w:type="dxa"/>
            <w:vAlign w:val="center"/>
          </w:tcPr>
          <w:p w14:paraId="0E27C6A1">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评审内容及标准</w:t>
            </w:r>
          </w:p>
        </w:tc>
      </w:tr>
      <w:tr w14:paraId="6EDED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879" w:hRule="atLeast"/>
        </w:trPr>
        <w:tc>
          <w:tcPr>
            <w:tcW w:w="524" w:type="dxa"/>
            <w:vMerge w:val="restart"/>
            <w:vAlign w:val="center"/>
          </w:tcPr>
          <w:p w14:paraId="4395DAC5">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760" w:type="dxa"/>
            <w:vMerge w:val="restart"/>
            <w:vAlign w:val="center"/>
          </w:tcPr>
          <w:p w14:paraId="2970928F">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资格评审标准</w:t>
            </w:r>
          </w:p>
        </w:tc>
        <w:tc>
          <w:tcPr>
            <w:tcW w:w="1573" w:type="dxa"/>
            <w:vAlign w:val="center"/>
          </w:tcPr>
          <w:p w14:paraId="58304A10">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按要求提供资料条件承诺函或</w:t>
            </w:r>
            <w:r>
              <w:rPr>
                <w:rFonts w:hint="eastAsia" w:ascii="宋体" w:hAnsi="宋体" w:eastAsia="宋体" w:cs="宋体"/>
                <w:color w:val="auto"/>
                <w:sz w:val="24"/>
                <w:szCs w:val="24"/>
                <w:highlight w:val="none"/>
              </w:rPr>
              <w:t>符合《中华人民共和国政府采购法》第二十二条规定条件</w:t>
            </w:r>
          </w:p>
        </w:tc>
        <w:tc>
          <w:tcPr>
            <w:tcW w:w="7395" w:type="dxa"/>
            <w:vAlign w:val="center"/>
          </w:tcPr>
          <w:p w14:paraId="19091CB9">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*根据曲财采[2024]16号文规定，</w:t>
            </w:r>
            <w:r>
              <w:rPr>
                <w:rFonts w:hint="eastAsia" w:ascii="宋体" w:hAnsi="宋体" w:eastAsia="宋体" w:cs="宋体"/>
                <w:color w:val="auto"/>
                <w:kern w:val="0"/>
                <w:sz w:val="24"/>
                <w:szCs w:val="24"/>
                <w:highlight w:val="none"/>
                <w:lang w:eastAsia="zh-CN"/>
              </w:rPr>
              <w:t>投标单位</w:t>
            </w:r>
            <w:r>
              <w:rPr>
                <w:rFonts w:hint="eastAsia" w:ascii="宋体" w:hAnsi="宋体" w:eastAsia="宋体" w:cs="宋体"/>
                <w:color w:val="auto"/>
                <w:kern w:val="0"/>
                <w:sz w:val="24"/>
                <w:szCs w:val="24"/>
                <w:highlight w:val="none"/>
              </w:rPr>
              <w:t>实行自愿原则并应当以书面形式作出资格信用承诺（详见资格条件承诺函）。</w:t>
            </w:r>
            <w:r>
              <w:rPr>
                <w:rFonts w:hint="eastAsia" w:ascii="宋体" w:hAnsi="宋体" w:eastAsia="宋体" w:cs="宋体"/>
                <w:color w:val="auto"/>
                <w:kern w:val="0"/>
                <w:sz w:val="24"/>
                <w:szCs w:val="24"/>
                <w:highlight w:val="none"/>
                <w:lang w:eastAsia="zh-CN"/>
              </w:rPr>
              <w:t>投标单位</w:t>
            </w:r>
            <w:r>
              <w:rPr>
                <w:rFonts w:hint="eastAsia" w:ascii="宋体" w:hAnsi="宋体" w:eastAsia="宋体" w:cs="宋体"/>
                <w:color w:val="auto"/>
                <w:kern w:val="0"/>
                <w:sz w:val="24"/>
                <w:szCs w:val="24"/>
                <w:highlight w:val="none"/>
              </w:rPr>
              <w:t>未提供资格信用承诺的</w:t>
            </w:r>
            <w:r>
              <w:rPr>
                <w:rFonts w:hint="eastAsia" w:ascii="宋体" w:hAnsi="宋体" w:eastAsia="宋体" w:cs="宋体"/>
                <w:color w:val="auto"/>
                <w:kern w:val="0"/>
                <w:sz w:val="24"/>
                <w:szCs w:val="24"/>
                <w:highlight w:val="none"/>
                <w:lang w:val="en-US" w:eastAsia="zh-CN"/>
              </w:rPr>
              <w:t>或</w:t>
            </w:r>
            <w:r>
              <w:rPr>
                <w:rFonts w:hint="eastAsia" w:ascii="宋体" w:hAnsi="宋体" w:eastAsia="宋体" w:cs="宋体"/>
                <w:color w:val="auto"/>
                <w:kern w:val="0"/>
                <w:sz w:val="24"/>
                <w:szCs w:val="24"/>
                <w:highlight w:val="none"/>
              </w:rPr>
              <w:t>存在不良信用记录的</w:t>
            </w:r>
            <w:r>
              <w:rPr>
                <w:rFonts w:hint="eastAsia" w:ascii="宋体" w:hAnsi="宋体" w:eastAsia="宋体" w:cs="宋体"/>
                <w:color w:val="auto"/>
                <w:kern w:val="0"/>
                <w:sz w:val="24"/>
                <w:szCs w:val="24"/>
                <w:highlight w:val="none"/>
                <w:lang w:eastAsia="zh-CN"/>
              </w:rPr>
              <w:t>投标单位</w:t>
            </w:r>
            <w:r>
              <w:rPr>
                <w:rFonts w:hint="eastAsia" w:ascii="宋体" w:hAnsi="宋体" w:eastAsia="宋体" w:cs="宋体"/>
                <w:color w:val="auto"/>
                <w:kern w:val="0"/>
                <w:sz w:val="24"/>
                <w:szCs w:val="24"/>
                <w:highlight w:val="none"/>
              </w:rPr>
              <w:t>，在信用修复前不适用承诺制</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应当按照《中华人民共和国政府采购法》及其实施条例的相关规定提供相应的证明材料。</w:t>
            </w:r>
          </w:p>
          <w:p w14:paraId="1EF52482">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供应商自行选择提供下列第①项或第②项相关证明材料。</w:t>
            </w:r>
          </w:p>
          <w:p w14:paraId="61672043">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①资格条件承诺函（格式详见“</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格式”中资格审查部分格式3）；</w:t>
            </w:r>
          </w:p>
          <w:p w14:paraId="508382BC">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②《中华人民共和国政府采购法》第二十二条规定条件：</w:t>
            </w:r>
          </w:p>
          <w:p w14:paraId="673F7CBA">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（一）具有独立承担民事责任的能力；具有国家相关部门核发的税务登记证、组织机构代码证或具有统一社会信用代码的营业执照；</w:t>
            </w:r>
          </w:p>
          <w:p w14:paraId="49F820DF">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（二）具有良好的商业信誉和健全的财务会计制度；提供202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年度的</w:t>
            </w:r>
            <w:r>
              <w:rPr>
                <w:rFonts w:hint="eastAsia" w:ascii="宋体" w:hAnsi="宋体" w:eastAsia="宋体" w:cs="宋体"/>
                <w:color w:val="auto"/>
                <w:sz w:val="24"/>
                <w:szCs w:val="24"/>
                <w:highlight w:val="none"/>
                <w:lang w:val="en-US" w:eastAsia="zh-CN"/>
              </w:rPr>
              <w:t>审计报告</w:t>
            </w:r>
            <w:r>
              <w:rPr>
                <w:rFonts w:hint="eastAsia" w:ascii="宋体" w:hAnsi="宋体" w:eastAsia="宋体" w:cs="宋体"/>
                <w:color w:val="auto"/>
                <w:sz w:val="24"/>
                <w:szCs w:val="24"/>
                <w:highlight w:val="none"/>
              </w:rPr>
              <w:t>（至少包括资产负债表、现金流量表、利润表）；成立时间不足一年的，可提供自投标文件递交截止时间前三个月内开户银行出具的资信证明或资金存款证明；</w:t>
            </w:r>
          </w:p>
          <w:p w14:paraId="7B7E1B10">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（三）具有履行合同所必需的设备和专业技术能力；提供证明材料或相关承诺；</w:t>
            </w:r>
          </w:p>
          <w:p w14:paraId="77C77F27">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388D90DE">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供应商须提供在投标截止之日前十二个月内（税款所属时期）连续3个月的税务局税收通用缴款书复印件或银行电子缴税（费）凭证复印件或税务局出具纳税情况的相关证明。(成立未满3个月的提供成立以来的税收缴纳凭证或相关情况说明；依法免税的，应提供相应文件证明）；</w:t>
            </w:r>
          </w:p>
          <w:p w14:paraId="122256D1">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供应商须提供在投标截止之日前十二个月内（费款所属时期）连续3个月的社会保险费缴款书复印件或银行电子缴税（费）凭证复印件或社保管理部门出具的有效的缴款证明。(成立未满3个月的提供成立以来的社保资金缴纳凭证或相关情况说明，依法免缴的，应提供依法免缴的相关证明文件)；</w:t>
            </w:r>
          </w:p>
          <w:p w14:paraId="25520364">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（五）参加政府采购活动前三年内，在经营活动中没有重大违法记录；提供相关承诺；</w:t>
            </w:r>
          </w:p>
          <w:p w14:paraId="341F164C">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（六）法律、行政法规规定的其他条件；提供相关承诺。</w:t>
            </w:r>
          </w:p>
          <w:p w14:paraId="5A3486FA">
            <w:pPr>
              <w:pageBreakBefore w:val="0"/>
              <w:kinsoku/>
              <w:overflowPunct/>
              <w:bidi w:val="0"/>
              <w:spacing w:before="64" w:beforeLines="20" w:after="64" w:afterLines="20" w:line="360" w:lineRule="auto"/>
              <w:ind w:right="48" w:rightChars="2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公开招标采购项目开标结束后，采购人或者采购代理机构应当依法对投标人的资格进行审查。合格投标人不足3家的，不得评标。</w:t>
            </w:r>
          </w:p>
        </w:tc>
      </w:tr>
      <w:tr w14:paraId="286E0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879" w:hRule="atLeast"/>
        </w:trPr>
        <w:tc>
          <w:tcPr>
            <w:tcW w:w="524" w:type="dxa"/>
            <w:vMerge w:val="continue"/>
            <w:vAlign w:val="center"/>
          </w:tcPr>
          <w:p w14:paraId="79D613B7">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760" w:type="dxa"/>
            <w:vMerge w:val="continue"/>
            <w:vAlign w:val="center"/>
          </w:tcPr>
          <w:p w14:paraId="72345BFE">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1573" w:type="dxa"/>
            <w:vAlign w:val="center"/>
          </w:tcPr>
          <w:p w14:paraId="619983BE">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落实政府采购政策需满足的资格要求</w:t>
            </w:r>
          </w:p>
        </w:tc>
        <w:tc>
          <w:tcPr>
            <w:tcW w:w="7395" w:type="dxa"/>
            <w:vAlign w:val="center"/>
          </w:tcPr>
          <w:p w14:paraId="5CA0F876">
            <w:pPr>
              <w:pageBreakBefore w:val="0"/>
              <w:kinsoku/>
              <w:overflowPunct/>
              <w:bidi w:val="0"/>
              <w:spacing w:before="64" w:beforeLines="20" w:after="64" w:afterLines="20" w:line="360" w:lineRule="auto"/>
              <w:ind w:right="48" w:rightChars="20"/>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highlight w:val="none"/>
              </w:rPr>
              <w:t>根据《政府采购促进中小企业发展管理办法》（财库〔2020〕46号）和《关于进一步加大政府采购支持中小企业力度的通知》财库〔2022〕19号的规定，本项目给予小微（小型、微型）企业报价10%的扣除，用扣除后的价格参与评审。</w:t>
            </w:r>
          </w:p>
        </w:tc>
      </w:tr>
      <w:tr w14:paraId="4E6BF4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879" w:hRule="atLeast"/>
        </w:trPr>
        <w:tc>
          <w:tcPr>
            <w:tcW w:w="524" w:type="dxa"/>
            <w:vMerge w:val="continue"/>
            <w:vAlign w:val="center"/>
          </w:tcPr>
          <w:p w14:paraId="6CE294D9">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760" w:type="dxa"/>
            <w:vMerge w:val="continue"/>
            <w:vAlign w:val="center"/>
          </w:tcPr>
          <w:p w14:paraId="31544640">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1573" w:type="dxa"/>
            <w:vAlign w:val="center"/>
          </w:tcPr>
          <w:p w14:paraId="4F52A13E">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特定资格评审标准</w:t>
            </w:r>
          </w:p>
        </w:tc>
        <w:tc>
          <w:tcPr>
            <w:tcW w:w="7395" w:type="dxa"/>
            <w:vAlign w:val="center"/>
          </w:tcPr>
          <w:p w14:paraId="785B6BE4">
            <w:pPr>
              <w:pageBreakBefore w:val="0"/>
              <w:kinsoku/>
              <w:overflowPunct/>
              <w:bidi w:val="0"/>
              <w:spacing w:before="64" w:beforeLines="20" w:after="64" w:afterLines="20" w:line="360" w:lineRule="auto"/>
              <w:ind w:right="48" w:rightChars="2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无。</w:t>
            </w:r>
          </w:p>
        </w:tc>
      </w:tr>
      <w:tr w14:paraId="75FA3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715" w:hRule="atLeast"/>
        </w:trPr>
        <w:tc>
          <w:tcPr>
            <w:tcW w:w="524" w:type="dxa"/>
            <w:vMerge w:val="continue"/>
            <w:vAlign w:val="center"/>
          </w:tcPr>
          <w:p w14:paraId="766627A9">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760" w:type="dxa"/>
            <w:vMerge w:val="continue"/>
            <w:vAlign w:val="center"/>
          </w:tcPr>
          <w:p w14:paraId="41E85FD5">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1573" w:type="dxa"/>
            <w:vAlign w:val="center"/>
          </w:tcPr>
          <w:p w14:paraId="5ED494A5">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其他资格要求</w:t>
            </w:r>
          </w:p>
        </w:tc>
        <w:tc>
          <w:tcPr>
            <w:tcW w:w="7395" w:type="dxa"/>
            <w:vAlign w:val="center"/>
          </w:tcPr>
          <w:p w14:paraId="38DCAD91">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国家、行业、地方、企业有关规定对供应商资格条件有规定的，供应商还应满足规定的资格条件；</w:t>
            </w:r>
          </w:p>
        </w:tc>
      </w:tr>
      <w:tr w14:paraId="21553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812" w:hRule="atLeast"/>
        </w:trPr>
        <w:tc>
          <w:tcPr>
            <w:tcW w:w="10252" w:type="dxa"/>
            <w:gridSpan w:val="4"/>
            <w:vAlign w:val="center"/>
          </w:tcPr>
          <w:p w14:paraId="6749D469">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投标文件出现不满足以上各项评审内容及标准要求之一的，则资格评审为不合格。下列各项评审内容及标准均为招标文件的实质性要求，投标文件响应的各款所列材料在开标后不得澄清、后补。</w:t>
            </w:r>
          </w:p>
        </w:tc>
      </w:tr>
      <w:tr w14:paraId="2EC52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307" w:hRule="atLeast"/>
        </w:trPr>
        <w:tc>
          <w:tcPr>
            <w:tcW w:w="524" w:type="dxa"/>
            <w:vMerge w:val="restart"/>
            <w:vAlign w:val="center"/>
          </w:tcPr>
          <w:p w14:paraId="437F4F2D">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p>
        </w:tc>
        <w:tc>
          <w:tcPr>
            <w:tcW w:w="760" w:type="dxa"/>
            <w:vMerge w:val="restart"/>
            <w:vAlign w:val="center"/>
          </w:tcPr>
          <w:p w14:paraId="734C1D7E">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符合性审查标准</w:t>
            </w:r>
          </w:p>
        </w:tc>
        <w:tc>
          <w:tcPr>
            <w:tcW w:w="1573" w:type="dxa"/>
            <w:vAlign w:val="center"/>
          </w:tcPr>
          <w:p w14:paraId="68DBB0FC">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p>
        </w:tc>
        <w:tc>
          <w:tcPr>
            <w:tcW w:w="7395" w:type="dxa"/>
            <w:vAlign w:val="center"/>
          </w:tcPr>
          <w:p w14:paraId="18FA0E2C">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与营业执照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资质证书</w:t>
            </w:r>
            <w:r>
              <w:rPr>
                <w:rFonts w:hint="eastAsia" w:ascii="宋体" w:hAnsi="宋体" w:eastAsia="宋体" w:cs="宋体"/>
                <w:color w:val="auto"/>
                <w:sz w:val="24"/>
                <w:szCs w:val="24"/>
                <w:highlight w:val="none"/>
              </w:rPr>
              <w:t>一致</w:t>
            </w:r>
          </w:p>
        </w:tc>
      </w:tr>
      <w:tr w14:paraId="44BF3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740" w:hRule="atLeast"/>
        </w:trPr>
        <w:tc>
          <w:tcPr>
            <w:tcW w:w="524" w:type="dxa"/>
            <w:vMerge w:val="continue"/>
            <w:vAlign w:val="center"/>
          </w:tcPr>
          <w:p w14:paraId="1D29C5CD">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760" w:type="dxa"/>
            <w:vMerge w:val="continue"/>
            <w:vAlign w:val="center"/>
          </w:tcPr>
          <w:p w14:paraId="7B6A7ECF">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1573" w:type="dxa"/>
            <w:vAlign w:val="center"/>
          </w:tcPr>
          <w:p w14:paraId="327B1D3B">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rPr>
              <w:t>投标文件的</w:t>
            </w:r>
            <w:r>
              <w:rPr>
                <w:rFonts w:hint="eastAsia" w:ascii="宋体" w:hAnsi="宋体" w:eastAsia="宋体" w:cs="宋体"/>
                <w:color w:val="auto"/>
                <w:highlight w:val="none"/>
                <w:lang w:val="en-US" w:eastAsia="zh-CN"/>
              </w:rPr>
              <w:t>电子签章或签字</w:t>
            </w:r>
            <w:r>
              <w:rPr>
                <w:rFonts w:hint="eastAsia" w:ascii="宋体" w:hAnsi="宋体" w:eastAsia="宋体" w:cs="宋体"/>
                <w:color w:val="auto"/>
                <w:szCs w:val="24"/>
                <w:highlight w:val="none"/>
              </w:rPr>
              <w:t>要求</w:t>
            </w:r>
          </w:p>
        </w:tc>
        <w:tc>
          <w:tcPr>
            <w:tcW w:w="7395" w:type="dxa"/>
            <w:vAlign w:val="center"/>
          </w:tcPr>
          <w:p w14:paraId="23D045CE">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符合招标文件第二章“供应商须知”要求</w:t>
            </w:r>
          </w:p>
        </w:tc>
      </w:tr>
      <w:tr w14:paraId="127F2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390" w:hRule="atLeast"/>
        </w:trPr>
        <w:tc>
          <w:tcPr>
            <w:tcW w:w="524" w:type="dxa"/>
            <w:vMerge w:val="continue"/>
            <w:vAlign w:val="center"/>
          </w:tcPr>
          <w:p w14:paraId="591959C7">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760" w:type="dxa"/>
            <w:vMerge w:val="continue"/>
            <w:vAlign w:val="center"/>
          </w:tcPr>
          <w:p w14:paraId="05D25ED6">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1573" w:type="dxa"/>
            <w:vAlign w:val="center"/>
          </w:tcPr>
          <w:p w14:paraId="3912FEED">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tc>
        <w:tc>
          <w:tcPr>
            <w:tcW w:w="7395" w:type="dxa"/>
            <w:vAlign w:val="center"/>
          </w:tcPr>
          <w:p w14:paraId="046D1CEA">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符合第六章“采购需求及招标要求”规定</w:t>
            </w:r>
          </w:p>
        </w:tc>
      </w:tr>
      <w:tr w14:paraId="477EF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188" w:hRule="atLeast"/>
        </w:trPr>
        <w:tc>
          <w:tcPr>
            <w:tcW w:w="524" w:type="dxa"/>
            <w:vMerge w:val="continue"/>
            <w:vAlign w:val="center"/>
          </w:tcPr>
          <w:p w14:paraId="4A90147E">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760" w:type="dxa"/>
            <w:vMerge w:val="continue"/>
            <w:vAlign w:val="center"/>
          </w:tcPr>
          <w:p w14:paraId="4725CE8F">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1573" w:type="dxa"/>
            <w:vAlign w:val="center"/>
          </w:tcPr>
          <w:p w14:paraId="34DA1B76">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合同履行期限</w:t>
            </w:r>
            <w:r>
              <w:rPr>
                <w:rFonts w:hint="eastAsia" w:ascii="宋体" w:hAnsi="宋体" w:eastAsia="宋体" w:cs="宋体"/>
                <w:color w:val="auto"/>
                <w:sz w:val="24"/>
                <w:szCs w:val="24"/>
                <w:highlight w:val="none"/>
              </w:rPr>
              <w:t>及交货地点</w:t>
            </w:r>
          </w:p>
        </w:tc>
        <w:tc>
          <w:tcPr>
            <w:tcW w:w="7395" w:type="dxa"/>
            <w:vAlign w:val="center"/>
          </w:tcPr>
          <w:p w14:paraId="01A4B579">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符合招标文件第二章“供应商须知”要求</w:t>
            </w:r>
          </w:p>
        </w:tc>
      </w:tr>
      <w:tr w14:paraId="7D99A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188" w:hRule="atLeast"/>
        </w:trPr>
        <w:tc>
          <w:tcPr>
            <w:tcW w:w="524" w:type="dxa"/>
            <w:vMerge w:val="continue"/>
            <w:vAlign w:val="center"/>
          </w:tcPr>
          <w:p w14:paraId="10B21924">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760" w:type="dxa"/>
            <w:vMerge w:val="continue"/>
            <w:vAlign w:val="center"/>
          </w:tcPr>
          <w:p w14:paraId="542D763C">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1573" w:type="dxa"/>
            <w:vAlign w:val="center"/>
          </w:tcPr>
          <w:p w14:paraId="04971595">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质量要求</w:t>
            </w:r>
          </w:p>
        </w:tc>
        <w:tc>
          <w:tcPr>
            <w:tcW w:w="7395" w:type="dxa"/>
            <w:vAlign w:val="center"/>
          </w:tcPr>
          <w:p w14:paraId="1CF81E4A">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符合招标文件第二章“供应商须知”要求</w:t>
            </w:r>
          </w:p>
        </w:tc>
      </w:tr>
      <w:tr w14:paraId="0D3DF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188" w:hRule="atLeast"/>
        </w:trPr>
        <w:tc>
          <w:tcPr>
            <w:tcW w:w="524" w:type="dxa"/>
            <w:vMerge w:val="continue"/>
            <w:vAlign w:val="center"/>
          </w:tcPr>
          <w:p w14:paraId="4E231FB6">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760" w:type="dxa"/>
            <w:vMerge w:val="continue"/>
            <w:vAlign w:val="center"/>
          </w:tcPr>
          <w:p w14:paraId="77605832">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1573" w:type="dxa"/>
            <w:vAlign w:val="center"/>
          </w:tcPr>
          <w:p w14:paraId="577789E3">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分包</w:t>
            </w:r>
          </w:p>
        </w:tc>
        <w:tc>
          <w:tcPr>
            <w:tcW w:w="7395" w:type="dxa"/>
            <w:vAlign w:val="center"/>
          </w:tcPr>
          <w:p w14:paraId="6B217D08">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符合招标文件第二章“供应商须知”要求</w:t>
            </w:r>
          </w:p>
        </w:tc>
      </w:tr>
      <w:tr w14:paraId="5148A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188" w:hRule="atLeast"/>
        </w:trPr>
        <w:tc>
          <w:tcPr>
            <w:tcW w:w="524" w:type="dxa"/>
            <w:vMerge w:val="continue"/>
            <w:vAlign w:val="center"/>
          </w:tcPr>
          <w:p w14:paraId="5EE6A3B0">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760" w:type="dxa"/>
            <w:vMerge w:val="continue"/>
            <w:vAlign w:val="center"/>
          </w:tcPr>
          <w:p w14:paraId="40EEC006">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1573" w:type="dxa"/>
            <w:vAlign w:val="center"/>
          </w:tcPr>
          <w:p w14:paraId="7C5D90A3">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7395" w:type="dxa"/>
            <w:vAlign w:val="center"/>
          </w:tcPr>
          <w:p w14:paraId="22E9BA91">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投标报价为总报价，且不超过采购预算价，不低于成本价</w:t>
            </w:r>
          </w:p>
        </w:tc>
      </w:tr>
      <w:tr w14:paraId="1E458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715" w:hRule="atLeast"/>
        </w:trPr>
        <w:tc>
          <w:tcPr>
            <w:tcW w:w="524" w:type="dxa"/>
            <w:vMerge w:val="continue"/>
            <w:vAlign w:val="center"/>
          </w:tcPr>
          <w:p w14:paraId="0B1B6DD3">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760" w:type="dxa"/>
            <w:vMerge w:val="continue"/>
            <w:vAlign w:val="center"/>
          </w:tcPr>
          <w:p w14:paraId="65C7F9A4">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1573" w:type="dxa"/>
            <w:vAlign w:val="center"/>
          </w:tcPr>
          <w:p w14:paraId="4B5EEE87">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投标有效期</w:t>
            </w:r>
            <w:r>
              <w:rPr>
                <w:rFonts w:hint="eastAsia" w:ascii="宋体" w:hAnsi="宋体" w:eastAsia="宋体" w:cs="宋体"/>
                <w:color w:val="auto"/>
                <w:sz w:val="24"/>
                <w:szCs w:val="24"/>
                <w:highlight w:val="none"/>
                <w:lang w:val="en-US" w:eastAsia="zh-CN"/>
              </w:rPr>
              <w:t>及委托期限</w:t>
            </w:r>
          </w:p>
        </w:tc>
        <w:tc>
          <w:tcPr>
            <w:tcW w:w="7395" w:type="dxa"/>
            <w:vAlign w:val="center"/>
          </w:tcPr>
          <w:p w14:paraId="0FD69A54">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符合招标文件第二章“供应商须知”规定</w:t>
            </w:r>
          </w:p>
        </w:tc>
      </w:tr>
      <w:tr w14:paraId="071173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188" w:hRule="atLeast"/>
        </w:trPr>
        <w:tc>
          <w:tcPr>
            <w:tcW w:w="524" w:type="dxa"/>
            <w:vMerge w:val="continue"/>
            <w:vAlign w:val="center"/>
          </w:tcPr>
          <w:p w14:paraId="36590F7D">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760" w:type="dxa"/>
            <w:vMerge w:val="continue"/>
            <w:vAlign w:val="center"/>
          </w:tcPr>
          <w:p w14:paraId="488CC443">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1573" w:type="dxa"/>
            <w:vAlign w:val="center"/>
          </w:tcPr>
          <w:p w14:paraId="33DB4C23">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权利和义务</w:t>
            </w:r>
          </w:p>
        </w:tc>
        <w:tc>
          <w:tcPr>
            <w:tcW w:w="7395" w:type="dxa"/>
            <w:vAlign w:val="center"/>
          </w:tcPr>
          <w:p w14:paraId="2AA8B5BE">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投标文件不含采购人不能接受的附加条件或法律、法规和招标文件规定的其他无效情形</w:t>
            </w:r>
          </w:p>
        </w:tc>
      </w:tr>
      <w:tr w14:paraId="70410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188" w:hRule="atLeast"/>
        </w:trPr>
        <w:tc>
          <w:tcPr>
            <w:tcW w:w="524" w:type="dxa"/>
            <w:vMerge w:val="continue"/>
            <w:vAlign w:val="center"/>
          </w:tcPr>
          <w:p w14:paraId="1205B30E">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760" w:type="dxa"/>
            <w:vMerge w:val="continue"/>
            <w:vAlign w:val="center"/>
          </w:tcPr>
          <w:p w14:paraId="70C6233B">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p>
        </w:tc>
        <w:tc>
          <w:tcPr>
            <w:tcW w:w="1573" w:type="dxa"/>
            <w:vAlign w:val="center"/>
          </w:tcPr>
          <w:p w14:paraId="79CD94D2">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w:t>
            </w:r>
          </w:p>
        </w:tc>
        <w:tc>
          <w:tcPr>
            <w:tcW w:w="7395" w:type="dxa"/>
            <w:vAlign w:val="center"/>
          </w:tcPr>
          <w:p w14:paraId="65B0BBFF">
            <w:pPr>
              <w:pStyle w:val="2"/>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bookmarkStart w:id="164" w:name="_Toc18701"/>
            <w:bookmarkStart w:id="165" w:name="_Toc28886"/>
            <w:bookmarkStart w:id="166" w:name="_Toc27312"/>
            <w:bookmarkStart w:id="167" w:name="_Toc4938"/>
            <w:r>
              <w:rPr>
                <w:rFonts w:hint="eastAsia" w:ascii="宋体" w:hAnsi="宋体" w:eastAsia="宋体" w:cs="宋体"/>
                <w:b w:val="0"/>
                <w:color w:val="auto"/>
                <w:sz w:val="24"/>
                <w:szCs w:val="24"/>
                <w:highlight w:val="none"/>
              </w:rPr>
              <w:t>供应商</w:t>
            </w:r>
            <w:r>
              <w:rPr>
                <w:rFonts w:hint="eastAsia" w:ascii="宋体" w:hAnsi="宋体" w:eastAsia="宋体" w:cs="宋体"/>
                <w:b w:val="0"/>
                <w:color w:val="auto"/>
                <w:sz w:val="24"/>
                <w:szCs w:val="24"/>
                <w:highlight w:val="none"/>
                <w:lang w:val="en-US" w:eastAsia="zh-CN"/>
              </w:rPr>
              <w:t>不存在</w:t>
            </w:r>
            <w:r>
              <w:rPr>
                <w:rFonts w:hint="eastAsia" w:ascii="宋体" w:hAnsi="宋体" w:eastAsia="宋体" w:cs="宋体"/>
                <w:b w:val="0"/>
                <w:color w:val="auto"/>
                <w:sz w:val="24"/>
                <w:szCs w:val="24"/>
                <w:highlight w:val="none"/>
              </w:rPr>
              <w:t>串通投标、弄虚作假、行贿等违法行为</w:t>
            </w:r>
            <w:bookmarkEnd w:id="164"/>
            <w:bookmarkEnd w:id="165"/>
            <w:bookmarkEnd w:id="166"/>
            <w:bookmarkEnd w:id="167"/>
          </w:p>
        </w:tc>
      </w:tr>
      <w:tr w14:paraId="09AF5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2425" w:hRule="atLeast"/>
        </w:trPr>
        <w:tc>
          <w:tcPr>
            <w:tcW w:w="2857" w:type="dxa"/>
            <w:gridSpan w:val="3"/>
            <w:vAlign w:val="center"/>
          </w:tcPr>
          <w:p w14:paraId="3ABF61BA">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3.3详细评审程序</w:t>
            </w:r>
          </w:p>
          <w:p w14:paraId="10B13624">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（详见本章附件A-1）</w:t>
            </w:r>
          </w:p>
        </w:tc>
        <w:tc>
          <w:tcPr>
            <w:tcW w:w="7395" w:type="dxa"/>
            <w:vAlign w:val="center"/>
          </w:tcPr>
          <w:p w14:paraId="71BD267B">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1.评标委员会仅对通过资格审查、符合性审查的供应商的投标文件进行详细评审，按综合评估法对有效供应商投标文件进行报价部分、技术部分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商务部分、</w:t>
            </w:r>
            <w:r>
              <w:rPr>
                <w:rFonts w:hint="eastAsia" w:ascii="宋体" w:hAnsi="宋体" w:eastAsia="宋体" w:cs="宋体"/>
                <w:color w:val="auto"/>
                <w:sz w:val="24"/>
                <w:szCs w:val="24"/>
                <w:highlight w:val="none"/>
              </w:rPr>
              <w:t>进行评审打分；</w:t>
            </w:r>
          </w:p>
          <w:p w14:paraId="08227E9A">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2.供应商的最后得分为报价部分、</w:t>
            </w:r>
            <w:r>
              <w:rPr>
                <w:rFonts w:hint="eastAsia" w:ascii="宋体" w:hAnsi="宋体" w:eastAsia="宋体" w:cs="宋体"/>
                <w:color w:val="auto"/>
                <w:sz w:val="24"/>
                <w:szCs w:val="24"/>
                <w:highlight w:val="none"/>
                <w:lang w:val="en-US" w:eastAsia="zh-CN"/>
              </w:rPr>
              <w:t>商务部分、</w:t>
            </w:r>
            <w:r>
              <w:rPr>
                <w:rFonts w:hint="eastAsia" w:ascii="宋体" w:hAnsi="宋体" w:eastAsia="宋体" w:cs="宋体"/>
                <w:color w:val="auto"/>
                <w:sz w:val="24"/>
                <w:szCs w:val="24"/>
                <w:highlight w:val="none"/>
              </w:rPr>
              <w:t>技术部分的得分总和；</w:t>
            </w:r>
          </w:p>
          <w:p w14:paraId="2A810A94">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3.按照各供应商最后得分的高低进行排名，推荐1-3名为本采购项目的成交候选人。</w:t>
            </w:r>
          </w:p>
        </w:tc>
      </w:tr>
      <w:tr w14:paraId="0F551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946" w:hRule="atLeast"/>
        </w:trPr>
        <w:tc>
          <w:tcPr>
            <w:tcW w:w="1284" w:type="dxa"/>
            <w:gridSpan w:val="2"/>
            <w:vAlign w:val="center"/>
          </w:tcPr>
          <w:p w14:paraId="3D1D06E2">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w:t>
            </w:r>
          </w:p>
        </w:tc>
        <w:tc>
          <w:tcPr>
            <w:tcW w:w="1573" w:type="dxa"/>
            <w:vAlign w:val="center"/>
          </w:tcPr>
          <w:p w14:paraId="20501C29">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统计分数</w:t>
            </w:r>
          </w:p>
          <w:p w14:paraId="09A643D4">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原则</w:t>
            </w:r>
          </w:p>
        </w:tc>
        <w:tc>
          <w:tcPr>
            <w:tcW w:w="7395" w:type="dxa"/>
            <w:vAlign w:val="center"/>
          </w:tcPr>
          <w:p w14:paraId="2940F1C4">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各评标委员会成员应自主评分并签字确认，有效评分的算术平均值为各供应商的最后得分（保留小数点后两位）。</w:t>
            </w:r>
          </w:p>
        </w:tc>
      </w:tr>
      <w:tr w14:paraId="61190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 w:type="dxa"/>
            <w:bottom w:w="0" w:type="dxa"/>
            <w:right w:w="10" w:type="dxa"/>
          </w:tblCellMar>
        </w:tblPrEx>
        <w:trPr>
          <w:trHeight w:val="90" w:hRule="atLeast"/>
        </w:trPr>
        <w:tc>
          <w:tcPr>
            <w:tcW w:w="1284" w:type="dxa"/>
            <w:gridSpan w:val="2"/>
            <w:vAlign w:val="center"/>
          </w:tcPr>
          <w:p w14:paraId="4D81BF2F">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w:t>
            </w:r>
          </w:p>
        </w:tc>
        <w:tc>
          <w:tcPr>
            <w:tcW w:w="1573" w:type="dxa"/>
            <w:vAlign w:val="center"/>
          </w:tcPr>
          <w:p w14:paraId="1A7878A0">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推荐中标</w:t>
            </w:r>
          </w:p>
          <w:p w14:paraId="15B96855">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候选人</w:t>
            </w:r>
          </w:p>
        </w:tc>
        <w:tc>
          <w:tcPr>
            <w:tcW w:w="7395" w:type="dxa"/>
            <w:vAlign w:val="center"/>
          </w:tcPr>
          <w:p w14:paraId="52F4B8D6">
            <w:pPr>
              <w:keepNext w:val="0"/>
              <w:keepLines w:val="0"/>
              <w:pageBreakBefore w:val="0"/>
              <w:widowControl w:val="0"/>
              <w:kinsoku/>
              <w:wordWrap/>
              <w:overflowPunct/>
              <w:topLinePunct w:val="0"/>
              <w:autoSpaceDE/>
              <w:autoSpaceDN/>
              <w:bidi w:val="0"/>
              <w:adjustRightInd/>
              <w:snapToGrid/>
              <w:spacing w:before="167" w:beforeLines="50" w:after="167" w:afterLines="50"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为排名第一的中标候选人。</w:t>
            </w:r>
          </w:p>
        </w:tc>
      </w:tr>
    </w:tbl>
    <w:p w14:paraId="721E4F7A">
      <w:pPr>
        <w:widowControl/>
        <w:contextualSpacing/>
        <w:jc w:val="center"/>
        <w:outlineLvl w:val="1"/>
        <w:rPr>
          <w:rFonts w:hint="eastAsia" w:ascii="宋体" w:hAnsi="宋体" w:eastAsia="宋体" w:cs="宋体"/>
          <w:b/>
          <w:bCs/>
          <w:color w:val="auto"/>
          <w:sz w:val="28"/>
          <w:szCs w:val="28"/>
          <w:highlight w:val="none"/>
        </w:rPr>
      </w:pPr>
      <w:bookmarkStart w:id="168" w:name="_Toc30274"/>
      <w:bookmarkStart w:id="169" w:name="_Toc16222"/>
      <w:bookmarkStart w:id="170" w:name="_Toc21120"/>
      <w:bookmarkStart w:id="171" w:name="_Toc6754"/>
      <w:r>
        <w:rPr>
          <w:rFonts w:hint="eastAsia" w:ascii="宋体" w:hAnsi="宋体" w:eastAsia="宋体" w:cs="宋体"/>
          <w:b/>
          <w:bCs/>
          <w:color w:val="auto"/>
          <w:sz w:val="28"/>
          <w:szCs w:val="28"/>
          <w:highlight w:val="none"/>
        </w:rPr>
        <w:br w:type="page"/>
      </w:r>
      <w:bookmarkStart w:id="172" w:name="_Toc28021"/>
      <w:bookmarkStart w:id="173" w:name="_Toc6775"/>
      <w:r>
        <w:rPr>
          <w:rFonts w:hint="eastAsia" w:ascii="宋体" w:hAnsi="宋体" w:eastAsia="宋体" w:cs="宋体"/>
          <w:b/>
          <w:bCs/>
          <w:color w:val="auto"/>
          <w:sz w:val="28"/>
          <w:szCs w:val="28"/>
          <w:highlight w:val="none"/>
        </w:rPr>
        <w:t>二、评标办法正文部分</w:t>
      </w:r>
      <w:bookmarkEnd w:id="168"/>
      <w:bookmarkEnd w:id="169"/>
      <w:bookmarkEnd w:id="170"/>
      <w:bookmarkEnd w:id="172"/>
      <w:bookmarkEnd w:id="173"/>
    </w:p>
    <w:p w14:paraId="10D893A4">
      <w:pPr>
        <w:jc w:val="center"/>
        <w:rPr>
          <w:rFonts w:hint="eastAsia" w:ascii="宋体" w:hAnsi="宋体" w:eastAsia="宋体" w:cs="宋体"/>
          <w:b/>
          <w:color w:val="auto"/>
          <w:sz w:val="28"/>
          <w:highlight w:val="none"/>
        </w:rPr>
      </w:pPr>
      <w:r>
        <w:rPr>
          <w:rFonts w:hint="eastAsia" w:ascii="宋体" w:hAnsi="宋体" w:eastAsia="宋体" w:cs="宋体"/>
          <w:b/>
          <w:color w:val="auto"/>
          <w:sz w:val="28"/>
          <w:highlight w:val="none"/>
        </w:rPr>
        <w:t>评标办法正文</w:t>
      </w:r>
    </w:p>
    <w:p w14:paraId="3EDB94BF">
      <w:pPr>
        <w:pStyle w:val="4"/>
        <w:ind w:left="715" w:hanging="718" w:hangingChars="298"/>
        <w:jc w:val="both"/>
        <w:rPr>
          <w:rFonts w:hint="eastAsia" w:ascii="宋体" w:hAnsi="宋体" w:eastAsia="宋体" w:cs="宋体"/>
          <w:color w:val="auto"/>
          <w:highlight w:val="none"/>
        </w:rPr>
      </w:pPr>
      <w:r>
        <w:rPr>
          <w:rFonts w:hint="eastAsia" w:ascii="宋体" w:hAnsi="宋体" w:eastAsia="宋体" w:cs="宋体"/>
          <w:color w:val="auto"/>
          <w:highlight w:val="none"/>
        </w:rPr>
        <w:t>1.评标方法</w:t>
      </w:r>
      <w:bookmarkEnd w:id="171"/>
    </w:p>
    <w:p w14:paraId="40B997BA">
      <w:pPr>
        <w:spacing w:line="360" w:lineRule="auto"/>
        <w:ind w:firstLine="480" w:firstLineChars="200"/>
        <w:rPr>
          <w:rFonts w:hint="eastAsia" w:ascii="宋体" w:hAnsi="宋体" w:eastAsia="宋体" w:cs="宋体"/>
          <w:b/>
          <w:color w:val="auto"/>
          <w:highlight w:val="none"/>
        </w:rPr>
      </w:pPr>
      <w:bookmarkStart w:id="174" w:name="_Toc144974568"/>
      <w:bookmarkStart w:id="175" w:name="_Toc152042378"/>
      <w:bookmarkStart w:id="176" w:name="_Toc152045601"/>
      <w:bookmarkStart w:id="177" w:name="_Toc247085759"/>
      <w:bookmarkStart w:id="178" w:name="_Toc345600619"/>
      <w:bookmarkStart w:id="179" w:name="_Toc179632619"/>
      <w:bookmarkStart w:id="180" w:name="_Toc246996244"/>
      <w:bookmarkStart w:id="181" w:name="_Toc246996987"/>
      <w:r>
        <w:rPr>
          <w:rFonts w:hint="eastAsia" w:ascii="宋体" w:hAnsi="宋体" w:eastAsia="宋体" w:cs="宋体"/>
          <w:color w:val="auto"/>
          <w:highlight w:val="none"/>
        </w:rPr>
        <w:t>本次项目采用综合评估打分法。评标委员会对满足招标文件实质性要求的投标文件，按照本章规定的评分标准进行打分，并按得分由高到低顺序推荐成交候选人。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为排名第一的中标候选人。</w:t>
      </w:r>
    </w:p>
    <w:p w14:paraId="1BABEDCF">
      <w:pPr>
        <w:pStyle w:val="4"/>
        <w:ind w:left="715" w:hanging="718" w:hangingChars="298"/>
        <w:jc w:val="both"/>
        <w:rPr>
          <w:rFonts w:hint="eastAsia" w:ascii="宋体" w:hAnsi="宋体" w:eastAsia="宋体" w:cs="宋体"/>
          <w:color w:val="auto"/>
          <w:highlight w:val="none"/>
        </w:rPr>
      </w:pPr>
      <w:bookmarkStart w:id="182" w:name="_Toc521488384"/>
      <w:bookmarkStart w:id="183" w:name="_Toc465691742"/>
      <w:bookmarkStart w:id="184" w:name="_Toc524948069"/>
      <w:bookmarkStart w:id="185" w:name="_Toc33607518"/>
      <w:bookmarkStart w:id="186" w:name="_Toc534621431"/>
      <w:bookmarkStart w:id="187" w:name="_Toc20071"/>
      <w:bookmarkStart w:id="188" w:name="_Toc24717"/>
      <w:r>
        <w:rPr>
          <w:rFonts w:hint="eastAsia" w:ascii="宋体" w:hAnsi="宋体" w:eastAsia="宋体" w:cs="宋体"/>
          <w:color w:val="auto"/>
          <w:highlight w:val="none"/>
        </w:rPr>
        <w:t>2.评审标准</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0D291981">
      <w:pPr>
        <w:pStyle w:val="5"/>
        <w:ind w:left="240" w:rightChars="0" w:firstLine="480" w:firstLineChars="200"/>
        <w:rPr>
          <w:rFonts w:hint="eastAsia" w:ascii="宋体" w:hAnsi="宋体" w:eastAsia="宋体" w:cs="宋体"/>
          <w:b w:val="0"/>
          <w:color w:val="auto"/>
          <w:szCs w:val="24"/>
          <w:highlight w:val="none"/>
        </w:rPr>
      </w:pPr>
      <w:bookmarkStart w:id="189" w:name="_Toc179632620"/>
      <w:bookmarkStart w:id="190" w:name="_Toc524948070"/>
      <w:bookmarkStart w:id="191" w:name="_Toc246996988"/>
      <w:bookmarkStart w:id="192" w:name="_Toc152042379"/>
      <w:bookmarkStart w:id="193" w:name="_Toc144974569"/>
      <w:bookmarkStart w:id="194" w:name="_Toc247085760"/>
      <w:bookmarkStart w:id="195" w:name="_Toc515905348"/>
      <w:bookmarkStart w:id="196" w:name="_Toc517797358"/>
      <w:bookmarkStart w:id="197" w:name="_Toc515906915"/>
      <w:bookmarkStart w:id="198" w:name="_Toc27553"/>
      <w:bookmarkStart w:id="199" w:name="_Toc345600620"/>
      <w:bookmarkStart w:id="200" w:name="_Toc246996245"/>
      <w:bookmarkStart w:id="201" w:name="_Toc152045602"/>
      <w:bookmarkStart w:id="202" w:name="_Toc521488385"/>
      <w:r>
        <w:rPr>
          <w:rFonts w:hint="eastAsia" w:ascii="宋体" w:hAnsi="宋体" w:eastAsia="宋体" w:cs="宋体"/>
          <w:b w:val="0"/>
          <w:color w:val="auto"/>
          <w:szCs w:val="24"/>
          <w:highlight w:val="none"/>
        </w:rPr>
        <w:t>2.1初步评审标准</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10A22521">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2.1.1资格评审标准：见评标办法前附表；</w:t>
      </w:r>
    </w:p>
    <w:p w14:paraId="565D8D0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2.1.2 符合性审查标准：见评标办法前附表；</w:t>
      </w:r>
    </w:p>
    <w:p w14:paraId="4B1E495C">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2.1.3详细评审标准：本章附件A；</w:t>
      </w:r>
    </w:p>
    <w:p w14:paraId="3CCA8BC6">
      <w:pPr>
        <w:pStyle w:val="5"/>
        <w:ind w:left="240" w:rightChars="0" w:firstLine="480" w:firstLineChars="200"/>
        <w:rPr>
          <w:rFonts w:hint="eastAsia" w:ascii="宋体" w:hAnsi="宋体" w:eastAsia="宋体" w:cs="宋体"/>
          <w:b w:val="0"/>
          <w:bCs/>
          <w:color w:val="auto"/>
          <w:highlight w:val="none"/>
        </w:rPr>
      </w:pPr>
      <w:bookmarkStart w:id="203" w:name="_Toc521488386"/>
      <w:bookmarkStart w:id="204" w:name="_Toc152045603"/>
      <w:bookmarkStart w:id="205" w:name="_Toc246996246"/>
      <w:bookmarkStart w:id="206" w:name="_Toc515905349"/>
      <w:bookmarkStart w:id="207" w:name="_Toc179632621"/>
      <w:bookmarkStart w:id="208" w:name="_Toc31530"/>
      <w:bookmarkStart w:id="209" w:name="_Toc152042380"/>
      <w:bookmarkStart w:id="210" w:name="_Toc345600621"/>
      <w:bookmarkStart w:id="211" w:name="_Toc247085761"/>
      <w:bookmarkStart w:id="212" w:name="_Toc515906916"/>
      <w:bookmarkStart w:id="213" w:name="_Toc144974570"/>
      <w:bookmarkStart w:id="214" w:name="_Toc524948071"/>
      <w:bookmarkStart w:id="215" w:name="_Toc246996989"/>
      <w:bookmarkStart w:id="216" w:name="_Toc517797359"/>
      <w:r>
        <w:rPr>
          <w:rFonts w:hint="eastAsia" w:ascii="宋体" w:hAnsi="宋体" w:eastAsia="宋体" w:cs="宋体"/>
          <w:b w:val="0"/>
          <w:color w:val="auto"/>
          <w:szCs w:val="24"/>
          <w:highlight w:val="none"/>
        </w:rPr>
        <w:t>2.2详细评审标准</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Pr>
          <w:rFonts w:hint="eastAsia" w:ascii="宋体" w:hAnsi="宋体" w:eastAsia="宋体" w:cs="宋体"/>
          <w:color w:val="auto"/>
          <w:highlight w:val="none"/>
        </w:rPr>
        <w:t>：</w:t>
      </w:r>
      <w:r>
        <w:rPr>
          <w:rFonts w:hint="eastAsia" w:ascii="宋体" w:hAnsi="宋体" w:eastAsia="宋体" w:cs="宋体"/>
          <w:b w:val="0"/>
          <w:bCs/>
          <w:color w:val="auto"/>
          <w:highlight w:val="none"/>
        </w:rPr>
        <w:t>见评标办法附件A；</w:t>
      </w:r>
    </w:p>
    <w:p w14:paraId="2DF35203">
      <w:pPr>
        <w:pStyle w:val="4"/>
        <w:ind w:left="715" w:hanging="718" w:hangingChars="298"/>
        <w:jc w:val="both"/>
        <w:rPr>
          <w:rFonts w:hint="eastAsia" w:ascii="宋体" w:hAnsi="宋体" w:eastAsia="宋体" w:cs="宋体"/>
          <w:color w:val="auto"/>
          <w:highlight w:val="none"/>
        </w:rPr>
      </w:pPr>
      <w:bookmarkStart w:id="217" w:name="_Toc524948072"/>
      <w:bookmarkStart w:id="218" w:name="_Toc246996990"/>
      <w:bookmarkStart w:id="219" w:name="_Toc179632622"/>
      <w:bookmarkStart w:id="220" w:name="_Toc33607519"/>
      <w:bookmarkStart w:id="221" w:name="_Toc12152"/>
      <w:bookmarkStart w:id="222" w:name="_Toc521488387"/>
      <w:bookmarkStart w:id="223" w:name="_Toc534621432"/>
      <w:bookmarkStart w:id="224" w:name="_Toc246996247"/>
      <w:bookmarkStart w:id="225" w:name="_Toc144974571"/>
      <w:bookmarkStart w:id="226" w:name="_Toc152042381"/>
      <w:bookmarkStart w:id="227" w:name="_Toc465691743"/>
      <w:bookmarkStart w:id="228" w:name="_Toc2291"/>
      <w:bookmarkStart w:id="229" w:name="_Toc152045604"/>
      <w:bookmarkStart w:id="230" w:name="_Toc247085762"/>
      <w:bookmarkStart w:id="231" w:name="_Toc345600622"/>
      <w:r>
        <w:rPr>
          <w:rFonts w:hint="eastAsia" w:ascii="宋体" w:hAnsi="宋体" w:eastAsia="宋体" w:cs="宋体"/>
          <w:color w:val="auto"/>
          <w:highlight w:val="none"/>
        </w:rPr>
        <w:t>3.评标程序</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11561A55">
      <w:pPr>
        <w:pStyle w:val="5"/>
        <w:ind w:left="240" w:rightChars="0" w:firstLine="482" w:firstLineChars="200"/>
        <w:rPr>
          <w:rFonts w:hint="eastAsia" w:ascii="宋体" w:hAnsi="宋体" w:eastAsia="宋体" w:cs="宋体"/>
          <w:color w:val="auto"/>
          <w:szCs w:val="24"/>
          <w:highlight w:val="none"/>
        </w:rPr>
      </w:pPr>
      <w:bookmarkStart w:id="232" w:name="_Toc517797361"/>
      <w:bookmarkStart w:id="233" w:name="_Toc515906918"/>
      <w:bookmarkStart w:id="234" w:name="_Toc246996991"/>
      <w:bookmarkStart w:id="235" w:name="_Toc179632623"/>
      <w:bookmarkStart w:id="236" w:name="_Toc246996248"/>
      <w:bookmarkStart w:id="237" w:name="_Toc345600623"/>
      <w:bookmarkStart w:id="238" w:name="_Toc32346"/>
      <w:bookmarkStart w:id="239" w:name="_Toc152045605"/>
      <w:bookmarkStart w:id="240" w:name="_Toc247085763"/>
      <w:bookmarkStart w:id="241" w:name="_Toc152042382"/>
      <w:bookmarkStart w:id="242" w:name="_Toc524948073"/>
      <w:bookmarkStart w:id="243" w:name="_Toc515905351"/>
      <w:bookmarkStart w:id="244" w:name="_Toc521488388"/>
      <w:bookmarkStart w:id="245" w:name="_Toc144974572"/>
      <w:r>
        <w:rPr>
          <w:rFonts w:hint="eastAsia" w:ascii="宋体" w:hAnsi="宋体" w:eastAsia="宋体" w:cs="宋体"/>
          <w:color w:val="auto"/>
          <w:szCs w:val="24"/>
          <w:highlight w:val="none"/>
        </w:rPr>
        <w:t>3.1初步评审</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44F6499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3.1.1评标委员会依据本章“评标办法前附表”规定的标准及顺序对投标文件审查。有一项不符合评审标准的，评标委员会应当否决其投标。</w:t>
      </w:r>
    </w:p>
    <w:p w14:paraId="5435B88C">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3.1.2供应商有以下情形之一的，评标委员会应当否决其投标：</w:t>
      </w:r>
    </w:p>
    <w:p w14:paraId="6EAE101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（1）第二章“供应商须知”正文第26.6项规定的任何一种情形的；</w:t>
      </w:r>
    </w:p>
    <w:p w14:paraId="5A9586A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（2）串通竞标或弄虚作假或有其他违法行为的；</w:t>
      </w:r>
    </w:p>
    <w:p w14:paraId="0528DA79">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（3）不按评标委员会要求澄清、说明或补正的。</w:t>
      </w:r>
    </w:p>
    <w:p w14:paraId="57466C1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3.1.3投标报价有算术错误的，评标委员会按以下原则对投标报价进行修正，修正的价格经供应商书面确认后具有约束力。供应商不接受修正价格的，评标委员会应当否决其投标。</w:t>
      </w:r>
    </w:p>
    <w:p w14:paraId="07E6302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（一）投标文件中开标一览表（报价表）内容与投标文件中相应内容不一致的，以开标一览表（报价表）为准；</w:t>
      </w:r>
    </w:p>
    <w:p w14:paraId="5A8CDB81">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（二）大写金额和小写金额不一致的，以大写金额为准；</w:t>
      </w:r>
    </w:p>
    <w:p w14:paraId="6D88F31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（三）单价金额小数点或者百分比有明显错位的，以开标一览表的总价为准，并修改单价；</w:t>
      </w:r>
    </w:p>
    <w:p w14:paraId="27C76424">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（四）总价金额与按单价汇总金额不一致的，以单价金额计算结果为准。</w:t>
      </w:r>
    </w:p>
    <w:p w14:paraId="5FC8241B">
      <w:pPr>
        <w:spacing w:line="360" w:lineRule="auto"/>
        <w:ind w:firstLine="482" w:firstLineChars="20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3.2报价过低情形澄清</w:t>
      </w:r>
    </w:p>
    <w:p w14:paraId="69A785D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437EE2DA">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3.3</w:t>
      </w:r>
      <w:r>
        <w:rPr>
          <w:rFonts w:hint="eastAsia" w:ascii="宋体" w:hAnsi="宋体" w:eastAsia="宋体" w:cs="宋体"/>
          <w:b/>
          <w:bCs/>
          <w:color w:val="auto"/>
          <w:sz w:val="24"/>
          <w:szCs w:val="24"/>
          <w:highlight w:val="none"/>
        </w:rPr>
        <w:t>同品牌产品不同投标人的处理方式</w:t>
      </w:r>
    </w:p>
    <w:p w14:paraId="67293079">
      <w:pPr>
        <w:keepNext w:val="0"/>
        <w:keepLines w:val="0"/>
        <w:pageBreakBefore w:val="0"/>
        <w:widowControl w:val="0"/>
        <w:kinsoku/>
        <w:wordWrap/>
        <w:overflowPunct/>
        <w:topLinePunct w:val="0"/>
        <w:autoSpaceDE w:val="0"/>
        <w:autoSpaceDN w:val="0"/>
        <w:bidi w:val="0"/>
        <w:spacing w:before="64" w:beforeLines="20" w:after="64" w:afterLines="20" w:line="360" w:lineRule="auto"/>
        <w:ind w:left="48" w:leftChars="20" w:right="48" w:rightChars="2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9298692">
      <w:pPr>
        <w:keepNext w:val="0"/>
        <w:keepLines w:val="0"/>
        <w:pageBreakBefore w:val="0"/>
        <w:widowControl w:val="0"/>
        <w:kinsoku/>
        <w:wordWrap/>
        <w:overflowPunct/>
        <w:topLinePunct w:val="0"/>
        <w:autoSpaceDE w:val="0"/>
        <w:autoSpaceDN w:val="0"/>
        <w:bidi w:val="0"/>
        <w:spacing w:before="64" w:beforeLines="20" w:after="64" w:afterLines="20" w:line="360" w:lineRule="auto"/>
        <w:ind w:left="48" w:leftChars="20" w:right="48" w:rightChars="2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非单一产品采购项目，采购人应当根据采购项目技术构成、产品价格比重等合理确定核心产品，并在招标文件中载明。多家投标人提供的核心产品品牌相同的，按前款规定处理。</w:t>
      </w:r>
    </w:p>
    <w:p w14:paraId="7302E9F0">
      <w:pPr>
        <w:pStyle w:val="5"/>
        <w:ind w:left="240" w:rightChars="0" w:firstLine="482" w:firstLineChars="200"/>
        <w:rPr>
          <w:rFonts w:hint="eastAsia" w:ascii="宋体" w:hAnsi="宋体" w:eastAsia="宋体" w:cs="宋体"/>
          <w:color w:val="auto"/>
          <w:szCs w:val="24"/>
          <w:highlight w:val="none"/>
        </w:rPr>
      </w:pPr>
      <w:bookmarkStart w:id="246" w:name="_Toc515906919"/>
      <w:bookmarkStart w:id="247" w:name="_Toc247085764"/>
      <w:bookmarkStart w:id="248" w:name="_Toc521488389"/>
      <w:bookmarkStart w:id="249" w:name="_Toc1547"/>
      <w:bookmarkStart w:id="250" w:name="_Toc152045606"/>
      <w:bookmarkStart w:id="251" w:name="_Toc246996992"/>
      <w:bookmarkStart w:id="252" w:name="_Toc179632624"/>
      <w:bookmarkStart w:id="253" w:name="_Toc524948074"/>
      <w:bookmarkStart w:id="254" w:name="_Toc144974573"/>
      <w:bookmarkStart w:id="255" w:name="_Toc515905352"/>
      <w:bookmarkStart w:id="256" w:name="_Toc517797362"/>
      <w:bookmarkStart w:id="257" w:name="_Toc246996249"/>
      <w:bookmarkStart w:id="258" w:name="_Toc345600624"/>
      <w:bookmarkStart w:id="259" w:name="_Toc152042384"/>
      <w:r>
        <w:rPr>
          <w:rFonts w:hint="eastAsia" w:ascii="宋体" w:hAnsi="宋体" w:eastAsia="宋体" w:cs="宋体"/>
          <w:color w:val="auto"/>
          <w:szCs w:val="24"/>
          <w:highlight w:val="none"/>
        </w:rPr>
        <w:t>3.</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rPr>
        <w:t>详细评审</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14:paraId="5D6F2E29">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3.3.1评标委员会按规定的量化因素和分值进行打分，并计算出综合评估得分。</w:t>
      </w:r>
    </w:p>
    <w:p w14:paraId="2E42F6AB">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详见评标办法附件A。</w:t>
      </w:r>
    </w:p>
    <w:p w14:paraId="439E66CF">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3.3.2评分分值计算保留小数点后两位，小数点后第三位“四舍五入”。</w:t>
      </w:r>
    </w:p>
    <w:p w14:paraId="1B7116B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3.3.3评标委员会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评标委员会应当认定该供应商以低于成本报价投标，否决其投标。</w:t>
      </w:r>
    </w:p>
    <w:p w14:paraId="1DD1B2F7">
      <w:pPr>
        <w:pStyle w:val="5"/>
        <w:ind w:left="240" w:rightChars="0" w:firstLine="482" w:firstLineChars="200"/>
        <w:rPr>
          <w:rFonts w:hint="eastAsia" w:ascii="宋体" w:hAnsi="宋体" w:eastAsia="宋体" w:cs="宋体"/>
          <w:color w:val="auto"/>
          <w:szCs w:val="24"/>
          <w:highlight w:val="none"/>
        </w:rPr>
      </w:pPr>
      <w:bookmarkStart w:id="260" w:name="_Toc144974575"/>
      <w:bookmarkStart w:id="261" w:name="_Toc246996250"/>
      <w:bookmarkStart w:id="262" w:name="_Toc152045607"/>
      <w:bookmarkStart w:id="263" w:name="_Toc521488390"/>
      <w:bookmarkStart w:id="264" w:name="_Toc517797363"/>
      <w:bookmarkStart w:id="265" w:name="_Toc179632625"/>
      <w:bookmarkStart w:id="266" w:name="_Toc10935"/>
      <w:bookmarkStart w:id="267" w:name="_Toc515905353"/>
      <w:bookmarkStart w:id="268" w:name="_Toc247085765"/>
      <w:bookmarkStart w:id="269" w:name="_Toc246996993"/>
      <w:bookmarkStart w:id="270" w:name="_Toc515906920"/>
      <w:bookmarkStart w:id="271" w:name="_Toc345600625"/>
      <w:bookmarkStart w:id="272" w:name="_Toc524948075"/>
      <w:bookmarkStart w:id="273" w:name="_Toc152042385"/>
      <w:r>
        <w:rPr>
          <w:rFonts w:hint="eastAsia" w:ascii="宋体" w:hAnsi="宋体" w:eastAsia="宋体" w:cs="宋体"/>
          <w:color w:val="auto"/>
          <w:szCs w:val="24"/>
          <w:highlight w:val="none"/>
        </w:rPr>
        <w:t>3.</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rPr>
        <w:t>投标文件的澄清</w:t>
      </w:r>
      <w:bookmarkEnd w:id="260"/>
      <w:r>
        <w:rPr>
          <w:rFonts w:hint="eastAsia" w:ascii="宋体" w:hAnsi="宋体" w:eastAsia="宋体" w:cs="宋体"/>
          <w:color w:val="auto"/>
          <w:szCs w:val="24"/>
          <w:highlight w:val="none"/>
        </w:rPr>
        <w:t>和补正</w:t>
      </w:r>
      <w:bookmarkEnd w:id="261"/>
      <w:bookmarkEnd w:id="262"/>
      <w:bookmarkEnd w:id="263"/>
      <w:bookmarkEnd w:id="264"/>
      <w:bookmarkEnd w:id="265"/>
      <w:bookmarkEnd w:id="266"/>
      <w:bookmarkEnd w:id="267"/>
      <w:bookmarkEnd w:id="268"/>
      <w:bookmarkEnd w:id="269"/>
      <w:bookmarkEnd w:id="270"/>
      <w:bookmarkEnd w:id="271"/>
      <w:bookmarkEnd w:id="272"/>
      <w:bookmarkEnd w:id="273"/>
    </w:p>
    <w:p w14:paraId="5898D7A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3.4.1在评标过程中，评标委员会可以书面形式要求供应商对所提交投标文件中不明确的内容进行书面澄清或说明，或者对细微偏差进行补正。评标委员会不接受供应商主动提出的澄清、说明或补正。</w:t>
      </w:r>
    </w:p>
    <w:p w14:paraId="42DD2F5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3.4.2澄清、说明和补正不得改变投标文件的实质性内容。供应商的书面澄清、说明和补正属于投标文件的组成部分。</w:t>
      </w:r>
    </w:p>
    <w:p w14:paraId="48125F59">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3.4.3评标委员会对供应商提交的澄清、说明或补正有疑问的，可以要求供应商进一步澄清、说明或补正，直至满足评标委员会的要求。</w:t>
      </w:r>
    </w:p>
    <w:p w14:paraId="3F9C1A6A">
      <w:pPr>
        <w:pStyle w:val="4"/>
        <w:jc w:val="both"/>
        <w:rPr>
          <w:rFonts w:hint="eastAsia" w:ascii="宋体" w:hAnsi="宋体" w:eastAsia="宋体" w:cs="宋体"/>
          <w:color w:val="auto"/>
          <w:highlight w:val="none"/>
        </w:rPr>
      </w:pPr>
      <w:r>
        <w:rPr>
          <w:rFonts w:hint="eastAsia" w:ascii="宋体" w:hAnsi="宋体" w:eastAsia="宋体" w:cs="宋体"/>
          <w:color w:val="auto"/>
          <w:highlight w:val="none"/>
        </w:rPr>
        <w:t>4.落实政府采购政策</w:t>
      </w:r>
    </w:p>
    <w:p w14:paraId="2D8B86CE">
      <w:pPr>
        <w:pStyle w:val="5"/>
        <w:ind w:left="1318" w:right="240"/>
        <w:rPr>
          <w:rFonts w:hint="eastAsia" w:ascii="宋体" w:hAnsi="宋体" w:eastAsia="宋体" w:cs="宋体"/>
          <w:color w:val="auto"/>
          <w:highlight w:val="none"/>
        </w:rPr>
      </w:pPr>
      <w:r>
        <w:rPr>
          <w:rFonts w:hint="eastAsia" w:ascii="宋体" w:hAnsi="宋体" w:eastAsia="宋体" w:cs="宋体"/>
          <w:color w:val="auto"/>
          <w:highlight w:val="none"/>
        </w:rPr>
        <w:t>4.1.小型和微型企业价格评分优惠政策</w:t>
      </w:r>
    </w:p>
    <w:p w14:paraId="667A6D8E">
      <w:pPr>
        <w:tabs>
          <w:tab w:val="left" w:pos="5505"/>
        </w:tabs>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关于中小企业的规定：根据《政府采购促进中小企业发展管理办法》（财库〔2020〕46号）和《关于进一步加大政府采购支持中小企业力度的通知》财库〔2022〕19号的规定，本项目给予小微（小型、微型）企业报价10%的扣除，用扣除后的价格参与评审。</w:t>
      </w:r>
    </w:p>
    <w:p w14:paraId="5543C3EC">
      <w:pPr>
        <w:tabs>
          <w:tab w:val="left" w:pos="5505"/>
        </w:tabs>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注：在货物采购项目中，供应商提供的货物既有中小企业制造货物，也有大型企业制造货物的，不享受本办法规定的中小企业扶持政策。</w:t>
      </w:r>
    </w:p>
    <w:p w14:paraId="58CB4FD5">
      <w:pPr>
        <w:tabs>
          <w:tab w:val="left" w:pos="5505"/>
        </w:tabs>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（2）关于节能、环保产品的规定：政府采购属于节能（环保标志）清单中产品时，在技术、服务等指标同等条件下，应当优先采购节能（环保标志）清单所列的节能（环保标志）产品。</w:t>
      </w:r>
    </w:p>
    <w:p w14:paraId="695F713F">
      <w:pPr>
        <w:tabs>
          <w:tab w:val="left" w:pos="5505"/>
        </w:tabs>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（3）关于监狱企业产品的规定：监狱企业视同中小企业，</w:t>
      </w:r>
      <w:r>
        <w:rPr>
          <w:rFonts w:hint="eastAsia" w:ascii="宋体" w:hAnsi="宋体" w:eastAsia="宋体" w:cs="宋体"/>
          <w:color w:val="auto"/>
          <w:highlight w:val="none"/>
          <w:lang w:val="en-US" w:eastAsia="zh-CN"/>
        </w:rPr>
        <w:t>评审过程只</w:t>
      </w:r>
      <w:r>
        <w:rPr>
          <w:rFonts w:hint="eastAsia" w:ascii="宋体" w:hAnsi="宋体" w:eastAsia="宋体" w:cs="宋体"/>
          <w:color w:val="auto"/>
          <w:highlight w:val="none"/>
        </w:rPr>
        <w:t>享受</w:t>
      </w:r>
      <w:r>
        <w:rPr>
          <w:rFonts w:hint="eastAsia" w:ascii="宋体" w:hAnsi="宋体" w:eastAsia="宋体" w:cs="宋体"/>
          <w:color w:val="auto"/>
          <w:highlight w:val="none"/>
          <w:lang w:val="en-US" w:eastAsia="zh-CN"/>
        </w:rPr>
        <w:t>一次价格扣除优惠</w:t>
      </w:r>
      <w:r>
        <w:rPr>
          <w:rFonts w:hint="eastAsia" w:ascii="宋体" w:hAnsi="宋体" w:eastAsia="宋体" w:cs="宋体"/>
          <w:color w:val="auto"/>
          <w:highlight w:val="none"/>
        </w:rPr>
        <w:t>。</w:t>
      </w:r>
    </w:p>
    <w:p w14:paraId="1B0EE932">
      <w:pPr>
        <w:pStyle w:val="49"/>
        <w:spacing w:line="360" w:lineRule="auto"/>
        <w:ind w:firstLine="482"/>
        <w:rPr>
          <w:rFonts w:hint="eastAsia" w:ascii="宋体" w:hAnsi="宋体" w:eastAsia="宋体" w:cs="宋体"/>
          <w:color w:val="auto"/>
          <w:highlight w:val="none"/>
        </w:rPr>
      </w:pPr>
      <w:r>
        <w:rPr>
          <w:rFonts w:hint="eastAsia" w:ascii="宋体" w:hAnsi="宋体" w:eastAsia="宋体" w:cs="宋体"/>
          <w:color w:val="auto"/>
          <w:highlight w:val="none"/>
        </w:rPr>
        <w:t>（4）关于残疾人福利性单位产品的规定，在政府采购活动中，视同中小企业，享受评审中价格扣除的政府采购政策。</w:t>
      </w:r>
    </w:p>
    <w:p w14:paraId="1B7BD207">
      <w:pPr>
        <w:pStyle w:val="49"/>
        <w:spacing w:line="360" w:lineRule="auto"/>
        <w:ind w:firstLine="482"/>
        <w:rPr>
          <w:rFonts w:hint="eastAsia" w:ascii="宋体" w:hAnsi="宋体" w:eastAsia="宋体" w:cs="宋体"/>
          <w:color w:val="auto"/>
          <w:highlight w:val="none"/>
        </w:rPr>
      </w:pPr>
      <w:r>
        <w:rPr>
          <w:rFonts w:hint="eastAsia" w:ascii="宋体" w:hAnsi="宋体" w:eastAsia="宋体" w:cs="宋体"/>
          <w:color w:val="auto"/>
          <w:szCs w:val="20"/>
          <w:highlight w:val="none"/>
        </w:rPr>
        <w:t>（</w:t>
      </w:r>
      <w:r>
        <w:rPr>
          <w:rFonts w:hint="eastAsia" w:ascii="宋体" w:hAnsi="宋体" w:eastAsia="宋体" w:cs="宋体"/>
          <w:color w:val="auto"/>
          <w:highlight w:val="none"/>
        </w:rPr>
        <w:t>5）企业划分标准</w:t>
      </w:r>
    </w:p>
    <w:p w14:paraId="366916EA">
      <w:pPr>
        <w:widowControl/>
        <w:spacing w:line="360" w:lineRule="auto"/>
        <w:ind w:firstLine="482"/>
        <w:jc w:val="center"/>
        <w:rPr>
          <w:rFonts w:hint="eastAsia" w:ascii="宋体" w:hAnsi="宋体" w:eastAsia="宋体" w:cs="宋体"/>
          <w:color w:val="auto"/>
          <w:highlight w:val="none"/>
        </w:rPr>
      </w:pPr>
      <w:r>
        <w:rPr>
          <w:rFonts w:hint="eastAsia" w:ascii="宋体" w:hAnsi="宋体" w:eastAsia="宋体" w:cs="宋体"/>
          <w:color w:val="auto"/>
          <w:highlight w:val="none"/>
        </w:rPr>
        <w:t>统计上大中小微型企业划分标准</w:t>
      </w:r>
    </w:p>
    <w:tbl>
      <w:tblPr>
        <w:tblStyle w:val="26"/>
        <w:tblW w:w="931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80"/>
        <w:gridCol w:w="1553"/>
        <w:gridCol w:w="774"/>
        <w:gridCol w:w="1422"/>
        <w:gridCol w:w="1632"/>
        <w:gridCol w:w="1373"/>
        <w:gridCol w:w="1182"/>
      </w:tblGrid>
      <w:tr w14:paraId="586D98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Align w:val="center"/>
          </w:tcPr>
          <w:p w14:paraId="691E0025">
            <w:pPr>
              <w:jc w:val="center"/>
              <w:rPr>
                <w:rFonts w:hint="eastAsia" w:ascii="宋体" w:hAnsi="宋体" w:eastAsia="宋体" w:cs="宋体"/>
                <w:color w:val="auto"/>
                <w:highlight w:val="none"/>
              </w:rPr>
            </w:pPr>
            <w:r>
              <w:rPr>
                <w:rFonts w:hint="eastAsia" w:ascii="宋体" w:hAnsi="宋体" w:eastAsia="宋体" w:cs="宋体"/>
                <w:color w:val="auto"/>
                <w:highlight w:val="none"/>
              </w:rPr>
              <w:t>行业名称</w:t>
            </w:r>
          </w:p>
        </w:tc>
        <w:tc>
          <w:tcPr>
            <w:tcW w:w="1553" w:type="dxa"/>
            <w:vAlign w:val="center"/>
          </w:tcPr>
          <w:p w14:paraId="65D13C44">
            <w:pPr>
              <w:jc w:val="center"/>
              <w:rPr>
                <w:rFonts w:hint="eastAsia" w:ascii="宋体" w:hAnsi="宋体" w:eastAsia="宋体" w:cs="宋体"/>
                <w:color w:val="auto"/>
                <w:highlight w:val="none"/>
              </w:rPr>
            </w:pPr>
            <w:r>
              <w:rPr>
                <w:rFonts w:hint="eastAsia" w:ascii="宋体" w:hAnsi="宋体" w:eastAsia="宋体" w:cs="宋体"/>
                <w:color w:val="auto"/>
                <w:highlight w:val="none"/>
              </w:rPr>
              <w:t>指标名称</w:t>
            </w:r>
          </w:p>
        </w:tc>
        <w:tc>
          <w:tcPr>
            <w:tcW w:w="774" w:type="dxa"/>
            <w:vAlign w:val="center"/>
          </w:tcPr>
          <w:p w14:paraId="2E5CF9CC">
            <w:pPr>
              <w:jc w:val="center"/>
              <w:rPr>
                <w:rFonts w:hint="eastAsia" w:ascii="宋体" w:hAnsi="宋体" w:eastAsia="宋体" w:cs="宋体"/>
                <w:color w:val="auto"/>
                <w:highlight w:val="none"/>
              </w:rPr>
            </w:pPr>
            <w:r>
              <w:rPr>
                <w:rFonts w:hint="eastAsia" w:ascii="宋体" w:hAnsi="宋体" w:eastAsia="宋体" w:cs="宋体"/>
                <w:color w:val="auto"/>
                <w:highlight w:val="none"/>
              </w:rPr>
              <w:t>计量单位</w:t>
            </w:r>
          </w:p>
        </w:tc>
        <w:tc>
          <w:tcPr>
            <w:tcW w:w="1422" w:type="dxa"/>
            <w:vAlign w:val="center"/>
          </w:tcPr>
          <w:p w14:paraId="2E910CE0">
            <w:pPr>
              <w:jc w:val="center"/>
              <w:rPr>
                <w:rFonts w:hint="eastAsia" w:ascii="宋体" w:hAnsi="宋体" w:eastAsia="宋体" w:cs="宋体"/>
                <w:color w:val="auto"/>
                <w:highlight w:val="none"/>
              </w:rPr>
            </w:pPr>
            <w:r>
              <w:rPr>
                <w:rFonts w:hint="eastAsia" w:ascii="宋体" w:hAnsi="宋体" w:eastAsia="宋体" w:cs="宋体"/>
                <w:color w:val="auto"/>
                <w:highlight w:val="none"/>
              </w:rPr>
              <w:t>大型</w:t>
            </w:r>
          </w:p>
        </w:tc>
        <w:tc>
          <w:tcPr>
            <w:tcW w:w="1632" w:type="dxa"/>
            <w:vAlign w:val="center"/>
          </w:tcPr>
          <w:p w14:paraId="7093325F">
            <w:pPr>
              <w:jc w:val="center"/>
              <w:rPr>
                <w:rFonts w:hint="eastAsia" w:ascii="宋体" w:hAnsi="宋体" w:eastAsia="宋体" w:cs="宋体"/>
                <w:color w:val="auto"/>
                <w:highlight w:val="none"/>
              </w:rPr>
            </w:pPr>
            <w:r>
              <w:rPr>
                <w:rFonts w:hint="eastAsia" w:ascii="宋体" w:hAnsi="宋体" w:eastAsia="宋体" w:cs="宋体"/>
                <w:color w:val="auto"/>
                <w:highlight w:val="none"/>
              </w:rPr>
              <w:t>中型</w:t>
            </w:r>
          </w:p>
        </w:tc>
        <w:tc>
          <w:tcPr>
            <w:tcW w:w="1373" w:type="dxa"/>
            <w:vAlign w:val="center"/>
          </w:tcPr>
          <w:p w14:paraId="365E2BA7">
            <w:pPr>
              <w:jc w:val="center"/>
              <w:rPr>
                <w:rFonts w:hint="eastAsia" w:ascii="宋体" w:hAnsi="宋体" w:eastAsia="宋体" w:cs="宋体"/>
                <w:color w:val="auto"/>
                <w:highlight w:val="none"/>
              </w:rPr>
            </w:pPr>
            <w:r>
              <w:rPr>
                <w:rFonts w:hint="eastAsia" w:ascii="宋体" w:hAnsi="宋体" w:eastAsia="宋体" w:cs="宋体"/>
                <w:color w:val="auto"/>
                <w:highlight w:val="none"/>
              </w:rPr>
              <w:t>小型</w:t>
            </w:r>
          </w:p>
        </w:tc>
        <w:tc>
          <w:tcPr>
            <w:tcW w:w="1182" w:type="dxa"/>
            <w:vAlign w:val="center"/>
          </w:tcPr>
          <w:p w14:paraId="0928AB4D">
            <w:pPr>
              <w:jc w:val="center"/>
              <w:rPr>
                <w:rFonts w:hint="eastAsia" w:ascii="宋体" w:hAnsi="宋体" w:eastAsia="宋体" w:cs="宋体"/>
                <w:color w:val="auto"/>
                <w:highlight w:val="none"/>
              </w:rPr>
            </w:pPr>
            <w:r>
              <w:rPr>
                <w:rFonts w:hint="eastAsia" w:ascii="宋体" w:hAnsi="宋体" w:eastAsia="宋体" w:cs="宋体"/>
                <w:color w:val="auto"/>
                <w:highlight w:val="none"/>
              </w:rPr>
              <w:t>微型</w:t>
            </w:r>
          </w:p>
        </w:tc>
      </w:tr>
      <w:tr w14:paraId="3645E6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exact"/>
          <w:jc w:val="center"/>
        </w:trPr>
        <w:tc>
          <w:tcPr>
            <w:tcW w:w="1380" w:type="dxa"/>
            <w:vAlign w:val="center"/>
          </w:tcPr>
          <w:p w14:paraId="12D35BF3">
            <w:pPr>
              <w:jc w:val="center"/>
              <w:rPr>
                <w:rFonts w:hint="eastAsia" w:ascii="宋体" w:hAnsi="宋体" w:eastAsia="宋体" w:cs="宋体"/>
                <w:color w:val="auto"/>
                <w:highlight w:val="none"/>
              </w:rPr>
            </w:pPr>
            <w:r>
              <w:rPr>
                <w:rFonts w:hint="eastAsia" w:ascii="宋体" w:hAnsi="宋体" w:eastAsia="宋体" w:cs="宋体"/>
                <w:color w:val="auto"/>
                <w:highlight w:val="none"/>
              </w:rPr>
              <w:t>农、林、牧、渔业</w:t>
            </w:r>
          </w:p>
        </w:tc>
        <w:tc>
          <w:tcPr>
            <w:tcW w:w="1553" w:type="dxa"/>
            <w:vAlign w:val="center"/>
          </w:tcPr>
          <w:p w14:paraId="51BEEBEC">
            <w:pPr>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774" w:type="dxa"/>
            <w:vAlign w:val="center"/>
          </w:tcPr>
          <w:p w14:paraId="38316361">
            <w:pP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22" w:type="dxa"/>
            <w:vAlign w:val="center"/>
          </w:tcPr>
          <w:p w14:paraId="105A9CBE">
            <w:pPr>
              <w:jc w:val="center"/>
              <w:rPr>
                <w:rFonts w:hint="eastAsia" w:ascii="宋体" w:hAnsi="宋体" w:eastAsia="宋体" w:cs="宋体"/>
                <w:color w:val="auto"/>
                <w:highlight w:val="none"/>
              </w:rPr>
            </w:pPr>
            <w:r>
              <w:rPr>
                <w:rFonts w:hint="eastAsia" w:ascii="宋体" w:hAnsi="宋体" w:eastAsia="宋体" w:cs="宋体"/>
                <w:color w:val="auto"/>
                <w:highlight w:val="none"/>
              </w:rPr>
              <w:t>Y≥20000</w:t>
            </w:r>
          </w:p>
        </w:tc>
        <w:tc>
          <w:tcPr>
            <w:tcW w:w="1632" w:type="dxa"/>
            <w:vAlign w:val="center"/>
          </w:tcPr>
          <w:p w14:paraId="0EA5A52C">
            <w:pPr>
              <w:jc w:val="center"/>
              <w:rPr>
                <w:rFonts w:hint="eastAsia" w:ascii="宋体" w:hAnsi="宋体" w:eastAsia="宋体" w:cs="宋体"/>
                <w:color w:val="auto"/>
                <w:highlight w:val="none"/>
              </w:rPr>
            </w:pPr>
            <w:r>
              <w:rPr>
                <w:rFonts w:hint="eastAsia" w:ascii="宋体" w:hAnsi="宋体" w:eastAsia="宋体" w:cs="宋体"/>
                <w:color w:val="auto"/>
                <w:highlight w:val="none"/>
              </w:rPr>
              <w:t>500≤Y＜20000</w:t>
            </w:r>
          </w:p>
        </w:tc>
        <w:tc>
          <w:tcPr>
            <w:tcW w:w="1373" w:type="dxa"/>
            <w:vAlign w:val="center"/>
          </w:tcPr>
          <w:p w14:paraId="7BDF44D5">
            <w:pPr>
              <w:jc w:val="center"/>
              <w:rPr>
                <w:rFonts w:hint="eastAsia" w:ascii="宋体" w:hAnsi="宋体" w:eastAsia="宋体" w:cs="宋体"/>
                <w:color w:val="auto"/>
                <w:highlight w:val="none"/>
              </w:rPr>
            </w:pPr>
            <w:r>
              <w:rPr>
                <w:rFonts w:hint="eastAsia" w:ascii="宋体" w:hAnsi="宋体" w:eastAsia="宋体" w:cs="宋体"/>
                <w:color w:val="auto"/>
                <w:highlight w:val="none"/>
              </w:rPr>
              <w:t>50≤Y＜500</w:t>
            </w:r>
          </w:p>
        </w:tc>
        <w:tc>
          <w:tcPr>
            <w:tcW w:w="1182" w:type="dxa"/>
            <w:vAlign w:val="center"/>
          </w:tcPr>
          <w:p w14:paraId="4E62F114">
            <w:pPr>
              <w:jc w:val="center"/>
              <w:rPr>
                <w:rFonts w:hint="eastAsia" w:ascii="宋体" w:hAnsi="宋体" w:eastAsia="宋体" w:cs="宋体"/>
                <w:color w:val="auto"/>
                <w:highlight w:val="none"/>
              </w:rPr>
            </w:pPr>
            <w:r>
              <w:rPr>
                <w:rFonts w:hint="eastAsia" w:ascii="宋体" w:hAnsi="宋体" w:eastAsia="宋体" w:cs="宋体"/>
                <w:color w:val="auto"/>
                <w:highlight w:val="none"/>
              </w:rPr>
              <w:t>Y＜50</w:t>
            </w:r>
          </w:p>
        </w:tc>
      </w:tr>
      <w:tr w14:paraId="62A3C1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restart"/>
            <w:vAlign w:val="center"/>
          </w:tcPr>
          <w:p w14:paraId="7516CBEE">
            <w:pPr>
              <w:jc w:val="center"/>
              <w:rPr>
                <w:rFonts w:hint="eastAsia" w:ascii="宋体" w:hAnsi="宋体" w:eastAsia="宋体" w:cs="宋体"/>
                <w:color w:val="auto"/>
                <w:highlight w:val="none"/>
              </w:rPr>
            </w:pPr>
            <w:r>
              <w:rPr>
                <w:rFonts w:hint="eastAsia" w:ascii="宋体" w:hAnsi="宋体" w:eastAsia="宋体" w:cs="宋体"/>
                <w:color w:val="auto"/>
                <w:highlight w:val="none"/>
              </w:rPr>
              <w:t>工业 *</w:t>
            </w:r>
          </w:p>
        </w:tc>
        <w:tc>
          <w:tcPr>
            <w:tcW w:w="1553" w:type="dxa"/>
            <w:vAlign w:val="center"/>
          </w:tcPr>
          <w:p w14:paraId="05AE2F1B">
            <w:pPr>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774" w:type="dxa"/>
            <w:vAlign w:val="center"/>
          </w:tcPr>
          <w:p w14:paraId="765EA9EF">
            <w:pPr>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422" w:type="dxa"/>
            <w:vAlign w:val="center"/>
          </w:tcPr>
          <w:p w14:paraId="0FE4F6BA">
            <w:pPr>
              <w:jc w:val="center"/>
              <w:rPr>
                <w:rFonts w:hint="eastAsia" w:ascii="宋体" w:hAnsi="宋体" w:eastAsia="宋体" w:cs="宋体"/>
                <w:color w:val="auto"/>
                <w:highlight w:val="none"/>
              </w:rPr>
            </w:pPr>
            <w:r>
              <w:rPr>
                <w:rFonts w:hint="eastAsia" w:ascii="宋体" w:hAnsi="宋体" w:eastAsia="宋体" w:cs="宋体"/>
                <w:color w:val="auto"/>
                <w:highlight w:val="none"/>
              </w:rPr>
              <w:t>X≥1000</w:t>
            </w:r>
          </w:p>
        </w:tc>
        <w:tc>
          <w:tcPr>
            <w:tcW w:w="1632" w:type="dxa"/>
            <w:vAlign w:val="center"/>
          </w:tcPr>
          <w:p w14:paraId="55CA4121">
            <w:pPr>
              <w:jc w:val="center"/>
              <w:rPr>
                <w:rFonts w:hint="eastAsia" w:ascii="宋体" w:hAnsi="宋体" w:eastAsia="宋体" w:cs="宋体"/>
                <w:color w:val="auto"/>
                <w:highlight w:val="none"/>
              </w:rPr>
            </w:pPr>
            <w:r>
              <w:rPr>
                <w:rFonts w:hint="eastAsia" w:ascii="宋体" w:hAnsi="宋体" w:eastAsia="宋体" w:cs="宋体"/>
                <w:color w:val="auto"/>
                <w:highlight w:val="none"/>
              </w:rPr>
              <w:t>300≤X＜1000</w:t>
            </w:r>
          </w:p>
        </w:tc>
        <w:tc>
          <w:tcPr>
            <w:tcW w:w="1373" w:type="dxa"/>
            <w:vAlign w:val="center"/>
          </w:tcPr>
          <w:p w14:paraId="651BC8E0">
            <w:pPr>
              <w:jc w:val="center"/>
              <w:rPr>
                <w:rFonts w:hint="eastAsia" w:ascii="宋体" w:hAnsi="宋体" w:eastAsia="宋体" w:cs="宋体"/>
                <w:color w:val="auto"/>
                <w:highlight w:val="none"/>
              </w:rPr>
            </w:pPr>
            <w:r>
              <w:rPr>
                <w:rFonts w:hint="eastAsia" w:ascii="宋体" w:hAnsi="宋体" w:eastAsia="宋体" w:cs="宋体"/>
                <w:color w:val="auto"/>
                <w:highlight w:val="none"/>
              </w:rPr>
              <w:t>20≤X＜300</w:t>
            </w:r>
          </w:p>
        </w:tc>
        <w:tc>
          <w:tcPr>
            <w:tcW w:w="1182" w:type="dxa"/>
            <w:vAlign w:val="center"/>
          </w:tcPr>
          <w:p w14:paraId="036F4E8A">
            <w:pPr>
              <w:jc w:val="center"/>
              <w:rPr>
                <w:rFonts w:hint="eastAsia" w:ascii="宋体" w:hAnsi="宋体" w:eastAsia="宋体" w:cs="宋体"/>
                <w:color w:val="auto"/>
                <w:highlight w:val="none"/>
              </w:rPr>
            </w:pPr>
            <w:r>
              <w:rPr>
                <w:rFonts w:hint="eastAsia" w:ascii="宋体" w:hAnsi="宋体" w:eastAsia="宋体" w:cs="宋体"/>
                <w:color w:val="auto"/>
                <w:highlight w:val="none"/>
              </w:rPr>
              <w:t>X＜20</w:t>
            </w:r>
          </w:p>
        </w:tc>
      </w:tr>
      <w:tr w14:paraId="1C5F1E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continue"/>
            <w:vAlign w:val="center"/>
          </w:tcPr>
          <w:p w14:paraId="54C1FC4D">
            <w:pPr>
              <w:jc w:val="center"/>
              <w:rPr>
                <w:rFonts w:hint="eastAsia" w:ascii="宋体" w:hAnsi="宋体" w:eastAsia="宋体" w:cs="宋体"/>
                <w:color w:val="auto"/>
                <w:highlight w:val="none"/>
              </w:rPr>
            </w:pPr>
          </w:p>
        </w:tc>
        <w:tc>
          <w:tcPr>
            <w:tcW w:w="1553" w:type="dxa"/>
            <w:vAlign w:val="center"/>
          </w:tcPr>
          <w:p w14:paraId="32BECC9E">
            <w:pPr>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774" w:type="dxa"/>
            <w:vAlign w:val="center"/>
          </w:tcPr>
          <w:p w14:paraId="30014E97">
            <w:pP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22" w:type="dxa"/>
            <w:vAlign w:val="center"/>
          </w:tcPr>
          <w:p w14:paraId="67578BA2">
            <w:pPr>
              <w:jc w:val="center"/>
              <w:rPr>
                <w:rFonts w:hint="eastAsia" w:ascii="宋体" w:hAnsi="宋体" w:eastAsia="宋体" w:cs="宋体"/>
                <w:color w:val="auto"/>
                <w:highlight w:val="none"/>
              </w:rPr>
            </w:pPr>
            <w:r>
              <w:rPr>
                <w:rFonts w:hint="eastAsia" w:ascii="宋体" w:hAnsi="宋体" w:eastAsia="宋体" w:cs="宋体"/>
                <w:color w:val="auto"/>
                <w:highlight w:val="none"/>
              </w:rPr>
              <w:t>Y≥40000</w:t>
            </w:r>
          </w:p>
        </w:tc>
        <w:tc>
          <w:tcPr>
            <w:tcW w:w="1632" w:type="dxa"/>
            <w:vAlign w:val="center"/>
          </w:tcPr>
          <w:p w14:paraId="0C29B391">
            <w:pPr>
              <w:jc w:val="center"/>
              <w:rPr>
                <w:rFonts w:hint="eastAsia" w:ascii="宋体" w:hAnsi="宋体" w:eastAsia="宋体" w:cs="宋体"/>
                <w:color w:val="auto"/>
                <w:highlight w:val="none"/>
              </w:rPr>
            </w:pPr>
            <w:r>
              <w:rPr>
                <w:rFonts w:hint="eastAsia" w:ascii="宋体" w:hAnsi="宋体" w:eastAsia="宋体" w:cs="宋体"/>
                <w:color w:val="auto"/>
                <w:highlight w:val="none"/>
              </w:rPr>
              <w:t>2000≤Y＜40000</w:t>
            </w:r>
          </w:p>
        </w:tc>
        <w:tc>
          <w:tcPr>
            <w:tcW w:w="1373" w:type="dxa"/>
            <w:vAlign w:val="center"/>
          </w:tcPr>
          <w:p w14:paraId="023DB490">
            <w:pPr>
              <w:jc w:val="center"/>
              <w:rPr>
                <w:rFonts w:hint="eastAsia" w:ascii="宋体" w:hAnsi="宋体" w:eastAsia="宋体" w:cs="宋体"/>
                <w:color w:val="auto"/>
                <w:highlight w:val="none"/>
              </w:rPr>
            </w:pPr>
            <w:r>
              <w:rPr>
                <w:rFonts w:hint="eastAsia" w:ascii="宋体" w:hAnsi="宋体" w:eastAsia="宋体" w:cs="宋体"/>
                <w:color w:val="auto"/>
                <w:highlight w:val="none"/>
              </w:rPr>
              <w:t>300≤Y＜2000</w:t>
            </w:r>
          </w:p>
        </w:tc>
        <w:tc>
          <w:tcPr>
            <w:tcW w:w="1182" w:type="dxa"/>
            <w:vAlign w:val="center"/>
          </w:tcPr>
          <w:p w14:paraId="0A3D2CA2">
            <w:pPr>
              <w:jc w:val="center"/>
              <w:rPr>
                <w:rFonts w:hint="eastAsia" w:ascii="宋体" w:hAnsi="宋体" w:eastAsia="宋体" w:cs="宋体"/>
                <w:color w:val="auto"/>
                <w:highlight w:val="none"/>
              </w:rPr>
            </w:pPr>
            <w:r>
              <w:rPr>
                <w:rFonts w:hint="eastAsia" w:ascii="宋体" w:hAnsi="宋体" w:eastAsia="宋体" w:cs="宋体"/>
                <w:color w:val="auto"/>
                <w:highlight w:val="none"/>
              </w:rPr>
              <w:t>Y＜300</w:t>
            </w:r>
          </w:p>
        </w:tc>
      </w:tr>
      <w:tr w14:paraId="46E51B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restart"/>
            <w:vAlign w:val="center"/>
          </w:tcPr>
          <w:p w14:paraId="15B1A429">
            <w:pPr>
              <w:jc w:val="center"/>
              <w:rPr>
                <w:rFonts w:hint="eastAsia" w:ascii="宋体" w:hAnsi="宋体" w:eastAsia="宋体" w:cs="宋体"/>
                <w:color w:val="auto"/>
                <w:highlight w:val="none"/>
              </w:rPr>
            </w:pPr>
            <w:r>
              <w:rPr>
                <w:rFonts w:hint="eastAsia" w:ascii="宋体" w:hAnsi="宋体" w:eastAsia="宋体" w:cs="宋体"/>
                <w:color w:val="auto"/>
                <w:highlight w:val="none"/>
              </w:rPr>
              <w:t>建筑业</w:t>
            </w:r>
          </w:p>
        </w:tc>
        <w:tc>
          <w:tcPr>
            <w:tcW w:w="1553" w:type="dxa"/>
            <w:vAlign w:val="center"/>
          </w:tcPr>
          <w:p w14:paraId="63EFF059">
            <w:pPr>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774" w:type="dxa"/>
            <w:vAlign w:val="center"/>
          </w:tcPr>
          <w:p w14:paraId="23D4A611">
            <w:pP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22" w:type="dxa"/>
            <w:vAlign w:val="center"/>
          </w:tcPr>
          <w:p w14:paraId="7B72E72E">
            <w:pPr>
              <w:jc w:val="center"/>
              <w:rPr>
                <w:rFonts w:hint="eastAsia" w:ascii="宋体" w:hAnsi="宋体" w:eastAsia="宋体" w:cs="宋体"/>
                <w:color w:val="auto"/>
                <w:highlight w:val="none"/>
              </w:rPr>
            </w:pPr>
            <w:r>
              <w:rPr>
                <w:rFonts w:hint="eastAsia" w:ascii="宋体" w:hAnsi="宋体" w:eastAsia="宋体" w:cs="宋体"/>
                <w:color w:val="auto"/>
                <w:highlight w:val="none"/>
              </w:rPr>
              <w:t>Y≥80000</w:t>
            </w:r>
          </w:p>
        </w:tc>
        <w:tc>
          <w:tcPr>
            <w:tcW w:w="1632" w:type="dxa"/>
            <w:vAlign w:val="center"/>
          </w:tcPr>
          <w:p w14:paraId="61C066F0">
            <w:pPr>
              <w:jc w:val="center"/>
              <w:rPr>
                <w:rFonts w:hint="eastAsia" w:ascii="宋体" w:hAnsi="宋体" w:eastAsia="宋体" w:cs="宋体"/>
                <w:color w:val="auto"/>
                <w:highlight w:val="none"/>
              </w:rPr>
            </w:pPr>
            <w:r>
              <w:rPr>
                <w:rFonts w:hint="eastAsia" w:ascii="宋体" w:hAnsi="宋体" w:eastAsia="宋体" w:cs="宋体"/>
                <w:color w:val="auto"/>
                <w:highlight w:val="none"/>
              </w:rPr>
              <w:t>6000≤Y＜80000</w:t>
            </w:r>
          </w:p>
        </w:tc>
        <w:tc>
          <w:tcPr>
            <w:tcW w:w="1373" w:type="dxa"/>
            <w:vAlign w:val="center"/>
          </w:tcPr>
          <w:p w14:paraId="259840A0">
            <w:pPr>
              <w:jc w:val="center"/>
              <w:rPr>
                <w:rFonts w:hint="eastAsia" w:ascii="宋体" w:hAnsi="宋体" w:eastAsia="宋体" w:cs="宋体"/>
                <w:color w:val="auto"/>
                <w:highlight w:val="none"/>
              </w:rPr>
            </w:pPr>
            <w:r>
              <w:rPr>
                <w:rFonts w:hint="eastAsia" w:ascii="宋体" w:hAnsi="宋体" w:eastAsia="宋体" w:cs="宋体"/>
                <w:color w:val="auto"/>
                <w:highlight w:val="none"/>
              </w:rPr>
              <w:t>300≤Y＜6000</w:t>
            </w:r>
          </w:p>
        </w:tc>
        <w:tc>
          <w:tcPr>
            <w:tcW w:w="1182" w:type="dxa"/>
            <w:vAlign w:val="center"/>
          </w:tcPr>
          <w:p w14:paraId="2F2C805B">
            <w:pPr>
              <w:jc w:val="center"/>
              <w:rPr>
                <w:rFonts w:hint="eastAsia" w:ascii="宋体" w:hAnsi="宋体" w:eastAsia="宋体" w:cs="宋体"/>
                <w:color w:val="auto"/>
                <w:highlight w:val="none"/>
              </w:rPr>
            </w:pPr>
            <w:r>
              <w:rPr>
                <w:rFonts w:hint="eastAsia" w:ascii="宋体" w:hAnsi="宋体" w:eastAsia="宋体" w:cs="宋体"/>
                <w:color w:val="auto"/>
                <w:highlight w:val="none"/>
              </w:rPr>
              <w:t>Y＜300</w:t>
            </w:r>
          </w:p>
        </w:tc>
      </w:tr>
      <w:tr w14:paraId="553C51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continue"/>
            <w:vAlign w:val="center"/>
          </w:tcPr>
          <w:p w14:paraId="4A345646">
            <w:pPr>
              <w:jc w:val="center"/>
              <w:rPr>
                <w:rFonts w:hint="eastAsia" w:ascii="宋体" w:hAnsi="宋体" w:eastAsia="宋体" w:cs="宋体"/>
                <w:color w:val="auto"/>
                <w:highlight w:val="none"/>
              </w:rPr>
            </w:pPr>
          </w:p>
        </w:tc>
        <w:tc>
          <w:tcPr>
            <w:tcW w:w="1553" w:type="dxa"/>
            <w:vAlign w:val="center"/>
          </w:tcPr>
          <w:p w14:paraId="1693251B">
            <w:pPr>
              <w:jc w:val="center"/>
              <w:rPr>
                <w:rFonts w:hint="eastAsia" w:ascii="宋体" w:hAnsi="宋体" w:eastAsia="宋体" w:cs="宋体"/>
                <w:color w:val="auto"/>
                <w:highlight w:val="none"/>
              </w:rPr>
            </w:pPr>
            <w:r>
              <w:rPr>
                <w:rFonts w:hint="eastAsia" w:ascii="宋体" w:hAnsi="宋体" w:eastAsia="宋体" w:cs="宋体"/>
                <w:color w:val="auto"/>
                <w:highlight w:val="none"/>
              </w:rPr>
              <w:t>资产总额(Z)</w:t>
            </w:r>
          </w:p>
        </w:tc>
        <w:tc>
          <w:tcPr>
            <w:tcW w:w="774" w:type="dxa"/>
            <w:vAlign w:val="center"/>
          </w:tcPr>
          <w:p w14:paraId="09585C52">
            <w:pP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22" w:type="dxa"/>
            <w:vAlign w:val="center"/>
          </w:tcPr>
          <w:p w14:paraId="18EA7E80">
            <w:pPr>
              <w:jc w:val="center"/>
              <w:rPr>
                <w:rFonts w:hint="eastAsia" w:ascii="宋体" w:hAnsi="宋体" w:eastAsia="宋体" w:cs="宋体"/>
                <w:color w:val="auto"/>
                <w:highlight w:val="none"/>
              </w:rPr>
            </w:pPr>
            <w:r>
              <w:rPr>
                <w:rFonts w:hint="eastAsia" w:ascii="宋体" w:hAnsi="宋体" w:eastAsia="宋体" w:cs="宋体"/>
                <w:color w:val="auto"/>
                <w:highlight w:val="none"/>
              </w:rPr>
              <w:t>Z≥80000</w:t>
            </w:r>
          </w:p>
        </w:tc>
        <w:tc>
          <w:tcPr>
            <w:tcW w:w="1632" w:type="dxa"/>
            <w:vAlign w:val="center"/>
          </w:tcPr>
          <w:p w14:paraId="2E051160">
            <w:pPr>
              <w:jc w:val="center"/>
              <w:rPr>
                <w:rFonts w:hint="eastAsia" w:ascii="宋体" w:hAnsi="宋体" w:eastAsia="宋体" w:cs="宋体"/>
                <w:color w:val="auto"/>
                <w:highlight w:val="none"/>
              </w:rPr>
            </w:pPr>
            <w:r>
              <w:rPr>
                <w:rFonts w:hint="eastAsia" w:ascii="宋体" w:hAnsi="宋体" w:eastAsia="宋体" w:cs="宋体"/>
                <w:color w:val="auto"/>
                <w:highlight w:val="none"/>
              </w:rPr>
              <w:t>5000≤Z＜80000</w:t>
            </w:r>
          </w:p>
        </w:tc>
        <w:tc>
          <w:tcPr>
            <w:tcW w:w="1373" w:type="dxa"/>
            <w:vAlign w:val="center"/>
          </w:tcPr>
          <w:p w14:paraId="744DA41A">
            <w:pPr>
              <w:jc w:val="center"/>
              <w:rPr>
                <w:rFonts w:hint="eastAsia" w:ascii="宋体" w:hAnsi="宋体" w:eastAsia="宋体" w:cs="宋体"/>
                <w:color w:val="auto"/>
                <w:highlight w:val="none"/>
              </w:rPr>
            </w:pPr>
            <w:r>
              <w:rPr>
                <w:rFonts w:hint="eastAsia" w:ascii="宋体" w:hAnsi="宋体" w:eastAsia="宋体" w:cs="宋体"/>
                <w:color w:val="auto"/>
                <w:highlight w:val="none"/>
              </w:rPr>
              <w:t>300≤Z＜5000</w:t>
            </w:r>
          </w:p>
        </w:tc>
        <w:tc>
          <w:tcPr>
            <w:tcW w:w="1182" w:type="dxa"/>
            <w:vAlign w:val="center"/>
          </w:tcPr>
          <w:p w14:paraId="3C2DF79E">
            <w:pPr>
              <w:jc w:val="center"/>
              <w:rPr>
                <w:rFonts w:hint="eastAsia" w:ascii="宋体" w:hAnsi="宋体" w:eastAsia="宋体" w:cs="宋体"/>
                <w:color w:val="auto"/>
                <w:highlight w:val="none"/>
              </w:rPr>
            </w:pPr>
            <w:r>
              <w:rPr>
                <w:rFonts w:hint="eastAsia" w:ascii="宋体" w:hAnsi="宋体" w:eastAsia="宋体" w:cs="宋体"/>
                <w:color w:val="auto"/>
                <w:highlight w:val="none"/>
              </w:rPr>
              <w:t>Z＜300</w:t>
            </w:r>
          </w:p>
        </w:tc>
      </w:tr>
      <w:tr w14:paraId="7C29A6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restart"/>
            <w:vAlign w:val="center"/>
          </w:tcPr>
          <w:p w14:paraId="366097DF">
            <w:pPr>
              <w:jc w:val="center"/>
              <w:rPr>
                <w:rFonts w:hint="eastAsia" w:ascii="宋体" w:hAnsi="宋体" w:eastAsia="宋体" w:cs="宋体"/>
                <w:color w:val="auto"/>
                <w:highlight w:val="none"/>
              </w:rPr>
            </w:pPr>
            <w:r>
              <w:rPr>
                <w:rFonts w:hint="eastAsia" w:ascii="宋体" w:hAnsi="宋体" w:eastAsia="宋体" w:cs="宋体"/>
                <w:color w:val="auto"/>
                <w:highlight w:val="none"/>
              </w:rPr>
              <w:t>批发业</w:t>
            </w:r>
          </w:p>
        </w:tc>
        <w:tc>
          <w:tcPr>
            <w:tcW w:w="1553" w:type="dxa"/>
            <w:vAlign w:val="center"/>
          </w:tcPr>
          <w:p w14:paraId="6DD41E1A">
            <w:pPr>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774" w:type="dxa"/>
            <w:vAlign w:val="center"/>
          </w:tcPr>
          <w:p w14:paraId="7D91B915">
            <w:pPr>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422" w:type="dxa"/>
            <w:vAlign w:val="center"/>
          </w:tcPr>
          <w:p w14:paraId="07AE382B">
            <w:pPr>
              <w:jc w:val="center"/>
              <w:rPr>
                <w:rFonts w:hint="eastAsia" w:ascii="宋体" w:hAnsi="宋体" w:eastAsia="宋体" w:cs="宋体"/>
                <w:color w:val="auto"/>
                <w:highlight w:val="none"/>
              </w:rPr>
            </w:pPr>
            <w:r>
              <w:rPr>
                <w:rFonts w:hint="eastAsia" w:ascii="宋体" w:hAnsi="宋体" w:eastAsia="宋体" w:cs="宋体"/>
                <w:color w:val="auto"/>
                <w:highlight w:val="none"/>
              </w:rPr>
              <w:t>X≥200</w:t>
            </w:r>
          </w:p>
        </w:tc>
        <w:tc>
          <w:tcPr>
            <w:tcW w:w="1632" w:type="dxa"/>
            <w:vAlign w:val="center"/>
          </w:tcPr>
          <w:p w14:paraId="028C11A4">
            <w:pPr>
              <w:jc w:val="center"/>
              <w:rPr>
                <w:rFonts w:hint="eastAsia" w:ascii="宋体" w:hAnsi="宋体" w:eastAsia="宋体" w:cs="宋体"/>
                <w:color w:val="auto"/>
                <w:highlight w:val="none"/>
              </w:rPr>
            </w:pPr>
            <w:r>
              <w:rPr>
                <w:rFonts w:hint="eastAsia" w:ascii="宋体" w:hAnsi="宋体" w:eastAsia="宋体" w:cs="宋体"/>
                <w:color w:val="auto"/>
                <w:highlight w:val="none"/>
              </w:rPr>
              <w:t>20≤X＜200</w:t>
            </w:r>
          </w:p>
        </w:tc>
        <w:tc>
          <w:tcPr>
            <w:tcW w:w="1373" w:type="dxa"/>
            <w:vAlign w:val="center"/>
          </w:tcPr>
          <w:p w14:paraId="166FCF4D">
            <w:pPr>
              <w:jc w:val="center"/>
              <w:rPr>
                <w:rFonts w:hint="eastAsia" w:ascii="宋体" w:hAnsi="宋体" w:eastAsia="宋体" w:cs="宋体"/>
                <w:color w:val="auto"/>
                <w:highlight w:val="none"/>
              </w:rPr>
            </w:pPr>
            <w:r>
              <w:rPr>
                <w:rFonts w:hint="eastAsia" w:ascii="宋体" w:hAnsi="宋体" w:eastAsia="宋体" w:cs="宋体"/>
                <w:color w:val="auto"/>
                <w:highlight w:val="none"/>
              </w:rPr>
              <w:t>5≤X＜20</w:t>
            </w:r>
          </w:p>
        </w:tc>
        <w:tc>
          <w:tcPr>
            <w:tcW w:w="1182" w:type="dxa"/>
            <w:vAlign w:val="center"/>
          </w:tcPr>
          <w:p w14:paraId="572EEF45">
            <w:pPr>
              <w:jc w:val="center"/>
              <w:rPr>
                <w:rFonts w:hint="eastAsia" w:ascii="宋体" w:hAnsi="宋体" w:eastAsia="宋体" w:cs="宋体"/>
                <w:color w:val="auto"/>
                <w:highlight w:val="none"/>
              </w:rPr>
            </w:pPr>
            <w:r>
              <w:rPr>
                <w:rFonts w:hint="eastAsia" w:ascii="宋体" w:hAnsi="宋体" w:eastAsia="宋体" w:cs="宋体"/>
                <w:color w:val="auto"/>
                <w:highlight w:val="none"/>
              </w:rPr>
              <w:t>X＜5</w:t>
            </w:r>
          </w:p>
        </w:tc>
      </w:tr>
      <w:tr w14:paraId="375AE0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continue"/>
            <w:vAlign w:val="center"/>
          </w:tcPr>
          <w:p w14:paraId="4A65A79B">
            <w:pPr>
              <w:jc w:val="center"/>
              <w:rPr>
                <w:rFonts w:hint="eastAsia" w:ascii="宋体" w:hAnsi="宋体" w:eastAsia="宋体" w:cs="宋体"/>
                <w:color w:val="auto"/>
                <w:highlight w:val="none"/>
              </w:rPr>
            </w:pPr>
          </w:p>
        </w:tc>
        <w:tc>
          <w:tcPr>
            <w:tcW w:w="1553" w:type="dxa"/>
            <w:vAlign w:val="center"/>
          </w:tcPr>
          <w:p w14:paraId="146CE297">
            <w:pPr>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774" w:type="dxa"/>
            <w:vAlign w:val="center"/>
          </w:tcPr>
          <w:p w14:paraId="12A027A2">
            <w:pP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22" w:type="dxa"/>
            <w:vAlign w:val="center"/>
          </w:tcPr>
          <w:p w14:paraId="42C08195">
            <w:pPr>
              <w:jc w:val="center"/>
              <w:rPr>
                <w:rFonts w:hint="eastAsia" w:ascii="宋体" w:hAnsi="宋体" w:eastAsia="宋体" w:cs="宋体"/>
                <w:color w:val="auto"/>
                <w:highlight w:val="none"/>
              </w:rPr>
            </w:pPr>
            <w:r>
              <w:rPr>
                <w:rFonts w:hint="eastAsia" w:ascii="宋体" w:hAnsi="宋体" w:eastAsia="宋体" w:cs="宋体"/>
                <w:color w:val="auto"/>
                <w:highlight w:val="none"/>
              </w:rPr>
              <w:t>Y≥40000</w:t>
            </w:r>
          </w:p>
        </w:tc>
        <w:tc>
          <w:tcPr>
            <w:tcW w:w="1632" w:type="dxa"/>
            <w:vAlign w:val="center"/>
          </w:tcPr>
          <w:p w14:paraId="06C6230A">
            <w:pPr>
              <w:jc w:val="center"/>
              <w:rPr>
                <w:rFonts w:hint="eastAsia" w:ascii="宋体" w:hAnsi="宋体" w:eastAsia="宋体" w:cs="宋体"/>
                <w:color w:val="auto"/>
                <w:highlight w:val="none"/>
              </w:rPr>
            </w:pPr>
            <w:r>
              <w:rPr>
                <w:rFonts w:hint="eastAsia" w:ascii="宋体" w:hAnsi="宋体" w:eastAsia="宋体" w:cs="宋体"/>
                <w:color w:val="auto"/>
                <w:highlight w:val="none"/>
              </w:rPr>
              <w:t>5000≤Y＜40000</w:t>
            </w:r>
          </w:p>
        </w:tc>
        <w:tc>
          <w:tcPr>
            <w:tcW w:w="1373" w:type="dxa"/>
            <w:vAlign w:val="center"/>
          </w:tcPr>
          <w:p w14:paraId="7CF1AAEE">
            <w:pPr>
              <w:jc w:val="center"/>
              <w:rPr>
                <w:rFonts w:hint="eastAsia" w:ascii="宋体" w:hAnsi="宋体" w:eastAsia="宋体" w:cs="宋体"/>
                <w:color w:val="auto"/>
                <w:highlight w:val="none"/>
              </w:rPr>
            </w:pPr>
            <w:r>
              <w:rPr>
                <w:rFonts w:hint="eastAsia" w:ascii="宋体" w:hAnsi="宋体" w:eastAsia="宋体" w:cs="宋体"/>
                <w:color w:val="auto"/>
                <w:highlight w:val="none"/>
              </w:rPr>
              <w:t>1000≤Y＜5000</w:t>
            </w:r>
          </w:p>
        </w:tc>
        <w:tc>
          <w:tcPr>
            <w:tcW w:w="1182" w:type="dxa"/>
            <w:vAlign w:val="center"/>
          </w:tcPr>
          <w:p w14:paraId="32318575">
            <w:pPr>
              <w:jc w:val="center"/>
              <w:rPr>
                <w:rFonts w:hint="eastAsia" w:ascii="宋体" w:hAnsi="宋体" w:eastAsia="宋体" w:cs="宋体"/>
                <w:color w:val="auto"/>
                <w:highlight w:val="none"/>
              </w:rPr>
            </w:pPr>
            <w:r>
              <w:rPr>
                <w:rFonts w:hint="eastAsia" w:ascii="宋体" w:hAnsi="宋体" w:eastAsia="宋体" w:cs="宋体"/>
                <w:color w:val="auto"/>
                <w:highlight w:val="none"/>
              </w:rPr>
              <w:t>Y＜1000</w:t>
            </w:r>
          </w:p>
        </w:tc>
      </w:tr>
      <w:tr w14:paraId="0F378A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restart"/>
            <w:vAlign w:val="center"/>
          </w:tcPr>
          <w:p w14:paraId="3E7E8473">
            <w:pPr>
              <w:jc w:val="center"/>
              <w:rPr>
                <w:rFonts w:hint="eastAsia" w:ascii="宋体" w:hAnsi="宋体" w:eastAsia="宋体" w:cs="宋体"/>
                <w:color w:val="auto"/>
                <w:highlight w:val="none"/>
              </w:rPr>
            </w:pPr>
            <w:r>
              <w:rPr>
                <w:rFonts w:hint="eastAsia" w:ascii="宋体" w:hAnsi="宋体" w:eastAsia="宋体" w:cs="宋体"/>
                <w:color w:val="auto"/>
                <w:highlight w:val="none"/>
              </w:rPr>
              <w:t>零售业</w:t>
            </w:r>
          </w:p>
        </w:tc>
        <w:tc>
          <w:tcPr>
            <w:tcW w:w="1553" w:type="dxa"/>
            <w:vAlign w:val="center"/>
          </w:tcPr>
          <w:p w14:paraId="5F38015A">
            <w:pPr>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774" w:type="dxa"/>
            <w:vAlign w:val="center"/>
          </w:tcPr>
          <w:p w14:paraId="0B73BD4E">
            <w:pPr>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422" w:type="dxa"/>
            <w:vAlign w:val="center"/>
          </w:tcPr>
          <w:p w14:paraId="145B5812">
            <w:pPr>
              <w:jc w:val="center"/>
              <w:rPr>
                <w:rFonts w:hint="eastAsia" w:ascii="宋体" w:hAnsi="宋体" w:eastAsia="宋体" w:cs="宋体"/>
                <w:color w:val="auto"/>
                <w:highlight w:val="none"/>
              </w:rPr>
            </w:pPr>
            <w:r>
              <w:rPr>
                <w:rFonts w:hint="eastAsia" w:ascii="宋体" w:hAnsi="宋体" w:eastAsia="宋体" w:cs="宋体"/>
                <w:color w:val="auto"/>
                <w:highlight w:val="none"/>
              </w:rPr>
              <w:t>X≥300</w:t>
            </w:r>
          </w:p>
        </w:tc>
        <w:tc>
          <w:tcPr>
            <w:tcW w:w="1632" w:type="dxa"/>
            <w:vAlign w:val="center"/>
          </w:tcPr>
          <w:p w14:paraId="5AC39523">
            <w:pPr>
              <w:jc w:val="center"/>
              <w:rPr>
                <w:rFonts w:hint="eastAsia" w:ascii="宋体" w:hAnsi="宋体" w:eastAsia="宋体" w:cs="宋体"/>
                <w:color w:val="auto"/>
                <w:highlight w:val="none"/>
              </w:rPr>
            </w:pPr>
            <w:r>
              <w:rPr>
                <w:rFonts w:hint="eastAsia" w:ascii="宋体" w:hAnsi="宋体" w:eastAsia="宋体" w:cs="宋体"/>
                <w:color w:val="auto"/>
                <w:highlight w:val="none"/>
              </w:rPr>
              <w:t>50≤X＜300</w:t>
            </w:r>
          </w:p>
        </w:tc>
        <w:tc>
          <w:tcPr>
            <w:tcW w:w="1373" w:type="dxa"/>
            <w:vAlign w:val="center"/>
          </w:tcPr>
          <w:p w14:paraId="41EA5C47">
            <w:pPr>
              <w:jc w:val="center"/>
              <w:rPr>
                <w:rFonts w:hint="eastAsia" w:ascii="宋体" w:hAnsi="宋体" w:eastAsia="宋体" w:cs="宋体"/>
                <w:color w:val="auto"/>
                <w:highlight w:val="none"/>
              </w:rPr>
            </w:pPr>
            <w:r>
              <w:rPr>
                <w:rFonts w:hint="eastAsia" w:ascii="宋体" w:hAnsi="宋体" w:eastAsia="宋体" w:cs="宋体"/>
                <w:color w:val="auto"/>
                <w:highlight w:val="none"/>
              </w:rPr>
              <w:t>10≤X＜50</w:t>
            </w:r>
          </w:p>
        </w:tc>
        <w:tc>
          <w:tcPr>
            <w:tcW w:w="1182" w:type="dxa"/>
            <w:vAlign w:val="center"/>
          </w:tcPr>
          <w:p w14:paraId="3F36BBAA">
            <w:pPr>
              <w:jc w:val="center"/>
              <w:rPr>
                <w:rFonts w:hint="eastAsia" w:ascii="宋体" w:hAnsi="宋体" w:eastAsia="宋体" w:cs="宋体"/>
                <w:color w:val="auto"/>
                <w:highlight w:val="none"/>
              </w:rPr>
            </w:pPr>
            <w:r>
              <w:rPr>
                <w:rFonts w:hint="eastAsia" w:ascii="宋体" w:hAnsi="宋体" w:eastAsia="宋体" w:cs="宋体"/>
                <w:color w:val="auto"/>
                <w:highlight w:val="none"/>
              </w:rPr>
              <w:t>X＜10</w:t>
            </w:r>
          </w:p>
        </w:tc>
      </w:tr>
      <w:tr w14:paraId="4F8B47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continue"/>
            <w:vAlign w:val="center"/>
          </w:tcPr>
          <w:p w14:paraId="791CF508">
            <w:pPr>
              <w:jc w:val="center"/>
              <w:rPr>
                <w:rFonts w:hint="eastAsia" w:ascii="宋体" w:hAnsi="宋体" w:eastAsia="宋体" w:cs="宋体"/>
                <w:color w:val="auto"/>
                <w:highlight w:val="none"/>
              </w:rPr>
            </w:pPr>
          </w:p>
        </w:tc>
        <w:tc>
          <w:tcPr>
            <w:tcW w:w="1553" w:type="dxa"/>
            <w:vAlign w:val="center"/>
          </w:tcPr>
          <w:p w14:paraId="7951D5AE">
            <w:pPr>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774" w:type="dxa"/>
            <w:vAlign w:val="center"/>
          </w:tcPr>
          <w:p w14:paraId="2E72C852">
            <w:pP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22" w:type="dxa"/>
            <w:vAlign w:val="center"/>
          </w:tcPr>
          <w:p w14:paraId="306DC562">
            <w:pPr>
              <w:jc w:val="center"/>
              <w:rPr>
                <w:rFonts w:hint="eastAsia" w:ascii="宋体" w:hAnsi="宋体" w:eastAsia="宋体" w:cs="宋体"/>
                <w:color w:val="auto"/>
                <w:highlight w:val="none"/>
              </w:rPr>
            </w:pPr>
            <w:r>
              <w:rPr>
                <w:rFonts w:hint="eastAsia" w:ascii="宋体" w:hAnsi="宋体" w:eastAsia="宋体" w:cs="宋体"/>
                <w:color w:val="auto"/>
                <w:highlight w:val="none"/>
              </w:rPr>
              <w:t>Y≥20000</w:t>
            </w:r>
          </w:p>
        </w:tc>
        <w:tc>
          <w:tcPr>
            <w:tcW w:w="1632" w:type="dxa"/>
            <w:vAlign w:val="center"/>
          </w:tcPr>
          <w:p w14:paraId="38BE7B18">
            <w:pPr>
              <w:jc w:val="center"/>
              <w:rPr>
                <w:rFonts w:hint="eastAsia" w:ascii="宋体" w:hAnsi="宋体" w:eastAsia="宋体" w:cs="宋体"/>
                <w:color w:val="auto"/>
                <w:highlight w:val="none"/>
              </w:rPr>
            </w:pPr>
            <w:r>
              <w:rPr>
                <w:rFonts w:hint="eastAsia" w:ascii="宋体" w:hAnsi="宋体" w:eastAsia="宋体" w:cs="宋体"/>
                <w:color w:val="auto"/>
                <w:highlight w:val="none"/>
              </w:rPr>
              <w:t>500≤Y＜20000</w:t>
            </w:r>
          </w:p>
        </w:tc>
        <w:tc>
          <w:tcPr>
            <w:tcW w:w="1373" w:type="dxa"/>
            <w:vAlign w:val="center"/>
          </w:tcPr>
          <w:p w14:paraId="54FB9364">
            <w:pPr>
              <w:jc w:val="center"/>
              <w:rPr>
                <w:rFonts w:hint="eastAsia" w:ascii="宋体" w:hAnsi="宋体" w:eastAsia="宋体" w:cs="宋体"/>
                <w:color w:val="auto"/>
                <w:highlight w:val="none"/>
              </w:rPr>
            </w:pPr>
            <w:r>
              <w:rPr>
                <w:rFonts w:hint="eastAsia" w:ascii="宋体" w:hAnsi="宋体" w:eastAsia="宋体" w:cs="宋体"/>
                <w:color w:val="auto"/>
                <w:highlight w:val="none"/>
              </w:rPr>
              <w:t>100≤Y＜500</w:t>
            </w:r>
          </w:p>
        </w:tc>
        <w:tc>
          <w:tcPr>
            <w:tcW w:w="1182" w:type="dxa"/>
            <w:vAlign w:val="center"/>
          </w:tcPr>
          <w:p w14:paraId="3C3CF0C4">
            <w:pPr>
              <w:jc w:val="center"/>
              <w:rPr>
                <w:rFonts w:hint="eastAsia" w:ascii="宋体" w:hAnsi="宋体" w:eastAsia="宋体" w:cs="宋体"/>
                <w:color w:val="auto"/>
                <w:highlight w:val="none"/>
              </w:rPr>
            </w:pPr>
            <w:r>
              <w:rPr>
                <w:rFonts w:hint="eastAsia" w:ascii="宋体" w:hAnsi="宋体" w:eastAsia="宋体" w:cs="宋体"/>
                <w:color w:val="auto"/>
                <w:highlight w:val="none"/>
              </w:rPr>
              <w:t>Y＜100</w:t>
            </w:r>
          </w:p>
        </w:tc>
      </w:tr>
      <w:tr w14:paraId="4455B0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restart"/>
            <w:vAlign w:val="center"/>
          </w:tcPr>
          <w:p w14:paraId="58A21909">
            <w:pPr>
              <w:jc w:val="center"/>
              <w:rPr>
                <w:rFonts w:hint="eastAsia" w:ascii="宋体" w:hAnsi="宋体" w:eastAsia="宋体" w:cs="宋体"/>
                <w:color w:val="auto"/>
                <w:highlight w:val="none"/>
              </w:rPr>
            </w:pPr>
            <w:r>
              <w:rPr>
                <w:rFonts w:hint="eastAsia" w:ascii="宋体" w:hAnsi="宋体" w:eastAsia="宋体" w:cs="宋体"/>
                <w:color w:val="auto"/>
                <w:highlight w:val="none"/>
              </w:rPr>
              <w:t>交通运输业 *</w:t>
            </w:r>
          </w:p>
        </w:tc>
        <w:tc>
          <w:tcPr>
            <w:tcW w:w="1553" w:type="dxa"/>
            <w:vAlign w:val="center"/>
          </w:tcPr>
          <w:p w14:paraId="0F0BD3AA">
            <w:pPr>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774" w:type="dxa"/>
            <w:vAlign w:val="center"/>
          </w:tcPr>
          <w:p w14:paraId="07EA000E">
            <w:pPr>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422" w:type="dxa"/>
            <w:vAlign w:val="center"/>
          </w:tcPr>
          <w:p w14:paraId="63F387C3">
            <w:pPr>
              <w:jc w:val="center"/>
              <w:rPr>
                <w:rFonts w:hint="eastAsia" w:ascii="宋体" w:hAnsi="宋体" w:eastAsia="宋体" w:cs="宋体"/>
                <w:color w:val="auto"/>
                <w:highlight w:val="none"/>
              </w:rPr>
            </w:pPr>
            <w:r>
              <w:rPr>
                <w:rFonts w:hint="eastAsia" w:ascii="宋体" w:hAnsi="宋体" w:eastAsia="宋体" w:cs="宋体"/>
                <w:color w:val="auto"/>
                <w:highlight w:val="none"/>
              </w:rPr>
              <w:t>X≥1000</w:t>
            </w:r>
          </w:p>
        </w:tc>
        <w:tc>
          <w:tcPr>
            <w:tcW w:w="1632" w:type="dxa"/>
            <w:vAlign w:val="center"/>
          </w:tcPr>
          <w:p w14:paraId="3C8880DC">
            <w:pPr>
              <w:jc w:val="center"/>
              <w:rPr>
                <w:rFonts w:hint="eastAsia" w:ascii="宋体" w:hAnsi="宋体" w:eastAsia="宋体" w:cs="宋体"/>
                <w:color w:val="auto"/>
                <w:highlight w:val="none"/>
              </w:rPr>
            </w:pPr>
            <w:r>
              <w:rPr>
                <w:rFonts w:hint="eastAsia" w:ascii="宋体" w:hAnsi="宋体" w:eastAsia="宋体" w:cs="宋体"/>
                <w:color w:val="auto"/>
                <w:highlight w:val="none"/>
              </w:rPr>
              <w:t>300≤X＜1000</w:t>
            </w:r>
          </w:p>
        </w:tc>
        <w:tc>
          <w:tcPr>
            <w:tcW w:w="1373" w:type="dxa"/>
            <w:vAlign w:val="center"/>
          </w:tcPr>
          <w:p w14:paraId="16C5115C">
            <w:pPr>
              <w:jc w:val="center"/>
              <w:rPr>
                <w:rFonts w:hint="eastAsia" w:ascii="宋体" w:hAnsi="宋体" w:eastAsia="宋体" w:cs="宋体"/>
                <w:color w:val="auto"/>
                <w:highlight w:val="none"/>
              </w:rPr>
            </w:pPr>
            <w:r>
              <w:rPr>
                <w:rFonts w:hint="eastAsia" w:ascii="宋体" w:hAnsi="宋体" w:eastAsia="宋体" w:cs="宋体"/>
                <w:color w:val="auto"/>
                <w:highlight w:val="none"/>
              </w:rPr>
              <w:t>20≤X＜300</w:t>
            </w:r>
          </w:p>
        </w:tc>
        <w:tc>
          <w:tcPr>
            <w:tcW w:w="1182" w:type="dxa"/>
            <w:vAlign w:val="center"/>
          </w:tcPr>
          <w:p w14:paraId="63DD7281">
            <w:pPr>
              <w:jc w:val="center"/>
              <w:rPr>
                <w:rFonts w:hint="eastAsia" w:ascii="宋体" w:hAnsi="宋体" w:eastAsia="宋体" w:cs="宋体"/>
                <w:color w:val="auto"/>
                <w:highlight w:val="none"/>
              </w:rPr>
            </w:pPr>
            <w:r>
              <w:rPr>
                <w:rFonts w:hint="eastAsia" w:ascii="宋体" w:hAnsi="宋体" w:eastAsia="宋体" w:cs="宋体"/>
                <w:color w:val="auto"/>
                <w:highlight w:val="none"/>
              </w:rPr>
              <w:t>X＜20</w:t>
            </w:r>
          </w:p>
        </w:tc>
      </w:tr>
      <w:tr w14:paraId="431503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continue"/>
            <w:vAlign w:val="center"/>
          </w:tcPr>
          <w:p w14:paraId="7186424F">
            <w:pPr>
              <w:jc w:val="center"/>
              <w:rPr>
                <w:rFonts w:hint="eastAsia" w:ascii="宋体" w:hAnsi="宋体" w:eastAsia="宋体" w:cs="宋体"/>
                <w:color w:val="auto"/>
                <w:highlight w:val="none"/>
              </w:rPr>
            </w:pPr>
          </w:p>
        </w:tc>
        <w:tc>
          <w:tcPr>
            <w:tcW w:w="1553" w:type="dxa"/>
            <w:vAlign w:val="center"/>
          </w:tcPr>
          <w:p w14:paraId="3A74A5E2">
            <w:pPr>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774" w:type="dxa"/>
            <w:vAlign w:val="center"/>
          </w:tcPr>
          <w:p w14:paraId="1E3264C3">
            <w:pP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22" w:type="dxa"/>
            <w:vAlign w:val="center"/>
          </w:tcPr>
          <w:p w14:paraId="6D15D6C8">
            <w:pPr>
              <w:jc w:val="center"/>
              <w:rPr>
                <w:rFonts w:hint="eastAsia" w:ascii="宋体" w:hAnsi="宋体" w:eastAsia="宋体" w:cs="宋体"/>
                <w:color w:val="auto"/>
                <w:highlight w:val="none"/>
              </w:rPr>
            </w:pPr>
            <w:r>
              <w:rPr>
                <w:rFonts w:hint="eastAsia" w:ascii="宋体" w:hAnsi="宋体" w:eastAsia="宋体" w:cs="宋体"/>
                <w:color w:val="auto"/>
                <w:highlight w:val="none"/>
              </w:rPr>
              <w:t>Y≥30000</w:t>
            </w:r>
          </w:p>
        </w:tc>
        <w:tc>
          <w:tcPr>
            <w:tcW w:w="1632" w:type="dxa"/>
            <w:vAlign w:val="center"/>
          </w:tcPr>
          <w:p w14:paraId="4BB1AB9F">
            <w:pPr>
              <w:jc w:val="center"/>
              <w:rPr>
                <w:rFonts w:hint="eastAsia" w:ascii="宋体" w:hAnsi="宋体" w:eastAsia="宋体" w:cs="宋体"/>
                <w:color w:val="auto"/>
                <w:highlight w:val="none"/>
              </w:rPr>
            </w:pPr>
            <w:r>
              <w:rPr>
                <w:rFonts w:hint="eastAsia" w:ascii="宋体" w:hAnsi="宋体" w:eastAsia="宋体" w:cs="宋体"/>
                <w:color w:val="auto"/>
                <w:highlight w:val="none"/>
              </w:rPr>
              <w:t>3000≤Y＜30000</w:t>
            </w:r>
          </w:p>
        </w:tc>
        <w:tc>
          <w:tcPr>
            <w:tcW w:w="1373" w:type="dxa"/>
            <w:vAlign w:val="center"/>
          </w:tcPr>
          <w:p w14:paraId="120E4B73">
            <w:pPr>
              <w:jc w:val="center"/>
              <w:rPr>
                <w:rFonts w:hint="eastAsia" w:ascii="宋体" w:hAnsi="宋体" w:eastAsia="宋体" w:cs="宋体"/>
                <w:color w:val="auto"/>
                <w:highlight w:val="none"/>
              </w:rPr>
            </w:pPr>
            <w:r>
              <w:rPr>
                <w:rFonts w:hint="eastAsia" w:ascii="宋体" w:hAnsi="宋体" w:eastAsia="宋体" w:cs="宋体"/>
                <w:color w:val="auto"/>
                <w:highlight w:val="none"/>
              </w:rPr>
              <w:t>200≤Y＜3000</w:t>
            </w:r>
          </w:p>
        </w:tc>
        <w:tc>
          <w:tcPr>
            <w:tcW w:w="1182" w:type="dxa"/>
            <w:vAlign w:val="center"/>
          </w:tcPr>
          <w:p w14:paraId="4AD711CC">
            <w:pPr>
              <w:jc w:val="center"/>
              <w:rPr>
                <w:rFonts w:hint="eastAsia" w:ascii="宋体" w:hAnsi="宋体" w:eastAsia="宋体" w:cs="宋体"/>
                <w:color w:val="auto"/>
                <w:highlight w:val="none"/>
              </w:rPr>
            </w:pPr>
            <w:r>
              <w:rPr>
                <w:rFonts w:hint="eastAsia" w:ascii="宋体" w:hAnsi="宋体" w:eastAsia="宋体" w:cs="宋体"/>
                <w:color w:val="auto"/>
                <w:highlight w:val="none"/>
              </w:rPr>
              <w:t>Y＜200</w:t>
            </w:r>
          </w:p>
        </w:tc>
      </w:tr>
      <w:tr w14:paraId="171CB7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restart"/>
            <w:vAlign w:val="center"/>
          </w:tcPr>
          <w:p w14:paraId="55A69D9A">
            <w:pPr>
              <w:jc w:val="center"/>
              <w:rPr>
                <w:rFonts w:hint="eastAsia" w:ascii="宋体" w:hAnsi="宋体" w:eastAsia="宋体" w:cs="宋体"/>
                <w:color w:val="auto"/>
                <w:highlight w:val="none"/>
              </w:rPr>
            </w:pPr>
            <w:r>
              <w:rPr>
                <w:rFonts w:hint="eastAsia" w:ascii="宋体" w:hAnsi="宋体" w:eastAsia="宋体" w:cs="宋体"/>
                <w:color w:val="auto"/>
                <w:highlight w:val="none"/>
              </w:rPr>
              <w:t>仓储业*</w:t>
            </w:r>
          </w:p>
        </w:tc>
        <w:tc>
          <w:tcPr>
            <w:tcW w:w="1553" w:type="dxa"/>
            <w:vAlign w:val="center"/>
          </w:tcPr>
          <w:p w14:paraId="1C2411DE">
            <w:pPr>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774" w:type="dxa"/>
            <w:vAlign w:val="center"/>
          </w:tcPr>
          <w:p w14:paraId="6BFDBFD4">
            <w:pPr>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422" w:type="dxa"/>
            <w:vAlign w:val="center"/>
          </w:tcPr>
          <w:p w14:paraId="19831E42">
            <w:pPr>
              <w:jc w:val="center"/>
              <w:rPr>
                <w:rFonts w:hint="eastAsia" w:ascii="宋体" w:hAnsi="宋体" w:eastAsia="宋体" w:cs="宋体"/>
                <w:color w:val="auto"/>
                <w:highlight w:val="none"/>
              </w:rPr>
            </w:pPr>
            <w:r>
              <w:rPr>
                <w:rFonts w:hint="eastAsia" w:ascii="宋体" w:hAnsi="宋体" w:eastAsia="宋体" w:cs="宋体"/>
                <w:color w:val="auto"/>
                <w:highlight w:val="none"/>
              </w:rPr>
              <w:t>X≥200</w:t>
            </w:r>
          </w:p>
        </w:tc>
        <w:tc>
          <w:tcPr>
            <w:tcW w:w="1632" w:type="dxa"/>
            <w:vAlign w:val="center"/>
          </w:tcPr>
          <w:p w14:paraId="424AE532">
            <w:pPr>
              <w:jc w:val="center"/>
              <w:rPr>
                <w:rFonts w:hint="eastAsia" w:ascii="宋体" w:hAnsi="宋体" w:eastAsia="宋体" w:cs="宋体"/>
                <w:color w:val="auto"/>
                <w:highlight w:val="none"/>
              </w:rPr>
            </w:pPr>
            <w:r>
              <w:rPr>
                <w:rFonts w:hint="eastAsia" w:ascii="宋体" w:hAnsi="宋体" w:eastAsia="宋体" w:cs="宋体"/>
                <w:color w:val="auto"/>
                <w:highlight w:val="none"/>
              </w:rPr>
              <w:t>100≤X＜200</w:t>
            </w:r>
          </w:p>
        </w:tc>
        <w:tc>
          <w:tcPr>
            <w:tcW w:w="1373" w:type="dxa"/>
            <w:vAlign w:val="center"/>
          </w:tcPr>
          <w:p w14:paraId="0E2148B6">
            <w:pPr>
              <w:jc w:val="center"/>
              <w:rPr>
                <w:rFonts w:hint="eastAsia" w:ascii="宋体" w:hAnsi="宋体" w:eastAsia="宋体" w:cs="宋体"/>
                <w:color w:val="auto"/>
                <w:highlight w:val="none"/>
              </w:rPr>
            </w:pPr>
            <w:r>
              <w:rPr>
                <w:rFonts w:hint="eastAsia" w:ascii="宋体" w:hAnsi="宋体" w:eastAsia="宋体" w:cs="宋体"/>
                <w:color w:val="auto"/>
                <w:highlight w:val="none"/>
              </w:rPr>
              <w:t>20≤X＜100</w:t>
            </w:r>
          </w:p>
        </w:tc>
        <w:tc>
          <w:tcPr>
            <w:tcW w:w="1182" w:type="dxa"/>
            <w:vAlign w:val="center"/>
          </w:tcPr>
          <w:p w14:paraId="1641223C">
            <w:pPr>
              <w:jc w:val="center"/>
              <w:rPr>
                <w:rFonts w:hint="eastAsia" w:ascii="宋体" w:hAnsi="宋体" w:eastAsia="宋体" w:cs="宋体"/>
                <w:color w:val="auto"/>
                <w:highlight w:val="none"/>
              </w:rPr>
            </w:pPr>
            <w:r>
              <w:rPr>
                <w:rFonts w:hint="eastAsia" w:ascii="宋体" w:hAnsi="宋体" w:eastAsia="宋体" w:cs="宋体"/>
                <w:color w:val="auto"/>
                <w:highlight w:val="none"/>
              </w:rPr>
              <w:t>X＜20</w:t>
            </w:r>
          </w:p>
        </w:tc>
      </w:tr>
      <w:tr w14:paraId="50B9F2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continue"/>
            <w:vAlign w:val="center"/>
          </w:tcPr>
          <w:p w14:paraId="41FBAECF">
            <w:pPr>
              <w:jc w:val="center"/>
              <w:rPr>
                <w:rFonts w:hint="eastAsia" w:ascii="宋体" w:hAnsi="宋体" w:eastAsia="宋体" w:cs="宋体"/>
                <w:color w:val="auto"/>
                <w:highlight w:val="none"/>
              </w:rPr>
            </w:pPr>
          </w:p>
        </w:tc>
        <w:tc>
          <w:tcPr>
            <w:tcW w:w="1553" w:type="dxa"/>
            <w:vAlign w:val="center"/>
          </w:tcPr>
          <w:p w14:paraId="455E82FC">
            <w:pPr>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774" w:type="dxa"/>
            <w:vAlign w:val="center"/>
          </w:tcPr>
          <w:p w14:paraId="4206DACF">
            <w:pP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22" w:type="dxa"/>
            <w:vAlign w:val="center"/>
          </w:tcPr>
          <w:p w14:paraId="4BE25683">
            <w:pPr>
              <w:jc w:val="center"/>
              <w:rPr>
                <w:rFonts w:hint="eastAsia" w:ascii="宋体" w:hAnsi="宋体" w:eastAsia="宋体" w:cs="宋体"/>
                <w:color w:val="auto"/>
                <w:highlight w:val="none"/>
              </w:rPr>
            </w:pPr>
            <w:r>
              <w:rPr>
                <w:rFonts w:hint="eastAsia" w:ascii="宋体" w:hAnsi="宋体" w:eastAsia="宋体" w:cs="宋体"/>
                <w:color w:val="auto"/>
                <w:highlight w:val="none"/>
              </w:rPr>
              <w:t>Y≥30000</w:t>
            </w:r>
          </w:p>
        </w:tc>
        <w:tc>
          <w:tcPr>
            <w:tcW w:w="1632" w:type="dxa"/>
            <w:vAlign w:val="center"/>
          </w:tcPr>
          <w:p w14:paraId="6AF35D07">
            <w:pPr>
              <w:jc w:val="center"/>
              <w:rPr>
                <w:rFonts w:hint="eastAsia" w:ascii="宋体" w:hAnsi="宋体" w:eastAsia="宋体" w:cs="宋体"/>
                <w:color w:val="auto"/>
                <w:highlight w:val="none"/>
              </w:rPr>
            </w:pPr>
            <w:r>
              <w:rPr>
                <w:rFonts w:hint="eastAsia" w:ascii="宋体" w:hAnsi="宋体" w:eastAsia="宋体" w:cs="宋体"/>
                <w:color w:val="auto"/>
                <w:highlight w:val="none"/>
              </w:rPr>
              <w:t>1000≤Y＜30000</w:t>
            </w:r>
          </w:p>
        </w:tc>
        <w:tc>
          <w:tcPr>
            <w:tcW w:w="1373" w:type="dxa"/>
            <w:vAlign w:val="center"/>
          </w:tcPr>
          <w:p w14:paraId="0C31238F">
            <w:pPr>
              <w:jc w:val="center"/>
              <w:rPr>
                <w:rFonts w:hint="eastAsia" w:ascii="宋体" w:hAnsi="宋体" w:eastAsia="宋体" w:cs="宋体"/>
                <w:color w:val="auto"/>
                <w:highlight w:val="none"/>
              </w:rPr>
            </w:pPr>
            <w:r>
              <w:rPr>
                <w:rFonts w:hint="eastAsia" w:ascii="宋体" w:hAnsi="宋体" w:eastAsia="宋体" w:cs="宋体"/>
                <w:color w:val="auto"/>
                <w:highlight w:val="none"/>
              </w:rPr>
              <w:t>100≤Y＜1000</w:t>
            </w:r>
          </w:p>
        </w:tc>
        <w:tc>
          <w:tcPr>
            <w:tcW w:w="1182" w:type="dxa"/>
            <w:vAlign w:val="center"/>
          </w:tcPr>
          <w:p w14:paraId="6374BB91">
            <w:pPr>
              <w:jc w:val="center"/>
              <w:rPr>
                <w:rFonts w:hint="eastAsia" w:ascii="宋体" w:hAnsi="宋体" w:eastAsia="宋体" w:cs="宋体"/>
                <w:color w:val="auto"/>
                <w:highlight w:val="none"/>
              </w:rPr>
            </w:pPr>
            <w:r>
              <w:rPr>
                <w:rFonts w:hint="eastAsia" w:ascii="宋体" w:hAnsi="宋体" w:eastAsia="宋体" w:cs="宋体"/>
                <w:color w:val="auto"/>
                <w:highlight w:val="none"/>
              </w:rPr>
              <w:t>Y＜100</w:t>
            </w:r>
          </w:p>
        </w:tc>
      </w:tr>
      <w:tr w14:paraId="4C3CB3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restart"/>
            <w:vAlign w:val="center"/>
          </w:tcPr>
          <w:p w14:paraId="5CECC1CA">
            <w:pPr>
              <w:jc w:val="center"/>
              <w:rPr>
                <w:rFonts w:hint="eastAsia" w:ascii="宋体" w:hAnsi="宋体" w:eastAsia="宋体" w:cs="宋体"/>
                <w:color w:val="auto"/>
                <w:highlight w:val="none"/>
              </w:rPr>
            </w:pPr>
            <w:r>
              <w:rPr>
                <w:rFonts w:hint="eastAsia" w:ascii="宋体" w:hAnsi="宋体" w:eastAsia="宋体" w:cs="宋体"/>
                <w:color w:val="auto"/>
                <w:highlight w:val="none"/>
              </w:rPr>
              <w:t>邮政业</w:t>
            </w:r>
          </w:p>
        </w:tc>
        <w:tc>
          <w:tcPr>
            <w:tcW w:w="1553" w:type="dxa"/>
            <w:vAlign w:val="center"/>
          </w:tcPr>
          <w:p w14:paraId="3FB7F6A8">
            <w:pPr>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774" w:type="dxa"/>
            <w:vAlign w:val="center"/>
          </w:tcPr>
          <w:p w14:paraId="2FAE8645">
            <w:pPr>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422" w:type="dxa"/>
            <w:vAlign w:val="center"/>
          </w:tcPr>
          <w:p w14:paraId="3DFD1339">
            <w:pPr>
              <w:jc w:val="center"/>
              <w:rPr>
                <w:rFonts w:hint="eastAsia" w:ascii="宋体" w:hAnsi="宋体" w:eastAsia="宋体" w:cs="宋体"/>
                <w:color w:val="auto"/>
                <w:highlight w:val="none"/>
              </w:rPr>
            </w:pPr>
            <w:r>
              <w:rPr>
                <w:rFonts w:hint="eastAsia" w:ascii="宋体" w:hAnsi="宋体" w:eastAsia="宋体" w:cs="宋体"/>
                <w:color w:val="auto"/>
                <w:highlight w:val="none"/>
              </w:rPr>
              <w:t>X≥1000</w:t>
            </w:r>
          </w:p>
        </w:tc>
        <w:tc>
          <w:tcPr>
            <w:tcW w:w="1632" w:type="dxa"/>
            <w:vAlign w:val="center"/>
          </w:tcPr>
          <w:p w14:paraId="1F95C971">
            <w:pPr>
              <w:jc w:val="center"/>
              <w:rPr>
                <w:rFonts w:hint="eastAsia" w:ascii="宋体" w:hAnsi="宋体" w:eastAsia="宋体" w:cs="宋体"/>
                <w:color w:val="auto"/>
                <w:highlight w:val="none"/>
              </w:rPr>
            </w:pPr>
            <w:r>
              <w:rPr>
                <w:rFonts w:hint="eastAsia" w:ascii="宋体" w:hAnsi="宋体" w:eastAsia="宋体" w:cs="宋体"/>
                <w:color w:val="auto"/>
                <w:highlight w:val="none"/>
              </w:rPr>
              <w:t>300≤X＜1000</w:t>
            </w:r>
          </w:p>
        </w:tc>
        <w:tc>
          <w:tcPr>
            <w:tcW w:w="1373" w:type="dxa"/>
            <w:vAlign w:val="center"/>
          </w:tcPr>
          <w:p w14:paraId="6265C4D4">
            <w:pPr>
              <w:jc w:val="center"/>
              <w:rPr>
                <w:rFonts w:hint="eastAsia" w:ascii="宋体" w:hAnsi="宋体" w:eastAsia="宋体" w:cs="宋体"/>
                <w:color w:val="auto"/>
                <w:highlight w:val="none"/>
              </w:rPr>
            </w:pPr>
            <w:r>
              <w:rPr>
                <w:rFonts w:hint="eastAsia" w:ascii="宋体" w:hAnsi="宋体" w:eastAsia="宋体" w:cs="宋体"/>
                <w:color w:val="auto"/>
                <w:highlight w:val="none"/>
              </w:rPr>
              <w:t>20≤X＜300</w:t>
            </w:r>
          </w:p>
        </w:tc>
        <w:tc>
          <w:tcPr>
            <w:tcW w:w="1182" w:type="dxa"/>
            <w:vAlign w:val="center"/>
          </w:tcPr>
          <w:p w14:paraId="5D73E950">
            <w:pPr>
              <w:jc w:val="center"/>
              <w:rPr>
                <w:rFonts w:hint="eastAsia" w:ascii="宋体" w:hAnsi="宋体" w:eastAsia="宋体" w:cs="宋体"/>
                <w:color w:val="auto"/>
                <w:highlight w:val="none"/>
              </w:rPr>
            </w:pPr>
            <w:r>
              <w:rPr>
                <w:rFonts w:hint="eastAsia" w:ascii="宋体" w:hAnsi="宋体" w:eastAsia="宋体" w:cs="宋体"/>
                <w:color w:val="auto"/>
                <w:highlight w:val="none"/>
              </w:rPr>
              <w:t>X＜20</w:t>
            </w:r>
          </w:p>
        </w:tc>
      </w:tr>
      <w:tr w14:paraId="4FFD22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continue"/>
            <w:vAlign w:val="center"/>
          </w:tcPr>
          <w:p w14:paraId="44D4AB54">
            <w:pPr>
              <w:jc w:val="center"/>
              <w:rPr>
                <w:rFonts w:hint="eastAsia" w:ascii="宋体" w:hAnsi="宋体" w:eastAsia="宋体" w:cs="宋体"/>
                <w:color w:val="auto"/>
                <w:highlight w:val="none"/>
              </w:rPr>
            </w:pPr>
          </w:p>
        </w:tc>
        <w:tc>
          <w:tcPr>
            <w:tcW w:w="1553" w:type="dxa"/>
            <w:vAlign w:val="center"/>
          </w:tcPr>
          <w:p w14:paraId="75C26E2C">
            <w:pPr>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774" w:type="dxa"/>
            <w:vAlign w:val="center"/>
          </w:tcPr>
          <w:p w14:paraId="2A6F69A5">
            <w:pP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22" w:type="dxa"/>
            <w:vAlign w:val="center"/>
          </w:tcPr>
          <w:p w14:paraId="0068C310">
            <w:pPr>
              <w:jc w:val="center"/>
              <w:rPr>
                <w:rFonts w:hint="eastAsia" w:ascii="宋体" w:hAnsi="宋体" w:eastAsia="宋体" w:cs="宋体"/>
                <w:color w:val="auto"/>
                <w:highlight w:val="none"/>
              </w:rPr>
            </w:pPr>
            <w:r>
              <w:rPr>
                <w:rFonts w:hint="eastAsia" w:ascii="宋体" w:hAnsi="宋体" w:eastAsia="宋体" w:cs="宋体"/>
                <w:color w:val="auto"/>
                <w:highlight w:val="none"/>
              </w:rPr>
              <w:t>Y≥30000</w:t>
            </w:r>
          </w:p>
        </w:tc>
        <w:tc>
          <w:tcPr>
            <w:tcW w:w="1632" w:type="dxa"/>
            <w:vAlign w:val="center"/>
          </w:tcPr>
          <w:p w14:paraId="6B67B752">
            <w:pPr>
              <w:jc w:val="center"/>
              <w:rPr>
                <w:rFonts w:hint="eastAsia" w:ascii="宋体" w:hAnsi="宋体" w:eastAsia="宋体" w:cs="宋体"/>
                <w:color w:val="auto"/>
                <w:highlight w:val="none"/>
              </w:rPr>
            </w:pPr>
            <w:r>
              <w:rPr>
                <w:rFonts w:hint="eastAsia" w:ascii="宋体" w:hAnsi="宋体" w:eastAsia="宋体" w:cs="宋体"/>
                <w:color w:val="auto"/>
                <w:highlight w:val="none"/>
              </w:rPr>
              <w:t>2000≤Y＜30000</w:t>
            </w:r>
          </w:p>
        </w:tc>
        <w:tc>
          <w:tcPr>
            <w:tcW w:w="1373" w:type="dxa"/>
            <w:vAlign w:val="center"/>
          </w:tcPr>
          <w:p w14:paraId="305CA99C">
            <w:pPr>
              <w:jc w:val="center"/>
              <w:rPr>
                <w:rFonts w:hint="eastAsia" w:ascii="宋体" w:hAnsi="宋体" w:eastAsia="宋体" w:cs="宋体"/>
                <w:color w:val="auto"/>
                <w:highlight w:val="none"/>
              </w:rPr>
            </w:pPr>
            <w:r>
              <w:rPr>
                <w:rFonts w:hint="eastAsia" w:ascii="宋体" w:hAnsi="宋体" w:eastAsia="宋体" w:cs="宋体"/>
                <w:color w:val="auto"/>
                <w:highlight w:val="none"/>
              </w:rPr>
              <w:t>100≤Y＜2000</w:t>
            </w:r>
          </w:p>
        </w:tc>
        <w:tc>
          <w:tcPr>
            <w:tcW w:w="1182" w:type="dxa"/>
            <w:vAlign w:val="center"/>
          </w:tcPr>
          <w:p w14:paraId="53B2875E">
            <w:pPr>
              <w:jc w:val="center"/>
              <w:rPr>
                <w:rFonts w:hint="eastAsia" w:ascii="宋体" w:hAnsi="宋体" w:eastAsia="宋体" w:cs="宋体"/>
                <w:color w:val="auto"/>
                <w:highlight w:val="none"/>
              </w:rPr>
            </w:pPr>
            <w:r>
              <w:rPr>
                <w:rFonts w:hint="eastAsia" w:ascii="宋体" w:hAnsi="宋体" w:eastAsia="宋体" w:cs="宋体"/>
                <w:color w:val="auto"/>
                <w:highlight w:val="none"/>
              </w:rPr>
              <w:t>Y＜100</w:t>
            </w:r>
          </w:p>
        </w:tc>
      </w:tr>
      <w:tr w14:paraId="36BCE6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restart"/>
            <w:vAlign w:val="center"/>
          </w:tcPr>
          <w:p w14:paraId="6C154386">
            <w:pPr>
              <w:jc w:val="center"/>
              <w:rPr>
                <w:rFonts w:hint="eastAsia" w:ascii="宋体" w:hAnsi="宋体" w:eastAsia="宋体" w:cs="宋体"/>
                <w:color w:val="auto"/>
                <w:highlight w:val="none"/>
              </w:rPr>
            </w:pPr>
            <w:r>
              <w:rPr>
                <w:rFonts w:hint="eastAsia" w:ascii="宋体" w:hAnsi="宋体" w:eastAsia="宋体" w:cs="宋体"/>
                <w:color w:val="auto"/>
                <w:highlight w:val="none"/>
              </w:rPr>
              <w:t>住宿业</w:t>
            </w:r>
          </w:p>
        </w:tc>
        <w:tc>
          <w:tcPr>
            <w:tcW w:w="1553" w:type="dxa"/>
            <w:vAlign w:val="center"/>
          </w:tcPr>
          <w:p w14:paraId="49086058">
            <w:pPr>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774" w:type="dxa"/>
            <w:vAlign w:val="center"/>
          </w:tcPr>
          <w:p w14:paraId="020CE342">
            <w:pPr>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422" w:type="dxa"/>
            <w:vAlign w:val="center"/>
          </w:tcPr>
          <w:p w14:paraId="26EEE9F3">
            <w:pPr>
              <w:jc w:val="center"/>
              <w:rPr>
                <w:rFonts w:hint="eastAsia" w:ascii="宋体" w:hAnsi="宋体" w:eastAsia="宋体" w:cs="宋体"/>
                <w:color w:val="auto"/>
                <w:highlight w:val="none"/>
              </w:rPr>
            </w:pPr>
            <w:r>
              <w:rPr>
                <w:rFonts w:hint="eastAsia" w:ascii="宋体" w:hAnsi="宋体" w:eastAsia="宋体" w:cs="宋体"/>
                <w:color w:val="auto"/>
                <w:highlight w:val="none"/>
              </w:rPr>
              <w:t>X≥300</w:t>
            </w:r>
          </w:p>
        </w:tc>
        <w:tc>
          <w:tcPr>
            <w:tcW w:w="1632" w:type="dxa"/>
            <w:vAlign w:val="center"/>
          </w:tcPr>
          <w:p w14:paraId="7FA46A09">
            <w:pPr>
              <w:jc w:val="center"/>
              <w:rPr>
                <w:rFonts w:hint="eastAsia" w:ascii="宋体" w:hAnsi="宋体" w:eastAsia="宋体" w:cs="宋体"/>
                <w:color w:val="auto"/>
                <w:highlight w:val="none"/>
              </w:rPr>
            </w:pPr>
            <w:r>
              <w:rPr>
                <w:rFonts w:hint="eastAsia" w:ascii="宋体" w:hAnsi="宋体" w:eastAsia="宋体" w:cs="宋体"/>
                <w:color w:val="auto"/>
                <w:highlight w:val="none"/>
              </w:rPr>
              <w:t>100≤X＜300</w:t>
            </w:r>
          </w:p>
        </w:tc>
        <w:tc>
          <w:tcPr>
            <w:tcW w:w="1373" w:type="dxa"/>
            <w:vAlign w:val="center"/>
          </w:tcPr>
          <w:p w14:paraId="7245B72A">
            <w:pPr>
              <w:jc w:val="center"/>
              <w:rPr>
                <w:rFonts w:hint="eastAsia" w:ascii="宋体" w:hAnsi="宋体" w:eastAsia="宋体" w:cs="宋体"/>
                <w:color w:val="auto"/>
                <w:highlight w:val="none"/>
              </w:rPr>
            </w:pPr>
            <w:r>
              <w:rPr>
                <w:rFonts w:hint="eastAsia" w:ascii="宋体" w:hAnsi="宋体" w:eastAsia="宋体" w:cs="宋体"/>
                <w:color w:val="auto"/>
                <w:highlight w:val="none"/>
              </w:rPr>
              <w:t>10≤X＜100</w:t>
            </w:r>
          </w:p>
        </w:tc>
        <w:tc>
          <w:tcPr>
            <w:tcW w:w="1182" w:type="dxa"/>
            <w:vAlign w:val="center"/>
          </w:tcPr>
          <w:p w14:paraId="0C804ECF">
            <w:pPr>
              <w:jc w:val="center"/>
              <w:rPr>
                <w:rFonts w:hint="eastAsia" w:ascii="宋体" w:hAnsi="宋体" w:eastAsia="宋体" w:cs="宋体"/>
                <w:color w:val="auto"/>
                <w:highlight w:val="none"/>
              </w:rPr>
            </w:pPr>
            <w:r>
              <w:rPr>
                <w:rFonts w:hint="eastAsia" w:ascii="宋体" w:hAnsi="宋体" w:eastAsia="宋体" w:cs="宋体"/>
                <w:color w:val="auto"/>
                <w:highlight w:val="none"/>
              </w:rPr>
              <w:t>X＜10</w:t>
            </w:r>
          </w:p>
        </w:tc>
      </w:tr>
      <w:tr w14:paraId="4080D8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continue"/>
            <w:vAlign w:val="center"/>
          </w:tcPr>
          <w:p w14:paraId="526483AE">
            <w:pPr>
              <w:jc w:val="center"/>
              <w:rPr>
                <w:rFonts w:hint="eastAsia" w:ascii="宋体" w:hAnsi="宋体" w:eastAsia="宋体" w:cs="宋体"/>
                <w:color w:val="auto"/>
                <w:highlight w:val="none"/>
              </w:rPr>
            </w:pPr>
          </w:p>
        </w:tc>
        <w:tc>
          <w:tcPr>
            <w:tcW w:w="1553" w:type="dxa"/>
            <w:vAlign w:val="center"/>
          </w:tcPr>
          <w:p w14:paraId="4B7B95D9">
            <w:pPr>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774" w:type="dxa"/>
            <w:vAlign w:val="center"/>
          </w:tcPr>
          <w:p w14:paraId="443DE467">
            <w:pP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22" w:type="dxa"/>
            <w:vAlign w:val="center"/>
          </w:tcPr>
          <w:p w14:paraId="5362E690">
            <w:pPr>
              <w:jc w:val="center"/>
              <w:rPr>
                <w:rFonts w:hint="eastAsia" w:ascii="宋体" w:hAnsi="宋体" w:eastAsia="宋体" w:cs="宋体"/>
                <w:color w:val="auto"/>
                <w:highlight w:val="none"/>
              </w:rPr>
            </w:pPr>
            <w:r>
              <w:rPr>
                <w:rFonts w:hint="eastAsia" w:ascii="宋体" w:hAnsi="宋体" w:eastAsia="宋体" w:cs="宋体"/>
                <w:color w:val="auto"/>
                <w:highlight w:val="none"/>
              </w:rPr>
              <w:t>Y≥10000</w:t>
            </w:r>
          </w:p>
        </w:tc>
        <w:tc>
          <w:tcPr>
            <w:tcW w:w="1632" w:type="dxa"/>
            <w:vAlign w:val="center"/>
          </w:tcPr>
          <w:p w14:paraId="55809F5A">
            <w:pPr>
              <w:jc w:val="center"/>
              <w:rPr>
                <w:rFonts w:hint="eastAsia" w:ascii="宋体" w:hAnsi="宋体" w:eastAsia="宋体" w:cs="宋体"/>
                <w:color w:val="auto"/>
                <w:highlight w:val="none"/>
              </w:rPr>
            </w:pPr>
            <w:r>
              <w:rPr>
                <w:rFonts w:hint="eastAsia" w:ascii="宋体" w:hAnsi="宋体" w:eastAsia="宋体" w:cs="宋体"/>
                <w:color w:val="auto"/>
                <w:highlight w:val="none"/>
              </w:rPr>
              <w:t>2000≤Y＜10000</w:t>
            </w:r>
          </w:p>
        </w:tc>
        <w:tc>
          <w:tcPr>
            <w:tcW w:w="1373" w:type="dxa"/>
            <w:vAlign w:val="center"/>
          </w:tcPr>
          <w:p w14:paraId="3F966132">
            <w:pPr>
              <w:jc w:val="center"/>
              <w:rPr>
                <w:rFonts w:hint="eastAsia" w:ascii="宋体" w:hAnsi="宋体" w:eastAsia="宋体" w:cs="宋体"/>
                <w:color w:val="auto"/>
                <w:highlight w:val="none"/>
              </w:rPr>
            </w:pPr>
            <w:r>
              <w:rPr>
                <w:rFonts w:hint="eastAsia" w:ascii="宋体" w:hAnsi="宋体" w:eastAsia="宋体" w:cs="宋体"/>
                <w:color w:val="auto"/>
                <w:highlight w:val="none"/>
              </w:rPr>
              <w:t>100≤Y＜2000</w:t>
            </w:r>
          </w:p>
        </w:tc>
        <w:tc>
          <w:tcPr>
            <w:tcW w:w="1182" w:type="dxa"/>
            <w:vAlign w:val="center"/>
          </w:tcPr>
          <w:p w14:paraId="633DADF0">
            <w:pPr>
              <w:jc w:val="center"/>
              <w:rPr>
                <w:rFonts w:hint="eastAsia" w:ascii="宋体" w:hAnsi="宋体" w:eastAsia="宋体" w:cs="宋体"/>
                <w:color w:val="auto"/>
                <w:highlight w:val="none"/>
              </w:rPr>
            </w:pPr>
            <w:r>
              <w:rPr>
                <w:rFonts w:hint="eastAsia" w:ascii="宋体" w:hAnsi="宋体" w:eastAsia="宋体" w:cs="宋体"/>
                <w:color w:val="auto"/>
                <w:highlight w:val="none"/>
              </w:rPr>
              <w:t>Y＜100</w:t>
            </w:r>
          </w:p>
        </w:tc>
      </w:tr>
      <w:tr w14:paraId="796728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restart"/>
            <w:vAlign w:val="center"/>
          </w:tcPr>
          <w:p w14:paraId="7ECADA95">
            <w:pPr>
              <w:jc w:val="center"/>
              <w:rPr>
                <w:rFonts w:hint="eastAsia" w:ascii="宋体" w:hAnsi="宋体" w:eastAsia="宋体" w:cs="宋体"/>
                <w:color w:val="auto"/>
                <w:highlight w:val="none"/>
              </w:rPr>
            </w:pPr>
            <w:r>
              <w:rPr>
                <w:rFonts w:hint="eastAsia" w:ascii="宋体" w:hAnsi="宋体" w:eastAsia="宋体" w:cs="宋体"/>
                <w:color w:val="auto"/>
                <w:highlight w:val="none"/>
              </w:rPr>
              <w:t>餐饮业</w:t>
            </w:r>
          </w:p>
        </w:tc>
        <w:tc>
          <w:tcPr>
            <w:tcW w:w="1553" w:type="dxa"/>
            <w:vAlign w:val="center"/>
          </w:tcPr>
          <w:p w14:paraId="3CD2651F">
            <w:pPr>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774" w:type="dxa"/>
            <w:vAlign w:val="center"/>
          </w:tcPr>
          <w:p w14:paraId="49646D46">
            <w:pPr>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422" w:type="dxa"/>
            <w:vAlign w:val="center"/>
          </w:tcPr>
          <w:p w14:paraId="3AA37FE1">
            <w:pPr>
              <w:jc w:val="center"/>
              <w:rPr>
                <w:rFonts w:hint="eastAsia" w:ascii="宋体" w:hAnsi="宋体" w:eastAsia="宋体" w:cs="宋体"/>
                <w:color w:val="auto"/>
                <w:highlight w:val="none"/>
              </w:rPr>
            </w:pPr>
            <w:r>
              <w:rPr>
                <w:rFonts w:hint="eastAsia" w:ascii="宋体" w:hAnsi="宋体" w:eastAsia="宋体" w:cs="宋体"/>
                <w:color w:val="auto"/>
                <w:highlight w:val="none"/>
              </w:rPr>
              <w:t>X≥300</w:t>
            </w:r>
          </w:p>
        </w:tc>
        <w:tc>
          <w:tcPr>
            <w:tcW w:w="1632" w:type="dxa"/>
            <w:vAlign w:val="center"/>
          </w:tcPr>
          <w:p w14:paraId="56E2191F">
            <w:pPr>
              <w:jc w:val="center"/>
              <w:rPr>
                <w:rFonts w:hint="eastAsia" w:ascii="宋体" w:hAnsi="宋体" w:eastAsia="宋体" w:cs="宋体"/>
                <w:color w:val="auto"/>
                <w:highlight w:val="none"/>
              </w:rPr>
            </w:pPr>
            <w:r>
              <w:rPr>
                <w:rFonts w:hint="eastAsia" w:ascii="宋体" w:hAnsi="宋体" w:eastAsia="宋体" w:cs="宋体"/>
                <w:color w:val="auto"/>
                <w:highlight w:val="none"/>
              </w:rPr>
              <w:t>100≤X＜300</w:t>
            </w:r>
          </w:p>
        </w:tc>
        <w:tc>
          <w:tcPr>
            <w:tcW w:w="1373" w:type="dxa"/>
            <w:vAlign w:val="center"/>
          </w:tcPr>
          <w:p w14:paraId="641B5BEC">
            <w:pPr>
              <w:jc w:val="center"/>
              <w:rPr>
                <w:rFonts w:hint="eastAsia" w:ascii="宋体" w:hAnsi="宋体" w:eastAsia="宋体" w:cs="宋体"/>
                <w:color w:val="auto"/>
                <w:highlight w:val="none"/>
              </w:rPr>
            </w:pPr>
            <w:r>
              <w:rPr>
                <w:rFonts w:hint="eastAsia" w:ascii="宋体" w:hAnsi="宋体" w:eastAsia="宋体" w:cs="宋体"/>
                <w:color w:val="auto"/>
                <w:highlight w:val="none"/>
              </w:rPr>
              <w:t>10≤X＜100</w:t>
            </w:r>
          </w:p>
        </w:tc>
        <w:tc>
          <w:tcPr>
            <w:tcW w:w="1182" w:type="dxa"/>
            <w:vAlign w:val="center"/>
          </w:tcPr>
          <w:p w14:paraId="7557DC29">
            <w:pPr>
              <w:jc w:val="center"/>
              <w:rPr>
                <w:rFonts w:hint="eastAsia" w:ascii="宋体" w:hAnsi="宋体" w:eastAsia="宋体" w:cs="宋体"/>
                <w:color w:val="auto"/>
                <w:highlight w:val="none"/>
              </w:rPr>
            </w:pPr>
            <w:r>
              <w:rPr>
                <w:rFonts w:hint="eastAsia" w:ascii="宋体" w:hAnsi="宋体" w:eastAsia="宋体" w:cs="宋体"/>
                <w:color w:val="auto"/>
                <w:highlight w:val="none"/>
              </w:rPr>
              <w:t>X＜10</w:t>
            </w:r>
          </w:p>
        </w:tc>
      </w:tr>
      <w:tr w14:paraId="63D647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continue"/>
            <w:vAlign w:val="center"/>
          </w:tcPr>
          <w:p w14:paraId="176C3AC3">
            <w:pPr>
              <w:jc w:val="center"/>
              <w:rPr>
                <w:rFonts w:hint="eastAsia" w:ascii="宋体" w:hAnsi="宋体" w:eastAsia="宋体" w:cs="宋体"/>
                <w:color w:val="auto"/>
                <w:highlight w:val="none"/>
              </w:rPr>
            </w:pPr>
          </w:p>
        </w:tc>
        <w:tc>
          <w:tcPr>
            <w:tcW w:w="1553" w:type="dxa"/>
            <w:vAlign w:val="center"/>
          </w:tcPr>
          <w:p w14:paraId="6EFD5577">
            <w:pPr>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774" w:type="dxa"/>
            <w:vAlign w:val="center"/>
          </w:tcPr>
          <w:p w14:paraId="4D499EE8">
            <w:pP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22" w:type="dxa"/>
            <w:vAlign w:val="center"/>
          </w:tcPr>
          <w:p w14:paraId="66BAE267">
            <w:pPr>
              <w:jc w:val="center"/>
              <w:rPr>
                <w:rFonts w:hint="eastAsia" w:ascii="宋体" w:hAnsi="宋体" w:eastAsia="宋体" w:cs="宋体"/>
                <w:color w:val="auto"/>
                <w:highlight w:val="none"/>
              </w:rPr>
            </w:pPr>
            <w:r>
              <w:rPr>
                <w:rFonts w:hint="eastAsia" w:ascii="宋体" w:hAnsi="宋体" w:eastAsia="宋体" w:cs="宋体"/>
                <w:color w:val="auto"/>
                <w:highlight w:val="none"/>
              </w:rPr>
              <w:t>Y≥10000</w:t>
            </w:r>
          </w:p>
        </w:tc>
        <w:tc>
          <w:tcPr>
            <w:tcW w:w="1632" w:type="dxa"/>
            <w:vAlign w:val="center"/>
          </w:tcPr>
          <w:p w14:paraId="166263A4">
            <w:pPr>
              <w:jc w:val="center"/>
              <w:rPr>
                <w:rFonts w:hint="eastAsia" w:ascii="宋体" w:hAnsi="宋体" w:eastAsia="宋体" w:cs="宋体"/>
                <w:color w:val="auto"/>
                <w:highlight w:val="none"/>
              </w:rPr>
            </w:pPr>
            <w:r>
              <w:rPr>
                <w:rFonts w:hint="eastAsia" w:ascii="宋体" w:hAnsi="宋体" w:eastAsia="宋体" w:cs="宋体"/>
                <w:color w:val="auto"/>
                <w:highlight w:val="none"/>
              </w:rPr>
              <w:t>2000≤Y＜10000</w:t>
            </w:r>
          </w:p>
        </w:tc>
        <w:tc>
          <w:tcPr>
            <w:tcW w:w="1373" w:type="dxa"/>
            <w:vAlign w:val="center"/>
          </w:tcPr>
          <w:p w14:paraId="130AF79F">
            <w:pPr>
              <w:jc w:val="center"/>
              <w:rPr>
                <w:rFonts w:hint="eastAsia" w:ascii="宋体" w:hAnsi="宋体" w:eastAsia="宋体" w:cs="宋体"/>
                <w:color w:val="auto"/>
                <w:highlight w:val="none"/>
              </w:rPr>
            </w:pPr>
            <w:r>
              <w:rPr>
                <w:rFonts w:hint="eastAsia" w:ascii="宋体" w:hAnsi="宋体" w:eastAsia="宋体" w:cs="宋体"/>
                <w:color w:val="auto"/>
                <w:highlight w:val="none"/>
              </w:rPr>
              <w:t>100≤Y＜2000</w:t>
            </w:r>
          </w:p>
        </w:tc>
        <w:tc>
          <w:tcPr>
            <w:tcW w:w="1182" w:type="dxa"/>
            <w:vAlign w:val="center"/>
          </w:tcPr>
          <w:p w14:paraId="45DEE54A">
            <w:pPr>
              <w:jc w:val="center"/>
              <w:rPr>
                <w:rFonts w:hint="eastAsia" w:ascii="宋体" w:hAnsi="宋体" w:eastAsia="宋体" w:cs="宋体"/>
                <w:color w:val="auto"/>
                <w:highlight w:val="none"/>
              </w:rPr>
            </w:pPr>
            <w:r>
              <w:rPr>
                <w:rFonts w:hint="eastAsia" w:ascii="宋体" w:hAnsi="宋体" w:eastAsia="宋体" w:cs="宋体"/>
                <w:color w:val="auto"/>
                <w:highlight w:val="none"/>
              </w:rPr>
              <w:t>Y＜100</w:t>
            </w:r>
          </w:p>
        </w:tc>
      </w:tr>
      <w:tr w14:paraId="5CBA68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restart"/>
            <w:vAlign w:val="center"/>
          </w:tcPr>
          <w:p w14:paraId="77132FD7">
            <w:pPr>
              <w:jc w:val="center"/>
              <w:rPr>
                <w:rFonts w:hint="eastAsia" w:ascii="宋体" w:hAnsi="宋体" w:eastAsia="宋体" w:cs="宋体"/>
                <w:color w:val="auto"/>
                <w:highlight w:val="none"/>
              </w:rPr>
            </w:pPr>
            <w:r>
              <w:rPr>
                <w:rFonts w:hint="eastAsia" w:ascii="宋体" w:hAnsi="宋体" w:eastAsia="宋体" w:cs="宋体"/>
                <w:color w:val="auto"/>
                <w:highlight w:val="none"/>
              </w:rPr>
              <w:t>信息传输业 *</w:t>
            </w:r>
          </w:p>
        </w:tc>
        <w:tc>
          <w:tcPr>
            <w:tcW w:w="1553" w:type="dxa"/>
            <w:vAlign w:val="center"/>
          </w:tcPr>
          <w:p w14:paraId="3F63AD70">
            <w:pPr>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774" w:type="dxa"/>
            <w:vAlign w:val="center"/>
          </w:tcPr>
          <w:p w14:paraId="7A097B03">
            <w:pPr>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422" w:type="dxa"/>
            <w:vAlign w:val="center"/>
          </w:tcPr>
          <w:p w14:paraId="45E0644E">
            <w:pPr>
              <w:jc w:val="center"/>
              <w:rPr>
                <w:rFonts w:hint="eastAsia" w:ascii="宋体" w:hAnsi="宋体" w:eastAsia="宋体" w:cs="宋体"/>
                <w:color w:val="auto"/>
                <w:highlight w:val="none"/>
              </w:rPr>
            </w:pPr>
            <w:r>
              <w:rPr>
                <w:rFonts w:hint="eastAsia" w:ascii="宋体" w:hAnsi="宋体" w:eastAsia="宋体" w:cs="宋体"/>
                <w:color w:val="auto"/>
                <w:highlight w:val="none"/>
              </w:rPr>
              <w:t>X≥2000</w:t>
            </w:r>
          </w:p>
        </w:tc>
        <w:tc>
          <w:tcPr>
            <w:tcW w:w="1632" w:type="dxa"/>
            <w:vAlign w:val="center"/>
          </w:tcPr>
          <w:p w14:paraId="294AFD42">
            <w:pPr>
              <w:jc w:val="center"/>
              <w:rPr>
                <w:rFonts w:hint="eastAsia" w:ascii="宋体" w:hAnsi="宋体" w:eastAsia="宋体" w:cs="宋体"/>
                <w:color w:val="auto"/>
                <w:highlight w:val="none"/>
              </w:rPr>
            </w:pPr>
            <w:r>
              <w:rPr>
                <w:rFonts w:hint="eastAsia" w:ascii="宋体" w:hAnsi="宋体" w:eastAsia="宋体" w:cs="宋体"/>
                <w:color w:val="auto"/>
                <w:highlight w:val="none"/>
              </w:rPr>
              <w:t>100≤X＜2000</w:t>
            </w:r>
          </w:p>
        </w:tc>
        <w:tc>
          <w:tcPr>
            <w:tcW w:w="1373" w:type="dxa"/>
            <w:vAlign w:val="center"/>
          </w:tcPr>
          <w:p w14:paraId="63529769">
            <w:pPr>
              <w:jc w:val="center"/>
              <w:rPr>
                <w:rFonts w:hint="eastAsia" w:ascii="宋体" w:hAnsi="宋体" w:eastAsia="宋体" w:cs="宋体"/>
                <w:color w:val="auto"/>
                <w:highlight w:val="none"/>
              </w:rPr>
            </w:pPr>
            <w:r>
              <w:rPr>
                <w:rFonts w:hint="eastAsia" w:ascii="宋体" w:hAnsi="宋体" w:eastAsia="宋体" w:cs="宋体"/>
                <w:color w:val="auto"/>
                <w:highlight w:val="none"/>
              </w:rPr>
              <w:t>10≤X＜100</w:t>
            </w:r>
          </w:p>
        </w:tc>
        <w:tc>
          <w:tcPr>
            <w:tcW w:w="1182" w:type="dxa"/>
            <w:vAlign w:val="center"/>
          </w:tcPr>
          <w:p w14:paraId="017FD75C">
            <w:pPr>
              <w:jc w:val="center"/>
              <w:rPr>
                <w:rFonts w:hint="eastAsia" w:ascii="宋体" w:hAnsi="宋体" w:eastAsia="宋体" w:cs="宋体"/>
                <w:color w:val="auto"/>
                <w:highlight w:val="none"/>
              </w:rPr>
            </w:pPr>
            <w:r>
              <w:rPr>
                <w:rFonts w:hint="eastAsia" w:ascii="宋体" w:hAnsi="宋体" w:eastAsia="宋体" w:cs="宋体"/>
                <w:color w:val="auto"/>
                <w:highlight w:val="none"/>
              </w:rPr>
              <w:t>X＜10</w:t>
            </w:r>
          </w:p>
        </w:tc>
      </w:tr>
      <w:tr w14:paraId="47C15D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continue"/>
            <w:vAlign w:val="center"/>
          </w:tcPr>
          <w:p w14:paraId="01592EB1">
            <w:pPr>
              <w:jc w:val="center"/>
              <w:rPr>
                <w:rFonts w:hint="eastAsia" w:ascii="宋体" w:hAnsi="宋体" w:eastAsia="宋体" w:cs="宋体"/>
                <w:color w:val="auto"/>
                <w:highlight w:val="none"/>
              </w:rPr>
            </w:pPr>
          </w:p>
        </w:tc>
        <w:tc>
          <w:tcPr>
            <w:tcW w:w="1553" w:type="dxa"/>
            <w:vAlign w:val="center"/>
          </w:tcPr>
          <w:p w14:paraId="56B56866">
            <w:pPr>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774" w:type="dxa"/>
            <w:vAlign w:val="center"/>
          </w:tcPr>
          <w:p w14:paraId="010EC417">
            <w:pP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22" w:type="dxa"/>
            <w:vAlign w:val="center"/>
          </w:tcPr>
          <w:p w14:paraId="32BFC201">
            <w:pPr>
              <w:jc w:val="center"/>
              <w:rPr>
                <w:rFonts w:hint="eastAsia" w:ascii="宋体" w:hAnsi="宋体" w:eastAsia="宋体" w:cs="宋体"/>
                <w:color w:val="auto"/>
                <w:highlight w:val="none"/>
              </w:rPr>
            </w:pPr>
            <w:r>
              <w:rPr>
                <w:rFonts w:hint="eastAsia" w:ascii="宋体" w:hAnsi="宋体" w:eastAsia="宋体" w:cs="宋体"/>
                <w:color w:val="auto"/>
                <w:highlight w:val="none"/>
              </w:rPr>
              <w:t>Y≥100000</w:t>
            </w:r>
          </w:p>
        </w:tc>
        <w:tc>
          <w:tcPr>
            <w:tcW w:w="1632" w:type="dxa"/>
            <w:vAlign w:val="center"/>
          </w:tcPr>
          <w:p w14:paraId="2E5C3121">
            <w:pPr>
              <w:jc w:val="center"/>
              <w:rPr>
                <w:rFonts w:hint="eastAsia" w:ascii="宋体" w:hAnsi="宋体" w:eastAsia="宋体" w:cs="宋体"/>
                <w:color w:val="auto"/>
                <w:highlight w:val="none"/>
              </w:rPr>
            </w:pPr>
            <w:r>
              <w:rPr>
                <w:rFonts w:hint="eastAsia" w:ascii="宋体" w:hAnsi="宋体" w:eastAsia="宋体" w:cs="宋体"/>
                <w:color w:val="auto"/>
                <w:highlight w:val="none"/>
              </w:rPr>
              <w:t>1000≤Y＜100000</w:t>
            </w:r>
          </w:p>
        </w:tc>
        <w:tc>
          <w:tcPr>
            <w:tcW w:w="1373" w:type="dxa"/>
            <w:vAlign w:val="center"/>
          </w:tcPr>
          <w:p w14:paraId="1DAEB7F2">
            <w:pPr>
              <w:jc w:val="center"/>
              <w:rPr>
                <w:rFonts w:hint="eastAsia" w:ascii="宋体" w:hAnsi="宋体" w:eastAsia="宋体" w:cs="宋体"/>
                <w:color w:val="auto"/>
                <w:highlight w:val="none"/>
              </w:rPr>
            </w:pPr>
            <w:r>
              <w:rPr>
                <w:rFonts w:hint="eastAsia" w:ascii="宋体" w:hAnsi="宋体" w:eastAsia="宋体" w:cs="宋体"/>
                <w:color w:val="auto"/>
                <w:highlight w:val="none"/>
              </w:rPr>
              <w:t>100≤Y＜1000</w:t>
            </w:r>
          </w:p>
        </w:tc>
        <w:tc>
          <w:tcPr>
            <w:tcW w:w="1182" w:type="dxa"/>
            <w:vAlign w:val="center"/>
          </w:tcPr>
          <w:p w14:paraId="414FFE48">
            <w:pPr>
              <w:jc w:val="center"/>
              <w:rPr>
                <w:rFonts w:hint="eastAsia" w:ascii="宋体" w:hAnsi="宋体" w:eastAsia="宋体" w:cs="宋体"/>
                <w:color w:val="auto"/>
                <w:highlight w:val="none"/>
              </w:rPr>
            </w:pPr>
            <w:r>
              <w:rPr>
                <w:rFonts w:hint="eastAsia" w:ascii="宋体" w:hAnsi="宋体" w:eastAsia="宋体" w:cs="宋体"/>
                <w:color w:val="auto"/>
                <w:highlight w:val="none"/>
              </w:rPr>
              <w:t>Y＜100</w:t>
            </w:r>
          </w:p>
        </w:tc>
      </w:tr>
      <w:tr w14:paraId="1F4B1B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restart"/>
            <w:vAlign w:val="center"/>
          </w:tcPr>
          <w:p w14:paraId="38660359">
            <w:pPr>
              <w:jc w:val="center"/>
              <w:rPr>
                <w:rFonts w:hint="eastAsia" w:ascii="宋体" w:hAnsi="宋体" w:eastAsia="宋体" w:cs="宋体"/>
                <w:color w:val="auto"/>
                <w:highlight w:val="none"/>
              </w:rPr>
            </w:pPr>
            <w:r>
              <w:rPr>
                <w:rFonts w:hint="eastAsia" w:ascii="宋体" w:hAnsi="宋体" w:eastAsia="宋体" w:cs="宋体"/>
                <w:color w:val="auto"/>
                <w:highlight w:val="none"/>
              </w:rPr>
              <w:t>软件和信息技术服务业</w:t>
            </w:r>
          </w:p>
        </w:tc>
        <w:tc>
          <w:tcPr>
            <w:tcW w:w="1553" w:type="dxa"/>
            <w:vAlign w:val="center"/>
          </w:tcPr>
          <w:p w14:paraId="3C90D159">
            <w:pPr>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774" w:type="dxa"/>
            <w:vAlign w:val="center"/>
          </w:tcPr>
          <w:p w14:paraId="6E36D029">
            <w:pPr>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422" w:type="dxa"/>
            <w:vAlign w:val="center"/>
          </w:tcPr>
          <w:p w14:paraId="78DC3C27">
            <w:pPr>
              <w:jc w:val="center"/>
              <w:rPr>
                <w:rFonts w:hint="eastAsia" w:ascii="宋体" w:hAnsi="宋体" w:eastAsia="宋体" w:cs="宋体"/>
                <w:color w:val="auto"/>
                <w:highlight w:val="none"/>
              </w:rPr>
            </w:pPr>
            <w:r>
              <w:rPr>
                <w:rFonts w:hint="eastAsia" w:ascii="宋体" w:hAnsi="宋体" w:eastAsia="宋体" w:cs="宋体"/>
                <w:color w:val="auto"/>
                <w:highlight w:val="none"/>
              </w:rPr>
              <w:t>X≥300</w:t>
            </w:r>
          </w:p>
        </w:tc>
        <w:tc>
          <w:tcPr>
            <w:tcW w:w="1632" w:type="dxa"/>
            <w:vAlign w:val="center"/>
          </w:tcPr>
          <w:p w14:paraId="710FCB91">
            <w:pPr>
              <w:jc w:val="center"/>
              <w:rPr>
                <w:rFonts w:hint="eastAsia" w:ascii="宋体" w:hAnsi="宋体" w:eastAsia="宋体" w:cs="宋体"/>
                <w:color w:val="auto"/>
                <w:highlight w:val="none"/>
              </w:rPr>
            </w:pPr>
            <w:r>
              <w:rPr>
                <w:rFonts w:hint="eastAsia" w:ascii="宋体" w:hAnsi="宋体" w:eastAsia="宋体" w:cs="宋体"/>
                <w:color w:val="auto"/>
                <w:highlight w:val="none"/>
              </w:rPr>
              <w:t>100≤X＜300</w:t>
            </w:r>
          </w:p>
        </w:tc>
        <w:tc>
          <w:tcPr>
            <w:tcW w:w="1373" w:type="dxa"/>
            <w:vAlign w:val="center"/>
          </w:tcPr>
          <w:p w14:paraId="34269CC8">
            <w:pPr>
              <w:jc w:val="center"/>
              <w:rPr>
                <w:rFonts w:hint="eastAsia" w:ascii="宋体" w:hAnsi="宋体" w:eastAsia="宋体" w:cs="宋体"/>
                <w:color w:val="auto"/>
                <w:highlight w:val="none"/>
              </w:rPr>
            </w:pPr>
            <w:r>
              <w:rPr>
                <w:rFonts w:hint="eastAsia" w:ascii="宋体" w:hAnsi="宋体" w:eastAsia="宋体" w:cs="宋体"/>
                <w:color w:val="auto"/>
                <w:highlight w:val="none"/>
              </w:rPr>
              <w:t>10≤X＜100</w:t>
            </w:r>
          </w:p>
        </w:tc>
        <w:tc>
          <w:tcPr>
            <w:tcW w:w="1182" w:type="dxa"/>
            <w:vAlign w:val="center"/>
          </w:tcPr>
          <w:p w14:paraId="3FCC2965">
            <w:pPr>
              <w:jc w:val="center"/>
              <w:rPr>
                <w:rFonts w:hint="eastAsia" w:ascii="宋体" w:hAnsi="宋体" w:eastAsia="宋体" w:cs="宋体"/>
                <w:color w:val="auto"/>
                <w:highlight w:val="none"/>
              </w:rPr>
            </w:pPr>
            <w:r>
              <w:rPr>
                <w:rFonts w:hint="eastAsia" w:ascii="宋体" w:hAnsi="宋体" w:eastAsia="宋体" w:cs="宋体"/>
                <w:color w:val="auto"/>
                <w:highlight w:val="none"/>
              </w:rPr>
              <w:t>X＜10</w:t>
            </w:r>
          </w:p>
        </w:tc>
      </w:tr>
      <w:tr w14:paraId="6EF967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continue"/>
            <w:vAlign w:val="center"/>
          </w:tcPr>
          <w:p w14:paraId="0B4AE365">
            <w:pPr>
              <w:jc w:val="center"/>
              <w:rPr>
                <w:rFonts w:hint="eastAsia" w:ascii="宋体" w:hAnsi="宋体" w:eastAsia="宋体" w:cs="宋体"/>
                <w:color w:val="auto"/>
                <w:highlight w:val="none"/>
              </w:rPr>
            </w:pPr>
          </w:p>
        </w:tc>
        <w:tc>
          <w:tcPr>
            <w:tcW w:w="1553" w:type="dxa"/>
            <w:vAlign w:val="center"/>
          </w:tcPr>
          <w:p w14:paraId="6D2B3197">
            <w:pPr>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774" w:type="dxa"/>
            <w:vAlign w:val="center"/>
          </w:tcPr>
          <w:p w14:paraId="77A1A6F5">
            <w:pP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22" w:type="dxa"/>
            <w:vAlign w:val="center"/>
          </w:tcPr>
          <w:p w14:paraId="00820738">
            <w:pPr>
              <w:jc w:val="center"/>
              <w:rPr>
                <w:rFonts w:hint="eastAsia" w:ascii="宋体" w:hAnsi="宋体" w:eastAsia="宋体" w:cs="宋体"/>
                <w:color w:val="auto"/>
                <w:highlight w:val="none"/>
              </w:rPr>
            </w:pPr>
            <w:r>
              <w:rPr>
                <w:rFonts w:hint="eastAsia" w:ascii="宋体" w:hAnsi="宋体" w:eastAsia="宋体" w:cs="宋体"/>
                <w:color w:val="auto"/>
                <w:highlight w:val="none"/>
              </w:rPr>
              <w:t>Y≥10000</w:t>
            </w:r>
          </w:p>
        </w:tc>
        <w:tc>
          <w:tcPr>
            <w:tcW w:w="1632" w:type="dxa"/>
            <w:vAlign w:val="center"/>
          </w:tcPr>
          <w:p w14:paraId="1CF2D2B7">
            <w:pPr>
              <w:jc w:val="center"/>
              <w:rPr>
                <w:rFonts w:hint="eastAsia" w:ascii="宋体" w:hAnsi="宋体" w:eastAsia="宋体" w:cs="宋体"/>
                <w:color w:val="auto"/>
                <w:highlight w:val="none"/>
              </w:rPr>
            </w:pPr>
            <w:r>
              <w:rPr>
                <w:rFonts w:hint="eastAsia" w:ascii="宋体" w:hAnsi="宋体" w:eastAsia="宋体" w:cs="宋体"/>
                <w:color w:val="auto"/>
                <w:highlight w:val="none"/>
              </w:rPr>
              <w:t>1000≤Y＜10000</w:t>
            </w:r>
          </w:p>
        </w:tc>
        <w:tc>
          <w:tcPr>
            <w:tcW w:w="1373" w:type="dxa"/>
            <w:vAlign w:val="center"/>
          </w:tcPr>
          <w:p w14:paraId="2AD17322">
            <w:pPr>
              <w:jc w:val="center"/>
              <w:rPr>
                <w:rFonts w:hint="eastAsia" w:ascii="宋体" w:hAnsi="宋体" w:eastAsia="宋体" w:cs="宋体"/>
                <w:color w:val="auto"/>
                <w:highlight w:val="none"/>
              </w:rPr>
            </w:pPr>
            <w:r>
              <w:rPr>
                <w:rFonts w:hint="eastAsia" w:ascii="宋体" w:hAnsi="宋体" w:eastAsia="宋体" w:cs="宋体"/>
                <w:color w:val="auto"/>
                <w:highlight w:val="none"/>
              </w:rPr>
              <w:t>50≤Y＜1000</w:t>
            </w:r>
          </w:p>
        </w:tc>
        <w:tc>
          <w:tcPr>
            <w:tcW w:w="1182" w:type="dxa"/>
            <w:vAlign w:val="center"/>
          </w:tcPr>
          <w:p w14:paraId="2CF4C0CF">
            <w:pPr>
              <w:jc w:val="center"/>
              <w:rPr>
                <w:rFonts w:hint="eastAsia" w:ascii="宋体" w:hAnsi="宋体" w:eastAsia="宋体" w:cs="宋体"/>
                <w:color w:val="auto"/>
                <w:highlight w:val="none"/>
              </w:rPr>
            </w:pPr>
            <w:r>
              <w:rPr>
                <w:rFonts w:hint="eastAsia" w:ascii="宋体" w:hAnsi="宋体" w:eastAsia="宋体" w:cs="宋体"/>
                <w:color w:val="auto"/>
                <w:highlight w:val="none"/>
              </w:rPr>
              <w:t>Y＜50</w:t>
            </w:r>
          </w:p>
        </w:tc>
      </w:tr>
      <w:tr w14:paraId="1BFAD4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restart"/>
            <w:vAlign w:val="center"/>
          </w:tcPr>
          <w:p w14:paraId="2FED36FE">
            <w:pPr>
              <w:jc w:val="center"/>
              <w:rPr>
                <w:rFonts w:hint="eastAsia" w:ascii="宋体" w:hAnsi="宋体" w:eastAsia="宋体" w:cs="宋体"/>
                <w:color w:val="auto"/>
                <w:highlight w:val="none"/>
              </w:rPr>
            </w:pPr>
            <w:r>
              <w:rPr>
                <w:rFonts w:hint="eastAsia" w:ascii="宋体" w:hAnsi="宋体" w:eastAsia="宋体" w:cs="宋体"/>
                <w:color w:val="auto"/>
                <w:highlight w:val="none"/>
              </w:rPr>
              <w:t>房地产开发经营</w:t>
            </w:r>
          </w:p>
        </w:tc>
        <w:tc>
          <w:tcPr>
            <w:tcW w:w="1553" w:type="dxa"/>
            <w:vAlign w:val="center"/>
          </w:tcPr>
          <w:p w14:paraId="2E579905">
            <w:pPr>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774" w:type="dxa"/>
            <w:vAlign w:val="center"/>
          </w:tcPr>
          <w:p w14:paraId="54F14C8A">
            <w:pP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22" w:type="dxa"/>
            <w:vAlign w:val="center"/>
          </w:tcPr>
          <w:p w14:paraId="4EFAE341">
            <w:pPr>
              <w:jc w:val="center"/>
              <w:rPr>
                <w:rFonts w:hint="eastAsia" w:ascii="宋体" w:hAnsi="宋体" w:eastAsia="宋体" w:cs="宋体"/>
                <w:color w:val="auto"/>
                <w:highlight w:val="none"/>
              </w:rPr>
            </w:pPr>
            <w:r>
              <w:rPr>
                <w:rFonts w:hint="eastAsia" w:ascii="宋体" w:hAnsi="宋体" w:eastAsia="宋体" w:cs="宋体"/>
                <w:color w:val="auto"/>
                <w:highlight w:val="none"/>
              </w:rPr>
              <w:t>Y≥200000</w:t>
            </w:r>
          </w:p>
        </w:tc>
        <w:tc>
          <w:tcPr>
            <w:tcW w:w="1632" w:type="dxa"/>
            <w:vAlign w:val="center"/>
          </w:tcPr>
          <w:p w14:paraId="38FBE88E">
            <w:pPr>
              <w:jc w:val="center"/>
              <w:rPr>
                <w:rFonts w:hint="eastAsia" w:ascii="宋体" w:hAnsi="宋体" w:eastAsia="宋体" w:cs="宋体"/>
                <w:color w:val="auto"/>
                <w:highlight w:val="none"/>
              </w:rPr>
            </w:pPr>
            <w:r>
              <w:rPr>
                <w:rFonts w:hint="eastAsia" w:ascii="宋体" w:hAnsi="宋体" w:eastAsia="宋体" w:cs="宋体"/>
                <w:color w:val="auto"/>
                <w:highlight w:val="none"/>
              </w:rPr>
              <w:t>1000≤Y＜200000</w:t>
            </w:r>
          </w:p>
        </w:tc>
        <w:tc>
          <w:tcPr>
            <w:tcW w:w="1373" w:type="dxa"/>
            <w:vAlign w:val="center"/>
          </w:tcPr>
          <w:p w14:paraId="4EF506BC">
            <w:pPr>
              <w:jc w:val="center"/>
              <w:rPr>
                <w:rFonts w:hint="eastAsia" w:ascii="宋体" w:hAnsi="宋体" w:eastAsia="宋体" w:cs="宋体"/>
                <w:color w:val="auto"/>
                <w:highlight w:val="none"/>
              </w:rPr>
            </w:pPr>
            <w:r>
              <w:rPr>
                <w:rFonts w:hint="eastAsia" w:ascii="宋体" w:hAnsi="宋体" w:eastAsia="宋体" w:cs="宋体"/>
                <w:color w:val="auto"/>
                <w:highlight w:val="none"/>
              </w:rPr>
              <w:t>100≤Y＜1000</w:t>
            </w:r>
          </w:p>
        </w:tc>
        <w:tc>
          <w:tcPr>
            <w:tcW w:w="1182" w:type="dxa"/>
            <w:vAlign w:val="center"/>
          </w:tcPr>
          <w:p w14:paraId="3CB28970">
            <w:pPr>
              <w:jc w:val="center"/>
              <w:rPr>
                <w:rFonts w:hint="eastAsia" w:ascii="宋体" w:hAnsi="宋体" w:eastAsia="宋体" w:cs="宋体"/>
                <w:color w:val="auto"/>
                <w:highlight w:val="none"/>
              </w:rPr>
            </w:pPr>
            <w:r>
              <w:rPr>
                <w:rFonts w:hint="eastAsia" w:ascii="宋体" w:hAnsi="宋体" w:eastAsia="宋体" w:cs="宋体"/>
                <w:color w:val="auto"/>
                <w:highlight w:val="none"/>
              </w:rPr>
              <w:t>Y＜100</w:t>
            </w:r>
          </w:p>
        </w:tc>
      </w:tr>
      <w:tr w14:paraId="6B1932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continue"/>
            <w:vAlign w:val="center"/>
          </w:tcPr>
          <w:p w14:paraId="793C1FFD">
            <w:pPr>
              <w:jc w:val="center"/>
              <w:rPr>
                <w:rFonts w:hint="eastAsia" w:ascii="宋体" w:hAnsi="宋体" w:eastAsia="宋体" w:cs="宋体"/>
                <w:color w:val="auto"/>
                <w:highlight w:val="none"/>
              </w:rPr>
            </w:pPr>
          </w:p>
        </w:tc>
        <w:tc>
          <w:tcPr>
            <w:tcW w:w="1553" w:type="dxa"/>
            <w:vAlign w:val="center"/>
          </w:tcPr>
          <w:p w14:paraId="771FAA13">
            <w:pPr>
              <w:jc w:val="center"/>
              <w:rPr>
                <w:rFonts w:hint="eastAsia" w:ascii="宋体" w:hAnsi="宋体" w:eastAsia="宋体" w:cs="宋体"/>
                <w:color w:val="auto"/>
                <w:highlight w:val="none"/>
              </w:rPr>
            </w:pPr>
            <w:r>
              <w:rPr>
                <w:rFonts w:hint="eastAsia" w:ascii="宋体" w:hAnsi="宋体" w:eastAsia="宋体" w:cs="宋体"/>
                <w:color w:val="auto"/>
                <w:highlight w:val="none"/>
              </w:rPr>
              <w:t>资产总额(Z)</w:t>
            </w:r>
          </w:p>
        </w:tc>
        <w:tc>
          <w:tcPr>
            <w:tcW w:w="774" w:type="dxa"/>
            <w:vAlign w:val="center"/>
          </w:tcPr>
          <w:p w14:paraId="0E558FD2">
            <w:pP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22" w:type="dxa"/>
            <w:vAlign w:val="center"/>
          </w:tcPr>
          <w:p w14:paraId="6BCCB44F">
            <w:pPr>
              <w:jc w:val="center"/>
              <w:rPr>
                <w:rFonts w:hint="eastAsia" w:ascii="宋体" w:hAnsi="宋体" w:eastAsia="宋体" w:cs="宋体"/>
                <w:color w:val="auto"/>
                <w:highlight w:val="none"/>
              </w:rPr>
            </w:pPr>
            <w:r>
              <w:rPr>
                <w:rFonts w:hint="eastAsia" w:ascii="宋体" w:hAnsi="宋体" w:eastAsia="宋体" w:cs="宋体"/>
                <w:color w:val="auto"/>
                <w:highlight w:val="none"/>
              </w:rPr>
              <w:t>Z≥10000</w:t>
            </w:r>
          </w:p>
        </w:tc>
        <w:tc>
          <w:tcPr>
            <w:tcW w:w="1632" w:type="dxa"/>
            <w:vAlign w:val="center"/>
          </w:tcPr>
          <w:p w14:paraId="49182F44">
            <w:pPr>
              <w:jc w:val="center"/>
              <w:rPr>
                <w:rFonts w:hint="eastAsia" w:ascii="宋体" w:hAnsi="宋体" w:eastAsia="宋体" w:cs="宋体"/>
                <w:color w:val="auto"/>
                <w:highlight w:val="none"/>
              </w:rPr>
            </w:pPr>
            <w:r>
              <w:rPr>
                <w:rFonts w:hint="eastAsia" w:ascii="宋体" w:hAnsi="宋体" w:eastAsia="宋体" w:cs="宋体"/>
                <w:color w:val="auto"/>
                <w:highlight w:val="none"/>
              </w:rPr>
              <w:t>5000≤Z＜10000</w:t>
            </w:r>
          </w:p>
        </w:tc>
        <w:tc>
          <w:tcPr>
            <w:tcW w:w="1373" w:type="dxa"/>
            <w:vAlign w:val="center"/>
          </w:tcPr>
          <w:p w14:paraId="39C0A382">
            <w:pPr>
              <w:jc w:val="center"/>
              <w:rPr>
                <w:rFonts w:hint="eastAsia" w:ascii="宋体" w:hAnsi="宋体" w:eastAsia="宋体" w:cs="宋体"/>
                <w:color w:val="auto"/>
                <w:highlight w:val="none"/>
              </w:rPr>
            </w:pPr>
            <w:r>
              <w:rPr>
                <w:rFonts w:hint="eastAsia" w:ascii="宋体" w:hAnsi="宋体" w:eastAsia="宋体" w:cs="宋体"/>
                <w:color w:val="auto"/>
                <w:highlight w:val="none"/>
              </w:rPr>
              <w:t>2000≤Z＜5000</w:t>
            </w:r>
          </w:p>
        </w:tc>
        <w:tc>
          <w:tcPr>
            <w:tcW w:w="1182" w:type="dxa"/>
            <w:vAlign w:val="center"/>
          </w:tcPr>
          <w:p w14:paraId="1C561A4A">
            <w:pPr>
              <w:jc w:val="center"/>
              <w:rPr>
                <w:rFonts w:hint="eastAsia" w:ascii="宋体" w:hAnsi="宋体" w:eastAsia="宋体" w:cs="宋体"/>
                <w:color w:val="auto"/>
                <w:highlight w:val="none"/>
              </w:rPr>
            </w:pPr>
            <w:r>
              <w:rPr>
                <w:rFonts w:hint="eastAsia" w:ascii="宋体" w:hAnsi="宋体" w:eastAsia="宋体" w:cs="宋体"/>
                <w:color w:val="auto"/>
                <w:highlight w:val="none"/>
              </w:rPr>
              <w:t>Z＜2000</w:t>
            </w:r>
          </w:p>
        </w:tc>
      </w:tr>
      <w:tr w14:paraId="6E95CC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restart"/>
            <w:vAlign w:val="center"/>
          </w:tcPr>
          <w:p w14:paraId="4EA06081">
            <w:pPr>
              <w:jc w:val="center"/>
              <w:rPr>
                <w:rFonts w:hint="eastAsia" w:ascii="宋体" w:hAnsi="宋体" w:eastAsia="宋体" w:cs="宋体"/>
                <w:color w:val="auto"/>
                <w:highlight w:val="none"/>
              </w:rPr>
            </w:pPr>
            <w:r>
              <w:rPr>
                <w:rFonts w:hint="eastAsia" w:ascii="宋体" w:hAnsi="宋体" w:eastAsia="宋体" w:cs="宋体"/>
                <w:color w:val="auto"/>
                <w:highlight w:val="none"/>
              </w:rPr>
              <w:t>物业管理</w:t>
            </w:r>
          </w:p>
        </w:tc>
        <w:tc>
          <w:tcPr>
            <w:tcW w:w="1553" w:type="dxa"/>
            <w:vAlign w:val="center"/>
          </w:tcPr>
          <w:p w14:paraId="1275ECF8">
            <w:pPr>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774" w:type="dxa"/>
            <w:vAlign w:val="center"/>
          </w:tcPr>
          <w:p w14:paraId="00D59D63">
            <w:pPr>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422" w:type="dxa"/>
            <w:vAlign w:val="center"/>
          </w:tcPr>
          <w:p w14:paraId="6B387AE2">
            <w:pPr>
              <w:jc w:val="center"/>
              <w:rPr>
                <w:rFonts w:hint="eastAsia" w:ascii="宋体" w:hAnsi="宋体" w:eastAsia="宋体" w:cs="宋体"/>
                <w:color w:val="auto"/>
                <w:highlight w:val="none"/>
              </w:rPr>
            </w:pPr>
            <w:r>
              <w:rPr>
                <w:rFonts w:hint="eastAsia" w:ascii="宋体" w:hAnsi="宋体" w:eastAsia="宋体" w:cs="宋体"/>
                <w:color w:val="auto"/>
                <w:highlight w:val="none"/>
              </w:rPr>
              <w:t>X≥1000</w:t>
            </w:r>
          </w:p>
        </w:tc>
        <w:tc>
          <w:tcPr>
            <w:tcW w:w="1632" w:type="dxa"/>
            <w:vAlign w:val="center"/>
          </w:tcPr>
          <w:p w14:paraId="6E1E67F0">
            <w:pPr>
              <w:jc w:val="center"/>
              <w:rPr>
                <w:rFonts w:hint="eastAsia" w:ascii="宋体" w:hAnsi="宋体" w:eastAsia="宋体" w:cs="宋体"/>
                <w:color w:val="auto"/>
                <w:highlight w:val="none"/>
              </w:rPr>
            </w:pPr>
            <w:r>
              <w:rPr>
                <w:rFonts w:hint="eastAsia" w:ascii="宋体" w:hAnsi="宋体" w:eastAsia="宋体" w:cs="宋体"/>
                <w:color w:val="auto"/>
                <w:highlight w:val="none"/>
              </w:rPr>
              <w:t>300≤X＜1000</w:t>
            </w:r>
          </w:p>
        </w:tc>
        <w:tc>
          <w:tcPr>
            <w:tcW w:w="1373" w:type="dxa"/>
            <w:vAlign w:val="center"/>
          </w:tcPr>
          <w:p w14:paraId="2ADA69B8">
            <w:pPr>
              <w:jc w:val="center"/>
              <w:rPr>
                <w:rFonts w:hint="eastAsia" w:ascii="宋体" w:hAnsi="宋体" w:eastAsia="宋体" w:cs="宋体"/>
                <w:color w:val="auto"/>
                <w:highlight w:val="none"/>
              </w:rPr>
            </w:pPr>
            <w:r>
              <w:rPr>
                <w:rFonts w:hint="eastAsia" w:ascii="宋体" w:hAnsi="宋体" w:eastAsia="宋体" w:cs="宋体"/>
                <w:color w:val="auto"/>
                <w:highlight w:val="none"/>
              </w:rPr>
              <w:t>100≤X＜300</w:t>
            </w:r>
          </w:p>
        </w:tc>
        <w:tc>
          <w:tcPr>
            <w:tcW w:w="1182" w:type="dxa"/>
            <w:vAlign w:val="center"/>
          </w:tcPr>
          <w:p w14:paraId="5FB925CB">
            <w:pPr>
              <w:jc w:val="center"/>
              <w:rPr>
                <w:rFonts w:hint="eastAsia" w:ascii="宋体" w:hAnsi="宋体" w:eastAsia="宋体" w:cs="宋体"/>
                <w:color w:val="auto"/>
                <w:highlight w:val="none"/>
              </w:rPr>
            </w:pPr>
            <w:r>
              <w:rPr>
                <w:rFonts w:hint="eastAsia" w:ascii="宋体" w:hAnsi="宋体" w:eastAsia="宋体" w:cs="宋体"/>
                <w:color w:val="auto"/>
                <w:highlight w:val="none"/>
              </w:rPr>
              <w:t>X＜100</w:t>
            </w:r>
          </w:p>
        </w:tc>
      </w:tr>
      <w:tr w14:paraId="576D74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continue"/>
            <w:vAlign w:val="center"/>
          </w:tcPr>
          <w:p w14:paraId="01C59D7E">
            <w:pPr>
              <w:jc w:val="center"/>
              <w:rPr>
                <w:rFonts w:hint="eastAsia" w:ascii="宋体" w:hAnsi="宋体" w:eastAsia="宋体" w:cs="宋体"/>
                <w:color w:val="auto"/>
                <w:highlight w:val="none"/>
              </w:rPr>
            </w:pPr>
          </w:p>
        </w:tc>
        <w:tc>
          <w:tcPr>
            <w:tcW w:w="1553" w:type="dxa"/>
            <w:vAlign w:val="center"/>
          </w:tcPr>
          <w:p w14:paraId="71A73752">
            <w:pPr>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774" w:type="dxa"/>
            <w:vAlign w:val="center"/>
          </w:tcPr>
          <w:p w14:paraId="70A00D02">
            <w:pP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22" w:type="dxa"/>
            <w:vAlign w:val="center"/>
          </w:tcPr>
          <w:p w14:paraId="5F3B5F59">
            <w:pPr>
              <w:jc w:val="center"/>
              <w:rPr>
                <w:rFonts w:hint="eastAsia" w:ascii="宋体" w:hAnsi="宋体" w:eastAsia="宋体" w:cs="宋体"/>
                <w:color w:val="auto"/>
                <w:highlight w:val="none"/>
              </w:rPr>
            </w:pPr>
            <w:r>
              <w:rPr>
                <w:rFonts w:hint="eastAsia" w:ascii="宋体" w:hAnsi="宋体" w:eastAsia="宋体" w:cs="宋体"/>
                <w:color w:val="auto"/>
                <w:highlight w:val="none"/>
              </w:rPr>
              <w:t>Y≥5000</w:t>
            </w:r>
          </w:p>
        </w:tc>
        <w:tc>
          <w:tcPr>
            <w:tcW w:w="1632" w:type="dxa"/>
            <w:vAlign w:val="center"/>
          </w:tcPr>
          <w:p w14:paraId="363ECF9F">
            <w:pPr>
              <w:jc w:val="center"/>
              <w:rPr>
                <w:rFonts w:hint="eastAsia" w:ascii="宋体" w:hAnsi="宋体" w:eastAsia="宋体" w:cs="宋体"/>
                <w:color w:val="auto"/>
                <w:highlight w:val="none"/>
              </w:rPr>
            </w:pPr>
            <w:r>
              <w:rPr>
                <w:rFonts w:hint="eastAsia" w:ascii="宋体" w:hAnsi="宋体" w:eastAsia="宋体" w:cs="宋体"/>
                <w:color w:val="auto"/>
                <w:highlight w:val="none"/>
              </w:rPr>
              <w:t>1000≤Y＜5000</w:t>
            </w:r>
          </w:p>
        </w:tc>
        <w:tc>
          <w:tcPr>
            <w:tcW w:w="1373" w:type="dxa"/>
            <w:vAlign w:val="center"/>
          </w:tcPr>
          <w:p w14:paraId="54FF6FB5">
            <w:pPr>
              <w:jc w:val="center"/>
              <w:rPr>
                <w:rFonts w:hint="eastAsia" w:ascii="宋体" w:hAnsi="宋体" w:eastAsia="宋体" w:cs="宋体"/>
                <w:color w:val="auto"/>
                <w:highlight w:val="none"/>
              </w:rPr>
            </w:pPr>
            <w:r>
              <w:rPr>
                <w:rFonts w:hint="eastAsia" w:ascii="宋体" w:hAnsi="宋体" w:eastAsia="宋体" w:cs="宋体"/>
                <w:color w:val="auto"/>
                <w:highlight w:val="none"/>
              </w:rPr>
              <w:t>500≤Y＜1000</w:t>
            </w:r>
          </w:p>
        </w:tc>
        <w:tc>
          <w:tcPr>
            <w:tcW w:w="1182" w:type="dxa"/>
            <w:vAlign w:val="center"/>
          </w:tcPr>
          <w:p w14:paraId="70EBB092">
            <w:pPr>
              <w:jc w:val="center"/>
              <w:rPr>
                <w:rFonts w:hint="eastAsia" w:ascii="宋体" w:hAnsi="宋体" w:eastAsia="宋体" w:cs="宋体"/>
                <w:color w:val="auto"/>
                <w:highlight w:val="none"/>
              </w:rPr>
            </w:pPr>
            <w:r>
              <w:rPr>
                <w:rFonts w:hint="eastAsia" w:ascii="宋体" w:hAnsi="宋体" w:eastAsia="宋体" w:cs="宋体"/>
                <w:color w:val="auto"/>
                <w:highlight w:val="none"/>
              </w:rPr>
              <w:t>Y＜500</w:t>
            </w:r>
          </w:p>
        </w:tc>
      </w:tr>
      <w:tr w14:paraId="44DE7A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restart"/>
            <w:vAlign w:val="center"/>
          </w:tcPr>
          <w:p w14:paraId="0BD5221D">
            <w:pPr>
              <w:jc w:val="center"/>
              <w:rPr>
                <w:rFonts w:hint="eastAsia" w:ascii="宋体" w:hAnsi="宋体" w:eastAsia="宋体" w:cs="宋体"/>
                <w:color w:val="auto"/>
                <w:highlight w:val="none"/>
              </w:rPr>
            </w:pPr>
            <w:r>
              <w:rPr>
                <w:rFonts w:hint="eastAsia" w:ascii="宋体" w:hAnsi="宋体" w:eastAsia="宋体" w:cs="宋体"/>
                <w:color w:val="auto"/>
                <w:highlight w:val="none"/>
              </w:rPr>
              <w:t>租赁和商务服务业</w:t>
            </w:r>
          </w:p>
        </w:tc>
        <w:tc>
          <w:tcPr>
            <w:tcW w:w="1553" w:type="dxa"/>
            <w:vAlign w:val="center"/>
          </w:tcPr>
          <w:p w14:paraId="2AD2CB5C">
            <w:pPr>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774" w:type="dxa"/>
            <w:vAlign w:val="center"/>
          </w:tcPr>
          <w:p w14:paraId="72D3A382">
            <w:pPr>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422" w:type="dxa"/>
            <w:vAlign w:val="center"/>
          </w:tcPr>
          <w:p w14:paraId="13969E90">
            <w:pPr>
              <w:jc w:val="center"/>
              <w:rPr>
                <w:rFonts w:hint="eastAsia" w:ascii="宋体" w:hAnsi="宋体" w:eastAsia="宋体" w:cs="宋体"/>
                <w:color w:val="auto"/>
                <w:highlight w:val="none"/>
              </w:rPr>
            </w:pPr>
            <w:r>
              <w:rPr>
                <w:rFonts w:hint="eastAsia" w:ascii="宋体" w:hAnsi="宋体" w:eastAsia="宋体" w:cs="宋体"/>
                <w:color w:val="auto"/>
                <w:highlight w:val="none"/>
              </w:rPr>
              <w:t>X≥300</w:t>
            </w:r>
          </w:p>
        </w:tc>
        <w:tc>
          <w:tcPr>
            <w:tcW w:w="1632" w:type="dxa"/>
            <w:vAlign w:val="center"/>
          </w:tcPr>
          <w:p w14:paraId="7E6E0C05">
            <w:pPr>
              <w:jc w:val="center"/>
              <w:rPr>
                <w:rFonts w:hint="eastAsia" w:ascii="宋体" w:hAnsi="宋体" w:eastAsia="宋体" w:cs="宋体"/>
                <w:color w:val="auto"/>
                <w:highlight w:val="none"/>
              </w:rPr>
            </w:pPr>
            <w:r>
              <w:rPr>
                <w:rFonts w:hint="eastAsia" w:ascii="宋体" w:hAnsi="宋体" w:eastAsia="宋体" w:cs="宋体"/>
                <w:color w:val="auto"/>
                <w:highlight w:val="none"/>
              </w:rPr>
              <w:t>100≤X＜300</w:t>
            </w:r>
          </w:p>
        </w:tc>
        <w:tc>
          <w:tcPr>
            <w:tcW w:w="1373" w:type="dxa"/>
            <w:vAlign w:val="center"/>
          </w:tcPr>
          <w:p w14:paraId="1745CDBE">
            <w:pPr>
              <w:jc w:val="center"/>
              <w:rPr>
                <w:rFonts w:hint="eastAsia" w:ascii="宋体" w:hAnsi="宋体" w:eastAsia="宋体" w:cs="宋体"/>
                <w:color w:val="auto"/>
                <w:highlight w:val="none"/>
              </w:rPr>
            </w:pPr>
            <w:r>
              <w:rPr>
                <w:rFonts w:hint="eastAsia" w:ascii="宋体" w:hAnsi="宋体" w:eastAsia="宋体" w:cs="宋体"/>
                <w:color w:val="auto"/>
                <w:highlight w:val="none"/>
              </w:rPr>
              <w:t>10≤X＜100</w:t>
            </w:r>
          </w:p>
        </w:tc>
        <w:tc>
          <w:tcPr>
            <w:tcW w:w="1182" w:type="dxa"/>
            <w:vAlign w:val="center"/>
          </w:tcPr>
          <w:p w14:paraId="2A55F834">
            <w:pPr>
              <w:jc w:val="center"/>
              <w:rPr>
                <w:rFonts w:hint="eastAsia" w:ascii="宋体" w:hAnsi="宋体" w:eastAsia="宋体" w:cs="宋体"/>
                <w:color w:val="auto"/>
                <w:highlight w:val="none"/>
              </w:rPr>
            </w:pPr>
            <w:r>
              <w:rPr>
                <w:rFonts w:hint="eastAsia" w:ascii="宋体" w:hAnsi="宋体" w:eastAsia="宋体" w:cs="宋体"/>
                <w:color w:val="auto"/>
                <w:highlight w:val="none"/>
              </w:rPr>
              <w:t>X＜10</w:t>
            </w:r>
          </w:p>
        </w:tc>
      </w:tr>
      <w:tr w14:paraId="082366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exact"/>
          <w:jc w:val="center"/>
        </w:trPr>
        <w:tc>
          <w:tcPr>
            <w:tcW w:w="1380" w:type="dxa"/>
            <w:vMerge w:val="continue"/>
            <w:vAlign w:val="center"/>
          </w:tcPr>
          <w:p w14:paraId="1DF3097D">
            <w:pPr>
              <w:jc w:val="center"/>
              <w:rPr>
                <w:rFonts w:hint="eastAsia" w:ascii="宋体" w:hAnsi="宋体" w:eastAsia="宋体" w:cs="宋体"/>
                <w:color w:val="auto"/>
                <w:highlight w:val="none"/>
              </w:rPr>
            </w:pPr>
          </w:p>
        </w:tc>
        <w:tc>
          <w:tcPr>
            <w:tcW w:w="1553" w:type="dxa"/>
            <w:vAlign w:val="center"/>
          </w:tcPr>
          <w:p w14:paraId="47792944">
            <w:pPr>
              <w:jc w:val="center"/>
              <w:rPr>
                <w:rFonts w:hint="eastAsia" w:ascii="宋体" w:hAnsi="宋体" w:eastAsia="宋体" w:cs="宋体"/>
                <w:color w:val="auto"/>
                <w:highlight w:val="none"/>
              </w:rPr>
            </w:pPr>
            <w:r>
              <w:rPr>
                <w:rFonts w:hint="eastAsia" w:ascii="宋体" w:hAnsi="宋体" w:eastAsia="宋体" w:cs="宋体"/>
                <w:color w:val="auto"/>
                <w:highlight w:val="none"/>
              </w:rPr>
              <w:t>资产总额(Z)</w:t>
            </w:r>
          </w:p>
        </w:tc>
        <w:tc>
          <w:tcPr>
            <w:tcW w:w="774" w:type="dxa"/>
            <w:vAlign w:val="center"/>
          </w:tcPr>
          <w:p w14:paraId="70F3D085">
            <w:pPr>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422" w:type="dxa"/>
            <w:vAlign w:val="center"/>
          </w:tcPr>
          <w:p w14:paraId="3FFF0252">
            <w:pPr>
              <w:jc w:val="center"/>
              <w:rPr>
                <w:rFonts w:hint="eastAsia" w:ascii="宋体" w:hAnsi="宋体" w:eastAsia="宋体" w:cs="宋体"/>
                <w:color w:val="auto"/>
                <w:highlight w:val="none"/>
              </w:rPr>
            </w:pPr>
            <w:r>
              <w:rPr>
                <w:rFonts w:hint="eastAsia" w:ascii="宋体" w:hAnsi="宋体" w:eastAsia="宋体" w:cs="宋体"/>
                <w:color w:val="auto"/>
                <w:highlight w:val="none"/>
              </w:rPr>
              <w:t>Z≥120000</w:t>
            </w:r>
          </w:p>
        </w:tc>
        <w:tc>
          <w:tcPr>
            <w:tcW w:w="1632" w:type="dxa"/>
            <w:vAlign w:val="center"/>
          </w:tcPr>
          <w:p w14:paraId="45A0BDEE">
            <w:pPr>
              <w:jc w:val="center"/>
              <w:rPr>
                <w:rFonts w:hint="eastAsia" w:ascii="宋体" w:hAnsi="宋体" w:eastAsia="宋体" w:cs="宋体"/>
                <w:color w:val="auto"/>
                <w:highlight w:val="none"/>
              </w:rPr>
            </w:pPr>
            <w:r>
              <w:rPr>
                <w:rFonts w:hint="eastAsia" w:ascii="宋体" w:hAnsi="宋体" w:eastAsia="宋体" w:cs="宋体"/>
                <w:color w:val="auto"/>
                <w:highlight w:val="none"/>
              </w:rPr>
              <w:t>8000≤Z＜120000</w:t>
            </w:r>
          </w:p>
        </w:tc>
        <w:tc>
          <w:tcPr>
            <w:tcW w:w="1373" w:type="dxa"/>
            <w:vAlign w:val="center"/>
          </w:tcPr>
          <w:p w14:paraId="7F4AA4CD">
            <w:pPr>
              <w:jc w:val="center"/>
              <w:rPr>
                <w:rFonts w:hint="eastAsia" w:ascii="宋体" w:hAnsi="宋体" w:eastAsia="宋体" w:cs="宋体"/>
                <w:color w:val="auto"/>
                <w:highlight w:val="none"/>
              </w:rPr>
            </w:pPr>
            <w:r>
              <w:rPr>
                <w:rFonts w:hint="eastAsia" w:ascii="宋体" w:hAnsi="宋体" w:eastAsia="宋体" w:cs="宋体"/>
                <w:color w:val="auto"/>
                <w:highlight w:val="none"/>
              </w:rPr>
              <w:t>100≤Z＜8000</w:t>
            </w:r>
          </w:p>
        </w:tc>
        <w:tc>
          <w:tcPr>
            <w:tcW w:w="1182" w:type="dxa"/>
            <w:vAlign w:val="center"/>
          </w:tcPr>
          <w:p w14:paraId="50AA350B">
            <w:pPr>
              <w:jc w:val="center"/>
              <w:rPr>
                <w:rFonts w:hint="eastAsia" w:ascii="宋体" w:hAnsi="宋体" w:eastAsia="宋体" w:cs="宋体"/>
                <w:color w:val="auto"/>
                <w:highlight w:val="none"/>
              </w:rPr>
            </w:pPr>
            <w:r>
              <w:rPr>
                <w:rFonts w:hint="eastAsia" w:ascii="宋体" w:hAnsi="宋体" w:eastAsia="宋体" w:cs="宋体"/>
                <w:color w:val="auto"/>
                <w:highlight w:val="none"/>
              </w:rPr>
              <w:t>Z＜100</w:t>
            </w:r>
          </w:p>
        </w:tc>
      </w:tr>
      <w:tr w14:paraId="61CB0F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8" w:hRule="exact"/>
          <w:jc w:val="center"/>
        </w:trPr>
        <w:tc>
          <w:tcPr>
            <w:tcW w:w="1380" w:type="dxa"/>
            <w:vAlign w:val="center"/>
          </w:tcPr>
          <w:p w14:paraId="1993ECAD">
            <w:pPr>
              <w:jc w:val="center"/>
              <w:rPr>
                <w:rFonts w:hint="eastAsia" w:ascii="宋体" w:hAnsi="宋体" w:eastAsia="宋体" w:cs="宋体"/>
                <w:color w:val="auto"/>
                <w:highlight w:val="none"/>
              </w:rPr>
            </w:pPr>
            <w:r>
              <w:rPr>
                <w:rFonts w:hint="eastAsia" w:ascii="宋体" w:hAnsi="宋体" w:eastAsia="宋体" w:cs="宋体"/>
                <w:color w:val="auto"/>
                <w:highlight w:val="none"/>
              </w:rPr>
              <w:t>其他未列明行业 *</w:t>
            </w:r>
          </w:p>
        </w:tc>
        <w:tc>
          <w:tcPr>
            <w:tcW w:w="1553" w:type="dxa"/>
            <w:vAlign w:val="center"/>
          </w:tcPr>
          <w:p w14:paraId="2026E043">
            <w:pPr>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774" w:type="dxa"/>
            <w:vAlign w:val="center"/>
          </w:tcPr>
          <w:p w14:paraId="35117C49">
            <w:pPr>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422" w:type="dxa"/>
            <w:vAlign w:val="center"/>
          </w:tcPr>
          <w:p w14:paraId="2FDADC7D">
            <w:pPr>
              <w:jc w:val="center"/>
              <w:rPr>
                <w:rFonts w:hint="eastAsia" w:ascii="宋体" w:hAnsi="宋体" w:eastAsia="宋体" w:cs="宋体"/>
                <w:color w:val="auto"/>
                <w:highlight w:val="none"/>
              </w:rPr>
            </w:pPr>
            <w:r>
              <w:rPr>
                <w:rFonts w:hint="eastAsia" w:ascii="宋体" w:hAnsi="宋体" w:eastAsia="宋体" w:cs="宋体"/>
                <w:color w:val="auto"/>
                <w:highlight w:val="none"/>
              </w:rPr>
              <w:t>X≥300</w:t>
            </w:r>
          </w:p>
        </w:tc>
        <w:tc>
          <w:tcPr>
            <w:tcW w:w="1632" w:type="dxa"/>
            <w:vAlign w:val="center"/>
          </w:tcPr>
          <w:p w14:paraId="6D92D92C">
            <w:pPr>
              <w:jc w:val="center"/>
              <w:rPr>
                <w:rFonts w:hint="eastAsia" w:ascii="宋体" w:hAnsi="宋体" w:eastAsia="宋体" w:cs="宋体"/>
                <w:color w:val="auto"/>
                <w:highlight w:val="none"/>
              </w:rPr>
            </w:pPr>
            <w:r>
              <w:rPr>
                <w:rFonts w:hint="eastAsia" w:ascii="宋体" w:hAnsi="宋体" w:eastAsia="宋体" w:cs="宋体"/>
                <w:color w:val="auto"/>
                <w:highlight w:val="none"/>
              </w:rPr>
              <w:t>100≤X＜300</w:t>
            </w:r>
          </w:p>
        </w:tc>
        <w:tc>
          <w:tcPr>
            <w:tcW w:w="1373" w:type="dxa"/>
            <w:vAlign w:val="center"/>
          </w:tcPr>
          <w:p w14:paraId="210619AE">
            <w:pPr>
              <w:jc w:val="center"/>
              <w:rPr>
                <w:rFonts w:hint="eastAsia" w:ascii="宋体" w:hAnsi="宋体" w:eastAsia="宋体" w:cs="宋体"/>
                <w:color w:val="auto"/>
                <w:highlight w:val="none"/>
              </w:rPr>
            </w:pPr>
            <w:r>
              <w:rPr>
                <w:rFonts w:hint="eastAsia" w:ascii="宋体" w:hAnsi="宋体" w:eastAsia="宋体" w:cs="宋体"/>
                <w:color w:val="auto"/>
                <w:highlight w:val="none"/>
              </w:rPr>
              <w:t>10≤X＜100</w:t>
            </w:r>
          </w:p>
        </w:tc>
        <w:tc>
          <w:tcPr>
            <w:tcW w:w="1182" w:type="dxa"/>
            <w:vAlign w:val="center"/>
          </w:tcPr>
          <w:p w14:paraId="19A43451">
            <w:pPr>
              <w:jc w:val="center"/>
              <w:rPr>
                <w:rFonts w:hint="eastAsia" w:ascii="宋体" w:hAnsi="宋体" w:eastAsia="宋体" w:cs="宋体"/>
                <w:color w:val="auto"/>
                <w:highlight w:val="none"/>
              </w:rPr>
            </w:pPr>
            <w:r>
              <w:rPr>
                <w:rFonts w:hint="eastAsia" w:ascii="宋体" w:hAnsi="宋体" w:eastAsia="宋体" w:cs="宋体"/>
                <w:color w:val="auto"/>
                <w:highlight w:val="none"/>
              </w:rPr>
              <w:t>X＜10</w:t>
            </w:r>
          </w:p>
        </w:tc>
      </w:tr>
    </w:tbl>
    <w:p w14:paraId="38EB254E">
      <w:pPr>
        <w:pStyle w:val="49"/>
        <w:spacing w:line="360" w:lineRule="auto"/>
        <w:ind w:firstLine="482"/>
        <w:rPr>
          <w:rFonts w:hint="eastAsia" w:ascii="宋体" w:hAnsi="宋体" w:eastAsia="宋体" w:cs="宋体"/>
          <w:color w:val="auto"/>
          <w:highlight w:val="none"/>
        </w:rPr>
      </w:pPr>
      <w:r>
        <w:rPr>
          <w:rFonts w:hint="eastAsia" w:ascii="宋体" w:hAnsi="宋体" w:eastAsia="宋体" w:cs="宋体"/>
          <w:color w:val="auto"/>
          <w:highlight w:val="none"/>
        </w:rPr>
        <w:t>说明：</w:t>
      </w:r>
    </w:p>
    <w:p w14:paraId="136B5FF2">
      <w:pPr>
        <w:pStyle w:val="49"/>
        <w:spacing w:line="360" w:lineRule="auto"/>
        <w:ind w:firstLine="482"/>
        <w:rPr>
          <w:rFonts w:hint="eastAsia" w:ascii="宋体" w:hAnsi="宋体" w:eastAsia="宋体" w:cs="宋体"/>
          <w:color w:val="auto"/>
          <w:highlight w:val="none"/>
        </w:rPr>
      </w:pPr>
      <w:r>
        <w:rPr>
          <w:rFonts w:hint="eastAsia" w:ascii="宋体" w:hAnsi="宋体" w:eastAsia="宋体" w:cs="宋体"/>
          <w:color w:val="auto"/>
          <w:highlight w:val="none"/>
        </w:rPr>
        <w:t>（1）大型、中型和小型企业须同时满足所列指标的下限，否则下划一档；微型企业只需满足所列指标中的一项即可。</w:t>
      </w:r>
    </w:p>
    <w:p w14:paraId="47C466A3">
      <w:pPr>
        <w:pStyle w:val="49"/>
        <w:spacing w:line="360" w:lineRule="auto"/>
        <w:ind w:firstLine="482"/>
        <w:rPr>
          <w:rFonts w:hint="eastAsia" w:ascii="宋体" w:hAnsi="宋体" w:eastAsia="宋体" w:cs="宋体"/>
          <w:color w:val="auto"/>
          <w:highlight w:val="none"/>
        </w:rPr>
      </w:pPr>
      <w:r>
        <w:rPr>
          <w:rFonts w:hint="eastAsia" w:ascii="宋体" w:hAnsi="宋体" w:eastAsia="宋体" w:cs="宋体"/>
          <w:color w:val="auto"/>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BA6368F">
      <w:pPr>
        <w:pStyle w:val="49"/>
        <w:spacing w:line="360" w:lineRule="auto"/>
        <w:ind w:firstLine="482"/>
        <w:rPr>
          <w:rFonts w:hint="eastAsia" w:ascii="宋体" w:hAnsi="宋体" w:eastAsia="宋体" w:cs="宋体"/>
          <w:color w:val="auto"/>
          <w:highlight w:val="none"/>
        </w:rPr>
      </w:pPr>
      <w:r>
        <w:rPr>
          <w:rFonts w:hint="eastAsia" w:ascii="宋体" w:hAnsi="宋体" w:eastAsia="宋体" w:cs="宋体"/>
          <w:color w:val="auto"/>
          <w:highlight w:val="none"/>
        </w:rPr>
        <w:t>（3）企业划分指标以现行统计制度为准。</w:t>
      </w:r>
    </w:p>
    <w:p w14:paraId="705C365B">
      <w:pPr>
        <w:pStyle w:val="49"/>
        <w:spacing w:line="360" w:lineRule="auto"/>
        <w:ind w:firstLine="482"/>
        <w:rPr>
          <w:rFonts w:hint="eastAsia" w:ascii="宋体" w:hAnsi="宋体" w:eastAsia="宋体" w:cs="宋体"/>
          <w:color w:val="auto"/>
          <w:highlight w:val="none"/>
        </w:rPr>
      </w:pPr>
      <w:r>
        <w:rPr>
          <w:rFonts w:hint="eastAsia" w:ascii="宋体" w:hAnsi="宋体" w:eastAsia="宋体" w:cs="宋体"/>
          <w:color w:val="auto"/>
          <w:highlight w:val="none"/>
        </w:rPr>
        <w:t>1）从业人员，是指期末从业人员数，没有期末从业人员数的，采用全年平均人员数代替。</w:t>
      </w:r>
    </w:p>
    <w:p w14:paraId="367E7CB3">
      <w:pPr>
        <w:pStyle w:val="49"/>
        <w:spacing w:line="360" w:lineRule="auto"/>
        <w:ind w:firstLine="482"/>
        <w:rPr>
          <w:rFonts w:hint="eastAsia" w:ascii="宋体" w:hAnsi="宋体" w:eastAsia="宋体" w:cs="宋体"/>
          <w:color w:val="auto"/>
          <w:highlight w:val="none"/>
        </w:rPr>
      </w:pPr>
      <w:r>
        <w:rPr>
          <w:rFonts w:hint="eastAsia" w:ascii="宋体" w:hAnsi="宋体" w:eastAsia="宋体" w:cs="宋体"/>
          <w:color w:val="auto"/>
          <w:highlight w:val="none"/>
        </w:rPr>
        <w:t>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p>
    <w:p w14:paraId="7749433D">
      <w:pPr>
        <w:pStyle w:val="49"/>
        <w:spacing w:line="360" w:lineRule="auto"/>
        <w:ind w:firstLine="482"/>
        <w:rPr>
          <w:rFonts w:hint="eastAsia" w:ascii="宋体" w:hAnsi="宋体" w:eastAsia="宋体" w:cs="宋体"/>
          <w:color w:val="auto"/>
          <w:highlight w:val="none"/>
        </w:rPr>
      </w:pPr>
      <w:r>
        <w:rPr>
          <w:rFonts w:hint="eastAsia" w:ascii="宋体" w:hAnsi="宋体" w:eastAsia="宋体" w:cs="宋体"/>
          <w:color w:val="auto"/>
          <w:highlight w:val="none"/>
        </w:rPr>
        <w:t>3）资产总额，采用资产总计代替。</w:t>
      </w:r>
    </w:p>
    <w:p w14:paraId="731CE901">
      <w:pPr>
        <w:bidi w:val="0"/>
        <w:rPr>
          <w:rFonts w:hint="eastAsia" w:ascii="宋体" w:hAnsi="宋体" w:eastAsia="宋体" w:cs="宋体"/>
          <w:color w:val="auto"/>
          <w:highlight w:val="none"/>
        </w:rPr>
      </w:pPr>
    </w:p>
    <w:p w14:paraId="0996AEFC">
      <w:pPr>
        <w:pStyle w:val="5"/>
        <w:ind w:left="1318" w:right="240"/>
        <w:rPr>
          <w:rFonts w:hint="eastAsia" w:ascii="宋体" w:hAnsi="宋体" w:eastAsia="宋体" w:cs="宋体"/>
          <w:color w:val="auto"/>
          <w:highlight w:val="none"/>
        </w:rPr>
      </w:pPr>
      <w:r>
        <w:rPr>
          <w:rFonts w:hint="eastAsia" w:ascii="宋体" w:hAnsi="宋体" w:eastAsia="宋体" w:cs="宋体"/>
          <w:color w:val="auto"/>
          <w:highlight w:val="none"/>
        </w:rPr>
        <w:t>4.2.监狱企业优惠政策</w:t>
      </w:r>
    </w:p>
    <w:p w14:paraId="507C11AE">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享受价格扣除等优惠政策。</w:t>
      </w:r>
    </w:p>
    <w:p w14:paraId="74A212E0">
      <w:pPr>
        <w:pStyle w:val="5"/>
        <w:ind w:left="1318" w:right="240"/>
        <w:rPr>
          <w:rFonts w:hint="eastAsia" w:ascii="宋体" w:hAnsi="宋体" w:eastAsia="宋体" w:cs="宋体"/>
          <w:color w:val="auto"/>
          <w:highlight w:val="none"/>
        </w:rPr>
      </w:pPr>
      <w:r>
        <w:rPr>
          <w:rFonts w:hint="eastAsia" w:ascii="宋体" w:hAnsi="宋体" w:eastAsia="宋体" w:cs="宋体"/>
          <w:color w:val="auto"/>
          <w:highlight w:val="none"/>
        </w:rPr>
        <w:t>4.3残疾人福利性单位优惠政策</w:t>
      </w:r>
    </w:p>
    <w:p w14:paraId="23A5CB64">
      <w:pPr>
        <w:pStyle w:val="13"/>
        <w:spacing w:line="36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根据《关于促进残疾人就业政府采购政策的通知》（财库〔2017〕141号）的规定，残疾人福利性单位优惠政策，残疾人福利性单位参与本项目投标时，提供《残疾人福利性单位声明函》并对声明的真实性负责，视同小型、微型企业享受价格扣除等优惠政策。</w:t>
      </w:r>
    </w:p>
    <w:p w14:paraId="77D3C773">
      <w:pPr>
        <w:pStyle w:val="13"/>
        <w:spacing w:line="36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4.3.1根据《财政部、民政部、中国残疾人联合会关于促进残疾人就业政府采购政策的通知》，享受政府采购支持政策的残疾人福利性单位应当同时满足以下条件：</w:t>
      </w:r>
    </w:p>
    <w:p w14:paraId="5025761D">
      <w:pPr>
        <w:pStyle w:val="13"/>
        <w:spacing w:line="36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（1）安置的残疾人占本单位在职职工人数的比例不低于25%（含25%），并且安置的残疾人人数不少于10人（含10人）；</w:t>
      </w:r>
    </w:p>
    <w:p w14:paraId="685C5247">
      <w:pPr>
        <w:pStyle w:val="13"/>
        <w:spacing w:line="36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（2）依法与安置的每位残疾人签订了一年以上（含一年）的劳动合同或服务协议；</w:t>
      </w:r>
    </w:p>
    <w:p w14:paraId="499E8AC5">
      <w:pPr>
        <w:pStyle w:val="13"/>
        <w:spacing w:line="36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（3）为安置的每位残疾人按月足额缴纳了基本养老保险、基本医疗保险、失业保险、工伤保险和生育保险等社会保险费； </w:t>
      </w:r>
    </w:p>
    <w:p w14:paraId="37CB79CB">
      <w:pPr>
        <w:pStyle w:val="13"/>
        <w:spacing w:line="36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（4）通过银行等金融机构向安置的每位残疾人，按月支付了不低于单位所在区县适用的经省级人民政府批准的月最低工资标准的工资；</w:t>
      </w:r>
    </w:p>
    <w:p w14:paraId="2A8E7649">
      <w:pPr>
        <w:pStyle w:val="13"/>
        <w:spacing w:line="36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（5）提供本单位制造的货物、承担的工程或者服务（以下简称产品），或者提供其他残疾人福利性单位制造的货物（不包括使用非残疾人福利性单位注册商标的货物）。</w:t>
      </w:r>
    </w:p>
    <w:p w14:paraId="4814A5BA">
      <w:pPr>
        <w:pStyle w:val="13"/>
        <w:spacing w:line="36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7342734">
      <w:pPr>
        <w:pStyle w:val="13"/>
        <w:spacing w:line="36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4.3.2符合条件的残疾人福利性单位在参加政府采购活动时，应当提供《残疾人福利性单位声明函》，并对声明的真实性负责。</w:t>
      </w:r>
    </w:p>
    <w:p w14:paraId="7306B6E9">
      <w:pPr>
        <w:pStyle w:val="13"/>
        <w:spacing w:line="36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4.3.3本项目针对残疾人福利性单位产品的价格给予10%的扣除，用扣除后的价格参与评审。残疾人福利性单位属于小型、微型企业的，不重复享受政策。</w:t>
      </w:r>
    </w:p>
    <w:p w14:paraId="5D86288F">
      <w:pPr>
        <w:pStyle w:val="5"/>
        <w:ind w:left="1318" w:right="240"/>
        <w:rPr>
          <w:rFonts w:hint="eastAsia" w:ascii="宋体" w:hAnsi="宋体" w:eastAsia="宋体" w:cs="宋体"/>
          <w:color w:val="auto"/>
          <w:highlight w:val="none"/>
        </w:rPr>
      </w:pPr>
      <w:r>
        <w:rPr>
          <w:rFonts w:hint="eastAsia" w:ascii="宋体" w:hAnsi="宋体" w:eastAsia="宋体" w:cs="宋体"/>
          <w:color w:val="auto"/>
          <w:highlight w:val="none"/>
        </w:rPr>
        <w:t>4.4关于节能产品及环境标志产品：</w:t>
      </w:r>
    </w:p>
    <w:p w14:paraId="72095F9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4.4.1根据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节能产品是指列入财政部和国家发改委公布的《节能产品政府采购品目清单》中的产品，政府强制采购节能产品是指“品目清单”中以“★”标注类别的产品。</w:t>
      </w:r>
    </w:p>
    <w:p w14:paraId="7DF10871">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4.4.2投标产品属于财政部和国家发改委公布的当期《节能产品政府采购品目清单》中以“★”标注类别的节能产品，供应商需在投标文件中提供节能产品认证证书。</w:t>
      </w:r>
    </w:p>
    <w:p w14:paraId="1220820E">
      <w:pPr>
        <w:wordWrap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4.4.3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可通过中国政府采购网（http://www.cgp.gov.cn/）查阅、下载。</w:t>
      </w:r>
    </w:p>
    <w:p w14:paraId="0BCE9779">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4.4.4 同等条件下，优先采购节能产品及环境标志产品。</w:t>
      </w:r>
    </w:p>
    <w:p w14:paraId="4A1A6711">
      <w:pPr>
        <w:pStyle w:val="4"/>
        <w:rPr>
          <w:rFonts w:hint="eastAsia" w:ascii="宋体" w:hAnsi="宋体" w:eastAsia="宋体" w:cs="宋体"/>
          <w:color w:val="auto"/>
          <w:highlight w:val="none"/>
        </w:rPr>
      </w:pPr>
      <w:bookmarkStart w:id="274" w:name="_Toc517797364"/>
      <w:bookmarkStart w:id="275" w:name="_Toc246996994"/>
      <w:bookmarkStart w:id="276" w:name="_Toc152042386"/>
      <w:bookmarkStart w:id="277" w:name="_Toc179632626"/>
      <w:bookmarkStart w:id="278" w:name="_Toc515906921"/>
      <w:bookmarkStart w:id="279" w:name="_Toc247085766"/>
      <w:bookmarkStart w:id="280" w:name="_Toc246996251"/>
      <w:bookmarkStart w:id="281" w:name="_Toc28458"/>
      <w:bookmarkStart w:id="282" w:name="_Toc152045608"/>
      <w:bookmarkStart w:id="283" w:name="_Toc345600626"/>
      <w:bookmarkStart w:id="284" w:name="_Toc524948076"/>
      <w:bookmarkStart w:id="285" w:name="_Toc515905354"/>
      <w:bookmarkStart w:id="286" w:name="_Toc144974576"/>
      <w:bookmarkStart w:id="287" w:name="_Toc521488391"/>
      <w:r>
        <w:rPr>
          <w:rFonts w:hint="eastAsia" w:ascii="宋体" w:hAnsi="宋体" w:eastAsia="宋体" w:cs="宋体"/>
          <w:color w:val="auto"/>
          <w:highlight w:val="none"/>
        </w:rPr>
        <w:t>5.评标结果</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6831E52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5.1采购代理机构应当自评审结束之日起2个工作日内将评审报告送交采购人。采购人应当自收到评审报告之日起5个工作日内在评审报告推荐的中标或者成交候选人中按顺序确定中标或者成交供应商。成交候选人并列的，由采购人或者采购人委托评标委员会按照招标文件规定的方式确定成交人；招标文件未规定的，采取随机抽取的方式确定。</w:t>
      </w:r>
    </w:p>
    <w:p w14:paraId="6143CEA1">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5.2采购人或者采购代理机构应当自中标、成交供应商确定之日起2个工作日内，发出中标、成交通知书，并在省级以上人民政府财政部门指定的媒体上公告中标、成交结果；</w:t>
      </w:r>
    </w:p>
    <w:p w14:paraId="1BE0CA41">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5.3采购人在收到评标报告5个工作日内未按评标报告推荐的成交候选人顺序确定成交人，又不能说明合法理由的，视同按评标报告推荐的顺序确定排名第一的成交候选人为成交人。</w:t>
      </w:r>
    </w:p>
    <w:p w14:paraId="1D9C3F54">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5.4评标委员会完成评审后，应当向采购人提交书面评标报告。</w:t>
      </w:r>
    </w:p>
    <w:p w14:paraId="5BB73E64">
      <w:pPr>
        <w:spacing w:line="360" w:lineRule="auto"/>
        <w:rPr>
          <w:rFonts w:hint="eastAsia" w:ascii="宋体" w:hAnsi="宋体" w:eastAsia="宋体" w:cs="宋体"/>
          <w:b/>
          <w:bCs/>
          <w:color w:val="auto"/>
          <w:highlight w:val="none"/>
        </w:rPr>
      </w:pPr>
      <w:bookmarkStart w:id="288" w:name="_Toc453512552"/>
      <w:bookmarkStart w:id="289" w:name="_Toc28113"/>
      <w:bookmarkStart w:id="290" w:name="_Toc524948077"/>
      <w:bookmarkStart w:id="291" w:name="_Toc534621433"/>
      <w:bookmarkStart w:id="292" w:name="_Toc521488392"/>
      <w:bookmarkStart w:id="293" w:name="_Toc6491"/>
      <w:bookmarkStart w:id="294" w:name="_Toc465691744"/>
      <w:bookmarkStart w:id="295" w:name="_Toc515905355"/>
      <w:bookmarkStart w:id="296" w:name="_Toc515906922"/>
      <w:bookmarkStart w:id="297" w:name="_Toc416851280"/>
      <w:bookmarkStart w:id="298" w:name="_Toc517797365"/>
      <w:bookmarkStart w:id="299" w:name="_Toc326744023"/>
      <w:bookmarkStart w:id="300" w:name="_Toc367109380"/>
      <w:bookmarkStart w:id="301" w:name="_Toc33607520"/>
      <w:bookmarkStart w:id="302" w:name="_Toc248738550"/>
      <w:bookmarkStart w:id="303" w:name="_Toc412457298"/>
      <w:bookmarkStart w:id="304" w:name="_Toc414360606"/>
      <w:r>
        <w:rPr>
          <w:rFonts w:hint="eastAsia" w:ascii="宋体" w:hAnsi="宋体" w:eastAsia="宋体" w:cs="宋体"/>
          <w:b/>
          <w:bCs/>
          <w:color w:val="auto"/>
          <w:highlight w:val="none"/>
        </w:rPr>
        <w:br w:type="page"/>
      </w:r>
      <w:r>
        <w:rPr>
          <w:rFonts w:hint="eastAsia" w:ascii="宋体" w:hAnsi="宋体" w:eastAsia="宋体" w:cs="宋体"/>
          <w:b/>
          <w:bCs/>
          <w:color w:val="auto"/>
          <w:highlight w:val="none"/>
        </w:rPr>
        <w:t>附件A：评标详细程序</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0ACD0FB3">
      <w:pPr>
        <w:jc w:val="center"/>
        <w:rPr>
          <w:rFonts w:hint="eastAsia" w:ascii="宋体" w:hAnsi="宋体" w:eastAsia="宋体" w:cs="宋体"/>
          <w:b/>
          <w:color w:val="auto"/>
          <w:highlight w:val="none"/>
        </w:rPr>
      </w:pPr>
      <w:r>
        <w:rPr>
          <w:rFonts w:hint="eastAsia" w:ascii="宋体" w:hAnsi="宋体" w:eastAsia="宋体" w:cs="宋体"/>
          <w:b/>
          <w:color w:val="auto"/>
          <w:highlight w:val="none"/>
        </w:rPr>
        <w:t>评标详细程序</w:t>
      </w:r>
    </w:p>
    <w:p w14:paraId="4EDFD963">
      <w:pPr>
        <w:pStyle w:val="5"/>
        <w:ind w:left="1318" w:right="240"/>
        <w:rPr>
          <w:rFonts w:hint="eastAsia" w:ascii="宋体" w:hAnsi="宋体" w:eastAsia="宋体" w:cs="宋体"/>
          <w:color w:val="auto"/>
          <w:highlight w:val="none"/>
        </w:rPr>
      </w:pPr>
      <w:bookmarkStart w:id="305" w:name="_Toc515906923"/>
      <w:bookmarkStart w:id="306" w:name="_Toc18264"/>
      <w:bookmarkStart w:id="307" w:name="_Toc515905356"/>
      <w:bookmarkStart w:id="308" w:name="_Toc521488393"/>
      <w:bookmarkStart w:id="309" w:name="_Toc524948078"/>
      <w:bookmarkStart w:id="310" w:name="_Toc517797366"/>
      <w:r>
        <w:rPr>
          <w:rFonts w:hint="eastAsia" w:ascii="宋体" w:hAnsi="宋体" w:eastAsia="宋体" w:cs="宋体"/>
          <w:color w:val="auto"/>
          <w:highlight w:val="none"/>
        </w:rPr>
        <w:t>A0.总则</w:t>
      </w:r>
      <w:bookmarkEnd w:id="305"/>
      <w:bookmarkEnd w:id="306"/>
      <w:bookmarkEnd w:id="307"/>
      <w:bookmarkEnd w:id="308"/>
      <w:bookmarkEnd w:id="309"/>
      <w:bookmarkEnd w:id="310"/>
    </w:p>
    <w:p w14:paraId="09BDF1BC">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本附件是本章“评标办法”的组成部分，是对本章所规定的评标程序的进一步细化，评标委员会应当按照本附件所规定的详细程序开展并完成评审工作。</w:t>
      </w:r>
    </w:p>
    <w:p w14:paraId="41F9A119">
      <w:pPr>
        <w:pStyle w:val="5"/>
        <w:ind w:left="1318" w:right="240"/>
        <w:rPr>
          <w:rFonts w:hint="eastAsia" w:ascii="宋体" w:hAnsi="宋体" w:eastAsia="宋体" w:cs="宋体"/>
          <w:color w:val="auto"/>
          <w:highlight w:val="none"/>
        </w:rPr>
      </w:pPr>
      <w:bookmarkStart w:id="311" w:name="_Toc515906924"/>
      <w:bookmarkStart w:id="312" w:name="_Toc521488394"/>
      <w:bookmarkStart w:id="313" w:name="_Toc515905357"/>
      <w:bookmarkStart w:id="314" w:name="_Toc15909"/>
      <w:bookmarkStart w:id="315" w:name="_Toc517797367"/>
      <w:bookmarkStart w:id="316" w:name="_Toc524948079"/>
      <w:r>
        <w:rPr>
          <w:rFonts w:hint="eastAsia" w:ascii="宋体" w:hAnsi="宋体" w:eastAsia="宋体" w:cs="宋体"/>
          <w:color w:val="auto"/>
          <w:highlight w:val="none"/>
        </w:rPr>
        <w:t>A1.基本程序</w:t>
      </w:r>
      <w:bookmarkEnd w:id="311"/>
      <w:bookmarkEnd w:id="312"/>
      <w:bookmarkEnd w:id="313"/>
      <w:bookmarkEnd w:id="314"/>
      <w:bookmarkEnd w:id="315"/>
      <w:bookmarkEnd w:id="316"/>
    </w:p>
    <w:p w14:paraId="63D2857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评标活动将按以下五个步骤进行：</w:t>
      </w:r>
    </w:p>
    <w:p w14:paraId="3D84FD4B">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（1）清标：进入评审阶段时，评委首先采用核对、比较、筛选等方法，对投标文件进行基础性的数据分析和整理工作；</w:t>
      </w:r>
    </w:p>
    <w:p w14:paraId="18366E95">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（2）资格评审标准；详见“评标办法须知前附表”；</w:t>
      </w:r>
    </w:p>
    <w:p w14:paraId="4516B083">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（3）符合性审查标准；详见“评标办法须知前附表”；</w:t>
      </w:r>
    </w:p>
    <w:p w14:paraId="24910C7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（4）详细评审；详见本章附件A</w:t>
      </w:r>
    </w:p>
    <w:p w14:paraId="390443C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（5）推荐成交候选人或者直接确定成交人及提交评标报告。</w:t>
      </w:r>
    </w:p>
    <w:p w14:paraId="550E8FC1">
      <w:pPr>
        <w:pStyle w:val="5"/>
        <w:ind w:left="1318" w:right="240"/>
        <w:rPr>
          <w:rFonts w:hint="eastAsia" w:ascii="宋体" w:hAnsi="宋体" w:eastAsia="宋体" w:cs="宋体"/>
          <w:color w:val="auto"/>
          <w:highlight w:val="none"/>
        </w:rPr>
      </w:pPr>
      <w:bookmarkStart w:id="317" w:name="_Toc524948080"/>
      <w:bookmarkStart w:id="318" w:name="_Toc515905358"/>
      <w:bookmarkStart w:id="319" w:name="_Toc517797368"/>
      <w:bookmarkStart w:id="320" w:name="_Toc1058"/>
      <w:bookmarkStart w:id="321" w:name="_Toc521488395"/>
      <w:bookmarkStart w:id="322" w:name="_Toc515906925"/>
      <w:r>
        <w:rPr>
          <w:rFonts w:hint="eastAsia" w:ascii="宋体" w:hAnsi="宋体" w:eastAsia="宋体" w:cs="宋体"/>
          <w:color w:val="auto"/>
          <w:highlight w:val="none"/>
        </w:rPr>
        <w:t>A2.评标准备</w:t>
      </w:r>
      <w:bookmarkEnd w:id="317"/>
      <w:bookmarkEnd w:id="318"/>
      <w:bookmarkEnd w:id="319"/>
      <w:bookmarkEnd w:id="320"/>
      <w:bookmarkEnd w:id="321"/>
      <w:bookmarkEnd w:id="322"/>
    </w:p>
    <w:p w14:paraId="7B050194">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A2.1评标委员会成员签到</w:t>
      </w:r>
    </w:p>
    <w:p w14:paraId="5AD6103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评标委员会成员到达评标现场时应在签到表上签到以证明其出席。</w:t>
      </w:r>
    </w:p>
    <w:p w14:paraId="79B6C8A3">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A2.2评标委员会的分工</w:t>
      </w:r>
    </w:p>
    <w:p w14:paraId="7B100D90">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评标委员会首先推选一名评标委员会主任。采购人代表不得作为评标委员会主任。评标委员会主任负责评标活动的组织领导工作。</w:t>
      </w:r>
    </w:p>
    <w:p w14:paraId="0BBDE68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A2.3熟悉文件资料</w:t>
      </w:r>
    </w:p>
    <w:p w14:paraId="5C055315">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2.3.1评标委员会主任应组织评标委员会成员认真研究招标文件，了解和熟悉招标目的、主要合同条件、技术标准、质量标准要求等，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审依据。</w:t>
      </w:r>
    </w:p>
    <w:p w14:paraId="0D6804A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2.3.2采购人或采购代理机构应向评标委员会提供评标所需的信息和数据，包括招标文件、未在开标会上当场拒绝的各投标文件、开标会记录、投标控制价、有关的法律、法规、规章、国家标准以及采购人或评标委员会认为必要的其他信息和数据。</w:t>
      </w:r>
    </w:p>
    <w:p w14:paraId="406784C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A2.4对投标文件进行基础性数据分析和整理工作</w:t>
      </w:r>
    </w:p>
    <w:p w14:paraId="3FA38ECF">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供应商接到评标委员会发出的问题澄清通知后，应按评标委员会的要求提供书面澄清资料并按要求进行密封，在规定的时间递交到指定地点。供应商递交的书面澄清资料由评标委员会开启。</w:t>
      </w:r>
    </w:p>
    <w:p w14:paraId="1181ECD4">
      <w:pPr>
        <w:pStyle w:val="5"/>
        <w:ind w:left="1318" w:right="240"/>
        <w:rPr>
          <w:rFonts w:hint="eastAsia" w:ascii="宋体" w:hAnsi="宋体" w:eastAsia="宋体" w:cs="宋体"/>
          <w:color w:val="auto"/>
          <w:highlight w:val="none"/>
        </w:rPr>
      </w:pPr>
      <w:bookmarkStart w:id="323" w:name="_Toc515905359"/>
      <w:bookmarkStart w:id="324" w:name="_Toc524948081"/>
      <w:bookmarkStart w:id="325" w:name="_Toc517797369"/>
      <w:bookmarkStart w:id="326" w:name="_Toc27882"/>
      <w:bookmarkStart w:id="327" w:name="_Toc521488396"/>
      <w:bookmarkStart w:id="328" w:name="_Toc515906926"/>
      <w:r>
        <w:rPr>
          <w:rFonts w:hint="eastAsia" w:ascii="宋体" w:hAnsi="宋体" w:eastAsia="宋体" w:cs="宋体"/>
          <w:color w:val="auto"/>
          <w:highlight w:val="none"/>
        </w:rPr>
        <w:t>A3.初步评审</w:t>
      </w:r>
      <w:bookmarkEnd w:id="323"/>
      <w:bookmarkEnd w:id="324"/>
      <w:bookmarkEnd w:id="325"/>
      <w:bookmarkEnd w:id="326"/>
      <w:bookmarkEnd w:id="327"/>
      <w:bookmarkEnd w:id="328"/>
    </w:p>
    <w:p w14:paraId="450F520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A3.1资格评审</w:t>
      </w:r>
    </w:p>
    <w:p w14:paraId="66D6337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招标代理公司根据评标办法前附表中规定的评审因素和评审标准，对供应商递交的资料进行审核，并记录审核结果。不通过资格评审的不得进入下一步评审。</w:t>
      </w:r>
    </w:p>
    <w:p w14:paraId="15D3D217">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A3.3符合性评审</w:t>
      </w:r>
    </w:p>
    <w:p w14:paraId="39EDC6F9">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评标委员会根据评标办法前附表中规定的评审因素和评审标准，对供应商的投标文件进行符合性评审，并记录评审结果。不通过符合性评审的不得进入下一步评审。</w:t>
      </w:r>
    </w:p>
    <w:p w14:paraId="0B511E85">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A3.4判断投标是否为否决投标</w:t>
      </w:r>
    </w:p>
    <w:p w14:paraId="30204E46">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A3.4.1判断供应商的投标是否为否决投标的全部条件，在本章附件B中集中列示。</w:t>
      </w:r>
    </w:p>
    <w:p w14:paraId="64CEB337">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A3.4.2评标委员会在评标过程中，依据本章附件B中规定的否决竞标条件判断供应商的投标是否决投标。</w:t>
      </w:r>
    </w:p>
    <w:p w14:paraId="3233A419">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A3.5算术错误修正</w:t>
      </w:r>
    </w:p>
    <w:p w14:paraId="175AA467">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评标委员会依据本章中规定的相关原则对投标报价中存在的算术错误进行修正，并根据算术错误修正结果计算评标价。</w:t>
      </w:r>
    </w:p>
    <w:p w14:paraId="784DB5C6">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A3.6澄清、说明或补正</w:t>
      </w:r>
    </w:p>
    <w:p w14:paraId="7BDDC49B">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在初步评审过程中，评标委员会应当就投标文件中不明确的内容要求供应商进行澄清、说明或者补正。供应商应当根据问题澄清通知要求，以书面形式予以澄清、说明或者补正。澄清、说明或补正根据本章第3.</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款的规定进行。</w:t>
      </w:r>
    </w:p>
    <w:p w14:paraId="2D4C6918">
      <w:pPr>
        <w:pStyle w:val="5"/>
        <w:ind w:left="0" w:leftChars="0" w:right="240" w:firstLine="0"/>
        <w:rPr>
          <w:rFonts w:hint="eastAsia" w:ascii="宋体" w:hAnsi="宋体" w:eastAsia="宋体" w:cs="宋体"/>
          <w:color w:val="auto"/>
          <w:szCs w:val="24"/>
          <w:highlight w:val="none"/>
        </w:rPr>
      </w:pPr>
      <w:bookmarkStart w:id="329" w:name="_Toc521488397"/>
      <w:bookmarkStart w:id="330" w:name="_Toc524948082"/>
      <w:bookmarkStart w:id="331" w:name="_Toc517797370"/>
      <w:bookmarkStart w:id="332" w:name="_Toc515906927"/>
      <w:bookmarkStart w:id="333" w:name="_Toc5255"/>
      <w:bookmarkStart w:id="334" w:name="_Toc515905360"/>
      <w:r>
        <w:rPr>
          <w:rFonts w:hint="eastAsia" w:ascii="宋体" w:hAnsi="宋体" w:eastAsia="宋体" w:cs="宋体"/>
          <w:color w:val="auto"/>
          <w:highlight w:val="none"/>
        </w:rPr>
        <w:t>A4.</w:t>
      </w:r>
      <w:bookmarkEnd w:id="302"/>
      <w:bookmarkEnd w:id="303"/>
      <w:bookmarkEnd w:id="304"/>
      <w:r>
        <w:rPr>
          <w:rFonts w:hint="eastAsia" w:ascii="宋体" w:hAnsi="宋体" w:eastAsia="宋体" w:cs="宋体"/>
          <w:color w:val="auto"/>
          <w:highlight w:val="none"/>
        </w:rPr>
        <w:t>详细评审</w:t>
      </w:r>
      <w:bookmarkEnd w:id="329"/>
      <w:bookmarkEnd w:id="330"/>
      <w:bookmarkEnd w:id="331"/>
      <w:bookmarkEnd w:id="332"/>
      <w:bookmarkEnd w:id="333"/>
      <w:bookmarkEnd w:id="334"/>
    </w:p>
    <w:p w14:paraId="58CC8F97">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A4.1评标委员会将按照本章规定，仅对在实质上响应招标文件要求的投标文件进行评估和比较。</w:t>
      </w:r>
    </w:p>
    <w:p w14:paraId="1EDB9C64">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A4.2在评审过程中，评标委员会可以以书面形式要求供应商就投标文件中含义不明确的内容进行书面说明并提供相关材料。</w:t>
      </w:r>
    </w:p>
    <w:p w14:paraId="3A693F74">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A4.3评标委员会依据本招标文件规定的评标标准和方法，对投标文件进行评审和比较，向采购人提出书面评标报告，并应按照供应商最终综合得分的高低推荐成交候选人，并标明排列顺序。</w:t>
      </w:r>
    </w:p>
    <w:p w14:paraId="0F3B0519">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A4.4本项目采用综合评估打分法进行评审，对有效供应商提交的投标文件中报价、技术部分打分后，再按下列公式计算出供应商的最后得分：</w:t>
      </w:r>
    </w:p>
    <w:p w14:paraId="61CA9D99">
      <w:pPr>
        <w:spacing w:line="360" w:lineRule="auto"/>
        <w:ind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Z= F1+F2</w:t>
      </w:r>
    </w:p>
    <w:p w14:paraId="5DF328B7">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其中：</w:t>
      </w:r>
    </w:p>
    <w:p w14:paraId="370B14A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Z：指供应商的最后得分；</w:t>
      </w:r>
    </w:p>
    <w:p w14:paraId="6EAEB0E0">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F1：指供应商的报价部分得分：</w:t>
      </w:r>
    </w:p>
    <w:p w14:paraId="14A84DAF">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F2：指供应商的技术部分评审得分；</w:t>
      </w:r>
    </w:p>
    <w:p w14:paraId="243C81A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F3：指供应商的商务部分评审得分；</w:t>
      </w:r>
    </w:p>
    <w:p w14:paraId="29345671">
      <w:pPr>
        <w:outlineLvl w:val="1"/>
        <w:rPr>
          <w:rFonts w:hint="eastAsia" w:ascii="宋体" w:hAnsi="宋体" w:eastAsia="宋体" w:cs="宋体"/>
          <w:b/>
          <w:bCs/>
          <w:color w:val="auto"/>
          <w:sz w:val="28"/>
          <w:szCs w:val="28"/>
          <w:highlight w:val="none"/>
        </w:rPr>
      </w:pPr>
      <w:bookmarkStart w:id="335" w:name="_Toc7234"/>
      <w:bookmarkStart w:id="336" w:name="_Toc8354"/>
      <w:bookmarkStart w:id="337" w:name="_Toc22984"/>
      <w:r>
        <w:rPr>
          <w:rFonts w:hint="eastAsia" w:ascii="宋体" w:hAnsi="宋体" w:eastAsia="宋体" w:cs="宋体"/>
          <w:b/>
          <w:bCs/>
          <w:color w:val="auto"/>
          <w:sz w:val="28"/>
          <w:szCs w:val="28"/>
          <w:highlight w:val="none"/>
        </w:rPr>
        <w:br w:type="page"/>
      </w:r>
      <w:bookmarkStart w:id="338" w:name="_Toc29792"/>
      <w:r>
        <w:rPr>
          <w:rFonts w:hint="eastAsia" w:ascii="宋体" w:hAnsi="宋体" w:eastAsia="宋体" w:cs="宋体"/>
          <w:b/>
          <w:bCs/>
          <w:color w:val="auto"/>
          <w:sz w:val="28"/>
          <w:szCs w:val="28"/>
          <w:highlight w:val="none"/>
        </w:rPr>
        <w:t>A5.详细评审细则</w:t>
      </w:r>
      <w:bookmarkEnd w:id="335"/>
      <w:bookmarkEnd w:id="336"/>
      <w:bookmarkEnd w:id="337"/>
      <w:r>
        <w:rPr>
          <w:rFonts w:hint="eastAsia" w:ascii="宋体" w:hAnsi="宋体" w:eastAsia="宋体" w:cs="宋体"/>
          <w:b/>
          <w:bCs/>
          <w:color w:val="auto"/>
          <w:sz w:val="28"/>
          <w:szCs w:val="28"/>
          <w:highlight w:val="none"/>
        </w:rPr>
        <w:t>（满分100分）</w:t>
      </w:r>
      <w:bookmarkEnd w:id="338"/>
    </w:p>
    <w:p w14:paraId="3251CBAA">
      <w:pPr>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附件A-1：详细评审表（满分100分）</w:t>
      </w:r>
    </w:p>
    <w:tbl>
      <w:tblPr>
        <w:tblStyle w:val="26"/>
        <w:tblW w:w="10032" w:type="dxa"/>
        <w:jc w:val="center"/>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1632"/>
        <w:gridCol w:w="1827"/>
        <w:gridCol w:w="6573"/>
      </w:tblGrid>
      <w:tr w14:paraId="0E1759EA">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32" w:type="dxa"/>
            <w:tcBorders>
              <w:tl2br w:val="nil"/>
              <w:tr2bl w:val="nil"/>
            </w:tcBorders>
            <w:vAlign w:val="center"/>
          </w:tcPr>
          <w:p w14:paraId="016B8DBB">
            <w:pPr>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评审项目</w:t>
            </w:r>
          </w:p>
        </w:tc>
        <w:tc>
          <w:tcPr>
            <w:tcW w:w="1827" w:type="dxa"/>
            <w:tcBorders>
              <w:tl2br w:val="nil"/>
              <w:tr2bl w:val="nil"/>
            </w:tcBorders>
            <w:vAlign w:val="center"/>
          </w:tcPr>
          <w:p w14:paraId="53ED5832">
            <w:pPr>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评审因素</w:t>
            </w:r>
          </w:p>
        </w:tc>
        <w:tc>
          <w:tcPr>
            <w:tcW w:w="6573" w:type="dxa"/>
            <w:tcBorders>
              <w:tl2br w:val="nil"/>
              <w:tr2bl w:val="nil"/>
            </w:tcBorders>
            <w:vAlign w:val="center"/>
          </w:tcPr>
          <w:p w14:paraId="1A244D83">
            <w:pPr>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评分标准</w:t>
            </w:r>
          </w:p>
        </w:tc>
      </w:tr>
      <w:tr w14:paraId="04B460D2">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4119" w:hRule="atLeast"/>
          <w:jc w:val="center"/>
        </w:trPr>
        <w:tc>
          <w:tcPr>
            <w:tcW w:w="1632" w:type="dxa"/>
            <w:tcBorders>
              <w:tl2br w:val="nil"/>
              <w:tr2bl w:val="nil"/>
            </w:tcBorders>
            <w:vAlign w:val="center"/>
          </w:tcPr>
          <w:p w14:paraId="08B7DD3A">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报价部分F1</w:t>
            </w:r>
          </w:p>
          <w:p w14:paraId="0264962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（满分30分）</w:t>
            </w:r>
          </w:p>
        </w:tc>
        <w:tc>
          <w:tcPr>
            <w:tcW w:w="1827" w:type="dxa"/>
            <w:tcBorders>
              <w:tl2br w:val="nil"/>
              <w:tr2bl w:val="nil"/>
            </w:tcBorders>
            <w:vAlign w:val="center"/>
          </w:tcPr>
          <w:p w14:paraId="1CADE258">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报价评审</w:t>
            </w:r>
          </w:p>
          <w:p w14:paraId="5A17784A">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（满分30分）</w:t>
            </w:r>
          </w:p>
        </w:tc>
        <w:tc>
          <w:tcPr>
            <w:tcW w:w="6573" w:type="dxa"/>
            <w:tcBorders>
              <w:tl2br w:val="nil"/>
              <w:tr2bl w:val="nil"/>
            </w:tcBorders>
            <w:vAlign w:val="center"/>
          </w:tcPr>
          <w:p w14:paraId="1C08BD8D">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①当供应商的</w:t>
            </w:r>
            <w:r>
              <w:rPr>
                <w:rFonts w:hint="eastAsia" w:ascii="宋体" w:hAnsi="宋体" w:eastAsia="宋体" w:cs="宋体"/>
                <w:color w:val="auto"/>
                <w:highlight w:val="none"/>
                <w:lang w:eastAsia="zh-CN"/>
              </w:rPr>
              <w:t>投标总报价（含税）</w:t>
            </w:r>
            <w:r>
              <w:rPr>
                <w:rFonts w:hint="eastAsia" w:ascii="宋体" w:hAnsi="宋体" w:eastAsia="宋体" w:cs="宋体"/>
                <w:color w:val="auto"/>
                <w:highlight w:val="none"/>
              </w:rPr>
              <w:t>高于本项目预算总价（最高限价）的为无效报价，其投标报价为0分；</w:t>
            </w:r>
          </w:p>
          <w:p w14:paraId="16BCB635">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②当供应商的</w:t>
            </w:r>
            <w:r>
              <w:rPr>
                <w:rFonts w:hint="eastAsia" w:ascii="宋体" w:hAnsi="宋体" w:eastAsia="宋体" w:cs="宋体"/>
                <w:color w:val="auto"/>
                <w:highlight w:val="none"/>
                <w:lang w:eastAsia="zh-CN"/>
              </w:rPr>
              <w:t>投标总报价（含税）</w:t>
            </w:r>
            <w:r>
              <w:rPr>
                <w:rFonts w:hint="eastAsia" w:ascii="宋体" w:hAnsi="宋体" w:eastAsia="宋体" w:cs="宋体"/>
                <w:color w:val="auto"/>
                <w:highlight w:val="none"/>
              </w:rPr>
              <w:t>等于或低于本项目预算总价（最高限价）的为有效报价。</w:t>
            </w:r>
          </w:p>
          <w:p w14:paraId="64121593">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③在有效投标报价范围内的</w:t>
            </w:r>
            <w:r>
              <w:rPr>
                <w:rFonts w:hint="eastAsia" w:ascii="宋体" w:hAnsi="宋体" w:eastAsia="宋体" w:cs="宋体"/>
                <w:color w:val="auto"/>
                <w:highlight w:val="none"/>
                <w:lang w:eastAsia="zh-CN"/>
              </w:rPr>
              <w:t>投标总报价（含税）</w:t>
            </w:r>
            <w:r>
              <w:rPr>
                <w:rFonts w:hint="eastAsia" w:ascii="宋体" w:hAnsi="宋体" w:eastAsia="宋体" w:cs="宋体"/>
                <w:color w:val="auto"/>
                <w:highlight w:val="none"/>
              </w:rPr>
              <w:t>最低者为评标基准价，其价格分为满分30分；其他供应商的</w:t>
            </w:r>
            <w:r>
              <w:rPr>
                <w:rFonts w:hint="eastAsia" w:ascii="宋体" w:hAnsi="宋体" w:eastAsia="宋体" w:cs="宋体"/>
                <w:color w:val="auto"/>
                <w:highlight w:val="none"/>
                <w:lang w:eastAsia="zh-CN"/>
              </w:rPr>
              <w:t>投标总报价（含税）</w:t>
            </w:r>
            <w:r>
              <w:rPr>
                <w:rFonts w:hint="eastAsia" w:ascii="宋体" w:hAnsi="宋体" w:eastAsia="宋体" w:cs="宋体"/>
                <w:color w:val="auto"/>
                <w:highlight w:val="none"/>
              </w:rPr>
              <w:t>按下列公式计算其报价得分：（如果计算中出现小数点，则按四舍五入计数至小数点后两位。）</w:t>
            </w:r>
          </w:p>
          <w:p w14:paraId="52418E51">
            <w:pPr>
              <w:pStyle w:val="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④评标过程中，不得去掉报价中的最高报价和最低报价。</w:t>
            </w:r>
          </w:p>
          <w:p w14:paraId="40D044DB">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投标报价得分=（评标基准价/该供应商的评审报价）×30</w:t>
            </w:r>
          </w:p>
          <w:p w14:paraId="06A6C0F1">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w:t>
            </w:r>
          </w:p>
          <w:p w14:paraId="3C5C10A8">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J1：节能产品价格扣除幅度；</w:t>
            </w:r>
          </w:p>
          <w:p w14:paraId="7D000D02">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J2：环境标志产品价格扣除幅度；</w:t>
            </w:r>
          </w:p>
          <w:p w14:paraId="37F07DC8">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J3：小型和微型企业产品（服务或工程）价格扣除幅度；</w:t>
            </w:r>
          </w:p>
          <w:p w14:paraId="56E4D2FD">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P1：符合节能产品价格扣除条件的产品报价占项目总报价（或分包报价）的百分比。</w:t>
            </w:r>
          </w:p>
          <w:p w14:paraId="63BEC2D7">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P2：符合环境标志产品价格扣除条件的产品报价占项目总报价（或分包报价）的百分比。</w:t>
            </w:r>
          </w:p>
          <w:p w14:paraId="09AA70CB">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P3：符合小型和微型企业产品（服务或工程）价格扣除条件的产品报价占项目总报价（或分包报价） 的百分比。</w:t>
            </w:r>
          </w:p>
          <w:p w14:paraId="6378D708">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价格扣除注意事项：</w:t>
            </w:r>
          </w:p>
          <w:p w14:paraId="5F99AC37">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供应商应提供经国家认定的节能产品或环境标志产品服务或工程有效证明材料方可获得价格扣除。</w:t>
            </w:r>
          </w:p>
          <w:p w14:paraId="286676B3">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若货物需求为《节能产品政府采购品目清单》中政府强制采购的节能产品，则不再进行节能产品和环境标志产品价格扣除。</w:t>
            </w:r>
          </w:p>
          <w:p w14:paraId="21E96378">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3.若投报小微型企业产品（服务或工程）节能产品和环境标志产品，请在《附件十三》 中标明并同时提供证明材料，经评标委员会核实方可获得价格扣除。</w:t>
            </w:r>
          </w:p>
          <w:p w14:paraId="3483499C">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节能产品价格扣除幅度J1：5%</w:t>
            </w:r>
          </w:p>
          <w:p w14:paraId="6261F4A9">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环境标志产品价格扣除幅度J2：5%</w:t>
            </w:r>
          </w:p>
          <w:p w14:paraId="69EFFED7">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小型和微型企业产品（货物服务）价格扣除幅度 J3：10%（如为联合体，联合协议中约定，小型、微型企业的协议合同金额占到联合体协议合同总金额30%以上的，可给予联合体4%的价格扣除）</w:t>
            </w:r>
            <w:r>
              <w:rPr>
                <w:rFonts w:hint="eastAsia" w:ascii="宋体" w:hAnsi="宋体" w:eastAsia="宋体" w:cs="宋体"/>
                <w:color w:val="auto"/>
                <w:highlight w:val="none"/>
                <w:lang w:val="en-US" w:eastAsia="zh-CN"/>
              </w:rPr>
              <w:t>注：</w:t>
            </w:r>
            <w:r>
              <w:rPr>
                <w:rFonts w:hint="eastAsia" w:ascii="宋体" w:hAnsi="宋体" w:eastAsia="宋体" w:cs="宋体"/>
                <w:color w:val="auto"/>
                <w:highlight w:val="none"/>
              </w:rPr>
              <w:t>本项目不接受联合体。</w:t>
            </w:r>
          </w:p>
        </w:tc>
      </w:tr>
      <w:tr w14:paraId="1B8D555D">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4606" w:hRule="atLeast"/>
          <w:jc w:val="center"/>
        </w:trPr>
        <w:tc>
          <w:tcPr>
            <w:tcW w:w="1632" w:type="dxa"/>
            <w:vMerge w:val="restart"/>
            <w:tcBorders>
              <w:tl2br w:val="nil"/>
              <w:tr2bl w:val="nil"/>
            </w:tcBorders>
            <w:vAlign w:val="center"/>
          </w:tcPr>
          <w:p w14:paraId="761C65A5">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技术部分F2</w:t>
            </w:r>
          </w:p>
          <w:p w14:paraId="4189F304">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（满分</w:t>
            </w:r>
            <w:r>
              <w:rPr>
                <w:rFonts w:hint="eastAsia" w:ascii="宋体" w:hAnsi="宋体" w:eastAsia="宋体" w:cs="宋体"/>
                <w:color w:val="auto"/>
                <w:highlight w:val="none"/>
                <w:lang w:val="en-US" w:eastAsia="zh-CN"/>
              </w:rPr>
              <w:t>61</w:t>
            </w:r>
            <w:r>
              <w:rPr>
                <w:rFonts w:hint="eastAsia" w:ascii="宋体" w:hAnsi="宋体" w:eastAsia="宋体" w:cs="宋体"/>
                <w:color w:val="auto"/>
                <w:highlight w:val="none"/>
              </w:rPr>
              <w:t>分）</w:t>
            </w:r>
          </w:p>
        </w:tc>
        <w:tc>
          <w:tcPr>
            <w:tcW w:w="1827" w:type="dxa"/>
            <w:tcBorders>
              <w:tl2br w:val="nil"/>
              <w:tr2bl w:val="nil"/>
            </w:tcBorders>
            <w:vAlign w:val="center"/>
          </w:tcPr>
          <w:p w14:paraId="7CE8DAE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货物技术参数评审</w:t>
            </w:r>
          </w:p>
          <w:p w14:paraId="687F530F">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（满分</w:t>
            </w:r>
            <w:r>
              <w:rPr>
                <w:rFonts w:hint="eastAsia" w:ascii="宋体" w:hAnsi="宋体" w:eastAsia="宋体" w:cs="宋体"/>
                <w:color w:val="auto"/>
                <w:highlight w:val="none"/>
                <w:lang w:val="en-US" w:eastAsia="zh-CN"/>
              </w:rPr>
              <w:t>30</w:t>
            </w:r>
            <w:r>
              <w:rPr>
                <w:rFonts w:hint="eastAsia" w:ascii="宋体" w:hAnsi="宋体" w:eastAsia="宋体" w:cs="宋体"/>
                <w:color w:val="auto"/>
                <w:highlight w:val="none"/>
              </w:rPr>
              <w:t>分）</w:t>
            </w:r>
          </w:p>
        </w:tc>
        <w:tc>
          <w:tcPr>
            <w:tcW w:w="6573" w:type="dxa"/>
            <w:tcBorders>
              <w:tl2br w:val="nil"/>
              <w:tr2bl w:val="nil"/>
            </w:tcBorders>
          </w:tcPr>
          <w:p w14:paraId="13043C0F">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供应商需对招标项目的</w:t>
            </w:r>
            <w:r>
              <w:rPr>
                <w:rFonts w:hint="eastAsia" w:ascii="宋体" w:hAnsi="宋体" w:eastAsia="宋体" w:cs="宋体"/>
                <w:color w:val="auto"/>
                <w:highlight w:val="none"/>
                <w:lang w:val="en-US" w:eastAsia="zh-CN"/>
              </w:rPr>
              <w:t>全部货物</w:t>
            </w:r>
            <w:r>
              <w:rPr>
                <w:rFonts w:hint="eastAsia" w:ascii="宋体" w:hAnsi="宋体" w:eastAsia="宋体" w:cs="宋体"/>
                <w:color w:val="auto"/>
                <w:highlight w:val="none"/>
              </w:rPr>
              <w:t>技术参数要求进行逐条响应，需提供</w:t>
            </w:r>
            <w:r>
              <w:rPr>
                <w:rFonts w:hint="eastAsia" w:ascii="宋体" w:hAnsi="宋体" w:eastAsia="宋体" w:cs="宋体"/>
                <w:b w:val="0"/>
                <w:bCs w:val="0"/>
                <w:color w:val="auto"/>
                <w:highlight w:val="none"/>
              </w:rPr>
              <w:t>检测（检验）报告</w:t>
            </w:r>
            <w:r>
              <w:rPr>
                <w:rFonts w:hint="eastAsia" w:ascii="宋体" w:hAnsi="宋体" w:eastAsia="宋体" w:cs="宋体"/>
                <w:color w:val="auto"/>
                <w:highlight w:val="none"/>
              </w:rPr>
              <w:t>、产品彩页或其他有效证明材料等进行综合评审。</w:t>
            </w:r>
          </w:p>
          <w:p w14:paraId="6CA71C3F">
            <w:pPr>
              <w:keepNext w:val="0"/>
              <w:keepLines w:val="0"/>
              <w:pageBreakBefore w:val="0"/>
              <w:kinsoku/>
              <w:wordWrap/>
              <w:overflowPunct/>
              <w:topLinePunct w:val="0"/>
              <w:bidi w:val="0"/>
              <w:adjustRightInd w:val="0"/>
              <w:snapToGrid w:val="0"/>
              <w:spacing w:before="64" w:beforeLines="20" w:after="64" w:afterLines="20" w:line="360" w:lineRule="auto"/>
              <w:ind w:left="48" w:leftChars="20" w:right="48" w:rightChars="20"/>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lang w:eastAsia="zh-CN"/>
              </w:rPr>
              <w:t>供应商所投所有货物的技术参数全部满足满足招标文件要求的得满分30分；带“</w:t>
            </w:r>
            <w:r>
              <w:rPr>
                <w:rFonts w:hint="eastAsia" w:ascii="宋体" w:hAnsi="宋体" w:cs="仿宋"/>
                <w:color w:val="000000" w:themeColor="text1"/>
                <w:kern w:val="0"/>
                <w:sz w:val="24"/>
                <w:szCs w:val="24"/>
                <w14:textFill>
                  <w14:solidFill>
                    <w14:schemeClr w14:val="tx1"/>
                  </w14:solidFill>
                </w14:textFill>
              </w:rPr>
              <w:t>★</w:t>
            </w:r>
            <w:r>
              <w:rPr>
                <w:rFonts w:hint="eastAsia" w:ascii="宋体" w:hAnsi="宋体" w:eastAsia="宋体" w:cs="宋体"/>
                <w:color w:val="auto"/>
                <w:sz w:val="24"/>
                <w:szCs w:val="24"/>
                <w:highlight w:val="none"/>
                <w:lang w:eastAsia="zh-CN"/>
              </w:rPr>
              <w:t>”的不满足一项扣0.</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分（共计</w:t>
            </w:r>
            <w:r>
              <w:rPr>
                <w:rFonts w:hint="eastAsia" w:ascii="宋体" w:hAnsi="宋体" w:cs="宋体"/>
                <w:color w:val="auto"/>
                <w:sz w:val="24"/>
                <w:szCs w:val="24"/>
                <w:highlight w:val="none"/>
                <w:lang w:val="en-US" w:eastAsia="zh-CN"/>
              </w:rPr>
              <w:t>38</w:t>
            </w:r>
            <w:r>
              <w:rPr>
                <w:rFonts w:hint="eastAsia" w:ascii="宋体" w:hAnsi="宋体" w:eastAsia="宋体" w:cs="宋体"/>
                <w:color w:val="auto"/>
                <w:sz w:val="24"/>
                <w:szCs w:val="24"/>
                <w:highlight w:val="none"/>
                <w:lang w:eastAsia="zh-CN"/>
              </w:rPr>
              <w:t>项）；其他的扣0.</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eastAsia="zh-CN"/>
              </w:rPr>
              <w:t>分；</w:t>
            </w:r>
          </w:p>
          <w:p w14:paraId="21426E44">
            <w:pPr>
              <w:keepNext/>
              <w:keepLines/>
              <w:widowControl/>
              <w:kinsoku w:val="0"/>
              <w:autoSpaceDE w:val="0"/>
              <w:autoSpaceDN w:val="0"/>
              <w:adjustRightInd w:val="0"/>
              <w:snapToGrid w:val="0"/>
              <w:spacing w:line="360" w:lineRule="auto"/>
              <w:textAlignment w:val="baseline"/>
              <w:rPr>
                <w:rFonts w:hint="eastAsia" w:ascii="宋体" w:hAnsi="宋体" w:eastAsia="宋体" w:cs="宋体"/>
                <w:color w:val="auto"/>
                <w:highlight w:val="none"/>
                <w:lang w:val="en-US" w:eastAsia="zh-CN"/>
              </w:rPr>
            </w:pPr>
            <w:r>
              <w:rPr>
                <w:rFonts w:hint="eastAsia" w:ascii="宋体" w:hAnsi="宋体" w:eastAsia="宋体" w:cs="宋体"/>
                <w:b w:val="0"/>
                <w:bCs/>
                <w:color w:val="auto"/>
                <w:highlight w:val="none"/>
              </w:rPr>
              <w:t>注</w:t>
            </w:r>
            <w:r>
              <w:rPr>
                <w:rFonts w:hint="eastAsia" w:ascii="宋体" w:hAnsi="宋体" w:eastAsia="宋体" w:cs="宋体"/>
                <w:b w:val="0"/>
                <w:bCs/>
                <w:snapToGrid w:val="0"/>
                <w:color w:val="auto"/>
                <w:kern w:val="0"/>
                <w:highlight w:val="none"/>
              </w:rPr>
              <w:t>：供应商提供证明</w:t>
            </w:r>
            <w:r>
              <w:rPr>
                <w:rFonts w:hint="eastAsia" w:ascii="宋体" w:hAnsi="宋体" w:eastAsia="宋体" w:cs="宋体"/>
                <w:b w:val="0"/>
                <w:bCs/>
                <w:snapToGrid w:val="0"/>
                <w:color w:val="auto"/>
                <w:kern w:val="0"/>
                <w:highlight w:val="none"/>
                <w:lang w:val="en-US" w:eastAsia="zh-CN"/>
              </w:rPr>
              <w:t>的</w:t>
            </w:r>
            <w:r>
              <w:rPr>
                <w:rFonts w:hint="eastAsia" w:ascii="宋体" w:hAnsi="宋体" w:eastAsia="宋体" w:cs="宋体"/>
                <w:b w:val="0"/>
                <w:bCs/>
                <w:snapToGrid w:val="0"/>
                <w:color w:val="auto"/>
                <w:kern w:val="0"/>
                <w:highlight w:val="none"/>
              </w:rPr>
              <w:t>技术参数与</w:t>
            </w:r>
            <w:r>
              <w:rPr>
                <w:rFonts w:hint="eastAsia" w:ascii="宋体" w:hAnsi="宋体" w:eastAsia="宋体" w:cs="宋体"/>
                <w:b w:val="0"/>
                <w:bCs/>
                <w:snapToGrid w:val="0"/>
                <w:color w:val="auto"/>
                <w:kern w:val="0"/>
                <w:highlight w:val="none"/>
                <w:lang w:val="en-US" w:eastAsia="zh-CN"/>
              </w:rPr>
              <w:t>招标</w:t>
            </w:r>
            <w:r>
              <w:rPr>
                <w:rFonts w:hint="eastAsia" w:ascii="宋体" w:hAnsi="宋体" w:eastAsia="宋体" w:cs="宋体"/>
                <w:b w:val="0"/>
                <w:bCs/>
                <w:snapToGrid w:val="0"/>
                <w:color w:val="auto"/>
                <w:kern w:val="0"/>
                <w:highlight w:val="none"/>
              </w:rPr>
              <w:t>文件的要求相一致的检测（检验）报告</w:t>
            </w:r>
            <w:r>
              <w:rPr>
                <w:rFonts w:hint="eastAsia" w:ascii="宋体" w:hAnsi="宋体" w:eastAsia="宋体" w:cs="宋体"/>
                <w:b/>
                <w:bCs w:val="0"/>
                <w:snapToGrid w:val="0"/>
                <w:color w:val="auto"/>
                <w:kern w:val="0"/>
                <w:highlight w:val="none"/>
                <w:lang w:eastAsia="zh-CN"/>
              </w:rPr>
              <w:t>、</w:t>
            </w:r>
            <w:r>
              <w:rPr>
                <w:rFonts w:hint="eastAsia" w:ascii="宋体" w:hAnsi="宋体" w:eastAsia="宋体" w:cs="宋体"/>
                <w:b w:val="0"/>
                <w:bCs/>
                <w:snapToGrid w:val="0"/>
                <w:color w:val="auto"/>
                <w:kern w:val="0"/>
                <w:highlight w:val="none"/>
              </w:rPr>
              <w:t>文字资料、图纸、数据或数码照片、彩页、制造商公布的产品说明书等，以证明供应商响应的真实性。评标委员会根据响应情况进行打分。</w:t>
            </w:r>
          </w:p>
        </w:tc>
      </w:tr>
      <w:tr w14:paraId="63807DC8">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632" w:type="dxa"/>
            <w:vMerge w:val="continue"/>
            <w:tcBorders>
              <w:tl2br w:val="nil"/>
              <w:tr2bl w:val="nil"/>
            </w:tcBorders>
            <w:vAlign w:val="center"/>
          </w:tcPr>
          <w:p w14:paraId="2617A1CA">
            <w:pPr>
              <w:spacing w:line="360" w:lineRule="auto"/>
              <w:jc w:val="center"/>
              <w:rPr>
                <w:rFonts w:hint="eastAsia" w:ascii="宋体" w:hAnsi="宋体" w:eastAsia="宋体" w:cs="宋体"/>
                <w:color w:val="auto"/>
                <w:highlight w:val="none"/>
              </w:rPr>
            </w:pPr>
          </w:p>
        </w:tc>
        <w:tc>
          <w:tcPr>
            <w:tcW w:w="1827" w:type="dxa"/>
            <w:tcBorders>
              <w:tl2br w:val="nil"/>
              <w:tr2bl w:val="nil"/>
            </w:tcBorders>
            <w:vAlign w:val="center"/>
          </w:tcPr>
          <w:p w14:paraId="3837DA73">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总体供货安装</w:t>
            </w:r>
            <w:r>
              <w:rPr>
                <w:rFonts w:hint="eastAsia" w:ascii="宋体" w:hAnsi="宋体" w:eastAsia="宋体" w:cs="宋体"/>
                <w:color w:val="auto"/>
                <w:highlight w:val="none"/>
              </w:rPr>
              <w:t>方案</w:t>
            </w:r>
          </w:p>
          <w:p w14:paraId="6D1B1839">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（满分</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w:t>
            </w:r>
          </w:p>
        </w:tc>
        <w:tc>
          <w:tcPr>
            <w:tcW w:w="6573" w:type="dxa"/>
            <w:tcBorders>
              <w:tl2br w:val="nil"/>
              <w:tr2bl w:val="nil"/>
            </w:tcBorders>
            <w:vAlign w:val="center"/>
          </w:tcPr>
          <w:p w14:paraId="180CE54A">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根据投标文件中提供的</w:t>
            </w:r>
            <w:r>
              <w:rPr>
                <w:rFonts w:hint="eastAsia" w:ascii="宋体" w:hAnsi="宋体" w:eastAsia="宋体" w:cs="宋体"/>
                <w:color w:val="auto"/>
                <w:highlight w:val="none"/>
                <w:lang w:val="en-US" w:eastAsia="zh-CN"/>
              </w:rPr>
              <w:t>供货</w:t>
            </w:r>
            <w:r>
              <w:rPr>
                <w:rFonts w:hint="eastAsia" w:ascii="宋体" w:hAnsi="宋体" w:eastAsia="宋体" w:cs="宋体"/>
                <w:color w:val="auto"/>
                <w:highlight w:val="none"/>
              </w:rPr>
              <w:t>方案进行评审评分；</w:t>
            </w:r>
          </w:p>
          <w:p w14:paraId="5E457E2D">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在“①</w:t>
            </w:r>
            <w:r>
              <w:rPr>
                <w:rFonts w:hint="eastAsia" w:ascii="宋体" w:hAnsi="宋体" w:eastAsia="宋体" w:cs="宋体"/>
                <w:color w:val="auto"/>
                <w:highlight w:val="none"/>
                <w:lang w:val="en-US" w:eastAsia="zh-CN"/>
              </w:rPr>
              <w:t>项目重难点分析及解决措施</w:t>
            </w:r>
            <w:r>
              <w:rPr>
                <w:rFonts w:hint="eastAsia" w:ascii="宋体" w:hAnsi="宋体" w:eastAsia="宋体" w:cs="宋体"/>
                <w:color w:val="auto"/>
                <w:highlight w:val="none"/>
              </w:rPr>
              <w:t>、②</w:t>
            </w:r>
            <w:r>
              <w:rPr>
                <w:rFonts w:hint="eastAsia" w:ascii="宋体" w:hAnsi="宋体" w:eastAsia="宋体" w:cs="宋体"/>
                <w:color w:val="auto"/>
                <w:highlight w:val="none"/>
                <w:lang w:val="en-US" w:eastAsia="zh-CN"/>
              </w:rPr>
              <w:t>货物来源渠道阐述</w:t>
            </w:r>
            <w:r>
              <w:rPr>
                <w:rFonts w:hint="eastAsia" w:ascii="宋体" w:hAnsi="宋体" w:eastAsia="宋体" w:cs="宋体"/>
                <w:color w:val="auto"/>
                <w:highlight w:val="none"/>
              </w:rPr>
              <w:t>、③</w:t>
            </w:r>
            <w:r>
              <w:rPr>
                <w:rFonts w:hint="eastAsia" w:ascii="宋体" w:hAnsi="宋体" w:eastAsia="宋体" w:cs="宋体"/>
                <w:color w:val="auto"/>
                <w:highlight w:val="none"/>
                <w:lang w:val="en-US" w:eastAsia="zh-CN"/>
              </w:rPr>
              <w:t>包装运输</w:t>
            </w:r>
            <w:r>
              <w:rPr>
                <w:rFonts w:hint="eastAsia" w:ascii="宋体" w:hAnsi="宋体" w:eastAsia="宋体" w:cs="宋体"/>
                <w:color w:val="auto"/>
                <w:highlight w:val="none"/>
              </w:rPr>
              <w:t>方案、④安装方案</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⑤全过程风险控制方案</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项内容，以上</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项内容在“安全性、专业性”</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个方面，有1个方面内容存在缺陷的扣</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分。</w:t>
            </w:r>
          </w:p>
          <w:p w14:paraId="16AFC42F">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w:t>
            </w:r>
          </w:p>
          <w:p w14:paraId="62DA1745">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缺陷是指：①针对性不足：与项目实际情况不匹配、不符合项目特点、不适用于本项目或与本项目采购要求不相符；</w:t>
            </w:r>
          </w:p>
          <w:p w14:paraId="6F4FF048">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②过于简略：内容过于简单而不能对采购需求做出足够响应；</w:t>
            </w:r>
          </w:p>
          <w:p w14:paraId="3554CCC3">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③错误：文字表述、技术描述、引用、图表制作有明显错误。</w:t>
            </w:r>
          </w:p>
        </w:tc>
      </w:tr>
      <w:tr w14:paraId="0A490281">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3068" w:hRule="atLeast"/>
          <w:jc w:val="center"/>
        </w:trPr>
        <w:tc>
          <w:tcPr>
            <w:tcW w:w="1632" w:type="dxa"/>
            <w:vMerge w:val="continue"/>
            <w:tcBorders>
              <w:tl2br w:val="nil"/>
              <w:tr2bl w:val="nil"/>
            </w:tcBorders>
            <w:vAlign w:val="center"/>
          </w:tcPr>
          <w:p w14:paraId="3E68F7B6">
            <w:pPr>
              <w:spacing w:line="360" w:lineRule="auto"/>
              <w:jc w:val="center"/>
              <w:rPr>
                <w:rFonts w:hint="eastAsia" w:ascii="宋体" w:hAnsi="宋体" w:eastAsia="宋体" w:cs="宋体"/>
                <w:color w:val="auto"/>
                <w:highlight w:val="none"/>
              </w:rPr>
            </w:pPr>
          </w:p>
        </w:tc>
        <w:tc>
          <w:tcPr>
            <w:tcW w:w="1827" w:type="dxa"/>
            <w:tcBorders>
              <w:tl2br w:val="nil"/>
              <w:tr2bl w:val="nil"/>
            </w:tcBorders>
            <w:vAlign w:val="center"/>
          </w:tcPr>
          <w:p w14:paraId="6505BE6A">
            <w:pPr>
              <w:spacing w:line="360" w:lineRule="auto"/>
              <w:jc w:val="center"/>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货物</w:t>
            </w:r>
            <w:r>
              <w:rPr>
                <w:rFonts w:hint="eastAsia" w:ascii="宋体" w:hAnsi="宋体" w:eastAsia="宋体" w:cs="宋体"/>
                <w:bCs/>
                <w:color w:val="auto"/>
                <w:highlight w:val="none"/>
              </w:rPr>
              <w:t>质量承诺及保证措施</w:t>
            </w:r>
          </w:p>
          <w:p w14:paraId="46A437A0">
            <w:pPr>
              <w:spacing w:line="360" w:lineRule="auto"/>
              <w:jc w:val="center"/>
              <w:rPr>
                <w:rFonts w:hint="eastAsia" w:ascii="宋体" w:hAnsi="宋体" w:eastAsia="宋体" w:cs="宋体"/>
                <w:color w:val="auto"/>
                <w:highlight w:val="none"/>
              </w:rPr>
            </w:pPr>
            <w:r>
              <w:rPr>
                <w:rFonts w:hint="eastAsia" w:ascii="宋体" w:hAnsi="宋体" w:eastAsia="宋体" w:cs="宋体"/>
                <w:bCs/>
                <w:color w:val="auto"/>
                <w:highlight w:val="none"/>
              </w:rPr>
              <w:t>（满分</w:t>
            </w:r>
            <w:r>
              <w:rPr>
                <w:rFonts w:hint="eastAsia" w:ascii="宋体" w:hAnsi="宋体" w:eastAsia="宋体" w:cs="宋体"/>
                <w:bCs/>
                <w:color w:val="auto"/>
                <w:highlight w:val="none"/>
                <w:lang w:val="en-US" w:eastAsia="zh-CN"/>
              </w:rPr>
              <w:t>9</w:t>
            </w:r>
            <w:r>
              <w:rPr>
                <w:rFonts w:hint="eastAsia" w:ascii="宋体" w:hAnsi="宋体" w:eastAsia="宋体" w:cs="宋体"/>
                <w:bCs/>
                <w:color w:val="auto"/>
                <w:highlight w:val="none"/>
              </w:rPr>
              <w:t>分）</w:t>
            </w:r>
          </w:p>
        </w:tc>
        <w:tc>
          <w:tcPr>
            <w:tcW w:w="6573" w:type="dxa"/>
            <w:tcBorders>
              <w:tl2br w:val="nil"/>
              <w:tr2bl w:val="nil"/>
            </w:tcBorders>
            <w:vAlign w:val="center"/>
          </w:tcPr>
          <w:p w14:paraId="5467DC9B">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根据投标文件中提供的质量承诺及保证措施进行评审评分；</w:t>
            </w:r>
          </w:p>
          <w:p w14:paraId="77E8E4BF">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在“①质量管理体系建立、②</w:t>
            </w:r>
            <w:r>
              <w:rPr>
                <w:rFonts w:hint="eastAsia" w:ascii="宋体" w:hAnsi="宋体" w:eastAsia="宋体" w:cs="宋体"/>
                <w:color w:val="auto"/>
                <w:highlight w:val="none"/>
                <w:lang w:val="en-US" w:eastAsia="zh-CN"/>
              </w:rPr>
              <w:t>货物各个环节</w:t>
            </w:r>
            <w:r>
              <w:rPr>
                <w:rFonts w:hint="eastAsia" w:ascii="宋体" w:hAnsi="宋体" w:eastAsia="宋体" w:cs="宋体"/>
                <w:color w:val="auto"/>
                <w:highlight w:val="none"/>
              </w:rPr>
              <w:t>质量控制措施、③</w:t>
            </w:r>
            <w:r>
              <w:rPr>
                <w:rFonts w:hint="eastAsia" w:ascii="宋体" w:hAnsi="宋体" w:eastAsia="宋体" w:cs="宋体"/>
                <w:color w:val="auto"/>
                <w:highlight w:val="none"/>
                <w:lang w:val="en-US" w:eastAsia="zh-CN"/>
              </w:rPr>
              <w:t>货物质量违约责任承诺</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项内容，以上</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项内容在“专业性、</w:t>
            </w:r>
            <w:r>
              <w:rPr>
                <w:rFonts w:hint="eastAsia" w:ascii="宋体" w:hAnsi="宋体" w:eastAsia="宋体" w:cs="宋体"/>
                <w:color w:val="auto"/>
                <w:highlight w:val="none"/>
                <w:lang w:val="en-US" w:eastAsia="zh-CN"/>
              </w:rPr>
              <w:t>安全性、</w:t>
            </w:r>
            <w:r>
              <w:rPr>
                <w:rFonts w:hint="eastAsia" w:ascii="宋体" w:hAnsi="宋体" w:eastAsia="宋体" w:cs="宋体"/>
                <w:color w:val="auto"/>
                <w:highlight w:val="none"/>
              </w:rPr>
              <w:t>可行性”</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个方面，有1个方面内容存在缺陷的扣</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分。</w:t>
            </w:r>
          </w:p>
          <w:p w14:paraId="12F12F2C">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w:t>
            </w:r>
          </w:p>
          <w:p w14:paraId="6BF4395C">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缺陷是指：①针对性不足：与项目实际情况不匹配、不符合项目特点、不适用于本项目或与本项目采购要求不相符；</w:t>
            </w:r>
          </w:p>
          <w:p w14:paraId="327CA21F">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②过于简略：内容过于简单而不能对采购需求做出足够响应；</w:t>
            </w:r>
          </w:p>
          <w:p w14:paraId="4716BA0C">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③错误：文字表述、技术描述、引用、图表制作有明显错误。</w:t>
            </w:r>
          </w:p>
        </w:tc>
      </w:tr>
      <w:tr w14:paraId="0F85E20C">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3068" w:hRule="atLeast"/>
          <w:jc w:val="center"/>
        </w:trPr>
        <w:tc>
          <w:tcPr>
            <w:tcW w:w="1632" w:type="dxa"/>
            <w:vMerge w:val="continue"/>
            <w:tcBorders>
              <w:tl2br w:val="nil"/>
              <w:tr2bl w:val="nil"/>
            </w:tcBorders>
            <w:vAlign w:val="center"/>
          </w:tcPr>
          <w:p w14:paraId="134B3C69">
            <w:pPr>
              <w:spacing w:line="360" w:lineRule="auto"/>
              <w:jc w:val="center"/>
              <w:rPr>
                <w:rFonts w:hint="eastAsia" w:ascii="宋体" w:hAnsi="宋体" w:eastAsia="宋体" w:cs="宋体"/>
                <w:color w:val="auto"/>
                <w:highlight w:val="none"/>
              </w:rPr>
            </w:pPr>
          </w:p>
        </w:tc>
        <w:tc>
          <w:tcPr>
            <w:tcW w:w="1827" w:type="dxa"/>
            <w:tcBorders>
              <w:tl2br w:val="nil"/>
              <w:tr2bl w:val="nil"/>
            </w:tcBorders>
            <w:vAlign w:val="center"/>
          </w:tcPr>
          <w:p w14:paraId="1FD94F68">
            <w:pPr>
              <w:spacing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供货、安装进度计划及保障措施</w:t>
            </w:r>
          </w:p>
          <w:p w14:paraId="27DE0CB6">
            <w:pPr>
              <w:spacing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（满分</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分）</w:t>
            </w:r>
          </w:p>
        </w:tc>
        <w:tc>
          <w:tcPr>
            <w:tcW w:w="6573" w:type="dxa"/>
            <w:tcBorders>
              <w:tl2br w:val="nil"/>
              <w:tr2bl w:val="nil"/>
            </w:tcBorders>
            <w:vAlign w:val="center"/>
          </w:tcPr>
          <w:p w14:paraId="37A140C8">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根据投标文件中提供的</w:t>
            </w:r>
            <w:r>
              <w:rPr>
                <w:rFonts w:hint="eastAsia" w:ascii="宋体" w:hAnsi="宋体" w:eastAsia="宋体" w:cs="宋体"/>
                <w:color w:val="auto"/>
                <w:highlight w:val="none"/>
                <w:lang w:val="en-US" w:eastAsia="zh-CN"/>
              </w:rPr>
              <w:t>供货、安装进度计划及保障措施</w:t>
            </w:r>
            <w:r>
              <w:rPr>
                <w:rFonts w:hint="eastAsia" w:ascii="宋体" w:hAnsi="宋体" w:eastAsia="宋体" w:cs="宋体"/>
                <w:color w:val="auto"/>
                <w:highlight w:val="none"/>
              </w:rPr>
              <w:t>进行评审评分；</w:t>
            </w:r>
          </w:p>
          <w:p w14:paraId="14B34917">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在“①</w:t>
            </w:r>
            <w:r>
              <w:rPr>
                <w:rFonts w:hint="eastAsia" w:ascii="宋体" w:hAnsi="宋体" w:eastAsia="宋体" w:cs="宋体"/>
                <w:color w:val="auto"/>
                <w:highlight w:val="none"/>
                <w:lang w:val="en-US" w:eastAsia="zh-CN"/>
              </w:rPr>
              <w:t>供货、安装时间安排（附进度计划表）</w:t>
            </w:r>
            <w:r>
              <w:rPr>
                <w:rFonts w:hint="eastAsia" w:ascii="宋体" w:hAnsi="宋体" w:eastAsia="宋体" w:cs="宋体"/>
                <w:color w:val="auto"/>
                <w:highlight w:val="none"/>
              </w:rPr>
              <w:t>、②</w:t>
            </w:r>
            <w:r>
              <w:rPr>
                <w:rFonts w:hint="eastAsia" w:ascii="宋体" w:hAnsi="宋体" w:eastAsia="宋体" w:cs="宋体"/>
                <w:color w:val="auto"/>
                <w:highlight w:val="none"/>
                <w:lang w:val="en-US" w:eastAsia="zh-CN"/>
              </w:rPr>
              <w:t>关键时间节点控制措施</w:t>
            </w:r>
            <w:r>
              <w:rPr>
                <w:rFonts w:hint="eastAsia" w:ascii="宋体" w:hAnsi="宋体" w:eastAsia="宋体" w:cs="宋体"/>
                <w:color w:val="auto"/>
                <w:highlight w:val="none"/>
              </w:rPr>
              <w:t>、③</w:t>
            </w:r>
            <w:r>
              <w:rPr>
                <w:rFonts w:hint="eastAsia" w:ascii="宋体" w:hAnsi="宋体" w:eastAsia="宋体" w:cs="宋体"/>
                <w:color w:val="auto"/>
                <w:highlight w:val="none"/>
                <w:lang w:val="en-US" w:eastAsia="zh-CN"/>
              </w:rPr>
              <w:t>进度计划应急预案</w:t>
            </w:r>
            <w:r>
              <w:rPr>
                <w:rFonts w:hint="eastAsia" w:ascii="宋体" w:hAnsi="宋体" w:eastAsia="宋体" w:cs="宋体"/>
                <w:color w:val="auto"/>
                <w:highlight w:val="none"/>
              </w:rPr>
              <w:t>、④</w:t>
            </w:r>
            <w:r>
              <w:rPr>
                <w:rFonts w:hint="eastAsia" w:ascii="宋体" w:hAnsi="宋体" w:eastAsia="宋体" w:cs="宋体"/>
                <w:color w:val="auto"/>
                <w:highlight w:val="none"/>
                <w:lang w:val="en-US" w:eastAsia="zh-CN"/>
              </w:rPr>
              <w:t>进度计划违约责任承诺</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⑤进度计划实施保障方案</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项内容，以上</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项内容在“安全性、可行性”</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个方面，有1个方面内容存在缺陷的扣</w:t>
            </w:r>
            <w:r>
              <w:rPr>
                <w:rFonts w:hint="eastAsia" w:ascii="宋体" w:hAnsi="宋体" w:eastAsia="宋体" w:cs="宋体"/>
                <w:color w:val="auto"/>
                <w:highlight w:val="none"/>
                <w:lang w:val="en-US" w:eastAsia="zh-CN"/>
              </w:rPr>
              <w:t>0.5</w:t>
            </w:r>
            <w:r>
              <w:rPr>
                <w:rFonts w:hint="eastAsia" w:ascii="宋体" w:hAnsi="宋体" w:eastAsia="宋体" w:cs="宋体"/>
                <w:color w:val="auto"/>
                <w:highlight w:val="none"/>
              </w:rPr>
              <w:t>分。</w:t>
            </w:r>
          </w:p>
          <w:p w14:paraId="4083D748">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w:t>
            </w:r>
          </w:p>
          <w:p w14:paraId="42A5D154">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缺陷是指：①针对性不足：与项目实际情况不匹配、不符合项目特点、不适用于本项目或与本项目采购要求不相符；</w:t>
            </w:r>
          </w:p>
          <w:p w14:paraId="3AC8988C">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②过于简略：内容过于简单而不能对采购需求做出足够响应；</w:t>
            </w:r>
          </w:p>
          <w:p w14:paraId="0D02E533">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③错误：文字表述、技术描述、引用、图表制作有明显错误。</w:t>
            </w:r>
          </w:p>
        </w:tc>
      </w:tr>
      <w:tr w14:paraId="024DDE18">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632" w:type="dxa"/>
            <w:vMerge w:val="continue"/>
            <w:tcBorders>
              <w:tl2br w:val="nil"/>
              <w:tr2bl w:val="nil"/>
            </w:tcBorders>
            <w:vAlign w:val="center"/>
          </w:tcPr>
          <w:p w14:paraId="5C6FD04F">
            <w:pPr>
              <w:spacing w:line="360" w:lineRule="auto"/>
              <w:jc w:val="center"/>
              <w:rPr>
                <w:rFonts w:hint="eastAsia" w:ascii="宋体" w:hAnsi="宋体" w:eastAsia="宋体" w:cs="宋体"/>
                <w:color w:val="auto"/>
                <w:highlight w:val="none"/>
              </w:rPr>
            </w:pPr>
          </w:p>
        </w:tc>
        <w:tc>
          <w:tcPr>
            <w:tcW w:w="1827" w:type="dxa"/>
            <w:tcBorders>
              <w:tl2br w:val="nil"/>
              <w:tr2bl w:val="nil"/>
            </w:tcBorders>
            <w:vAlign w:val="center"/>
          </w:tcPr>
          <w:p w14:paraId="2A545346">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售后服务</w:t>
            </w:r>
            <w:r>
              <w:rPr>
                <w:rFonts w:hint="eastAsia" w:ascii="宋体" w:hAnsi="宋体" w:eastAsia="宋体" w:cs="宋体"/>
                <w:color w:val="auto"/>
                <w:highlight w:val="none"/>
                <w:lang w:val="en-US" w:eastAsia="zh-CN"/>
              </w:rPr>
              <w:t>承诺</w:t>
            </w:r>
            <w:r>
              <w:rPr>
                <w:rFonts w:hint="eastAsia" w:ascii="宋体" w:hAnsi="宋体" w:eastAsia="宋体" w:cs="宋体"/>
                <w:color w:val="auto"/>
                <w:highlight w:val="none"/>
              </w:rPr>
              <w:t>及保障措施</w:t>
            </w:r>
          </w:p>
          <w:p w14:paraId="235B6C6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（满分</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分）</w:t>
            </w:r>
          </w:p>
        </w:tc>
        <w:tc>
          <w:tcPr>
            <w:tcW w:w="6573" w:type="dxa"/>
            <w:tcBorders>
              <w:tl2br w:val="nil"/>
              <w:tr2bl w:val="nil"/>
            </w:tcBorders>
            <w:vAlign w:val="center"/>
          </w:tcPr>
          <w:p w14:paraId="742F95C4">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根据供应商提供的售后服务</w:t>
            </w:r>
            <w:r>
              <w:rPr>
                <w:rFonts w:hint="eastAsia" w:ascii="宋体" w:hAnsi="宋体" w:eastAsia="宋体" w:cs="宋体"/>
                <w:color w:val="auto"/>
                <w:highlight w:val="none"/>
                <w:lang w:val="en-US" w:eastAsia="zh-CN"/>
              </w:rPr>
              <w:t>承诺</w:t>
            </w:r>
            <w:r>
              <w:rPr>
                <w:rFonts w:hint="eastAsia" w:ascii="宋体" w:hAnsi="宋体" w:eastAsia="宋体" w:cs="宋体"/>
                <w:color w:val="auto"/>
                <w:highlight w:val="none"/>
              </w:rPr>
              <w:t>及保障措施进行评审评分；</w:t>
            </w:r>
          </w:p>
          <w:p w14:paraId="78A6B335">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在“①现场服务</w:t>
            </w:r>
            <w:r>
              <w:rPr>
                <w:rFonts w:hint="eastAsia" w:ascii="宋体" w:hAnsi="宋体" w:eastAsia="宋体" w:cs="宋体"/>
                <w:color w:val="auto"/>
                <w:highlight w:val="none"/>
                <w:lang w:val="en-US" w:eastAsia="zh-CN"/>
              </w:rPr>
              <w:t>能力阐述</w:t>
            </w:r>
            <w:r>
              <w:rPr>
                <w:rFonts w:hint="eastAsia" w:ascii="宋体" w:hAnsi="宋体" w:eastAsia="宋体" w:cs="宋体"/>
                <w:color w:val="auto"/>
                <w:highlight w:val="none"/>
              </w:rPr>
              <w:t>、②售后服务时效、③</w:t>
            </w:r>
            <w:r>
              <w:rPr>
                <w:rFonts w:hint="eastAsia" w:ascii="宋体" w:hAnsi="宋体" w:eastAsia="宋体" w:cs="宋体"/>
                <w:color w:val="auto"/>
                <w:highlight w:val="none"/>
                <w:lang w:val="en-US" w:eastAsia="zh-CN"/>
              </w:rPr>
              <w:t>售后服务保障措施</w:t>
            </w:r>
            <w:r>
              <w:rPr>
                <w:rFonts w:hint="eastAsia" w:ascii="宋体" w:hAnsi="宋体" w:eastAsia="宋体" w:cs="宋体"/>
                <w:color w:val="auto"/>
                <w:highlight w:val="none"/>
              </w:rPr>
              <w:t>、④售后违约责任”</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项内容，以上</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项内容在“及时性、有效性”</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个方面，有1个方面内容存在缺陷的扣</w:t>
            </w:r>
            <w:r>
              <w:rPr>
                <w:rFonts w:hint="eastAsia" w:ascii="宋体" w:hAnsi="宋体" w:eastAsia="宋体" w:cs="宋体"/>
                <w:color w:val="auto"/>
                <w:highlight w:val="none"/>
                <w:lang w:val="en-US" w:eastAsia="zh-CN"/>
              </w:rPr>
              <w:t>0.5</w:t>
            </w:r>
            <w:r>
              <w:rPr>
                <w:rFonts w:hint="eastAsia" w:ascii="宋体" w:hAnsi="宋体" w:eastAsia="宋体" w:cs="宋体"/>
                <w:color w:val="auto"/>
                <w:highlight w:val="none"/>
              </w:rPr>
              <w:t>分。</w:t>
            </w:r>
          </w:p>
          <w:p w14:paraId="1F672FAC">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w:t>
            </w:r>
          </w:p>
          <w:p w14:paraId="445C085D">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缺陷是指：①针对性不足：与项目实际情况不匹配、不符合项目特点、不适用于本项目或与本项目采购要求不相符；</w:t>
            </w:r>
          </w:p>
          <w:p w14:paraId="791893A4">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②过于简略：内容过于简单而不能对采购需求做出足够响应；</w:t>
            </w:r>
          </w:p>
          <w:p w14:paraId="248FE33F">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③错误：文字表述、技术描述、引用、图表制作有明显错误。</w:t>
            </w:r>
          </w:p>
        </w:tc>
      </w:tr>
      <w:tr w14:paraId="53348841">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632" w:type="dxa"/>
            <w:vMerge w:val="continue"/>
            <w:tcBorders>
              <w:tl2br w:val="nil"/>
              <w:tr2bl w:val="nil"/>
            </w:tcBorders>
            <w:vAlign w:val="center"/>
          </w:tcPr>
          <w:p w14:paraId="2190EA5F">
            <w:pPr>
              <w:spacing w:line="360" w:lineRule="auto"/>
              <w:jc w:val="center"/>
              <w:rPr>
                <w:rFonts w:hint="eastAsia" w:ascii="宋体" w:hAnsi="宋体" w:eastAsia="宋体" w:cs="宋体"/>
                <w:color w:val="auto"/>
                <w:highlight w:val="none"/>
              </w:rPr>
            </w:pPr>
          </w:p>
        </w:tc>
        <w:tc>
          <w:tcPr>
            <w:tcW w:w="1827" w:type="dxa"/>
            <w:tcBorders>
              <w:tl2br w:val="nil"/>
              <w:tr2bl w:val="nil"/>
            </w:tcBorders>
            <w:vAlign w:val="center"/>
          </w:tcPr>
          <w:p w14:paraId="64982137">
            <w:pPr>
              <w:spacing w:line="360" w:lineRule="auto"/>
              <w:jc w:val="center"/>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用户使用培训计划方案</w:t>
            </w:r>
          </w:p>
          <w:p w14:paraId="0372F244">
            <w:pPr>
              <w:spacing w:line="360" w:lineRule="auto"/>
              <w:jc w:val="center"/>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（满分3分）</w:t>
            </w:r>
          </w:p>
        </w:tc>
        <w:tc>
          <w:tcPr>
            <w:tcW w:w="6573" w:type="dxa"/>
            <w:tcBorders>
              <w:tl2br w:val="nil"/>
              <w:tr2bl w:val="nil"/>
            </w:tcBorders>
            <w:vAlign w:val="center"/>
          </w:tcPr>
          <w:p w14:paraId="32FB70E4">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根据供应商提供的</w:t>
            </w:r>
            <w:r>
              <w:rPr>
                <w:rFonts w:hint="eastAsia" w:ascii="宋体" w:hAnsi="宋体" w:eastAsia="宋体" w:cs="宋体"/>
                <w:color w:val="auto"/>
                <w:highlight w:val="none"/>
                <w:lang w:val="en-US" w:eastAsia="zh-CN"/>
              </w:rPr>
              <w:t>用户使用培训计划方案</w:t>
            </w:r>
            <w:r>
              <w:rPr>
                <w:rFonts w:hint="eastAsia" w:ascii="宋体" w:hAnsi="宋体" w:eastAsia="宋体" w:cs="宋体"/>
                <w:color w:val="auto"/>
                <w:highlight w:val="none"/>
              </w:rPr>
              <w:t>进行评审评分；</w:t>
            </w:r>
          </w:p>
          <w:p w14:paraId="291C4B9A">
            <w:pPr>
              <w:spacing w:line="360" w:lineRule="auto"/>
              <w:rPr>
                <w:rFonts w:hint="eastAsia" w:ascii="宋体" w:hAnsi="宋体" w:eastAsia="宋体" w:cs="宋体"/>
                <w:color w:val="auto"/>
                <w:highlight w:val="none"/>
              </w:rPr>
            </w:pPr>
            <w:r>
              <w:rPr>
                <w:rFonts w:hint="eastAsia" w:ascii="宋体" w:hAnsi="宋体" w:eastAsia="宋体" w:cs="宋体"/>
                <w:b w:val="0"/>
                <w:bCs w:val="0"/>
                <w:color w:val="auto"/>
                <w:szCs w:val="21"/>
                <w:highlight w:val="none"/>
                <w:lang w:val="en-US" w:eastAsia="zh-CN"/>
              </w:rPr>
              <w:t>在“</w:t>
            </w:r>
            <w:r>
              <w:rPr>
                <w:rFonts w:hint="eastAsia" w:ascii="宋体" w:hAnsi="宋体" w:eastAsia="宋体" w:cs="宋体"/>
                <w:b w:val="0"/>
                <w:bCs w:val="0"/>
                <w:color w:val="auto"/>
                <w:szCs w:val="21"/>
                <w:highlight w:val="none"/>
              </w:rPr>
              <w:t>①培训方式、②培训内容、③培训计划、④培训课件、⑤培训能力、</w:t>
            </w:r>
            <w:r>
              <w:rPr>
                <w:rFonts w:hint="eastAsia" w:ascii="宋体" w:hAnsi="宋体" w:eastAsia="宋体" w:cs="宋体"/>
                <w:b w:val="0"/>
                <w:bCs w:val="0"/>
                <w:color w:val="auto"/>
                <w:szCs w:val="21"/>
                <w:highlight w:val="none"/>
                <w:lang w:val="en-US" w:eastAsia="zh-CN"/>
              </w:rPr>
              <w:t>⑥培训</w:t>
            </w:r>
            <w:r>
              <w:rPr>
                <w:rFonts w:hint="eastAsia" w:ascii="宋体" w:hAnsi="宋体" w:eastAsia="宋体" w:cs="宋体"/>
                <w:b w:val="0"/>
                <w:bCs w:val="0"/>
                <w:color w:val="auto"/>
                <w:szCs w:val="21"/>
                <w:highlight w:val="none"/>
              </w:rPr>
              <w:t>保障措施”</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项内容，以上</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项内容在“</w:t>
            </w:r>
            <w:r>
              <w:rPr>
                <w:rFonts w:hint="eastAsia" w:ascii="宋体" w:hAnsi="宋体" w:eastAsia="宋体" w:cs="宋体"/>
                <w:color w:val="auto"/>
                <w:highlight w:val="none"/>
                <w:lang w:val="en-US" w:eastAsia="zh-CN"/>
              </w:rPr>
              <w:t>专业性、可行性</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个方面，有1个方面内容存在缺陷的扣</w:t>
            </w:r>
            <w:r>
              <w:rPr>
                <w:rFonts w:hint="eastAsia" w:ascii="宋体" w:hAnsi="宋体" w:eastAsia="宋体" w:cs="宋体"/>
                <w:color w:val="auto"/>
                <w:highlight w:val="none"/>
                <w:lang w:val="en-US" w:eastAsia="zh-CN"/>
              </w:rPr>
              <w:t>0.5</w:t>
            </w:r>
            <w:r>
              <w:rPr>
                <w:rFonts w:hint="eastAsia" w:ascii="宋体" w:hAnsi="宋体" w:eastAsia="宋体" w:cs="宋体"/>
                <w:color w:val="auto"/>
                <w:highlight w:val="none"/>
              </w:rPr>
              <w:t>分。</w:t>
            </w:r>
          </w:p>
          <w:p w14:paraId="18E6D75F">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w:t>
            </w:r>
          </w:p>
          <w:p w14:paraId="77903D32">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缺陷是指：①针对性不足：与项目实际情况不匹配、不符合项目特点、不适用于本项目或与本项目采购要求不相符；</w:t>
            </w:r>
          </w:p>
          <w:p w14:paraId="4A434128">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②过于简略：内容过于简单而不能对采购需求做出足够响应；</w:t>
            </w:r>
          </w:p>
          <w:p w14:paraId="67E5922C">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③错误：文字表述、技术描述、引用、图表制作有明显错误。</w:t>
            </w:r>
          </w:p>
        </w:tc>
      </w:tr>
      <w:tr w14:paraId="341E9319">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632" w:type="dxa"/>
            <w:vMerge w:val="restart"/>
            <w:tcBorders>
              <w:tl2br w:val="nil"/>
              <w:tr2bl w:val="nil"/>
            </w:tcBorders>
            <w:vAlign w:val="center"/>
          </w:tcPr>
          <w:p w14:paraId="20933F8D">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商务部分F3</w:t>
            </w:r>
          </w:p>
          <w:p w14:paraId="79443EB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（满分</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分）</w:t>
            </w:r>
          </w:p>
        </w:tc>
        <w:tc>
          <w:tcPr>
            <w:tcW w:w="1827" w:type="dxa"/>
            <w:tcBorders>
              <w:tl2br w:val="nil"/>
              <w:tr2bl w:val="nil"/>
            </w:tcBorders>
            <w:vAlign w:val="center"/>
          </w:tcPr>
          <w:p w14:paraId="6A71B028">
            <w:pPr>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服务人员配置</w:t>
            </w:r>
            <w:r>
              <w:rPr>
                <w:rFonts w:hint="eastAsia" w:ascii="宋体" w:hAnsi="宋体" w:eastAsia="宋体" w:cs="宋体"/>
                <w:bCs/>
                <w:color w:val="auto"/>
                <w:highlight w:val="none"/>
              </w:rPr>
              <w:t>（满分</w:t>
            </w:r>
            <w:r>
              <w:rPr>
                <w:rFonts w:hint="eastAsia" w:ascii="宋体" w:hAnsi="宋体" w:eastAsia="宋体" w:cs="宋体"/>
                <w:bCs/>
                <w:color w:val="auto"/>
                <w:highlight w:val="none"/>
                <w:lang w:val="en-US" w:eastAsia="zh-CN"/>
              </w:rPr>
              <w:t>5</w:t>
            </w:r>
            <w:r>
              <w:rPr>
                <w:rFonts w:hint="eastAsia" w:ascii="宋体" w:hAnsi="宋体" w:eastAsia="宋体" w:cs="宋体"/>
                <w:bCs/>
                <w:color w:val="auto"/>
                <w:highlight w:val="none"/>
              </w:rPr>
              <w:t>分）</w:t>
            </w:r>
          </w:p>
        </w:tc>
        <w:tc>
          <w:tcPr>
            <w:tcW w:w="6573" w:type="dxa"/>
            <w:tcBorders>
              <w:tl2br w:val="nil"/>
              <w:tr2bl w:val="nil"/>
            </w:tcBorders>
            <w:vAlign w:val="center"/>
          </w:tcPr>
          <w:p w14:paraId="66058F90">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1.根据供应商提供的人员配备情况进行评审评分；（满分3分）</w:t>
            </w:r>
          </w:p>
          <w:p w14:paraId="54E9E547">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供应商提供的人员人数大于等于6人以上的得3分，每减少一人员扣0.5分；</w:t>
            </w:r>
          </w:p>
          <w:p w14:paraId="6D5ADEA9">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注：拟派人员证明材料至少包括：身份证、毕业证（如有）、可查询的个人社保缴纳证明材料（打印日期为公告发布之日后）、岗位资格证书或职业资格证书（如有）；证明材料不全或不清晰的视为未提供。</w:t>
            </w:r>
          </w:p>
          <w:p w14:paraId="500EF54B">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2.根据供应商提供的人员配备机构说明进行评审评分；（满分2分）</w:t>
            </w:r>
          </w:p>
          <w:p w14:paraId="3E7B8F8E">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在“①项目人员组织机构建立及岗位职责划分、②岗位人员培训及考核方案”2项内容，以上2项内容在“合理性、可行性”2个方面，有1个方面内容存在缺陷的扣0.5分。</w:t>
            </w:r>
          </w:p>
          <w:p w14:paraId="0036D8DC">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注：缺陷是指：①针对性不足：与项目实际情况不匹配、不符合项目特点、不适用于本项目或与本项目采购要求不相符；</w:t>
            </w:r>
          </w:p>
          <w:p w14:paraId="06B85E0A">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②过于简略：内容过于简单而不能对采购需求做出足够响应；</w:t>
            </w:r>
          </w:p>
          <w:p w14:paraId="6CE5DF11">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③错误：文字表述、技术描述、引用、图表制作有明显错误</w:t>
            </w:r>
            <w:r>
              <w:rPr>
                <w:rFonts w:hint="eastAsia" w:ascii="宋体" w:hAnsi="宋体" w:eastAsia="宋体" w:cs="宋体"/>
                <w:color w:val="auto"/>
                <w:highlight w:val="none"/>
              </w:rPr>
              <w:t>。</w:t>
            </w:r>
          </w:p>
        </w:tc>
      </w:tr>
      <w:tr w14:paraId="40909D7C">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632" w:type="dxa"/>
            <w:vMerge w:val="continue"/>
            <w:tcBorders>
              <w:tl2br w:val="nil"/>
              <w:tr2bl w:val="nil"/>
            </w:tcBorders>
            <w:vAlign w:val="center"/>
          </w:tcPr>
          <w:p w14:paraId="6EE99A26">
            <w:pPr>
              <w:spacing w:line="360" w:lineRule="auto"/>
              <w:jc w:val="center"/>
              <w:rPr>
                <w:rFonts w:hint="eastAsia" w:ascii="宋体" w:hAnsi="宋体" w:eastAsia="宋体" w:cs="宋体"/>
                <w:color w:val="auto"/>
                <w:highlight w:val="none"/>
              </w:rPr>
            </w:pPr>
          </w:p>
        </w:tc>
        <w:tc>
          <w:tcPr>
            <w:tcW w:w="1827" w:type="dxa"/>
            <w:tcBorders>
              <w:tl2br w:val="nil"/>
              <w:tr2bl w:val="nil"/>
            </w:tcBorders>
            <w:vAlign w:val="center"/>
          </w:tcPr>
          <w:p w14:paraId="7EE8554E">
            <w:pPr>
              <w:pStyle w:val="25"/>
              <w:spacing w:line="360" w:lineRule="auto"/>
              <w:ind w:left="0" w:leftChars="0" w:firstLine="0" w:firstLineChars="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供应商类似业绩</w:t>
            </w:r>
          </w:p>
          <w:p w14:paraId="3D1BF896">
            <w:pPr>
              <w:snapToGrid w:val="0"/>
              <w:spacing w:line="240" w:lineRule="auto"/>
              <w:jc w:val="center"/>
              <w:rPr>
                <w:rFonts w:hint="eastAsia" w:ascii="宋体" w:hAnsi="宋体" w:eastAsia="宋体" w:cs="宋体"/>
                <w:color w:val="auto"/>
                <w:highlight w:val="none"/>
                <w:lang w:val="en-US" w:eastAsia="zh-CN"/>
              </w:rPr>
            </w:pPr>
            <w:r>
              <w:rPr>
                <w:rFonts w:hint="eastAsia" w:ascii="宋体" w:hAnsi="宋体" w:eastAsia="宋体" w:cs="宋体"/>
                <w:bCs/>
                <w:color w:val="auto"/>
                <w:highlight w:val="none"/>
              </w:rPr>
              <w:t>（满分</w:t>
            </w:r>
            <w:r>
              <w:rPr>
                <w:rFonts w:hint="eastAsia" w:ascii="宋体" w:hAnsi="宋体" w:cs="宋体"/>
                <w:bCs/>
                <w:color w:val="auto"/>
                <w:highlight w:val="none"/>
                <w:lang w:val="en-US" w:eastAsia="zh-CN"/>
              </w:rPr>
              <w:t>4</w:t>
            </w:r>
            <w:r>
              <w:rPr>
                <w:rFonts w:hint="eastAsia" w:ascii="宋体" w:hAnsi="宋体" w:eastAsia="宋体" w:cs="宋体"/>
                <w:bCs/>
                <w:color w:val="auto"/>
                <w:highlight w:val="none"/>
              </w:rPr>
              <w:t>分）</w:t>
            </w:r>
          </w:p>
        </w:tc>
        <w:tc>
          <w:tcPr>
            <w:tcW w:w="6573" w:type="dxa"/>
            <w:tcBorders>
              <w:tl2br w:val="nil"/>
              <w:tr2bl w:val="nil"/>
            </w:tcBorders>
            <w:vAlign w:val="center"/>
          </w:tcPr>
          <w:p w14:paraId="3CC5E636">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供应商每提供一个业绩得</w:t>
            </w: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分，最多得</w:t>
            </w:r>
            <w:r>
              <w:rPr>
                <w:rFonts w:hint="eastAsia" w:ascii="宋体" w:hAnsi="宋体" w:cs="宋体"/>
                <w:color w:val="auto"/>
                <w:highlight w:val="none"/>
                <w:lang w:val="en-US" w:eastAsia="zh-CN"/>
              </w:rPr>
              <w:t>4</w:t>
            </w:r>
            <w:r>
              <w:rPr>
                <w:rFonts w:hint="eastAsia" w:ascii="宋体" w:hAnsi="宋体" w:eastAsia="宋体" w:cs="宋体"/>
                <w:color w:val="auto"/>
                <w:highlight w:val="none"/>
                <w:lang w:val="en-US" w:eastAsia="zh-CN"/>
              </w:rPr>
              <w:t>分；</w:t>
            </w:r>
          </w:p>
          <w:p w14:paraId="5F4480A8">
            <w:pPr>
              <w:spacing w:line="24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类似业绩证明材料为：合同或成交通知书或业主证明材料。</w:t>
            </w:r>
          </w:p>
        </w:tc>
      </w:tr>
      <w:tr w14:paraId="72825808">
        <w:tblPrEx>
          <w:tblBorders>
            <w:top w:val="thinThickLargeGap" w:color="auto" w:sz="24" w:space="0"/>
            <w:left w:val="thinThickLargeGap" w:color="auto" w:sz="24" w:space="0"/>
            <w:bottom w:val="thinThickLargeGap" w:color="auto" w:sz="24" w:space="0"/>
            <w:right w:val="thinThickLargeGap" w:color="auto" w:sz="2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10032" w:type="dxa"/>
            <w:gridSpan w:val="3"/>
            <w:tcBorders>
              <w:tl2br w:val="nil"/>
              <w:tr2bl w:val="nil"/>
            </w:tcBorders>
            <w:vAlign w:val="center"/>
          </w:tcPr>
          <w:p w14:paraId="46C6797B">
            <w:pPr>
              <w:spacing w:line="24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注：</w:t>
            </w:r>
          </w:p>
          <w:p w14:paraId="21FB044F">
            <w:pPr>
              <w:spacing w:line="240" w:lineRule="auto"/>
              <w:ind w:firstLine="402" w:firstLineChars="20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1、应提供真实有效材料作为评审支撑，未提供或提供材料不足以证明其具备以上要求的，评标委有权不予赋分；提供虚假材料谋取中标的行为可能导致相应处罚。</w:t>
            </w:r>
          </w:p>
          <w:p w14:paraId="3F9DFDDA">
            <w:pPr>
              <w:spacing w:line="240" w:lineRule="auto"/>
              <w:ind w:firstLine="402" w:firstLineChars="200"/>
              <w:rPr>
                <w:rFonts w:hint="eastAsia" w:ascii="宋体" w:hAnsi="宋体" w:eastAsia="宋体" w:cs="宋体"/>
                <w:b/>
                <w:color w:val="auto"/>
                <w:highlight w:val="none"/>
              </w:rPr>
            </w:pPr>
            <w:r>
              <w:rPr>
                <w:rFonts w:hint="eastAsia" w:ascii="宋体" w:hAnsi="宋体" w:eastAsia="宋体" w:cs="宋体"/>
                <w:b/>
                <w:color w:val="auto"/>
                <w:sz w:val="20"/>
                <w:szCs w:val="20"/>
                <w:highlight w:val="none"/>
              </w:rPr>
              <w:t>2、总得分计算公式：供应商的评标总得分Z＝F1＋F2＋ …Fn 其中：  F1、F2、…Fn 分别各项评分因素的汇总得分；评分分值计算保留小数点后两位，小数点后第三位“四舍五入”。</w:t>
            </w:r>
          </w:p>
        </w:tc>
      </w:tr>
    </w:tbl>
    <w:p w14:paraId="12888D13">
      <w:pPr>
        <w:spacing w:line="360" w:lineRule="auto"/>
        <w:ind w:firstLine="480" w:firstLineChars="200"/>
        <w:rPr>
          <w:rFonts w:hint="eastAsia" w:ascii="宋体" w:hAnsi="宋体" w:eastAsia="宋体" w:cs="宋体"/>
          <w:color w:val="auto"/>
          <w:highlight w:val="none"/>
        </w:rPr>
      </w:pPr>
      <w:bookmarkStart w:id="339" w:name="_Toc521488398"/>
      <w:bookmarkStart w:id="340" w:name="_Toc453512553"/>
      <w:bookmarkStart w:id="341" w:name="_Toc367109381"/>
      <w:bookmarkStart w:id="342" w:name="_Toc517797371"/>
      <w:bookmarkStart w:id="343" w:name="_Toc465691745"/>
      <w:bookmarkStart w:id="344" w:name="_Toc524948083"/>
      <w:bookmarkStart w:id="345" w:name="_Toc324"/>
      <w:bookmarkStart w:id="346" w:name="_Toc515905361"/>
      <w:bookmarkStart w:id="347" w:name="_Toc515906928"/>
      <w:r>
        <w:rPr>
          <w:rFonts w:hint="eastAsia" w:ascii="宋体" w:hAnsi="宋体" w:eastAsia="宋体" w:cs="宋体"/>
          <w:color w:val="auto"/>
          <w:highlight w:val="none"/>
        </w:rPr>
        <w:br w:type="page"/>
      </w:r>
      <w:r>
        <w:rPr>
          <w:rFonts w:hint="eastAsia" w:ascii="宋体" w:hAnsi="宋体" w:eastAsia="宋体" w:cs="宋体"/>
          <w:color w:val="auto"/>
          <w:highlight w:val="none"/>
        </w:rPr>
        <w:t>A6.采购失败</w:t>
      </w:r>
    </w:p>
    <w:p w14:paraId="2026BACC">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若出现下列情况时，本次采购失败：</w:t>
      </w:r>
    </w:p>
    <w:p w14:paraId="487C26D6">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（1）招标文件获取截止时间止，获取招标文件的供应商不足3家的；</w:t>
      </w:r>
    </w:p>
    <w:p w14:paraId="5F1BAEB3">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（2）投标文件递交截止时间止，递交投标文件的供应商不足3家的；</w:t>
      </w:r>
    </w:p>
    <w:p w14:paraId="28C7213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（3）采购单位原因暂停、终止采购的；</w:t>
      </w:r>
    </w:p>
    <w:p w14:paraId="4835C9A4">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（4）其他法律法规规定的情形。</w:t>
      </w:r>
    </w:p>
    <w:p w14:paraId="7FDECE25">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A7.推荐成交候选人或者直接确定成交人</w:t>
      </w:r>
    </w:p>
    <w:p w14:paraId="0AFC60AE">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是否授权评标委员会确定成交人：否；</w:t>
      </w:r>
    </w:p>
    <w:p w14:paraId="15EBCFFC">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A7.3编制评标报告</w:t>
      </w:r>
    </w:p>
    <w:p w14:paraId="0BFB2AA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评标委员会根据本章第A1项的规定向采购人提交评标报告。评标报告应当由全体评标委员会成员签字。</w:t>
      </w:r>
    </w:p>
    <w:p w14:paraId="41D1B471">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A8．特殊情况的处置程序</w:t>
      </w:r>
    </w:p>
    <w:p w14:paraId="13101E7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A8.1关于采购活动暂停</w:t>
      </w:r>
    </w:p>
    <w:p w14:paraId="2168E1EE">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A8.1.1评标委员会应当执行连续评审的原则，按评标办法中规定的程序、内容、方法、标准完成全部评标工作。只有发生不可抗力导致评标工作无法继续时，评标活动方可暂停。</w:t>
      </w:r>
    </w:p>
    <w:p w14:paraId="2B9FCA34">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A8.1.2发生评标暂停情况时，评标委员会应当封存全部投标文件和评标记录，待不可抗力的影响结束且具备继续评标的条件时，由原评标委员会继续评标。</w:t>
      </w:r>
    </w:p>
    <w:p w14:paraId="312A3BD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A8.2关于评标中途更换评委</w:t>
      </w:r>
    </w:p>
    <w:p w14:paraId="728A810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A8.2.1除非发生下列情况之一，评标委员会成员不得在评标中途更换：</w:t>
      </w:r>
    </w:p>
    <w:p w14:paraId="301EDE13">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（1）因不可抗拒的客观原因，不能到场或需在评标中途退出评标活动。</w:t>
      </w:r>
    </w:p>
    <w:p w14:paraId="6EDE9D2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（2）根据法律法规规定，某个或某几个评标委员会成员需要回避。</w:t>
      </w:r>
    </w:p>
    <w:p w14:paraId="2117BF1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A8.2.2退出评标的评标委员会成员，其已完成的评标行为无效。由采购人根据本招标文件规定的评标委员会成员生产方式另行确定替代者进行评审。</w:t>
      </w:r>
    </w:p>
    <w:p w14:paraId="443D25A3">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A8.3记名投票</w:t>
      </w:r>
    </w:p>
    <w:p w14:paraId="1A9CE595">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在任何评标环节中，需评标委员会就某项定性的评审结论作出表决的，由评标委员会全体成员按照少数服从多数的原则，以记名投票方式表决。</w:t>
      </w:r>
    </w:p>
    <w:p w14:paraId="26108171">
      <w:pPr>
        <w:rPr>
          <w:rFonts w:hint="eastAsia" w:ascii="宋体" w:hAnsi="宋体" w:eastAsia="宋体" w:cs="宋体"/>
          <w:b/>
          <w:bCs/>
          <w:color w:val="auto"/>
          <w:sz w:val="28"/>
          <w:szCs w:val="28"/>
          <w:highlight w:val="none"/>
        </w:rPr>
      </w:pPr>
      <w:bookmarkStart w:id="348" w:name="_Toc23188"/>
      <w:bookmarkStart w:id="349" w:name="_Toc534621434"/>
      <w:bookmarkStart w:id="350" w:name="_Toc33607521"/>
      <w:r>
        <w:rPr>
          <w:rFonts w:hint="eastAsia" w:ascii="宋体" w:hAnsi="宋体" w:eastAsia="宋体" w:cs="宋体"/>
          <w:b/>
          <w:bCs/>
          <w:color w:val="auto"/>
          <w:sz w:val="28"/>
          <w:szCs w:val="28"/>
          <w:highlight w:val="none"/>
        </w:rPr>
        <w:br w:type="page"/>
      </w:r>
      <w:r>
        <w:rPr>
          <w:rFonts w:hint="eastAsia" w:ascii="宋体" w:hAnsi="宋体" w:eastAsia="宋体" w:cs="宋体"/>
          <w:b/>
          <w:bCs/>
          <w:color w:val="auto"/>
          <w:sz w:val="28"/>
          <w:szCs w:val="28"/>
          <w:highlight w:val="none"/>
        </w:rPr>
        <w:t>附件B：否决投标条件</w:t>
      </w:r>
      <w:bookmarkEnd w:id="339"/>
      <w:bookmarkEnd w:id="340"/>
      <w:bookmarkEnd w:id="341"/>
      <w:bookmarkEnd w:id="342"/>
      <w:bookmarkEnd w:id="343"/>
      <w:bookmarkEnd w:id="344"/>
      <w:bookmarkEnd w:id="345"/>
      <w:bookmarkEnd w:id="346"/>
      <w:bookmarkEnd w:id="347"/>
      <w:bookmarkEnd w:id="348"/>
      <w:bookmarkEnd w:id="349"/>
      <w:bookmarkEnd w:id="350"/>
    </w:p>
    <w:p w14:paraId="61E5BFD9">
      <w:pPr>
        <w:pStyle w:val="5"/>
        <w:ind w:left="0" w:leftChars="0" w:right="240" w:firstLine="0"/>
        <w:rPr>
          <w:rFonts w:hint="eastAsia" w:ascii="宋体" w:hAnsi="宋体" w:eastAsia="宋体" w:cs="宋体"/>
          <w:color w:val="auto"/>
          <w:highlight w:val="none"/>
        </w:rPr>
      </w:pPr>
      <w:bookmarkStart w:id="351" w:name="_Toc341257807"/>
      <w:bookmarkStart w:id="352" w:name="_Toc345416886"/>
      <w:bookmarkStart w:id="353" w:name="_Toc332716665"/>
      <w:r>
        <w:rPr>
          <w:rFonts w:hint="eastAsia" w:ascii="宋体" w:hAnsi="宋体" w:eastAsia="宋体" w:cs="宋体"/>
          <w:color w:val="auto"/>
          <w:highlight w:val="none"/>
        </w:rPr>
        <w:t>B0.总则</w:t>
      </w:r>
      <w:bookmarkEnd w:id="351"/>
      <w:bookmarkEnd w:id="352"/>
      <w:bookmarkEnd w:id="353"/>
    </w:p>
    <w:p w14:paraId="44900343">
      <w:pPr>
        <w:spacing w:line="360" w:lineRule="auto"/>
        <w:ind w:firstLine="480" w:firstLineChars="200"/>
        <w:rPr>
          <w:rFonts w:hint="eastAsia" w:ascii="宋体" w:hAnsi="宋体" w:eastAsia="宋体" w:cs="宋体"/>
          <w:color w:val="auto"/>
          <w:highlight w:val="none"/>
        </w:rPr>
      </w:pPr>
      <w:bookmarkStart w:id="354" w:name="_Toc345416887"/>
      <w:bookmarkStart w:id="355" w:name="_Toc341257808"/>
      <w:bookmarkStart w:id="356" w:name="_Toc332716666"/>
      <w:r>
        <w:rPr>
          <w:rFonts w:hint="eastAsia" w:ascii="宋体" w:hAnsi="宋体" w:eastAsia="宋体" w:cs="宋体"/>
          <w:color w:val="auto"/>
          <w:highlight w:val="none"/>
        </w:rPr>
        <w:t>本附件所集中列示的否决投标条件，是本章“评标办法”的组成部分，是对第二章“供应商须知”和本章正文部分所规定的否决投标条件的总结和补充，如果出现相互矛盾的情况，以此处所列的否决竞标条件为准，其他地方所列的否决竞标条件无效，评标委员会不得根据“附件B：否决投标条件”以外的条款否决投标。</w:t>
      </w:r>
    </w:p>
    <w:p w14:paraId="09DD9265">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B1.否决竞标条件</w:t>
      </w:r>
      <w:bookmarkEnd w:id="354"/>
      <w:bookmarkEnd w:id="355"/>
      <w:bookmarkEnd w:id="356"/>
    </w:p>
    <w:p w14:paraId="15DF4FB9">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供应商有下列情形之一的，其投标作否决竞标处理：</w:t>
      </w:r>
    </w:p>
    <w:p w14:paraId="38CFBFF9">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B1.1供应商名称与营业执照不一致的；</w:t>
      </w:r>
    </w:p>
    <w:p w14:paraId="6F9E86E5">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B1.2供应商递交两份或多份内容不同的投标文件，或在一份投标文件中对同一采购项目报有两个或多个报价，且未声明哪一个有效的；</w:t>
      </w:r>
    </w:p>
    <w:p w14:paraId="3A10F4B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B1.3未按照招标文件要求提交相关证件材料或提交的相关证件材料不符合招标文件要求的；</w:t>
      </w:r>
    </w:p>
    <w:p w14:paraId="00D7D99B">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B1.4有不符合本章“评标办法前附表”中“资格评审标准”“符合性审查标准”规定的任意一条评审标准的；</w:t>
      </w:r>
    </w:p>
    <w:p w14:paraId="226ECBDC">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B1.5供应商的投标报价超出采购人公布的采购预算价的；</w:t>
      </w:r>
    </w:p>
    <w:p w14:paraId="54818C0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B1.6 本招标文件要求的投标文件格式内规定要求法定代表人或授权委托人签字</w:t>
      </w:r>
      <w:r>
        <w:rPr>
          <w:rFonts w:hint="eastAsia" w:ascii="宋体" w:hAnsi="宋体" w:eastAsia="宋体" w:cs="宋体"/>
          <w:color w:val="auto"/>
          <w:highlight w:val="none"/>
          <w:lang w:val="en-US" w:eastAsia="zh-CN"/>
        </w:rPr>
        <w:t>/签章</w:t>
      </w:r>
      <w:r>
        <w:rPr>
          <w:rFonts w:hint="eastAsia" w:ascii="宋体" w:hAnsi="宋体" w:eastAsia="宋体" w:cs="宋体"/>
          <w:color w:val="auto"/>
          <w:highlight w:val="none"/>
        </w:rPr>
        <w:t>页或单位</w:t>
      </w:r>
      <w:r>
        <w:rPr>
          <w:rFonts w:hint="eastAsia" w:ascii="宋体" w:hAnsi="宋体" w:eastAsia="宋体" w:cs="宋体"/>
          <w:color w:val="auto"/>
          <w:highlight w:val="none"/>
          <w:lang w:val="en-US" w:eastAsia="zh-CN"/>
        </w:rPr>
        <w:t>签章/</w:t>
      </w:r>
      <w:r>
        <w:rPr>
          <w:rFonts w:hint="eastAsia" w:ascii="宋体" w:hAnsi="宋体" w:eastAsia="宋体" w:cs="宋体"/>
          <w:color w:val="auto"/>
          <w:highlight w:val="none"/>
        </w:rPr>
        <w:t>盖章页上无</w:t>
      </w:r>
      <w:r>
        <w:rPr>
          <w:rFonts w:hint="eastAsia" w:ascii="宋体" w:hAnsi="宋体" w:eastAsia="宋体" w:cs="宋体"/>
          <w:color w:val="auto"/>
          <w:highlight w:val="none"/>
          <w:lang w:val="en-US" w:eastAsia="zh-CN"/>
        </w:rPr>
        <w:t>签章/</w:t>
      </w:r>
      <w:r>
        <w:rPr>
          <w:rFonts w:hint="eastAsia" w:ascii="宋体" w:hAnsi="宋体" w:eastAsia="宋体" w:cs="宋体"/>
          <w:color w:val="auto"/>
          <w:highlight w:val="none"/>
        </w:rPr>
        <w:t>盖章的；或</w:t>
      </w:r>
      <w:r>
        <w:rPr>
          <w:rFonts w:hint="eastAsia" w:ascii="宋体" w:hAnsi="宋体" w:eastAsia="宋体" w:cs="宋体"/>
          <w:color w:val="auto"/>
          <w:highlight w:val="none"/>
          <w:lang w:val="en-US" w:eastAsia="zh-CN"/>
        </w:rPr>
        <w:t>签章</w:t>
      </w:r>
      <w:r>
        <w:rPr>
          <w:rFonts w:hint="eastAsia" w:ascii="宋体" w:hAnsi="宋体" w:eastAsia="宋体" w:cs="宋体"/>
          <w:color w:val="auto"/>
          <w:highlight w:val="none"/>
        </w:rPr>
        <w:t>不满足招标文件规定的；</w:t>
      </w:r>
    </w:p>
    <w:p w14:paraId="5263F627">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B1.7投标文件未按招标文件</w:t>
      </w:r>
      <w:r>
        <w:rPr>
          <w:rFonts w:hint="eastAsia" w:ascii="宋体" w:hAnsi="宋体" w:eastAsia="宋体" w:cs="宋体"/>
          <w:color w:val="auto"/>
          <w:highlight w:val="none"/>
          <w:lang w:val="en-US" w:eastAsia="zh-CN"/>
        </w:rPr>
        <w:t>要求提供相关承诺或证明材料或</w:t>
      </w:r>
      <w:r>
        <w:rPr>
          <w:rFonts w:hint="eastAsia" w:ascii="宋体" w:hAnsi="宋体" w:eastAsia="宋体" w:cs="宋体"/>
          <w:color w:val="auto"/>
          <w:highlight w:val="none"/>
        </w:rPr>
        <w:t>内容不全</w:t>
      </w:r>
      <w:r>
        <w:rPr>
          <w:rFonts w:hint="eastAsia" w:ascii="宋体" w:hAnsi="宋体" w:eastAsia="宋体" w:cs="宋体"/>
          <w:color w:val="auto"/>
          <w:highlight w:val="none"/>
          <w:lang w:val="en-US" w:eastAsia="zh-CN"/>
        </w:rPr>
        <w:t>的</w:t>
      </w:r>
      <w:r>
        <w:rPr>
          <w:rFonts w:hint="eastAsia" w:ascii="宋体" w:hAnsi="宋体" w:eastAsia="宋体" w:cs="宋体"/>
          <w:color w:val="auto"/>
          <w:highlight w:val="none"/>
        </w:rPr>
        <w:t>或关键字迹模糊、无法辨认的；</w:t>
      </w:r>
    </w:p>
    <w:p w14:paraId="38445A8B">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B1.8供应商针对评标委员会询标所提问题，在询标完毕后，未作出书面说明并按要求提供相关证明材料或不能合理说明、提供相关证明材料的；</w:t>
      </w:r>
    </w:p>
    <w:p w14:paraId="7B3F1D54">
      <w:pPr>
        <w:pStyle w:val="2"/>
        <w:rPr>
          <w:rFonts w:hint="eastAsia" w:ascii="宋体" w:hAnsi="宋体" w:eastAsia="宋体" w:cs="宋体"/>
          <w:color w:val="auto"/>
          <w:highlight w:val="none"/>
        </w:rPr>
      </w:pPr>
      <w:bookmarkStart w:id="357" w:name="_Toc31633"/>
      <w:bookmarkStart w:id="358" w:name="_Toc27780"/>
      <w:bookmarkStart w:id="359" w:name="_Toc14026"/>
      <w:r>
        <w:rPr>
          <w:rFonts w:hint="eastAsia" w:ascii="宋体" w:hAnsi="宋体" w:eastAsia="宋体" w:cs="宋体"/>
          <w:color w:val="auto"/>
          <w:highlight w:val="none"/>
        </w:rPr>
        <w:br w:type="page"/>
      </w:r>
      <w:bookmarkStart w:id="360" w:name="_Toc28010"/>
      <w:bookmarkStart w:id="361" w:name="_Toc20265"/>
      <w:r>
        <w:rPr>
          <w:rFonts w:hint="eastAsia" w:ascii="宋体" w:hAnsi="宋体" w:eastAsia="宋体" w:cs="宋体"/>
          <w:color w:val="auto"/>
          <w:highlight w:val="none"/>
        </w:rPr>
        <w:t>第四章 合同书样式及主要条款</w:t>
      </w:r>
      <w:bookmarkEnd w:id="357"/>
      <w:bookmarkEnd w:id="358"/>
      <w:bookmarkEnd w:id="359"/>
      <w:bookmarkEnd w:id="360"/>
      <w:bookmarkEnd w:id="361"/>
    </w:p>
    <w:p w14:paraId="55ECD525">
      <w:pPr>
        <w:spacing w:line="360" w:lineRule="auto"/>
        <w:jc w:val="center"/>
        <w:rPr>
          <w:rFonts w:hint="eastAsia" w:ascii="宋体" w:hAnsi="宋体" w:eastAsia="宋体" w:cs="宋体"/>
          <w:color w:val="auto"/>
          <w:szCs w:val="21"/>
          <w:highlight w:val="none"/>
          <w:lang w:eastAsia="zh-CN"/>
        </w:rPr>
      </w:pPr>
      <w:bookmarkStart w:id="362" w:name="_Toc18440"/>
      <w:bookmarkStart w:id="363" w:name="_Toc9371"/>
      <w:bookmarkStart w:id="364" w:name="_Toc19555"/>
      <w:bookmarkStart w:id="365" w:name="_Toc15329"/>
      <w:bookmarkStart w:id="366" w:name="_Toc28223"/>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本合同为参考模板，</w:t>
      </w:r>
      <w:r>
        <w:rPr>
          <w:rFonts w:hint="eastAsia" w:ascii="宋体" w:hAnsi="宋体" w:eastAsia="宋体" w:cs="宋体"/>
          <w:color w:val="auto"/>
          <w:szCs w:val="21"/>
          <w:highlight w:val="none"/>
        </w:rPr>
        <w:t>合同内容以最终</w:t>
      </w:r>
      <w:r>
        <w:rPr>
          <w:rFonts w:hint="eastAsia" w:ascii="宋体" w:hAnsi="宋体" w:eastAsia="宋体" w:cs="宋体"/>
          <w:color w:val="auto"/>
          <w:szCs w:val="21"/>
          <w:highlight w:val="none"/>
          <w:lang w:val="en-US" w:eastAsia="zh-CN"/>
        </w:rPr>
        <w:t>双方</w:t>
      </w:r>
      <w:r>
        <w:rPr>
          <w:rFonts w:hint="eastAsia" w:ascii="宋体" w:hAnsi="宋体" w:eastAsia="宋体" w:cs="宋体"/>
          <w:color w:val="auto"/>
          <w:szCs w:val="21"/>
          <w:highlight w:val="none"/>
        </w:rPr>
        <w:t>实际签订为准</w:t>
      </w:r>
      <w:r>
        <w:rPr>
          <w:rFonts w:hint="eastAsia" w:ascii="宋体" w:hAnsi="宋体" w:eastAsia="宋体" w:cs="宋体"/>
          <w:color w:val="auto"/>
          <w:szCs w:val="21"/>
          <w:highlight w:val="none"/>
          <w:lang w:eastAsia="zh-CN"/>
        </w:rPr>
        <w:t>)</w:t>
      </w:r>
    </w:p>
    <w:p w14:paraId="4D35FA56">
      <w:pPr>
        <w:rPr>
          <w:rFonts w:hint="eastAsia" w:ascii="宋体" w:hAnsi="宋体"/>
          <w:b/>
          <w:bCs/>
        </w:rPr>
      </w:pPr>
      <w:bookmarkStart w:id="367" w:name="_Toc2176_WPSOffice_Level2"/>
    </w:p>
    <w:p w14:paraId="480B95C8">
      <w:pPr>
        <w:rPr>
          <w:rFonts w:hint="eastAsia" w:ascii="宋体" w:hAnsi="宋体"/>
          <w:b/>
          <w:bCs/>
        </w:rPr>
      </w:pPr>
    </w:p>
    <w:p w14:paraId="217FF0FF">
      <w:pPr>
        <w:rPr>
          <w:rFonts w:hint="eastAsia" w:ascii="宋体" w:hAnsi="宋体"/>
          <w:b/>
          <w:bCs/>
        </w:rPr>
      </w:pPr>
    </w:p>
    <w:p w14:paraId="305771F8">
      <w:pPr>
        <w:rPr>
          <w:rFonts w:hint="eastAsia" w:ascii="宋体" w:hAnsi="宋体"/>
          <w:b/>
          <w:bCs/>
        </w:rPr>
      </w:pPr>
    </w:p>
    <w:p w14:paraId="425D6C74">
      <w:pPr>
        <w:jc w:val="center"/>
        <w:rPr>
          <w:rFonts w:hint="eastAsia" w:ascii="宋体" w:hAnsi="宋体"/>
          <w:b/>
          <w:bCs/>
          <w:sz w:val="84"/>
          <w:szCs w:val="84"/>
        </w:rPr>
      </w:pPr>
      <w:r>
        <w:rPr>
          <w:rFonts w:hint="eastAsia" w:ascii="宋体" w:hAnsi="宋体"/>
          <w:b/>
          <w:bCs/>
          <w:sz w:val="84"/>
          <w:szCs w:val="84"/>
        </w:rPr>
        <w:t>政府采购合同</w:t>
      </w:r>
    </w:p>
    <w:p w14:paraId="1DE05E73">
      <w:pPr>
        <w:rPr>
          <w:rFonts w:hint="eastAsia" w:ascii="宋体" w:hAnsi="宋体"/>
          <w:b/>
          <w:bCs/>
        </w:rPr>
      </w:pPr>
      <w:r>
        <w:rPr>
          <w:rFonts w:hint="eastAsia" w:ascii="宋体" w:hAnsi="宋体"/>
          <w:b/>
          <w:bCs/>
        </w:rPr>
        <w:t xml:space="preserve"> </w:t>
      </w:r>
    </w:p>
    <w:p w14:paraId="434E188C">
      <w:pPr>
        <w:rPr>
          <w:rFonts w:hint="eastAsia" w:ascii="宋体" w:hAnsi="宋体"/>
          <w:b/>
          <w:bCs/>
        </w:rPr>
      </w:pPr>
      <w:r>
        <w:rPr>
          <w:rFonts w:hint="eastAsia" w:ascii="宋体" w:hAnsi="宋体"/>
          <w:b/>
          <w:bCs/>
        </w:rPr>
        <w:t xml:space="preserve"> </w:t>
      </w:r>
    </w:p>
    <w:p w14:paraId="00BBB788">
      <w:pPr>
        <w:rPr>
          <w:rFonts w:hint="eastAsia" w:ascii="宋体" w:hAnsi="宋体"/>
          <w:b/>
          <w:bCs/>
        </w:rPr>
      </w:pPr>
      <w:r>
        <w:rPr>
          <w:rFonts w:hint="eastAsia" w:ascii="宋体" w:hAnsi="宋体"/>
          <w:b/>
          <w:bCs/>
        </w:rPr>
        <w:t xml:space="preserve"> </w:t>
      </w:r>
    </w:p>
    <w:p w14:paraId="409ECEDD">
      <w:pPr>
        <w:rPr>
          <w:rFonts w:hint="eastAsia" w:ascii="宋体" w:hAnsi="宋体"/>
          <w:b/>
          <w:bCs/>
        </w:rPr>
      </w:pPr>
      <w:r>
        <w:rPr>
          <w:rFonts w:hint="eastAsia" w:ascii="宋体" w:hAnsi="宋体"/>
          <w:b/>
          <w:bCs/>
        </w:rPr>
        <w:t xml:space="preserve"> </w:t>
      </w:r>
    </w:p>
    <w:p w14:paraId="2764ACA1">
      <w:pPr>
        <w:rPr>
          <w:rFonts w:hint="eastAsia" w:ascii="宋体" w:hAnsi="宋体"/>
          <w:b/>
          <w:bCs/>
        </w:rPr>
      </w:pPr>
      <w:r>
        <w:rPr>
          <w:rFonts w:hint="eastAsia" w:ascii="宋体" w:hAnsi="宋体"/>
          <w:b/>
          <w:bCs/>
        </w:rPr>
        <w:t xml:space="preserve"> </w:t>
      </w:r>
    </w:p>
    <w:p w14:paraId="5915BCED">
      <w:pPr>
        <w:rPr>
          <w:rFonts w:hint="eastAsia" w:ascii="宋体" w:hAnsi="宋体"/>
          <w:b/>
          <w:bCs/>
        </w:rPr>
      </w:pPr>
      <w:r>
        <w:rPr>
          <w:rFonts w:hint="eastAsia" w:ascii="宋体" w:hAnsi="宋体"/>
          <w:b/>
          <w:bCs/>
        </w:rPr>
        <w:t xml:space="preserve"> </w:t>
      </w:r>
    </w:p>
    <w:p w14:paraId="65B2032E">
      <w:pPr>
        <w:rPr>
          <w:rFonts w:hint="eastAsia" w:ascii="宋体" w:hAnsi="宋体"/>
          <w:b/>
          <w:bCs/>
        </w:rPr>
      </w:pPr>
      <w:r>
        <w:rPr>
          <w:rFonts w:hint="eastAsia" w:ascii="宋体" w:hAnsi="宋体"/>
          <w:b/>
          <w:bCs/>
        </w:rPr>
        <w:t xml:space="preserve"> </w:t>
      </w:r>
    </w:p>
    <w:p w14:paraId="54A49F81">
      <w:pPr>
        <w:rPr>
          <w:rFonts w:hint="eastAsia" w:ascii="宋体" w:hAnsi="宋体"/>
          <w:b/>
          <w:bCs/>
        </w:rPr>
      </w:pPr>
      <w:r>
        <w:rPr>
          <w:rFonts w:hint="eastAsia" w:ascii="宋体" w:hAnsi="宋体"/>
          <w:b/>
          <w:bCs/>
        </w:rPr>
        <w:t xml:space="preserve"> </w:t>
      </w:r>
    </w:p>
    <w:p w14:paraId="66DF6863">
      <w:pPr>
        <w:spacing w:line="600" w:lineRule="auto"/>
        <w:ind w:firstLine="492" w:firstLineChars="175"/>
        <w:rPr>
          <w:rFonts w:hint="default" w:ascii="宋体" w:hAnsi="宋体"/>
          <w:b/>
          <w:bCs/>
          <w:sz w:val="28"/>
          <w:szCs w:val="28"/>
          <w:lang w:val="en-US" w:eastAsia="zh-CN"/>
        </w:rPr>
      </w:pPr>
      <w:r>
        <w:rPr>
          <w:rFonts w:hint="eastAsia" w:ascii="宋体" w:hAnsi="宋体"/>
          <w:b/>
          <w:bCs/>
          <w:sz w:val="28"/>
          <w:szCs w:val="28"/>
        </w:rPr>
        <w:t>项目名称</w:t>
      </w:r>
      <w:r>
        <w:rPr>
          <w:rFonts w:hint="eastAsia" w:ascii="宋体" w:hAnsi="宋体"/>
          <w:b/>
          <w:bCs/>
          <w:sz w:val="28"/>
          <w:szCs w:val="28"/>
          <w:lang w:eastAsia="zh-CN"/>
        </w:rPr>
        <w:t>：云南能源职业技术学院</w:t>
      </w:r>
      <w:r>
        <w:rPr>
          <w:rFonts w:hint="eastAsia" w:ascii="宋体" w:hAnsi="宋体"/>
          <w:b/>
          <w:bCs/>
          <w:sz w:val="28"/>
          <w:szCs w:val="28"/>
          <w:lang w:val="en-US" w:eastAsia="zh-CN"/>
        </w:rPr>
        <w:t>........</w:t>
      </w:r>
    </w:p>
    <w:p w14:paraId="7959BAC4">
      <w:pPr>
        <w:spacing w:line="600" w:lineRule="auto"/>
        <w:ind w:firstLine="562" w:firstLineChars="200"/>
        <w:rPr>
          <w:rFonts w:hint="eastAsia" w:ascii="宋体" w:hAnsi="宋体"/>
          <w:b/>
          <w:bCs/>
          <w:sz w:val="28"/>
          <w:szCs w:val="28"/>
        </w:rPr>
      </w:pPr>
      <w:r>
        <w:rPr>
          <w:rFonts w:hint="eastAsia" w:ascii="宋体" w:hAnsi="宋体"/>
          <w:b/>
          <w:bCs/>
          <w:sz w:val="28"/>
          <w:szCs w:val="28"/>
        </w:rPr>
        <w:t>合同编号：</w:t>
      </w:r>
      <w:r>
        <w:rPr>
          <w:rFonts w:hint="eastAsia" w:ascii="宋体" w:hAnsi="宋体"/>
          <w:b/>
          <w:bCs/>
          <w:sz w:val="28"/>
          <w:szCs w:val="28"/>
          <w:u w:val="single"/>
        </w:rPr>
        <w:t xml:space="preserve">                 </w:t>
      </w:r>
    </w:p>
    <w:p w14:paraId="6DDC820F">
      <w:pPr>
        <w:spacing w:line="720" w:lineRule="auto"/>
        <w:ind w:firstLine="492" w:firstLineChars="175"/>
        <w:rPr>
          <w:rFonts w:hint="eastAsia" w:ascii="宋体" w:hAnsi="宋体"/>
          <w:b/>
          <w:bCs/>
          <w:sz w:val="28"/>
          <w:szCs w:val="28"/>
          <w:u w:val="single"/>
        </w:rPr>
      </w:pPr>
      <w:r>
        <w:rPr>
          <w:rFonts w:hint="eastAsia" w:ascii="宋体" w:hAnsi="宋体"/>
          <w:b/>
          <w:bCs/>
          <w:sz w:val="28"/>
          <w:szCs w:val="28"/>
        </w:rPr>
        <w:t>甲     方：</w:t>
      </w:r>
      <w:r>
        <w:rPr>
          <w:rFonts w:hint="eastAsia" w:ascii="宋体" w:hAnsi="宋体"/>
          <w:b/>
          <w:bCs/>
          <w:sz w:val="28"/>
          <w:szCs w:val="28"/>
          <w:u w:val="single"/>
        </w:rPr>
        <w:t xml:space="preserve">  云南能源职业技术学院       </w:t>
      </w:r>
    </w:p>
    <w:p w14:paraId="7FAD6658">
      <w:pPr>
        <w:spacing w:line="720" w:lineRule="auto"/>
        <w:ind w:firstLine="492" w:firstLineChars="175"/>
        <w:rPr>
          <w:rFonts w:hint="eastAsia" w:ascii="宋体" w:hAnsi="宋体"/>
          <w:b/>
          <w:bCs/>
          <w:sz w:val="28"/>
          <w:szCs w:val="28"/>
          <w:u w:val="single"/>
        </w:rPr>
      </w:pPr>
      <w:r>
        <w:rPr>
          <w:rFonts w:hint="eastAsia" w:ascii="宋体" w:hAnsi="宋体"/>
          <w:b/>
          <w:bCs/>
          <w:sz w:val="28"/>
          <w:szCs w:val="28"/>
        </w:rPr>
        <w:t>乙     方：</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p>
    <w:p w14:paraId="67742581">
      <w:pPr>
        <w:rPr>
          <w:rFonts w:hint="eastAsia" w:cs="Tahoma" w:asciiTheme="minorEastAsia" w:hAnsiTheme="minorEastAsia" w:eastAsiaTheme="minorEastAsia"/>
          <w:b/>
          <w:bCs/>
          <w:sz w:val="27"/>
          <w:szCs w:val="27"/>
        </w:rPr>
      </w:pPr>
      <w:r>
        <w:rPr>
          <w:rFonts w:hint="eastAsia" w:cs="Tahoma" w:asciiTheme="minorEastAsia" w:hAnsiTheme="minorEastAsia" w:eastAsiaTheme="minorEastAsia"/>
          <w:b/>
          <w:bCs/>
          <w:sz w:val="27"/>
          <w:szCs w:val="27"/>
        </w:rPr>
        <w:br w:type="page"/>
      </w:r>
    </w:p>
    <w:p w14:paraId="20B11292">
      <w:pPr>
        <w:widowControl/>
        <w:spacing w:line="720" w:lineRule="auto"/>
        <w:ind w:firstLine="474" w:firstLineChars="175"/>
        <w:rPr>
          <w:rFonts w:hint="eastAsia" w:cs="Tahoma" w:asciiTheme="minorEastAsia" w:hAnsiTheme="minorEastAsia" w:eastAsiaTheme="minorEastAsia"/>
          <w:b/>
          <w:bCs/>
          <w:sz w:val="27"/>
          <w:szCs w:val="27"/>
        </w:rPr>
      </w:pPr>
    </w:p>
    <w:bookmarkEnd w:id="367"/>
    <w:p w14:paraId="5304E280">
      <w:pPr>
        <w:widowControl/>
        <w:spacing w:line="360" w:lineRule="auto"/>
        <w:rPr>
          <w:rFonts w:hint="eastAsia" w:ascii="黑体" w:hAnsi="黑体" w:eastAsia="黑体"/>
          <w:b/>
          <w:kern w:val="0"/>
          <w:sz w:val="38"/>
          <w:szCs w:val="38"/>
        </w:rPr>
      </w:pPr>
      <w:r>
        <w:rPr>
          <w:rFonts w:hint="eastAsia" w:ascii="宋体" w:hAnsi="宋体" w:cs="宋体"/>
        </w:rPr>
        <w:t>甲方（采购人）：</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ascii="宋体" w:hAnsi="宋体" w:cs="宋体"/>
        </w:rPr>
        <w:t xml:space="preserve">          </w:t>
      </w:r>
      <w:r>
        <w:rPr>
          <w:rFonts w:ascii="宋体" w:hAnsi="宋体" w:cs="宋体"/>
          <w:u w:val="single"/>
        </w:rPr>
        <w:t xml:space="preserve">                                       </w:t>
      </w:r>
    </w:p>
    <w:p w14:paraId="2FAE0692">
      <w:pPr>
        <w:spacing w:line="360" w:lineRule="auto"/>
        <w:jc w:val="left"/>
        <w:rPr>
          <w:rFonts w:hint="eastAsia" w:ascii="宋体" w:hAnsi="宋体" w:cs="宋体"/>
          <w:u w:val="single"/>
        </w:rPr>
      </w:pPr>
      <w:r>
        <w:rPr>
          <w:rFonts w:hint="eastAsia" w:ascii="宋体" w:hAnsi="宋体" w:cs="宋体"/>
        </w:rPr>
        <w:t>统一社会信用代码证：</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ascii="宋体" w:hAnsi="宋体" w:cs="宋体"/>
        </w:rPr>
        <w:t xml:space="preserve">            </w:t>
      </w:r>
      <w:r>
        <w:rPr>
          <w:rFonts w:ascii="宋体" w:hAnsi="宋体" w:cs="宋体"/>
          <w:u w:val="single"/>
        </w:rPr>
        <w:t xml:space="preserve">                      </w:t>
      </w:r>
    </w:p>
    <w:p w14:paraId="28B85B4D">
      <w:pPr>
        <w:spacing w:line="360" w:lineRule="auto"/>
        <w:jc w:val="left"/>
        <w:rPr>
          <w:rFonts w:hint="eastAsia" w:ascii="宋体" w:hAnsi="宋体" w:cs="宋体"/>
          <w:u w:val="single"/>
        </w:rPr>
      </w:pPr>
      <w:r>
        <w:rPr>
          <w:rFonts w:hint="eastAsia" w:ascii="宋体" w:hAnsi="宋体" w:cs="宋体"/>
        </w:rPr>
        <w:t>法定代表人：</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ascii="宋体" w:hAnsi="宋体" w:cs="宋体"/>
        </w:rPr>
        <w:t xml:space="preserve">         </w:t>
      </w:r>
      <w:r>
        <w:rPr>
          <w:rFonts w:ascii="宋体" w:hAnsi="宋体" w:cs="宋体"/>
          <w:u w:val="single"/>
        </w:rPr>
        <w:t xml:space="preserve">                             </w:t>
      </w:r>
    </w:p>
    <w:p w14:paraId="07D62C37">
      <w:pPr>
        <w:spacing w:line="360" w:lineRule="auto"/>
        <w:jc w:val="left"/>
        <w:rPr>
          <w:rFonts w:hint="eastAsia" w:ascii="宋体" w:hAnsi="宋体" w:cs="宋体"/>
        </w:rPr>
      </w:pPr>
      <w:r>
        <w:rPr>
          <w:rFonts w:hint="eastAsia" w:ascii="宋体" w:hAnsi="宋体" w:cs="宋体"/>
        </w:rPr>
        <w:t>住所：</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ascii="宋体" w:hAnsi="宋体" w:cs="宋体"/>
        </w:rPr>
        <w:t xml:space="preserve">           </w:t>
      </w:r>
      <w:r>
        <w:rPr>
          <w:rFonts w:ascii="宋体" w:hAnsi="宋体" w:cs="宋体"/>
          <w:u w:val="single"/>
        </w:rPr>
        <w:t xml:space="preserve">                                 </w:t>
      </w:r>
    </w:p>
    <w:p w14:paraId="7A485A7A">
      <w:pPr>
        <w:spacing w:line="360" w:lineRule="auto"/>
        <w:jc w:val="left"/>
        <w:rPr>
          <w:rFonts w:hint="eastAsia" w:ascii="宋体" w:hAnsi="宋体" w:cs="宋体"/>
        </w:rPr>
      </w:pPr>
      <w:r>
        <w:rPr>
          <w:rFonts w:hint="eastAsia" w:ascii="宋体" w:hAnsi="宋体" w:cs="宋体"/>
        </w:rPr>
        <w:t xml:space="preserve">                                                      </w:t>
      </w:r>
    </w:p>
    <w:p w14:paraId="712BEF58">
      <w:pPr>
        <w:spacing w:line="360" w:lineRule="auto"/>
        <w:rPr>
          <w:rFonts w:hint="eastAsia" w:ascii="宋体" w:hAnsi="宋体" w:cs="宋体"/>
        </w:rPr>
      </w:pPr>
      <w:r>
        <w:rPr>
          <w:rFonts w:hint="eastAsia" w:ascii="宋体" w:hAnsi="宋体" w:cs="宋体"/>
        </w:rPr>
        <w:t>乙方（中标人）：</w:t>
      </w:r>
      <w:r>
        <w:rPr>
          <w:rFonts w:hint="eastAsia" w:ascii="宋体" w:hAnsi="宋体" w:cs="宋体"/>
          <w:u w:val="single"/>
        </w:rPr>
        <w:t xml:space="preserve"> </w:t>
      </w:r>
      <w:r>
        <w:rPr>
          <w:rFonts w:ascii="宋体" w:hAnsi="宋体" w:cs="宋体"/>
          <w:u w:val="single"/>
        </w:rPr>
        <w:t xml:space="preserve">                                                  </w:t>
      </w:r>
      <w:r>
        <w:rPr>
          <w:rFonts w:ascii="宋体" w:hAnsi="宋体" w:cs="宋体"/>
        </w:rPr>
        <w:t xml:space="preserve">         </w:t>
      </w:r>
      <w:r>
        <w:rPr>
          <w:rFonts w:ascii="宋体" w:hAnsi="宋体" w:cs="宋体"/>
          <w:u w:val="single"/>
        </w:rPr>
        <w:t xml:space="preserve">                             </w:t>
      </w:r>
    </w:p>
    <w:p w14:paraId="432EDE7A">
      <w:pPr>
        <w:spacing w:line="360" w:lineRule="auto"/>
        <w:rPr>
          <w:rFonts w:hint="eastAsia" w:ascii="宋体" w:hAnsi="宋体" w:cs="宋体"/>
          <w:u w:val="single"/>
        </w:rPr>
      </w:pPr>
      <w:r>
        <w:rPr>
          <w:rFonts w:hint="eastAsia" w:ascii="宋体" w:hAnsi="宋体" w:cs="宋体"/>
        </w:rPr>
        <w:t>统一社会信用代码证：</w:t>
      </w:r>
      <w:r>
        <w:rPr>
          <w:rFonts w:ascii="宋体" w:hAnsi="宋体" w:cs="宋体"/>
          <w:u w:val="single"/>
        </w:rPr>
        <w:t xml:space="preserve">                                              </w:t>
      </w:r>
      <w:r>
        <w:rPr>
          <w:rFonts w:ascii="宋体" w:hAnsi="宋体" w:cs="宋体"/>
        </w:rPr>
        <w:t xml:space="preserve">          </w:t>
      </w:r>
      <w:r>
        <w:rPr>
          <w:rFonts w:ascii="宋体" w:hAnsi="宋体" w:cs="宋体"/>
          <w:u w:val="single"/>
        </w:rPr>
        <w:t xml:space="preserve">                   </w:t>
      </w:r>
    </w:p>
    <w:p w14:paraId="64B5F194">
      <w:pPr>
        <w:spacing w:line="360" w:lineRule="auto"/>
        <w:rPr>
          <w:rFonts w:hint="eastAsia" w:ascii="宋体" w:hAnsi="宋体" w:cs="宋体"/>
          <w:u w:val="single"/>
        </w:rPr>
      </w:pPr>
      <w:r>
        <w:rPr>
          <w:rFonts w:hint="eastAsia" w:ascii="宋体" w:hAnsi="宋体" w:cs="宋体"/>
        </w:rPr>
        <w:t>法定代表人：</w:t>
      </w:r>
      <w:r>
        <w:rPr>
          <w:rFonts w:hint="eastAsia" w:ascii="宋体" w:hAnsi="宋体" w:cs="宋体"/>
          <w:u w:val="single"/>
        </w:rPr>
        <w:t xml:space="preserve"> </w:t>
      </w:r>
      <w:r>
        <w:rPr>
          <w:rFonts w:ascii="宋体" w:hAnsi="宋体" w:cs="宋体"/>
          <w:u w:val="single"/>
        </w:rPr>
        <w:t xml:space="preserve">                                                     </w:t>
      </w:r>
      <w:r>
        <w:rPr>
          <w:rFonts w:ascii="宋体" w:hAnsi="宋体" w:cs="宋体"/>
        </w:rPr>
        <w:t xml:space="preserve">         </w:t>
      </w:r>
      <w:r>
        <w:rPr>
          <w:rFonts w:ascii="宋体" w:hAnsi="宋体" w:cs="宋体"/>
          <w:u w:val="single"/>
        </w:rPr>
        <w:t xml:space="preserve">                            </w:t>
      </w:r>
    </w:p>
    <w:p w14:paraId="05BA41F8">
      <w:pPr>
        <w:spacing w:line="360" w:lineRule="auto"/>
        <w:rPr>
          <w:rFonts w:hint="eastAsia" w:ascii="宋体" w:hAnsi="宋体" w:cs="宋体"/>
          <w:bCs/>
        </w:rPr>
      </w:pPr>
      <w:r>
        <w:rPr>
          <w:rFonts w:hint="eastAsia" w:ascii="宋体" w:hAnsi="宋体" w:cs="宋体"/>
        </w:rPr>
        <w:t>住所：</w:t>
      </w:r>
      <w:r>
        <w:rPr>
          <w:rFonts w:hint="eastAsia" w:ascii="宋体" w:hAnsi="宋体" w:cs="宋体"/>
          <w:u w:val="single"/>
        </w:rPr>
        <w:t xml:space="preserve"> </w:t>
      </w:r>
      <w:r>
        <w:rPr>
          <w:rFonts w:ascii="宋体" w:hAnsi="宋体" w:cs="宋体"/>
          <w:u w:val="single"/>
        </w:rPr>
        <w:t xml:space="preserve">                                                           </w:t>
      </w:r>
      <w:r>
        <w:rPr>
          <w:rFonts w:ascii="宋体" w:hAnsi="宋体" w:cs="宋体"/>
        </w:rPr>
        <w:t xml:space="preserve">         </w:t>
      </w:r>
      <w:r>
        <w:rPr>
          <w:rFonts w:ascii="宋体" w:hAnsi="宋体" w:cs="宋体"/>
          <w:u w:val="single"/>
        </w:rPr>
        <w:t xml:space="preserve">                                 </w:t>
      </w:r>
    </w:p>
    <w:p w14:paraId="4B976F9A">
      <w:pPr>
        <w:spacing w:line="600" w:lineRule="auto"/>
        <w:ind w:firstLine="420" w:firstLineChars="175"/>
        <w:rPr>
          <w:rFonts w:hint="eastAsia" w:ascii="宋体" w:hAnsi="宋体" w:cs="宋体"/>
        </w:rPr>
      </w:pPr>
      <w:r>
        <w:rPr>
          <w:rFonts w:hint="eastAsia" w:ascii="宋体" w:hAnsi="宋体" w:cs="宋体"/>
        </w:rPr>
        <w:t>鉴于</w:t>
      </w:r>
      <w:r>
        <w:rPr>
          <w:rFonts w:hint="eastAsia" w:ascii="宋体" w:hAnsi="宋体" w:cs="宋体"/>
          <w:lang w:eastAsia="zh-CN"/>
        </w:rPr>
        <w:t>云南能源职业技术学院精密工程测量实训室</w:t>
      </w:r>
      <w:r>
        <w:rPr>
          <w:rFonts w:hint="eastAsia" w:ascii="宋体" w:hAnsi="宋体" w:cs="宋体"/>
        </w:rPr>
        <w:t>公开招标采购结果，为明确甲乙双方权利义务，根据《中华人民共和国民法典》和有关法律法规规定，经甲、乙双方协商一致，约定如下。</w:t>
      </w:r>
    </w:p>
    <w:p w14:paraId="32B6B356">
      <w:pPr>
        <w:keepNext/>
        <w:tabs>
          <w:tab w:val="left" w:pos="360"/>
        </w:tabs>
        <w:adjustRightInd w:val="0"/>
        <w:spacing w:line="360" w:lineRule="auto"/>
        <w:ind w:firstLine="562" w:firstLineChars="200"/>
        <w:textAlignment w:val="baseline"/>
        <w:outlineLvl w:val="1"/>
        <w:rPr>
          <w:rFonts w:hint="default" w:ascii="黑体" w:hAnsi="黑体" w:eastAsia="黑体" w:cs="宋体"/>
          <w:b/>
          <w:sz w:val="28"/>
          <w:szCs w:val="28"/>
          <w:lang w:val="en-US" w:eastAsia="zh-CN"/>
        </w:rPr>
      </w:pPr>
      <w:bookmarkStart w:id="368" w:name="_Toc157959724"/>
      <w:bookmarkStart w:id="369" w:name="_Toc162882595"/>
      <w:bookmarkStart w:id="370" w:name="_Toc99729046"/>
      <w:bookmarkStart w:id="371" w:name="_Toc139292887"/>
      <w:bookmarkStart w:id="372" w:name="_Toc70253044"/>
      <w:r>
        <w:rPr>
          <w:rFonts w:hint="eastAsia" w:ascii="黑体" w:hAnsi="黑体" w:eastAsia="黑体" w:cs="宋体"/>
          <w:b/>
          <w:sz w:val="28"/>
          <w:szCs w:val="28"/>
        </w:rPr>
        <w:t>一、</w:t>
      </w:r>
      <w:bookmarkEnd w:id="368"/>
      <w:bookmarkEnd w:id="369"/>
      <w:bookmarkEnd w:id="370"/>
      <w:bookmarkEnd w:id="371"/>
      <w:bookmarkEnd w:id="372"/>
      <w:r>
        <w:rPr>
          <w:rFonts w:hint="eastAsia" w:ascii="黑体" w:hAnsi="黑体" w:eastAsia="黑体" w:cs="宋体"/>
          <w:b/>
          <w:sz w:val="28"/>
          <w:szCs w:val="28"/>
          <w:lang w:val="en-US" w:eastAsia="zh-CN"/>
        </w:rPr>
        <w:t>合同标的</w:t>
      </w:r>
    </w:p>
    <w:tbl>
      <w:tblPr>
        <w:tblStyle w:val="26"/>
        <w:tblW w:w="494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80"/>
        <w:gridCol w:w="2485"/>
        <w:gridCol w:w="1112"/>
        <w:gridCol w:w="1269"/>
        <w:gridCol w:w="1429"/>
        <w:gridCol w:w="1588"/>
      </w:tblGrid>
      <w:tr w14:paraId="41A61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1044" w:type="pct"/>
            <w:tcBorders>
              <w:tl2br w:val="nil"/>
              <w:tr2bl w:val="nil"/>
            </w:tcBorders>
            <w:vAlign w:val="center"/>
          </w:tcPr>
          <w:p w14:paraId="02A70A3F">
            <w:pPr>
              <w:widowControl/>
              <w:jc w:val="center"/>
              <w:textAlignment w:val="center"/>
              <w:rPr>
                <w:rFonts w:hint="eastAsia" w:ascii="宋体" w:hAnsi="宋体" w:cs="宋体"/>
                <w:b/>
                <w:bCs/>
                <w:sz w:val="21"/>
                <w:szCs w:val="21"/>
              </w:rPr>
            </w:pPr>
            <w:r>
              <w:rPr>
                <w:rFonts w:hint="eastAsia" w:ascii="宋体" w:hAnsi="宋体" w:cs="宋体"/>
                <w:b/>
                <w:bCs/>
                <w:kern w:val="0"/>
                <w:sz w:val="21"/>
                <w:szCs w:val="21"/>
                <w:lang w:bidi="ar"/>
              </w:rPr>
              <w:t>设备名称</w:t>
            </w:r>
          </w:p>
        </w:tc>
        <w:tc>
          <w:tcPr>
            <w:tcW w:w="1247" w:type="pct"/>
            <w:tcBorders>
              <w:tl2br w:val="nil"/>
              <w:tr2bl w:val="nil"/>
            </w:tcBorders>
            <w:noWrap/>
            <w:vAlign w:val="center"/>
          </w:tcPr>
          <w:p w14:paraId="0B89B432">
            <w:pPr>
              <w:widowControl/>
              <w:jc w:val="center"/>
              <w:textAlignment w:val="center"/>
              <w:rPr>
                <w:rFonts w:hint="eastAsia" w:ascii="宋体" w:hAnsi="宋体" w:cs="宋体"/>
                <w:b/>
                <w:bCs/>
                <w:sz w:val="21"/>
                <w:szCs w:val="21"/>
              </w:rPr>
            </w:pPr>
            <w:r>
              <w:rPr>
                <w:rFonts w:hint="eastAsia" w:ascii="宋体" w:hAnsi="宋体" w:cs="宋体"/>
                <w:b/>
                <w:bCs/>
                <w:kern w:val="0"/>
                <w:sz w:val="21"/>
                <w:szCs w:val="21"/>
                <w:lang w:bidi="ar"/>
              </w:rPr>
              <w:t>品牌、规格型号</w:t>
            </w:r>
          </w:p>
        </w:tc>
        <w:tc>
          <w:tcPr>
            <w:tcW w:w="558" w:type="pct"/>
            <w:tcBorders>
              <w:tl2br w:val="nil"/>
              <w:tr2bl w:val="nil"/>
            </w:tcBorders>
            <w:noWrap/>
            <w:vAlign w:val="center"/>
          </w:tcPr>
          <w:p w14:paraId="49322815">
            <w:pPr>
              <w:widowControl/>
              <w:jc w:val="center"/>
              <w:textAlignment w:val="center"/>
              <w:rPr>
                <w:rFonts w:hint="eastAsia" w:ascii="宋体" w:hAnsi="宋体" w:cs="宋体"/>
                <w:b/>
                <w:bCs/>
                <w:sz w:val="21"/>
                <w:szCs w:val="21"/>
              </w:rPr>
            </w:pPr>
            <w:r>
              <w:rPr>
                <w:rFonts w:hint="eastAsia" w:ascii="宋体" w:hAnsi="宋体" w:cs="宋体"/>
                <w:b/>
                <w:bCs/>
                <w:kern w:val="0"/>
                <w:sz w:val="21"/>
                <w:szCs w:val="21"/>
                <w:lang w:bidi="ar"/>
              </w:rPr>
              <w:t>数量</w:t>
            </w:r>
          </w:p>
        </w:tc>
        <w:tc>
          <w:tcPr>
            <w:tcW w:w="637" w:type="pct"/>
            <w:tcBorders>
              <w:tl2br w:val="nil"/>
              <w:tr2bl w:val="nil"/>
            </w:tcBorders>
            <w:noWrap/>
            <w:vAlign w:val="center"/>
          </w:tcPr>
          <w:p w14:paraId="2A907C19">
            <w:pPr>
              <w:widowControl/>
              <w:jc w:val="center"/>
              <w:textAlignment w:val="center"/>
              <w:rPr>
                <w:rFonts w:hint="eastAsia" w:ascii="宋体" w:hAnsi="宋体" w:cs="宋体"/>
                <w:b/>
                <w:bCs/>
                <w:sz w:val="21"/>
                <w:szCs w:val="21"/>
              </w:rPr>
            </w:pPr>
            <w:r>
              <w:rPr>
                <w:rFonts w:hint="eastAsia" w:ascii="宋体" w:hAnsi="宋体" w:cs="宋体"/>
                <w:b/>
                <w:bCs/>
                <w:kern w:val="0"/>
                <w:sz w:val="21"/>
                <w:szCs w:val="21"/>
                <w:lang w:bidi="ar"/>
              </w:rPr>
              <w:t>单位</w:t>
            </w:r>
          </w:p>
        </w:tc>
        <w:tc>
          <w:tcPr>
            <w:tcW w:w="717" w:type="pct"/>
            <w:tcBorders>
              <w:tl2br w:val="nil"/>
              <w:tr2bl w:val="nil"/>
            </w:tcBorders>
            <w:vAlign w:val="center"/>
          </w:tcPr>
          <w:p w14:paraId="470C7921">
            <w:pPr>
              <w:widowControl/>
              <w:jc w:val="center"/>
              <w:textAlignment w:val="center"/>
              <w:rPr>
                <w:rFonts w:hint="eastAsia" w:ascii="宋体" w:hAnsi="宋体" w:cs="宋体"/>
                <w:b/>
                <w:bCs/>
                <w:sz w:val="21"/>
                <w:szCs w:val="21"/>
              </w:rPr>
            </w:pPr>
            <w:r>
              <w:rPr>
                <w:rFonts w:hint="eastAsia" w:ascii="宋体" w:hAnsi="宋体" w:cs="宋体"/>
                <w:b/>
                <w:bCs/>
                <w:kern w:val="0"/>
                <w:sz w:val="21"/>
                <w:szCs w:val="21"/>
                <w:lang w:bidi="ar"/>
              </w:rPr>
              <w:t>单价（元）</w:t>
            </w:r>
          </w:p>
        </w:tc>
        <w:tc>
          <w:tcPr>
            <w:tcW w:w="797" w:type="pct"/>
            <w:tcBorders>
              <w:tl2br w:val="nil"/>
              <w:tr2bl w:val="nil"/>
            </w:tcBorders>
            <w:vAlign w:val="center"/>
          </w:tcPr>
          <w:p w14:paraId="7FD37999">
            <w:pPr>
              <w:widowControl/>
              <w:jc w:val="center"/>
              <w:textAlignment w:val="center"/>
              <w:rPr>
                <w:rFonts w:hint="eastAsia" w:ascii="宋体" w:hAnsi="宋体" w:cs="宋体"/>
                <w:b/>
                <w:bCs/>
                <w:sz w:val="21"/>
                <w:szCs w:val="21"/>
              </w:rPr>
            </w:pPr>
            <w:r>
              <w:rPr>
                <w:rFonts w:hint="eastAsia" w:ascii="宋体" w:hAnsi="宋体" w:cs="宋体"/>
                <w:b/>
                <w:bCs/>
                <w:kern w:val="0"/>
                <w:sz w:val="21"/>
                <w:szCs w:val="21"/>
                <w:lang w:bidi="ar"/>
              </w:rPr>
              <w:t>合计（元）</w:t>
            </w:r>
          </w:p>
        </w:tc>
      </w:tr>
      <w:tr w14:paraId="1DF99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044" w:type="pct"/>
            <w:tcBorders>
              <w:tl2br w:val="nil"/>
              <w:tr2bl w:val="nil"/>
            </w:tcBorders>
            <w:vAlign w:val="center"/>
          </w:tcPr>
          <w:p w14:paraId="60A3ED39">
            <w:pPr>
              <w:widowControl/>
              <w:jc w:val="center"/>
              <w:textAlignment w:val="center"/>
              <w:rPr>
                <w:rFonts w:hint="eastAsia" w:ascii="宋体" w:hAnsi="宋体" w:cs="宋体"/>
                <w:sz w:val="21"/>
                <w:szCs w:val="21"/>
              </w:rPr>
            </w:pPr>
          </w:p>
        </w:tc>
        <w:tc>
          <w:tcPr>
            <w:tcW w:w="1247" w:type="pct"/>
            <w:tcBorders>
              <w:tl2br w:val="nil"/>
              <w:tr2bl w:val="nil"/>
            </w:tcBorders>
            <w:vAlign w:val="center"/>
          </w:tcPr>
          <w:p w14:paraId="4233C961">
            <w:pPr>
              <w:widowControl/>
              <w:jc w:val="center"/>
              <w:textAlignment w:val="center"/>
              <w:rPr>
                <w:rFonts w:hint="eastAsia" w:ascii="宋体" w:hAnsi="宋体" w:cs="宋体"/>
                <w:sz w:val="21"/>
                <w:szCs w:val="21"/>
              </w:rPr>
            </w:pPr>
          </w:p>
        </w:tc>
        <w:tc>
          <w:tcPr>
            <w:tcW w:w="558" w:type="pct"/>
            <w:tcBorders>
              <w:tl2br w:val="nil"/>
              <w:tr2bl w:val="nil"/>
            </w:tcBorders>
            <w:noWrap/>
            <w:vAlign w:val="center"/>
          </w:tcPr>
          <w:p w14:paraId="326C85F8">
            <w:pPr>
              <w:widowControl/>
              <w:jc w:val="center"/>
              <w:textAlignment w:val="center"/>
              <w:rPr>
                <w:rFonts w:hint="eastAsia" w:ascii="宋体" w:hAnsi="宋体" w:cs="宋体"/>
                <w:sz w:val="21"/>
                <w:szCs w:val="21"/>
              </w:rPr>
            </w:pPr>
          </w:p>
        </w:tc>
        <w:tc>
          <w:tcPr>
            <w:tcW w:w="637" w:type="pct"/>
            <w:tcBorders>
              <w:tl2br w:val="nil"/>
              <w:tr2bl w:val="nil"/>
            </w:tcBorders>
            <w:noWrap/>
            <w:vAlign w:val="center"/>
          </w:tcPr>
          <w:p w14:paraId="323D92F6">
            <w:pPr>
              <w:widowControl/>
              <w:jc w:val="center"/>
              <w:textAlignment w:val="center"/>
              <w:rPr>
                <w:rFonts w:hint="eastAsia" w:ascii="宋体" w:hAnsi="宋体" w:cs="宋体"/>
                <w:sz w:val="21"/>
                <w:szCs w:val="21"/>
              </w:rPr>
            </w:pPr>
          </w:p>
        </w:tc>
        <w:tc>
          <w:tcPr>
            <w:tcW w:w="717" w:type="pct"/>
            <w:tcBorders>
              <w:tl2br w:val="nil"/>
              <w:tr2bl w:val="nil"/>
            </w:tcBorders>
            <w:noWrap/>
            <w:vAlign w:val="center"/>
          </w:tcPr>
          <w:p w14:paraId="2AE7171A">
            <w:pPr>
              <w:widowControl/>
              <w:jc w:val="center"/>
              <w:textAlignment w:val="center"/>
              <w:rPr>
                <w:rFonts w:hint="eastAsia" w:ascii="宋体" w:hAnsi="宋体" w:cs="宋体"/>
                <w:sz w:val="21"/>
                <w:szCs w:val="21"/>
              </w:rPr>
            </w:pPr>
          </w:p>
        </w:tc>
        <w:tc>
          <w:tcPr>
            <w:tcW w:w="797" w:type="pct"/>
            <w:tcBorders>
              <w:tl2br w:val="nil"/>
              <w:tr2bl w:val="nil"/>
            </w:tcBorders>
            <w:noWrap/>
            <w:vAlign w:val="center"/>
          </w:tcPr>
          <w:p w14:paraId="17D11B9B">
            <w:pPr>
              <w:widowControl/>
              <w:jc w:val="center"/>
              <w:textAlignment w:val="center"/>
              <w:rPr>
                <w:rFonts w:hint="eastAsia" w:ascii="宋体" w:hAnsi="宋体" w:cs="宋体"/>
                <w:sz w:val="21"/>
                <w:szCs w:val="21"/>
              </w:rPr>
            </w:pPr>
          </w:p>
        </w:tc>
      </w:tr>
      <w:tr w14:paraId="1775B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044" w:type="pct"/>
            <w:tcBorders>
              <w:tl2br w:val="nil"/>
              <w:tr2bl w:val="nil"/>
            </w:tcBorders>
            <w:vAlign w:val="center"/>
          </w:tcPr>
          <w:p w14:paraId="48B58C83">
            <w:pPr>
              <w:widowControl/>
              <w:jc w:val="center"/>
              <w:textAlignment w:val="center"/>
              <w:rPr>
                <w:rFonts w:hint="eastAsia" w:ascii="宋体" w:hAnsi="宋体" w:cs="宋体"/>
                <w:sz w:val="21"/>
                <w:szCs w:val="21"/>
              </w:rPr>
            </w:pPr>
          </w:p>
        </w:tc>
        <w:tc>
          <w:tcPr>
            <w:tcW w:w="1247" w:type="pct"/>
            <w:tcBorders>
              <w:tl2br w:val="nil"/>
              <w:tr2bl w:val="nil"/>
            </w:tcBorders>
            <w:vAlign w:val="center"/>
          </w:tcPr>
          <w:p w14:paraId="2E1EA18C">
            <w:pPr>
              <w:widowControl/>
              <w:jc w:val="center"/>
              <w:textAlignment w:val="center"/>
              <w:rPr>
                <w:rFonts w:hint="eastAsia" w:ascii="宋体" w:hAnsi="宋体" w:cs="宋体"/>
                <w:sz w:val="21"/>
                <w:szCs w:val="21"/>
              </w:rPr>
            </w:pPr>
          </w:p>
        </w:tc>
        <w:tc>
          <w:tcPr>
            <w:tcW w:w="558" w:type="pct"/>
            <w:tcBorders>
              <w:tl2br w:val="nil"/>
              <w:tr2bl w:val="nil"/>
            </w:tcBorders>
            <w:noWrap/>
            <w:vAlign w:val="center"/>
          </w:tcPr>
          <w:p w14:paraId="66C8F677">
            <w:pPr>
              <w:widowControl/>
              <w:jc w:val="center"/>
              <w:textAlignment w:val="center"/>
              <w:rPr>
                <w:rFonts w:hint="eastAsia" w:ascii="宋体" w:hAnsi="宋体" w:cs="宋体"/>
                <w:sz w:val="21"/>
                <w:szCs w:val="21"/>
              </w:rPr>
            </w:pPr>
          </w:p>
        </w:tc>
        <w:tc>
          <w:tcPr>
            <w:tcW w:w="637" w:type="pct"/>
            <w:tcBorders>
              <w:tl2br w:val="nil"/>
              <w:tr2bl w:val="nil"/>
            </w:tcBorders>
            <w:noWrap/>
            <w:vAlign w:val="center"/>
          </w:tcPr>
          <w:p w14:paraId="410B20E3">
            <w:pPr>
              <w:widowControl/>
              <w:jc w:val="center"/>
              <w:textAlignment w:val="center"/>
              <w:rPr>
                <w:rFonts w:hint="eastAsia" w:ascii="宋体" w:hAnsi="宋体" w:cs="宋体"/>
                <w:sz w:val="21"/>
                <w:szCs w:val="21"/>
              </w:rPr>
            </w:pPr>
          </w:p>
        </w:tc>
        <w:tc>
          <w:tcPr>
            <w:tcW w:w="717" w:type="pct"/>
            <w:tcBorders>
              <w:tl2br w:val="nil"/>
              <w:tr2bl w:val="nil"/>
            </w:tcBorders>
            <w:noWrap/>
            <w:vAlign w:val="center"/>
          </w:tcPr>
          <w:p w14:paraId="1D71E664">
            <w:pPr>
              <w:widowControl/>
              <w:jc w:val="center"/>
              <w:textAlignment w:val="center"/>
              <w:rPr>
                <w:rFonts w:hint="eastAsia" w:ascii="宋体" w:hAnsi="宋体" w:cs="宋体"/>
                <w:sz w:val="21"/>
                <w:szCs w:val="21"/>
              </w:rPr>
            </w:pPr>
          </w:p>
        </w:tc>
        <w:tc>
          <w:tcPr>
            <w:tcW w:w="797" w:type="pct"/>
            <w:tcBorders>
              <w:tl2br w:val="nil"/>
              <w:tr2bl w:val="nil"/>
            </w:tcBorders>
            <w:noWrap/>
            <w:vAlign w:val="center"/>
          </w:tcPr>
          <w:p w14:paraId="5DE7BFB6">
            <w:pPr>
              <w:widowControl/>
              <w:jc w:val="center"/>
              <w:textAlignment w:val="center"/>
              <w:rPr>
                <w:rFonts w:hint="eastAsia" w:ascii="宋体" w:hAnsi="宋体" w:cs="宋体"/>
                <w:sz w:val="21"/>
                <w:szCs w:val="21"/>
              </w:rPr>
            </w:pPr>
          </w:p>
        </w:tc>
      </w:tr>
      <w:tr w14:paraId="49E0F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044" w:type="pct"/>
            <w:tcBorders>
              <w:tl2br w:val="nil"/>
              <w:tr2bl w:val="nil"/>
            </w:tcBorders>
            <w:vAlign w:val="center"/>
          </w:tcPr>
          <w:p w14:paraId="6AD39539">
            <w:pPr>
              <w:widowControl/>
              <w:jc w:val="center"/>
              <w:textAlignment w:val="center"/>
              <w:rPr>
                <w:rFonts w:hint="eastAsia" w:ascii="宋体" w:hAnsi="宋体" w:cs="宋体"/>
                <w:sz w:val="21"/>
                <w:szCs w:val="21"/>
              </w:rPr>
            </w:pPr>
          </w:p>
        </w:tc>
        <w:tc>
          <w:tcPr>
            <w:tcW w:w="1247" w:type="pct"/>
            <w:tcBorders>
              <w:tl2br w:val="nil"/>
              <w:tr2bl w:val="nil"/>
            </w:tcBorders>
            <w:vAlign w:val="center"/>
          </w:tcPr>
          <w:p w14:paraId="09144C9F">
            <w:pPr>
              <w:widowControl/>
              <w:jc w:val="center"/>
              <w:textAlignment w:val="center"/>
              <w:rPr>
                <w:rFonts w:hint="eastAsia" w:ascii="宋体" w:hAnsi="宋体" w:cs="宋体"/>
                <w:sz w:val="21"/>
                <w:szCs w:val="21"/>
              </w:rPr>
            </w:pPr>
          </w:p>
        </w:tc>
        <w:tc>
          <w:tcPr>
            <w:tcW w:w="558" w:type="pct"/>
            <w:tcBorders>
              <w:tl2br w:val="nil"/>
              <w:tr2bl w:val="nil"/>
            </w:tcBorders>
            <w:noWrap/>
            <w:vAlign w:val="center"/>
          </w:tcPr>
          <w:p w14:paraId="303DDA20">
            <w:pPr>
              <w:widowControl/>
              <w:jc w:val="center"/>
              <w:textAlignment w:val="center"/>
              <w:rPr>
                <w:rFonts w:hint="eastAsia" w:ascii="宋体" w:hAnsi="宋体" w:cs="宋体"/>
                <w:sz w:val="21"/>
                <w:szCs w:val="21"/>
              </w:rPr>
            </w:pPr>
          </w:p>
        </w:tc>
        <w:tc>
          <w:tcPr>
            <w:tcW w:w="637" w:type="pct"/>
            <w:tcBorders>
              <w:tl2br w:val="nil"/>
              <w:tr2bl w:val="nil"/>
            </w:tcBorders>
            <w:noWrap/>
            <w:vAlign w:val="center"/>
          </w:tcPr>
          <w:p w14:paraId="6F3726B9">
            <w:pPr>
              <w:widowControl/>
              <w:jc w:val="center"/>
              <w:textAlignment w:val="center"/>
              <w:rPr>
                <w:rFonts w:hint="eastAsia" w:ascii="宋体" w:hAnsi="宋体" w:cs="宋体"/>
                <w:sz w:val="21"/>
                <w:szCs w:val="21"/>
              </w:rPr>
            </w:pPr>
          </w:p>
        </w:tc>
        <w:tc>
          <w:tcPr>
            <w:tcW w:w="717" w:type="pct"/>
            <w:tcBorders>
              <w:tl2br w:val="nil"/>
              <w:tr2bl w:val="nil"/>
            </w:tcBorders>
            <w:noWrap/>
            <w:vAlign w:val="center"/>
          </w:tcPr>
          <w:p w14:paraId="72E991C8">
            <w:pPr>
              <w:widowControl/>
              <w:jc w:val="center"/>
              <w:textAlignment w:val="center"/>
              <w:rPr>
                <w:rFonts w:hint="eastAsia" w:ascii="宋体" w:hAnsi="宋体" w:cs="宋体"/>
                <w:sz w:val="21"/>
                <w:szCs w:val="21"/>
              </w:rPr>
            </w:pPr>
          </w:p>
        </w:tc>
        <w:tc>
          <w:tcPr>
            <w:tcW w:w="797" w:type="pct"/>
            <w:tcBorders>
              <w:tl2br w:val="nil"/>
              <w:tr2bl w:val="nil"/>
            </w:tcBorders>
            <w:noWrap/>
            <w:vAlign w:val="center"/>
          </w:tcPr>
          <w:p w14:paraId="6F72FDA9">
            <w:pPr>
              <w:widowControl/>
              <w:jc w:val="center"/>
              <w:textAlignment w:val="center"/>
              <w:rPr>
                <w:rFonts w:hint="eastAsia" w:ascii="宋体" w:hAnsi="宋体" w:cs="宋体"/>
                <w:sz w:val="21"/>
                <w:szCs w:val="21"/>
              </w:rPr>
            </w:pPr>
          </w:p>
        </w:tc>
      </w:tr>
      <w:tr w14:paraId="4B960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044" w:type="pct"/>
            <w:tcBorders>
              <w:tl2br w:val="nil"/>
              <w:tr2bl w:val="nil"/>
            </w:tcBorders>
            <w:vAlign w:val="center"/>
          </w:tcPr>
          <w:p w14:paraId="2048C001">
            <w:pPr>
              <w:widowControl/>
              <w:jc w:val="center"/>
              <w:textAlignment w:val="center"/>
              <w:rPr>
                <w:rFonts w:hint="eastAsia" w:ascii="宋体" w:hAnsi="宋体" w:cs="宋体"/>
                <w:sz w:val="21"/>
                <w:szCs w:val="21"/>
              </w:rPr>
            </w:pPr>
          </w:p>
        </w:tc>
        <w:tc>
          <w:tcPr>
            <w:tcW w:w="1247" w:type="pct"/>
            <w:tcBorders>
              <w:tl2br w:val="nil"/>
              <w:tr2bl w:val="nil"/>
            </w:tcBorders>
            <w:vAlign w:val="center"/>
          </w:tcPr>
          <w:p w14:paraId="159D96FF">
            <w:pPr>
              <w:widowControl/>
              <w:jc w:val="center"/>
              <w:textAlignment w:val="center"/>
              <w:rPr>
                <w:rFonts w:hint="eastAsia" w:ascii="宋体" w:hAnsi="宋体" w:cs="宋体"/>
                <w:sz w:val="21"/>
                <w:szCs w:val="21"/>
              </w:rPr>
            </w:pPr>
          </w:p>
        </w:tc>
        <w:tc>
          <w:tcPr>
            <w:tcW w:w="558" w:type="pct"/>
            <w:tcBorders>
              <w:tl2br w:val="nil"/>
              <w:tr2bl w:val="nil"/>
            </w:tcBorders>
            <w:noWrap/>
            <w:vAlign w:val="center"/>
          </w:tcPr>
          <w:p w14:paraId="65C9B6EC">
            <w:pPr>
              <w:widowControl/>
              <w:jc w:val="center"/>
              <w:textAlignment w:val="center"/>
              <w:rPr>
                <w:rFonts w:hint="eastAsia" w:ascii="宋体" w:hAnsi="宋体" w:cs="宋体"/>
                <w:sz w:val="21"/>
                <w:szCs w:val="21"/>
              </w:rPr>
            </w:pPr>
          </w:p>
        </w:tc>
        <w:tc>
          <w:tcPr>
            <w:tcW w:w="637" w:type="pct"/>
            <w:tcBorders>
              <w:tl2br w:val="nil"/>
              <w:tr2bl w:val="nil"/>
            </w:tcBorders>
            <w:noWrap/>
            <w:vAlign w:val="center"/>
          </w:tcPr>
          <w:p w14:paraId="29E39561">
            <w:pPr>
              <w:widowControl/>
              <w:jc w:val="center"/>
              <w:textAlignment w:val="center"/>
              <w:rPr>
                <w:rFonts w:hint="eastAsia" w:ascii="宋体" w:hAnsi="宋体" w:cs="宋体"/>
                <w:sz w:val="21"/>
                <w:szCs w:val="21"/>
              </w:rPr>
            </w:pPr>
          </w:p>
        </w:tc>
        <w:tc>
          <w:tcPr>
            <w:tcW w:w="717" w:type="pct"/>
            <w:tcBorders>
              <w:tl2br w:val="nil"/>
              <w:tr2bl w:val="nil"/>
            </w:tcBorders>
            <w:noWrap/>
            <w:vAlign w:val="center"/>
          </w:tcPr>
          <w:p w14:paraId="2C0B9202">
            <w:pPr>
              <w:widowControl/>
              <w:jc w:val="center"/>
              <w:textAlignment w:val="center"/>
              <w:rPr>
                <w:rFonts w:hint="eastAsia" w:ascii="宋体" w:hAnsi="宋体" w:cs="宋体"/>
                <w:sz w:val="21"/>
                <w:szCs w:val="21"/>
              </w:rPr>
            </w:pPr>
          </w:p>
        </w:tc>
        <w:tc>
          <w:tcPr>
            <w:tcW w:w="797" w:type="pct"/>
            <w:tcBorders>
              <w:tl2br w:val="nil"/>
              <w:tr2bl w:val="nil"/>
            </w:tcBorders>
            <w:noWrap/>
            <w:vAlign w:val="center"/>
          </w:tcPr>
          <w:p w14:paraId="44027245">
            <w:pPr>
              <w:widowControl/>
              <w:jc w:val="center"/>
              <w:textAlignment w:val="center"/>
              <w:rPr>
                <w:rFonts w:hint="eastAsia" w:ascii="宋体" w:hAnsi="宋体" w:cs="宋体"/>
                <w:sz w:val="21"/>
                <w:szCs w:val="21"/>
              </w:rPr>
            </w:pPr>
          </w:p>
        </w:tc>
      </w:tr>
      <w:tr w14:paraId="44D9C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044" w:type="pct"/>
            <w:tcBorders>
              <w:tl2br w:val="nil"/>
              <w:tr2bl w:val="nil"/>
            </w:tcBorders>
            <w:vAlign w:val="center"/>
          </w:tcPr>
          <w:p w14:paraId="0B28798D">
            <w:pPr>
              <w:widowControl/>
              <w:jc w:val="center"/>
              <w:textAlignment w:val="center"/>
              <w:rPr>
                <w:rFonts w:hint="eastAsia" w:ascii="宋体" w:hAnsi="宋体" w:cs="宋体"/>
                <w:sz w:val="21"/>
                <w:szCs w:val="21"/>
              </w:rPr>
            </w:pPr>
          </w:p>
        </w:tc>
        <w:tc>
          <w:tcPr>
            <w:tcW w:w="1247" w:type="pct"/>
            <w:tcBorders>
              <w:tl2br w:val="nil"/>
              <w:tr2bl w:val="nil"/>
            </w:tcBorders>
            <w:vAlign w:val="center"/>
          </w:tcPr>
          <w:p w14:paraId="0DB271C3">
            <w:pPr>
              <w:widowControl/>
              <w:jc w:val="center"/>
              <w:textAlignment w:val="center"/>
              <w:rPr>
                <w:rFonts w:hint="eastAsia" w:ascii="宋体" w:hAnsi="宋体" w:cs="宋体"/>
                <w:sz w:val="21"/>
                <w:szCs w:val="21"/>
              </w:rPr>
            </w:pPr>
          </w:p>
        </w:tc>
        <w:tc>
          <w:tcPr>
            <w:tcW w:w="558" w:type="pct"/>
            <w:tcBorders>
              <w:tl2br w:val="nil"/>
              <w:tr2bl w:val="nil"/>
            </w:tcBorders>
            <w:noWrap/>
            <w:vAlign w:val="center"/>
          </w:tcPr>
          <w:p w14:paraId="268FF280">
            <w:pPr>
              <w:widowControl/>
              <w:jc w:val="center"/>
              <w:textAlignment w:val="center"/>
              <w:rPr>
                <w:rFonts w:hint="eastAsia" w:ascii="宋体" w:hAnsi="宋体" w:cs="宋体"/>
                <w:sz w:val="21"/>
                <w:szCs w:val="21"/>
              </w:rPr>
            </w:pPr>
          </w:p>
        </w:tc>
        <w:tc>
          <w:tcPr>
            <w:tcW w:w="637" w:type="pct"/>
            <w:tcBorders>
              <w:tl2br w:val="nil"/>
              <w:tr2bl w:val="nil"/>
            </w:tcBorders>
            <w:noWrap/>
            <w:vAlign w:val="center"/>
          </w:tcPr>
          <w:p w14:paraId="753C6CA9">
            <w:pPr>
              <w:widowControl/>
              <w:jc w:val="center"/>
              <w:textAlignment w:val="center"/>
              <w:rPr>
                <w:rFonts w:hint="eastAsia" w:ascii="宋体" w:hAnsi="宋体" w:cs="宋体"/>
                <w:sz w:val="21"/>
                <w:szCs w:val="21"/>
              </w:rPr>
            </w:pPr>
          </w:p>
        </w:tc>
        <w:tc>
          <w:tcPr>
            <w:tcW w:w="717" w:type="pct"/>
            <w:tcBorders>
              <w:tl2br w:val="nil"/>
              <w:tr2bl w:val="nil"/>
            </w:tcBorders>
            <w:noWrap/>
            <w:vAlign w:val="center"/>
          </w:tcPr>
          <w:p w14:paraId="15F57A9C">
            <w:pPr>
              <w:widowControl/>
              <w:jc w:val="center"/>
              <w:textAlignment w:val="center"/>
              <w:rPr>
                <w:rFonts w:hint="eastAsia" w:ascii="宋体" w:hAnsi="宋体" w:cs="宋体"/>
                <w:sz w:val="21"/>
                <w:szCs w:val="21"/>
              </w:rPr>
            </w:pPr>
          </w:p>
        </w:tc>
        <w:tc>
          <w:tcPr>
            <w:tcW w:w="797" w:type="pct"/>
            <w:tcBorders>
              <w:tl2br w:val="nil"/>
              <w:tr2bl w:val="nil"/>
            </w:tcBorders>
            <w:noWrap/>
            <w:vAlign w:val="center"/>
          </w:tcPr>
          <w:p w14:paraId="75C6EB9F">
            <w:pPr>
              <w:widowControl/>
              <w:jc w:val="center"/>
              <w:textAlignment w:val="center"/>
              <w:rPr>
                <w:rFonts w:hint="eastAsia" w:ascii="宋体" w:hAnsi="宋体" w:cs="宋体"/>
                <w:sz w:val="21"/>
                <w:szCs w:val="21"/>
              </w:rPr>
            </w:pPr>
          </w:p>
        </w:tc>
      </w:tr>
      <w:tr w14:paraId="0ED2A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044" w:type="pct"/>
            <w:tcBorders>
              <w:tl2br w:val="nil"/>
              <w:tr2bl w:val="nil"/>
            </w:tcBorders>
            <w:vAlign w:val="center"/>
          </w:tcPr>
          <w:p w14:paraId="01B1E510">
            <w:pPr>
              <w:widowControl/>
              <w:jc w:val="center"/>
              <w:textAlignment w:val="center"/>
              <w:rPr>
                <w:rFonts w:hint="eastAsia" w:ascii="宋体" w:hAnsi="宋体" w:cs="宋体"/>
                <w:sz w:val="21"/>
                <w:szCs w:val="21"/>
              </w:rPr>
            </w:pPr>
          </w:p>
        </w:tc>
        <w:tc>
          <w:tcPr>
            <w:tcW w:w="1247" w:type="pct"/>
            <w:tcBorders>
              <w:tl2br w:val="nil"/>
              <w:tr2bl w:val="nil"/>
            </w:tcBorders>
            <w:vAlign w:val="center"/>
          </w:tcPr>
          <w:p w14:paraId="41EF4CF8">
            <w:pPr>
              <w:widowControl/>
              <w:jc w:val="center"/>
              <w:textAlignment w:val="center"/>
              <w:rPr>
                <w:rFonts w:hint="eastAsia" w:ascii="宋体" w:hAnsi="宋体" w:cs="宋体"/>
                <w:sz w:val="21"/>
                <w:szCs w:val="21"/>
              </w:rPr>
            </w:pPr>
          </w:p>
        </w:tc>
        <w:tc>
          <w:tcPr>
            <w:tcW w:w="558" w:type="pct"/>
            <w:tcBorders>
              <w:tl2br w:val="nil"/>
              <w:tr2bl w:val="nil"/>
            </w:tcBorders>
            <w:noWrap/>
            <w:vAlign w:val="center"/>
          </w:tcPr>
          <w:p w14:paraId="288F2352">
            <w:pPr>
              <w:widowControl/>
              <w:jc w:val="center"/>
              <w:textAlignment w:val="center"/>
              <w:rPr>
                <w:rFonts w:hint="eastAsia" w:ascii="宋体" w:hAnsi="宋体" w:cs="宋体"/>
                <w:sz w:val="21"/>
                <w:szCs w:val="21"/>
              </w:rPr>
            </w:pPr>
          </w:p>
        </w:tc>
        <w:tc>
          <w:tcPr>
            <w:tcW w:w="637" w:type="pct"/>
            <w:tcBorders>
              <w:tl2br w:val="nil"/>
              <w:tr2bl w:val="nil"/>
            </w:tcBorders>
            <w:noWrap/>
            <w:vAlign w:val="center"/>
          </w:tcPr>
          <w:p w14:paraId="27487624">
            <w:pPr>
              <w:widowControl/>
              <w:jc w:val="center"/>
              <w:textAlignment w:val="center"/>
              <w:rPr>
                <w:rFonts w:hint="eastAsia" w:ascii="宋体" w:hAnsi="宋体" w:cs="宋体"/>
                <w:sz w:val="21"/>
                <w:szCs w:val="21"/>
              </w:rPr>
            </w:pPr>
          </w:p>
        </w:tc>
        <w:tc>
          <w:tcPr>
            <w:tcW w:w="717" w:type="pct"/>
            <w:tcBorders>
              <w:tl2br w:val="nil"/>
              <w:tr2bl w:val="nil"/>
            </w:tcBorders>
            <w:noWrap/>
            <w:vAlign w:val="center"/>
          </w:tcPr>
          <w:p w14:paraId="4B4987ED">
            <w:pPr>
              <w:widowControl/>
              <w:jc w:val="center"/>
              <w:textAlignment w:val="center"/>
              <w:rPr>
                <w:rFonts w:hint="eastAsia" w:ascii="宋体" w:hAnsi="宋体" w:cs="宋体"/>
                <w:sz w:val="21"/>
                <w:szCs w:val="21"/>
              </w:rPr>
            </w:pPr>
          </w:p>
        </w:tc>
        <w:tc>
          <w:tcPr>
            <w:tcW w:w="797" w:type="pct"/>
            <w:tcBorders>
              <w:tl2br w:val="nil"/>
              <w:tr2bl w:val="nil"/>
            </w:tcBorders>
            <w:noWrap/>
            <w:vAlign w:val="center"/>
          </w:tcPr>
          <w:p w14:paraId="722E298C">
            <w:pPr>
              <w:widowControl/>
              <w:jc w:val="center"/>
              <w:textAlignment w:val="center"/>
              <w:rPr>
                <w:rFonts w:hint="eastAsia" w:ascii="宋体" w:hAnsi="宋体" w:cs="宋体"/>
                <w:sz w:val="21"/>
                <w:szCs w:val="21"/>
              </w:rPr>
            </w:pPr>
          </w:p>
        </w:tc>
      </w:tr>
      <w:tr w14:paraId="054F3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3486" w:type="pct"/>
            <w:gridSpan w:val="4"/>
            <w:tcBorders>
              <w:tl2br w:val="nil"/>
              <w:tr2bl w:val="nil"/>
            </w:tcBorders>
            <w:vAlign w:val="center"/>
          </w:tcPr>
          <w:p w14:paraId="4D5A7CE8">
            <w:pPr>
              <w:widowControl/>
              <w:jc w:val="center"/>
              <w:textAlignment w:val="center"/>
              <w:rPr>
                <w:rFonts w:hint="eastAsia" w:ascii="宋体" w:hAnsi="宋体" w:cs="宋体"/>
                <w:sz w:val="21"/>
                <w:szCs w:val="21"/>
              </w:rPr>
            </w:pPr>
            <w:r>
              <w:rPr>
                <w:rFonts w:hint="eastAsia" w:ascii="宋体" w:hAnsi="宋体" w:cs="宋体"/>
                <w:sz w:val="21"/>
                <w:szCs w:val="21"/>
              </w:rPr>
              <w:t>合计（元）</w:t>
            </w:r>
          </w:p>
        </w:tc>
        <w:tc>
          <w:tcPr>
            <w:tcW w:w="717" w:type="pct"/>
            <w:tcBorders>
              <w:tl2br w:val="nil"/>
              <w:tr2bl w:val="nil"/>
            </w:tcBorders>
            <w:noWrap/>
            <w:vAlign w:val="center"/>
          </w:tcPr>
          <w:p w14:paraId="5712228E">
            <w:pPr>
              <w:widowControl/>
              <w:jc w:val="center"/>
              <w:textAlignment w:val="center"/>
              <w:rPr>
                <w:rFonts w:hint="eastAsia" w:ascii="宋体" w:hAnsi="宋体" w:cs="宋体"/>
                <w:sz w:val="21"/>
                <w:szCs w:val="21"/>
              </w:rPr>
            </w:pPr>
          </w:p>
        </w:tc>
        <w:tc>
          <w:tcPr>
            <w:tcW w:w="797" w:type="pct"/>
            <w:tcBorders>
              <w:tl2br w:val="nil"/>
              <w:tr2bl w:val="nil"/>
            </w:tcBorders>
            <w:noWrap/>
            <w:vAlign w:val="center"/>
          </w:tcPr>
          <w:p w14:paraId="02E6F833">
            <w:pPr>
              <w:widowControl/>
              <w:jc w:val="center"/>
              <w:textAlignment w:val="center"/>
              <w:rPr>
                <w:rFonts w:hint="eastAsia" w:ascii="宋体" w:hAnsi="宋体" w:cs="宋体"/>
                <w:sz w:val="21"/>
                <w:szCs w:val="21"/>
              </w:rPr>
            </w:pPr>
          </w:p>
        </w:tc>
      </w:tr>
    </w:tbl>
    <w:p w14:paraId="0BB29BA7">
      <w:pPr>
        <w:spacing w:line="360" w:lineRule="auto"/>
        <w:ind w:firstLine="480" w:firstLineChars="200"/>
        <w:jc w:val="left"/>
        <w:rPr>
          <w:rFonts w:ascii="黑体" w:hAnsi="黑体" w:eastAsia="黑体" w:cs="宋体"/>
          <w:b/>
          <w:bCs/>
          <w:sz w:val="28"/>
          <w:szCs w:val="28"/>
        </w:rPr>
      </w:pPr>
      <w:r>
        <w:rPr>
          <w:rFonts w:hint="eastAsia" w:ascii="宋体" w:hAnsi="宋体"/>
        </w:rPr>
        <w:t>乙方应提供全套产品技术资料（包括：操作手册、维修手册、制造、安装标准、安装和验收报告、随机附件、零配件、备品备件和消耗品目录、产品的运行、安装、使用环境要求）等。</w:t>
      </w:r>
    </w:p>
    <w:p w14:paraId="564D3ABE">
      <w:pPr>
        <w:spacing w:line="360" w:lineRule="auto"/>
        <w:ind w:firstLine="562" w:firstLineChars="200"/>
        <w:jc w:val="left"/>
        <w:rPr>
          <w:rFonts w:hint="eastAsia" w:ascii="黑体" w:hAnsi="黑体" w:eastAsia="黑体" w:cs="宋体"/>
          <w:b/>
          <w:bCs/>
          <w:sz w:val="28"/>
          <w:szCs w:val="28"/>
        </w:rPr>
      </w:pPr>
      <w:r>
        <w:rPr>
          <w:rFonts w:hint="eastAsia" w:ascii="黑体" w:hAnsi="黑体" w:eastAsia="黑体" w:cs="宋体"/>
          <w:b/>
          <w:bCs/>
          <w:sz w:val="28"/>
          <w:szCs w:val="28"/>
        </w:rPr>
        <w:t>二、供货期、地点及交验方式</w:t>
      </w:r>
    </w:p>
    <w:p w14:paraId="3F42ABE9">
      <w:pPr>
        <w:adjustRightInd w:val="0"/>
        <w:snapToGrid w:val="0"/>
        <w:spacing w:line="360" w:lineRule="auto"/>
        <w:ind w:firstLine="480" w:firstLineChars="200"/>
        <w:rPr>
          <w:rFonts w:hint="eastAsia" w:ascii="宋体" w:hAnsi="宋体" w:cs="宋体"/>
          <w:bCs/>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1.供货期：</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w:t>
      </w:r>
    </w:p>
    <w:p w14:paraId="60B631B7">
      <w:pPr>
        <w:adjustRightInd w:val="0"/>
        <w:snapToGrid w:val="0"/>
        <w:spacing w:line="360" w:lineRule="auto"/>
        <w:ind w:firstLine="48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2.交货地点:</w:t>
      </w:r>
      <w:r>
        <w:rPr>
          <w:rFonts w:hint="eastAsia"/>
        </w:rPr>
        <w:t xml:space="preserve"> </w:t>
      </w:r>
      <w:r>
        <w:rPr>
          <w:rFonts w:hint="eastAsia" w:ascii="宋体" w:hAnsi="宋体" w:cs="宋体"/>
          <w:color w:val="000000" w:themeColor="text1"/>
          <w:u w:val="single"/>
          <w14:textFill>
            <w14:solidFill>
              <w14:schemeClr w14:val="tx1"/>
            </w14:solidFill>
          </w14:textFill>
        </w:rPr>
        <w:t xml:space="preserve">云南能源职业技术学院麒麟校区   </w:t>
      </w:r>
      <w:r>
        <w:rPr>
          <w:rFonts w:hint="eastAsia" w:ascii="宋体" w:hAnsi="宋体" w:cs="宋体"/>
          <w:color w:val="000000" w:themeColor="text1"/>
          <w14:textFill>
            <w14:solidFill>
              <w14:schemeClr w14:val="tx1"/>
            </w14:solidFill>
          </w14:textFill>
        </w:rPr>
        <w:t>。</w:t>
      </w:r>
    </w:p>
    <w:p w14:paraId="1024BAF8">
      <w:pPr>
        <w:spacing w:line="360" w:lineRule="auto"/>
        <w:ind w:firstLine="480" w:firstLineChars="200"/>
        <w:jc w:val="left"/>
        <w:rPr>
          <w:rFonts w:hint="eastAsia" w:ascii="宋体" w:hAnsi="宋体" w:cs="宋体"/>
        </w:rPr>
      </w:pPr>
      <w:r>
        <w:rPr>
          <w:rFonts w:hint="eastAsia" w:ascii="宋体" w:hAnsi="宋体" w:cs="宋体"/>
          <w:color w:val="000000" w:themeColor="text1"/>
          <w14:textFill>
            <w14:solidFill>
              <w14:schemeClr w14:val="tx1"/>
            </w14:solidFill>
          </w14:textFill>
        </w:rPr>
        <w:t>3.交验方式：</w:t>
      </w:r>
      <w:bookmarkStart w:id="373" w:name="_Hlk177663520"/>
      <w:r>
        <w:rPr>
          <w:rFonts w:hint="eastAsia" w:ascii="宋体" w:hAnsi="宋体" w:cs="宋体"/>
          <w:color w:val="000000" w:themeColor="text1"/>
          <w14:textFill>
            <w14:solidFill>
              <w14:schemeClr w14:val="tx1"/>
            </w14:solidFill>
          </w14:textFill>
        </w:rPr>
        <w:t>乙方负责将完整配套的设备（含运输、安装、维修必要的消耗品）送达交货地点，由甲乙双方共同开箱验收；交货时，乙方随货向甲方交付设备必需的合格证、保修卡等相关资料</w:t>
      </w:r>
      <w:bookmarkEnd w:id="373"/>
      <w:r>
        <w:rPr>
          <w:rFonts w:hint="eastAsia" w:ascii="宋体" w:hAnsi="宋体" w:cs="宋体"/>
          <w:color w:val="000000" w:themeColor="text1"/>
          <w14:textFill>
            <w14:solidFill>
              <w14:schemeClr w14:val="tx1"/>
            </w14:solidFill>
          </w14:textFill>
        </w:rPr>
        <w:t>。</w:t>
      </w:r>
    </w:p>
    <w:p w14:paraId="30DA0BC8">
      <w:pPr>
        <w:spacing w:line="360" w:lineRule="auto"/>
        <w:ind w:firstLine="562" w:firstLineChars="200"/>
        <w:jc w:val="left"/>
        <w:rPr>
          <w:rFonts w:hint="eastAsia" w:ascii="黑体" w:hAnsi="黑体" w:eastAsia="黑体" w:cs="宋体"/>
          <w:b/>
          <w:bCs/>
          <w:sz w:val="28"/>
          <w:szCs w:val="28"/>
        </w:rPr>
      </w:pPr>
      <w:r>
        <w:rPr>
          <w:rFonts w:hint="eastAsia" w:ascii="黑体" w:hAnsi="黑体" w:eastAsia="黑体" w:cs="宋体"/>
          <w:b/>
          <w:bCs/>
          <w:sz w:val="28"/>
          <w:szCs w:val="28"/>
        </w:rPr>
        <w:t>三、质量保证</w:t>
      </w:r>
    </w:p>
    <w:p w14:paraId="5E6DA936">
      <w:pPr>
        <w:keepNext w:val="0"/>
        <w:keepLines w:val="0"/>
        <w:widowControl w:val="0"/>
        <w:suppressLineNumbers w:val="0"/>
        <w:spacing w:line="460" w:lineRule="exact"/>
        <w:ind w:firstLine="480"/>
        <w:jc w:val="left"/>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乙方所提供设备必须保证符合国家质量检测标准和产品出厂标准的、乙方应保证货物是全新、未使用过的原装合格正品，并完全符合合同规定的质量、规格和性能的要求技术参数和配置要求与招标文件相符的、设备使用说明书及保修卡等资料齐全的设备。</w:t>
      </w:r>
    </w:p>
    <w:p w14:paraId="0D290389">
      <w:pPr>
        <w:keepNext w:val="0"/>
        <w:keepLines w:val="0"/>
        <w:widowControl w:val="0"/>
        <w:suppressLineNumbers w:val="0"/>
        <w:spacing w:line="460" w:lineRule="exact"/>
        <w:ind w:firstLine="480"/>
        <w:jc w:val="left"/>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2.乙方应保证其提供的货物在正确安装、正常使用和保养条件下，在其使用寿命内具有良好的性能。货物验收后，在质量保证期内，乙方应对由于设计、工艺或材料的缺 陷所发生的任何不足或故障负责，所需费用由乙方承担。</w:t>
      </w:r>
    </w:p>
    <w:p w14:paraId="5C6FF7D2">
      <w:pPr>
        <w:keepNext w:val="0"/>
        <w:keepLines w:val="0"/>
        <w:widowControl w:val="0"/>
        <w:suppressLineNumbers w:val="0"/>
        <w:spacing w:line="460" w:lineRule="exact"/>
        <w:ind w:firstLine="480"/>
        <w:jc w:val="left"/>
        <w:rPr>
          <w:rFonts w:hint="eastAsia" w:ascii="宋体" w:hAnsi="宋体" w:cs="宋体"/>
          <w:color w:val="000000" w:themeColor="text1"/>
          <w14:textFill>
            <w14:solidFill>
              <w14:schemeClr w14:val="tx1"/>
            </w14:solidFill>
          </w14:textFill>
        </w:rPr>
      </w:pPr>
      <w:r>
        <w:rPr>
          <w:rFonts w:hint="eastAsia" w:ascii="宋体" w:hAnsi="宋体" w:eastAsia="宋体" w:cs="宋体"/>
          <w:color w:val="auto"/>
          <w:kern w:val="2"/>
          <w:sz w:val="24"/>
          <w:szCs w:val="24"/>
          <w:highlight w:val="none"/>
          <w:lang w:val="en-US" w:eastAsia="zh-CN" w:bidi="ar"/>
        </w:rPr>
        <w:t>3.乙方在设备验收合格前，承担交验设备的一切责任和风险，对不合格</w:t>
      </w:r>
      <w:r>
        <w:rPr>
          <w:rFonts w:hint="eastAsia" w:ascii="宋体" w:hAnsi="宋体" w:cs="宋体"/>
          <w:color w:val="000000" w:themeColor="text1"/>
          <w14:textFill>
            <w14:solidFill>
              <w14:schemeClr w14:val="tx1"/>
            </w14:solidFill>
          </w14:textFill>
        </w:rPr>
        <w:t>产品及时予以更换，并承担在此期间由于质量问题给甲方造成的损失。</w:t>
      </w:r>
    </w:p>
    <w:p w14:paraId="445394AD">
      <w:pPr>
        <w:spacing w:line="360" w:lineRule="auto"/>
        <w:ind w:firstLine="48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4.</w:t>
      </w:r>
      <w:r>
        <w:rPr>
          <w:rFonts w:hint="eastAsia" w:ascii="宋体" w:hAnsi="宋体" w:cs="宋体"/>
          <w:color w:val="000000" w:themeColor="text1"/>
          <w14:textFill>
            <w14:solidFill>
              <w14:schemeClr w14:val="tx1"/>
            </w14:solidFill>
          </w14:textFill>
        </w:rPr>
        <w:t>本项目所供设备质保期：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年，质保期自项目整体验收合格之日起算。</w:t>
      </w:r>
    </w:p>
    <w:p w14:paraId="0F50D96B">
      <w:pPr>
        <w:spacing w:line="360" w:lineRule="auto"/>
        <w:ind w:firstLine="480" w:firstLineChars="200"/>
        <w:rPr>
          <w:rFonts w:hint="eastAsia" w:ascii="宋体" w:hAnsi="宋体" w:cs="宋体"/>
          <w:color w:val="000000" w:themeColor="text1"/>
          <w14:textFill>
            <w14:solidFill>
              <w14:schemeClr w14:val="tx1"/>
            </w14:solidFill>
          </w14:textFill>
        </w:rPr>
      </w:pPr>
    </w:p>
    <w:p w14:paraId="78C36E1D">
      <w:pPr>
        <w:spacing w:line="360" w:lineRule="auto"/>
        <w:ind w:firstLine="562" w:firstLineChars="200"/>
        <w:jc w:val="left"/>
        <w:rPr>
          <w:rFonts w:hint="eastAsia" w:ascii="黑体" w:hAnsi="黑体" w:eastAsia="黑体" w:cs="宋体"/>
          <w:b/>
          <w:bCs/>
          <w:sz w:val="28"/>
          <w:szCs w:val="28"/>
        </w:rPr>
      </w:pPr>
      <w:r>
        <w:rPr>
          <w:rFonts w:hint="eastAsia" w:ascii="黑体" w:hAnsi="黑体" w:eastAsia="黑体" w:cs="宋体"/>
          <w:b/>
          <w:bCs/>
          <w:sz w:val="28"/>
          <w:szCs w:val="28"/>
        </w:rPr>
        <w:t xml:space="preserve">四、合同价款及支付方式 </w:t>
      </w:r>
      <w:r>
        <w:rPr>
          <w:rFonts w:ascii="黑体" w:hAnsi="黑体" w:eastAsia="黑体" w:cs="宋体"/>
          <w:b/>
          <w:bCs/>
          <w:sz w:val="28"/>
          <w:szCs w:val="28"/>
        </w:rPr>
        <w:t xml:space="preserve"> </w:t>
      </w:r>
    </w:p>
    <w:p w14:paraId="6173847E">
      <w:pPr>
        <w:spacing w:line="360" w:lineRule="auto"/>
        <w:ind w:firstLine="480" w:firstLineChars="200"/>
        <w:jc w:val="left"/>
        <w:rPr>
          <w:rFonts w:hint="eastAsia" w:ascii="宋体" w:hAnsi="宋体"/>
          <w:highlight w:val="none"/>
          <w:u w:val="single"/>
          <w:shd w:val="clear" w:color="auto" w:fill="FFFFFF"/>
        </w:rPr>
      </w:pPr>
      <w:r>
        <w:rPr>
          <w:rFonts w:hint="eastAsia" w:ascii="宋体" w:hAnsi="宋体"/>
          <w:highlight w:val="none"/>
          <w:shd w:val="clear" w:color="auto" w:fill="FFFFFF"/>
        </w:rPr>
        <w:t>1</w:t>
      </w:r>
      <w:r>
        <w:rPr>
          <w:rFonts w:ascii="宋体" w:hAnsi="宋体"/>
          <w:highlight w:val="none"/>
          <w:shd w:val="clear" w:color="auto" w:fill="FFFFFF"/>
        </w:rPr>
        <w:t>.</w:t>
      </w:r>
      <w:r>
        <w:rPr>
          <w:rFonts w:hint="eastAsia" w:ascii="宋体" w:hAnsi="宋体"/>
          <w:highlight w:val="none"/>
          <w:shd w:val="clear" w:color="auto" w:fill="FFFFFF"/>
        </w:rPr>
        <w:t>合同价款：</w:t>
      </w:r>
      <w:r>
        <w:rPr>
          <w:rFonts w:ascii="宋体" w:hAnsi="宋体"/>
          <w:highlight w:val="none"/>
          <w:u w:val="single"/>
          <w:shd w:val="clear" w:color="auto" w:fill="FFFFFF"/>
        </w:rPr>
        <w:t xml:space="preserve">                         </w:t>
      </w:r>
      <w:r>
        <w:rPr>
          <w:rFonts w:hint="eastAsia" w:ascii="宋体" w:hAnsi="宋体"/>
          <w:highlight w:val="none"/>
          <w:u w:val="single"/>
          <w:shd w:val="clear" w:color="auto" w:fill="FFFFFF"/>
        </w:rPr>
        <w:t>，</w:t>
      </w:r>
      <w:r>
        <w:rPr>
          <w:rFonts w:hint="eastAsia" w:ascii="宋体" w:hAnsi="宋体"/>
          <w:highlight w:val="none"/>
          <w:u w:val="single"/>
        </w:rPr>
        <w:t>该价格为</w:t>
      </w:r>
      <w:r>
        <w:rPr>
          <w:rFonts w:hint="eastAsia" w:cs="宋体" w:asciiTheme="minorEastAsia" w:hAnsiTheme="minorEastAsia" w:eastAsiaTheme="minorEastAsia"/>
          <w:szCs w:val="20"/>
          <w:highlight w:val="none"/>
          <w:u w:val="single"/>
        </w:rPr>
        <w:t>完全履行合同所需的一切费用</w:t>
      </w:r>
      <w:r>
        <w:rPr>
          <w:rFonts w:hint="eastAsia" w:ascii="宋体" w:hAnsi="宋体"/>
          <w:highlight w:val="none"/>
          <w:u w:val="single"/>
        </w:rPr>
        <w:t>，包含设备运输、安装、调试运行、履约验收产生的检验（监测）及劳务报酬费、税金、差旅费、合理利润等一切费用。在乙方完全履行本合同下全部义务的情形下，除非另有书面约定，否则合同金额是甲方应当向乙方支付的全部费用。</w:t>
      </w:r>
      <w:r>
        <w:rPr>
          <w:rFonts w:ascii="宋体" w:hAnsi="宋体"/>
          <w:highlight w:val="none"/>
          <w:u w:val="single"/>
          <w:shd w:val="clear" w:color="auto" w:fill="FFFFFF"/>
        </w:rPr>
        <w:t xml:space="preserve"> </w:t>
      </w:r>
      <w:r>
        <w:rPr>
          <w:rFonts w:ascii="宋体" w:hAnsi="宋体"/>
          <w:highlight w:val="none"/>
          <w:shd w:val="clear" w:color="auto" w:fill="FFFFFF"/>
        </w:rPr>
        <w:t xml:space="preserve">    </w:t>
      </w:r>
    </w:p>
    <w:p w14:paraId="1530E5AA">
      <w:pPr>
        <w:shd w:val="clear" w:color="auto" w:fill="FFFFFF"/>
        <w:adjustRightInd w:val="0"/>
        <w:snapToGrid w:val="0"/>
        <w:spacing w:line="360" w:lineRule="auto"/>
        <w:ind w:firstLine="480" w:firstLineChars="200"/>
        <w:rPr>
          <w:rFonts w:hint="eastAsia" w:ascii="宋体" w:hAnsi="宋体"/>
          <w:u w:val="single"/>
          <w:shd w:val="clear" w:color="auto" w:fill="FFFFFF"/>
        </w:rPr>
      </w:pPr>
      <w:r>
        <w:rPr>
          <w:rFonts w:hint="eastAsia" w:ascii="宋体" w:hAnsi="宋体" w:cs="宋体"/>
          <w:highlight w:val="none"/>
        </w:rPr>
        <w:t>2</w:t>
      </w:r>
      <w:r>
        <w:rPr>
          <w:rFonts w:ascii="宋体" w:hAnsi="宋体" w:cs="宋体"/>
          <w:highlight w:val="none"/>
        </w:rPr>
        <w:t>.</w:t>
      </w:r>
      <w:bookmarkStart w:id="374" w:name="_Hlk177721359"/>
      <w:r>
        <w:rPr>
          <w:rFonts w:hint="eastAsia" w:ascii="宋体" w:hAnsi="宋体" w:cs="宋体"/>
          <w:highlight w:val="none"/>
        </w:rPr>
        <w:t>支付方式：</w:t>
      </w:r>
      <w:bookmarkEnd w:id="374"/>
      <w:r>
        <w:rPr>
          <w:rFonts w:hint="eastAsia" w:ascii="宋体" w:hAnsi="宋体" w:cs="Courier New"/>
          <w:bCs/>
          <w:highlight w:val="none"/>
          <w:u w:val="single"/>
        </w:rPr>
        <w:t>经甲方验收合格后，乙方开具等额的增值税普通发票交给甲方，甲方收到后15个工作日内支付合同总金额的100%</w:t>
      </w:r>
      <w:r>
        <w:rPr>
          <w:rFonts w:ascii="宋体" w:hAnsi="宋体" w:cs="Courier New"/>
          <w:bCs/>
          <w:highlight w:val="none"/>
          <w:u w:val="single"/>
        </w:rPr>
        <w:t xml:space="preserve"> </w:t>
      </w:r>
      <w:r>
        <w:rPr>
          <w:rFonts w:hint="eastAsia" w:ascii="宋体" w:hAnsi="宋体" w:cs="Courier New"/>
          <w:bCs/>
          <w:highlight w:val="none"/>
          <w:u w:val="single"/>
        </w:rPr>
        <w:t>。</w:t>
      </w:r>
      <w:r>
        <w:rPr>
          <w:rFonts w:ascii="宋体" w:hAnsi="宋体" w:cs="Courier New"/>
          <w:bCs/>
          <w:highlight w:val="none"/>
          <w:u w:val="single"/>
        </w:rPr>
        <w:t xml:space="preserve"> </w:t>
      </w:r>
      <w:r>
        <w:rPr>
          <w:rFonts w:hint="eastAsia" w:ascii="宋体" w:hAnsi="宋体" w:cs="宋体"/>
          <w:highlight w:val="none"/>
          <w:u w:val="single"/>
        </w:rPr>
        <w:t xml:space="preserve">                              </w:t>
      </w:r>
      <w:r>
        <w:rPr>
          <w:rFonts w:hint="eastAsia" w:ascii="宋体" w:hAnsi="宋体" w:cs="宋体"/>
          <w:u w:val="single"/>
        </w:rPr>
        <w:t xml:space="preserve"> </w:t>
      </w:r>
      <w:r>
        <w:rPr>
          <w:rFonts w:hint="eastAsia" w:ascii="宋体" w:hAnsi="宋体"/>
          <w:u w:val="single"/>
          <w:shd w:val="clear" w:color="auto" w:fill="FFFFFF"/>
        </w:rPr>
        <w:t xml:space="preserve">  </w:t>
      </w:r>
      <w:bookmarkStart w:id="375" w:name="_Hlk151477669"/>
    </w:p>
    <w:p w14:paraId="1BB92556">
      <w:pPr>
        <w:adjustRightInd w:val="0"/>
        <w:spacing w:line="360" w:lineRule="auto"/>
        <w:ind w:firstLine="480" w:firstLineChars="200"/>
        <w:contextualSpacing/>
        <w:rPr>
          <w:rFonts w:hint="eastAsia" w:ascii="宋体" w:hAnsi="宋体" w:cs="宋体"/>
        </w:rPr>
      </w:pPr>
      <w:r>
        <w:rPr>
          <w:rFonts w:ascii="宋体" w:hAnsi="宋体" w:cs="宋体"/>
        </w:rPr>
        <w:t>3</w:t>
      </w:r>
      <w:r>
        <w:rPr>
          <w:rFonts w:hint="eastAsia" w:ascii="宋体" w:hAnsi="宋体" w:cs="宋体"/>
        </w:rPr>
        <w:t xml:space="preserve">.甲方账户信息 </w:t>
      </w:r>
      <w:r>
        <w:rPr>
          <w:rFonts w:ascii="宋体" w:hAnsi="宋体" w:cs="宋体"/>
        </w:rPr>
        <w:t xml:space="preserve"> </w:t>
      </w:r>
    </w:p>
    <w:p w14:paraId="774A7127">
      <w:pPr>
        <w:adjustRightInd w:val="0"/>
        <w:spacing w:line="360" w:lineRule="auto"/>
        <w:ind w:firstLine="480" w:firstLineChars="200"/>
        <w:contextualSpacing/>
        <w:rPr>
          <w:rFonts w:hint="eastAsia" w:ascii="宋体" w:hAnsi="宋体" w:cs="宋体"/>
        </w:rPr>
      </w:pPr>
      <w:r>
        <w:rPr>
          <w:rFonts w:hint="eastAsia" w:ascii="宋体" w:hAnsi="宋体" w:cs="宋体"/>
        </w:rPr>
        <w:t>账户名称：</w:t>
      </w:r>
      <w:r>
        <w:rPr>
          <w:rFonts w:hint="eastAsia" w:ascii="宋体" w:hAnsi="宋体" w:cs="宋体"/>
          <w:u w:val="single"/>
        </w:rPr>
        <w:t xml:space="preserve"> </w:t>
      </w:r>
      <w:r>
        <w:rPr>
          <w:rFonts w:ascii="宋体" w:hAnsi="宋体" w:cs="宋体"/>
          <w:u w:val="single"/>
        </w:rPr>
        <w:t xml:space="preserve">                                                         </w:t>
      </w:r>
    </w:p>
    <w:p w14:paraId="2A821221">
      <w:pPr>
        <w:spacing w:line="360" w:lineRule="auto"/>
        <w:ind w:firstLine="480" w:firstLineChars="200"/>
        <w:rPr>
          <w:rFonts w:hint="eastAsia" w:ascii="宋体" w:hAnsi="宋体" w:cs="宋体"/>
        </w:rPr>
      </w:pPr>
      <w:r>
        <w:rPr>
          <w:rFonts w:hint="eastAsia" w:ascii="宋体" w:hAnsi="宋体" w:cs="宋体"/>
        </w:rPr>
        <w:t>开户银行：</w:t>
      </w:r>
      <w:r>
        <w:rPr>
          <w:rFonts w:hint="eastAsia" w:ascii="宋体" w:hAnsi="宋体" w:cs="宋体"/>
          <w:u w:val="single"/>
        </w:rPr>
        <w:t xml:space="preserve"> </w:t>
      </w:r>
      <w:r>
        <w:rPr>
          <w:rFonts w:ascii="宋体" w:hAnsi="宋体" w:cs="宋体"/>
          <w:u w:val="single"/>
        </w:rPr>
        <w:t xml:space="preserve">                                                         </w:t>
      </w:r>
    </w:p>
    <w:p w14:paraId="3940DE99">
      <w:pPr>
        <w:spacing w:line="360" w:lineRule="auto"/>
        <w:ind w:firstLine="480" w:firstLineChars="200"/>
        <w:rPr>
          <w:rFonts w:hint="eastAsia" w:ascii="宋体" w:hAnsi="宋体" w:cs="宋体"/>
        </w:rPr>
      </w:pPr>
      <w:r>
        <w:rPr>
          <w:rFonts w:hint="eastAsia" w:ascii="宋体" w:hAnsi="宋体" w:cs="宋体"/>
        </w:rPr>
        <w:t>账    号：</w:t>
      </w:r>
      <w:r>
        <w:rPr>
          <w:rFonts w:hint="eastAsia" w:ascii="宋体" w:hAnsi="宋体" w:cs="宋体"/>
          <w:u w:val="single"/>
        </w:rPr>
        <w:t xml:space="preserve"> </w:t>
      </w:r>
      <w:r>
        <w:rPr>
          <w:rFonts w:ascii="宋体" w:hAnsi="宋体" w:cs="宋体"/>
          <w:u w:val="single"/>
        </w:rPr>
        <w:t xml:space="preserve">                                                         </w:t>
      </w:r>
    </w:p>
    <w:p w14:paraId="5B180066">
      <w:pPr>
        <w:adjustRightInd w:val="0"/>
        <w:spacing w:line="360" w:lineRule="auto"/>
        <w:ind w:firstLine="480" w:firstLineChars="200"/>
        <w:contextualSpacing/>
        <w:rPr>
          <w:rFonts w:hint="eastAsia" w:ascii="宋体" w:hAnsi="宋体" w:cs="宋体"/>
        </w:rPr>
      </w:pPr>
      <w:r>
        <w:rPr>
          <w:rFonts w:ascii="宋体" w:hAnsi="宋体" w:cs="宋体"/>
        </w:rPr>
        <w:t>4</w:t>
      </w:r>
      <w:r>
        <w:rPr>
          <w:rFonts w:hint="eastAsia" w:ascii="宋体" w:hAnsi="宋体" w:cs="宋体"/>
        </w:rPr>
        <w:t>.乙方账户信息</w:t>
      </w:r>
    </w:p>
    <w:p w14:paraId="18108665">
      <w:pPr>
        <w:adjustRightInd w:val="0"/>
        <w:spacing w:line="360" w:lineRule="auto"/>
        <w:ind w:firstLine="480" w:firstLineChars="200"/>
        <w:contextualSpacing/>
        <w:rPr>
          <w:rFonts w:hint="eastAsia" w:ascii="宋体" w:hAnsi="宋体" w:cs="宋体"/>
        </w:rPr>
      </w:pPr>
      <w:r>
        <w:rPr>
          <w:rFonts w:hint="eastAsia" w:ascii="宋体" w:hAnsi="宋体" w:cs="宋体"/>
        </w:rPr>
        <w:t>账户名称：</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rPr>
        <w:t xml:space="preserve">       </w:t>
      </w:r>
    </w:p>
    <w:p w14:paraId="68966D72">
      <w:pPr>
        <w:adjustRightInd w:val="0"/>
        <w:spacing w:line="360" w:lineRule="auto"/>
        <w:ind w:firstLine="480" w:firstLineChars="200"/>
        <w:contextualSpacing/>
        <w:rPr>
          <w:rFonts w:hint="eastAsia" w:ascii="宋体" w:hAnsi="宋体" w:cs="宋体"/>
        </w:rPr>
      </w:pPr>
      <w:r>
        <w:rPr>
          <w:rFonts w:hint="eastAsia" w:ascii="宋体" w:hAnsi="宋体" w:cs="宋体"/>
        </w:rPr>
        <w:t>开户银行：</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rPr>
        <w:t xml:space="preserve"> </w:t>
      </w:r>
    </w:p>
    <w:p w14:paraId="3AB1CFDF">
      <w:pPr>
        <w:adjustRightInd w:val="0"/>
        <w:spacing w:line="360" w:lineRule="auto"/>
        <w:ind w:firstLine="480" w:firstLineChars="200"/>
        <w:contextualSpacing/>
        <w:rPr>
          <w:rFonts w:hint="eastAsia" w:ascii="宋体" w:hAnsi="宋体" w:cs="宋体"/>
        </w:rPr>
      </w:pPr>
      <w:r>
        <w:rPr>
          <w:rFonts w:hint="eastAsia" w:ascii="宋体" w:hAnsi="宋体" w:cs="宋体"/>
        </w:rPr>
        <w:t>账    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rPr>
        <w:t xml:space="preserve"> </w:t>
      </w:r>
    </w:p>
    <w:p w14:paraId="5561567A">
      <w:pPr>
        <w:adjustRightInd w:val="0"/>
        <w:spacing w:line="360" w:lineRule="auto"/>
        <w:ind w:firstLine="480" w:firstLineChars="200"/>
        <w:contextualSpacing/>
        <w:rPr>
          <w:rFonts w:hint="eastAsia" w:ascii="宋体" w:hAnsi="宋体" w:cs="宋体"/>
        </w:rPr>
      </w:pPr>
      <w:r>
        <w:rPr>
          <w:rFonts w:ascii="宋体" w:hAnsi="宋体" w:cs="宋体"/>
        </w:rPr>
        <w:t>5</w:t>
      </w:r>
      <w:r>
        <w:rPr>
          <w:rFonts w:hint="eastAsia" w:ascii="宋体" w:hAnsi="宋体" w:cs="宋体"/>
        </w:rPr>
        <w:t>.乙方需向甲方开具国家税务机关规定的合法正规发票，若乙方开具的发票属于虚假发票，甲方有权拒绝付款。由于虚假发票所造成的所有法律责任全部由乙方承担。</w:t>
      </w:r>
      <w:bookmarkEnd w:id="375"/>
      <w:r>
        <w:rPr>
          <w:rFonts w:hint="eastAsia" w:ascii="宋体" w:hAnsi="宋体" w:cs="宋体"/>
        </w:rPr>
        <w:t xml:space="preserve"> </w:t>
      </w:r>
    </w:p>
    <w:p w14:paraId="0D27A395">
      <w:pPr>
        <w:adjustRightInd w:val="0"/>
        <w:spacing w:line="360" w:lineRule="auto"/>
        <w:ind w:firstLine="480" w:firstLineChars="200"/>
        <w:contextualSpacing/>
        <w:rPr>
          <w:rFonts w:hint="eastAsia" w:ascii="宋体" w:hAnsi="宋体" w:cs="宋体"/>
        </w:rPr>
      </w:pPr>
      <w:r>
        <w:rPr>
          <w:rFonts w:hint="eastAsia" w:ascii="宋体" w:hAnsi="宋体" w:cs="宋体"/>
        </w:rPr>
        <w:t>6.</w:t>
      </w:r>
      <w:r>
        <w:rPr>
          <w:rFonts w:hint="eastAsia"/>
        </w:rPr>
        <w:t>乙方的开户银行、账户名称、银行账号以本合同提供的为准，如有变更，乙方应在合同规定的相关付款期限十天之前以书面方式通知甲方并加盖财务专用章。如未正确依照上述规定执行而影响相关款项的支付，则由此产生的责任由乙方自负。</w:t>
      </w:r>
    </w:p>
    <w:p w14:paraId="477ABEE6">
      <w:pPr>
        <w:pStyle w:val="3"/>
        <w:tabs>
          <w:tab w:val="left" w:pos="360"/>
          <w:tab w:val="left" w:pos="3999"/>
          <w:tab w:val="clear" w:pos="1021"/>
        </w:tabs>
        <w:spacing w:afterLines="0" w:line="360" w:lineRule="auto"/>
        <w:ind w:firstLine="562" w:firstLineChars="200"/>
        <w:jc w:val="left"/>
        <w:rPr>
          <w:rFonts w:hint="eastAsia" w:ascii="宋体" w:hAnsi="宋体"/>
          <w:b w:val="0"/>
          <w:bCs/>
          <w:sz w:val="24"/>
        </w:rPr>
      </w:pPr>
      <w:bookmarkStart w:id="376" w:name="_Toc162882596"/>
      <w:bookmarkStart w:id="377" w:name="_Toc157959725"/>
      <w:r>
        <w:rPr>
          <w:rFonts w:hint="eastAsia" w:ascii="黑体" w:hAnsi="黑体" w:eastAsia="黑体" w:cs="宋体"/>
          <w:bCs/>
          <w:sz w:val="28"/>
          <w:szCs w:val="28"/>
        </w:rPr>
        <w:t>五、甲方的权利及义务</w:t>
      </w:r>
      <w:bookmarkEnd w:id="376"/>
      <w:bookmarkEnd w:id="377"/>
      <w:r>
        <w:rPr>
          <w:rFonts w:hint="eastAsia" w:ascii="黑体" w:hAnsi="黑体" w:eastAsia="黑体" w:cs="宋体"/>
          <w:bCs/>
          <w:sz w:val="28"/>
          <w:szCs w:val="28"/>
        </w:rPr>
        <w:t xml:space="preserve"> </w:t>
      </w:r>
      <w:r>
        <w:rPr>
          <w:rFonts w:hint="eastAsia" w:ascii="宋体" w:hAnsi="宋体"/>
          <w:b w:val="0"/>
          <w:bCs/>
          <w:sz w:val="24"/>
        </w:rPr>
        <w:t xml:space="preserve"> </w:t>
      </w:r>
    </w:p>
    <w:p w14:paraId="49BD16C6">
      <w:pPr>
        <w:spacing w:line="360" w:lineRule="auto"/>
        <w:ind w:firstLine="480" w:firstLineChars="200"/>
        <w:rPr>
          <w:rFonts w:hint="eastAsia" w:asciiTheme="minorEastAsia" w:hAnsiTheme="minorEastAsia" w:eastAsiaTheme="minorEastAsia"/>
        </w:rPr>
      </w:pPr>
      <w:r>
        <w:rPr>
          <w:rFonts w:hint="eastAsia" w:asciiTheme="minorEastAsia" w:hAnsiTheme="minorEastAsia" w:eastAsiaTheme="minorEastAsia"/>
        </w:rPr>
        <w:t>1.负责合同签订后项目实施的监督工作（如与乙方的具体联系和衔结，产品现场安装调试时配备人员进行监管控制）；</w:t>
      </w:r>
    </w:p>
    <w:p w14:paraId="2D808BC8">
      <w:pPr>
        <w:spacing w:line="360" w:lineRule="auto"/>
        <w:ind w:firstLine="480" w:firstLineChars="200"/>
        <w:rPr>
          <w:rFonts w:hint="eastAsia" w:asciiTheme="minorEastAsia" w:hAnsiTheme="minorEastAsia" w:eastAsiaTheme="minorEastAsia"/>
        </w:rPr>
      </w:pPr>
      <w:bookmarkStart w:id="378" w:name="_Toc70252933"/>
      <w:bookmarkStart w:id="379" w:name="_Toc70253049"/>
      <w:bookmarkStart w:id="380" w:name="_Toc99729051"/>
      <w:r>
        <w:rPr>
          <w:rFonts w:hint="eastAsia" w:asciiTheme="minorEastAsia" w:hAnsiTheme="minorEastAsia" w:eastAsiaTheme="minorEastAsia"/>
        </w:rPr>
        <w:t>2.负责提供产品和安装调试所必须的场地和环境；</w:t>
      </w:r>
      <w:bookmarkEnd w:id="378"/>
      <w:bookmarkEnd w:id="379"/>
      <w:bookmarkEnd w:id="380"/>
    </w:p>
    <w:p w14:paraId="2F0E8084">
      <w:pPr>
        <w:spacing w:line="360" w:lineRule="auto"/>
        <w:ind w:firstLine="480" w:firstLineChars="200"/>
        <w:rPr>
          <w:rFonts w:hint="eastAsia" w:asciiTheme="minorEastAsia" w:hAnsiTheme="minorEastAsia" w:eastAsiaTheme="minorEastAsia"/>
        </w:rPr>
      </w:pPr>
      <w:r>
        <w:rPr>
          <w:rFonts w:hint="eastAsia" w:asciiTheme="minorEastAsia" w:hAnsiTheme="minorEastAsia" w:eastAsiaTheme="minorEastAsia"/>
        </w:rPr>
        <w:t>3.负责组织成立验收小组对产品进行验收并签署验收报告；</w:t>
      </w:r>
    </w:p>
    <w:p w14:paraId="3FEF7FB7">
      <w:pPr>
        <w:spacing w:line="360" w:lineRule="auto"/>
        <w:ind w:firstLine="480" w:firstLineChars="200"/>
        <w:rPr>
          <w:rFonts w:hint="eastAsia" w:asciiTheme="minorEastAsia" w:hAnsiTheme="minorEastAsia" w:eastAsiaTheme="minorEastAsia"/>
        </w:rPr>
      </w:pPr>
      <w:bookmarkStart w:id="381" w:name="_Toc70253050"/>
      <w:bookmarkStart w:id="382" w:name="_Toc99729052"/>
      <w:bookmarkStart w:id="383" w:name="_Toc70252934"/>
      <w:r>
        <w:rPr>
          <w:rFonts w:hint="eastAsia" w:asciiTheme="minorEastAsia" w:hAnsiTheme="minorEastAsia" w:eastAsiaTheme="minorEastAsia"/>
        </w:rPr>
        <w:t>4.按合同规定享有乙方提供的产品或项目服务；</w:t>
      </w:r>
      <w:bookmarkEnd w:id="381"/>
      <w:bookmarkEnd w:id="382"/>
      <w:bookmarkEnd w:id="383"/>
    </w:p>
    <w:p w14:paraId="5DC686D4">
      <w:pPr>
        <w:spacing w:line="360" w:lineRule="auto"/>
        <w:ind w:firstLine="480" w:firstLineChars="200"/>
        <w:rPr>
          <w:rFonts w:hint="eastAsia" w:asciiTheme="minorEastAsia" w:hAnsiTheme="minorEastAsia" w:eastAsiaTheme="minorEastAsia"/>
        </w:rPr>
      </w:pPr>
      <w:r>
        <w:rPr>
          <w:rFonts w:hint="eastAsia" w:asciiTheme="minorEastAsia" w:hAnsiTheme="minorEastAsia" w:eastAsiaTheme="minorEastAsia"/>
        </w:rPr>
        <w:t>5.甲方有权监督乙方的售后服务，并对乙方的售后服务不符合合同要求时，加以提出及追究合同责任；</w:t>
      </w:r>
    </w:p>
    <w:p w14:paraId="4D14C789">
      <w:pPr>
        <w:spacing w:line="360" w:lineRule="auto"/>
        <w:ind w:firstLine="480" w:firstLineChars="200"/>
        <w:rPr>
          <w:rFonts w:hint="eastAsia" w:asciiTheme="minorEastAsia" w:hAnsiTheme="minorEastAsia" w:eastAsiaTheme="minorEastAsia"/>
        </w:rPr>
      </w:pPr>
      <w:bookmarkStart w:id="384" w:name="_Toc70253051"/>
      <w:bookmarkStart w:id="385" w:name="_Toc99729053"/>
      <w:bookmarkStart w:id="386" w:name="_Toc70252935"/>
      <w:r>
        <w:rPr>
          <w:rFonts w:hint="eastAsia" w:asciiTheme="minorEastAsia" w:hAnsiTheme="minorEastAsia" w:eastAsiaTheme="minorEastAsia"/>
        </w:rPr>
        <w:t>6.双方拟定联系人，所有保修过程均应由双方经手人记录签字；甲方指定</w:t>
      </w:r>
      <w:r>
        <w:rPr>
          <w:rFonts w:hint="eastAsia" w:asciiTheme="minorEastAsia" w:hAnsiTheme="minorEastAsia" w:eastAsiaTheme="minorEastAsia"/>
          <w:u w:val="single"/>
        </w:rPr>
        <w:t xml:space="preserve">     </w:t>
      </w:r>
      <w:r>
        <w:rPr>
          <w:rFonts w:hint="eastAsia" w:asciiTheme="minorEastAsia" w:hAnsiTheme="minorEastAsia" w:eastAsiaTheme="minorEastAsia"/>
        </w:rPr>
        <w:t>为本项目的联系人，联系方式为：</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bookmarkEnd w:id="384"/>
      <w:bookmarkEnd w:id="385"/>
      <w:bookmarkEnd w:id="386"/>
    </w:p>
    <w:p w14:paraId="02F144A4">
      <w:pPr>
        <w:spacing w:line="360" w:lineRule="auto"/>
        <w:ind w:firstLine="480" w:firstLineChars="200"/>
        <w:rPr>
          <w:rFonts w:hint="eastAsia" w:ascii="宋体" w:hAnsi="宋体" w:cs="宋体"/>
        </w:rPr>
      </w:pPr>
      <w:r>
        <w:rPr>
          <w:rFonts w:hint="eastAsia" w:asciiTheme="minorEastAsia" w:hAnsiTheme="minorEastAsia" w:eastAsiaTheme="minorEastAsia"/>
        </w:rPr>
        <w:t>7.落实采购资金并办理采购资金划拨手续。</w:t>
      </w:r>
    </w:p>
    <w:p w14:paraId="1D7F286C">
      <w:pPr>
        <w:pStyle w:val="3"/>
        <w:tabs>
          <w:tab w:val="left" w:pos="360"/>
          <w:tab w:val="left" w:pos="3999"/>
          <w:tab w:val="clear" w:pos="1021"/>
        </w:tabs>
        <w:spacing w:afterLines="0" w:line="360" w:lineRule="auto"/>
        <w:ind w:firstLine="562" w:firstLineChars="200"/>
        <w:jc w:val="left"/>
        <w:rPr>
          <w:rFonts w:hint="eastAsia" w:ascii="黑体" w:hAnsi="黑体" w:eastAsia="黑体" w:cs="宋体"/>
          <w:bCs/>
          <w:sz w:val="28"/>
          <w:szCs w:val="28"/>
        </w:rPr>
      </w:pPr>
      <w:bookmarkStart w:id="387" w:name="_Toc162882597"/>
      <w:bookmarkStart w:id="388" w:name="_Toc157959726"/>
      <w:r>
        <w:rPr>
          <w:rFonts w:hint="eastAsia" w:ascii="黑体" w:hAnsi="黑体" w:eastAsia="黑体" w:cs="宋体"/>
          <w:bCs/>
          <w:sz w:val="28"/>
          <w:szCs w:val="28"/>
        </w:rPr>
        <w:t>六、乙方的权利和义务</w:t>
      </w:r>
      <w:bookmarkEnd w:id="387"/>
      <w:bookmarkEnd w:id="388"/>
      <w:r>
        <w:rPr>
          <w:rFonts w:hint="eastAsia" w:ascii="黑体" w:hAnsi="黑体" w:eastAsia="黑体" w:cs="宋体"/>
          <w:bCs/>
          <w:sz w:val="28"/>
          <w:szCs w:val="28"/>
        </w:rPr>
        <w:t xml:space="preserve">  </w:t>
      </w:r>
    </w:p>
    <w:p w14:paraId="6883BA24">
      <w:pPr>
        <w:spacing w:line="360" w:lineRule="auto"/>
        <w:ind w:firstLine="480" w:firstLineChars="200"/>
        <w:rPr>
          <w:rFonts w:hint="eastAsia" w:asciiTheme="minorEastAsia" w:hAnsiTheme="minorEastAsia" w:eastAsiaTheme="minorEastAsia"/>
        </w:rPr>
      </w:pPr>
      <w:r>
        <w:rPr>
          <w:rFonts w:hint="eastAsia" w:asciiTheme="minorEastAsia" w:hAnsiTheme="minorEastAsia" w:eastAsiaTheme="minorEastAsia"/>
        </w:rPr>
        <w:t>1.乙方保证按合同条款负责完成甲方项目，并保证提供的产品是全新（包括零部件）、符合招标文件规定的参数、具有国家有关部门注册并符合国家质量检测标准（进口产品具有国家有关部门完整手续）和产品出厂标准的产品；产品及主要配件保修期为</w:t>
      </w:r>
      <w:r>
        <w:rPr>
          <w:rFonts w:hint="eastAsia" w:asciiTheme="minorEastAsia" w:hAnsiTheme="minorEastAsia" w:eastAsiaTheme="minorEastAsia"/>
          <w:u w:val="single"/>
        </w:rPr>
        <w:t xml:space="preserve">   </w:t>
      </w:r>
      <w:r>
        <w:rPr>
          <w:rFonts w:hint="eastAsia" w:asciiTheme="minorEastAsia" w:hAnsiTheme="minorEastAsia" w:eastAsiaTheme="minorEastAsia"/>
        </w:rPr>
        <w:t>年。</w:t>
      </w:r>
    </w:p>
    <w:p w14:paraId="22C68363">
      <w:pPr>
        <w:spacing w:line="360" w:lineRule="auto"/>
        <w:ind w:firstLine="480" w:firstLineChars="200"/>
        <w:rPr>
          <w:rFonts w:hint="eastAsia"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保证甲方在合同产品或项目（有配套软件的还包括软件产品）使用期间不受第三方提出侵犯其专利权、商标权和工业设计权的起诉；</w:t>
      </w:r>
    </w:p>
    <w:p w14:paraId="5348D374">
      <w:pPr>
        <w:spacing w:line="360" w:lineRule="auto"/>
        <w:ind w:firstLine="480" w:firstLineChars="200"/>
        <w:rPr>
          <w:rFonts w:hint="eastAsia" w:asciiTheme="minorEastAsia" w:hAnsiTheme="minorEastAsia" w:eastAsiaTheme="minorEastAsia"/>
        </w:rPr>
      </w:pPr>
      <w:bookmarkStart w:id="389" w:name="_Toc99729055"/>
      <w:bookmarkStart w:id="390" w:name="_Toc70252937"/>
      <w:bookmarkStart w:id="391" w:name="_Toc70253053"/>
      <w:r>
        <w:rPr>
          <w:rFonts w:hint="eastAsia" w:asciiTheme="minorEastAsia" w:hAnsiTheme="minorEastAsia" w:eastAsiaTheme="minorEastAsia"/>
        </w:rPr>
        <w:t>3.参与甲方共同进行产品和项目的验收；</w:t>
      </w:r>
      <w:bookmarkEnd w:id="389"/>
      <w:bookmarkEnd w:id="390"/>
      <w:bookmarkEnd w:id="391"/>
    </w:p>
    <w:p w14:paraId="1333D400">
      <w:pPr>
        <w:spacing w:line="360" w:lineRule="auto"/>
        <w:ind w:firstLine="480" w:firstLineChars="200"/>
        <w:rPr>
          <w:rFonts w:hint="eastAsia" w:asciiTheme="minorEastAsia" w:hAnsiTheme="minorEastAsia" w:eastAsiaTheme="minorEastAsia"/>
        </w:rPr>
      </w:pPr>
      <w:r>
        <w:rPr>
          <w:rFonts w:hint="eastAsia" w:asciiTheme="minorEastAsia" w:hAnsiTheme="minorEastAsia" w:eastAsiaTheme="minorEastAsia"/>
        </w:rPr>
        <w:t>4.供货期间发生的质量、安全事故均由乙方负责并报告甲方及相关部门；</w:t>
      </w:r>
    </w:p>
    <w:p w14:paraId="15A6E2CB">
      <w:pPr>
        <w:spacing w:line="360" w:lineRule="auto"/>
        <w:ind w:firstLine="480" w:firstLineChars="200"/>
        <w:rPr>
          <w:rFonts w:hint="eastAsia" w:asciiTheme="minorEastAsia" w:hAnsiTheme="minorEastAsia" w:eastAsiaTheme="minorEastAsia"/>
        </w:rPr>
      </w:pPr>
      <w:r>
        <w:rPr>
          <w:rFonts w:hint="eastAsia" w:asciiTheme="minorEastAsia" w:hAnsiTheme="minorEastAsia" w:eastAsiaTheme="minorEastAsia"/>
        </w:rPr>
        <w:t>5.供货期间乙方人员发生的一切违法和安全事故及给第三方造成的损害均由乙方全部负责；</w:t>
      </w:r>
    </w:p>
    <w:p w14:paraId="60ECB961">
      <w:pPr>
        <w:spacing w:line="360" w:lineRule="auto"/>
        <w:ind w:firstLine="480" w:firstLineChars="200"/>
        <w:rPr>
          <w:rFonts w:asciiTheme="minorEastAsia" w:hAnsiTheme="minorEastAsia" w:eastAsiaTheme="minorEastAsia"/>
        </w:rPr>
      </w:pPr>
      <w:r>
        <w:rPr>
          <w:rFonts w:hint="eastAsia" w:asciiTheme="minorEastAsia" w:hAnsiTheme="minorEastAsia" w:eastAsiaTheme="minorEastAsia"/>
        </w:rPr>
        <w:t>6.如因乙方原因，甲方受政府职能部门或者其他合法追诉或罚款的，在甲方受追诉或赔偿后，乙方承担全部损失。</w:t>
      </w:r>
    </w:p>
    <w:p w14:paraId="54F7FDA1">
      <w:pPr>
        <w:spacing w:line="360" w:lineRule="auto"/>
        <w:ind w:firstLine="480" w:firstLineChars="200"/>
        <w:rPr>
          <w:rFonts w:asciiTheme="minorEastAsia" w:hAnsiTheme="minorEastAsia" w:eastAsiaTheme="minorEastAsia"/>
        </w:rPr>
      </w:pPr>
      <w:r>
        <w:rPr>
          <w:rFonts w:hint="eastAsia" w:asciiTheme="minorEastAsia" w:hAnsiTheme="minorEastAsia" w:eastAsiaTheme="minorEastAsia"/>
        </w:rPr>
        <w:t>7.如产品含有软件产品的，乙方承诺乙方所提供的软件产品甲方拥有永久的使用权。如软件产品需要升级的，乙方负责升级。如因乙方原因造成甲方无法使用该设施设备的，甲方有权退还全部设备产品。</w:t>
      </w:r>
    </w:p>
    <w:p w14:paraId="5F823D5F">
      <w:pPr>
        <w:spacing w:line="360" w:lineRule="auto"/>
        <w:ind w:firstLine="480" w:firstLineChars="200"/>
        <w:rPr>
          <w:rFonts w:asciiTheme="minorEastAsia" w:hAnsiTheme="minorEastAsia" w:eastAsiaTheme="minorEastAsia"/>
          <w:lang w:bidi="ar"/>
        </w:rPr>
      </w:pPr>
      <w:r>
        <w:rPr>
          <w:rFonts w:hint="eastAsia" w:asciiTheme="minorEastAsia" w:hAnsiTheme="minorEastAsia" w:eastAsiaTheme="minorEastAsia"/>
        </w:rPr>
        <w:t>8.</w:t>
      </w:r>
      <w:r>
        <w:rPr>
          <w:rFonts w:hint="eastAsia" w:asciiTheme="minorEastAsia" w:hAnsiTheme="minorEastAsia" w:eastAsiaTheme="minorEastAsia"/>
          <w:lang w:val="en-US" w:eastAsia="zh-CN"/>
        </w:rPr>
        <w:t>如产品要求配备软件的，</w:t>
      </w:r>
      <w:r>
        <w:rPr>
          <w:rFonts w:hint="eastAsia" w:asciiTheme="minorEastAsia" w:hAnsiTheme="minorEastAsia" w:eastAsiaTheme="minorEastAsia"/>
          <w:lang w:bidi="ar"/>
        </w:rPr>
        <w:t>产品所配备的软件必须为正版软件，乙方保证其履行本合同提供的产品不侵犯任何第三方的专利权、商标权或其他知识产权或其他合法权益。如软件产品侵犯任何第三方的权利（包括但不限于知识产权），乙方应根据甲方要求采取一切措施确保甲方获得继续使用软件产品的权利。一旦甲方因此遭受到任何第三方的索赔、诉讼或任何权利请求，乙方有义务以甲方名义自费处理纠纷，并承担由此引起的所有法律和经济责任。</w:t>
      </w:r>
    </w:p>
    <w:p w14:paraId="42A498C1">
      <w:pPr>
        <w:spacing w:line="360" w:lineRule="auto"/>
        <w:ind w:firstLine="480" w:firstLineChars="200"/>
        <w:rPr>
          <w:rFonts w:asciiTheme="minorEastAsia" w:hAnsiTheme="minorEastAsia" w:eastAsiaTheme="minorEastAsia"/>
          <w:lang w:bidi="ar"/>
        </w:rPr>
      </w:pPr>
      <w:r>
        <w:rPr>
          <w:rFonts w:hint="eastAsia" w:asciiTheme="minorEastAsia" w:hAnsiTheme="minorEastAsia" w:eastAsiaTheme="minorEastAsia"/>
          <w:lang w:bidi="ar"/>
        </w:rPr>
        <w:t>9.乙方确认项目负责人为：</w:t>
      </w:r>
      <w:r>
        <w:rPr>
          <w:rFonts w:hint="eastAsia" w:asciiTheme="minorEastAsia" w:hAnsiTheme="minorEastAsia" w:eastAsiaTheme="minorEastAsia"/>
          <w:u w:val="single"/>
          <w:lang w:bidi="ar"/>
        </w:rPr>
        <w:t xml:space="preserve">         </w:t>
      </w:r>
      <w:r>
        <w:rPr>
          <w:rFonts w:hint="eastAsia" w:asciiTheme="minorEastAsia" w:hAnsiTheme="minorEastAsia" w:eastAsiaTheme="minorEastAsia"/>
          <w:lang w:bidi="ar"/>
        </w:rPr>
        <w:t>，联系方式为：</w:t>
      </w:r>
      <w:r>
        <w:rPr>
          <w:rFonts w:hint="eastAsia" w:asciiTheme="minorEastAsia" w:hAnsiTheme="minorEastAsia" w:eastAsiaTheme="minorEastAsia"/>
          <w:u w:val="single"/>
          <w:lang w:bidi="ar"/>
        </w:rPr>
        <w:t xml:space="preserve">          </w:t>
      </w:r>
      <w:r>
        <w:rPr>
          <w:rFonts w:hint="eastAsia" w:asciiTheme="minorEastAsia" w:hAnsiTheme="minorEastAsia" w:eastAsiaTheme="minorEastAsia"/>
          <w:lang w:bidi="ar"/>
        </w:rPr>
        <w:t>。在双方确认项目负责人后，乙方尽量保证项目负责人的稳定，不得任意更换项目负责人，但在特别情况下，经双方协商一致同意后，可委派同资历的人员来更换现有人员进行实施。乙方保证任何更换不会影响到服务的质量及系统实施进度。</w:t>
      </w:r>
    </w:p>
    <w:p w14:paraId="072F38B5">
      <w:pPr>
        <w:spacing w:line="360" w:lineRule="auto"/>
        <w:ind w:firstLine="480" w:firstLineChars="200"/>
        <w:rPr>
          <w:rFonts w:hint="eastAsia" w:asciiTheme="minorEastAsia" w:hAnsiTheme="minorEastAsia" w:eastAsiaTheme="minorEastAsia"/>
        </w:rPr>
      </w:pPr>
      <w:r>
        <w:rPr>
          <w:rFonts w:hint="eastAsia" w:asciiTheme="minorEastAsia" w:hAnsiTheme="minorEastAsia" w:eastAsiaTheme="minorEastAsia"/>
          <w:lang w:bidi="ar"/>
        </w:rPr>
        <w:t>10.乙方应自觉维护甲方的利益，对甲方信息严格保密，不得向任何单位和个人泄露所掌握的数据等信息，否则造成的后果和损失，由乙方负责承担。</w:t>
      </w:r>
    </w:p>
    <w:p w14:paraId="2A07D444">
      <w:pPr>
        <w:pStyle w:val="58"/>
        <w:wordWrap/>
        <w:spacing w:line="360" w:lineRule="auto"/>
        <w:ind w:firstLine="562" w:firstLineChars="200"/>
        <w:rPr>
          <w:rFonts w:hint="eastAsia" w:ascii="黑体" w:hAnsi="黑体" w:eastAsia="黑体" w:cs="宋体"/>
          <w:b/>
          <w:sz w:val="28"/>
          <w:szCs w:val="28"/>
        </w:rPr>
      </w:pPr>
      <w:r>
        <w:rPr>
          <w:rFonts w:hint="eastAsia" w:ascii="黑体" w:hAnsi="黑体" w:eastAsia="黑体" w:cs="宋体"/>
          <w:b/>
          <w:sz w:val="28"/>
          <w:szCs w:val="28"/>
        </w:rPr>
        <w:t>七、履约验收方案</w:t>
      </w:r>
    </w:p>
    <w:p w14:paraId="3B471C61">
      <w:pPr>
        <w:adjustRightInd w:val="0"/>
        <w:snapToGrid w:val="0"/>
        <w:spacing w:line="360" w:lineRule="auto"/>
        <w:ind w:firstLine="480" w:firstLineChars="20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1.验收主体：云南能源职业技术学院。</w:t>
      </w:r>
    </w:p>
    <w:p w14:paraId="104F6A46">
      <w:pPr>
        <w:adjustRightInd w:val="0"/>
        <w:snapToGrid w:val="0"/>
        <w:spacing w:line="360" w:lineRule="auto"/>
        <w:ind w:firstLine="480" w:firstLineChars="200"/>
        <w:rPr>
          <w:rFonts w:hint="eastAsia" w:ascii="宋体" w:hAnsi="宋体"/>
          <w:highlight w:val="none"/>
        </w:rPr>
      </w:pPr>
      <w:r>
        <w:rPr>
          <w:rFonts w:hint="eastAsia" w:ascii="宋体" w:hAnsi="宋体" w:cs="宋体"/>
          <w:bCs/>
          <w:color w:val="000000" w:themeColor="text1"/>
          <w:highlight w:val="none"/>
          <w14:textFill>
            <w14:solidFill>
              <w14:schemeClr w14:val="tx1"/>
            </w14:solidFill>
          </w14:textFill>
        </w:rPr>
        <w:t>2.验收时间：</w:t>
      </w:r>
      <w:bookmarkStart w:id="392" w:name="_Hlk177636116"/>
      <w:r>
        <w:rPr>
          <w:rFonts w:hint="eastAsia" w:ascii="宋体" w:hAnsi="宋体" w:cs="宋体"/>
          <w:bCs/>
          <w:color w:val="000000" w:themeColor="text1"/>
          <w:highlight w:val="none"/>
          <w14:textFill>
            <w14:solidFill>
              <w14:schemeClr w14:val="tx1"/>
            </w14:solidFill>
          </w14:textFill>
        </w:rPr>
        <w:t>设备送至甲方指定地点</w:t>
      </w:r>
      <w:r>
        <w:rPr>
          <w:rFonts w:hint="eastAsia" w:ascii="宋体" w:hAnsi="宋体"/>
          <w:highlight w:val="none"/>
        </w:rPr>
        <w:t>共同开箱初验合格，</w:t>
      </w:r>
      <w:r>
        <w:rPr>
          <w:rFonts w:hint="eastAsia" w:ascii="宋体" w:hAnsi="宋体" w:cs="宋体"/>
          <w:highlight w:val="none"/>
        </w:rPr>
        <w:t>并安装调试运行成功后</w:t>
      </w:r>
      <w:r>
        <w:rPr>
          <w:rFonts w:hint="eastAsia" w:ascii="宋体" w:hAnsi="宋体" w:cs="宋体"/>
          <w:bCs/>
          <w:color w:val="000000" w:themeColor="text1"/>
          <w:highlight w:val="none"/>
          <w14:textFill>
            <w14:solidFill>
              <w14:schemeClr w14:val="tx1"/>
            </w14:solidFill>
          </w14:textFill>
        </w:rPr>
        <w:t>，书面通知甲方组织验收，甲方10个工作日内完成验收</w:t>
      </w:r>
      <w:bookmarkEnd w:id="392"/>
      <w:r>
        <w:rPr>
          <w:rFonts w:hint="eastAsia" w:ascii="宋体" w:hAnsi="宋体" w:cs="宋体"/>
          <w:bCs/>
          <w:color w:val="000000" w:themeColor="text1"/>
          <w:highlight w:val="none"/>
          <w14:textFill>
            <w14:solidFill>
              <w14:schemeClr w14:val="tx1"/>
            </w14:solidFill>
          </w14:textFill>
        </w:rPr>
        <w:t>。</w:t>
      </w:r>
    </w:p>
    <w:p w14:paraId="0CCEFEB8">
      <w:pPr>
        <w:adjustRightInd w:val="0"/>
        <w:snapToGrid w:val="0"/>
        <w:spacing w:line="360" w:lineRule="auto"/>
        <w:ind w:firstLine="480" w:firstLineChars="20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3.履约验收方式：一般程序验收。</w:t>
      </w:r>
    </w:p>
    <w:p w14:paraId="35CB8910">
      <w:pPr>
        <w:adjustRightInd w:val="0"/>
        <w:snapToGrid w:val="0"/>
        <w:spacing w:line="360" w:lineRule="auto"/>
        <w:ind w:firstLine="480" w:firstLineChars="20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4.履约验收程序：验收小组应当由五人以上(含本数)单数、熟悉项目需求和标的人员组成，其中外聘的相关专业技术人员人数不得少于验收小组人员总数的三分之二对于甲方和使用人分离的采购项目，应当邀请实际使用人作为验收小组成员参与验收。验收小组可以推选一名组长，主持验收小组的工作，直接参与项目采购的人员，不得作为验收负责人。验收小组应当按照验收方案独立开展验收。</w:t>
      </w:r>
    </w:p>
    <w:p w14:paraId="596545BD">
      <w:pPr>
        <w:adjustRightInd w:val="0"/>
        <w:snapToGrid w:val="0"/>
        <w:spacing w:line="360" w:lineRule="auto"/>
        <w:ind w:firstLine="480" w:firstLineChars="200"/>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5.履约验收内容：</w:t>
      </w:r>
      <w:r>
        <w:rPr>
          <w:rFonts w:hint="eastAsia" w:ascii="宋体" w:hAnsi="宋体" w:cs="宋体"/>
          <w:highlight w:val="none"/>
          <w:lang w:val="en-US" w:eastAsia="zh-CN"/>
        </w:rPr>
        <w:t xml:space="preserve">                       </w:t>
      </w:r>
      <w:r>
        <w:rPr>
          <w:rFonts w:hint="eastAsia" w:ascii="宋体" w:hAnsi="宋体" w:cs="宋体"/>
          <w:bCs/>
          <w:color w:val="000000" w:themeColor="text1"/>
          <w:highlight w:val="none"/>
          <w14:textFill>
            <w14:solidFill>
              <w14:schemeClr w14:val="tx1"/>
            </w14:solidFill>
          </w14:textFill>
        </w:rPr>
        <w:t>。</w:t>
      </w:r>
    </w:p>
    <w:p w14:paraId="75368E7F">
      <w:pPr>
        <w:spacing w:line="360" w:lineRule="auto"/>
        <w:ind w:firstLine="480"/>
        <w:rPr>
          <w:rFonts w:hint="eastAsia" w:ascii="宋体" w:hAnsi="宋体" w:cs="宋体"/>
          <w:highlight w:val="none"/>
        </w:rPr>
      </w:pPr>
      <w:r>
        <w:rPr>
          <w:rFonts w:hint="eastAsia" w:ascii="宋体" w:hAnsi="宋体" w:cs="宋体"/>
          <w:bCs/>
          <w:color w:val="000000" w:themeColor="text1"/>
          <w:highlight w:val="none"/>
          <w14:textFill>
            <w14:solidFill>
              <w14:schemeClr w14:val="tx1"/>
            </w14:solidFill>
          </w14:textFill>
        </w:rPr>
        <w:t>6.履约验收标准：国家相关标准、行业相关标准规范及采购需求要求。</w:t>
      </w:r>
    </w:p>
    <w:p w14:paraId="2E4B7E74">
      <w:pPr>
        <w:keepNext/>
        <w:tabs>
          <w:tab w:val="left" w:pos="360"/>
        </w:tabs>
        <w:adjustRightInd w:val="0"/>
        <w:spacing w:line="360" w:lineRule="auto"/>
        <w:ind w:firstLine="562" w:firstLineChars="200"/>
        <w:textAlignment w:val="baseline"/>
        <w:outlineLvl w:val="1"/>
        <w:rPr>
          <w:rFonts w:hint="eastAsia" w:ascii="黑体" w:hAnsi="黑体" w:eastAsia="黑体"/>
          <w:bCs/>
          <w:sz w:val="28"/>
          <w:szCs w:val="28"/>
        </w:rPr>
      </w:pPr>
      <w:bookmarkStart w:id="393" w:name="_Toc70253056"/>
      <w:bookmarkStart w:id="394" w:name="_Toc162882598"/>
      <w:bookmarkStart w:id="395" w:name="_Toc99729058"/>
      <w:r>
        <w:rPr>
          <w:rFonts w:hint="eastAsia" w:ascii="黑体" w:hAnsi="黑体" w:eastAsia="黑体" w:cs="宋体"/>
          <w:b/>
          <w:sz w:val="28"/>
          <w:szCs w:val="28"/>
        </w:rPr>
        <w:t>八、保修约定</w:t>
      </w:r>
      <w:bookmarkEnd w:id="393"/>
      <w:bookmarkEnd w:id="394"/>
      <w:bookmarkEnd w:id="395"/>
    </w:p>
    <w:p w14:paraId="399BD94C">
      <w:pPr>
        <w:widowControl/>
        <w:spacing w:line="360" w:lineRule="auto"/>
        <w:ind w:firstLine="480" w:firstLineChars="200"/>
        <w:rPr>
          <w:rFonts w:asciiTheme="minorEastAsia" w:hAnsiTheme="minorEastAsia" w:eastAsiaTheme="minorEastAsia"/>
          <w:lang w:bidi="ar"/>
        </w:rPr>
      </w:pPr>
      <w:r>
        <w:rPr>
          <w:rFonts w:hint="eastAsia" w:asciiTheme="minorEastAsia" w:hAnsiTheme="minorEastAsia" w:eastAsiaTheme="minorEastAsia"/>
          <w:lang w:bidi="ar"/>
        </w:rPr>
        <w:t>1.保修期内，确保系统正常运行，建立系统维护制度，承担系统运行后的软件及相关设施维护工作。使用期间出现软件版本更新后，乙方应主动上门为甲方提供系统免费升级服务。</w:t>
      </w:r>
    </w:p>
    <w:p w14:paraId="25B77F47">
      <w:pPr>
        <w:widowControl/>
        <w:spacing w:line="360" w:lineRule="auto"/>
        <w:ind w:firstLine="480" w:firstLineChars="200"/>
        <w:rPr>
          <w:rFonts w:asciiTheme="minorEastAsia" w:hAnsiTheme="minorEastAsia" w:eastAsiaTheme="minorEastAsia"/>
          <w:lang w:bidi="ar"/>
        </w:rPr>
      </w:pPr>
      <w:r>
        <w:rPr>
          <w:rFonts w:hint="eastAsia" w:asciiTheme="minorEastAsia" w:hAnsiTheme="minorEastAsia" w:eastAsiaTheme="minorEastAsia"/>
          <w:lang w:bidi="ar"/>
        </w:rPr>
        <w:t>2.服务方式采用多种维护措施相结合的方式：远程电话支持；网络远程维护、支持；现场维护。售后服务响应时间要求</w:t>
      </w:r>
      <w:r>
        <w:rPr>
          <w:rFonts w:hint="eastAsia" w:asciiTheme="minorEastAsia" w:hAnsiTheme="minorEastAsia" w:eastAsiaTheme="minorEastAsia"/>
          <w:u w:val="single"/>
          <w:lang w:bidi="ar"/>
        </w:rPr>
        <w:t xml:space="preserve">   </w:t>
      </w:r>
      <w:r>
        <w:rPr>
          <w:rFonts w:hint="eastAsia" w:asciiTheme="minorEastAsia" w:hAnsiTheme="minorEastAsia" w:eastAsiaTheme="minorEastAsia"/>
          <w:lang w:bidi="ar"/>
        </w:rPr>
        <w:t>小时内响应，一般故障</w:t>
      </w:r>
      <w:r>
        <w:rPr>
          <w:rFonts w:hint="eastAsia" w:asciiTheme="minorEastAsia" w:hAnsiTheme="minorEastAsia" w:eastAsiaTheme="minorEastAsia"/>
          <w:u w:val="single"/>
          <w:lang w:bidi="ar"/>
        </w:rPr>
        <w:t xml:space="preserve">   </w:t>
      </w:r>
      <w:r>
        <w:rPr>
          <w:rFonts w:hint="eastAsia" w:asciiTheme="minorEastAsia" w:hAnsiTheme="minorEastAsia" w:eastAsiaTheme="minorEastAsia"/>
          <w:lang w:bidi="ar"/>
        </w:rPr>
        <w:t>小时内解决，重大故障</w:t>
      </w:r>
      <w:r>
        <w:rPr>
          <w:rFonts w:hint="eastAsia" w:asciiTheme="minorEastAsia" w:hAnsiTheme="minorEastAsia" w:eastAsiaTheme="minorEastAsia"/>
          <w:u w:val="single"/>
          <w:lang w:bidi="ar"/>
        </w:rPr>
        <w:t xml:space="preserve">    </w:t>
      </w:r>
      <w:r>
        <w:rPr>
          <w:rFonts w:hint="eastAsia" w:asciiTheme="minorEastAsia" w:hAnsiTheme="minorEastAsia" w:eastAsiaTheme="minorEastAsia"/>
          <w:lang w:bidi="ar"/>
        </w:rPr>
        <w:t>小时内解决。</w:t>
      </w:r>
    </w:p>
    <w:p w14:paraId="46B385B7">
      <w:pPr>
        <w:widowControl/>
        <w:spacing w:line="360" w:lineRule="auto"/>
        <w:ind w:firstLine="480" w:firstLineChars="200"/>
        <w:jc w:val="left"/>
        <w:rPr>
          <w:rFonts w:asciiTheme="minorEastAsia" w:hAnsiTheme="minorEastAsia" w:eastAsiaTheme="minorEastAsia"/>
          <w:lang w:bidi="ar"/>
        </w:rPr>
      </w:pPr>
      <w:r>
        <w:rPr>
          <w:rFonts w:hint="eastAsia" w:asciiTheme="minorEastAsia" w:hAnsiTheme="minorEastAsia" w:eastAsiaTheme="minorEastAsia"/>
          <w:lang w:bidi="ar"/>
        </w:rPr>
        <w:t>3.保修期内，同一产品、同一质量问题连续三次维修仍无法正常</w:t>
      </w:r>
      <w:r>
        <w:rPr>
          <w:rFonts w:hint="eastAsia" w:asciiTheme="minorEastAsia" w:hAnsiTheme="minorEastAsia" w:eastAsiaTheme="minorEastAsia"/>
        </w:rPr>
        <w:t>使用，乙方必须予以更换同品牌、同型号或不低于投标配置的其它新产品。保修期后，收取成本费维修（自然灾害及人为故意损坏除外）。</w:t>
      </w:r>
    </w:p>
    <w:p w14:paraId="10C4E718">
      <w:pPr>
        <w:spacing w:line="360" w:lineRule="auto"/>
        <w:ind w:firstLine="480" w:firstLineChars="200"/>
        <w:rPr>
          <w:rFonts w:hint="eastAsia" w:asciiTheme="minorEastAsia" w:hAnsiTheme="minorEastAsia" w:eastAsiaTheme="minorEastAsia"/>
        </w:rPr>
      </w:pPr>
      <w:r>
        <w:rPr>
          <w:rFonts w:hint="eastAsia" w:asciiTheme="minorEastAsia" w:hAnsiTheme="minorEastAsia" w:eastAsiaTheme="minorEastAsia"/>
        </w:rPr>
        <w:t>4.主设备乙方提供现场维修，维修人员在收到故障报告后保证</w:t>
      </w:r>
      <w:r>
        <w:rPr>
          <w:rFonts w:hint="eastAsia" w:asciiTheme="minorEastAsia" w:hAnsiTheme="minorEastAsia" w:eastAsiaTheme="minorEastAsia"/>
          <w:u w:val="single"/>
        </w:rPr>
        <w:t xml:space="preserve">  </w:t>
      </w:r>
      <w:r>
        <w:rPr>
          <w:rFonts w:hint="eastAsia" w:asciiTheme="minorEastAsia" w:hAnsiTheme="minorEastAsia" w:eastAsiaTheme="minorEastAsia"/>
          <w:u w:val="single"/>
        </w:rPr>
        <w:tab/>
      </w:r>
      <w:r>
        <w:rPr>
          <w:rFonts w:hint="eastAsia" w:asciiTheme="minorEastAsia" w:hAnsiTheme="minorEastAsia" w:eastAsiaTheme="minorEastAsia"/>
        </w:rPr>
        <w:t>小时内到达现场，乙方保证在甲方指定地点供应备品备件（含易损件）和配套消耗品；乙方对所提供的产品实行</w:t>
      </w:r>
      <w:r>
        <w:rPr>
          <w:rFonts w:hint="eastAsia" w:asciiTheme="minorEastAsia" w:hAnsiTheme="minorEastAsia" w:eastAsiaTheme="minorEastAsia"/>
          <w:u w:val="single"/>
        </w:rPr>
        <w:t xml:space="preserve">    </w:t>
      </w:r>
      <w:r>
        <w:rPr>
          <w:rFonts w:hint="eastAsia" w:asciiTheme="minorEastAsia" w:hAnsiTheme="minorEastAsia" w:eastAsiaTheme="minorEastAsia"/>
        </w:rPr>
        <w:t>个月时间定期进行保养（或维护、巡检）制度。</w:t>
      </w:r>
    </w:p>
    <w:p w14:paraId="7AC74C51">
      <w:pPr>
        <w:spacing w:line="360" w:lineRule="auto"/>
        <w:ind w:firstLine="480" w:firstLineChars="200"/>
        <w:rPr>
          <w:rFonts w:hint="eastAsia" w:asciiTheme="minorEastAsia" w:hAnsiTheme="minorEastAsia" w:eastAsiaTheme="minorEastAsia"/>
        </w:rPr>
      </w:pPr>
      <w:r>
        <w:rPr>
          <w:rFonts w:hint="eastAsia" w:asciiTheme="minorEastAsia" w:hAnsiTheme="minorEastAsia" w:eastAsiaTheme="minorEastAsia"/>
        </w:rPr>
        <w:t>5.乙方应向甲方提供售后服务电话：</w:t>
      </w:r>
      <w:r>
        <w:rPr>
          <w:rFonts w:hint="eastAsia" w:asciiTheme="minorEastAsia" w:hAnsiTheme="minorEastAsia" w:eastAsiaTheme="minorEastAsia"/>
          <w:u w:val="single"/>
        </w:rPr>
        <w:t xml:space="preserve">                </w:t>
      </w:r>
      <w:r>
        <w:rPr>
          <w:rFonts w:hint="eastAsia" w:asciiTheme="minorEastAsia" w:hAnsiTheme="minorEastAsia" w:eastAsiaTheme="minorEastAsia"/>
        </w:rPr>
        <w:t>，联系人：</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14:paraId="12FE3BC4">
      <w:pPr>
        <w:spacing w:line="360" w:lineRule="auto"/>
        <w:ind w:firstLine="480" w:firstLineChars="200"/>
        <w:rPr>
          <w:rFonts w:asciiTheme="minorEastAsia" w:hAnsiTheme="minorEastAsia" w:eastAsiaTheme="minorEastAsia"/>
        </w:rPr>
      </w:pPr>
      <w:r>
        <w:rPr>
          <w:rFonts w:hint="eastAsia" w:asciiTheme="minorEastAsia" w:hAnsiTheme="minorEastAsia" w:eastAsiaTheme="minorEastAsia"/>
        </w:rPr>
        <w:t>6.乙方怠于维修，经甲方书面通知后，乙方仍存在怠于维修或者维修不及时的情况，此类情况发生三次以上并给甲方造成损失的，甲方有权另行选择维修单位，解除乙方整个项目维修权利，此后发生的维修费用，全部由乙方承担。</w:t>
      </w:r>
    </w:p>
    <w:p w14:paraId="68CD3FC8">
      <w:pPr>
        <w:spacing w:line="360" w:lineRule="auto"/>
        <w:ind w:firstLine="562" w:firstLineChars="200"/>
        <w:rPr>
          <w:rFonts w:ascii="黑体" w:hAnsi="黑体" w:eastAsia="黑体" w:cs="宋体"/>
          <w:b/>
          <w:sz w:val="28"/>
          <w:szCs w:val="28"/>
        </w:rPr>
      </w:pPr>
      <w:r>
        <w:rPr>
          <w:rFonts w:hint="eastAsia" w:ascii="黑体" w:hAnsi="黑体" w:eastAsia="黑体" w:cs="宋体"/>
          <w:b/>
          <w:sz w:val="28"/>
          <w:szCs w:val="28"/>
        </w:rPr>
        <w:t>九、技术培训</w:t>
      </w:r>
    </w:p>
    <w:p w14:paraId="4C695522">
      <w:pPr>
        <w:spacing w:line="360" w:lineRule="auto"/>
        <w:ind w:firstLine="480" w:firstLineChars="200"/>
        <w:rPr>
          <w:rFonts w:asciiTheme="minorEastAsia" w:hAnsiTheme="minorEastAsia" w:eastAsiaTheme="minorEastAsia"/>
        </w:rPr>
      </w:pPr>
      <w:r>
        <w:rPr>
          <w:rFonts w:hint="eastAsia" w:asciiTheme="minorEastAsia" w:hAnsiTheme="minorEastAsia" w:eastAsiaTheme="minorEastAsia"/>
        </w:rPr>
        <w:t>1.乙方应向甲方提供免费培训服务，培训内容包括产品的调试、使用、一般的维修、维护及保养等，培训费用由乙方承担。</w:t>
      </w:r>
    </w:p>
    <w:p w14:paraId="4A541669">
      <w:pPr>
        <w:widowControl/>
        <w:spacing w:line="360" w:lineRule="auto"/>
        <w:ind w:firstLine="480" w:firstLineChars="200"/>
        <w:rPr>
          <w:rFonts w:hint="eastAsia" w:asciiTheme="minorEastAsia" w:hAnsiTheme="minorEastAsia" w:eastAsiaTheme="minorEastAsia"/>
        </w:rPr>
      </w:pPr>
      <w:r>
        <w:rPr>
          <w:rFonts w:hint="eastAsia" w:asciiTheme="minorEastAsia" w:hAnsiTheme="minorEastAsia" w:eastAsiaTheme="minorEastAsia"/>
        </w:rPr>
        <w:t>2.培训天数为</w:t>
      </w:r>
      <w:r>
        <w:rPr>
          <w:rFonts w:hint="eastAsia" w:asciiTheme="minorEastAsia" w:hAnsiTheme="minorEastAsia" w:eastAsiaTheme="minorEastAsia"/>
          <w:u w:val="single"/>
        </w:rPr>
        <w:t xml:space="preserve">    </w:t>
      </w:r>
      <w:r>
        <w:rPr>
          <w:rFonts w:hint="eastAsia" w:asciiTheme="minorEastAsia" w:hAnsiTheme="minorEastAsia" w:eastAsiaTheme="minorEastAsia"/>
        </w:rPr>
        <w:t>天，培训方式为线下培训，培训期间乙方技术人员的差旅费由乙方自行承担。</w:t>
      </w:r>
    </w:p>
    <w:p w14:paraId="7E7BA9D3">
      <w:pPr>
        <w:pStyle w:val="3"/>
        <w:tabs>
          <w:tab w:val="left" w:pos="360"/>
          <w:tab w:val="left" w:pos="3999"/>
          <w:tab w:val="clear" w:pos="1021"/>
        </w:tabs>
        <w:spacing w:afterLines="0" w:line="360" w:lineRule="auto"/>
        <w:ind w:firstLine="562" w:firstLineChars="200"/>
        <w:jc w:val="both"/>
        <w:rPr>
          <w:rFonts w:hint="eastAsia" w:ascii="黑体" w:hAnsi="黑体" w:eastAsia="黑体"/>
          <w:b w:val="0"/>
          <w:bCs/>
          <w:sz w:val="28"/>
          <w:szCs w:val="28"/>
        </w:rPr>
      </w:pPr>
      <w:bookmarkStart w:id="396" w:name="_Toc99729063"/>
      <w:bookmarkStart w:id="397" w:name="_Toc157959729"/>
      <w:bookmarkStart w:id="398" w:name="_Toc70253061"/>
      <w:bookmarkStart w:id="399" w:name="_Toc162882599"/>
      <w:r>
        <w:rPr>
          <w:rFonts w:hint="eastAsia" w:ascii="黑体" w:hAnsi="黑体" w:eastAsia="黑体" w:cs="宋体"/>
          <w:sz w:val="28"/>
          <w:szCs w:val="28"/>
        </w:rPr>
        <w:t>十、违约责任</w:t>
      </w:r>
      <w:bookmarkEnd w:id="396"/>
      <w:bookmarkEnd w:id="397"/>
      <w:bookmarkEnd w:id="398"/>
      <w:bookmarkEnd w:id="399"/>
    </w:p>
    <w:p w14:paraId="26295F97">
      <w:pPr>
        <w:shd w:val="clear" w:color="auto" w:fill="FFFFFF"/>
        <w:snapToGrid w:val="0"/>
        <w:spacing w:line="360" w:lineRule="auto"/>
        <w:ind w:firstLine="480" w:firstLineChars="200"/>
        <w:jc w:val="left"/>
        <w:rPr>
          <w:rFonts w:hint="eastAsia" w:ascii="宋体" w:hAnsi="宋体" w:eastAsia="宋体"/>
          <w:lang w:eastAsia="zh-CN"/>
        </w:rPr>
      </w:pPr>
      <w:r>
        <w:rPr>
          <w:rFonts w:hint="eastAsia" w:ascii="宋体" w:hAnsi="宋体"/>
        </w:rPr>
        <w:t>1.除发生不可抗力事实外，乙方所交产品和安装调试与合同标准不相符合的，甲方有权拒收产品</w:t>
      </w:r>
      <w:r>
        <w:rPr>
          <w:rFonts w:hint="eastAsia" w:ascii="宋体" w:hAnsi="宋体"/>
          <w:lang w:eastAsia="zh-CN"/>
        </w:rPr>
        <w:t>。</w:t>
      </w:r>
    </w:p>
    <w:p w14:paraId="3590973F">
      <w:pPr>
        <w:spacing w:line="360" w:lineRule="auto"/>
        <w:ind w:firstLine="480"/>
        <w:rPr>
          <w:rFonts w:hint="default" w:ascii="宋体" w:hAnsi="宋体" w:eastAsia="宋体" w:cs="宋体"/>
          <w:sz w:val="24"/>
          <w:szCs w:val="24"/>
          <w:highlight w:val="none"/>
          <w:lang w:val="en-US"/>
        </w:rPr>
      </w:pPr>
      <w:r>
        <w:rPr>
          <w:rFonts w:hint="eastAsia" w:ascii="宋体" w:hAnsi="宋体"/>
        </w:rPr>
        <w:t>2.</w:t>
      </w:r>
      <w:r>
        <w:rPr>
          <w:rFonts w:hint="eastAsia" w:ascii="宋体" w:hAnsi="宋体" w:cs="宋体"/>
          <w:sz w:val="24"/>
          <w:szCs w:val="24"/>
          <w:highlight w:val="none"/>
          <w:lang w:val="en-US" w:eastAsia="zh-CN"/>
        </w:rPr>
        <w:t>如</w:t>
      </w:r>
      <w:r>
        <w:rPr>
          <w:rFonts w:hint="eastAsia" w:ascii="宋体" w:hAnsi="宋体" w:eastAsia="宋体" w:cs="宋体"/>
          <w:sz w:val="24"/>
          <w:szCs w:val="24"/>
          <w:highlight w:val="none"/>
        </w:rPr>
        <w:t>乙方</w:t>
      </w:r>
      <w:r>
        <w:rPr>
          <w:rFonts w:hint="eastAsia" w:ascii="宋体" w:hAnsi="宋体" w:cs="宋体"/>
          <w:sz w:val="24"/>
          <w:szCs w:val="24"/>
          <w:highlight w:val="none"/>
          <w:lang w:val="en-US" w:eastAsia="zh-CN"/>
        </w:rPr>
        <w:t>供应的货物不满足</w:t>
      </w:r>
      <w:r>
        <w:rPr>
          <w:rFonts w:hint="eastAsia" w:ascii="宋体" w:hAnsi="宋体" w:eastAsia="宋体" w:cs="宋体"/>
          <w:sz w:val="24"/>
          <w:szCs w:val="24"/>
          <w:highlight w:val="none"/>
        </w:rPr>
        <w:t>甲方要求规格、</w:t>
      </w:r>
      <w:r>
        <w:rPr>
          <w:rFonts w:hint="eastAsia" w:ascii="宋体" w:hAnsi="宋体" w:eastAsia="宋体" w:cs="宋体"/>
          <w:sz w:val="24"/>
          <w:szCs w:val="24"/>
          <w:highlight w:val="none"/>
          <w:lang w:eastAsia="zh-CN"/>
        </w:rPr>
        <w:t>品牌、型号、</w:t>
      </w:r>
      <w:r>
        <w:rPr>
          <w:rFonts w:hint="eastAsia" w:ascii="宋体" w:hAnsi="宋体" w:eastAsia="宋体" w:cs="宋体"/>
          <w:sz w:val="24"/>
          <w:szCs w:val="24"/>
          <w:highlight w:val="none"/>
        </w:rPr>
        <w:t>质量和性能的新货物</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乙方应在</w:t>
      </w:r>
      <w:r>
        <w:rPr>
          <w:rFonts w:hint="eastAsia" w:ascii="宋体" w:hAnsi="宋体" w:eastAsia="宋体" w:cs="宋体"/>
          <w:sz w:val="24"/>
          <w:szCs w:val="24"/>
          <w:highlight w:val="none"/>
          <w:lang w:eastAsia="zh-CN"/>
        </w:rPr>
        <w:t>不超过</w:t>
      </w:r>
      <w:r>
        <w:rPr>
          <w:rFonts w:hint="eastAsia" w:ascii="宋体" w:hAnsi="宋体" w:eastAsia="宋体" w:cs="宋体"/>
          <w:sz w:val="24"/>
          <w:szCs w:val="24"/>
          <w:highlight w:val="none"/>
          <w:lang w:val="en-US" w:eastAsia="zh-CN"/>
        </w:rPr>
        <w:t>3个工作日进行</w:t>
      </w:r>
      <w:r>
        <w:rPr>
          <w:rFonts w:hint="eastAsia" w:ascii="宋体" w:hAnsi="宋体" w:eastAsia="宋体" w:cs="宋体"/>
          <w:sz w:val="24"/>
          <w:szCs w:val="24"/>
          <w:highlight w:val="none"/>
        </w:rPr>
        <w:t>更换，并承担由此而发生更换费用及给甲方造成的一切损失</w:t>
      </w:r>
      <w:r>
        <w:rPr>
          <w:rFonts w:hint="eastAsia" w:ascii="宋体" w:hAnsi="宋体" w:eastAsia="宋体" w:cs="宋体"/>
          <w:sz w:val="24"/>
          <w:szCs w:val="24"/>
          <w:highlight w:val="none"/>
          <w:lang w:eastAsia="zh-CN"/>
        </w:rPr>
        <w:t>，超过</w:t>
      </w:r>
      <w:r>
        <w:rPr>
          <w:rFonts w:hint="eastAsia" w:ascii="宋体" w:hAnsi="宋体" w:eastAsia="宋体" w:cs="宋体"/>
          <w:sz w:val="24"/>
          <w:szCs w:val="24"/>
          <w:highlight w:val="none"/>
          <w:lang w:val="en-US" w:eastAsia="zh-CN"/>
        </w:rPr>
        <w:t>3日的调换时间则按延迟交货处理，迟延交货的，每逾期一日按合同总金额1%交付违约金，逾期超过7日以上视为无法履行本合同，甲方有权解除本合同，并要求乙方承担本合同总金额10%的违约金。</w:t>
      </w:r>
    </w:p>
    <w:p w14:paraId="396D5000">
      <w:pPr>
        <w:keepNext w:val="0"/>
        <w:keepLines w:val="0"/>
        <w:pageBreakBefore w:val="0"/>
        <w:widowControl w:val="0"/>
        <w:tabs>
          <w:tab w:val="left" w:pos="693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甲方无正当理由拒收设备，甲方向乙方偿付合同款总价百分之五的违约金；逾期支付合同款</w:t>
      </w:r>
      <w:r>
        <w:rPr>
          <w:rFonts w:hint="eastAsia" w:ascii="宋体" w:hAnsi="宋体" w:eastAsia="宋体" w:cs="宋体"/>
          <w:sz w:val="24"/>
          <w:szCs w:val="24"/>
          <w:highlight w:val="none"/>
          <w:lang w:val="en-US" w:eastAsia="zh-CN"/>
        </w:rPr>
        <w:t>应</w:t>
      </w:r>
      <w:r>
        <w:rPr>
          <w:rFonts w:hint="eastAsia" w:ascii="宋体" w:hAnsi="宋体" w:eastAsia="宋体" w:cs="宋体"/>
          <w:sz w:val="24"/>
          <w:szCs w:val="24"/>
          <w:highlight w:val="none"/>
        </w:rPr>
        <w:t>向乙方每日偿付欠款总额</w:t>
      </w:r>
      <w:r>
        <w:rPr>
          <w:rFonts w:hint="eastAsia" w:ascii="宋体" w:hAnsi="宋体" w:eastAsia="宋体" w:cs="宋体"/>
          <w:sz w:val="24"/>
          <w:szCs w:val="24"/>
          <w:highlight w:val="none"/>
          <w:lang w:val="en-US" w:eastAsia="zh-CN"/>
        </w:rPr>
        <w:t>万</w:t>
      </w:r>
      <w:r>
        <w:rPr>
          <w:rFonts w:hint="eastAsia" w:ascii="宋体" w:hAnsi="宋体" w:eastAsia="宋体" w:cs="宋体"/>
          <w:sz w:val="24"/>
          <w:szCs w:val="24"/>
          <w:highlight w:val="none"/>
        </w:rPr>
        <w:t>分之</w:t>
      </w: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en-US" w:eastAsia="zh-CN"/>
        </w:rPr>
        <w:t>违约</w:t>
      </w:r>
      <w:r>
        <w:rPr>
          <w:rFonts w:hint="eastAsia" w:ascii="宋体" w:hAnsi="宋体" w:eastAsia="宋体" w:cs="宋体"/>
          <w:sz w:val="24"/>
          <w:szCs w:val="24"/>
          <w:highlight w:val="none"/>
        </w:rPr>
        <w:t>金。</w:t>
      </w:r>
    </w:p>
    <w:p w14:paraId="5C36180F">
      <w:pPr>
        <w:keepNext w:val="0"/>
        <w:keepLines w:val="0"/>
        <w:pageBreakBefore w:val="0"/>
        <w:widowControl w:val="0"/>
        <w:tabs>
          <w:tab w:val="left" w:pos="6930"/>
        </w:tabs>
        <w:kinsoku/>
        <w:wordWrap/>
        <w:overflowPunct/>
        <w:topLinePunct w:val="0"/>
        <w:autoSpaceDE/>
        <w:autoSpaceDN/>
        <w:bidi w:val="0"/>
        <w:adjustRightInd/>
        <w:snapToGrid/>
        <w:spacing w:before="0" w:line="46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乙方无条件接受甲方验收不合格货物的退货（包括货物数量不符、货物型号不符、经检验货物存在质量缺陷、随货资料不全等），并由乙方承担由此给甲方造成的一切损失。</w:t>
      </w:r>
    </w:p>
    <w:p w14:paraId="361F7272">
      <w:pPr>
        <w:keepNext w:val="0"/>
        <w:keepLines w:val="0"/>
        <w:pageBreakBefore w:val="0"/>
        <w:widowControl w:val="0"/>
        <w:tabs>
          <w:tab w:val="left" w:pos="6930"/>
        </w:tabs>
        <w:kinsoku/>
        <w:wordWrap/>
        <w:overflowPunct/>
        <w:topLinePunct w:val="0"/>
        <w:autoSpaceDE/>
        <w:autoSpaceDN/>
        <w:bidi w:val="0"/>
        <w:adjustRightInd/>
        <w:snapToGrid/>
        <w:spacing w:before="0" w:line="46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乙方未经甲方事先的书面同意，不得将合同履行义务全部或部分进行转让或分包</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一经发现按合同总金额10%承担违约金</w:t>
      </w:r>
      <w:r>
        <w:rPr>
          <w:rFonts w:hint="eastAsia" w:ascii="宋体" w:hAnsi="宋体" w:eastAsia="宋体" w:cs="宋体"/>
          <w:sz w:val="24"/>
          <w:szCs w:val="24"/>
          <w:highlight w:val="none"/>
        </w:rPr>
        <w:t>。</w:t>
      </w:r>
    </w:p>
    <w:p w14:paraId="0E2B42C9">
      <w:pPr>
        <w:keepNext w:val="0"/>
        <w:keepLines w:val="0"/>
        <w:pageBreakBefore w:val="0"/>
        <w:widowControl w:val="0"/>
        <w:tabs>
          <w:tab w:val="left" w:pos="6930"/>
        </w:tabs>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r>
        <w:rPr>
          <w:rFonts w:hint="eastAsia" w:ascii="宋体" w:hAnsi="宋体" w:eastAsia="宋体" w:cs="宋体"/>
          <w:color w:val="auto"/>
          <w:kern w:val="2"/>
          <w:sz w:val="24"/>
          <w:szCs w:val="24"/>
          <w:highlight w:val="none"/>
          <w:lang w:val="en-US" w:eastAsia="zh-CN" w:bidi="ar"/>
        </w:rPr>
        <w:t xml:space="preserve">乙方未按本合同的规定和“服务承诺”提供伴随服务/售后服务的 ，甲方可以委托第三方进行售后，发生的费用由乙方承担，并且乙方还应承担发生费用 </w:t>
      </w:r>
      <w:r>
        <w:rPr>
          <w:rFonts w:hint="eastAsia" w:ascii="宋体" w:hAnsi="宋体" w:cs="宋体"/>
          <w:kern w:val="2"/>
          <w:sz w:val="24"/>
          <w:szCs w:val="24"/>
          <w:highlight w:val="none"/>
          <w:lang w:val="en-US" w:eastAsia="zh-CN" w:bidi="ar"/>
        </w:rPr>
        <w:t>10</w:t>
      </w:r>
      <w:r>
        <w:rPr>
          <w:rFonts w:hint="eastAsia" w:ascii="宋体" w:hAnsi="宋体" w:eastAsia="宋体" w:cs="宋体"/>
          <w:color w:val="auto"/>
          <w:kern w:val="2"/>
          <w:sz w:val="24"/>
          <w:szCs w:val="24"/>
          <w:highlight w:val="none"/>
          <w:lang w:val="en-US" w:eastAsia="zh-CN" w:bidi="ar"/>
        </w:rPr>
        <w:t>%的违约金</w:t>
      </w:r>
      <w:r>
        <w:rPr>
          <w:rFonts w:hint="eastAsia" w:ascii="宋体" w:hAnsi="宋体" w:cs="宋体"/>
          <w:kern w:val="2"/>
          <w:sz w:val="24"/>
          <w:szCs w:val="24"/>
          <w:highlight w:val="none"/>
          <w:lang w:val="en-US" w:eastAsia="zh-CN" w:bidi="ar"/>
        </w:rPr>
        <w:t>。</w:t>
      </w:r>
    </w:p>
    <w:p w14:paraId="58E2BF6F">
      <w:pPr>
        <w:keepNext w:val="0"/>
        <w:keepLines w:val="0"/>
        <w:pageBreakBefore w:val="0"/>
        <w:widowControl w:val="0"/>
        <w:tabs>
          <w:tab w:val="left" w:pos="693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lang w:val="en-US" w:eastAsia="zh-CN"/>
        </w:rPr>
        <w:t>乙方违约的，甲方有权采取补救措施、追究违约责任、解除合同等方式追究乙方的违约责任。</w:t>
      </w:r>
    </w:p>
    <w:p w14:paraId="0D3E1B8A">
      <w:pPr>
        <w:keepNext w:val="0"/>
        <w:keepLines w:val="0"/>
        <w:pageBreakBefore w:val="0"/>
        <w:widowControl w:val="0"/>
        <w:tabs>
          <w:tab w:val="left" w:pos="693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8.甲方无正当理由不予支付货款的，应按照全国银行间同业拆借中心公布的贷款市场报价利率向乙方支付逾期付款的违约金。</w:t>
      </w:r>
    </w:p>
    <w:p w14:paraId="5F69163F">
      <w:pPr>
        <w:keepNext w:val="0"/>
        <w:keepLines w:val="0"/>
        <w:pageBreakBefore w:val="0"/>
        <w:widowControl w:val="0"/>
        <w:tabs>
          <w:tab w:val="left" w:pos="693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除本合同另有约定外，乙方在履行本合同过程中造成甲方损失的，乙方应向甲方赔偿全部损失，全部损失包括但不限于甲方的可得利益损失、利润减少、声誉降低、甲方为实现债权所支出的所有诉讼费、律师费、调查费、担保费等。</w:t>
      </w:r>
    </w:p>
    <w:p w14:paraId="083B51D8">
      <w:pPr>
        <w:pStyle w:val="3"/>
        <w:tabs>
          <w:tab w:val="left" w:pos="360"/>
          <w:tab w:val="left" w:pos="3999"/>
          <w:tab w:val="clear" w:pos="1021"/>
        </w:tabs>
        <w:spacing w:afterLines="0" w:line="360" w:lineRule="auto"/>
        <w:ind w:firstLine="562" w:firstLineChars="200"/>
        <w:jc w:val="both"/>
        <w:rPr>
          <w:rFonts w:hint="eastAsia" w:ascii="黑体" w:hAnsi="黑体" w:eastAsia="黑体"/>
          <w:b w:val="0"/>
          <w:bCs/>
          <w:sz w:val="28"/>
          <w:szCs w:val="28"/>
        </w:rPr>
      </w:pPr>
      <w:bookmarkStart w:id="400" w:name="_Toc99729064"/>
      <w:bookmarkStart w:id="401" w:name="_Toc70253062"/>
      <w:bookmarkStart w:id="402" w:name="_Toc157959730"/>
      <w:bookmarkStart w:id="403" w:name="_Toc162882600"/>
      <w:r>
        <w:rPr>
          <w:rFonts w:hint="eastAsia" w:ascii="黑体" w:hAnsi="黑体" w:eastAsia="黑体" w:cs="宋体"/>
          <w:sz w:val="28"/>
          <w:szCs w:val="28"/>
        </w:rPr>
        <w:t>十一、不可抗力</w:t>
      </w:r>
      <w:bookmarkEnd w:id="400"/>
      <w:bookmarkEnd w:id="401"/>
      <w:bookmarkEnd w:id="402"/>
      <w:bookmarkEnd w:id="403"/>
    </w:p>
    <w:p w14:paraId="7C33376F">
      <w:pPr>
        <w:shd w:val="clear" w:color="auto" w:fill="FFFFFF"/>
        <w:snapToGrid w:val="0"/>
        <w:spacing w:line="360" w:lineRule="auto"/>
        <w:ind w:firstLine="480" w:firstLineChars="200"/>
        <w:jc w:val="left"/>
        <w:rPr>
          <w:rFonts w:hint="eastAsia" w:ascii="宋体" w:hAnsi="宋体"/>
        </w:rPr>
      </w:pPr>
      <w:r>
        <w:rPr>
          <w:rFonts w:hint="eastAsia" w:ascii="宋体" w:hAnsi="宋体"/>
        </w:rPr>
        <w:t>1.不可抗力是合同签字后发生的非有关方所控制的，并非合同方过失的、不能预见的、不能避免并不能克服的社会和自然事件，包括但不限于：严重的自然灾害（如台风、洪水、地震、火灾、爆炸等），战争（不论是否宣战）、叛乱、破坏、动乱、社会敌视行为、正式罢工等等。合同双方的任何一方，由于不可抗力而影响合同义务执行时，则延迟合同义务的期限相当于不可抗力事件的时间，但是不能因为不可抗力的延迟而调整价格。</w:t>
      </w:r>
    </w:p>
    <w:p w14:paraId="3449305D">
      <w:pPr>
        <w:shd w:val="clear" w:color="auto" w:fill="FFFFFF"/>
        <w:snapToGrid w:val="0"/>
        <w:spacing w:line="360" w:lineRule="auto"/>
        <w:ind w:firstLine="480" w:firstLineChars="200"/>
        <w:jc w:val="left"/>
        <w:rPr>
          <w:rFonts w:hint="eastAsia" w:ascii="宋体" w:hAnsi="宋体"/>
        </w:rPr>
      </w:pPr>
      <w:r>
        <w:rPr>
          <w:rFonts w:hint="eastAsia" w:ascii="宋体" w:hAnsi="宋体"/>
        </w:rPr>
        <w:t>2.收到不可抗力影响的一方应在不可抗力事件发生后，将取得有关部门证实所发生的不可抗力时间的情况，两周内以传真或电报通知另一方审阅确认，受影响的一方同时应尽量设法缩小这种影响和由此而引发的延误，一旦不可抗力的影响消除后，应将此情况立即通知对方。</w:t>
      </w:r>
    </w:p>
    <w:p w14:paraId="47D48E1F">
      <w:pPr>
        <w:shd w:val="clear" w:color="auto" w:fill="FFFFFF"/>
        <w:snapToGrid w:val="0"/>
        <w:spacing w:line="360" w:lineRule="auto"/>
        <w:ind w:firstLine="480" w:firstLineChars="200"/>
        <w:jc w:val="left"/>
        <w:rPr>
          <w:rFonts w:ascii="宋体" w:hAnsi="宋体"/>
        </w:rPr>
      </w:pPr>
      <w:r>
        <w:rPr>
          <w:rFonts w:ascii="宋体" w:hAnsi="宋体"/>
        </w:rPr>
        <w:t>3</w:t>
      </w:r>
      <w:r>
        <w:rPr>
          <w:rFonts w:hint="eastAsia" w:ascii="宋体" w:hAnsi="宋体"/>
        </w:rPr>
        <w:t>.如果不可抗力使交货时间严重影响了进度，卖方有权终止合同，遗留问题有双方通过友好协商妥善解决。</w:t>
      </w:r>
    </w:p>
    <w:p w14:paraId="5AA77992">
      <w:pPr>
        <w:shd w:val="clear" w:color="auto" w:fill="FFFFFF"/>
        <w:snapToGrid w:val="0"/>
        <w:spacing w:line="360" w:lineRule="auto"/>
        <w:ind w:firstLine="562" w:firstLineChars="200"/>
        <w:jc w:val="left"/>
        <w:rPr>
          <w:rFonts w:ascii="黑体" w:hAnsi="黑体" w:eastAsia="黑体" w:cs="宋体"/>
          <w:b/>
          <w:sz w:val="28"/>
          <w:szCs w:val="28"/>
        </w:rPr>
      </w:pPr>
      <w:r>
        <w:rPr>
          <w:rFonts w:hint="eastAsia" w:ascii="黑体" w:hAnsi="黑体" w:eastAsia="黑体" w:cs="宋体"/>
          <w:b/>
          <w:sz w:val="28"/>
          <w:szCs w:val="28"/>
        </w:rPr>
        <w:t>十二、安全与健康</w:t>
      </w:r>
    </w:p>
    <w:p w14:paraId="1FC4F074">
      <w:pPr>
        <w:shd w:val="clear" w:color="auto" w:fill="FFFFFF"/>
        <w:snapToGrid w:val="0"/>
        <w:spacing w:line="360" w:lineRule="auto"/>
        <w:ind w:firstLine="480" w:firstLineChars="200"/>
        <w:jc w:val="left"/>
        <w:rPr>
          <w:rFonts w:hint="eastAsia" w:ascii="宋体" w:hAnsi="宋体"/>
        </w:rPr>
      </w:pPr>
      <w:r>
        <w:rPr>
          <w:rFonts w:hint="eastAsia" w:ascii="宋体" w:hAnsi="宋体"/>
        </w:rPr>
        <w:t>1.乙方工作人员在提供服务过程中，须严格遵守甲方有关安全管理的各项要求，不得有影响甲方安全的言论和行为发生。</w:t>
      </w:r>
    </w:p>
    <w:p w14:paraId="147E7B87">
      <w:pPr>
        <w:shd w:val="clear" w:color="auto" w:fill="FFFFFF"/>
        <w:snapToGrid w:val="0"/>
        <w:spacing w:line="360" w:lineRule="auto"/>
        <w:ind w:firstLine="480" w:firstLineChars="200"/>
        <w:jc w:val="left"/>
        <w:rPr>
          <w:rFonts w:hint="eastAsia" w:ascii="宋体" w:hAnsi="宋体"/>
        </w:rPr>
      </w:pPr>
      <w:r>
        <w:rPr>
          <w:rFonts w:hint="eastAsia" w:ascii="宋体" w:hAnsi="宋体"/>
        </w:rPr>
        <w:t>2.乙方就妥善保管订购货物所提出的有关安全方面的意见，甲方应严格遵守，以便共同确保物品质量和使用效果；工作前要做好相应预防性措施，注意工作安全，避免发生危险或妨碍客人及使用者的情况。</w:t>
      </w:r>
    </w:p>
    <w:p w14:paraId="1CB8FB81">
      <w:pPr>
        <w:shd w:val="clear" w:color="auto" w:fill="FFFFFF"/>
        <w:snapToGrid w:val="0"/>
        <w:spacing w:line="360" w:lineRule="auto"/>
        <w:ind w:firstLine="480" w:firstLineChars="200"/>
        <w:jc w:val="left"/>
        <w:rPr>
          <w:rFonts w:hint="eastAsia" w:ascii="宋体" w:hAnsi="宋体"/>
        </w:rPr>
      </w:pPr>
      <w:r>
        <w:rPr>
          <w:rFonts w:hint="eastAsia" w:ascii="宋体" w:hAnsi="宋体"/>
        </w:rPr>
        <w:t>3.乙方员工在工作中，由于属于乙方的责任而造成甲方或第三者人员、财产或经营活动等损害、损失，乙方承担相应的直接损失与间接损失赔偿责任。因上述情况导致甲方遭受控告索偿时，乙方须负责及赔偿甲方所遭受控告之一切损失及为此所支付之费用。</w:t>
      </w:r>
    </w:p>
    <w:p w14:paraId="6160B778">
      <w:pPr>
        <w:shd w:val="clear" w:color="auto" w:fill="FFFFFF"/>
        <w:snapToGrid w:val="0"/>
        <w:spacing w:line="360" w:lineRule="auto"/>
        <w:ind w:firstLine="480" w:firstLineChars="200"/>
        <w:jc w:val="left"/>
        <w:rPr>
          <w:rFonts w:hint="eastAsia" w:ascii="黑体" w:hAnsi="黑体" w:eastAsia="黑体" w:cs="宋体"/>
          <w:b/>
          <w:sz w:val="28"/>
          <w:szCs w:val="28"/>
        </w:rPr>
      </w:pPr>
      <w:r>
        <w:rPr>
          <w:rFonts w:hint="eastAsia" w:ascii="宋体" w:hAnsi="宋体"/>
        </w:rPr>
        <w:t>4.在执行本合同时，乙方及其雇员因任何疏忽行为致甲方财产或代管之财产受损时，甲方先进行修补，然后向乙方索偿此项目之全部费用，届时乙方依据甲方所列之价格清单缴付。</w:t>
      </w:r>
    </w:p>
    <w:p w14:paraId="632765D2">
      <w:pPr>
        <w:pStyle w:val="3"/>
        <w:tabs>
          <w:tab w:val="left" w:pos="360"/>
          <w:tab w:val="left" w:pos="3999"/>
          <w:tab w:val="clear" w:pos="1021"/>
        </w:tabs>
        <w:spacing w:afterLines="0" w:line="360" w:lineRule="auto"/>
        <w:ind w:firstLine="562" w:firstLineChars="200"/>
        <w:jc w:val="left"/>
        <w:rPr>
          <w:rFonts w:hint="eastAsia" w:ascii="黑体" w:hAnsi="黑体" w:eastAsia="黑体" w:cs="宋体"/>
          <w:bCs/>
          <w:sz w:val="28"/>
          <w:szCs w:val="28"/>
        </w:rPr>
      </w:pPr>
      <w:bookmarkStart w:id="404" w:name="_Toc157959731"/>
      <w:bookmarkStart w:id="405" w:name="_Toc162882601"/>
      <w:r>
        <w:rPr>
          <w:rFonts w:hint="eastAsia" w:ascii="黑体" w:hAnsi="黑体" w:eastAsia="黑体" w:cs="宋体"/>
          <w:bCs/>
          <w:sz w:val="28"/>
          <w:szCs w:val="28"/>
        </w:rPr>
        <w:t>十三、争议解决</w:t>
      </w:r>
      <w:bookmarkEnd w:id="404"/>
      <w:bookmarkEnd w:id="405"/>
      <w:r>
        <w:rPr>
          <w:rFonts w:hint="eastAsia" w:ascii="黑体" w:hAnsi="黑体" w:eastAsia="黑体" w:cs="宋体"/>
          <w:bCs/>
          <w:sz w:val="28"/>
          <w:szCs w:val="28"/>
        </w:rPr>
        <w:t xml:space="preserve"> </w:t>
      </w:r>
    </w:p>
    <w:p w14:paraId="43F236BC">
      <w:pPr>
        <w:spacing w:line="360" w:lineRule="auto"/>
        <w:ind w:firstLine="480" w:firstLineChars="200"/>
        <w:rPr>
          <w:rFonts w:hint="eastAsia" w:ascii="宋体" w:hAnsi="宋体"/>
        </w:rPr>
      </w:pPr>
      <w:r>
        <w:rPr>
          <w:rFonts w:hint="eastAsia" w:ascii="宋体" w:hAnsi="宋体"/>
        </w:rPr>
        <w:t>1</w:t>
      </w:r>
      <w:r>
        <w:rPr>
          <w:rFonts w:ascii="宋体" w:hAnsi="宋体"/>
        </w:rPr>
        <w:t>.</w:t>
      </w:r>
      <w:r>
        <w:rPr>
          <w:rFonts w:hint="eastAsia" w:ascii="宋体" w:hAnsi="宋体"/>
        </w:rPr>
        <w:t xml:space="preserve">合同履行过程中若发生争议，双方本着友好合作、互惠互利的原则协商解决；如协商不成可向甲方住所地有管辖权的法院提起诉讼。 </w:t>
      </w:r>
    </w:p>
    <w:p w14:paraId="014825D3">
      <w:pPr>
        <w:spacing w:line="360" w:lineRule="auto"/>
        <w:ind w:firstLine="480" w:firstLineChars="200"/>
        <w:rPr>
          <w:rFonts w:hint="eastAsia" w:ascii="宋体" w:hAnsi="宋体"/>
        </w:rPr>
      </w:pPr>
      <w:r>
        <w:rPr>
          <w:rFonts w:hint="eastAsia" w:ascii="宋体" w:hAnsi="宋体"/>
        </w:rPr>
        <w:t>2</w:t>
      </w:r>
      <w:r>
        <w:rPr>
          <w:rFonts w:ascii="宋体" w:hAnsi="宋体"/>
        </w:rPr>
        <w:t>.因乙方违反合同约定，甲方为实现自身债权而支出的费用由乙方负担，实现债权的费用包括：诉讼费、律师费、保全费、执行费、通知费、催告费</w:t>
      </w:r>
      <w:r>
        <w:rPr>
          <w:rFonts w:hint="eastAsia" w:ascii="宋体" w:hAnsi="宋体"/>
        </w:rPr>
        <w:t>等</w:t>
      </w:r>
      <w:r>
        <w:rPr>
          <w:rFonts w:ascii="宋体" w:hAnsi="宋体"/>
        </w:rPr>
        <w:t>。</w:t>
      </w:r>
    </w:p>
    <w:p w14:paraId="73967E13">
      <w:pPr>
        <w:pStyle w:val="3"/>
        <w:tabs>
          <w:tab w:val="left" w:pos="360"/>
          <w:tab w:val="left" w:pos="3999"/>
          <w:tab w:val="clear" w:pos="1021"/>
        </w:tabs>
        <w:spacing w:afterLines="0" w:line="360" w:lineRule="auto"/>
        <w:ind w:firstLine="562" w:firstLineChars="200"/>
        <w:jc w:val="left"/>
        <w:rPr>
          <w:rFonts w:hint="eastAsia" w:ascii="黑体" w:hAnsi="黑体" w:eastAsia="黑体" w:cs="宋体"/>
          <w:bCs/>
          <w:sz w:val="28"/>
          <w:szCs w:val="28"/>
        </w:rPr>
      </w:pPr>
      <w:bookmarkStart w:id="406" w:name="_Toc97580335"/>
      <w:bookmarkStart w:id="407" w:name="_Toc92977549"/>
      <w:bookmarkStart w:id="408" w:name="_Toc153211686"/>
      <w:bookmarkStart w:id="409" w:name="_Toc162882602"/>
      <w:bookmarkStart w:id="410" w:name="_Toc85367712"/>
      <w:bookmarkStart w:id="411" w:name="_Toc85110756"/>
      <w:bookmarkStart w:id="412" w:name="_Toc157959732"/>
      <w:bookmarkStart w:id="413" w:name="_Toc88230867"/>
      <w:bookmarkStart w:id="414" w:name="_Toc153211685"/>
      <w:r>
        <w:rPr>
          <w:rFonts w:hint="eastAsia" w:ascii="黑体" w:hAnsi="黑体" w:eastAsia="黑体" w:cs="宋体"/>
          <w:bCs/>
          <w:sz w:val="28"/>
          <w:szCs w:val="28"/>
        </w:rPr>
        <w:t>十四、合同的变更、解除、终止</w:t>
      </w:r>
      <w:bookmarkEnd w:id="406"/>
      <w:bookmarkEnd w:id="407"/>
      <w:bookmarkEnd w:id="408"/>
      <w:bookmarkEnd w:id="409"/>
      <w:bookmarkEnd w:id="410"/>
      <w:bookmarkEnd w:id="411"/>
      <w:bookmarkEnd w:id="412"/>
      <w:bookmarkEnd w:id="413"/>
    </w:p>
    <w:p w14:paraId="17D1B44C">
      <w:pPr>
        <w:spacing w:line="360" w:lineRule="auto"/>
        <w:ind w:firstLine="480" w:firstLineChars="200"/>
        <w:rPr>
          <w:rFonts w:hint="eastAsia" w:ascii="宋体" w:hAnsi="宋体"/>
        </w:rPr>
      </w:pPr>
      <w:r>
        <w:rPr>
          <w:rFonts w:hint="eastAsia" w:ascii="宋体" w:hAnsi="宋体"/>
        </w:rPr>
        <w:t xml:space="preserve">1.本合同未尽事宜，由双方协商解决。 </w:t>
      </w:r>
    </w:p>
    <w:p w14:paraId="52006D17">
      <w:pPr>
        <w:spacing w:line="360" w:lineRule="auto"/>
        <w:ind w:firstLine="480" w:firstLineChars="200"/>
        <w:rPr>
          <w:rFonts w:ascii="宋体" w:hAnsi="宋体"/>
        </w:rPr>
      </w:pPr>
      <w:r>
        <w:rPr>
          <w:rFonts w:hint="eastAsia" w:ascii="宋体" w:hAnsi="宋体"/>
        </w:rPr>
        <w:t>2.本合同服务期满或国家政策或主管部门原因不能继续履行即为终止。</w:t>
      </w:r>
    </w:p>
    <w:p w14:paraId="1CD0ABDD">
      <w:pPr>
        <w:spacing w:line="360" w:lineRule="auto"/>
        <w:ind w:firstLine="480" w:firstLineChars="200"/>
        <w:jc w:val="left"/>
        <w:rPr>
          <w:rFonts w:ascii="宋体" w:hAnsi="宋体"/>
        </w:rPr>
      </w:pPr>
      <w:r>
        <w:rPr>
          <w:rFonts w:hint="eastAsia" w:ascii="宋体" w:hAnsi="宋体"/>
        </w:rPr>
        <w:t>3.乙方未按合同约定履行，构成根本性违约的，甲方有权终止合同，并追究乙方的违约责任。</w:t>
      </w:r>
    </w:p>
    <w:p w14:paraId="1193A288">
      <w:pPr>
        <w:spacing w:line="360" w:lineRule="auto"/>
        <w:ind w:firstLine="562" w:firstLineChars="200"/>
        <w:jc w:val="left"/>
        <w:rPr>
          <w:rFonts w:ascii="黑体" w:hAnsi="黑体" w:eastAsia="黑体" w:cs="宋体"/>
          <w:b/>
          <w:bCs/>
          <w:sz w:val="28"/>
          <w:szCs w:val="28"/>
        </w:rPr>
      </w:pPr>
      <w:r>
        <w:rPr>
          <w:rFonts w:hint="eastAsia" w:ascii="黑体" w:hAnsi="黑体" w:eastAsia="黑体" w:cs="宋体"/>
          <w:b/>
          <w:bCs/>
          <w:sz w:val="28"/>
          <w:szCs w:val="28"/>
        </w:rPr>
        <w:t>十五、送达</w:t>
      </w:r>
    </w:p>
    <w:p w14:paraId="71C6E25C">
      <w:pPr>
        <w:spacing w:line="360" w:lineRule="auto"/>
        <w:ind w:firstLine="480" w:firstLineChars="200"/>
        <w:rPr>
          <w:rFonts w:hint="eastAsia" w:ascii="宋体" w:hAnsi="宋体"/>
        </w:rPr>
      </w:pPr>
      <w:r>
        <w:rPr>
          <w:rFonts w:hint="eastAsia" w:ascii="宋体" w:hAnsi="宋体"/>
        </w:rPr>
        <w:t>1.本合同项下任何一方向对方发出的通知、信件、数据电文等，应当发送至本合同下列约定的地址、联系人和通信终端。一方当事人变更名称、地址、联系人或通信终端的，应当在变更后3日内及时书面通知对方当事人，对方当事人实际收到变更通知前的送达仍为有效送达，电话通信、电子送达与书面送达具有同等法律效力。</w:t>
      </w:r>
    </w:p>
    <w:p w14:paraId="0935287D">
      <w:pPr>
        <w:spacing w:line="360" w:lineRule="auto"/>
        <w:ind w:firstLine="480" w:firstLineChars="200"/>
        <w:rPr>
          <w:rFonts w:hint="eastAsia" w:ascii="宋体" w:hAnsi="宋体"/>
        </w:rPr>
      </w:pPr>
      <w:r>
        <w:rPr>
          <w:rFonts w:hint="eastAsia" w:ascii="宋体" w:hAnsi="宋体"/>
        </w:rPr>
        <w:t>2.本条第一款约定的地址、联系人及电子通信终端亦为双方工作联系往来、法律文书及争议解决时人民法院的法律文书送达地址，人民法院的诉讼文书（含裁判文书）向合同任何一方当事人的上述地址送达的，视为有效送达。当事人对电子通信终端的联系送达适用于争议解决时的送达。</w:t>
      </w:r>
    </w:p>
    <w:p w14:paraId="50A8D556">
      <w:pPr>
        <w:spacing w:line="360" w:lineRule="auto"/>
        <w:ind w:firstLine="480" w:firstLineChars="200"/>
        <w:jc w:val="left"/>
        <w:rPr>
          <w:rFonts w:hint="eastAsia" w:ascii="黑体" w:hAnsi="黑体" w:eastAsia="黑体" w:cs="宋体"/>
          <w:b/>
          <w:bCs/>
          <w:sz w:val="28"/>
          <w:szCs w:val="28"/>
        </w:rPr>
      </w:pPr>
      <w:r>
        <w:rPr>
          <w:rFonts w:hint="eastAsia" w:ascii="宋体" w:hAnsi="宋体"/>
        </w:rPr>
        <w:t>3.合同送达条款与保密条款、争议解决条款均为独立条款，不受合同整体或其他条款的效力的影响。</w:t>
      </w:r>
    </w:p>
    <w:p w14:paraId="2215B0C2">
      <w:pPr>
        <w:pStyle w:val="3"/>
        <w:tabs>
          <w:tab w:val="left" w:pos="360"/>
          <w:tab w:val="left" w:pos="3999"/>
          <w:tab w:val="clear" w:pos="1021"/>
        </w:tabs>
        <w:spacing w:afterLines="0" w:line="360" w:lineRule="auto"/>
        <w:ind w:firstLine="562" w:firstLineChars="200"/>
        <w:jc w:val="left"/>
        <w:rPr>
          <w:rFonts w:hint="eastAsia" w:ascii="黑体" w:hAnsi="黑体" w:eastAsia="黑体" w:cs="宋体"/>
          <w:bCs/>
          <w:sz w:val="28"/>
          <w:szCs w:val="28"/>
        </w:rPr>
      </w:pPr>
      <w:bookmarkStart w:id="415" w:name="_Toc162882603"/>
      <w:bookmarkStart w:id="416" w:name="_Toc153211689"/>
      <w:bookmarkStart w:id="417" w:name="_Toc157959733"/>
      <w:r>
        <w:rPr>
          <w:rFonts w:hint="eastAsia" w:ascii="黑体" w:hAnsi="黑体" w:eastAsia="黑体" w:cs="宋体"/>
          <w:bCs/>
          <w:sz w:val="28"/>
          <w:szCs w:val="28"/>
        </w:rPr>
        <w:t>十六、</w:t>
      </w:r>
      <w:bookmarkEnd w:id="415"/>
      <w:bookmarkEnd w:id="416"/>
      <w:bookmarkEnd w:id="417"/>
      <w:r>
        <w:rPr>
          <w:rFonts w:hint="eastAsia" w:ascii="黑体" w:hAnsi="黑体" w:eastAsia="黑体" w:cs="宋体"/>
          <w:bCs/>
          <w:sz w:val="28"/>
          <w:szCs w:val="28"/>
        </w:rPr>
        <w:t xml:space="preserve">合同的生效 </w:t>
      </w:r>
    </w:p>
    <w:p w14:paraId="4E2F6B95">
      <w:pPr>
        <w:spacing w:line="360" w:lineRule="auto"/>
        <w:ind w:firstLine="480" w:firstLineChars="200"/>
        <w:rPr>
          <w:rFonts w:hint="eastAsia" w:ascii="宋体" w:hAnsi="宋体" w:eastAsia="宋体" w:cs="Times New Roman"/>
        </w:rPr>
      </w:pPr>
      <w:bookmarkStart w:id="418" w:name="_Toc157959734"/>
      <w:bookmarkStart w:id="419" w:name="_Toc162882604"/>
      <w:r>
        <w:rPr>
          <w:rFonts w:hint="eastAsia" w:ascii="宋体" w:hAnsi="宋体"/>
        </w:rPr>
        <w:t>1.如在合同履行过程中甲方发现乙方虚假承诺或者围标串标等情形，对甲方依本合同享有权利</w:t>
      </w:r>
      <w:r>
        <w:rPr>
          <w:rFonts w:hint="eastAsia" w:ascii="宋体" w:hAnsi="宋体" w:eastAsia="宋体" w:cs="Times New Roman"/>
        </w:rPr>
        <w:t>或承担义务造成实质性影响致使合同目的不能实现的情形，甲方有权提前终止本合同。</w:t>
      </w:r>
    </w:p>
    <w:p w14:paraId="019AE241">
      <w:pPr>
        <w:spacing w:line="360" w:lineRule="auto"/>
        <w:ind w:firstLine="480" w:firstLineChars="200"/>
        <w:rPr>
          <w:rFonts w:hint="eastAsia" w:ascii="宋体" w:hAnsi="宋体" w:eastAsia="宋体" w:cs="Times New Roman"/>
        </w:rPr>
      </w:pPr>
      <w:r>
        <w:rPr>
          <w:rFonts w:hint="eastAsia" w:ascii="宋体" w:hAnsi="宋体" w:eastAsia="宋体" w:cs="Times New Roman"/>
        </w:rPr>
        <w:t>2.本合同一式  份，甲、乙双方各执  份，具有同等法律效力。</w:t>
      </w:r>
      <w:bookmarkEnd w:id="418"/>
      <w:bookmarkEnd w:id="419"/>
    </w:p>
    <w:bookmarkEnd w:id="414"/>
    <w:p w14:paraId="3CCD1F81">
      <w:pPr>
        <w:spacing w:line="360" w:lineRule="auto"/>
        <w:ind w:firstLine="480" w:firstLineChars="200"/>
        <w:jc w:val="left"/>
        <w:rPr>
          <w:rFonts w:hint="eastAsia" w:ascii="宋体" w:hAnsi="宋体"/>
        </w:rPr>
      </w:pPr>
      <w:r>
        <w:rPr>
          <w:rFonts w:hint="eastAsia" w:ascii="宋体" w:hAnsi="宋体"/>
        </w:rPr>
        <w:t>3.本合同经双方法定代表人或其授权代表签署、加盖单位公章后生效，合同权利义务履行完毕后终止。</w:t>
      </w:r>
    </w:p>
    <w:p w14:paraId="186CEE15">
      <w:pPr>
        <w:spacing w:line="360" w:lineRule="auto"/>
        <w:ind w:firstLine="562" w:firstLineChars="200"/>
        <w:jc w:val="left"/>
        <w:rPr>
          <w:rFonts w:hint="eastAsia" w:ascii="黑体" w:hAnsi="黑体" w:eastAsia="黑体" w:cs="宋体"/>
          <w:b/>
          <w:bCs/>
          <w:kern w:val="0"/>
          <w:sz w:val="28"/>
          <w:szCs w:val="28"/>
        </w:rPr>
      </w:pPr>
      <w:r>
        <w:rPr>
          <w:rFonts w:hint="eastAsia" w:ascii="黑体" w:hAnsi="黑体" w:eastAsia="黑体" w:cs="宋体"/>
          <w:b/>
          <w:bCs/>
          <w:kern w:val="0"/>
          <w:sz w:val="28"/>
          <w:szCs w:val="28"/>
        </w:rPr>
        <w:t>十七、下列文件均为本合同的组成部分</w:t>
      </w:r>
    </w:p>
    <w:p w14:paraId="16EC1414">
      <w:pPr>
        <w:spacing w:line="360" w:lineRule="auto"/>
        <w:ind w:firstLine="480" w:firstLineChars="200"/>
        <w:rPr>
          <w:rFonts w:hint="eastAsia" w:ascii="宋体" w:hAnsi="宋体" w:cs="仿宋_GB2312"/>
        </w:rPr>
      </w:pPr>
      <w:r>
        <w:rPr>
          <w:rFonts w:ascii="宋体" w:hAnsi="宋体" w:cs="仿宋_GB2312"/>
        </w:rPr>
        <w:t>1.</w:t>
      </w:r>
      <w:r>
        <w:rPr>
          <w:rFonts w:hint="eastAsia" w:ascii="宋体" w:hAnsi="宋体" w:cs="仿宋_GB2312"/>
        </w:rPr>
        <w:t>合同协议书</w:t>
      </w:r>
    </w:p>
    <w:p w14:paraId="47042C43">
      <w:pPr>
        <w:spacing w:line="360" w:lineRule="auto"/>
        <w:ind w:firstLine="480" w:firstLineChars="200"/>
        <w:rPr>
          <w:rFonts w:hint="eastAsia" w:ascii="宋体" w:hAnsi="宋体" w:cs="仿宋_GB2312"/>
        </w:rPr>
      </w:pPr>
      <w:r>
        <w:rPr>
          <w:rFonts w:ascii="宋体" w:hAnsi="宋体" w:cs="仿宋_GB2312"/>
        </w:rPr>
        <w:t>2.</w:t>
      </w:r>
      <w:r>
        <w:rPr>
          <w:rFonts w:hint="eastAsia" w:ascii="宋体" w:hAnsi="宋体" w:cs="仿宋_GB2312"/>
        </w:rPr>
        <w:t>中标通知书</w:t>
      </w:r>
    </w:p>
    <w:p w14:paraId="27B2C2D4">
      <w:pPr>
        <w:spacing w:line="360" w:lineRule="auto"/>
        <w:ind w:firstLine="480" w:firstLineChars="200"/>
        <w:rPr>
          <w:rFonts w:hint="eastAsia" w:ascii="宋体" w:hAnsi="宋体" w:cs="仿宋_GB2312"/>
        </w:rPr>
      </w:pPr>
      <w:r>
        <w:rPr>
          <w:rFonts w:hint="eastAsia" w:ascii="宋体" w:hAnsi="宋体" w:cs="仿宋_GB2312"/>
        </w:rPr>
        <w:t>3</w:t>
      </w:r>
      <w:r>
        <w:rPr>
          <w:rFonts w:ascii="宋体" w:hAnsi="宋体" w:cs="仿宋_GB2312"/>
        </w:rPr>
        <w:t>.</w:t>
      </w:r>
      <w:r>
        <w:rPr>
          <w:rFonts w:hint="eastAsia" w:ascii="宋体" w:hAnsi="宋体" w:cs="仿宋_GB2312"/>
        </w:rPr>
        <w:t>招标文件</w:t>
      </w:r>
    </w:p>
    <w:p w14:paraId="797A92DA">
      <w:pPr>
        <w:spacing w:line="360" w:lineRule="auto"/>
        <w:ind w:firstLine="480" w:firstLineChars="200"/>
        <w:rPr>
          <w:rFonts w:hint="eastAsia" w:ascii="宋体" w:hAnsi="宋体" w:cs="仿宋_GB2312"/>
        </w:rPr>
      </w:pPr>
      <w:r>
        <w:rPr>
          <w:rFonts w:hint="eastAsia" w:ascii="宋体" w:hAnsi="宋体" w:cs="仿宋_GB2312"/>
        </w:rPr>
        <w:t>4</w:t>
      </w:r>
      <w:r>
        <w:rPr>
          <w:rFonts w:ascii="宋体" w:hAnsi="宋体" w:cs="仿宋_GB2312"/>
        </w:rPr>
        <w:t>.</w:t>
      </w:r>
      <w:r>
        <w:rPr>
          <w:rFonts w:hint="eastAsia" w:ascii="宋体" w:hAnsi="宋体" w:cs="仿宋_GB2312"/>
        </w:rPr>
        <w:t>投标文件</w:t>
      </w:r>
    </w:p>
    <w:p w14:paraId="6D4C7D6C">
      <w:pPr>
        <w:spacing w:line="360" w:lineRule="auto"/>
        <w:ind w:firstLine="482" w:firstLineChars="200"/>
        <w:rPr>
          <w:rFonts w:hint="eastAsia" w:ascii="宋体" w:hAnsi="宋体" w:cs="仿宋_GB2312"/>
          <w:b/>
        </w:rPr>
      </w:pPr>
    </w:p>
    <w:p w14:paraId="1EDE332C">
      <w:pPr>
        <w:spacing w:line="360" w:lineRule="auto"/>
        <w:ind w:firstLine="482" w:firstLineChars="200"/>
        <w:rPr>
          <w:rFonts w:hint="eastAsia" w:ascii="宋体" w:hAnsi="宋体" w:cs="仿宋_GB2312"/>
        </w:rPr>
      </w:pPr>
      <w:r>
        <w:rPr>
          <w:rFonts w:hint="eastAsia" w:ascii="宋体" w:hAnsi="宋体" w:cs="仿宋_GB2312"/>
          <w:b/>
        </w:rPr>
        <w:t>甲方（盖章）：云南能源职业技术学院</w:t>
      </w:r>
    </w:p>
    <w:p w14:paraId="4AD0DADC">
      <w:pPr>
        <w:spacing w:line="360" w:lineRule="auto"/>
        <w:ind w:firstLine="480" w:firstLineChars="200"/>
        <w:rPr>
          <w:rFonts w:hint="eastAsia" w:ascii="宋体" w:hAnsi="宋体" w:cs="仿宋_GB2312"/>
        </w:rPr>
      </w:pPr>
      <w:r>
        <w:rPr>
          <w:rFonts w:hint="eastAsia" w:ascii="宋体" w:hAnsi="宋体" w:cs="仿宋_GB2312"/>
        </w:rPr>
        <w:t xml:space="preserve">法定代表人：                   </w:t>
      </w:r>
    </w:p>
    <w:p w14:paraId="2B471FC4">
      <w:pPr>
        <w:spacing w:line="360" w:lineRule="auto"/>
        <w:ind w:firstLine="480" w:firstLineChars="200"/>
        <w:rPr>
          <w:rFonts w:hint="eastAsia" w:ascii="宋体" w:hAnsi="宋体" w:cs="仿宋_GB2312"/>
        </w:rPr>
      </w:pPr>
      <w:r>
        <w:rPr>
          <w:rFonts w:hint="eastAsia" w:ascii="宋体" w:hAnsi="宋体" w:cs="仿宋_GB2312"/>
        </w:rPr>
        <w:t>授权代理人：                     联系人：</w:t>
      </w:r>
    </w:p>
    <w:p w14:paraId="5D8961B7">
      <w:pPr>
        <w:spacing w:line="360" w:lineRule="auto"/>
        <w:ind w:firstLine="480" w:firstLineChars="200"/>
        <w:rPr>
          <w:rFonts w:hint="eastAsia" w:ascii="宋体" w:hAnsi="宋体" w:cs="仿宋_GB2312"/>
        </w:rPr>
      </w:pPr>
      <w:r>
        <w:rPr>
          <w:rFonts w:hint="eastAsia" w:ascii="宋体" w:hAnsi="宋体" w:cs="仿宋_GB2312"/>
        </w:rPr>
        <w:t>单位地址：                       邮政编码：</w:t>
      </w:r>
    </w:p>
    <w:p w14:paraId="1324D089">
      <w:pPr>
        <w:spacing w:line="360" w:lineRule="auto"/>
        <w:ind w:firstLine="480" w:firstLineChars="200"/>
        <w:rPr>
          <w:rFonts w:hint="eastAsia" w:ascii="宋体" w:hAnsi="宋体" w:cs="仿宋_GB2312"/>
        </w:rPr>
      </w:pPr>
      <w:r>
        <w:rPr>
          <w:rFonts w:hint="eastAsia" w:ascii="宋体" w:hAnsi="宋体" w:cs="仿宋_GB2312"/>
        </w:rPr>
        <w:t>电    话：                       传    真：</w:t>
      </w:r>
    </w:p>
    <w:p w14:paraId="1FC1CE76">
      <w:pPr>
        <w:spacing w:line="360" w:lineRule="auto"/>
        <w:ind w:firstLine="480" w:firstLineChars="200"/>
        <w:jc w:val="left"/>
        <w:rPr>
          <w:rFonts w:hint="eastAsia" w:ascii="宋体" w:hAnsi="宋体" w:cs="仿宋_GB2312"/>
        </w:rPr>
      </w:pPr>
      <w:r>
        <w:rPr>
          <w:rFonts w:hint="eastAsia" w:ascii="宋体" w:hAnsi="宋体" w:cs="仿宋_GB2312"/>
        </w:rPr>
        <w:t>年</w:t>
      </w:r>
      <w:r>
        <w:rPr>
          <w:rFonts w:ascii="宋体" w:hAnsi="宋体" w:cs="仿宋_GB2312"/>
        </w:rPr>
        <w:t xml:space="preserve">   </w:t>
      </w:r>
      <w:r>
        <w:rPr>
          <w:rFonts w:hint="eastAsia" w:ascii="宋体" w:hAnsi="宋体" w:cs="仿宋_GB2312"/>
        </w:rPr>
        <w:t xml:space="preserve">月   日  </w:t>
      </w:r>
    </w:p>
    <w:p w14:paraId="749E9321">
      <w:pPr>
        <w:spacing w:line="360" w:lineRule="auto"/>
        <w:ind w:firstLine="482" w:firstLineChars="200"/>
        <w:rPr>
          <w:rFonts w:hint="eastAsia" w:ascii="宋体" w:hAnsi="宋体" w:cs="仿宋_GB2312"/>
          <w:b/>
        </w:rPr>
      </w:pPr>
    </w:p>
    <w:p w14:paraId="0115C720">
      <w:pPr>
        <w:spacing w:line="360" w:lineRule="auto"/>
        <w:ind w:firstLine="482" w:firstLineChars="200"/>
        <w:rPr>
          <w:rFonts w:hint="eastAsia" w:ascii="宋体" w:hAnsi="宋体" w:cs="仿宋_GB2312"/>
          <w:b/>
        </w:rPr>
      </w:pPr>
      <w:r>
        <w:rPr>
          <w:rFonts w:hint="eastAsia" w:ascii="宋体" w:hAnsi="宋体" w:cs="仿宋_GB2312"/>
          <w:b/>
        </w:rPr>
        <w:t xml:space="preserve">乙方（盖章）： </w:t>
      </w:r>
    </w:p>
    <w:p w14:paraId="32E6494A">
      <w:pPr>
        <w:spacing w:line="360" w:lineRule="auto"/>
        <w:ind w:firstLine="480" w:firstLineChars="200"/>
        <w:jc w:val="left"/>
        <w:rPr>
          <w:rFonts w:hint="eastAsia" w:ascii="宋体" w:hAnsi="宋体" w:cs="仿宋_GB2312"/>
        </w:rPr>
      </w:pPr>
      <w:r>
        <w:rPr>
          <w:rFonts w:hint="eastAsia" w:ascii="宋体" w:hAnsi="宋体" w:cs="仿宋_GB2312"/>
        </w:rPr>
        <w:t>法定代表人：</w:t>
      </w:r>
    </w:p>
    <w:p w14:paraId="5DB10484">
      <w:pPr>
        <w:spacing w:line="360" w:lineRule="auto"/>
        <w:ind w:firstLine="480" w:firstLineChars="200"/>
        <w:rPr>
          <w:rFonts w:hint="eastAsia" w:ascii="宋体" w:hAnsi="宋体" w:cs="仿宋_GB2312"/>
        </w:rPr>
      </w:pPr>
      <w:r>
        <w:rPr>
          <w:rFonts w:hint="eastAsia" w:ascii="宋体" w:hAnsi="宋体" w:cs="仿宋_GB2312"/>
        </w:rPr>
        <w:t>授权代理人：                      项目负责人：</w:t>
      </w:r>
    </w:p>
    <w:p w14:paraId="42D6930C">
      <w:pPr>
        <w:spacing w:line="360" w:lineRule="auto"/>
        <w:ind w:firstLine="480" w:firstLineChars="200"/>
        <w:rPr>
          <w:rFonts w:hint="eastAsia" w:ascii="宋体" w:hAnsi="宋体" w:cs="仿宋_GB2312"/>
        </w:rPr>
      </w:pPr>
      <w:r>
        <w:rPr>
          <w:rFonts w:hint="eastAsia" w:ascii="宋体" w:hAnsi="宋体" w:cs="仿宋_GB2312"/>
        </w:rPr>
        <w:t>单位地址：</w:t>
      </w:r>
      <w:r>
        <w:rPr>
          <w:rFonts w:hint="eastAsia" w:ascii="宋体" w:hAnsi="宋体" w:cs="宋体"/>
        </w:rPr>
        <w:t xml:space="preserve"> </w:t>
      </w:r>
      <w:r>
        <w:rPr>
          <w:rFonts w:hint="eastAsia" w:ascii="宋体" w:hAnsi="宋体" w:cs="仿宋_GB2312"/>
        </w:rPr>
        <w:t xml:space="preserve">  </w:t>
      </w:r>
      <w:r>
        <w:rPr>
          <w:rFonts w:ascii="宋体" w:hAnsi="宋体" w:cs="仿宋_GB2312"/>
        </w:rPr>
        <w:t xml:space="preserve">                     </w:t>
      </w:r>
      <w:r>
        <w:rPr>
          <w:rFonts w:hint="eastAsia" w:ascii="宋体" w:hAnsi="宋体" w:cs="仿宋_GB2312"/>
        </w:rPr>
        <w:t>邮政编码：</w:t>
      </w:r>
      <w:r>
        <w:rPr>
          <w:rFonts w:ascii="宋体" w:hAnsi="宋体" w:cs="宋体"/>
        </w:rPr>
        <w:t xml:space="preserve"> </w:t>
      </w:r>
    </w:p>
    <w:p w14:paraId="510FF984">
      <w:pPr>
        <w:spacing w:line="360" w:lineRule="auto"/>
        <w:ind w:firstLine="480" w:firstLineChars="200"/>
        <w:rPr>
          <w:rFonts w:hint="eastAsia" w:ascii="宋体" w:hAnsi="宋体" w:cs="仿宋_GB2312"/>
        </w:rPr>
      </w:pPr>
      <w:r>
        <w:rPr>
          <w:rFonts w:hint="eastAsia" w:ascii="宋体" w:hAnsi="宋体" w:cs="仿宋_GB2312"/>
        </w:rPr>
        <w:t>电    话：</w:t>
      </w:r>
      <w:r>
        <w:rPr>
          <w:rFonts w:ascii="宋体" w:hAnsi="宋体" w:cs="宋体"/>
        </w:rPr>
        <w:t xml:space="preserve"> </w:t>
      </w:r>
      <w:r>
        <w:rPr>
          <w:rFonts w:hint="eastAsia" w:ascii="宋体" w:hAnsi="宋体" w:cs="仿宋_GB2312"/>
        </w:rPr>
        <w:t xml:space="preserve">            </w:t>
      </w:r>
      <w:r>
        <w:rPr>
          <w:rFonts w:ascii="宋体" w:hAnsi="宋体" w:cs="仿宋_GB2312"/>
        </w:rPr>
        <w:t xml:space="preserve">           </w:t>
      </w:r>
      <w:r>
        <w:rPr>
          <w:rFonts w:hint="eastAsia" w:ascii="宋体" w:hAnsi="宋体" w:cs="仿宋_GB2312"/>
        </w:rPr>
        <w:t>传    真：</w:t>
      </w:r>
    </w:p>
    <w:p w14:paraId="1C87FC7A">
      <w:pPr>
        <w:spacing w:line="360" w:lineRule="auto"/>
        <w:ind w:firstLine="480" w:firstLineChars="200"/>
        <w:jc w:val="left"/>
        <w:rPr>
          <w:rFonts w:hint="eastAsia" w:ascii="宋体" w:hAnsi="宋体" w:cs="仿宋_GB2312"/>
        </w:rPr>
      </w:pPr>
      <w:r>
        <w:rPr>
          <w:rFonts w:hint="eastAsia" w:ascii="宋体" w:hAnsi="宋体" w:cs="仿宋_GB2312"/>
        </w:rPr>
        <w:t xml:space="preserve">年  月   日     </w:t>
      </w:r>
    </w:p>
    <w:p w14:paraId="2F0D59B3"/>
    <w:p w14:paraId="2EE63A50">
      <w:pPr>
        <w:pStyle w:val="2"/>
        <w:rPr>
          <w:rFonts w:hint="eastAsia" w:ascii="宋体" w:hAnsi="宋体" w:eastAsia="宋体" w:cs="宋体"/>
          <w:color w:val="auto"/>
          <w:highlight w:val="none"/>
        </w:rPr>
      </w:pPr>
      <w:r>
        <w:rPr>
          <w:rFonts w:hint="eastAsia" w:ascii="宋体" w:hAnsi="宋体" w:eastAsia="宋体" w:cs="宋体"/>
          <w:color w:val="auto"/>
          <w:highlight w:val="none"/>
        </w:rPr>
        <w:t>第五章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投标文件格式</w:t>
      </w:r>
      <w:bookmarkEnd w:id="362"/>
      <w:bookmarkEnd w:id="363"/>
      <w:bookmarkEnd w:id="364"/>
      <w:bookmarkEnd w:id="365"/>
      <w:bookmarkEnd w:id="366"/>
    </w:p>
    <w:p w14:paraId="36AAD554">
      <w:pPr>
        <w:rPr>
          <w:rFonts w:hint="eastAsia" w:ascii="宋体" w:hAnsi="宋体" w:eastAsia="宋体" w:cs="宋体"/>
          <w:color w:val="auto"/>
          <w:highlight w:val="none"/>
        </w:rPr>
      </w:pPr>
    </w:p>
    <w:p w14:paraId="04D5F1E0">
      <w:pPr>
        <w:widowControl/>
        <w:rPr>
          <w:rFonts w:hint="eastAsia" w:ascii="宋体" w:hAnsi="宋体" w:eastAsia="宋体" w:cs="宋体"/>
          <w:color w:val="auto"/>
          <w:highlight w:val="none"/>
        </w:rPr>
      </w:pPr>
    </w:p>
    <w:p w14:paraId="76EFCD41">
      <w:pPr>
        <w:widowControl/>
        <w:rPr>
          <w:rFonts w:hint="eastAsia" w:ascii="宋体" w:hAnsi="宋体" w:eastAsia="宋体" w:cs="宋体"/>
          <w:b/>
          <w:color w:val="auto"/>
          <w:highlight w:val="none"/>
        </w:rPr>
      </w:pPr>
    </w:p>
    <w:p w14:paraId="4F66FEB3">
      <w:pPr>
        <w:pStyle w:val="12"/>
        <w:spacing w:line="500" w:lineRule="exact"/>
        <w:jc w:val="center"/>
        <w:rPr>
          <w:rFonts w:hint="eastAsia" w:ascii="宋体" w:hAnsi="宋体" w:eastAsia="宋体" w:cs="宋体"/>
          <w:b/>
          <w:bCs/>
          <w:color w:val="auto"/>
          <w:sz w:val="48"/>
          <w:highlight w:val="none"/>
        </w:rPr>
      </w:pPr>
    </w:p>
    <w:p w14:paraId="6CBAD37C">
      <w:pPr>
        <w:jc w:val="center"/>
        <w:rPr>
          <w:rFonts w:hint="eastAsia" w:ascii="宋体" w:hAnsi="宋体" w:eastAsia="宋体" w:cs="宋体"/>
          <w:color w:val="auto"/>
          <w:highlight w:val="none"/>
          <w:u w:val="single"/>
        </w:rPr>
      </w:pPr>
      <w:r>
        <w:rPr>
          <w:rFonts w:hint="eastAsia" w:ascii="宋体" w:hAnsi="宋体" w:eastAsia="宋体" w:cs="宋体"/>
          <w:color w:val="auto"/>
          <w:sz w:val="48"/>
          <w:szCs w:val="48"/>
          <w:highlight w:val="none"/>
          <w:u w:val="single"/>
          <w:lang w:eastAsia="zh-CN"/>
        </w:rPr>
        <w:t>（</w:t>
      </w:r>
      <w:r>
        <w:rPr>
          <w:rFonts w:hint="eastAsia" w:ascii="宋体" w:hAnsi="宋体" w:eastAsia="宋体" w:cs="宋体"/>
          <w:color w:val="auto"/>
          <w:sz w:val="48"/>
          <w:szCs w:val="48"/>
          <w:highlight w:val="none"/>
          <w:u w:val="single"/>
        </w:rPr>
        <w:t>项目名称</w:t>
      </w:r>
      <w:r>
        <w:rPr>
          <w:rFonts w:hint="eastAsia" w:ascii="宋体" w:hAnsi="宋体" w:eastAsia="宋体" w:cs="宋体"/>
          <w:color w:val="auto"/>
          <w:sz w:val="48"/>
          <w:szCs w:val="48"/>
          <w:highlight w:val="none"/>
          <w:u w:val="single"/>
          <w:lang w:eastAsia="zh-CN"/>
        </w:rPr>
        <w:t>）</w:t>
      </w:r>
    </w:p>
    <w:p w14:paraId="6E93BF98">
      <w:pPr>
        <w:pStyle w:val="12"/>
        <w:spacing w:line="500" w:lineRule="exact"/>
        <w:jc w:val="center"/>
        <w:rPr>
          <w:rFonts w:hint="eastAsia" w:ascii="宋体" w:hAnsi="宋体" w:eastAsia="宋体" w:cs="宋体"/>
          <w:b/>
          <w:color w:val="auto"/>
          <w:sz w:val="32"/>
          <w:szCs w:val="32"/>
          <w:highlight w:val="none"/>
        </w:rPr>
      </w:pPr>
    </w:p>
    <w:p w14:paraId="24F5C5F8">
      <w:pPr>
        <w:rPr>
          <w:rFonts w:hint="eastAsia" w:ascii="宋体" w:hAnsi="宋体" w:eastAsia="宋体" w:cs="宋体"/>
          <w:b/>
          <w:color w:val="auto"/>
          <w:sz w:val="32"/>
          <w:szCs w:val="32"/>
          <w:highlight w:val="none"/>
        </w:rPr>
      </w:pPr>
    </w:p>
    <w:p w14:paraId="5F995B62">
      <w:pPr>
        <w:bidi w:val="0"/>
        <w:rPr>
          <w:rFonts w:hint="eastAsia" w:ascii="宋体" w:hAnsi="宋体" w:eastAsia="宋体" w:cs="宋体"/>
          <w:color w:val="auto"/>
          <w:highlight w:val="none"/>
        </w:rPr>
      </w:pPr>
    </w:p>
    <w:p w14:paraId="04D2E79B">
      <w:pPr>
        <w:rPr>
          <w:rFonts w:hint="eastAsia" w:ascii="宋体" w:hAnsi="宋体" w:eastAsia="宋体" w:cs="宋体"/>
          <w:color w:val="auto"/>
          <w:highlight w:val="none"/>
        </w:rPr>
      </w:pPr>
    </w:p>
    <w:p w14:paraId="52411DEC">
      <w:pPr>
        <w:pStyle w:val="12"/>
        <w:spacing w:line="780" w:lineRule="exact"/>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投 标 文 件</w:t>
      </w:r>
    </w:p>
    <w:p w14:paraId="20E5595C">
      <w:pPr>
        <w:pStyle w:val="12"/>
        <w:spacing w:line="500" w:lineRule="exact"/>
        <w:jc w:val="center"/>
        <w:rPr>
          <w:rFonts w:hint="eastAsia" w:ascii="宋体" w:hAnsi="宋体" w:eastAsia="宋体" w:cs="宋体"/>
          <w:b/>
          <w:color w:val="auto"/>
          <w:sz w:val="72"/>
          <w:szCs w:val="72"/>
          <w:highlight w:val="none"/>
        </w:rPr>
      </w:pPr>
    </w:p>
    <w:p w14:paraId="3DFC7760">
      <w:pPr>
        <w:pStyle w:val="12"/>
        <w:spacing w:line="500" w:lineRule="exact"/>
        <w:ind w:firstLine="3601" w:firstLineChars="1281"/>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招标编号：</w:t>
      </w:r>
    </w:p>
    <w:p w14:paraId="574B6161">
      <w:pPr>
        <w:pStyle w:val="12"/>
        <w:spacing w:line="500" w:lineRule="exact"/>
        <w:jc w:val="center"/>
        <w:rPr>
          <w:rFonts w:hint="eastAsia" w:ascii="宋体" w:hAnsi="宋体" w:eastAsia="宋体" w:cs="宋体"/>
          <w:b/>
          <w:color w:val="auto"/>
          <w:sz w:val="72"/>
          <w:szCs w:val="72"/>
          <w:highlight w:val="none"/>
        </w:rPr>
      </w:pPr>
    </w:p>
    <w:p w14:paraId="39245414">
      <w:pPr>
        <w:pStyle w:val="12"/>
        <w:spacing w:line="500" w:lineRule="exact"/>
        <w:jc w:val="center"/>
        <w:rPr>
          <w:rFonts w:hint="eastAsia" w:ascii="宋体" w:hAnsi="宋体" w:eastAsia="宋体" w:cs="宋体"/>
          <w:b/>
          <w:color w:val="auto"/>
          <w:sz w:val="72"/>
          <w:szCs w:val="72"/>
          <w:highlight w:val="none"/>
        </w:rPr>
      </w:pPr>
    </w:p>
    <w:p w14:paraId="454A5E9E">
      <w:pPr>
        <w:pStyle w:val="12"/>
        <w:spacing w:line="500" w:lineRule="exact"/>
        <w:jc w:val="center"/>
        <w:rPr>
          <w:rFonts w:hint="eastAsia" w:ascii="宋体" w:hAnsi="宋体" w:eastAsia="宋体" w:cs="宋体"/>
          <w:b/>
          <w:color w:val="auto"/>
          <w:sz w:val="72"/>
          <w:szCs w:val="72"/>
          <w:highlight w:val="none"/>
        </w:rPr>
      </w:pPr>
    </w:p>
    <w:p w14:paraId="5D3B220F">
      <w:pPr>
        <w:pStyle w:val="12"/>
        <w:spacing w:line="500" w:lineRule="exact"/>
        <w:jc w:val="center"/>
        <w:rPr>
          <w:rFonts w:hint="eastAsia" w:ascii="宋体" w:hAnsi="宋体" w:eastAsia="宋体" w:cs="宋体"/>
          <w:b/>
          <w:color w:val="auto"/>
          <w:sz w:val="72"/>
          <w:szCs w:val="72"/>
          <w:highlight w:val="none"/>
        </w:rPr>
      </w:pPr>
    </w:p>
    <w:p w14:paraId="76384EB1">
      <w:pPr>
        <w:pStyle w:val="12"/>
        <w:spacing w:line="500" w:lineRule="exact"/>
        <w:jc w:val="center"/>
        <w:rPr>
          <w:rFonts w:hint="eastAsia" w:ascii="宋体" w:hAnsi="宋体" w:eastAsia="宋体" w:cs="宋体"/>
          <w:b/>
          <w:color w:val="auto"/>
          <w:sz w:val="72"/>
          <w:szCs w:val="72"/>
          <w:highlight w:val="none"/>
        </w:rPr>
      </w:pPr>
    </w:p>
    <w:p w14:paraId="0BB385D4">
      <w:pPr>
        <w:pStyle w:val="12"/>
        <w:spacing w:line="360" w:lineRule="auto"/>
        <w:ind w:firstLine="1920" w:firstLineChars="800"/>
        <w:jc w:val="both"/>
        <w:rPr>
          <w:rFonts w:hint="eastAsia" w:ascii="宋体" w:hAnsi="宋体" w:eastAsia="宋体" w:cs="宋体"/>
          <w:color w:val="auto"/>
          <w:szCs w:val="24"/>
          <w:highlight w:val="none"/>
          <w:u w:val="single"/>
        </w:rPr>
      </w:pPr>
      <w:r>
        <w:rPr>
          <w:rFonts w:hint="eastAsia" w:ascii="宋体" w:hAnsi="宋体" w:eastAsia="宋体" w:cs="宋体"/>
          <w:color w:val="auto"/>
          <w:szCs w:val="24"/>
          <w:highlight w:val="none"/>
        </w:rPr>
        <w:t>供应商：</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rPr>
        <w:t xml:space="preserve"> （电子签章）</w:t>
      </w:r>
    </w:p>
    <w:p w14:paraId="0EED44F2">
      <w:pPr>
        <w:spacing w:line="360" w:lineRule="auto"/>
        <w:ind w:firstLine="1920" w:firstLineChars="800"/>
        <w:rPr>
          <w:rFonts w:hint="eastAsia" w:ascii="宋体" w:hAnsi="宋体" w:eastAsia="宋体" w:cs="宋体"/>
          <w:color w:val="auto"/>
          <w:highlight w:val="none"/>
        </w:rPr>
      </w:pPr>
      <w:r>
        <w:rPr>
          <w:rFonts w:hint="eastAsia" w:ascii="宋体" w:hAnsi="宋体" w:eastAsia="宋体" w:cs="宋体"/>
          <w:color w:val="auto"/>
          <w:highlight w:val="none"/>
        </w:rPr>
        <w:t>法定代表人(单位负责人)或其委托代理人：</w:t>
      </w:r>
      <w:r>
        <w:rPr>
          <w:rFonts w:hint="eastAsia" w:ascii="宋体" w:hAnsi="宋体" w:eastAsia="宋体" w:cs="宋体"/>
          <w:color w:val="auto"/>
          <w:highlight w:val="none"/>
          <w:u w:val="single"/>
        </w:rPr>
        <w:t xml:space="preserve">           （电子签章）</w:t>
      </w:r>
    </w:p>
    <w:p w14:paraId="5FF0CD7A">
      <w:pPr>
        <w:pStyle w:val="12"/>
        <w:spacing w:line="360" w:lineRule="auto"/>
        <w:ind w:firstLine="1920" w:firstLineChars="800"/>
        <w:jc w:val="both"/>
        <w:rPr>
          <w:rFonts w:hint="eastAsia" w:ascii="宋体" w:hAnsi="宋体" w:eastAsia="宋体" w:cs="宋体"/>
          <w:color w:val="auto"/>
          <w:szCs w:val="24"/>
          <w:highlight w:val="none"/>
          <w:u w:val="single"/>
        </w:rPr>
      </w:pPr>
      <w:r>
        <w:rPr>
          <w:rFonts w:hint="eastAsia" w:ascii="宋体" w:hAnsi="宋体" w:eastAsia="宋体" w:cs="宋体"/>
          <w:color w:val="auto"/>
          <w:szCs w:val="24"/>
          <w:highlight w:val="none"/>
        </w:rPr>
        <w:t>供应商地址：</w:t>
      </w:r>
      <w:r>
        <w:rPr>
          <w:rFonts w:hint="eastAsia" w:ascii="宋体" w:hAnsi="宋体" w:eastAsia="宋体" w:cs="宋体"/>
          <w:color w:val="auto"/>
          <w:szCs w:val="24"/>
          <w:highlight w:val="none"/>
          <w:u w:val="single"/>
        </w:rPr>
        <w:t xml:space="preserve">                         </w:t>
      </w:r>
    </w:p>
    <w:p w14:paraId="6BEA3F0A">
      <w:pPr>
        <w:pStyle w:val="12"/>
        <w:spacing w:line="360" w:lineRule="auto"/>
        <w:ind w:firstLine="1920" w:firstLineChars="80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联系人：</w:t>
      </w:r>
      <w:r>
        <w:rPr>
          <w:rFonts w:hint="eastAsia" w:ascii="宋体" w:hAnsi="宋体" w:eastAsia="宋体" w:cs="宋体"/>
          <w:color w:val="auto"/>
          <w:szCs w:val="24"/>
          <w:highlight w:val="none"/>
          <w:u w:val="single"/>
        </w:rPr>
        <w:t xml:space="preserve">                        </w:t>
      </w:r>
    </w:p>
    <w:p w14:paraId="0EA7B263">
      <w:pPr>
        <w:pStyle w:val="12"/>
        <w:spacing w:line="360" w:lineRule="auto"/>
        <w:ind w:firstLine="1920" w:firstLineChars="800"/>
        <w:jc w:val="both"/>
        <w:rPr>
          <w:rFonts w:hint="eastAsia" w:ascii="宋体" w:hAnsi="宋体" w:eastAsia="宋体" w:cs="宋体"/>
          <w:color w:val="auto"/>
          <w:szCs w:val="24"/>
          <w:highlight w:val="none"/>
          <w:u w:val="single"/>
        </w:rPr>
      </w:pPr>
      <w:r>
        <w:rPr>
          <w:rFonts w:hint="eastAsia" w:ascii="宋体" w:hAnsi="宋体" w:eastAsia="宋体" w:cs="宋体"/>
          <w:color w:val="auto"/>
          <w:szCs w:val="24"/>
          <w:highlight w:val="none"/>
        </w:rPr>
        <w:t>邮编：</w:t>
      </w:r>
      <w:r>
        <w:rPr>
          <w:rFonts w:hint="eastAsia" w:ascii="宋体" w:hAnsi="宋体" w:eastAsia="宋体" w:cs="宋体"/>
          <w:color w:val="auto"/>
          <w:szCs w:val="24"/>
          <w:highlight w:val="none"/>
          <w:u w:val="single"/>
        </w:rPr>
        <w:t xml:space="preserve">                                  </w:t>
      </w:r>
    </w:p>
    <w:p w14:paraId="5469818A">
      <w:pPr>
        <w:pStyle w:val="12"/>
        <w:spacing w:line="360" w:lineRule="auto"/>
        <w:ind w:firstLine="1920" w:firstLineChars="800"/>
        <w:jc w:val="both"/>
        <w:rPr>
          <w:rFonts w:hint="eastAsia" w:ascii="宋体" w:hAnsi="宋体" w:eastAsia="宋体" w:cs="宋体"/>
          <w:color w:val="auto"/>
          <w:szCs w:val="24"/>
          <w:highlight w:val="none"/>
          <w:u w:val="single"/>
        </w:rPr>
      </w:pPr>
      <w:r>
        <w:rPr>
          <w:rFonts w:hint="eastAsia" w:ascii="宋体" w:hAnsi="宋体" w:eastAsia="宋体" w:cs="宋体"/>
          <w:color w:val="auto"/>
          <w:szCs w:val="24"/>
          <w:highlight w:val="none"/>
        </w:rPr>
        <w:t>联系电话：</w:t>
      </w:r>
      <w:r>
        <w:rPr>
          <w:rFonts w:hint="eastAsia" w:ascii="宋体" w:hAnsi="宋体" w:eastAsia="宋体" w:cs="宋体"/>
          <w:color w:val="auto"/>
          <w:szCs w:val="24"/>
          <w:highlight w:val="none"/>
          <w:u w:val="single"/>
        </w:rPr>
        <w:t xml:space="preserve">                              </w:t>
      </w:r>
    </w:p>
    <w:p w14:paraId="363AF97A">
      <w:pPr>
        <w:pStyle w:val="12"/>
        <w:spacing w:line="360" w:lineRule="auto"/>
        <w:ind w:firstLine="1920" w:firstLineChars="800"/>
        <w:jc w:val="both"/>
        <w:rPr>
          <w:rFonts w:hint="eastAsia" w:ascii="宋体" w:hAnsi="宋体" w:eastAsia="宋体" w:cs="宋体"/>
          <w:color w:val="auto"/>
          <w:szCs w:val="24"/>
          <w:highlight w:val="none"/>
          <w:u w:val="single"/>
        </w:rPr>
      </w:pPr>
      <w:r>
        <w:rPr>
          <w:rFonts w:hint="eastAsia" w:ascii="宋体" w:hAnsi="宋体" w:eastAsia="宋体" w:cs="宋体"/>
          <w:color w:val="auto"/>
          <w:szCs w:val="24"/>
          <w:highlight w:val="none"/>
        </w:rPr>
        <w:t xml:space="preserve">邮箱： </w:t>
      </w:r>
      <w:r>
        <w:rPr>
          <w:rFonts w:hint="eastAsia" w:ascii="宋体" w:hAnsi="宋体" w:eastAsia="宋体" w:cs="宋体"/>
          <w:color w:val="auto"/>
          <w:szCs w:val="24"/>
          <w:highlight w:val="none"/>
          <w:u w:val="single"/>
        </w:rPr>
        <w:t xml:space="preserve">                                  </w:t>
      </w:r>
    </w:p>
    <w:p w14:paraId="215CF90B">
      <w:pPr>
        <w:pStyle w:val="12"/>
        <w:spacing w:line="360" w:lineRule="auto"/>
        <w:ind w:firstLine="1920" w:firstLineChars="800"/>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367D5574">
      <w:pPr>
        <w:pStyle w:val="9"/>
        <w:rPr>
          <w:rFonts w:hint="eastAsia" w:ascii="宋体" w:hAnsi="宋体" w:eastAsia="宋体" w:cs="宋体"/>
          <w:color w:val="auto"/>
          <w:highlight w:val="none"/>
        </w:rPr>
      </w:pPr>
    </w:p>
    <w:p w14:paraId="21936902">
      <w:pPr>
        <w:rPr>
          <w:rFonts w:hint="eastAsia" w:ascii="宋体" w:hAnsi="宋体" w:eastAsia="宋体" w:cs="宋体"/>
          <w:color w:val="auto"/>
          <w:highlight w:val="none"/>
        </w:rPr>
      </w:pPr>
    </w:p>
    <w:p w14:paraId="47236100">
      <w:pPr>
        <w:pStyle w:val="12"/>
        <w:spacing w:line="500" w:lineRule="exact"/>
        <w:jc w:val="center"/>
        <w:rPr>
          <w:rFonts w:hint="eastAsia" w:ascii="宋体" w:hAnsi="宋体" w:eastAsia="宋体" w:cs="宋体"/>
          <w:b/>
          <w:bCs/>
          <w:color w:val="auto"/>
          <w:sz w:val="32"/>
          <w:szCs w:val="32"/>
          <w:highlight w:val="none"/>
        </w:rPr>
      </w:pPr>
    </w:p>
    <w:p w14:paraId="5544D0F5">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27DD6EBA">
      <w:pPr>
        <w:pStyle w:val="12"/>
        <w:spacing w:line="50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目  录</w:t>
      </w:r>
    </w:p>
    <w:p w14:paraId="4DEA0A78">
      <w:pPr>
        <w:pStyle w:val="12"/>
        <w:spacing w:line="5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（格式自拟）</w:t>
      </w:r>
    </w:p>
    <w:p w14:paraId="5D67226C">
      <w:pPr>
        <w:pStyle w:val="3"/>
        <w:bidi w:val="0"/>
        <w:rPr>
          <w:rFonts w:hint="eastAsia" w:ascii="宋体" w:hAnsi="宋体" w:eastAsia="宋体" w:cs="宋体"/>
          <w:color w:val="auto"/>
          <w:sz w:val="32"/>
          <w:highlight w:val="none"/>
        </w:rPr>
      </w:pPr>
      <w:bookmarkStart w:id="420" w:name="_Toc29412"/>
      <w:bookmarkStart w:id="421" w:name="_Toc4266"/>
      <w:bookmarkStart w:id="422" w:name="_Toc19636"/>
      <w:r>
        <w:rPr>
          <w:rFonts w:hint="eastAsia" w:ascii="宋体" w:hAnsi="宋体" w:eastAsia="宋体" w:cs="宋体"/>
          <w:color w:val="auto"/>
          <w:sz w:val="32"/>
          <w:highlight w:val="none"/>
        </w:rPr>
        <w:br w:type="page"/>
      </w:r>
      <w:bookmarkStart w:id="423" w:name="_Toc22377"/>
      <w:bookmarkStart w:id="424" w:name="_Toc6366"/>
      <w:r>
        <w:rPr>
          <w:rFonts w:hint="eastAsia" w:ascii="宋体" w:hAnsi="宋体" w:eastAsia="宋体" w:cs="宋体"/>
          <w:color w:val="auto"/>
          <w:sz w:val="32"/>
          <w:highlight w:val="none"/>
        </w:rPr>
        <w:t>一、资格审查部分</w:t>
      </w:r>
      <w:bookmarkEnd w:id="423"/>
    </w:p>
    <w:p w14:paraId="011C7232">
      <w:pPr>
        <w:pStyle w:val="4"/>
        <w:bidi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格式1：</w:t>
      </w:r>
      <w:bookmarkStart w:id="425" w:name="_Toc7059"/>
      <w:bookmarkStart w:id="426" w:name="_Toc32022"/>
      <w:r>
        <w:rPr>
          <w:rFonts w:hint="eastAsia" w:ascii="宋体" w:hAnsi="宋体" w:eastAsia="宋体" w:cs="宋体"/>
          <w:b/>
          <w:bCs/>
          <w:color w:val="auto"/>
          <w:sz w:val="28"/>
          <w:szCs w:val="28"/>
          <w:highlight w:val="none"/>
        </w:rPr>
        <w:t>投标函</w:t>
      </w:r>
      <w:bookmarkEnd w:id="424"/>
      <w:bookmarkEnd w:id="425"/>
      <w:bookmarkEnd w:id="426"/>
    </w:p>
    <w:p w14:paraId="593EF16F">
      <w:pPr>
        <w:pStyle w:val="1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none"/>
        </w:rPr>
        <w:t>（采购人名称）</w:t>
      </w:r>
    </w:p>
    <w:p w14:paraId="31EAE451">
      <w:pPr>
        <w:pStyle w:val="12"/>
        <w:ind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我方仔细研究了</w:t>
      </w:r>
      <w:r>
        <w:rPr>
          <w:rFonts w:hint="eastAsia" w:ascii="宋体" w:hAnsi="宋体" w:eastAsia="宋体" w:cs="宋体"/>
          <w:color w:val="auto"/>
          <w:sz w:val="28"/>
          <w:szCs w:val="28"/>
          <w:highlight w:val="none"/>
          <w:u w:val="single"/>
        </w:rPr>
        <w:t>（项目名称</w:t>
      </w:r>
      <w:r>
        <w:rPr>
          <w:rFonts w:hint="eastAsia" w:ascii="宋体" w:hAnsi="宋体" w:eastAsia="宋体" w:cs="宋体"/>
          <w:color w:val="auto"/>
          <w:sz w:val="28"/>
          <w:szCs w:val="28"/>
          <w:highlight w:val="none"/>
          <w:u w:val="single"/>
          <w:lang w:eastAsia="zh-CN"/>
        </w:rPr>
        <w:t>、</w:t>
      </w:r>
      <w:r>
        <w:rPr>
          <w:rFonts w:hint="eastAsia" w:ascii="宋体" w:hAnsi="宋体" w:eastAsia="宋体" w:cs="宋体"/>
          <w:color w:val="auto"/>
          <w:sz w:val="28"/>
          <w:szCs w:val="28"/>
          <w:highlight w:val="none"/>
          <w:u w:val="single"/>
        </w:rPr>
        <w:t>招标编号：）</w:t>
      </w:r>
      <w:r>
        <w:rPr>
          <w:rFonts w:hint="eastAsia" w:ascii="宋体" w:hAnsi="宋体" w:eastAsia="宋体" w:cs="宋体"/>
          <w:color w:val="auto"/>
          <w:sz w:val="28"/>
          <w:szCs w:val="28"/>
          <w:highlight w:val="none"/>
        </w:rPr>
        <w:t>项目招标文件的全部内容，正式授权下述签字人</w:t>
      </w:r>
      <w:r>
        <w:rPr>
          <w:rFonts w:hint="eastAsia" w:ascii="宋体" w:hAnsi="宋体" w:eastAsia="宋体" w:cs="宋体"/>
          <w:color w:val="auto"/>
          <w:sz w:val="28"/>
          <w:szCs w:val="28"/>
          <w:highlight w:val="none"/>
          <w:u w:val="single"/>
        </w:rPr>
        <w:t xml:space="preserve">   （姓名和职务）     </w:t>
      </w:r>
      <w:r>
        <w:rPr>
          <w:rFonts w:hint="eastAsia" w:ascii="宋体" w:hAnsi="宋体" w:eastAsia="宋体" w:cs="宋体"/>
          <w:color w:val="auto"/>
          <w:sz w:val="28"/>
          <w:szCs w:val="28"/>
          <w:highlight w:val="none"/>
        </w:rPr>
        <w:t>全权代表供应商</w:t>
      </w:r>
      <w:r>
        <w:rPr>
          <w:rFonts w:hint="eastAsia" w:ascii="宋体" w:hAnsi="宋体" w:eastAsia="宋体" w:cs="宋体"/>
          <w:color w:val="auto"/>
          <w:sz w:val="28"/>
          <w:szCs w:val="28"/>
          <w:highlight w:val="none"/>
          <w:u w:val="single"/>
        </w:rPr>
        <w:t xml:space="preserve">  （供应商全称） </w:t>
      </w:r>
      <w:r>
        <w:rPr>
          <w:rFonts w:hint="eastAsia" w:ascii="宋体" w:hAnsi="宋体" w:eastAsia="宋体" w:cs="宋体"/>
          <w:color w:val="auto"/>
          <w:sz w:val="28"/>
          <w:szCs w:val="28"/>
          <w:highlight w:val="none"/>
        </w:rPr>
        <w:t>参加</w:t>
      </w:r>
      <w:r>
        <w:rPr>
          <w:rFonts w:hint="eastAsia" w:ascii="宋体" w:hAnsi="宋体" w:eastAsia="宋体" w:cs="宋体"/>
          <w:color w:val="auto"/>
          <w:sz w:val="28"/>
          <w:szCs w:val="28"/>
          <w:highlight w:val="none"/>
          <w:lang w:val="en-US" w:eastAsia="zh-CN"/>
        </w:rPr>
        <w:t>开标、合同商谈及其他相关工作</w:t>
      </w:r>
      <w:r>
        <w:rPr>
          <w:rFonts w:hint="eastAsia" w:ascii="宋体" w:hAnsi="宋体" w:eastAsia="宋体" w:cs="宋体"/>
          <w:color w:val="auto"/>
          <w:sz w:val="28"/>
          <w:szCs w:val="28"/>
          <w:highlight w:val="none"/>
        </w:rPr>
        <w:t>，并提交投标文件。</w:t>
      </w:r>
    </w:p>
    <w:p w14:paraId="50092F54">
      <w:pPr>
        <w:pStyle w:val="12"/>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据此函，签字人宣布同意如下：</w:t>
      </w:r>
    </w:p>
    <w:p w14:paraId="48FEC183">
      <w:pPr>
        <w:pStyle w:val="12"/>
        <w:ind w:left="1" w:firstLine="495" w:firstLineChars="177"/>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rPr>
        <w:t>1、按招标文件招标需求及技术要求和</w:t>
      </w:r>
      <w:r>
        <w:rPr>
          <w:rFonts w:hint="eastAsia" w:ascii="宋体" w:hAnsi="宋体" w:eastAsia="宋体" w:cs="宋体"/>
          <w:color w:val="auto"/>
          <w:sz w:val="28"/>
          <w:szCs w:val="28"/>
          <w:highlight w:val="none"/>
          <w:lang w:val="en-US" w:eastAsia="zh-CN"/>
        </w:rPr>
        <w:t>分项</w:t>
      </w:r>
      <w:r>
        <w:rPr>
          <w:rFonts w:hint="eastAsia" w:ascii="宋体" w:hAnsi="宋体" w:eastAsia="宋体" w:cs="宋体"/>
          <w:color w:val="auto"/>
          <w:sz w:val="28"/>
          <w:szCs w:val="28"/>
          <w:highlight w:val="none"/>
        </w:rPr>
        <w:t>报价汇总表，</w:t>
      </w:r>
      <w:r>
        <w:rPr>
          <w:rFonts w:hint="eastAsia" w:ascii="宋体" w:hAnsi="宋体" w:eastAsia="宋体" w:cs="宋体"/>
          <w:color w:val="auto"/>
          <w:sz w:val="28"/>
          <w:szCs w:val="28"/>
          <w:highlight w:val="none"/>
          <w:lang w:eastAsia="zh-CN"/>
        </w:rPr>
        <w:t>投标总报价（含税）</w:t>
      </w:r>
      <w:r>
        <w:rPr>
          <w:rFonts w:hint="eastAsia" w:ascii="宋体" w:hAnsi="宋体" w:eastAsia="宋体" w:cs="宋体"/>
          <w:color w:val="auto"/>
          <w:sz w:val="28"/>
          <w:szCs w:val="28"/>
          <w:highlight w:val="none"/>
        </w:rPr>
        <w:t>为：</w:t>
      </w:r>
      <w:r>
        <w:rPr>
          <w:rFonts w:hint="eastAsia" w:ascii="宋体" w:hAnsi="宋体" w:eastAsia="宋体" w:cs="宋体"/>
          <w:color w:val="auto"/>
          <w:sz w:val="28"/>
          <w:szCs w:val="28"/>
          <w:highlight w:val="none"/>
          <w:u w:val="single"/>
          <w:lang w:eastAsia="zh-CN"/>
        </w:rPr>
        <w:t>￥：</w:t>
      </w:r>
      <w:r>
        <w:rPr>
          <w:rFonts w:hint="eastAsia" w:ascii="宋体" w:hAnsi="宋体" w:eastAsia="宋体" w:cs="宋体"/>
          <w:color w:val="auto"/>
          <w:sz w:val="28"/>
          <w:szCs w:val="28"/>
          <w:highlight w:val="none"/>
          <w:u w:val="single"/>
          <w:lang w:val="en-US" w:eastAsia="zh-CN"/>
        </w:rPr>
        <w:t xml:space="preserve">  元（大写：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合同履行期限</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none"/>
          <w:lang w:eastAsia="zh-CN"/>
        </w:rPr>
        <w:t>。</w:t>
      </w:r>
      <w:r>
        <w:rPr>
          <w:rFonts w:hint="eastAsia" w:ascii="宋体" w:hAnsi="宋体" w:eastAsia="宋体" w:cs="宋体"/>
          <w:color w:val="auto"/>
          <w:sz w:val="28"/>
          <w:szCs w:val="28"/>
          <w:highlight w:val="none"/>
          <w:u w:val="none"/>
          <w:lang w:val="en-US" w:eastAsia="zh-CN"/>
        </w:rPr>
        <w:t>质量为：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w:t>
      </w:r>
    </w:p>
    <w:p w14:paraId="1A94458A">
      <w:pPr>
        <w:pStyle w:val="12"/>
        <w:ind w:firstLine="420"/>
        <w:rPr>
          <w:rFonts w:hint="eastAsia" w:ascii="宋体" w:hAnsi="宋体" w:eastAsia="宋体" w:cs="宋体"/>
          <w:color w:val="auto"/>
          <w:spacing w:val="-10"/>
          <w:sz w:val="28"/>
          <w:szCs w:val="21"/>
          <w:highlight w:val="none"/>
        </w:rPr>
      </w:pPr>
      <w:r>
        <w:rPr>
          <w:rFonts w:hint="eastAsia" w:ascii="宋体" w:hAnsi="宋体" w:eastAsia="宋体" w:cs="宋体"/>
          <w:color w:val="auto"/>
          <w:sz w:val="28"/>
          <w:szCs w:val="21"/>
          <w:highlight w:val="none"/>
        </w:rPr>
        <w:t>2、</w:t>
      </w:r>
      <w:r>
        <w:rPr>
          <w:rFonts w:hint="eastAsia" w:ascii="宋体" w:hAnsi="宋体" w:eastAsia="宋体" w:cs="宋体"/>
          <w:color w:val="auto"/>
          <w:spacing w:val="-10"/>
          <w:sz w:val="28"/>
          <w:szCs w:val="21"/>
          <w:highlight w:val="none"/>
        </w:rPr>
        <w:t>我方已详细审查全部招标文件全部内容。我方完全理解相关文件要求，并承担对这方面有不明及误解的后果。</w:t>
      </w:r>
    </w:p>
    <w:p w14:paraId="2F3910D0">
      <w:pPr>
        <w:pStyle w:val="12"/>
        <w:ind w:firstLine="420"/>
        <w:rPr>
          <w:rFonts w:hint="eastAsia" w:ascii="宋体" w:hAnsi="宋体" w:eastAsia="宋体" w:cs="宋体"/>
          <w:color w:val="auto"/>
          <w:sz w:val="28"/>
          <w:szCs w:val="21"/>
          <w:highlight w:val="none"/>
        </w:rPr>
      </w:pPr>
      <w:r>
        <w:rPr>
          <w:rFonts w:hint="eastAsia" w:ascii="宋体" w:hAnsi="宋体" w:eastAsia="宋体" w:cs="宋体"/>
          <w:color w:val="auto"/>
          <w:sz w:val="28"/>
          <w:szCs w:val="28"/>
          <w:highlight w:val="none"/>
        </w:rPr>
        <w:t>3、在供应商须知规定的开标日期起遵循本投标文件，并在供应商须知规定的投标文件有效期满之前均具有约束力。</w:t>
      </w:r>
    </w:p>
    <w:p w14:paraId="6D1F487F">
      <w:pPr>
        <w:pStyle w:val="12"/>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4、同意应贵方要求提供与本投标有关的任何数据或资料，并保证数据和资料的完整性和真实性。</w:t>
      </w:r>
    </w:p>
    <w:p w14:paraId="635BC619">
      <w:pPr>
        <w:pStyle w:val="12"/>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5、如我方中标：</w:t>
      </w:r>
    </w:p>
    <w:p w14:paraId="010608D8">
      <w:pPr>
        <w:pStyle w:val="12"/>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（1）我方承诺在收到中标通知书后，在中标通知书规定的期限内与你方签订合同，并履行相应的合同责任和义务。</w:t>
      </w:r>
    </w:p>
    <w:p w14:paraId="34A84B81">
      <w:pPr>
        <w:pStyle w:val="12"/>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（2）我方承诺按照招标文件规定向你方按时、按量完成供货。</w:t>
      </w:r>
    </w:p>
    <w:p w14:paraId="26B2A699">
      <w:pPr>
        <w:pStyle w:val="12"/>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（3）我方承诺将承担售后服务及保修责任。</w:t>
      </w:r>
    </w:p>
    <w:p w14:paraId="77BB494D">
      <w:pPr>
        <w:pStyle w:val="12"/>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6、我方在此声明，所递交的投标文件及有关资料内容完整、真实和准确。</w:t>
      </w:r>
    </w:p>
    <w:p w14:paraId="313FBA70">
      <w:pPr>
        <w:pStyle w:val="12"/>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（其他补充说明）。</w:t>
      </w:r>
    </w:p>
    <w:p w14:paraId="3652D02F">
      <w:pPr>
        <w:pStyle w:val="12"/>
        <w:ind w:firstLine="42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与本投标有关的正式通讯地址为：</w:t>
      </w:r>
      <w:r>
        <w:rPr>
          <w:rFonts w:hint="eastAsia" w:ascii="宋体" w:hAnsi="宋体" w:eastAsia="宋体" w:cs="宋体"/>
          <w:color w:val="auto"/>
          <w:sz w:val="28"/>
          <w:szCs w:val="28"/>
          <w:highlight w:val="none"/>
          <w:u w:val="single"/>
        </w:rPr>
        <w:t xml:space="preserve">                      </w:t>
      </w:r>
    </w:p>
    <w:p w14:paraId="3165B10E">
      <w:pPr>
        <w:pStyle w:val="12"/>
        <w:ind w:firstLine="42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地址：</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邮政编码：</w:t>
      </w:r>
      <w:r>
        <w:rPr>
          <w:rFonts w:hint="eastAsia" w:ascii="宋体" w:hAnsi="宋体" w:eastAsia="宋体" w:cs="宋体"/>
          <w:color w:val="auto"/>
          <w:sz w:val="28"/>
          <w:szCs w:val="28"/>
          <w:highlight w:val="none"/>
          <w:u w:val="single"/>
        </w:rPr>
        <w:t xml:space="preserve">                </w:t>
      </w:r>
    </w:p>
    <w:p w14:paraId="70D6DC9E">
      <w:pPr>
        <w:pStyle w:val="12"/>
        <w:ind w:firstLine="42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电话：</w:t>
      </w:r>
      <w:r>
        <w:rPr>
          <w:rFonts w:hint="eastAsia" w:ascii="宋体" w:hAnsi="宋体" w:eastAsia="宋体" w:cs="宋体"/>
          <w:color w:val="auto"/>
          <w:sz w:val="28"/>
          <w:szCs w:val="28"/>
          <w:highlight w:val="none"/>
          <w:u w:val="single"/>
        </w:rPr>
        <w:t xml:space="preserve">                                     </w:t>
      </w:r>
    </w:p>
    <w:p w14:paraId="16B4FF30">
      <w:pPr>
        <w:pStyle w:val="12"/>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传真：</w:t>
      </w:r>
      <w:r>
        <w:rPr>
          <w:rFonts w:hint="eastAsia" w:ascii="宋体" w:hAnsi="宋体" w:eastAsia="宋体" w:cs="宋体"/>
          <w:color w:val="auto"/>
          <w:sz w:val="28"/>
          <w:szCs w:val="28"/>
          <w:highlight w:val="none"/>
          <w:u w:val="single"/>
        </w:rPr>
        <w:t xml:space="preserve">                                       </w:t>
      </w:r>
    </w:p>
    <w:p w14:paraId="46716672">
      <w:pPr>
        <w:pStyle w:val="12"/>
        <w:ind w:firstLine="42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开户名称：</w:t>
      </w:r>
      <w:r>
        <w:rPr>
          <w:rFonts w:hint="eastAsia" w:ascii="宋体" w:hAnsi="宋体" w:eastAsia="宋体" w:cs="宋体"/>
          <w:color w:val="auto"/>
          <w:sz w:val="28"/>
          <w:szCs w:val="28"/>
          <w:highlight w:val="none"/>
          <w:u w:val="single"/>
        </w:rPr>
        <w:t xml:space="preserve">                      </w:t>
      </w:r>
    </w:p>
    <w:p w14:paraId="126806E9">
      <w:pPr>
        <w:pStyle w:val="12"/>
        <w:ind w:firstLine="42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开户银行：</w:t>
      </w:r>
      <w:r>
        <w:rPr>
          <w:rFonts w:hint="eastAsia" w:ascii="宋体" w:hAnsi="宋体" w:eastAsia="宋体" w:cs="宋体"/>
          <w:color w:val="auto"/>
          <w:sz w:val="28"/>
          <w:szCs w:val="28"/>
          <w:highlight w:val="none"/>
          <w:u w:val="single"/>
        </w:rPr>
        <w:t xml:space="preserve">             </w:t>
      </w:r>
    </w:p>
    <w:p w14:paraId="778B6DA0">
      <w:pPr>
        <w:pStyle w:val="12"/>
        <w:ind w:firstLine="42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帐    号：</w:t>
      </w:r>
      <w:r>
        <w:rPr>
          <w:rFonts w:hint="eastAsia" w:ascii="宋体" w:hAnsi="宋体" w:eastAsia="宋体" w:cs="宋体"/>
          <w:color w:val="auto"/>
          <w:sz w:val="28"/>
          <w:szCs w:val="28"/>
          <w:highlight w:val="none"/>
          <w:u w:val="single"/>
        </w:rPr>
        <w:t xml:space="preserve">                        </w:t>
      </w:r>
    </w:p>
    <w:p w14:paraId="35B02D91">
      <w:pPr>
        <w:spacing w:before="240" w:beforeLines="100"/>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rPr>
        <w:t>（电子签章）</w:t>
      </w:r>
    </w:p>
    <w:p w14:paraId="09F94D60">
      <w:pPr>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法定代表人(单位负责人)或其委托代理人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none"/>
        </w:rPr>
        <w:t>（电子签章）</w:t>
      </w:r>
    </w:p>
    <w:p w14:paraId="671164A0">
      <w:pPr>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    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none"/>
        </w:rPr>
        <w:t xml:space="preserve"> 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none"/>
        </w:rPr>
        <w:t>日</w:t>
      </w:r>
    </w:p>
    <w:p w14:paraId="3E42F86C">
      <w:pPr>
        <w:rPr>
          <w:rFonts w:hint="eastAsia" w:ascii="宋体" w:hAnsi="宋体" w:eastAsia="宋体" w:cs="宋体"/>
          <w:b/>
          <w:bCs/>
          <w:color w:val="auto"/>
          <w:sz w:val="28"/>
          <w:szCs w:val="28"/>
          <w:highlight w:val="none"/>
        </w:rPr>
      </w:pPr>
      <w:bookmarkStart w:id="427" w:name="_Toc25474"/>
      <w:bookmarkStart w:id="428" w:name="_Toc381109083"/>
      <w:bookmarkStart w:id="429" w:name="_Toc392492205"/>
      <w:bookmarkStart w:id="430" w:name="_Toc392492466"/>
      <w:r>
        <w:rPr>
          <w:rFonts w:hint="eastAsia" w:ascii="宋体" w:hAnsi="宋体" w:eastAsia="宋体" w:cs="宋体"/>
          <w:b/>
          <w:bCs/>
          <w:color w:val="auto"/>
          <w:sz w:val="28"/>
          <w:szCs w:val="28"/>
          <w:highlight w:val="none"/>
        </w:rPr>
        <w:br w:type="page"/>
      </w:r>
    </w:p>
    <w:p w14:paraId="592F6292">
      <w:pPr>
        <w:pStyle w:val="4"/>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格式2：</w:t>
      </w:r>
      <w:bookmarkEnd w:id="427"/>
      <w:r>
        <w:rPr>
          <w:rFonts w:hint="eastAsia" w:ascii="宋体" w:hAnsi="宋体" w:eastAsia="宋体" w:cs="宋体"/>
          <w:color w:val="auto"/>
          <w:highlight w:val="none"/>
          <w:lang w:val="en-US" w:eastAsia="zh-CN"/>
        </w:rPr>
        <w:t>法定代表人身份证明书及授权委托书</w:t>
      </w:r>
    </w:p>
    <w:p w14:paraId="5DC7CB97">
      <w:pPr>
        <w:rPr>
          <w:rFonts w:hint="eastAsia" w:ascii="宋体" w:hAnsi="宋体" w:eastAsia="宋体" w:cs="宋体"/>
          <w:color w:val="auto"/>
          <w:highlight w:val="none"/>
        </w:rPr>
      </w:pPr>
    </w:p>
    <w:p w14:paraId="7231BFC8">
      <w:pPr>
        <w:pStyle w:val="5"/>
        <w:bidi w:val="0"/>
        <w:jc w:val="center"/>
        <w:rPr>
          <w:rFonts w:hint="eastAsia" w:ascii="宋体" w:hAnsi="宋体" w:eastAsia="宋体" w:cs="宋体"/>
          <w:color w:val="auto"/>
          <w:highlight w:val="none"/>
        </w:rPr>
      </w:pPr>
      <w:r>
        <w:rPr>
          <w:rFonts w:hint="eastAsia" w:ascii="宋体" w:hAnsi="宋体" w:eastAsia="宋体" w:cs="宋体"/>
          <w:color w:val="auto"/>
          <w:highlight w:val="none"/>
        </w:rPr>
        <w:t>1.法定代表人身份证明书</w:t>
      </w:r>
      <w:bookmarkEnd w:id="428"/>
      <w:bookmarkEnd w:id="429"/>
      <w:bookmarkEnd w:id="430"/>
    </w:p>
    <w:p w14:paraId="1400E708">
      <w:pPr>
        <w:spacing w:line="440" w:lineRule="exact"/>
        <w:jc w:val="center"/>
        <w:rPr>
          <w:rFonts w:hint="eastAsia" w:ascii="宋体" w:hAnsi="宋体" w:eastAsia="宋体" w:cs="宋体"/>
          <w:b/>
          <w:color w:val="auto"/>
          <w:sz w:val="30"/>
          <w:szCs w:val="30"/>
          <w:highlight w:val="none"/>
        </w:rPr>
      </w:pPr>
    </w:p>
    <w:p w14:paraId="3BC20D9E">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供应商名称：</w:t>
      </w:r>
    </w:p>
    <w:p w14:paraId="557D3BA5">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单位性质：</w:t>
      </w:r>
    </w:p>
    <w:p w14:paraId="3ED8C1B7">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成立时间：年月日</w:t>
      </w:r>
    </w:p>
    <w:p w14:paraId="12D93BBB">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经营期限：</w:t>
      </w:r>
    </w:p>
    <w:p w14:paraId="07FD06C3">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姓名：性别：年龄：职务：</w:t>
      </w:r>
    </w:p>
    <w:p w14:paraId="66C3672D">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系（供应商名称）的法定代表人。</w:t>
      </w:r>
    </w:p>
    <w:p w14:paraId="2573A7A5">
      <w:pPr>
        <w:spacing w:line="360" w:lineRule="auto"/>
        <w:rPr>
          <w:rFonts w:hint="eastAsia" w:ascii="宋体" w:hAnsi="宋体" w:eastAsia="宋体" w:cs="宋体"/>
          <w:color w:val="auto"/>
          <w:highlight w:val="none"/>
        </w:rPr>
      </w:pPr>
    </w:p>
    <w:p w14:paraId="7935F93D">
      <w:pPr>
        <w:spacing w:line="360" w:lineRule="auto"/>
        <w:ind w:firstLine="480" w:firstLineChars="200"/>
        <w:rPr>
          <w:rFonts w:hint="eastAsia" w:ascii="宋体" w:hAnsi="宋体" w:eastAsia="宋体" w:cs="宋体"/>
          <w:color w:val="auto"/>
          <w:highlight w:val="none"/>
        </w:rPr>
      </w:pPr>
    </w:p>
    <w:p w14:paraId="15B93230">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特此证明。</w:t>
      </w:r>
    </w:p>
    <w:p w14:paraId="2262CD2F">
      <w:pPr>
        <w:spacing w:line="360" w:lineRule="auto"/>
        <w:rPr>
          <w:rFonts w:hint="eastAsia" w:ascii="宋体" w:hAnsi="宋体" w:eastAsia="宋体" w:cs="宋体"/>
          <w:color w:val="auto"/>
          <w:highlight w:val="none"/>
        </w:rPr>
      </w:pPr>
    </w:p>
    <w:p w14:paraId="24AF4E59">
      <w:pPr>
        <w:spacing w:line="360" w:lineRule="auto"/>
        <w:rPr>
          <w:rFonts w:hint="eastAsia" w:ascii="宋体" w:hAnsi="宋体" w:eastAsia="宋体" w:cs="宋体"/>
          <w:color w:val="auto"/>
          <w:highlight w:val="none"/>
        </w:rPr>
      </w:pPr>
    </w:p>
    <w:p w14:paraId="2F657D50">
      <w:pPr>
        <w:pStyle w:val="12"/>
        <w:spacing w:line="500" w:lineRule="exact"/>
        <w:ind w:firstLine="42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注：附法定代表人身份证原件扫描件。</w:t>
      </w:r>
    </w:p>
    <w:p w14:paraId="2661267C">
      <w:pPr>
        <w:spacing w:line="360" w:lineRule="auto"/>
        <w:rPr>
          <w:rFonts w:hint="eastAsia" w:ascii="宋体" w:hAnsi="宋体" w:eastAsia="宋体" w:cs="宋体"/>
          <w:color w:val="auto"/>
          <w:highlight w:val="none"/>
        </w:rPr>
      </w:pPr>
    </w:p>
    <w:p w14:paraId="75E441EE">
      <w:pPr>
        <w:spacing w:line="360" w:lineRule="auto"/>
        <w:rPr>
          <w:rFonts w:hint="eastAsia" w:ascii="宋体" w:hAnsi="宋体" w:eastAsia="宋体" w:cs="宋体"/>
          <w:color w:val="auto"/>
          <w:highlight w:val="none"/>
        </w:rPr>
      </w:pPr>
    </w:p>
    <w:p w14:paraId="69B9221C">
      <w:pPr>
        <w:spacing w:line="360" w:lineRule="auto"/>
        <w:ind w:left="6168" w:leftChars="2400" w:hanging="408" w:hangingChars="170"/>
        <w:rPr>
          <w:rFonts w:hint="eastAsia" w:ascii="宋体" w:hAnsi="宋体" w:eastAsia="宋体" w:cs="宋体"/>
          <w:color w:val="auto"/>
          <w:highlight w:val="none"/>
        </w:rPr>
      </w:pPr>
      <w:r>
        <w:rPr>
          <w:rFonts w:hint="eastAsia" w:ascii="宋体" w:hAnsi="宋体" w:eastAsia="宋体" w:cs="宋体"/>
          <w:color w:val="auto"/>
          <w:highlight w:val="none"/>
        </w:rPr>
        <w:t>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（电子签章）</w:t>
      </w:r>
    </w:p>
    <w:p w14:paraId="3985A79E">
      <w:pPr>
        <w:spacing w:line="360" w:lineRule="auto"/>
        <w:ind w:left="6168" w:leftChars="2400" w:hanging="408" w:hangingChars="170"/>
        <w:rPr>
          <w:rFonts w:hint="eastAsia" w:ascii="宋体" w:hAnsi="宋体" w:eastAsia="宋体" w:cs="宋体"/>
          <w:color w:val="auto"/>
          <w:highlight w:val="none"/>
        </w:rPr>
      </w:pPr>
    </w:p>
    <w:p w14:paraId="3AA517E1">
      <w:pPr>
        <w:spacing w:line="360" w:lineRule="auto"/>
        <w:ind w:left="6168" w:leftChars="2400" w:hanging="408" w:hangingChars="170"/>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99C0437">
      <w:pPr>
        <w:pStyle w:val="5"/>
        <w:bidi w:val="0"/>
        <w:jc w:val="center"/>
        <w:rPr>
          <w:rFonts w:hint="eastAsia" w:ascii="宋体" w:hAnsi="宋体" w:eastAsia="宋体" w:cs="宋体"/>
          <w:color w:val="auto"/>
          <w:highlight w:val="none"/>
        </w:rPr>
      </w:pPr>
      <w:bookmarkStart w:id="431" w:name="_Toc392492206"/>
      <w:bookmarkStart w:id="432" w:name="_Toc381109084"/>
      <w:bookmarkStart w:id="433" w:name="_Toc213141107"/>
      <w:bookmarkStart w:id="434" w:name="_Toc392492467"/>
      <w:r>
        <w:rPr>
          <w:rFonts w:hint="eastAsia" w:ascii="宋体" w:hAnsi="宋体" w:eastAsia="宋体" w:cs="宋体"/>
          <w:color w:val="auto"/>
          <w:highlight w:val="none"/>
        </w:rPr>
        <w:br w:type="page"/>
      </w:r>
      <w:r>
        <w:rPr>
          <w:rFonts w:hint="eastAsia" w:ascii="宋体" w:hAnsi="宋体" w:eastAsia="宋体" w:cs="宋体"/>
          <w:color w:val="auto"/>
          <w:highlight w:val="none"/>
        </w:rPr>
        <w:t>2.法定代表人授权委托书</w:t>
      </w:r>
      <w:bookmarkEnd w:id="431"/>
      <w:bookmarkEnd w:id="432"/>
      <w:bookmarkEnd w:id="433"/>
      <w:bookmarkEnd w:id="434"/>
    </w:p>
    <w:p w14:paraId="51F8C1B9">
      <w:pPr>
        <w:pStyle w:val="12"/>
        <w:spacing w:line="500" w:lineRule="exact"/>
        <w:ind w:firstLine="480" w:firstLineChars="200"/>
        <w:rPr>
          <w:rFonts w:hint="eastAsia" w:ascii="宋体" w:hAnsi="宋体" w:eastAsia="宋体" w:cs="宋体"/>
          <w:color w:val="auto"/>
          <w:szCs w:val="24"/>
          <w:highlight w:val="none"/>
        </w:rPr>
      </w:pPr>
    </w:p>
    <w:p w14:paraId="72C7E501">
      <w:pPr>
        <w:spacing w:line="360" w:lineRule="auto"/>
        <w:ind w:firstLine="480" w:firstLineChars="200"/>
        <w:rPr>
          <w:rFonts w:hint="eastAsia" w:ascii="宋体" w:hAnsi="宋体" w:eastAsia="宋体" w:cs="宋体"/>
          <w:color w:val="auto"/>
          <w:szCs w:val="20"/>
          <w:highlight w:val="none"/>
        </w:rPr>
      </w:pPr>
      <w:r>
        <w:rPr>
          <w:rFonts w:hint="eastAsia" w:ascii="宋体" w:hAnsi="宋体" w:eastAsia="宋体" w:cs="宋体"/>
          <w:color w:val="auto"/>
          <w:szCs w:val="20"/>
          <w:highlight w:val="none"/>
        </w:rPr>
        <w:t>本授权书声明：</w:t>
      </w:r>
      <w:r>
        <w:rPr>
          <w:rFonts w:hint="eastAsia" w:ascii="宋体" w:hAnsi="宋体" w:eastAsia="宋体" w:cs="宋体"/>
          <w:color w:val="auto"/>
          <w:szCs w:val="20"/>
          <w:highlight w:val="none"/>
          <w:u w:val="single"/>
        </w:rPr>
        <w:t>（供应商全称）</w:t>
      </w:r>
      <w:r>
        <w:rPr>
          <w:rFonts w:hint="eastAsia" w:ascii="宋体" w:hAnsi="宋体" w:eastAsia="宋体" w:cs="宋体"/>
          <w:color w:val="auto"/>
          <w:szCs w:val="20"/>
          <w:highlight w:val="none"/>
        </w:rPr>
        <w:t>的</w:t>
      </w:r>
      <w:r>
        <w:rPr>
          <w:rFonts w:hint="eastAsia" w:ascii="宋体" w:hAnsi="宋体" w:eastAsia="宋体" w:cs="宋体"/>
          <w:color w:val="auto"/>
          <w:szCs w:val="20"/>
          <w:highlight w:val="none"/>
          <w:u w:val="single"/>
        </w:rPr>
        <w:t>（法定代表人）</w:t>
      </w:r>
      <w:r>
        <w:rPr>
          <w:rFonts w:hint="eastAsia" w:ascii="宋体" w:hAnsi="宋体" w:eastAsia="宋体" w:cs="宋体"/>
          <w:color w:val="auto"/>
          <w:szCs w:val="20"/>
          <w:highlight w:val="none"/>
        </w:rPr>
        <w:t>代表本公司授权</w:t>
      </w:r>
      <w:r>
        <w:rPr>
          <w:rFonts w:hint="eastAsia" w:ascii="宋体" w:hAnsi="宋体" w:eastAsia="宋体" w:cs="宋体"/>
          <w:color w:val="auto"/>
          <w:szCs w:val="20"/>
          <w:highlight w:val="none"/>
          <w:u w:val="single"/>
        </w:rPr>
        <w:t>（委托代理人姓名）</w:t>
      </w:r>
      <w:r>
        <w:rPr>
          <w:rFonts w:hint="eastAsia" w:ascii="宋体" w:hAnsi="宋体" w:eastAsia="宋体" w:cs="宋体"/>
          <w:color w:val="auto"/>
          <w:szCs w:val="20"/>
          <w:highlight w:val="none"/>
        </w:rPr>
        <w:t>为本公司合法代理人，就贵方组织的有关</w:t>
      </w:r>
      <w:r>
        <w:rPr>
          <w:rFonts w:hint="eastAsia" w:ascii="宋体" w:hAnsi="宋体" w:eastAsia="宋体" w:cs="宋体"/>
          <w:color w:val="auto"/>
          <w:szCs w:val="20"/>
          <w:highlight w:val="none"/>
          <w:u w:val="single"/>
        </w:rPr>
        <w:t>（项目名称）</w:t>
      </w:r>
      <w:r>
        <w:rPr>
          <w:rFonts w:hint="eastAsia" w:ascii="宋体" w:hAnsi="宋体" w:eastAsia="宋体" w:cs="宋体"/>
          <w:color w:val="auto"/>
          <w:szCs w:val="20"/>
          <w:highlight w:val="none"/>
          <w:u w:val="single"/>
          <w:lang w:eastAsia="zh-CN"/>
        </w:rPr>
        <w:t>、</w:t>
      </w:r>
      <w:r>
        <w:rPr>
          <w:rFonts w:hint="eastAsia" w:ascii="宋体" w:hAnsi="宋体" w:eastAsia="宋体" w:cs="宋体"/>
          <w:color w:val="auto"/>
          <w:szCs w:val="20"/>
          <w:highlight w:val="none"/>
          <w:u w:val="single"/>
        </w:rPr>
        <w:t>（招标编号）</w:t>
      </w:r>
      <w:r>
        <w:rPr>
          <w:rFonts w:hint="eastAsia" w:ascii="宋体" w:hAnsi="宋体" w:eastAsia="宋体" w:cs="宋体"/>
          <w:color w:val="auto"/>
          <w:szCs w:val="20"/>
          <w:highlight w:val="none"/>
        </w:rPr>
        <w:t>的招标活动，以本单位名义投标。代理人在本项目投标过程中所签署的一切文件和处理与之有关的一切事务，我方均予承认。</w:t>
      </w:r>
    </w:p>
    <w:p w14:paraId="7EF1FB5E">
      <w:pPr>
        <w:pageBreakBefore w:val="0"/>
        <w:kinsoku/>
        <w:overflowPunct/>
        <w:bidi w:val="0"/>
        <w:spacing w:before="64" w:beforeLines="20" w:after="64" w:afterLines="20" w:line="360" w:lineRule="auto"/>
        <w:ind w:left="48" w:leftChars="20" w:right="48" w:rightChars="20" w:firstLine="480" w:firstLineChars="2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委托期限：自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w:t>
      </w:r>
    </w:p>
    <w:p w14:paraId="6F37B8B2">
      <w:pPr>
        <w:pStyle w:val="12"/>
        <w:spacing w:line="5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代理人无转委托权。</w:t>
      </w:r>
    </w:p>
    <w:p w14:paraId="38A8EF54">
      <w:pPr>
        <w:pStyle w:val="12"/>
        <w:spacing w:line="500" w:lineRule="exact"/>
        <w:ind w:firstLine="647" w:firstLineChars="322"/>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注：附</w:t>
      </w:r>
      <w:r>
        <w:rPr>
          <w:rFonts w:hint="eastAsia" w:ascii="宋体" w:hAnsi="宋体" w:eastAsia="宋体" w:cs="宋体"/>
          <w:b/>
          <w:bCs/>
          <w:color w:val="auto"/>
          <w:sz w:val="20"/>
          <w:highlight w:val="none"/>
          <w:lang w:val="en-US" w:eastAsia="zh-CN"/>
        </w:rPr>
        <w:t>法定代表人及</w:t>
      </w:r>
      <w:r>
        <w:rPr>
          <w:rFonts w:hint="eastAsia" w:ascii="宋体" w:hAnsi="宋体" w:eastAsia="宋体" w:cs="宋体"/>
          <w:b/>
          <w:bCs/>
          <w:color w:val="auto"/>
          <w:sz w:val="20"/>
          <w:highlight w:val="none"/>
        </w:rPr>
        <w:t>委托代理人身份证原件扫描件。</w:t>
      </w:r>
    </w:p>
    <w:p w14:paraId="27DED07D">
      <w:pPr>
        <w:pStyle w:val="12"/>
        <w:spacing w:line="500" w:lineRule="exact"/>
        <w:ind w:firstLine="420"/>
        <w:rPr>
          <w:rFonts w:hint="eastAsia" w:ascii="宋体" w:hAnsi="宋体" w:eastAsia="宋体" w:cs="宋体"/>
          <w:color w:val="auto"/>
          <w:highlight w:val="none"/>
        </w:rPr>
      </w:pPr>
    </w:p>
    <w:p w14:paraId="4F8114C6">
      <w:pPr>
        <w:pStyle w:val="12"/>
        <w:spacing w:line="500" w:lineRule="exact"/>
        <w:ind w:firstLine="3840" w:firstLineChars="1600"/>
        <w:rPr>
          <w:rFonts w:hint="eastAsia" w:ascii="宋体" w:hAnsi="宋体" w:eastAsia="宋体" w:cs="宋体"/>
          <w:color w:val="auto"/>
          <w:highlight w:val="none"/>
          <w:u w:val="single"/>
        </w:rPr>
      </w:pPr>
      <w:r>
        <w:rPr>
          <w:rFonts w:hint="eastAsia" w:ascii="宋体" w:hAnsi="宋体" w:eastAsia="宋体" w:cs="宋体"/>
          <w:color w:val="auto"/>
          <w:highlight w:val="none"/>
        </w:rPr>
        <w:t>法定代表人(单位负责人)：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（电子签章）</w:t>
      </w:r>
    </w:p>
    <w:p w14:paraId="266C59E8">
      <w:pPr>
        <w:pStyle w:val="12"/>
        <w:spacing w:line="500" w:lineRule="exact"/>
        <w:ind w:firstLine="3840" w:firstLineChars="1600"/>
        <w:rPr>
          <w:rFonts w:hint="eastAsia" w:ascii="宋体" w:hAnsi="宋体" w:eastAsia="宋体" w:cs="宋体"/>
          <w:color w:val="auto"/>
          <w:highlight w:val="none"/>
        </w:rPr>
      </w:pPr>
    </w:p>
    <w:p w14:paraId="7A9C81E8">
      <w:pPr>
        <w:pStyle w:val="12"/>
        <w:spacing w:line="500" w:lineRule="exact"/>
        <w:ind w:firstLine="3840" w:firstLineChars="1600"/>
        <w:rPr>
          <w:rFonts w:hint="eastAsia" w:ascii="宋体" w:hAnsi="宋体" w:eastAsia="宋体" w:cs="宋体"/>
          <w:color w:val="auto"/>
          <w:highlight w:val="none"/>
        </w:rPr>
      </w:pPr>
      <w:r>
        <w:rPr>
          <w:rFonts w:hint="eastAsia" w:ascii="宋体" w:hAnsi="宋体" w:eastAsia="宋体" w:cs="宋体"/>
          <w:color w:val="auto"/>
          <w:highlight w:val="none"/>
        </w:rPr>
        <w:t>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（电子签章）</w:t>
      </w:r>
    </w:p>
    <w:p w14:paraId="748CC549">
      <w:pPr>
        <w:pStyle w:val="12"/>
        <w:spacing w:line="500" w:lineRule="exact"/>
        <w:ind w:firstLine="3840" w:firstLineChars="1600"/>
        <w:rPr>
          <w:rFonts w:hint="eastAsia" w:ascii="宋体" w:hAnsi="宋体" w:eastAsia="宋体" w:cs="宋体"/>
          <w:color w:val="auto"/>
          <w:highlight w:val="none"/>
        </w:rPr>
      </w:pPr>
    </w:p>
    <w:p w14:paraId="57CF215B">
      <w:pPr>
        <w:pStyle w:val="12"/>
        <w:spacing w:line="500" w:lineRule="exact"/>
        <w:ind w:firstLine="3840" w:firstLineChars="1600"/>
        <w:rPr>
          <w:rFonts w:hint="eastAsia" w:ascii="宋体" w:hAnsi="宋体" w:eastAsia="宋体" w:cs="宋体"/>
          <w:color w:val="auto"/>
          <w:highlight w:val="none"/>
        </w:rPr>
      </w:pPr>
      <w:r>
        <w:rPr>
          <w:rFonts w:hint="eastAsia" w:ascii="宋体" w:hAnsi="宋体" w:eastAsia="宋体" w:cs="宋体"/>
          <w:color w:val="auto"/>
          <w:highlight w:val="none"/>
        </w:rPr>
        <w:t>签发日期：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65629DCB">
      <w:pPr>
        <w:pStyle w:val="12"/>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_________________________________________________________________________________</w:t>
      </w:r>
    </w:p>
    <w:tbl>
      <w:tblPr>
        <w:tblStyle w:val="26"/>
        <w:tblW w:w="5868" w:type="dxa"/>
        <w:tblInd w:w="720" w:type="dxa"/>
        <w:tblLayout w:type="fixed"/>
        <w:tblCellMar>
          <w:top w:w="0" w:type="dxa"/>
          <w:left w:w="108" w:type="dxa"/>
          <w:bottom w:w="0" w:type="dxa"/>
          <w:right w:w="108" w:type="dxa"/>
        </w:tblCellMar>
      </w:tblPr>
      <w:tblGrid>
        <w:gridCol w:w="3661"/>
        <w:gridCol w:w="2207"/>
      </w:tblGrid>
      <w:tr w14:paraId="6A88DE8D">
        <w:tblPrEx>
          <w:tblCellMar>
            <w:top w:w="0" w:type="dxa"/>
            <w:left w:w="108" w:type="dxa"/>
            <w:bottom w:w="0" w:type="dxa"/>
            <w:right w:w="108" w:type="dxa"/>
          </w:tblCellMar>
        </w:tblPrEx>
        <w:tc>
          <w:tcPr>
            <w:tcW w:w="3661" w:type="dxa"/>
            <w:tcBorders>
              <w:top w:val="nil"/>
              <w:left w:val="nil"/>
              <w:bottom w:val="nil"/>
              <w:right w:val="nil"/>
            </w:tcBorders>
          </w:tcPr>
          <w:p w14:paraId="6F80A112">
            <w:pPr>
              <w:pStyle w:val="12"/>
              <w:spacing w:line="500" w:lineRule="exact"/>
              <w:jc w:val="distribute"/>
              <w:rPr>
                <w:rFonts w:hint="eastAsia" w:ascii="宋体" w:hAnsi="宋体" w:eastAsia="宋体" w:cs="宋体"/>
                <w:color w:val="auto"/>
                <w:highlight w:val="none"/>
              </w:rPr>
            </w:pPr>
            <w:r>
              <w:rPr>
                <w:rFonts w:hint="eastAsia" w:ascii="宋体" w:hAnsi="宋体" w:eastAsia="宋体" w:cs="宋体"/>
                <w:color w:val="auto"/>
                <w:highlight w:val="none"/>
              </w:rPr>
              <w:t>委托代理人</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签字或签章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tc>
        <w:tc>
          <w:tcPr>
            <w:tcW w:w="2207" w:type="dxa"/>
            <w:tcBorders>
              <w:top w:val="nil"/>
              <w:left w:val="nil"/>
              <w:bottom w:val="nil"/>
              <w:right w:val="nil"/>
            </w:tcBorders>
          </w:tcPr>
          <w:p w14:paraId="7D36053D">
            <w:pPr>
              <w:pStyle w:val="12"/>
              <w:spacing w:line="500" w:lineRule="exact"/>
              <w:rPr>
                <w:rFonts w:hint="eastAsia" w:ascii="宋体" w:hAnsi="宋体" w:eastAsia="宋体" w:cs="宋体"/>
                <w:color w:val="auto"/>
                <w:highlight w:val="none"/>
              </w:rPr>
            </w:pPr>
          </w:p>
        </w:tc>
      </w:tr>
      <w:tr w14:paraId="4A0EDAA5">
        <w:tblPrEx>
          <w:tblCellMar>
            <w:top w:w="0" w:type="dxa"/>
            <w:left w:w="108" w:type="dxa"/>
            <w:bottom w:w="0" w:type="dxa"/>
            <w:right w:w="108" w:type="dxa"/>
          </w:tblCellMar>
        </w:tblPrEx>
        <w:tc>
          <w:tcPr>
            <w:tcW w:w="3661" w:type="dxa"/>
            <w:tcBorders>
              <w:top w:val="nil"/>
              <w:left w:val="nil"/>
              <w:bottom w:val="nil"/>
              <w:right w:val="nil"/>
            </w:tcBorders>
          </w:tcPr>
          <w:p w14:paraId="76CA5DC2">
            <w:pPr>
              <w:pStyle w:val="12"/>
              <w:spacing w:line="500" w:lineRule="exact"/>
              <w:jc w:val="distribute"/>
              <w:rPr>
                <w:rFonts w:hint="eastAsia" w:ascii="宋体" w:hAnsi="宋体" w:eastAsia="宋体" w:cs="宋体"/>
                <w:color w:val="auto"/>
                <w:highlight w:val="none"/>
              </w:rPr>
            </w:pPr>
            <w:r>
              <w:rPr>
                <w:rFonts w:hint="eastAsia" w:ascii="宋体" w:hAnsi="宋体" w:eastAsia="宋体" w:cs="宋体"/>
                <w:color w:val="auto"/>
                <w:highlight w:val="none"/>
              </w:rPr>
              <w:t>职       务：</w:t>
            </w:r>
          </w:p>
        </w:tc>
        <w:tc>
          <w:tcPr>
            <w:tcW w:w="2207" w:type="dxa"/>
            <w:tcBorders>
              <w:top w:val="nil"/>
              <w:left w:val="nil"/>
              <w:bottom w:val="nil"/>
              <w:right w:val="nil"/>
            </w:tcBorders>
          </w:tcPr>
          <w:p w14:paraId="7144FAE3">
            <w:pPr>
              <w:pStyle w:val="12"/>
              <w:spacing w:line="500" w:lineRule="exact"/>
              <w:rPr>
                <w:rFonts w:hint="eastAsia" w:ascii="宋体" w:hAnsi="宋体" w:eastAsia="宋体" w:cs="宋体"/>
                <w:color w:val="auto"/>
                <w:highlight w:val="none"/>
              </w:rPr>
            </w:pPr>
          </w:p>
        </w:tc>
      </w:tr>
      <w:tr w14:paraId="657D2650">
        <w:tblPrEx>
          <w:tblCellMar>
            <w:top w:w="0" w:type="dxa"/>
            <w:left w:w="108" w:type="dxa"/>
            <w:bottom w:w="0" w:type="dxa"/>
            <w:right w:w="108" w:type="dxa"/>
          </w:tblCellMar>
        </w:tblPrEx>
        <w:tc>
          <w:tcPr>
            <w:tcW w:w="3661" w:type="dxa"/>
            <w:tcBorders>
              <w:top w:val="nil"/>
              <w:left w:val="nil"/>
              <w:bottom w:val="nil"/>
              <w:right w:val="nil"/>
            </w:tcBorders>
          </w:tcPr>
          <w:p w14:paraId="7E8F0D09">
            <w:pPr>
              <w:pStyle w:val="12"/>
              <w:spacing w:line="500" w:lineRule="exact"/>
              <w:jc w:val="distribute"/>
              <w:rPr>
                <w:rFonts w:hint="eastAsia" w:ascii="宋体" w:hAnsi="宋体" w:eastAsia="宋体" w:cs="宋体"/>
                <w:color w:val="auto"/>
                <w:highlight w:val="none"/>
              </w:rPr>
            </w:pPr>
            <w:r>
              <w:rPr>
                <w:rFonts w:hint="eastAsia" w:ascii="宋体" w:hAnsi="宋体" w:eastAsia="宋体" w:cs="宋体"/>
                <w:color w:val="auto"/>
                <w:highlight w:val="none"/>
              </w:rPr>
              <w:t>身份证号码：</w:t>
            </w:r>
          </w:p>
        </w:tc>
        <w:tc>
          <w:tcPr>
            <w:tcW w:w="2207" w:type="dxa"/>
            <w:tcBorders>
              <w:top w:val="nil"/>
              <w:left w:val="nil"/>
              <w:bottom w:val="nil"/>
              <w:right w:val="nil"/>
            </w:tcBorders>
          </w:tcPr>
          <w:p w14:paraId="7600E0A6">
            <w:pPr>
              <w:pStyle w:val="12"/>
              <w:spacing w:line="500" w:lineRule="exact"/>
              <w:rPr>
                <w:rFonts w:hint="eastAsia" w:ascii="宋体" w:hAnsi="宋体" w:eastAsia="宋体" w:cs="宋体"/>
                <w:color w:val="auto"/>
                <w:highlight w:val="none"/>
              </w:rPr>
            </w:pPr>
          </w:p>
        </w:tc>
      </w:tr>
      <w:tr w14:paraId="6BE1406A">
        <w:tblPrEx>
          <w:tblCellMar>
            <w:top w:w="0" w:type="dxa"/>
            <w:left w:w="108" w:type="dxa"/>
            <w:bottom w:w="0" w:type="dxa"/>
            <w:right w:w="108" w:type="dxa"/>
          </w:tblCellMar>
        </w:tblPrEx>
        <w:tc>
          <w:tcPr>
            <w:tcW w:w="3661" w:type="dxa"/>
            <w:tcBorders>
              <w:top w:val="nil"/>
              <w:left w:val="nil"/>
              <w:bottom w:val="nil"/>
              <w:right w:val="nil"/>
            </w:tcBorders>
          </w:tcPr>
          <w:p w14:paraId="090346F8">
            <w:pPr>
              <w:pStyle w:val="12"/>
              <w:spacing w:line="500" w:lineRule="exact"/>
              <w:jc w:val="distribute"/>
              <w:rPr>
                <w:rFonts w:hint="eastAsia" w:ascii="宋体" w:hAnsi="宋体" w:eastAsia="宋体" w:cs="宋体"/>
                <w:color w:val="auto"/>
                <w:highlight w:val="none"/>
              </w:rPr>
            </w:pPr>
            <w:r>
              <w:rPr>
                <w:rFonts w:hint="eastAsia" w:ascii="宋体" w:hAnsi="宋体" w:eastAsia="宋体" w:cs="宋体"/>
                <w:color w:val="auto"/>
                <w:highlight w:val="none"/>
              </w:rPr>
              <w:t>电       话：</w:t>
            </w:r>
          </w:p>
        </w:tc>
        <w:tc>
          <w:tcPr>
            <w:tcW w:w="2207" w:type="dxa"/>
            <w:tcBorders>
              <w:top w:val="nil"/>
              <w:left w:val="nil"/>
              <w:bottom w:val="nil"/>
              <w:right w:val="nil"/>
            </w:tcBorders>
          </w:tcPr>
          <w:p w14:paraId="56E9E875">
            <w:pPr>
              <w:pStyle w:val="12"/>
              <w:spacing w:line="500" w:lineRule="exact"/>
              <w:rPr>
                <w:rFonts w:hint="eastAsia" w:ascii="宋体" w:hAnsi="宋体" w:eastAsia="宋体" w:cs="宋体"/>
                <w:color w:val="auto"/>
                <w:highlight w:val="none"/>
              </w:rPr>
            </w:pPr>
          </w:p>
        </w:tc>
      </w:tr>
    </w:tbl>
    <w:p w14:paraId="6CE72788">
      <w:pPr>
        <w:pStyle w:val="7"/>
        <w:ind w:firstLine="0" w:firstLineChars="0"/>
        <w:rPr>
          <w:rFonts w:hint="eastAsia" w:ascii="宋体" w:hAnsi="宋体" w:eastAsia="宋体" w:cs="宋体"/>
          <w:color w:val="auto"/>
          <w:sz w:val="24"/>
          <w:highlight w:val="none"/>
        </w:rPr>
      </w:pPr>
    </w:p>
    <w:bookmarkEnd w:id="420"/>
    <w:bookmarkEnd w:id="421"/>
    <w:bookmarkEnd w:id="422"/>
    <w:p w14:paraId="6BE8D340">
      <w:pPr>
        <w:rPr>
          <w:rStyle w:val="32"/>
          <w:rFonts w:hint="eastAsia" w:ascii="宋体" w:hAnsi="宋体" w:eastAsia="宋体" w:cs="宋体"/>
          <w:color w:val="auto"/>
          <w:highlight w:val="none"/>
        </w:rPr>
      </w:pPr>
      <w:bookmarkStart w:id="435" w:name="_Toc20465"/>
      <w:bookmarkStart w:id="436" w:name="_Toc23912"/>
      <w:bookmarkStart w:id="437" w:name="_Toc28308"/>
      <w:r>
        <w:rPr>
          <w:rStyle w:val="32"/>
          <w:rFonts w:hint="eastAsia" w:ascii="宋体" w:hAnsi="宋体" w:eastAsia="宋体" w:cs="宋体"/>
          <w:color w:val="auto"/>
          <w:highlight w:val="none"/>
        </w:rPr>
        <w:br w:type="page"/>
      </w:r>
    </w:p>
    <w:p w14:paraId="2D8039D3">
      <w:pPr>
        <w:pStyle w:val="4"/>
        <w:bidi w:val="0"/>
        <w:rPr>
          <w:rFonts w:hint="eastAsia" w:ascii="宋体" w:hAnsi="宋体" w:eastAsia="宋体" w:cs="宋体"/>
          <w:color w:val="auto"/>
          <w:highlight w:val="none"/>
        </w:rPr>
      </w:pPr>
      <w:r>
        <w:rPr>
          <w:rFonts w:hint="eastAsia" w:ascii="宋体" w:hAnsi="宋体" w:eastAsia="宋体" w:cs="宋体"/>
          <w:color w:val="auto"/>
          <w:highlight w:val="none"/>
        </w:rPr>
        <w:t>格式3：</w:t>
      </w:r>
      <w:bookmarkEnd w:id="435"/>
      <w:bookmarkEnd w:id="436"/>
      <w:bookmarkEnd w:id="437"/>
      <w:r>
        <w:rPr>
          <w:rFonts w:hint="eastAsia" w:ascii="宋体" w:hAnsi="宋体" w:eastAsia="宋体" w:cs="宋体"/>
          <w:color w:val="auto"/>
          <w:highlight w:val="none"/>
        </w:rPr>
        <w:t>资格条件承诺函</w:t>
      </w:r>
    </w:p>
    <w:p w14:paraId="3E46877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我方（供应商名称）符合《中华人民共和国政府采购法》第二十二条规定条件，具体包括:</w:t>
      </w:r>
    </w:p>
    <w:p w14:paraId="4641717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1.具有独立承担民事责任的能力；</w:t>
      </w:r>
    </w:p>
    <w:p w14:paraId="2E8E6D6C">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2.具有良好的商业信誉和健全的财务会计制度；</w:t>
      </w:r>
    </w:p>
    <w:p w14:paraId="3FC02F89">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3.有依法缴纳税收和社会保障资金的良好记录；</w:t>
      </w:r>
    </w:p>
    <w:p w14:paraId="3EC79867">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4.具有履行合同所必需的设备和专业技术能力；</w:t>
      </w:r>
    </w:p>
    <w:p w14:paraId="22382D06">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5.参加本次政府采购活动前三年内，在经营活动中没有重大违法记录；</w:t>
      </w:r>
    </w:p>
    <w:p w14:paraId="590D6A1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16A2EA70">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7.在投标（响应）截止日期前未被列入失信被执行人名单、重大税收违法案件当事人名单、政府采购严重违法失信行为记录名单。</w:t>
      </w:r>
    </w:p>
    <w:p w14:paraId="3B7AAF6F">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14:paraId="5E0D6A0D">
      <w:pPr>
        <w:spacing w:before="100" w:beforeAutospacing="1"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特此承诺！</w:t>
      </w:r>
    </w:p>
    <w:p w14:paraId="1F661CCC">
      <w:pPr>
        <w:spacing w:before="240" w:beforeLines="10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供应商：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rPr>
        <w:t>（电子签章）</w:t>
      </w:r>
    </w:p>
    <w:p w14:paraId="1E05C68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法定代表人(单位负责人)或其委托代理人</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（电子签章）</w:t>
      </w:r>
    </w:p>
    <w:p w14:paraId="560C5C3F">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日    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日</w:t>
      </w:r>
    </w:p>
    <w:p w14:paraId="7E9C07E6">
      <w:pPr>
        <w:snapToGrid w:val="0"/>
        <w:spacing w:line="360" w:lineRule="auto"/>
        <w:ind w:firstLine="442" w:firstLineChars="200"/>
        <w:rPr>
          <w:rFonts w:hint="eastAsia" w:ascii="宋体" w:hAnsi="宋体" w:eastAsia="宋体" w:cs="宋体"/>
          <w:b/>
          <w:color w:val="auto"/>
          <w:sz w:val="22"/>
          <w:szCs w:val="20"/>
          <w:highlight w:val="none"/>
        </w:rPr>
      </w:pPr>
      <w:r>
        <w:rPr>
          <w:rFonts w:hint="eastAsia" w:ascii="宋体" w:hAnsi="宋体" w:eastAsia="宋体" w:cs="宋体"/>
          <w:b/>
          <w:bCs/>
          <w:color w:val="auto"/>
          <w:sz w:val="22"/>
          <w:szCs w:val="20"/>
          <w:highlight w:val="none"/>
        </w:rPr>
        <w:t>注：*</w:t>
      </w:r>
      <w:r>
        <w:rPr>
          <w:rFonts w:hint="eastAsia" w:ascii="宋体" w:hAnsi="宋体" w:eastAsia="宋体" w:cs="宋体"/>
          <w:b/>
          <w:color w:val="auto"/>
          <w:sz w:val="22"/>
          <w:szCs w:val="20"/>
          <w:highlight w:val="none"/>
        </w:rPr>
        <w:t>根据曲财采[2024]16号文规定，</w:t>
      </w:r>
      <w:r>
        <w:rPr>
          <w:rFonts w:hint="eastAsia" w:ascii="宋体" w:hAnsi="宋体" w:eastAsia="宋体" w:cs="宋体"/>
          <w:b/>
          <w:color w:val="auto"/>
          <w:sz w:val="22"/>
          <w:szCs w:val="20"/>
          <w:highlight w:val="none"/>
          <w:lang w:eastAsia="zh-CN"/>
        </w:rPr>
        <w:t>投标单位</w:t>
      </w:r>
      <w:r>
        <w:rPr>
          <w:rFonts w:hint="eastAsia" w:ascii="宋体" w:hAnsi="宋体" w:eastAsia="宋体" w:cs="宋体"/>
          <w:b/>
          <w:color w:val="auto"/>
          <w:sz w:val="22"/>
          <w:szCs w:val="20"/>
          <w:highlight w:val="none"/>
        </w:rPr>
        <w:t>实行自愿原则并应当以书面形式作出资格信用承诺（详见资格条件承诺函）。</w:t>
      </w:r>
      <w:r>
        <w:rPr>
          <w:rFonts w:hint="eastAsia" w:ascii="宋体" w:hAnsi="宋体" w:eastAsia="宋体" w:cs="宋体"/>
          <w:b/>
          <w:color w:val="auto"/>
          <w:sz w:val="22"/>
          <w:szCs w:val="20"/>
          <w:highlight w:val="none"/>
          <w:lang w:eastAsia="zh-CN"/>
        </w:rPr>
        <w:t>投标单位</w:t>
      </w:r>
      <w:r>
        <w:rPr>
          <w:rFonts w:hint="eastAsia" w:ascii="宋体" w:hAnsi="宋体" w:eastAsia="宋体" w:cs="宋体"/>
          <w:b/>
          <w:color w:val="auto"/>
          <w:sz w:val="22"/>
          <w:szCs w:val="20"/>
          <w:highlight w:val="none"/>
        </w:rPr>
        <w:t>未提供资格信用承诺的，应当按照《中华人民共和国政府采购法》及其实施条例的相关规定提供相应的证明材料。存在不良信用记录的</w:t>
      </w:r>
      <w:r>
        <w:rPr>
          <w:rFonts w:hint="eastAsia" w:ascii="宋体" w:hAnsi="宋体" w:eastAsia="宋体" w:cs="宋体"/>
          <w:b/>
          <w:color w:val="auto"/>
          <w:sz w:val="22"/>
          <w:szCs w:val="20"/>
          <w:highlight w:val="none"/>
          <w:lang w:eastAsia="zh-CN"/>
        </w:rPr>
        <w:t>投标单位</w:t>
      </w:r>
      <w:r>
        <w:rPr>
          <w:rFonts w:hint="eastAsia" w:ascii="宋体" w:hAnsi="宋体" w:eastAsia="宋体" w:cs="宋体"/>
          <w:b/>
          <w:color w:val="auto"/>
          <w:sz w:val="22"/>
          <w:szCs w:val="20"/>
          <w:highlight w:val="none"/>
        </w:rPr>
        <w:t>，在信用修复前不适用承诺制。提供“资格条件承诺函”的供应商可不提供本节“格式4  《中华人民共和国政府采购法》第二十二条规定条件”规定内容。</w:t>
      </w:r>
    </w:p>
    <w:p w14:paraId="788C8711">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2C8A6CC5">
      <w:pPr>
        <w:pStyle w:val="4"/>
        <w:bidi w:val="0"/>
        <w:rPr>
          <w:rFonts w:hint="eastAsia" w:ascii="宋体" w:hAnsi="宋体" w:eastAsia="宋体" w:cs="宋体"/>
          <w:color w:val="auto"/>
          <w:highlight w:val="none"/>
        </w:rPr>
      </w:pPr>
      <w:r>
        <w:rPr>
          <w:rFonts w:hint="eastAsia" w:ascii="宋体" w:hAnsi="宋体" w:eastAsia="宋体" w:cs="宋体"/>
          <w:color w:val="auto"/>
          <w:highlight w:val="none"/>
        </w:rPr>
        <w:t>格式4：《中华人民共和国政府采购法》第二十二条规定条件</w:t>
      </w:r>
    </w:p>
    <w:p w14:paraId="2605484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《中华人民共和国政府采购法》第二十二条规定条件</w:t>
      </w:r>
      <w:r>
        <w:rPr>
          <w:rFonts w:hint="eastAsia" w:ascii="宋体" w:hAnsi="宋体" w:eastAsia="宋体" w:cs="宋体"/>
          <w:color w:val="auto"/>
          <w:highlight w:val="none"/>
        </w:rPr>
        <w:t>：</w:t>
      </w:r>
    </w:p>
    <w:p w14:paraId="0072C5D7">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（一）具有独立承担民事责任的能力；具有国家相关部门核发的税务登记证、组织机构代码证或具有统一社会信用代码的营业执照；</w:t>
      </w:r>
    </w:p>
    <w:p w14:paraId="0FC9A4AC">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（二）具有良好的商业信誉和健全的财务会计制度；提供202</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年度的</w:t>
      </w:r>
      <w:r>
        <w:rPr>
          <w:rFonts w:hint="eastAsia" w:ascii="宋体" w:hAnsi="宋体" w:eastAsia="宋体" w:cs="宋体"/>
          <w:color w:val="auto"/>
          <w:highlight w:val="none"/>
          <w:lang w:val="en-US" w:eastAsia="zh-CN"/>
        </w:rPr>
        <w:t>审计报告</w:t>
      </w:r>
      <w:r>
        <w:rPr>
          <w:rFonts w:hint="eastAsia" w:ascii="宋体" w:hAnsi="宋体" w:eastAsia="宋体" w:cs="宋体"/>
          <w:color w:val="auto"/>
          <w:highlight w:val="none"/>
        </w:rPr>
        <w:t>（至少包括资产负债表、现金流量表、利润表）；成立时间不足一年的，可提供自投标文件递交截止时间前三个月内开户银行出具的资信证明或资金存款证明；</w:t>
      </w:r>
    </w:p>
    <w:p w14:paraId="33E52FA5">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（三）具有履行合同所必需的设备和专业技术能力；提供证明材料或相关承诺；</w:t>
      </w:r>
    </w:p>
    <w:p w14:paraId="59DBF8E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（四）有依法缴纳税收和社会保障资金的良好记录；</w:t>
      </w:r>
    </w:p>
    <w:p w14:paraId="06B9A864">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供应商须提供在投标截止之日前十二个月内（税款所属时期）连续3个月的税务局税收通用缴款书复印件或银行电子缴税（费）凭证复印件或税务局出具纳税情况的相关证明。(成立未满3个月的提供成立以来的税收缴纳凭证或相关情况说明；依法免税的，应提供相应文件证明）；</w:t>
      </w:r>
    </w:p>
    <w:p w14:paraId="0E18B1F9">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b.供应商须提供在投标截止之日前十二个月内（费款所属时期）连续3个月的社会保险费缴款书复印件或银行电子缴税（费）凭证复印件或社保管理部门出具的有效的缴款证明。(成立未满3个月的提供成立以来的社保资金缴纳凭证或相关情况说明，依法免缴的，应提供依法免缴的相关证明文件)；</w:t>
      </w:r>
    </w:p>
    <w:p w14:paraId="2F4D980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（五）参加政府采购活动前三年内，在经营活动中没有重大违法记录；提供相关承诺；</w:t>
      </w:r>
    </w:p>
    <w:p w14:paraId="7DC64C6C">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（六）法律、行政法规规定的其他条件；提供相关承诺。</w:t>
      </w:r>
    </w:p>
    <w:p w14:paraId="4CD07835">
      <w:pPr>
        <w:spacing w:before="240" w:beforeLines="10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供应商：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rPr>
        <w:t>（电子签章）</w:t>
      </w:r>
    </w:p>
    <w:p w14:paraId="5F6D2D41">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法定代表人(单位负责人)或其委托代理人</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（电子签章）</w:t>
      </w:r>
    </w:p>
    <w:p w14:paraId="6E2EF220">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日    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日</w:t>
      </w:r>
    </w:p>
    <w:p w14:paraId="3B595DC2">
      <w:pPr>
        <w:bidi w:val="0"/>
        <w:rPr>
          <w:rFonts w:hint="eastAsia" w:ascii="宋体" w:hAnsi="宋体" w:eastAsia="宋体" w:cs="宋体"/>
          <w:color w:val="auto"/>
          <w:highlight w:val="none"/>
        </w:rPr>
      </w:pPr>
    </w:p>
    <w:p w14:paraId="609AF0B5">
      <w:pPr>
        <w:bidi w:val="0"/>
        <w:rPr>
          <w:rFonts w:hint="eastAsia" w:ascii="宋体" w:hAnsi="宋体" w:eastAsia="宋体" w:cs="宋体"/>
          <w:color w:val="auto"/>
          <w:highlight w:val="none"/>
        </w:rPr>
      </w:pPr>
      <w:r>
        <w:rPr>
          <w:rFonts w:hint="eastAsia" w:ascii="宋体" w:hAnsi="宋体" w:eastAsia="宋体" w:cs="宋体"/>
          <w:b/>
          <w:bCs/>
          <w:color w:val="auto"/>
          <w:highlight w:val="none"/>
        </w:rPr>
        <w:t>注：提供以上相关证明材料的供应商可不提供本节“格式3 资格条件承诺函”。</w:t>
      </w:r>
    </w:p>
    <w:p w14:paraId="6D3393C9">
      <w:pPr>
        <w:rPr>
          <w:rStyle w:val="33"/>
          <w:rFonts w:hint="eastAsia" w:ascii="宋体" w:hAnsi="宋体" w:eastAsia="宋体" w:cs="宋体"/>
          <w:color w:val="auto"/>
          <w:highlight w:val="none"/>
        </w:rPr>
      </w:pPr>
      <w:r>
        <w:rPr>
          <w:rStyle w:val="33"/>
          <w:rFonts w:hint="eastAsia" w:ascii="宋体" w:hAnsi="宋体" w:eastAsia="宋体" w:cs="宋体"/>
          <w:color w:val="auto"/>
          <w:highlight w:val="none"/>
        </w:rPr>
        <w:br w:type="page"/>
      </w:r>
    </w:p>
    <w:p w14:paraId="78944470">
      <w:pPr>
        <w:pStyle w:val="4"/>
        <w:bidi w:val="0"/>
        <w:rPr>
          <w:rFonts w:hint="eastAsia" w:ascii="宋体" w:hAnsi="宋体" w:eastAsia="宋体" w:cs="宋体"/>
          <w:color w:val="auto"/>
          <w:highlight w:val="none"/>
        </w:rPr>
      </w:pPr>
      <w:r>
        <w:rPr>
          <w:rFonts w:hint="eastAsia" w:ascii="宋体" w:hAnsi="宋体" w:eastAsia="宋体" w:cs="宋体"/>
          <w:color w:val="auto"/>
          <w:highlight w:val="none"/>
        </w:rPr>
        <w:t>格式5：落实政府采购政策需满足的资格要求</w:t>
      </w:r>
    </w:p>
    <w:p w14:paraId="358C13F9">
      <w:pPr>
        <w:pStyle w:val="5"/>
        <w:bidi w:val="0"/>
        <w:jc w:val="center"/>
        <w:rPr>
          <w:rFonts w:hint="eastAsia" w:ascii="宋体" w:hAnsi="宋体" w:eastAsia="宋体" w:cs="宋体"/>
          <w:color w:val="auto"/>
          <w:highlight w:val="none"/>
        </w:rPr>
      </w:pPr>
      <w:r>
        <w:rPr>
          <w:rFonts w:hint="eastAsia" w:ascii="宋体" w:hAnsi="宋体" w:eastAsia="宋体" w:cs="宋体"/>
          <w:color w:val="auto"/>
          <w:highlight w:val="none"/>
        </w:rPr>
        <w:t>① 小微企业声明函（货物类）</w:t>
      </w:r>
    </w:p>
    <w:p w14:paraId="5EA74F05">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本公司（联合体）郑重声明，根据《政府采购促进中小企业发展暂行办法》（财库[2020]46号）的规定，本公司（联合体）参加（单位名称）的（项目名称）采购活动，提供的货物全部由符合政策要求的中小企业制造。相关企业（含联合体中的中小企业、签订分包意向协议的中小企业）的具体情况如下：</w:t>
      </w:r>
    </w:p>
    <w:p w14:paraId="0FCA14E0">
      <w:pPr>
        <w:numPr>
          <w:ilvl w:val="0"/>
          <w:numId w:val="0"/>
        </w:num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（标的名称），属于</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（采购文件中明确的所属行业）行业；制造商为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（企业名称），从业人员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（中型企业、小型企业、微型企业）；</w:t>
      </w:r>
    </w:p>
    <w:p w14:paraId="7734B752">
      <w:pPr>
        <w:numPr>
          <w:ilvl w:val="0"/>
          <w:numId w:val="0"/>
        </w:num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（标的名称），属于</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（采购文件中明确的所属行业）行业；制造商为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（企业名称），从业人员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（中型企业、小型企业、微型企业）；</w:t>
      </w:r>
    </w:p>
    <w:p w14:paraId="0256DC74">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w:t>
      </w:r>
    </w:p>
    <w:p w14:paraId="3A696FC4">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21CD6D8D">
      <w:pPr>
        <w:spacing w:line="360" w:lineRule="auto"/>
        <w:ind w:firstLine="480" w:firstLineChars="200"/>
        <w:rPr>
          <w:rFonts w:hint="eastAsia" w:ascii="宋体" w:hAnsi="宋体" w:eastAsia="宋体" w:cs="宋体"/>
          <w:b/>
          <w:bCs/>
          <w:color w:val="auto"/>
          <w:highlight w:val="none"/>
        </w:rPr>
      </w:pPr>
      <w:r>
        <w:rPr>
          <w:rFonts w:hint="eastAsia" w:ascii="宋体" w:hAnsi="宋体" w:eastAsia="宋体" w:cs="宋体"/>
          <w:color w:val="auto"/>
          <w:highlight w:val="none"/>
        </w:rPr>
        <w:t>本企业对上述声明内容的真实性负责。如有虚假，将依法承担相应责任。</w:t>
      </w:r>
    </w:p>
    <w:p w14:paraId="46E9FDA3">
      <w:pPr>
        <w:spacing w:before="240" w:beforeLines="100" w:line="360" w:lineRule="auto"/>
        <w:ind w:firstLine="2" w:firstLineChars="1"/>
        <w:rPr>
          <w:rFonts w:hint="eastAsia" w:ascii="宋体" w:hAnsi="宋体" w:eastAsia="宋体" w:cs="宋体"/>
          <w:color w:val="auto"/>
          <w:highlight w:val="none"/>
        </w:rPr>
      </w:pPr>
      <w:r>
        <w:rPr>
          <w:rFonts w:hint="eastAsia" w:ascii="宋体" w:hAnsi="宋体" w:eastAsia="宋体" w:cs="宋体"/>
          <w:color w:val="auto"/>
          <w:highlight w:val="none"/>
        </w:rPr>
        <w:t xml:space="preserve">供应商：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（电子签章）</w:t>
      </w:r>
    </w:p>
    <w:p w14:paraId="716385F0">
      <w:pPr>
        <w:spacing w:line="360" w:lineRule="auto"/>
        <w:ind w:firstLine="2" w:firstLineChars="1"/>
        <w:rPr>
          <w:rFonts w:hint="eastAsia" w:ascii="宋体" w:hAnsi="宋体" w:eastAsia="宋体" w:cs="宋体"/>
          <w:color w:val="auto"/>
          <w:highlight w:val="none"/>
        </w:rPr>
      </w:pPr>
      <w:r>
        <w:rPr>
          <w:rFonts w:hint="eastAsia" w:ascii="宋体" w:hAnsi="宋体" w:eastAsia="宋体" w:cs="宋体"/>
          <w:color w:val="auto"/>
          <w:highlight w:val="none"/>
          <w:lang w:eastAsia="zh-CN"/>
        </w:rPr>
        <w:t>法定代表人(单位负责人)或其委托代理人</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（电子签章）</w:t>
      </w:r>
    </w:p>
    <w:p w14:paraId="77EFF5C0">
      <w:pPr>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3BB2FF86">
      <w:pPr>
        <w:spacing w:line="360" w:lineRule="auto"/>
        <w:ind w:firstLine="361" w:firstLineChars="200"/>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注：1.从业人员、营业收入、资产总额填报上一年度数据，无上一年度数据的新成立企业可不填报。</w:t>
      </w:r>
    </w:p>
    <w:p w14:paraId="378011A5">
      <w:pPr>
        <w:wordWrap w:val="0"/>
        <w:spacing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2.中小企业应当按照《政府采购促进中小企业发展管理办法》（财库〔2020〕46号）规定和《中小企业划型标准规定》（工信部联企业〔2011〕300号），如实填写并提交《中小企业声明函》。供应商可通过国家市场监督管理总局小微企业名录（</w:t>
      </w:r>
      <w:r>
        <w:rPr>
          <w:rFonts w:hint="eastAsia" w:ascii="宋体" w:hAnsi="宋体" w:eastAsia="宋体" w:cs="宋体"/>
          <w:b/>
          <w:color w:val="auto"/>
          <w:sz w:val="18"/>
          <w:szCs w:val="21"/>
          <w:highlight w:val="none"/>
        </w:rPr>
        <w:fldChar w:fldCharType="begin"/>
      </w:r>
      <w:r>
        <w:rPr>
          <w:rFonts w:hint="eastAsia" w:ascii="宋体" w:hAnsi="宋体" w:eastAsia="宋体" w:cs="宋体"/>
          <w:b/>
          <w:color w:val="auto"/>
          <w:sz w:val="18"/>
          <w:szCs w:val="21"/>
          <w:highlight w:val="none"/>
        </w:rPr>
        <w:instrText xml:space="preserve"> HYPERLINK "http://xwqy.gsxt.gov.cn/" </w:instrText>
      </w:r>
      <w:r>
        <w:rPr>
          <w:rFonts w:hint="eastAsia" w:ascii="宋体" w:hAnsi="宋体" w:eastAsia="宋体" w:cs="宋体"/>
          <w:b/>
          <w:color w:val="auto"/>
          <w:sz w:val="18"/>
          <w:szCs w:val="21"/>
          <w:highlight w:val="none"/>
        </w:rPr>
        <w:fldChar w:fldCharType="separate"/>
      </w:r>
      <w:r>
        <w:rPr>
          <w:rFonts w:hint="eastAsia" w:ascii="宋体" w:hAnsi="宋体" w:eastAsia="宋体" w:cs="宋体"/>
          <w:b/>
          <w:color w:val="auto"/>
          <w:sz w:val="18"/>
          <w:szCs w:val="21"/>
          <w:highlight w:val="none"/>
        </w:rPr>
        <w:t>http://xwqy.gsxt.gov.cn/</w:t>
      </w:r>
      <w:r>
        <w:rPr>
          <w:rFonts w:hint="eastAsia" w:ascii="宋体" w:hAnsi="宋体" w:eastAsia="宋体" w:cs="宋体"/>
          <w:b/>
          <w:color w:val="auto"/>
          <w:sz w:val="18"/>
          <w:szCs w:val="21"/>
          <w:highlight w:val="none"/>
        </w:rPr>
        <w:fldChar w:fldCharType="end"/>
      </w:r>
      <w:r>
        <w:rPr>
          <w:rFonts w:hint="eastAsia" w:ascii="宋体" w:hAnsi="宋体" w:eastAsia="宋体" w:cs="宋体"/>
          <w:b/>
          <w:color w:val="auto"/>
          <w:sz w:val="18"/>
          <w:szCs w:val="21"/>
          <w:highlight w:val="none"/>
        </w:rPr>
        <w:t>）查询，或者工业化和信息化部网站自测小程序，识别企业规模类型。（http://202.106.120.146/baosong/appweb/orgScale.html）</w:t>
      </w:r>
    </w:p>
    <w:p w14:paraId="4B19EEA6">
      <w:pPr>
        <w:spacing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3.若供应商不属于中小企业请另行说明。</w:t>
      </w:r>
    </w:p>
    <w:p w14:paraId="1D9661CB">
      <w:pPr>
        <w:widowControl/>
        <w:rPr>
          <w:rFonts w:hint="eastAsia" w:ascii="宋体" w:hAnsi="宋体" w:eastAsia="宋体" w:cs="宋体"/>
          <w:color w:val="auto"/>
          <w:highlight w:val="none"/>
        </w:rPr>
      </w:pPr>
    </w:p>
    <w:p w14:paraId="194E59A4">
      <w:pPr>
        <w:pStyle w:val="5"/>
        <w:ind w:left="1318" w:right="24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r>
      <w:r>
        <w:rPr>
          <w:rFonts w:hint="eastAsia" w:ascii="宋体" w:hAnsi="宋体" w:eastAsia="宋体" w:cs="宋体"/>
          <w:color w:val="auto"/>
          <w:highlight w:val="none"/>
        </w:rPr>
        <w:t>② 残疾人福利性单位声明函</w:t>
      </w:r>
    </w:p>
    <w:p w14:paraId="304C04BD">
      <w:pPr>
        <w:spacing w:line="588" w:lineRule="exact"/>
        <w:ind w:firstLine="504" w:firstLineChars="200"/>
        <w:rPr>
          <w:rFonts w:hint="eastAsia" w:ascii="宋体" w:hAnsi="宋体" w:eastAsia="宋体" w:cs="宋体"/>
          <w:color w:val="auto"/>
          <w:spacing w:val="6"/>
          <w:highlight w:val="none"/>
        </w:rPr>
      </w:pPr>
    </w:p>
    <w:p w14:paraId="08CC8ED6">
      <w:pPr>
        <w:spacing w:line="360" w:lineRule="auto"/>
        <w:ind w:firstLine="504" w:firstLineChars="200"/>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rPr>
        <w:t>〔2017〕 141</w:t>
      </w:r>
      <w:r>
        <w:rPr>
          <w:rFonts w:hint="eastAsia" w:ascii="宋体" w:hAnsi="宋体" w:eastAsia="宋体" w:cs="宋体"/>
          <w:color w:val="auto"/>
          <w:spacing w:val="6"/>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3ABDC73">
      <w:pPr>
        <w:spacing w:line="360" w:lineRule="auto"/>
        <w:ind w:firstLine="504" w:firstLineChars="200"/>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本单位对上述声明的真实性负责。如有虚假，将依法承担相应责任。</w:t>
      </w:r>
    </w:p>
    <w:p w14:paraId="4A14561E">
      <w:pPr>
        <w:spacing w:line="360" w:lineRule="auto"/>
        <w:ind w:firstLine="504" w:firstLineChars="200"/>
        <w:rPr>
          <w:rFonts w:hint="eastAsia" w:ascii="宋体" w:hAnsi="宋体" w:eastAsia="宋体" w:cs="宋体"/>
          <w:color w:val="auto"/>
          <w:spacing w:val="6"/>
          <w:highlight w:val="none"/>
        </w:rPr>
      </w:pPr>
    </w:p>
    <w:p w14:paraId="3143D00A">
      <w:pPr>
        <w:spacing w:line="360" w:lineRule="auto"/>
        <w:ind w:firstLine="504" w:firstLineChars="200"/>
        <w:rPr>
          <w:rFonts w:hint="eastAsia" w:ascii="宋体" w:hAnsi="宋体" w:eastAsia="宋体" w:cs="宋体"/>
          <w:color w:val="auto"/>
          <w:spacing w:val="6"/>
          <w:highlight w:val="none"/>
        </w:rPr>
      </w:pPr>
    </w:p>
    <w:p w14:paraId="56F95806">
      <w:pPr>
        <w:spacing w:line="360" w:lineRule="auto"/>
        <w:ind w:firstLine="2" w:firstLineChars="1"/>
        <w:rPr>
          <w:rFonts w:hint="eastAsia" w:ascii="宋体" w:hAnsi="宋体" w:eastAsia="宋体" w:cs="宋体"/>
          <w:color w:val="auto"/>
          <w:highlight w:val="none"/>
        </w:rPr>
      </w:pPr>
      <w:r>
        <w:rPr>
          <w:rFonts w:hint="eastAsia" w:ascii="宋体" w:hAnsi="宋体" w:eastAsia="宋体" w:cs="宋体"/>
          <w:color w:val="auto"/>
          <w:highlight w:val="none"/>
        </w:rPr>
        <w:t xml:space="preserve">供应商：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（电子签章）</w:t>
      </w:r>
    </w:p>
    <w:p w14:paraId="1F0E1CBA">
      <w:pPr>
        <w:spacing w:line="360" w:lineRule="auto"/>
        <w:ind w:firstLine="2" w:firstLineChars="1"/>
        <w:rPr>
          <w:rFonts w:hint="eastAsia" w:ascii="宋体" w:hAnsi="宋体" w:eastAsia="宋体" w:cs="宋体"/>
          <w:color w:val="auto"/>
          <w:highlight w:val="none"/>
        </w:rPr>
      </w:pPr>
      <w:r>
        <w:rPr>
          <w:rFonts w:hint="eastAsia" w:ascii="宋体" w:hAnsi="宋体" w:eastAsia="宋体" w:cs="宋体"/>
          <w:color w:val="auto"/>
          <w:highlight w:val="none"/>
          <w:lang w:eastAsia="zh-CN"/>
        </w:rPr>
        <w:t>法定代表人(单位负责人)或其委托代理人</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（电子签章）</w:t>
      </w:r>
    </w:p>
    <w:p w14:paraId="60585871">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03CBC55">
      <w:pPr>
        <w:spacing w:line="360" w:lineRule="auto"/>
        <w:rPr>
          <w:rFonts w:hint="eastAsia" w:ascii="宋体" w:hAnsi="宋体" w:eastAsia="宋体" w:cs="宋体"/>
          <w:color w:val="auto"/>
          <w:highlight w:val="none"/>
        </w:rPr>
      </w:pPr>
    </w:p>
    <w:p w14:paraId="427A344B">
      <w:pPr>
        <w:spacing w:line="588" w:lineRule="exact"/>
        <w:rPr>
          <w:rFonts w:hint="eastAsia" w:ascii="宋体" w:hAnsi="宋体" w:eastAsia="宋体" w:cs="宋体"/>
          <w:color w:val="auto"/>
          <w:highlight w:val="none"/>
        </w:rPr>
      </w:pPr>
    </w:p>
    <w:p w14:paraId="5C27F8E4">
      <w:pPr>
        <w:spacing w:line="588"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符合条件的残疾人福利性单位在参加政府采购活动时，应当按《关于促进残疾人就业政府采购政策的通知》（财库〔2017〕141号）提供规定的《残疾人福利性单位声明函》，并对声明的真实性负责。若供应商不属于残疾人福利性单位请另行说明。</w:t>
      </w:r>
    </w:p>
    <w:p w14:paraId="45F32E15">
      <w:pPr>
        <w:widowControl/>
        <w:rPr>
          <w:rFonts w:hint="eastAsia" w:ascii="宋体" w:hAnsi="宋体" w:eastAsia="宋体" w:cs="宋体"/>
          <w:color w:val="auto"/>
          <w:highlight w:val="none"/>
        </w:rPr>
      </w:pPr>
    </w:p>
    <w:p w14:paraId="0AE1F256">
      <w:pPr>
        <w:pStyle w:val="5"/>
        <w:ind w:left="1318" w:right="24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r>
      <w:r>
        <w:rPr>
          <w:rFonts w:hint="eastAsia" w:ascii="宋体" w:hAnsi="宋体" w:eastAsia="宋体" w:cs="宋体"/>
          <w:color w:val="auto"/>
          <w:highlight w:val="none"/>
        </w:rPr>
        <w:t>③ 监狱企业证明文件</w:t>
      </w:r>
    </w:p>
    <w:p w14:paraId="1C816EF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D8D5CA2">
      <w:pPr>
        <w:spacing w:line="360" w:lineRule="auto"/>
        <w:ind w:firstLine="360" w:firstLineChars="150"/>
        <w:rPr>
          <w:rFonts w:hint="eastAsia" w:ascii="宋体" w:hAnsi="宋体" w:eastAsia="宋体" w:cs="宋体"/>
          <w:color w:val="auto"/>
          <w:highlight w:val="none"/>
        </w:rPr>
      </w:pPr>
      <w:r>
        <w:rPr>
          <w:rFonts w:hint="eastAsia" w:ascii="宋体" w:hAnsi="宋体" w:eastAsia="宋体" w:cs="宋体"/>
          <w:color w:val="auto"/>
          <w:highlight w:val="none"/>
        </w:rPr>
        <w:t>监狱企业参加政府采购活动时，应当提供由省级以上监狱管理局、戒毒管理局（含新疆生产建设兵团）出具的属于监狱企业的证明文件。</w:t>
      </w:r>
    </w:p>
    <w:p w14:paraId="43C4A923">
      <w:pPr>
        <w:widowControl/>
        <w:spacing w:line="360" w:lineRule="auto"/>
        <w:rPr>
          <w:rFonts w:hint="eastAsia" w:ascii="宋体" w:hAnsi="宋体" w:eastAsia="宋体" w:cs="宋体"/>
          <w:color w:val="auto"/>
          <w:highlight w:val="none"/>
        </w:rPr>
      </w:pPr>
    </w:p>
    <w:p w14:paraId="271D4266">
      <w:pPr>
        <w:widowControl/>
        <w:spacing w:line="360" w:lineRule="auto"/>
        <w:rPr>
          <w:rFonts w:hint="eastAsia" w:ascii="宋体" w:hAnsi="宋体" w:eastAsia="宋体" w:cs="宋体"/>
          <w:color w:val="auto"/>
          <w:highlight w:val="none"/>
        </w:rPr>
      </w:pPr>
    </w:p>
    <w:p w14:paraId="77F8B640">
      <w:pPr>
        <w:widowControl/>
        <w:spacing w:line="360" w:lineRule="auto"/>
        <w:rPr>
          <w:rFonts w:hint="eastAsia" w:ascii="宋体" w:hAnsi="宋体" w:eastAsia="宋体" w:cs="宋体"/>
          <w:color w:val="auto"/>
          <w:highlight w:val="none"/>
        </w:rPr>
      </w:pPr>
    </w:p>
    <w:p w14:paraId="267D6C32">
      <w:pPr>
        <w:widowControl/>
        <w:spacing w:line="360" w:lineRule="auto"/>
        <w:rPr>
          <w:rFonts w:hint="eastAsia" w:ascii="宋体" w:hAnsi="宋体" w:eastAsia="宋体" w:cs="宋体"/>
          <w:color w:val="auto"/>
          <w:highlight w:val="none"/>
        </w:rPr>
      </w:pPr>
    </w:p>
    <w:p w14:paraId="0AE294C5">
      <w:pPr>
        <w:widowControl/>
        <w:spacing w:line="360" w:lineRule="auto"/>
        <w:rPr>
          <w:rFonts w:hint="eastAsia" w:ascii="宋体" w:hAnsi="宋体" w:eastAsia="宋体" w:cs="宋体"/>
          <w:color w:val="auto"/>
          <w:highlight w:val="none"/>
        </w:rPr>
      </w:pPr>
    </w:p>
    <w:p w14:paraId="4BD671F0">
      <w:pPr>
        <w:spacing w:line="360" w:lineRule="auto"/>
        <w:ind w:firstLine="2" w:firstLineChars="1"/>
        <w:rPr>
          <w:rFonts w:hint="eastAsia" w:ascii="宋体" w:hAnsi="宋体" w:eastAsia="宋体" w:cs="宋体"/>
          <w:color w:val="auto"/>
          <w:highlight w:val="none"/>
        </w:rPr>
      </w:pPr>
      <w:r>
        <w:rPr>
          <w:rFonts w:hint="eastAsia" w:ascii="宋体" w:hAnsi="宋体" w:eastAsia="宋体" w:cs="宋体"/>
          <w:color w:val="auto"/>
          <w:highlight w:val="none"/>
        </w:rPr>
        <w:t xml:space="preserve">供应商：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（电子签章）</w:t>
      </w:r>
    </w:p>
    <w:p w14:paraId="5D12D096">
      <w:pPr>
        <w:spacing w:line="360" w:lineRule="auto"/>
        <w:ind w:firstLine="2" w:firstLineChars="1"/>
        <w:rPr>
          <w:rFonts w:hint="eastAsia" w:ascii="宋体" w:hAnsi="宋体" w:eastAsia="宋体" w:cs="宋体"/>
          <w:color w:val="auto"/>
          <w:highlight w:val="none"/>
        </w:rPr>
      </w:pPr>
      <w:r>
        <w:rPr>
          <w:rFonts w:hint="eastAsia" w:ascii="宋体" w:hAnsi="宋体" w:eastAsia="宋体" w:cs="宋体"/>
          <w:color w:val="auto"/>
          <w:highlight w:val="none"/>
          <w:lang w:eastAsia="zh-CN"/>
        </w:rPr>
        <w:t>法定代表人(单位负责人)或其委托代理人</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（电子签章）</w:t>
      </w:r>
    </w:p>
    <w:p w14:paraId="6F9EAC8B">
      <w:pPr>
        <w:widowControl/>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64C7410A">
      <w:pPr>
        <w:widowControl/>
        <w:rPr>
          <w:rFonts w:hint="eastAsia" w:ascii="宋体" w:hAnsi="宋体" w:eastAsia="宋体" w:cs="宋体"/>
          <w:color w:val="auto"/>
          <w:highlight w:val="none"/>
        </w:rPr>
      </w:pPr>
    </w:p>
    <w:p w14:paraId="205A65C1">
      <w:pPr>
        <w:widowControl/>
        <w:rPr>
          <w:rFonts w:hint="eastAsia" w:ascii="宋体" w:hAnsi="宋体" w:eastAsia="宋体" w:cs="宋体"/>
          <w:color w:val="auto"/>
          <w:highlight w:val="none"/>
        </w:rPr>
      </w:pPr>
    </w:p>
    <w:p w14:paraId="22591531">
      <w:pPr>
        <w:widowControl/>
        <w:spacing w:line="360" w:lineRule="auto"/>
        <w:ind w:firstLine="361" w:firstLineChars="200"/>
        <w:rPr>
          <w:rFonts w:hint="eastAsia" w:ascii="宋体" w:hAnsi="宋体" w:eastAsia="宋体" w:cs="宋体"/>
          <w:b/>
          <w:color w:val="auto"/>
          <w:sz w:val="18"/>
          <w:szCs w:val="18"/>
          <w:highlight w:val="none"/>
        </w:rPr>
      </w:pPr>
      <w:r>
        <w:rPr>
          <w:rFonts w:hint="eastAsia" w:ascii="宋体" w:hAnsi="宋体" w:eastAsia="宋体" w:cs="宋体"/>
          <w:b/>
          <w:snapToGrid w:val="0"/>
          <w:color w:val="auto"/>
          <w:kern w:val="21"/>
          <w:sz w:val="18"/>
          <w:szCs w:val="18"/>
          <w:highlight w:val="none"/>
        </w:rPr>
        <w:t>注：符合条件的监狱企业在参加政府采购活动时，应当按《财政部 司法部关于政府采购支持监狱企业发展有关问题的通知》（财库[2014]68号）提供规定的《监狱企业证明文件》，并对声明的真实性负责。</w:t>
      </w:r>
      <w:r>
        <w:rPr>
          <w:rFonts w:hint="eastAsia" w:ascii="宋体" w:hAnsi="宋体" w:eastAsia="宋体" w:cs="宋体"/>
          <w:b/>
          <w:color w:val="auto"/>
          <w:sz w:val="18"/>
          <w:szCs w:val="18"/>
          <w:highlight w:val="none"/>
        </w:rPr>
        <w:t>若供应商不属于监狱企业请另行说明。</w:t>
      </w:r>
    </w:p>
    <w:p w14:paraId="37E3B84A">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49189C05">
      <w:pPr>
        <w:pStyle w:val="4"/>
        <w:bidi w:val="0"/>
        <w:rPr>
          <w:rFonts w:hint="eastAsia" w:ascii="宋体" w:hAnsi="宋体" w:eastAsia="宋体" w:cs="宋体"/>
          <w:color w:val="auto"/>
          <w:highlight w:val="none"/>
        </w:rPr>
      </w:pPr>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w:t>
      </w:r>
      <w:bookmarkStart w:id="438" w:name="_Toc8215"/>
      <w:bookmarkStart w:id="439" w:name="_Toc18315"/>
      <w:bookmarkStart w:id="440" w:name="_Toc19760"/>
      <w:r>
        <w:rPr>
          <w:rFonts w:hint="eastAsia" w:ascii="宋体" w:hAnsi="宋体" w:eastAsia="宋体" w:cs="宋体"/>
          <w:color w:val="auto"/>
          <w:highlight w:val="none"/>
        </w:rPr>
        <w:t>供应商基本信息表</w:t>
      </w:r>
      <w:bookmarkEnd w:id="438"/>
      <w:bookmarkEnd w:id="439"/>
      <w:bookmarkEnd w:id="440"/>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23"/>
        <w:gridCol w:w="1464"/>
        <w:gridCol w:w="1786"/>
        <w:gridCol w:w="1089"/>
        <w:gridCol w:w="1185"/>
        <w:gridCol w:w="2612"/>
      </w:tblGrid>
      <w:tr w14:paraId="7BF7B8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2887" w:type="dxa"/>
            <w:gridSpan w:val="2"/>
            <w:tcBorders>
              <w:right w:val="single" w:color="auto" w:sz="4" w:space="0"/>
            </w:tcBorders>
            <w:vAlign w:val="center"/>
          </w:tcPr>
          <w:p w14:paraId="38D5FFC7">
            <w:pPr>
              <w:widowControl/>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公司名称</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电子签章</w:t>
            </w:r>
            <w:r>
              <w:rPr>
                <w:rFonts w:hint="eastAsia" w:ascii="宋体" w:hAnsi="宋体" w:eastAsia="宋体" w:cs="宋体"/>
                <w:color w:val="auto"/>
                <w:highlight w:val="none"/>
                <w:lang w:eastAsia="zh-CN"/>
              </w:rPr>
              <w:t>）</w:t>
            </w:r>
          </w:p>
        </w:tc>
        <w:tc>
          <w:tcPr>
            <w:tcW w:w="6672" w:type="dxa"/>
            <w:gridSpan w:val="4"/>
            <w:tcBorders>
              <w:left w:val="single" w:color="auto" w:sz="4" w:space="0"/>
            </w:tcBorders>
            <w:vAlign w:val="center"/>
          </w:tcPr>
          <w:p w14:paraId="2A228CA6">
            <w:pPr>
              <w:widowControl/>
              <w:rPr>
                <w:rFonts w:hint="eastAsia" w:ascii="宋体" w:hAnsi="宋体" w:eastAsia="宋体" w:cs="宋体"/>
                <w:color w:val="auto"/>
                <w:highlight w:val="none"/>
              </w:rPr>
            </w:pPr>
          </w:p>
        </w:tc>
      </w:tr>
      <w:tr w14:paraId="437DEB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0" w:hRule="atLeast"/>
          <w:jc w:val="center"/>
        </w:trPr>
        <w:tc>
          <w:tcPr>
            <w:tcW w:w="2887" w:type="dxa"/>
            <w:gridSpan w:val="2"/>
            <w:tcBorders>
              <w:right w:val="single" w:color="auto" w:sz="4" w:space="0"/>
            </w:tcBorders>
            <w:vAlign w:val="center"/>
          </w:tcPr>
          <w:p w14:paraId="4304658F">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公司地址</w:t>
            </w:r>
          </w:p>
        </w:tc>
        <w:tc>
          <w:tcPr>
            <w:tcW w:w="6672" w:type="dxa"/>
            <w:gridSpan w:val="4"/>
            <w:tcBorders>
              <w:left w:val="single" w:color="auto" w:sz="4" w:space="0"/>
            </w:tcBorders>
            <w:vAlign w:val="center"/>
          </w:tcPr>
          <w:p w14:paraId="439DD9FB">
            <w:pPr>
              <w:widowControl/>
              <w:jc w:val="center"/>
              <w:rPr>
                <w:rFonts w:hint="eastAsia" w:ascii="宋体" w:hAnsi="宋体" w:eastAsia="宋体" w:cs="宋体"/>
                <w:color w:val="auto"/>
                <w:highlight w:val="none"/>
              </w:rPr>
            </w:pPr>
          </w:p>
        </w:tc>
      </w:tr>
      <w:tr w14:paraId="497156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7" w:hRule="atLeast"/>
          <w:jc w:val="center"/>
        </w:trPr>
        <w:tc>
          <w:tcPr>
            <w:tcW w:w="2887" w:type="dxa"/>
            <w:gridSpan w:val="2"/>
            <w:tcBorders>
              <w:right w:val="single" w:color="auto" w:sz="4" w:space="0"/>
            </w:tcBorders>
            <w:vAlign w:val="center"/>
          </w:tcPr>
          <w:p w14:paraId="35E2B559">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公司性质</w:t>
            </w:r>
          </w:p>
        </w:tc>
        <w:tc>
          <w:tcPr>
            <w:tcW w:w="1786" w:type="dxa"/>
            <w:tcBorders>
              <w:left w:val="single" w:color="auto" w:sz="4" w:space="0"/>
              <w:right w:val="single" w:color="auto" w:sz="4" w:space="0"/>
            </w:tcBorders>
            <w:vAlign w:val="center"/>
          </w:tcPr>
          <w:p w14:paraId="483F39F4">
            <w:pPr>
              <w:widowControl/>
              <w:jc w:val="center"/>
              <w:rPr>
                <w:rFonts w:hint="eastAsia" w:ascii="宋体" w:hAnsi="宋体" w:eastAsia="宋体" w:cs="宋体"/>
                <w:color w:val="auto"/>
                <w:highlight w:val="none"/>
              </w:rPr>
            </w:pPr>
          </w:p>
        </w:tc>
        <w:tc>
          <w:tcPr>
            <w:tcW w:w="2274" w:type="dxa"/>
            <w:gridSpan w:val="2"/>
            <w:tcBorders>
              <w:left w:val="single" w:color="auto" w:sz="4" w:space="0"/>
              <w:right w:val="single" w:color="auto" w:sz="4" w:space="0"/>
            </w:tcBorders>
            <w:vAlign w:val="center"/>
          </w:tcPr>
          <w:p w14:paraId="7F925ABE">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公司类型</w:t>
            </w:r>
          </w:p>
        </w:tc>
        <w:tc>
          <w:tcPr>
            <w:tcW w:w="2612" w:type="dxa"/>
            <w:tcBorders>
              <w:left w:val="single" w:color="auto" w:sz="4" w:space="0"/>
            </w:tcBorders>
            <w:vAlign w:val="center"/>
          </w:tcPr>
          <w:p w14:paraId="7E2D1015">
            <w:pPr>
              <w:widowControl/>
              <w:jc w:val="center"/>
              <w:rPr>
                <w:rFonts w:hint="eastAsia" w:ascii="宋体" w:hAnsi="宋体" w:eastAsia="宋体" w:cs="宋体"/>
                <w:color w:val="auto"/>
                <w:highlight w:val="none"/>
              </w:rPr>
            </w:pPr>
          </w:p>
        </w:tc>
      </w:tr>
      <w:tr w14:paraId="611397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9" w:hRule="atLeast"/>
          <w:jc w:val="center"/>
        </w:trPr>
        <w:tc>
          <w:tcPr>
            <w:tcW w:w="2887" w:type="dxa"/>
            <w:gridSpan w:val="2"/>
            <w:vAlign w:val="center"/>
          </w:tcPr>
          <w:p w14:paraId="607D3791">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w:t>
            </w:r>
          </w:p>
        </w:tc>
        <w:tc>
          <w:tcPr>
            <w:tcW w:w="1786" w:type="dxa"/>
            <w:vAlign w:val="center"/>
          </w:tcPr>
          <w:p w14:paraId="2B1DA389">
            <w:pPr>
              <w:widowControl/>
              <w:jc w:val="center"/>
              <w:rPr>
                <w:rFonts w:hint="eastAsia" w:ascii="宋体" w:hAnsi="宋体" w:eastAsia="宋体" w:cs="宋体"/>
                <w:color w:val="auto"/>
                <w:highlight w:val="none"/>
              </w:rPr>
            </w:pPr>
          </w:p>
        </w:tc>
        <w:tc>
          <w:tcPr>
            <w:tcW w:w="2274" w:type="dxa"/>
            <w:gridSpan w:val="2"/>
            <w:tcBorders>
              <w:right w:val="single" w:color="auto" w:sz="4" w:space="0"/>
            </w:tcBorders>
            <w:vAlign w:val="center"/>
          </w:tcPr>
          <w:p w14:paraId="0BC9A8F5">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注册资金</w:t>
            </w:r>
          </w:p>
        </w:tc>
        <w:tc>
          <w:tcPr>
            <w:tcW w:w="2612" w:type="dxa"/>
            <w:tcBorders>
              <w:left w:val="single" w:color="auto" w:sz="4" w:space="0"/>
            </w:tcBorders>
            <w:vAlign w:val="center"/>
          </w:tcPr>
          <w:p w14:paraId="21E9B6E3">
            <w:pPr>
              <w:widowControl/>
              <w:jc w:val="center"/>
              <w:rPr>
                <w:rFonts w:hint="eastAsia" w:ascii="宋体" w:hAnsi="宋体" w:eastAsia="宋体" w:cs="宋体"/>
                <w:color w:val="auto"/>
                <w:highlight w:val="none"/>
              </w:rPr>
            </w:pPr>
          </w:p>
        </w:tc>
      </w:tr>
      <w:tr w14:paraId="3A8C5D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7" w:hRule="atLeast"/>
          <w:jc w:val="center"/>
        </w:trPr>
        <w:tc>
          <w:tcPr>
            <w:tcW w:w="2887" w:type="dxa"/>
            <w:gridSpan w:val="2"/>
            <w:vMerge w:val="restart"/>
            <w:vAlign w:val="center"/>
          </w:tcPr>
          <w:p w14:paraId="647AF275">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注册日期</w:t>
            </w:r>
          </w:p>
        </w:tc>
        <w:tc>
          <w:tcPr>
            <w:tcW w:w="1786" w:type="dxa"/>
            <w:vMerge w:val="restart"/>
            <w:vAlign w:val="center"/>
          </w:tcPr>
          <w:p w14:paraId="73B24F18">
            <w:pPr>
              <w:widowControl/>
              <w:jc w:val="center"/>
              <w:rPr>
                <w:rFonts w:hint="eastAsia" w:ascii="宋体" w:hAnsi="宋体" w:eastAsia="宋体" w:cs="宋体"/>
                <w:color w:val="auto"/>
                <w:highlight w:val="none"/>
              </w:rPr>
            </w:pPr>
          </w:p>
        </w:tc>
        <w:tc>
          <w:tcPr>
            <w:tcW w:w="2274" w:type="dxa"/>
            <w:gridSpan w:val="2"/>
            <w:tcBorders>
              <w:bottom w:val="single" w:color="auto" w:sz="4" w:space="0"/>
            </w:tcBorders>
            <w:vAlign w:val="center"/>
          </w:tcPr>
          <w:p w14:paraId="70623303">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2612" w:type="dxa"/>
            <w:tcBorders>
              <w:bottom w:val="single" w:color="auto" w:sz="4" w:space="0"/>
            </w:tcBorders>
            <w:vAlign w:val="center"/>
          </w:tcPr>
          <w:p w14:paraId="449D0450">
            <w:pPr>
              <w:widowControl/>
              <w:jc w:val="center"/>
              <w:rPr>
                <w:rFonts w:hint="eastAsia" w:ascii="宋体" w:hAnsi="宋体" w:eastAsia="宋体" w:cs="宋体"/>
                <w:color w:val="auto"/>
                <w:highlight w:val="none"/>
              </w:rPr>
            </w:pPr>
          </w:p>
        </w:tc>
      </w:tr>
      <w:tr w14:paraId="622B93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8" w:hRule="atLeast"/>
          <w:jc w:val="center"/>
        </w:trPr>
        <w:tc>
          <w:tcPr>
            <w:tcW w:w="2887" w:type="dxa"/>
            <w:gridSpan w:val="2"/>
            <w:vMerge w:val="continue"/>
            <w:vAlign w:val="center"/>
          </w:tcPr>
          <w:p w14:paraId="2AA46DCC">
            <w:pPr>
              <w:widowControl/>
              <w:jc w:val="center"/>
              <w:rPr>
                <w:rFonts w:hint="eastAsia" w:ascii="宋体" w:hAnsi="宋体" w:eastAsia="宋体" w:cs="宋体"/>
                <w:color w:val="auto"/>
                <w:highlight w:val="none"/>
              </w:rPr>
            </w:pPr>
          </w:p>
        </w:tc>
        <w:tc>
          <w:tcPr>
            <w:tcW w:w="1786" w:type="dxa"/>
            <w:vMerge w:val="continue"/>
            <w:vAlign w:val="center"/>
          </w:tcPr>
          <w:p w14:paraId="343AA7F9">
            <w:pPr>
              <w:widowControl/>
              <w:jc w:val="center"/>
              <w:rPr>
                <w:rFonts w:hint="eastAsia" w:ascii="宋体" w:hAnsi="宋体" w:eastAsia="宋体" w:cs="宋体"/>
                <w:color w:val="auto"/>
                <w:highlight w:val="none"/>
              </w:rPr>
            </w:pPr>
          </w:p>
        </w:tc>
        <w:tc>
          <w:tcPr>
            <w:tcW w:w="2274" w:type="dxa"/>
            <w:gridSpan w:val="2"/>
            <w:tcBorders>
              <w:top w:val="single" w:color="auto" w:sz="4" w:space="0"/>
            </w:tcBorders>
            <w:vAlign w:val="center"/>
          </w:tcPr>
          <w:p w14:paraId="19569466">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开户基本账号</w:t>
            </w:r>
          </w:p>
        </w:tc>
        <w:tc>
          <w:tcPr>
            <w:tcW w:w="2612" w:type="dxa"/>
            <w:tcBorders>
              <w:top w:val="single" w:color="auto" w:sz="4" w:space="0"/>
            </w:tcBorders>
            <w:vAlign w:val="center"/>
          </w:tcPr>
          <w:p w14:paraId="24A64D5D">
            <w:pPr>
              <w:widowControl/>
              <w:jc w:val="center"/>
              <w:rPr>
                <w:rFonts w:hint="eastAsia" w:ascii="宋体" w:hAnsi="宋体" w:eastAsia="宋体" w:cs="宋体"/>
                <w:color w:val="auto"/>
                <w:highlight w:val="none"/>
              </w:rPr>
            </w:pPr>
          </w:p>
        </w:tc>
      </w:tr>
      <w:tr w14:paraId="1DB07B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8" w:hRule="atLeast"/>
          <w:jc w:val="center"/>
        </w:trPr>
        <w:tc>
          <w:tcPr>
            <w:tcW w:w="2887" w:type="dxa"/>
            <w:gridSpan w:val="2"/>
            <w:vMerge w:val="restart"/>
            <w:vAlign w:val="center"/>
          </w:tcPr>
          <w:p w14:paraId="7327B6C2">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联系人</w:t>
            </w:r>
          </w:p>
        </w:tc>
        <w:tc>
          <w:tcPr>
            <w:tcW w:w="1786" w:type="dxa"/>
            <w:vMerge w:val="restart"/>
            <w:vAlign w:val="center"/>
          </w:tcPr>
          <w:p w14:paraId="09229DAB">
            <w:pPr>
              <w:widowControl/>
              <w:jc w:val="center"/>
              <w:rPr>
                <w:rFonts w:hint="eastAsia" w:ascii="宋体" w:hAnsi="宋体" w:eastAsia="宋体" w:cs="宋体"/>
                <w:color w:val="auto"/>
                <w:highlight w:val="none"/>
              </w:rPr>
            </w:pPr>
          </w:p>
        </w:tc>
        <w:tc>
          <w:tcPr>
            <w:tcW w:w="1089" w:type="dxa"/>
            <w:vMerge w:val="restart"/>
            <w:vAlign w:val="center"/>
          </w:tcPr>
          <w:p w14:paraId="047A54CB">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联系电话</w:t>
            </w:r>
          </w:p>
        </w:tc>
        <w:tc>
          <w:tcPr>
            <w:tcW w:w="1185" w:type="dxa"/>
            <w:vAlign w:val="center"/>
          </w:tcPr>
          <w:p w14:paraId="170E03F6">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手机</w:t>
            </w:r>
          </w:p>
        </w:tc>
        <w:tc>
          <w:tcPr>
            <w:tcW w:w="2612" w:type="dxa"/>
            <w:vAlign w:val="center"/>
          </w:tcPr>
          <w:p w14:paraId="5B0B6207">
            <w:pPr>
              <w:widowControl/>
              <w:jc w:val="center"/>
              <w:rPr>
                <w:rFonts w:hint="eastAsia" w:ascii="宋体" w:hAnsi="宋体" w:eastAsia="宋体" w:cs="宋体"/>
                <w:color w:val="auto"/>
                <w:highlight w:val="none"/>
              </w:rPr>
            </w:pPr>
          </w:p>
        </w:tc>
      </w:tr>
      <w:tr w14:paraId="75021B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8" w:hRule="atLeast"/>
          <w:jc w:val="center"/>
        </w:trPr>
        <w:tc>
          <w:tcPr>
            <w:tcW w:w="2887" w:type="dxa"/>
            <w:gridSpan w:val="2"/>
            <w:vMerge w:val="continue"/>
            <w:vAlign w:val="center"/>
          </w:tcPr>
          <w:p w14:paraId="5B7F47BF">
            <w:pPr>
              <w:widowControl/>
              <w:jc w:val="center"/>
              <w:rPr>
                <w:rFonts w:hint="eastAsia" w:ascii="宋体" w:hAnsi="宋体" w:eastAsia="宋体" w:cs="宋体"/>
                <w:color w:val="auto"/>
                <w:highlight w:val="none"/>
              </w:rPr>
            </w:pPr>
          </w:p>
        </w:tc>
        <w:tc>
          <w:tcPr>
            <w:tcW w:w="1786" w:type="dxa"/>
            <w:vMerge w:val="continue"/>
            <w:vAlign w:val="center"/>
          </w:tcPr>
          <w:p w14:paraId="5BF98DBE">
            <w:pPr>
              <w:widowControl/>
              <w:jc w:val="center"/>
              <w:rPr>
                <w:rFonts w:hint="eastAsia" w:ascii="宋体" w:hAnsi="宋体" w:eastAsia="宋体" w:cs="宋体"/>
                <w:color w:val="auto"/>
                <w:highlight w:val="none"/>
              </w:rPr>
            </w:pPr>
          </w:p>
        </w:tc>
        <w:tc>
          <w:tcPr>
            <w:tcW w:w="1089" w:type="dxa"/>
            <w:vMerge w:val="continue"/>
            <w:vAlign w:val="center"/>
          </w:tcPr>
          <w:p w14:paraId="12B2D277">
            <w:pPr>
              <w:widowControl/>
              <w:jc w:val="center"/>
              <w:rPr>
                <w:rFonts w:hint="eastAsia" w:ascii="宋体" w:hAnsi="宋体" w:eastAsia="宋体" w:cs="宋体"/>
                <w:color w:val="auto"/>
                <w:highlight w:val="none"/>
              </w:rPr>
            </w:pPr>
          </w:p>
        </w:tc>
        <w:tc>
          <w:tcPr>
            <w:tcW w:w="1185" w:type="dxa"/>
            <w:vAlign w:val="center"/>
          </w:tcPr>
          <w:p w14:paraId="6206A4D1">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固话</w:t>
            </w:r>
          </w:p>
        </w:tc>
        <w:tc>
          <w:tcPr>
            <w:tcW w:w="2612" w:type="dxa"/>
            <w:vAlign w:val="center"/>
          </w:tcPr>
          <w:p w14:paraId="1CDD6A5E">
            <w:pPr>
              <w:widowControl/>
              <w:jc w:val="center"/>
              <w:rPr>
                <w:rFonts w:hint="eastAsia" w:ascii="宋体" w:hAnsi="宋体" w:eastAsia="宋体" w:cs="宋体"/>
                <w:color w:val="auto"/>
                <w:highlight w:val="none"/>
              </w:rPr>
            </w:pPr>
          </w:p>
        </w:tc>
      </w:tr>
      <w:tr w14:paraId="4B0E75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61" w:hRule="atLeast"/>
          <w:jc w:val="center"/>
        </w:trPr>
        <w:tc>
          <w:tcPr>
            <w:tcW w:w="2887" w:type="dxa"/>
            <w:gridSpan w:val="2"/>
            <w:vAlign w:val="center"/>
          </w:tcPr>
          <w:p w14:paraId="399084F6">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联系传真</w:t>
            </w:r>
          </w:p>
        </w:tc>
        <w:tc>
          <w:tcPr>
            <w:tcW w:w="1786" w:type="dxa"/>
            <w:vAlign w:val="center"/>
          </w:tcPr>
          <w:p w14:paraId="2FDE9B2A">
            <w:pPr>
              <w:widowControl/>
              <w:jc w:val="center"/>
              <w:rPr>
                <w:rFonts w:hint="eastAsia" w:ascii="宋体" w:hAnsi="宋体" w:eastAsia="宋体" w:cs="宋体"/>
                <w:color w:val="auto"/>
                <w:highlight w:val="none"/>
              </w:rPr>
            </w:pPr>
          </w:p>
        </w:tc>
        <w:tc>
          <w:tcPr>
            <w:tcW w:w="2274" w:type="dxa"/>
            <w:gridSpan w:val="2"/>
            <w:vAlign w:val="center"/>
          </w:tcPr>
          <w:p w14:paraId="12B865D4">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联系邮箱</w:t>
            </w:r>
          </w:p>
        </w:tc>
        <w:tc>
          <w:tcPr>
            <w:tcW w:w="2612" w:type="dxa"/>
            <w:vAlign w:val="center"/>
          </w:tcPr>
          <w:p w14:paraId="3F21A3EB">
            <w:pPr>
              <w:widowControl/>
              <w:jc w:val="center"/>
              <w:rPr>
                <w:rFonts w:hint="eastAsia" w:ascii="宋体" w:hAnsi="宋体" w:eastAsia="宋体" w:cs="宋体"/>
                <w:color w:val="auto"/>
                <w:highlight w:val="none"/>
              </w:rPr>
            </w:pPr>
          </w:p>
        </w:tc>
      </w:tr>
      <w:tr w14:paraId="77FD8E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2" w:hRule="atLeast"/>
          <w:jc w:val="center"/>
        </w:trPr>
        <w:tc>
          <w:tcPr>
            <w:tcW w:w="2887" w:type="dxa"/>
            <w:gridSpan w:val="2"/>
            <w:vAlign w:val="center"/>
          </w:tcPr>
          <w:p w14:paraId="5D40C57F">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经营范围</w:t>
            </w:r>
          </w:p>
        </w:tc>
        <w:tc>
          <w:tcPr>
            <w:tcW w:w="6672" w:type="dxa"/>
            <w:gridSpan w:val="4"/>
            <w:vAlign w:val="center"/>
          </w:tcPr>
          <w:p w14:paraId="1538C11D">
            <w:pPr>
              <w:widowControl/>
              <w:jc w:val="center"/>
              <w:rPr>
                <w:rFonts w:hint="eastAsia" w:ascii="宋体" w:hAnsi="宋体" w:eastAsia="宋体" w:cs="宋体"/>
                <w:color w:val="auto"/>
                <w:highlight w:val="none"/>
              </w:rPr>
            </w:pPr>
          </w:p>
        </w:tc>
      </w:tr>
      <w:tr w14:paraId="00C57C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9" w:hRule="atLeast"/>
          <w:jc w:val="center"/>
        </w:trPr>
        <w:tc>
          <w:tcPr>
            <w:tcW w:w="2887" w:type="dxa"/>
            <w:gridSpan w:val="2"/>
            <w:vAlign w:val="center"/>
          </w:tcPr>
          <w:p w14:paraId="26C6008C">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公司管理体系认证</w:t>
            </w:r>
          </w:p>
        </w:tc>
        <w:tc>
          <w:tcPr>
            <w:tcW w:w="6672" w:type="dxa"/>
            <w:gridSpan w:val="4"/>
            <w:vAlign w:val="center"/>
          </w:tcPr>
          <w:p w14:paraId="41A0EE23">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（质量、职业、环境管理体系）</w:t>
            </w:r>
          </w:p>
        </w:tc>
      </w:tr>
      <w:tr w14:paraId="42C213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98" w:hRule="atLeast"/>
          <w:jc w:val="center"/>
        </w:trPr>
        <w:tc>
          <w:tcPr>
            <w:tcW w:w="9559" w:type="dxa"/>
            <w:gridSpan w:val="6"/>
            <w:vAlign w:val="center"/>
          </w:tcPr>
          <w:p w14:paraId="7E4BEE53">
            <w:pPr>
              <w:widowControl/>
              <w:rPr>
                <w:rFonts w:hint="eastAsia" w:ascii="宋体" w:hAnsi="宋体" w:eastAsia="宋体" w:cs="宋体"/>
                <w:color w:val="auto"/>
                <w:highlight w:val="none"/>
              </w:rPr>
            </w:pPr>
            <w:r>
              <w:rPr>
                <w:rFonts w:hint="eastAsia" w:ascii="宋体" w:hAnsi="宋体" w:eastAsia="宋体" w:cs="宋体"/>
                <w:color w:val="auto"/>
                <w:highlight w:val="none"/>
              </w:rPr>
              <w:t>经营范围：</w:t>
            </w:r>
          </w:p>
        </w:tc>
      </w:tr>
      <w:tr w14:paraId="3DBFC3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1" w:hRule="atLeast"/>
          <w:jc w:val="center"/>
        </w:trPr>
        <w:tc>
          <w:tcPr>
            <w:tcW w:w="9559" w:type="dxa"/>
            <w:gridSpan w:val="6"/>
            <w:vAlign w:val="center"/>
          </w:tcPr>
          <w:p w14:paraId="6FDD405E">
            <w:pPr>
              <w:widowControl/>
              <w:rPr>
                <w:rFonts w:hint="eastAsia" w:ascii="宋体" w:hAnsi="宋体" w:eastAsia="宋体" w:cs="宋体"/>
                <w:color w:val="auto"/>
                <w:highlight w:val="none"/>
              </w:rPr>
            </w:pPr>
            <w:r>
              <w:rPr>
                <w:rFonts w:hint="eastAsia" w:ascii="宋体" w:hAnsi="宋体" w:eastAsia="宋体" w:cs="宋体"/>
                <w:color w:val="auto"/>
                <w:highlight w:val="none"/>
              </w:rPr>
              <w:t>所取得的资格证书：</w:t>
            </w:r>
          </w:p>
        </w:tc>
      </w:tr>
      <w:tr w14:paraId="1DE6F1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7" w:hRule="atLeast"/>
          <w:jc w:val="center"/>
        </w:trPr>
        <w:tc>
          <w:tcPr>
            <w:tcW w:w="1423" w:type="dxa"/>
            <w:vAlign w:val="center"/>
          </w:tcPr>
          <w:p w14:paraId="5C580E7D">
            <w:pPr>
              <w:widowControl/>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c>
          <w:tcPr>
            <w:tcW w:w="8136" w:type="dxa"/>
            <w:gridSpan w:val="5"/>
            <w:vAlign w:val="center"/>
          </w:tcPr>
          <w:p w14:paraId="05019E6C">
            <w:pPr>
              <w:widowControl/>
              <w:jc w:val="center"/>
              <w:rPr>
                <w:rFonts w:hint="eastAsia" w:ascii="宋体" w:hAnsi="宋体" w:eastAsia="宋体" w:cs="宋体"/>
                <w:color w:val="auto"/>
                <w:highlight w:val="none"/>
              </w:rPr>
            </w:pPr>
          </w:p>
        </w:tc>
      </w:tr>
    </w:tbl>
    <w:p w14:paraId="2029D1E4">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注：附营业执照、开户许可证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获奖证书（如有）</w:t>
      </w:r>
      <w:r>
        <w:rPr>
          <w:rFonts w:hint="eastAsia" w:ascii="宋体" w:hAnsi="宋体" w:eastAsia="宋体" w:cs="宋体"/>
          <w:color w:val="auto"/>
          <w:sz w:val="21"/>
          <w:szCs w:val="21"/>
          <w:highlight w:val="none"/>
        </w:rPr>
        <w:t>等相关证明材料。</w:t>
      </w:r>
    </w:p>
    <w:p w14:paraId="5237399F">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2F78FD20">
      <w:pPr>
        <w:pStyle w:val="4"/>
        <w:bidi w:val="0"/>
        <w:rPr>
          <w:rFonts w:hint="default" w:ascii="宋体" w:hAnsi="宋体" w:eastAsia="宋体" w:cs="宋体"/>
          <w:color w:val="auto"/>
          <w:highlight w:val="none"/>
          <w:lang w:val="en-US" w:eastAsia="zh-CN"/>
        </w:rPr>
      </w:pPr>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w:t>
      </w:r>
      <w:r>
        <w:rPr>
          <w:rFonts w:hint="eastAsia" w:cs="宋体"/>
          <w:color w:val="auto"/>
          <w:highlight w:val="none"/>
          <w:lang w:val="en-US" w:eastAsia="zh-CN"/>
        </w:rPr>
        <w:t>供应商特定资格证明文件</w:t>
      </w:r>
    </w:p>
    <w:p w14:paraId="19F9F76D">
      <w:pPr>
        <w:jc w:val="center"/>
        <w:rPr>
          <w:rFonts w:hint="eastAsia" w:ascii="宋体" w:hAnsi="宋体" w:eastAsia="宋体" w:cs="宋体"/>
          <w:color w:val="auto"/>
          <w:highlight w:val="none"/>
        </w:rPr>
      </w:pPr>
      <w:r>
        <w:rPr>
          <w:rFonts w:hint="eastAsia" w:ascii="宋体" w:hAnsi="宋体" w:eastAsia="宋体" w:cs="宋体"/>
          <w:color w:val="auto"/>
          <w:highlight w:val="none"/>
        </w:rPr>
        <w:t>（格式自拟）</w:t>
      </w:r>
    </w:p>
    <w:p w14:paraId="2C78182C">
      <w:pPr>
        <w:bidi w:val="0"/>
        <w:rPr>
          <w:rFonts w:hint="eastAsia"/>
          <w:color w:val="auto"/>
          <w:highlight w:val="none"/>
        </w:rPr>
      </w:pPr>
    </w:p>
    <w:p w14:paraId="52A1867F">
      <w:pPr>
        <w:pStyle w:val="4"/>
        <w:bidi w:val="0"/>
        <w:rPr>
          <w:rFonts w:hint="eastAsia" w:ascii="宋体" w:hAnsi="宋体" w:eastAsia="宋体" w:cs="宋体"/>
          <w:color w:val="auto"/>
          <w:highlight w:val="none"/>
        </w:rPr>
      </w:pPr>
      <w:r>
        <w:rPr>
          <w:rFonts w:hint="eastAsia" w:ascii="宋体" w:hAnsi="宋体" w:eastAsia="宋体" w:cs="宋体"/>
          <w:color w:val="auto"/>
          <w:highlight w:val="none"/>
        </w:rPr>
        <w:t>格式8：非联合体投标申明</w:t>
      </w:r>
    </w:p>
    <w:p w14:paraId="62E96B0A">
      <w:pPr>
        <w:jc w:val="center"/>
        <w:rPr>
          <w:rFonts w:hint="eastAsia" w:ascii="宋体" w:hAnsi="宋体" w:eastAsia="宋体" w:cs="宋体"/>
          <w:color w:val="auto"/>
          <w:highlight w:val="none"/>
        </w:rPr>
      </w:pPr>
      <w:r>
        <w:rPr>
          <w:rFonts w:hint="eastAsia" w:ascii="宋体" w:hAnsi="宋体" w:eastAsia="宋体" w:cs="宋体"/>
          <w:color w:val="auto"/>
          <w:highlight w:val="none"/>
        </w:rPr>
        <w:t>（格式自拟）</w:t>
      </w:r>
    </w:p>
    <w:p w14:paraId="7DCEC153">
      <w:pPr>
        <w:jc w:val="center"/>
        <w:rPr>
          <w:rFonts w:hint="eastAsia" w:ascii="宋体" w:hAnsi="宋体" w:eastAsia="宋体" w:cs="宋体"/>
          <w:color w:val="auto"/>
          <w:highlight w:val="none"/>
        </w:rPr>
      </w:pPr>
    </w:p>
    <w:p w14:paraId="678EFF64">
      <w:pPr>
        <w:pStyle w:val="4"/>
        <w:bidi w:val="0"/>
        <w:rPr>
          <w:rFonts w:hint="eastAsia" w:ascii="宋体" w:hAnsi="宋体" w:eastAsia="宋体" w:cs="宋体"/>
          <w:color w:val="auto"/>
          <w:highlight w:val="none"/>
        </w:rPr>
      </w:pPr>
      <w:r>
        <w:rPr>
          <w:rFonts w:hint="eastAsia" w:ascii="宋体" w:hAnsi="宋体" w:eastAsia="宋体" w:cs="宋体"/>
          <w:color w:val="auto"/>
          <w:highlight w:val="none"/>
        </w:rPr>
        <w:t>格式</w:t>
      </w:r>
      <w:r>
        <w:rPr>
          <w:rFonts w:hint="eastAsia" w:cs="宋体"/>
          <w:color w:val="auto"/>
          <w:highlight w:val="none"/>
          <w:lang w:val="en-US" w:eastAsia="zh-CN"/>
        </w:rPr>
        <w:t>9</w:t>
      </w:r>
      <w:r>
        <w:rPr>
          <w:rFonts w:hint="eastAsia" w:ascii="宋体" w:hAnsi="宋体" w:eastAsia="宋体" w:cs="宋体"/>
          <w:color w:val="auto"/>
          <w:highlight w:val="none"/>
        </w:rPr>
        <w:t>：其它资格证明文件</w:t>
      </w:r>
    </w:p>
    <w:p w14:paraId="51A9E503">
      <w:pPr>
        <w:widowControl/>
        <w:rPr>
          <w:rFonts w:hint="eastAsia" w:ascii="宋体" w:hAnsi="宋体" w:eastAsia="宋体" w:cs="宋体"/>
          <w:color w:val="auto"/>
          <w:highlight w:val="none"/>
        </w:rPr>
      </w:pPr>
      <w:r>
        <w:rPr>
          <w:rFonts w:hint="eastAsia" w:ascii="宋体" w:hAnsi="宋体" w:eastAsia="宋体" w:cs="宋体"/>
          <w:color w:val="auto"/>
          <w:highlight w:val="none"/>
        </w:rPr>
        <w:t>采购文件要求或供应商认为应该提交的其他资格证明文件，格式自拟。</w:t>
      </w:r>
    </w:p>
    <w:p w14:paraId="54937E33">
      <w:pPr>
        <w:pStyle w:val="12"/>
        <w:rPr>
          <w:rFonts w:hint="eastAsia" w:ascii="宋体" w:hAnsi="宋体" w:eastAsia="宋体" w:cs="宋体"/>
          <w:color w:val="auto"/>
          <w:highlight w:val="none"/>
        </w:rPr>
      </w:pPr>
      <w:r>
        <w:rPr>
          <w:rFonts w:hint="eastAsia" w:ascii="宋体" w:hAnsi="宋体" w:eastAsia="宋体" w:cs="宋体"/>
          <w:color w:val="auto"/>
          <w:highlight w:val="none"/>
        </w:rPr>
        <w:t>……………</w:t>
      </w:r>
    </w:p>
    <w:p w14:paraId="7613235B">
      <w:pPr>
        <w:jc w:val="center"/>
        <w:outlineLvl w:val="1"/>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rPr>
        <w:br w:type="page"/>
      </w:r>
      <w:bookmarkStart w:id="441" w:name="_Toc27628"/>
      <w:r>
        <w:rPr>
          <w:rFonts w:hint="eastAsia" w:ascii="宋体" w:hAnsi="宋体" w:eastAsia="宋体" w:cs="宋体"/>
          <w:b/>
          <w:bCs/>
          <w:color w:val="auto"/>
          <w:sz w:val="32"/>
          <w:szCs w:val="32"/>
          <w:highlight w:val="none"/>
        </w:rPr>
        <w:t>二、</w:t>
      </w:r>
      <w:bookmarkStart w:id="442" w:name="_Toc25873"/>
      <w:bookmarkStart w:id="443" w:name="_Toc20844"/>
      <w:r>
        <w:rPr>
          <w:rFonts w:hint="eastAsia" w:ascii="宋体" w:hAnsi="宋体" w:eastAsia="宋体" w:cs="宋体"/>
          <w:b/>
          <w:bCs/>
          <w:color w:val="auto"/>
          <w:sz w:val="32"/>
          <w:szCs w:val="32"/>
          <w:highlight w:val="none"/>
          <w:lang w:val="en-US" w:eastAsia="zh-CN"/>
        </w:rPr>
        <w:t>商务</w:t>
      </w:r>
      <w:r>
        <w:rPr>
          <w:rFonts w:hint="eastAsia" w:ascii="宋体" w:hAnsi="宋体" w:eastAsia="宋体" w:cs="宋体"/>
          <w:b/>
          <w:bCs/>
          <w:color w:val="auto"/>
          <w:sz w:val="32"/>
          <w:szCs w:val="32"/>
          <w:highlight w:val="none"/>
        </w:rPr>
        <w:t>部分</w:t>
      </w:r>
      <w:bookmarkEnd w:id="441"/>
    </w:p>
    <w:p w14:paraId="1D9FC3CE">
      <w:pPr>
        <w:pStyle w:val="4"/>
        <w:bidi w:val="0"/>
        <w:rPr>
          <w:rFonts w:hint="eastAsia" w:ascii="宋体" w:hAnsi="宋体" w:eastAsia="宋体" w:cs="宋体"/>
          <w:color w:val="auto"/>
          <w:highlight w:val="none"/>
        </w:rPr>
      </w:pPr>
      <w:r>
        <w:rPr>
          <w:rFonts w:hint="eastAsia" w:ascii="宋体" w:hAnsi="宋体" w:eastAsia="宋体" w:cs="宋体"/>
          <w:color w:val="auto"/>
          <w:highlight w:val="none"/>
        </w:rPr>
        <w:t>格式1：</w:t>
      </w:r>
      <w:bookmarkStart w:id="444" w:name="_Toc17484"/>
      <w:bookmarkStart w:id="445" w:name="_Toc24963"/>
      <w:r>
        <w:rPr>
          <w:rFonts w:hint="eastAsia" w:ascii="宋体" w:hAnsi="宋体" w:eastAsia="宋体" w:cs="宋体"/>
          <w:color w:val="auto"/>
          <w:highlight w:val="none"/>
          <w:lang w:val="en-US" w:eastAsia="zh-CN"/>
        </w:rPr>
        <w:t>投标报价</w:t>
      </w:r>
      <w:r>
        <w:rPr>
          <w:rFonts w:hint="eastAsia" w:ascii="宋体" w:hAnsi="宋体" w:eastAsia="宋体" w:cs="宋体"/>
          <w:color w:val="auto"/>
          <w:highlight w:val="none"/>
        </w:rPr>
        <w:t>一览表</w:t>
      </w:r>
      <w:bookmarkEnd w:id="442"/>
      <w:bookmarkEnd w:id="444"/>
      <w:bookmarkEnd w:id="445"/>
    </w:p>
    <w:tbl>
      <w:tblPr>
        <w:tblStyle w:val="26"/>
        <w:tblW w:w="0" w:type="auto"/>
        <w:jc w:val="center"/>
        <w:tblLayout w:type="fixed"/>
        <w:tblCellMar>
          <w:top w:w="0" w:type="dxa"/>
          <w:left w:w="108" w:type="dxa"/>
          <w:bottom w:w="0" w:type="dxa"/>
          <w:right w:w="108" w:type="dxa"/>
        </w:tblCellMar>
      </w:tblPr>
      <w:tblGrid>
        <w:gridCol w:w="2739"/>
        <w:gridCol w:w="1497"/>
        <w:gridCol w:w="5523"/>
      </w:tblGrid>
      <w:tr w14:paraId="22D6D36E">
        <w:tblPrEx>
          <w:tblCellMar>
            <w:top w:w="0" w:type="dxa"/>
            <w:left w:w="108" w:type="dxa"/>
            <w:bottom w:w="0" w:type="dxa"/>
            <w:right w:w="108" w:type="dxa"/>
          </w:tblCellMar>
        </w:tblPrEx>
        <w:trPr>
          <w:trHeight w:val="860" w:hRule="atLeast"/>
          <w:jc w:val="center"/>
        </w:trPr>
        <w:tc>
          <w:tcPr>
            <w:tcW w:w="4236" w:type="dxa"/>
            <w:gridSpan w:val="2"/>
            <w:tcBorders>
              <w:top w:val="thickThinLargeGap" w:color="auto" w:sz="12" w:space="0"/>
              <w:left w:val="thickThinLargeGap" w:color="auto" w:sz="12" w:space="0"/>
              <w:bottom w:val="single" w:color="000000" w:sz="6" w:space="0"/>
              <w:right w:val="single" w:color="000000" w:sz="6" w:space="0"/>
            </w:tcBorders>
            <w:tcMar>
              <w:top w:w="0" w:type="dxa"/>
              <w:left w:w="108" w:type="dxa"/>
              <w:bottom w:w="0" w:type="dxa"/>
              <w:right w:w="108" w:type="dxa"/>
            </w:tcMar>
            <w:vAlign w:val="center"/>
          </w:tcPr>
          <w:p w14:paraId="38288218">
            <w:pPr>
              <w:jc w:val="center"/>
              <w:rPr>
                <w:rFonts w:hint="eastAsia" w:ascii="宋体" w:hAnsi="宋体" w:eastAsia="宋体" w:cs="宋体"/>
                <w:color w:val="auto"/>
                <w:highlight w:val="none"/>
              </w:rPr>
            </w:pPr>
            <w:r>
              <w:rPr>
                <w:rFonts w:hint="eastAsia" w:ascii="宋体" w:hAnsi="宋体" w:eastAsia="宋体" w:cs="宋体"/>
                <w:color w:val="auto"/>
                <w:highlight w:val="none"/>
              </w:rPr>
              <w:t>供应商名称</w:t>
            </w:r>
          </w:p>
        </w:tc>
        <w:tc>
          <w:tcPr>
            <w:tcW w:w="5523" w:type="dxa"/>
            <w:tcBorders>
              <w:top w:val="thickThinLargeGap" w:color="auto" w:sz="12" w:space="0"/>
              <w:left w:val="single" w:color="000000" w:sz="6" w:space="0"/>
              <w:bottom w:val="single" w:color="000000" w:sz="6" w:space="0"/>
              <w:right w:val="thickThinLargeGap" w:color="auto" w:sz="12" w:space="0"/>
            </w:tcBorders>
            <w:tcMar>
              <w:top w:w="0" w:type="dxa"/>
              <w:left w:w="108" w:type="dxa"/>
              <w:bottom w:w="0" w:type="dxa"/>
              <w:right w:w="108" w:type="dxa"/>
            </w:tcMar>
            <w:vAlign w:val="center"/>
          </w:tcPr>
          <w:p w14:paraId="50476D23">
            <w:pPr>
              <w:rPr>
                <w:rFonts w:hint="eastAsia" w:ascii="宋体" w:hAnsi="宋体" w:eastAsia="宋体" w:cs="宋体"/>
                <w:color w:val="auto"/>
                <w:highlight w:val="none"/>
              </w:rPr>
            </w:pPr>
          </w:p>
        </w:tc>
      </w:tr>
      <w:tr w14:paraId="4101F018">
        <w:tblPrEx>
          <w:tblCellMar>
            <w:top w:w="0" w:type="dxa"/>
            <w:left w:w="108" w:type="dxa"/>
            <w:bottom w:w="0" w:type="dxa"/>
            <w:right w:w="108" w:type="dxa"/>
          </w:tblCellMar>
        </w:tblPrEx>
        <w:trPr>
          <w:trHeight w:val="919" w:hRule="atLeast"/>
          <w:jc w:val="center"/>
        </w:trPr>
        <w:tc>
          <w:tcPr>
            <w:tcW w:w="4236" w:type="dxa"/>
            <w:gridSpan w:val="2"/>
            <w:tcBorders>
              <w:top w:val="single" w:color="000000" w:sz="6" w:space="0"/>
              <w:left w:val="thickThinLargeGap" w:color="auto" w:sz="12" w:space="0"/>
              <w:bottom w:val="single" w:color="000000" w:sz="6" w:space="0"/>
              <w:right w:val="single" w:color="000000" w:sz="6" w:space="0"/>
            </w:tcBorders>
            <w:tcMar>
              <w:top w:w="0" w:type="dxa"/>
              <w:left w:w="108" w:type="dxa"/>
              <w:bottom w:w="0" w:type="dxa"/>
              <w:right w:w="108" w:type="dxa"/>
            </w:tcMar>
            <w:vAlign w:val="center"/>
          </w:tcPr>
          <w:p w14:paraId="062EA1D3">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投标总报价（含税</w:t>
            </w:r>
            <w:r>
              <w:rPr>
                <w:rFonts w:hint="eastAsia" w:ascii="宋体" w:hAnsi="宋体" w:eastAsia="宋体" w:cs="宋体"/>
                <w:color w:val="auto"/>
                <w:highlight w:val="none"/>
                <w:lang w:val="en-US" w:eastAsia="zh-CN"/>
              </w:rPr>
              <w:t>/元</w:t>
            </w:r>
            <w:r>
              <w:rPr>
                <w:rFonts w:hint="eastAsia" w:ascii="宋体" w:hAnsi="宋体" w:eastAsia="宋体" w:cs="宋体"/>
                <w:color w:val="auto"/>
                <w:highlight w:val="none"/>
                <w:lang w:eastAsia="zh-CN"/>
              </w:rPr>
              <w:t>）</w:t>
            </w:r>
          </w:p>
        </w:tc>
        <w:tc>
          <w:tcPr>
            <w:tcW w:w="5523" w:type="dxa"/>
            <w:tcBorders>
              <w:top w:val="single" w:color="000000" w:sz="6" w:space="0"/>
              <w:left w:val="single" w:color="000000" w:sz="6" w:space="0"/>
              <w:bottom w:val="single" w:color="000000" w:sz="6" w:space="0"/>
              <w:right w:val="thickThinLargeGap" w:color="auto" w:sz="12" w:space="0"/>
            </w:tcBorders>
            <w:tcMar>
              <w:top w:w="0" w:type="dxa"/>
              <w:left w:w="108" w:type="dxa"/>
              <w:bottom w:w="0" w:type="dxa"/>
              <w:right w:w="108" w:type="dxa"/>
            </w:tcMar>
            <w:vAlign w:val="center"/>
          </w:tcPr>
          <w:p w14:paraId="2B7FB1A5">
            <w:pPr>
              <w:jc w:val="both"/>
              <w:rPr>
                <w:rFonts w:hint="eastAsia" w:ascii="宋体" w:hAnsi="宋体" w:eastAsia="宋体" w:cs="宋体"/>
                <w:color w:val="auto"/>
                <w:highlight w:val="none"/>
              </w:rPr>
            </w:pPr>
            <w:bookmarkStart w:id="446" w:name="_Toc6334"/>
            <w:bookmarkStart w:id="447" w:name="_Toc28538"/>
            <w:bookmarkStart w:id="448" w:name="_Toc17991"/>
            <w:bookmarkStart w:id="449" w:name="_Toc13524"/>
            <w:bookmarkStart w:id="450" w:name="_Toc26452"/>
            <w:bookmarkStart w:id="451" w:name="_Toc21171"/>
            <w:bookmarkStart w:id="452" w:name="_Toc28192"/>
            <w:bookmarkStart w:id="453" w:name="_Toc18431"/>
            <w:r>
              <w:rPr>
                <w:rFonts w:hint="eastAsia" w:ascii="宋体" w:hAnsi="宋体" w:eastAsia="宋体" w:cs="宋体"/>
                <w:color w:val="auto"/>
                <w:highlight w:val="none"/>
              </w:rPr>
              <w:t>小写（元）：</w:t>
            </w:r>
            <w:bookmarkEnd w:id="446"/>
            <w:bookmarkEnd w:id="447"/>
            <w:bookmarkEnd w:id="448"/>
            <w:r>
              <w:rPr>
                <w:rFonts w:hint="eastAsia" w:ascii="宋体" w:hAnsi="宋体" w:eastAsia="宋体" w:cs="宋体"/>
                <w:color w:val="auto"/>
                <w:highlight w:val="none"/>
              </w:rPr>
              <w:t xml:space="preserve">          大写：</w:t>
            </w:r>
            <w:bookmarkEnd w:id="449"/>
            <w:bookmarkEnd w:id="450"/>
            <w:bookmarkEnd w:id="451"/>
            <w:bookmarkEnd w:id="452"/>
            <w:bookmarkEnd w:id="453"/>
          </w:p>
        </w:tc>
      </w:tr>
      <w:tr w14:paraId="2C36CA92">
        <w:tblPrEx>
          <w:tblCellMar>
            <w:top w:w="0" w:type="dxa"/>
            <w:left w:w="108" w:type="dxa"/>
            <w:bottom w:w="0" w:type="dxa"/>
            <w:right w:w="108" w:type="dxa"/>
          </w:tblCellMar>
        </w:tblPrEx>
        <w:trPr>
          <w:trHeight w:val="640" w:hRule="exact"/>
          <w:jc w:val="center"/>
        </w:trPr>
        <w:tc>
          <w:tcPr>
            <w:tcW w:w="4236" w:type="dxa"/>
            <w:gridSpan w:val="2"/>
            <w:tcBorders>
              <w:top w:val="single" w:color="000000" w:sz="6" w:space="0"/>
              <w:left w:val="thickThinLargeGap" w:color="auto" w:sz="12" w:space="0"/>
              <w:bottom w:val="single" w:color="000000" w:sz="6" w:space="0"/>
              <w:right w:val="single" w:color="000000" w:sz="6" w:space="0"/>
            </w:tcBorders>
            <w:tcMar>
              <w:top w:w="0" w:type="dxa"/>
              <w:left w:w="108" w:type="dxa"/>
              <w:bottom w:w="0" w:type="dxa"/>
              <w:right w:w="108" w:type="dxa"/>
            </w:tcMar>
            <w:vAlign w:val="center"/>
          </w:tcPr>
          <w:p w14:paraId="6C3C89C3">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合同履行期限</w:t>
            </w:r>
          </w:p>
        </w:tc>
        <w:tc>
          <w:tcPr>
            <w:tcW w:w="5523" w:type="dxa"/>
            <w:tcBorders>
              <w:top w:val="single" w:color="000000" w:sz="6" w:space="0"/>
              <w:left w:val="single" w:color="000000" w:sz="6" w:space="0"/>
              <w:bottom w:val="single" w:color="000000" w:sz="6" w:space="0"/>
              <w:right w:val="thickThinLargeGap" w:color="auto" w:sz="12" w:space="0"/>
            </w:tcBorders>
            <w:tcMar>
              <w:top w:w="0" w:type="dxa"/>
              <w:left w:w="108" w:type="dxa"/>
              <w:bottom w:w="0" w:type="dxa"/>
              <w:right w:w="108" w:type="dxa"/>
            </w:tcMar>
            <w:vAlign w:val="center"/>
          </w:tcPr>
          <w:p w14:paraId="5208F202">
            <w:pPr>
              <w:rPr>
                <w:rFonts w:hint="eastAsia" w:ascii="宋体" w:hAnsi="宋体" w:eastAsia="宋体" w:cs="宋体"/>
                <w:color w:val="auto"/>
                <w:highlight w:val="none"/>
              </w:rPr>
            </w:pPr>
          </w:p>
        </w:tc>
      </w:tr>
      <w:tr w14:paraId="0A2244DA">
        <w:tblPrEx>
          <w:tblCellMar>
            <w:top w:w="0" w:type="dxa"/>
            <w:left w:w="108" w:type="dxa"/>
            <w:bottom w:w="0" w:type="dxa"/>
            <w:right w:w="108" w:type="dxa"/>
          </w:tblCellMar>
        </w:tblPrEx>
        <w:trPr>
          <w:trHeight w:val="809" w:hRule="exact"/>
          <w:jc w:val="center"/>
        </w:trPr>
        <w:tc>
          <w:tcPr>
            <w:tcW w:w="4236" w:type="dxa"/>
            <w:gridSpan w:val="2"/>
            <w:tcBorders>
              <w:top w:val="single" w:color="000000" w:sz="6" w:space="0"/>
              <w:left w:val="thickThinLargeGap" w:color="auto" w:sz="12" w:space="0"/>
              <w:bottom w:val="single" w:color="000000" w:sz="6" w:space="0"/>
              <w:right w:val="single" w:color="000000" w:sz="6" w:space="0"/>
            </w:tcBorders>
            <w:tcMar>
              <w:top w:w="0" w:type="dxa"/>
              <w:left w:w="108" w:type="dxa"/>
              <w:bottom w:w="0" w:type="dxa"/>
              <w:right w:w="108" w:type="dxa"/>
            </w:tcMar>
            <w:vAlign w:val="center"/>
          </w:tcPr>
          <w:p w14:paraId="5EBD1396">
            <w:pPr>
              <w:jc w:val="center"/>
              <w:rPr>
                <w:rFonts w:hint="eastAsia" w:ascii="宋体" w:hAnsi="宋体" w:eastAsia="宋体" w:cs="宋体"/>
                <w:color w:val="auto"/>
                <w:highlight w:val="none"/>
              </w:rPr>
            </w:pPr>
            <w:r>
              <w:rPr>
                <w:rFonts w:hint="eastAsia" w:ascii="宋体" w:hAnsi="宋体" w:eastAsia="宋体" w:cs="宋体"/>
                <w:color w:val="auto"/>
                <w:highlight w:val="none"/>
              </w:rPr>
              <w:t>交货地点</w:t>
            </w:r>
          </w:p>
        </w:tc>
        <w:tc>
          <w:tcPr>
            <w:tcW w:w="5523" w:type="dxa"/>
            <w:tcBorders>
              <w:top w:val="single" w:color="000000" w:sz="6" w:space="0"/>
              <w:left w:val="single" w:color="000000" w:sz="6" w:space="0"/>
              <w:bottom w:val="single" w:color="000000" w:sz="6" w:space="0"/>
              <w:right w:val="thickThinLargeGap" w:color="auto" w:sz="12" w:space="0"/>
            </w:tcBorders>
            <w:tcMar>
              <w:top w:w="0" w:type="dxa"/>
              <w:left w:w="108" w:type="dxa"/>
              <w:bottom w:w="0" w:type="dxa"/>
              <w:right w:w="108" w:type="dxa"/>
            </w:tcMar>
            <w:vAlign w:val="center"/>
          </w:tcPr>
          <w:p w14:paraId="66FE90CE">
            <w:pPr>
              <w:rPr>
                <w:rFonts w:hint="eastAsia" w:ascii="宋体" w:hAnsi="宋体" w:eastAsia="宋体" w:cs="宋体"/>
                <w:color w:val="auto"/>
                <w:highlight w:val="none"/>
              </w:rPr>
            </w:pPr>
          </w:p>
        </w:tc>
      </w:tr>
      <w:tr w14:paraId="2291FC5F">
        <w:tblPrEx>
          <w:tblCellMar>
            <w:top w:w="0" w:type="dxa"/>
            <w:left w:w="108" w:type="dxa"/>
            <w:bottom w:w="0" w:type="dxa"/>
            <w:right w:w="108" w:type="dxa"/>
          </w:tblCellMar>
        </w:tblPrEx>
        <w:trPr>
          <w:trHeight w:val="791" w:hRule="exact"/>
          <w:jc w:val="center"/>
        </w:trPr>
        <w:tc>
          <w:tcPr>
            <w:tcW w:w="4236" w:type="dxa"/>
            <w:gridSpan w:val="2"/>
            <w:tcBorders>
              <w:top w:val="single" w:color="000000" w:sz="6" w:space="0"/>
              <w:left w:val="thickThinLargeGap" w:color="auto" w:sz="12" w:space="0"/>
              <w:bottom w:val="single" w:color="000000" w:sz="6" w:space="0"/>
              <w:right w:val="single" w:color="000000" w:sz="6" w:space="0"/>
            </w:tcBorders>
            <w:tcMar>
              <w:top w:w="0" w:type="dxa"/>
              <w:left w:w="108" w:type="dxa"/>
              <w:bottom w:w="0" w:type="dxa"/>
              <w:right w:w="108" w:type="dxa"/>
            </w:tcMar>
            <w:vAlign w:val="center"/>
          </w:tcPr>
          <w:p w14:paraId="4FB8DA3D">
            <w:pPr>
              <w:jc w:val="center"/>
              <w:rPr>
                <w:rFonts w:hint="eastAsia" w:ascii="宋体" w:hAnsi="宋体" w:eastAsia="宋体" w:cs="宋体"/>
                <w:color w:val="auto"/>
                <w:highlight w:val="none"/>
              </w:rPr>
            </w:pPr>
            <w:r>
              <w:rPr>
                <w:rFonts w:hint="eastAsia" w:ascii="宋体" w:hAnsi="宋体" w:eastAsia="宋体" w:cs="宋体"/>
                <w:color w:val="auto"/>
                <w:szCs w:val="21"/>
                <w:highlight w:val="none"/>
              </w:rPr>
              <w:t>质量保证</w:t>
            </w:r>
          </w:p>
        </w:tc>
        <w:tc>
          <w:tcPr>
            <w:tcW w:w="5523" w:type="dxa"/>
            <w:tcBorders>
              <w:top w:val="single" w:color="000000" w:sz="6" w:space="0"/>
              <w:left w:val="single" w:color="000000" w:sz="6" w:space="0"/>
              <w:bottom w:val="single" w:color="000000" w:sz="6" w:space="0"/>
              <w:right w:val="thickThinLargeGap" w:color="auto" w:sz="12" w:space="0"/>
            </w:tcBorders>
            <w:tcMar>
              <w:top w:w="0" w:type="dxa"/>
              <w:left w:w="108" w:type="dxa"/>
              <w:bottom w:w="0" w:type="dxa"/>
              <w:right w:w="108" w:type="dxa"/>
            </w:tcMar>
            <w:vAlign w:val="center"/>
          </w:tcPr>
          <w:p w14:paraId="6C6C8B61">
            <w:pPr>
              <w:rPr>
                <w:rFonts w:hint="eastAsia" w:ascii="宋体" w:hAnsi="宋体" w:eastAsia="宋体" w:cs="宋体"/>
                <w:color w:val="auto"/>
                <w:highlight w:val="none"/>
                <w:u w:val="single"/>
              </w:rPr>
            </w:pPr>
          </w:p>
        </w:tc>
      </w:tr>
      <w:tr w14:paraId="18431982">
        <w:tblPrEx>
          <w:tblCellMar>
            <w:top w:w="0" w:type="dxa"/>
            <w:left w:w="108" w:type="dxa"/>
            <w:bottom w:w="0" w:type="dxa"/>
            <w:right w:w="108" w:type="dxa"/>
          </w:tblCellMar>
        </w:tblPrEx>
        <w:trPr>
          <w:trHeight w:val="791" w:hRule="exact"/>
          <w:jc w:val="center"/>
        </w:trPr>
        <w:tc>
          <w:tcPr>
            <w:tcW w:w="4236" w:type="dxa"/>
            <w:gridSpan w:val="2"/>
            <w:tcBorders>
              <w:top w:val="single" w:color="000000" w:sz="6" w:space="0"/>
              <w:left w:val="thickThinLargeGap" w:color="auto" w:sz="12" w:space="0"/>
              <w:bottom w:val="single" w:color="000000" w:sz="6" w:space="0"/>
              <w:right w:val="single" w:color="000000" w:sz="6" w:space="0"/>
            </w:tcBorders>
            <w:tcMar>
              <w:top w:w="0" w:type="dxa"/>
              <w:left w:w="108" w:type="dxa"/>
              <w:bottom w:w="0" w:type="dxa"/>
              <w:right w:w="108" w:type="dxa"/>
            </w:tcMar>
            <w:vAlign w:val="center"/>
          </w:tcPr>
          <w:p w14:paraId="70B98576">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质保期限</w:t>
            </w:r>
          </w:p>
        </w:tc>
        <w:tc>
          <w:tcPr>
            <w:tcW w:w="5523" w:type="dxa"/>
            <w:tcBorders>
              <w:top w:val="single" w:color="000000" w:sz="6" w:space="0"/>
              <w:left w:val="single" w:color="000000" w:sz="6" w:space="0"/>
              <w:bottom w:val="single" w:color="000000" w:sz="6" w:space="0"/>
              <w:right w:val="thickThinLargeGap" w:color="auto" w:sz="12" w:space="0"/>
            </w:tcBorders>
            <w:tcMar>
              <w:top w:w="0" w:type="dxa"/>
              <w:left w:w="108" w:type="dxa"/>
              <w:bottom w:w="0" w:type="dxa"/>
              <w:right w:w="108" w:type="dxa"/>
            </w:tcMar>
            <w:vAlign w:val="center"/>
          </w:tcPr>
          <w:p w14:paraId="40B3CBDF">
            <w:pPr>
              <w:rPr>
                <w:rFonts w:hint="eastAsia" w:ascii="宋体" w:hAnsi="宋体" w:eastAsia="宋体" w:cs="宋体"/>
                <w:color w:val="auto"/>
                <w:highlight w:val="none"/>
                <w:u w:val="single"/>
              </w:rPr>
            </w:pPr>
          </w:p>
        </w:tc>
      </w:tr>
      <w:tr w14:paraId="3E27FE10">
        <w:tblPrEx>
          <w:tblCellMar>
            <w:top w:w="0" w:type="dxa"/>
            <w:left w:w="108" w:type="dxa"/>
            <w:bottom w:w="0" w:type="dxa"/>
            <w:right w:w="108" w:type="dxa"/>
          </w:tblCellMar>
        </w:tblPrEx>
        <w:trPr>
          <w:trHeight w:val="574" w:hRule="atLeast"/>
          <w:jc w:val="center"/>
        </w:trPr>
        <w:tc>
          <w:tcPr>
            <w:tcW w:w="2739" w:type="dxa"/>
            <w:vMerge w:val="restart"/>
            <w:tcBorders>
              <w:top w:val="single" w:color="000000" w:sz="6" w:space="0"/>
              <w:left w:val="thickThinLargeGap" w:color="auto" w:sz="12" w:space="0"/>
              <w:right w:val="single" w:color="000000" w:sz="6" w:space="0"/>
            </w:tcBorders>
            <w:tcMar>
              <w:top w:w="0" w:type="dxa"/>
              <w:left w:w="108" w:type="dxa"/>
              <w:bottom w:w="0" w:type="dxa"/>
              <w:right w:w="108" w:type="dxa"/>
            </w:tcMar>
            <w:vAlign w:val="center"/>
          </w:tcPr>
          <w:p w14:paraId="7CD3A10D">
            <w:pPr>
              <w:jc w:val="center"/>
              <w:rPr>
                <w:rFonts w:hint="eastAsia" w:ascii="宋体" w:hAnsi="宋体" w:eastAsia="宋体" w:cs="宋体"/>
                <w:color w:val="auto"/>
                <w:highlight w:val="none"/>
              </w:rPr>
            </w:pPr>
            <w:r>
              <w:rPr>
                <w:rFonts w:hint="eastAsia" w:ascii="宋体" w:hAnsi="宋体" w:eastAsia="宋体" w:cs="宋体"/>
                <w:color w:val="auto"/>
                <w:highlight w:val="none"/>
              </w:rPr>
              <w:t>项目负责人</w:t>
            </w:r>
          </w:p>
          <w:p w14:paraId="28EC6CBA">
            <w:pPr>
              <w:jc w:val="center"/>
              <w:rPr>
                <w:rFonts w:hint="eastAsia" w:ascii="宋体" w:hAnsi="宋体" w:eastAsia="宋体" w:cs="宋体"/>
                <w:color w:val="auto"/>
                <w:highlight w:val="none"/>
              </w:rPr>
            </w:pPr>
            <w:r>
              <w:rPr>
                <w:rFonts w:hint="eastAsia" w:ascii="宋体" w:hAnsi="宋体" w:eastAsia="宋体" w:cs="宋体"/>
                <w:color w:val="auto"/>
                <w:highlight w:val="none"/>
              </w:rPr>
              <w:t>（中标后指定与采购单位联系人员）</w:t>
            </w:r>
          </w:p>
        </w:tc>
        <w:tc>
          <w:tcPr>
            <w:tcW w:w="1497"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B9924AB">
            <w:pPr>
              <w:jc w:val="cente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5523" w:type="dxa"/>
            <w:tcBorders>
              <w:top w:val="single" w:color="000000" w:sz="6" w:space="0"/>
              <w:left w:val="single" w:color="000000" w:sz="6" w:space="0"/>
              <w:bottom w:val="single" w:color="000000" w:sz="6" w:space="0"/>
              <w:right w:val="thickThinLargeGap" w:color="auto" w:sz="12" w:space="0"/>
            </w:tcBorders>
            <w:tcMar>
              <w:top w:w="0" w:type="dxa"/>
              <w:left w:w="108" w:type="dxa"/>
              <w:bottom w:w="0" w:type="dxa"/>
              <w:right w:w="108" w:type="dxa"/>
            </w:tcMar>
            <w:vAlign w:val="center"/>
          </w:tcPr>
          <w:p w14:paraId="664715FC">
            <w:pPr>
              <w:rPr>
                <w:rFonts w:hint="eastAsia" w:ascii="宋体" w:hAnsi="宋体" w:eastAsia="宋体" w:cs="宋体"/>
                <w:color w:val="auto"/>
                <w:highlight w:val="none"/>
                <w:u w:val="single"/>
              </w:rPr>
            </w:pPr>
          </w:p>
        </w:tc>
      </w:tr>
      <w:tr w14:paraId="2645149F">
        <w:tblPrEx>
          <w:tblCellMar>
            <w:top w:w="0" w:type="dxa"/>
            <w:left w:w="108" w:type="dxa"/>
            <w:bottom w:w="0" w:type="dxa"/>
            <w:right w:w="108" w:type="dxa"/>
          </w:tblCellMar>
        </w:tblPrEx>
        <w:trPr>
          <w:trHeight w:val="574" w:hRule="atLeast"/>
          <w:jc w:val="center"/>
        </w:trPr>
        <w:tc>
          <w:tcPr>
            <w:tcW w:w="2739" w:type="dxa"/>
            <w:vMerge w:val="continue"/>
            <w:tcBorders>
              <w:left w:val="thickThinLargeGap" w:color="auto" w:sz="12" w:space="0"/>
              <w:bottom w:val="single" w:color="000000" w:sz="6" w:space="0"/>
              <w:right w:val="single" w:color="000000" w:sz="6" w:space="0"/>
            </w:tcBorders>
            <w:tcMar>
              <w:top w:w="0" w:type="dxa"/>
              <w:left w:w="108" w:type="dxa"/>
              <w:bottom w:w="0" w:type="dxa"/>
              <w:right w:w="108" w:type="dxa"/>
            </w:tcMar>
            <w:vAlign w:val="center"/>
          </w:tcPr>
          <w:p w14:paraId="4FF462A8">
            <w:pPr>
              <w:jc w:val="center"/>
              <w:rPr>
                <w:rFonts w:hint="eastAsia" w:ascii="宋体" w:hAnsi="宋体" w:eastAsia="宋体" w:cs="宋体"/>
                <w:color w:val="auto"/>
                <w:highlight w:val="none"/>
              </w:rPr>
            </w:pPr>
          </w:p>
        </w:tc>
        <w:tc>
          <w:tcPr>
            <w:tcW w:w="1497"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279E993">
            <w:pPr>
              <w:jc w:val="center"/>
              <w:rPr>
                <w:rFonts w:hint="eastAsia" w:ascii="宋体" w:hAnsi="宋体" w:eastAsia="宋体" w:cs="宋体"/>
                <w:color w:val="auto"/>
                <w:highlight w:val="none"/>
              </w:rPr>
            </w:pPr>
            <w:r>
              <w:rPr>
                <w:rFonts w:hint="eastAsia" w:ascii="宋体" w:hAnsi="宋体" w:eastAsia="宋体" w:cs="宋体"/>
                <w:color w:val="auto"/>
                <w:highlight w:val="none"/>
              </w:rPr>
              <w:t>身份证号码</w:t>
            </w:r>
          </w:p>
        </w:tc>
        <w:tc>
          <w:tcPr>
            <w:tcW w:w="5523" w:type="dxa"/>
            <w:tcBorders>
              <w:top w:val="single" w:color="000000" w:sz="6" w:space="0"/>
              <w:left w:val="single" w:color="000000" w:sz="6" w:space="0"/>
              <w:bottom w:val="single" w:color="000000" w:sz="6" w:space="0"/>
              <w:right w:val="thickThinLargeGap" w:color="auto" w:sz="12" w:space="0"/>
            </w:tcBorders>
            <w:tcMar>
              <w:top w:w="0" w:type="dxa"/>
              <w:left w:w="108" w:type="dxa"/>
              <w:bottom w:w="0" w:type="dxa"/>
              <w:right w:w="108" w:type="dxa"/>
            </w:tcMar>
            <w:vAlign w:val="center"/>
          </w:tcPr>
          <w:p w14:paraId="1E43A5F7">
            <w:pPr>
              <w:jc w:val="center"/>
              <w:rPr>
                <w:rFonts w:hint="eastAsia" w:ascii="宋体" w:hAnsi="宋体" w:eastAsia="宋体" w:cs="宋体"/>
                <w:color w:val="auto"/>
                <w:highlight w:val="none"/>
              </w:rPr>
            </w:pPr>
          </w:p>
        </w:tc>
      </w:tr>
      <w:tr w14:paraId="24D07216">
        <w:tblPrEx>
          <w:tblCellMar>
            <w:top w:w="0" w:type="dxa"/>
            <w:left w:w="108" w:type="dxa"/>
            <w:bottom w:w="0" w:type="dxa"/>
            <w:right w:w="108" w:type="dxa"/>
          </w:tblCellMar>
        </w:tblPrEx>
        <w:trPr>
          <w:trHeight w:val="574" w:hRule="atLeast"/>
          <w:jc w:val="center"/>
        </w:trPr>
        <w:tc>
          <w:tcPr>
            <w:tcW w:w="2739" w:type="dxa"/>
            <w:vMerge w:val="continue"/>
            <w:tcBorders>
              <w:top w:val="single" w:color="000000" w:sz="6" w:space="0"/>
              <w:left w:val="thickThinLargeGap" w:color="auto" w:sz="12" w:space="0"/>
              <w:bottom w:val="single" w:color="000000" w:sz="6" w:space="0"/>
              <w:right w:val="single" w:color="000000" w:sz="6" w:space="0"/>
            </w:tcBorders>
            <w:tcMar>
              <w:top w:w="0" w:type="dxa"/>
              <w:left w:w="108" w:type="dxa"/>
              <w:bottom w:w="0" w:type="dxa"/>
              <w:right w:w="108" w:type="dxa"/>
            </w:tcMar>
            <w:vAlign w:val="center"/>
          </w:tcPr>
          <w:p w14:paraId="07D19AD9">
            <w:pPr>
              <w:jc w:val="center"/>
              <w:rPr>
                <w:rFonts w:hint="eastAsia" w:ascii="宋体" w:hAnsi="宋体" w:eastAsia="宋体" w:cs="宋体"/>
                <w:color w:val="auto"/>
                <w:highlight w:val="none"/>
              </w:rPr>
            </w:pPr>
          </w:p>
        </w:tc>
        <w:tc>
          <w:tcPr>
            <w:tcW w:w="1497"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A5CE37F">
            <w:pPr>
              <w:jc w:val="center"/>
              <w:rPr>
                <w:rFonts w:hint="eastAsia" w:ascii="宋体" w:hAnsi="宋体" w:eastAsia="宋体" w:cs="宋体"/>
                <w:color w:val="auto"/>
                <w:highlight w:val="none"/>
              </w:rPr>
            </w:pPr>
            <w:r>
              <w:rPr>
                <w:rFonts w:hint="eastAsia" w:ascii="宋体" w:hAnsi="宋体" w:eastAsia="宋体" w:cs="宋体"/>
                <w:color w:val="auto"/>
                <w:highlight w:val="none"/>
              </w:rPr>
              <w:t>联系电话</w:t>
            </w:r>
          </w:p>
        </w:tc>
        <w:tc>
          <w:tcPr>
            <w:tcW w:w="5523" w:type="dxa"/>
            <w:tcBorders>
              <w:top w:val="single" w:color="000000" w:sz="6" w:space="0"/>
              <w:left w:val="single" w:color="000000" w:sz="6" w:space="0"/>
              <w:bottom w:val="single" w:color="000000" w:sz="6" w:space="0"/>
              <w:right w:val="thickThinLargeGap" w:color="auto" w:sz="12" w:space="0"/>
            </w:tcBorders>
            <w:tcMar>
              <w:top w:w="0" w:type="dxa"/>
              <w:left w:w="108" w:type="dxa"/>
              <w:bottom w:w="0" w:type="dxa"/>
              <w:right w:w="108" w:type="dxa"/>
            </w:tcMar>
            <w:vAlign w:val="center"/>
          </w:tcPr>
          <w:p w14:paraId="159E6EFD">
            <w:pPr>
              <w:rPr>
                <w:rFonts w:hint="eastAsia" w:ascii="宋体" w:hAnsi="宋体" w:eastAsia="宋体" w:cs="宋体"/>
                <w:color w:val="auto"/>
                <w:highlight w:val="none"/>
                <w:u w:val="single"/>
              </w:rPr>
            </w:pPr>
          </w:p>
        </w:tc>
      </w:tr>
      <w:tr w14:paraId="169B9834">
        <w:tblPrEx>
          <w:tblCellMar>
            <w:top w:w="0" w:type="dxa"/>
            <w:left w:w="108" w:type="dxa"/>
            <w:bottom w:w="0" w:type="dxa"/>
            <w:right w:w="108" w:type="dxa"/>
          </w:tblCellMar>
        </w:tblPrEx>
        <w:trPr>
          <w:trHeight w:val="788" w:hRule="exact"/>
          <w:jc w:val="center"/>
        </w:trPr>
        <w:tc>
          <w:tcPr>
            <w:tcW w:w="4236" w:type="dxa"/>
            <w:gridSpan w:val="2"/>
            <w:tcBorders>
              <w:top w:val="single" w:color="000000" w:sz="6" w:space="0"/>
              <w:left w:val="thickThinLargeGap" w:color="auto" w:sz="12" w:space="0"/>
              <w:bottom w:val="single" w:color="000000" w:sz="6" w:space="0"/>
              <w:right w:val="single" w:color="000000" w:sz="6" w:space="0"/>
            </w:tcBorders>
            <w:tcMar>
              <w:top w:w="0" w:type="dxa"/>
              <w:left w:w="108" w:type="dxa"/>
              <w:bottom w:w="0" w:type="dxa"/>
              <w:right w:w="108" w:type="dxa"/>
            </w:tcMar>
            <w:vAlign w:val="center"/>
          </w:tcPr>
          <w:p w14:paraId="6A75ACAF">
            <w:pPr>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c>
          <w:tcPr>
            <w:tcW w:w="5523" w:type="dxa"/>
            <w:tcBorders>
              <w:top w:val="single" w:color="000000" w:sz="6" w:space="0"/>
              <w:left w:val="single" w:color="000000" w:sz="6" w:space="0"/>
              <w:bottom w:val="single" w:color="000000" w:sz="6" w:space="0"/>
              <w:right w:val="thickThinLargeGap" w:color="auto" w:sz="12" w:space="0"/>
            </w:tcBorders>
            <w:tcMar>
              <w:top w:w="0" w:type="dxa"/>
              <w:left w:w="108" w:type="dxa"/>
              <w:bottom w:w="0" w:type="dxa"/>
              <w:right w:w="108" w:type="dxa"/>
            </w:tcMar>
            <w:vAlign w:val="center"/>
          </w:tcPr>
          <w:p w14:paraId="2EB3E534">
            <w:pPr>
              <w:rPr>
                <w:rFonts w:hint="eastAsia" w:ascii="宋体" w:hAnsi="宋体" w:eastAsia="宋体" w:cs="宋体"/>
                <w:color w:val="auto"/>
                <w:highlight w:val="none"/>
              </w:rPr>
            </w:pPr>
          </w:p>
        </w:tc>
      </w:tr>
      <w:tr w14:paraId="6FE7081B">
        <w:tblPrEx>
          <w:tblCellMar>
            <w:top w:w="0" w:type="dxa"/>
            <w:left w:w="0" w:type="dxa"/>
            <w:bottom w:w="0" w:type="dxa"/>
            <w:right w:w="0" w:type="dxa"/>
          </w:tblCellMar>
        </w:tblPrEx>
        <w:trPr>
          <w:trHeight w:val="3531" w:hRule="exact"/>
          <w:jc w:val="center"/>
        </w:trPr>
        <w:tc>
          <w:tcPr>
            <w:tcW w:w="9759" w:type="dxa"/>
            <w:gridSpan w:val="3"/>
            <w:tcBorders>
              <w:top w:val="single" w:color="000000" w:sz="6" w:space="0"/>
              <w:left w:val="thickThinLargeGap" w:color="auto" w:sz="12" w:space="0"/>
              <w:bottom w:val="thickThinLargeGap" w:color="auto" w:sz="12" w:space="0"/>
              <w:right w:val="thickThinLargeGap" w:color="auto" w:sz="12" w:space="0"/>
            </w:tcBorders>
            <w:tcMar>
              <w:top w:w="0" w:type="dxa"/>
              <w:left w:w="108" w:type="dxa"/>
              <w:bottom w:w="0" w:type="dxa"/>
              <w:right w:w="108" w:type="dxa"/>
            </w:tcMar>
            <w:vAlign w:val="center"/>
          </w:tcPr>
          <w:p w14:paraId="0476BEFD">
            <w:pPr>
              <w:jc w:val="center"/>
              <w:rPr>
                <w:rFonts w:hint="eastAsia" w:ascii="宋体" w:hAnsi="宋体" w:eastAsia="宋体" w:cs="宋体"/>
                <w:color w:val="auto"/>
                <w:highlight w:val="none"/>
              </w:rPr>
            </w:pPr>
            <w:r>
              <w:rPr>
                <w:rFonts w:hint="eastAsia" w:ascii="宋体" w:hAnsi="宋体" w:eastAsia="宋体" w:cs="宋体"/>
                <w:color w:val="auto"/>
                <w:highlight w:val="none"/>
              </w:rPr>
              <w:t>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w:t>
            </w:r>
            <w:r>
              <w:rPr>
                <w:rFonts w:hint="eastAsia" w:ascii="宋体" w:hAnsi="宋体" w:eastAsia="宋体" w:cs="宋体"/>
                <w:color w:val="auto"/>
                <w:highlight w:val="none"/>
              </w:rPr>
              <w:t>电子签章</w:t>
            </w:r>
            <w:r>
              <w:rPr>
                <w:rFonts w:hint="eastAsia" w:ascii="宋体" w:hAnsi="宋体" w:eastAsia="宋体" w:cs="宋体"/>
                <w:color w:val="auto"/>
                <w:highlight w:val="none"/>
                <w:u w:val="none"/>
              </w:rPr>
              <w:t>）</w:t>
            </w:r>
          </w:p>
          <w:p w14:paraId="6C8C0BE3">
            <w:pPr>
              <w:jc w:val="center"/>
              <w:rPr>
                <w:rFonts w:hint="eastAsia" w:ascii="宋体" w:hAnsi="宋体" w:eastAsia="宋体" w:cs="宋体"/>
                <w:color w:val="auto"/>
                <w:highlight w:val="none"/>
              </w:rPr>
            </w:pPr>
          </w:p>
          <w:p w14:paraId="6D50E98B">
            <w:pPr>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法定代表人(单位负责人)或其委托代理人</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（电子签章）</w:t>
            </w:r>
          </w:p>
          <w:p w14:paraId="39C25923">
            <w:pPr>
              <w:jc w:val="center"/>
              <w:rPr>
                <w:rFonts w:hint="eastAsia" w:ascii="宋体" w:hAnsi="宋体" w:eastAsia="宋体" w:cs="宋体"/>
                <w:color w:val="auto"/>
                <w:highlight w:val="none"/>
              </w:rPr>
            </w:pPr>
          </w:p>
          <w:p w14:paraId="5F11E45D">
            <w:pPr>
              <w:jc w:val="center"/>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tc>
      </w:tr>
    </w:tbl>
    <w:p w14:paraId="61BDF07E">
      <w:pPr>
        <w:rPr>
          <w:rFonts w:hint="eastAsia" w:ascii="宋体" w:hAnsi="宋体" w:eastAsia="宋体" w:cs="宋体"/>
          <w:color w:val="auto"/>
          <w:highlight w:val="none"/>
        </w:rPr>
      </w:pPr>
    </w:p>
    <w:p w14:paraId="71743962">
      <w:pPr>
        <w:pStyle w:val="7"/>
        <w:ind w:firstLine="0" w:firstLineChars="0"/>
        <w:rPr>
          <w:rFonts w:hint="eastAsia" w:ascii="宋体" w:hAnsi="宋体" w:eastAsia="宋体" w:cs="宋体"/>
          <w:color w:val="auto"/>
          <w:sz w:val="24"/>
          <w:highlight w:val="none"/>
        </w:rPr>
        <w:sectPr>
          <w:footerReference r:id="rId7" w:type="default"/>
          <w:pgSz w:w="11906" w:h="16838"/>
          <w:pgMar w:top="1247" w:right="1020" w:bottom="1247" w:left="1020" w:header="851" w:footer="992" w:gutter="0"/>
          <w:pgBorders>
            <w:top w:val="none" w:sz="0" w:space="0"/>
            <w:left w:val="none" w:sz="0" w:space="0"/>
            <w:bottom w:val="none" w:sz="0" w:space="0"/>
            <w:right w:val="none" w:sz="0" w:space="0"/>
          </w:pgBorders>
          <w:pgNumType w:fmt="numberInDash" w:start="1"/>
          <w:cols w:space="708" w:num="1"/>
          <w:docGrid w:type="lines" w:linePitch="312" w:charSpace="0"/>
        </w:sectPr>
      </w:pPr>
    </w:p>
    <w:p w14:paraId="3BDDCBEE">
      <w:pPr>
        <w:pStyle w:val="4"/>
        <w:bidi w:val="0"/>
        <w:rPr>
          <w:rFonts w:hint="eastAsia" w:ascii="宋体" w:hAnsi="宋体" w:eastAsia="宋体" w:cs="宋体"/>
          <w:color w:val="auto"/>
          <w:highlight w:val="none"/>
        </w:rPr>
      </w:pPr>
      <w:bookmarkStart w:id="454" w:name="_Toc493600033"/>
      <w:bookmarkStart w:id="455" w:name="_Toc28780"/>
      <w:bookmarkStart w:id="456" w:name="_Toc54552237"/>
      <w:r>
        <w:rPr>
          <w:rFonts w:hint="eastAsia" w:ascii="宋体" w:hAnsi="宋体" w:eastAsia="宋体" w:cs="宋体"/>
          <w:color w:val="auto"/>
          <w:highlight w:val="none"/>
        </w:rPr>
        <w:t>格式2：</w:t>
      </w:r>
      <w:bookmarkStart w:id="457" w:name="_Toc15414"/>
      <w:bookmarkStart w:id="458" w:name="_Toc96"/>
      <w:r>
        <w:rPr>
          <w:rFonts w:hint="eastAsia" w:ascii="宋体" w:hAnsi="宋体" w:eastAsia="宋体" w:cs="宋体"/>
          <w:color w:val="auto"/>
          <w:highlight w:val="none"/>
        </w:rPr>
        <w:t>单项报价汇总表</w:t>
      </w:r>
      <w:bookmarkEnd w:id="454"/>
      <w:bookmarkEnd w:id="455"/>
      <w:bookmarkEnd w:id="456"/>
      <w:bookmarkEnd w:id="457"/>
      <w:bookmarkEnd w:id="458"/>
    </w:p>
    <w:tbl>
      <w:tblPr>
        <w:tblStyle w:val="26"/>
        <w:tblW w:w="14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62"/>
        <w:gridCol w:w="857"/>
        <w:gridCol w:w="686"/>
        <w:gridCol w:w="1950"/>
        <w:gridCol w:w="2476"/>
        <w:gridCol w:w="1256"/>
        <w:gridCol w:w="1236"/>
        <w:gridCol w:w="1296"/>
        <w:gridCol w:w="1355"/>
        <w:gridCol w:w="2120"/>
        <w:gridCol w:w="862"/>
      </w:tblGrid>
      <w:tr w14:paraId="2A811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54" w:hRule="atLeast"/>
        </w:trPr>
        <w:tc>
          <w:tcPr>
            <w:tcW w:w="562" w:type="dxa"/>
            <w:vAlign w:val="center"/>
          </w:tcPr>
          <w:p w14:paraId="508D5A3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543" w:type="dxa"/>
            <w:gridSpan w:val="2"/>
            <w:vAlign w:val="center"/>
          </w:tcPr>
          <w:p w14:paraId="13DF8F1D">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产品（货物）名称</w:t>
            </w:r>
          </w:p>
        </w:tc>
        <w:tc>
          <w:tcPr>
            <w:tcW w:w="1950" w:type="dxa"/>
            <w:vAlign w:val="center"/>
          </w:tcPr>
          <w:p w14:paraId="3827E4E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投标产品</w:t>
            </w:r>
            <w:r>
              <w:rPr>
                <w:rFonts w:hint="eastAsia" w:ascii="宋体" w:hAnsi="宋体" w:eastAsia="宋体" w:cs="宋体"/>
                <w:b/>
                <w:bCs/>
                <w:color w:val="auto"/>
                <w:sz w:val="24"/>
                <w:szCs w:val="24"/>
                <w:highlight w:val="none"/>
              </w:rPr>
              <w:t>品牌</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规格、</w:t>
            </w:r>
            <w:r>
              <w:rPr>
                <w:rFonts w:hint="eastAsia" w:ascii="宋体" w:hAnsi="宋体" w:eastAsia="宋体" w:cs="宋体"/>
                <w:b/>
                <w:bCs/>
                <w:color w:val="auto"/>
                <w:sz w:val="24"/>
                <w:szCs w:val="24"/>
                <w:highlight w:val="none"/>
              </w:rPr>
              <w:t>型号</w:t>
            </w:r>
          </w:p>
        </w:tc>
        <w:tc>
          <w:tcPr>
            <w:tcW w:w="2476" w:type="dxa"/>
            <w:vAlign w:val="center"/>
          </w:tcPr>
          <w:p w14:paraId="1A1CB875">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生产商名称</w:t>
            </w:r>
          </w:p>
        </w:tc>
        <w:tc>
          <w:tcPr>
            <w:tcW w:w="1256" w:type="dxa"/>
            <w:vAlign w:val="center"/>
          </w:tcPr>
          <w:p w14:paraId="242AF0B9">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c>
          <w:tcPr>
            <w:tcW w:w="1236" w:type="dxa"/>
            <w:vAlign w:val="center"/>
          </w:tcPr>
          <w:p w14:paraId="3936B5E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计量单位</w:t>
            </w:r>
          </w:p>
        </w:tc>
        <w:tc>
          <w:tcPr>
            <w:tcW w:w="1296" w:type="dxa"/>
            <w:vAlign w:val="center"/>
          </w:tcPr>
          <w:p w14:paraId="2DABBB5A">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单价</w:t>
            </w:r>
          </w:p>
          <w:p w14:paraId="4DF7199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（含税/元）</w:t>
            </w:r>
          </w:p>
        </w:tc>
        <w:tc>
          <w:tcPr>
            <w:tcW w:w="1355" w:type="dxa"/>
            <w:vAlign w:val="center"/>
          </w:tcPr>
          <w:p w14:paraId="352AE3C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总价</w:t>
            </w:r>
          </w:p>
          <w:p w14:paraId="04ECD734">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（含税/元）</w:t>
            </w:r>
          </w:p>
        </w:tc>
        <w:tc>
          <w:tcPr>
            <w:tcW w:w="2120" w:type="dxa"/>
            <w:vAlign w:val="center"/>
          </w:tcPr>
          <w:p w14:paraId="02016451">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折扣（10%）</w:t>
            </w:r>
          </w:p>
          <w:p w14:paraId="7A84FD5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后评审价</w:t>
            </w:r>
          </w:p>
          <w:p w14:paraId="542F9EAC">
            <w:pPr>
              <w:pStyle w:val="7"/>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（小微企业填写）</w:t>
            </w:r>
          </w:p>
        </w:tc>
        <w:tc>
          <w:tcPr>
            <w:tcW w:w="862" w:type="dxa"/>
            <w:vAlign w:val="center"/>
          </w:tcPr>
          <w:p w14:paraId="7DEFF6F6">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1EFDF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9" w:hRule="atLeast"/>
        </w:trPr>
        <w:tc>
          <w:tcPr>
            <w:tcW w:w="562" w:type="dxa"/>
            <w:vAlign w:val="center"/>
          </w:tcPr>
          <w:p w14:paraId="63E2C076">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543" w:type="dxa"/>
            <w:gridSpan w:val="2"/>
            <w:vAlign w:val="center"/>
          </w:tcPr>
          <w:p w14:paraId="7A5A2701">
            <w:pPr>
              <w:widowControl/>
              <w:jc w:val="center"/>
              <w:rPr>
                <w:rFonts w:hint="eastAsia" w:ascii="宋体" w:hAnsi="宋体" w:eastAsia="宋体" w:cs="宋体"/>
                <w:color w:val="auto"/>
                <w:sz w:val="24"/>
                <w:szCs w:val="24"/>
                <w:highlight w:val="none"/>
              </w:rPr>
            </w:pPr>
          </w:p>
        </w:tc>
        <w:tc>
          <w:tcPr>
            <w:tcW w:w="1950" w:type="dxa"/>
            <w:vAlign w:val="center"/>
          </w:tcPr>
          <w:p w14:paraId="6101F2D8">
            <w:pPr>
              <w:widowControl/>
              <w:jc w:val="center"/>
              <w:rPr>
                <w:rFonts w:hint="eastAsia" w:ascii="宋体" w:hAnsi="宋体" w:eastAsia="宋体" w:cs="宋体"/>
                <w:color w:val="auto"/>
                <w:sz w:val="24"/>
                <w:szCs w:val="24"/>
                <w:highlight w:val="none"/>
              </w:rPr>
            </w:pPr>
          </w:p>
        </w:tc>
        <w:tc>
          <w:tcPr>
            <w:tcW w:w="2476" w:type="dxa"/>
            <w:vAlign w:val="center"/>
          </w:tcPr>
          <w:p w14:paraId="5B83E9F3">
            <w:pPr>
              <w:widowControl/>
              <w:jc w:val="center"/>
              <w:rPr>
                <w:rFonts w:hint="eastAsia" w:ascii="宋体" w:hAnsi="宋体" w:eastAsia="宋体" w:cs="宋体"/>
                <w:color w:val="auto"/>
                <w:sz w:val="24"/>
                <w:szCs w:val="24"/>
                <w:highlight w:val="none"/>
              </w:rPr>
            </w:pPr>
          </w:p>
        </w:tc>
        <w:tc>
          <w:tcPr>
            <w:tcW w:w="1256" w:type="dxa"/>
            <w:vAlign w:val="center"/>
          </w:tcPr>
          <w:p w14:paraId="660105E5">
            <w:pPr>
              <w:widowControl/>
              <w:jc w:val="center"/>
              <w:rPr>
                <w:rFonts w:hint="eastAsia" w:ascii="宋体" w:hAnsi="宋体" w:eastAsia="宋体" w:cs="宋体"/>
                <w:color w:val="auto"/>
                <w:sz w:val="24"/>
                <w:szCs w:val="24"/>
                <w:highlight w:val="none"/>
              </w:rPr>
            </w:pPr>
          </w:p>
        </w:tc>
        <w:tc>
          <w:tcPr>
            <w:tcW w:w="1236" w:type="dxa"/>
            <w:vAlign w:val="center"/>
          </w:tcPr>
          <w:p w14:paraId="194DF253">
            <w:pPr>
              <w:widowControl/>
              <w:jc w:val="center"/>
              <w:rPr>
                <w:rFonts w:hint="eastAsia" w:ascii="宋体" w:hAnsi="宋体" w:eastAsia="宋体" w:cs="宋体"/>
                <w:color w:val="auto"/>
                <w:sz w:val="24"/>
                <w:szCs w:val="24"/>
                <w:highlight w:val="none"/>
              </w:rPr>
            </w:pPr>
          </w:p>
        </w:tc>
        <w:tc>
          <w:tcPr>
            <w:tcW w:w="1296" w:type="dxa"/>
            <w:vAlign w:val="center"/>
          </w:tcPr>
          <w:p w14:paraId="3F7C55CA">
            <w:pPr>
              <w:widowControl/>
              <w:jc w:val="center"/>
              <w:rPr>
                <w:rFonts w:hint="eastAsia" w:ascii="宋体" w:hAnsi="宋体" w:eastAsia="宋体" w:cs="宋体"/>
                <w:color w:val="auto"/>
                <w:sz w:val="24"/>
                <w:szCs w:val="24"/>
                <w:highlight w:val="none"/>
              </w:rPr>
            </w:pPr>
          </w:p>
        </w:tc>
        <w:tc>
          <w:tcPr>
            <w:tcW w:w="1355" w:type="dxa"/>
            <w:vAlign w:val="center"/>
          </w:tcPr>
          <w:p w14:paraId="237A56EB">
            <w:pPr>
              <w:widowControl/>
              <w:jc w:val="center"/>
              <w:rPr>
                <w:rFonts w:hint="eastAsia" w:ascii="宋体" w:hAnsi="宋体" w:eastAsia="宋体" w:cs="宋体"/>
                <w:color w:val="auto"/>
                <w:sz w:val="24"/>
                <w:szCs w:val="24"/>
                <w:highlight w:val="none"/>
              </w:rPr>
            </w:pPr>
          </w:p>
        </w:tc>
        <w:tc>
          <w:tcPr>
            <w:tcW w:w="2120" w:type="dxa"/>
            <w:vAlign w:val="center"/>
          </w:tcPr>
          <w:p w14:paraId="7A07CFAE">
            <w:pPr>
              <w:widowControl/>
              <w:jc w:val="center"/>
              <w:rPr>
                <w:rFonts w:hint="eastAsia" w:ascii="宋体" w:hAnsi="宋体" w:eastAsia="宋体" w:cs="宋体"/>
                <w:color w:val="auto"/>
                <w:sz w:val="24"/>
                <w:szCs w:val="24"/>
                <w:highlight w:val="none"/>
              </w:rPr>
            </w:pPr>
          </w:p>
        </w:tc>
        <w:tc>
          <w:tcPr>
            <w:tcW w:w="862" w:type="dxa"/>
            <w:vAlign w:val="center"/>
          </w:tcPr>
          <w:p w14:paraId="2A4B8445">
            <w:pPr>
              <w:widowControl/>
              <w:jc w:val="center"/>
              <w:rPr>
                <w:rFonts w:hint="eastAsia" w:ascii="宋体" w:hAnsi="宋体" w:eastAsia="宋体" w:cs="宋体"/>
                <w:color w:val="auto"/>
                <w:sz w:val="24"/>
                <w:szCs w:val="24"/>
                <w:highlight w:val="none"/>
              </w:rPr>
            </w:pPr>
          </w:p>
        </w:tc>
      </w:tr>
      <w:tr w14:paraId="7CA9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5" w:hRule="atLeast"/>
        </w:trPr>
        <w:tc>
          <w:tcPr>
            <w:tcW w:w="562" w:type="dxa"/>
            <w:vAlign w:val="center"/>
          </w:tcPr>
          <w:p w14:paraId="23A9504D">
            <w:pPr>
              <w:widowControl/>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1543" w:type="dxa"/>
            <w:gridSpan w:val="2"/>
            <w:vAlign w:val="center"/>
          </w:tcPr>
          <w:p w14:paraId="62FCA602">
            <w:pPr>
              <w:widowControl/>
              <w:jc w:val="center"/>
              <w:rPr>
                <w:rFonts w:hint="eastAsia" w:ascii="宋体" w:hAnsi="宋体" w:eastAsia="宋体" w:cs="宋体"/>
                <w:color w:val="auto"/>
                <w:sz w:val="24"/>
                <w:szCs w:val="24"/>
                <w:highlight w:val="none"/>
                <w:lang w:val="en-US" w:eastAsia="zh-CN"/>
              </w:rPr>
            </w:pPr>
          </w:p>
        </w:tc>
        <w:tc>
          <w:tcPr>
            <w:tcW w:w="1950" w:type="dxa"/>
            <w:vAlign w:val="center"/>
          </w:tcPr>
          <w:p w14:paraId="4C547894">
            <w:pPr>
              <w:widowControl/>
              <w:jc w:val="center"/>
              <w:rPr>
                <w:rFonts w:hint="eastAsia" w:ascii="宋体" w:hAnsi="宋体" w:eastAsia="宋体" w:cs="宋体"/>
                <w:color w:val="auto"/>
                <w:sz w:val="24"/>
                <w:szCs w:val="24"/>
                <w:highlight w:val="none"/>
              </w:rPr>
            </w:pPr>
          </w:p>
        </w:tc>
        <w:tc>
          <w:tcPr>
            <w:tcW w:w="2476" w:type="dxa"/>
            <w:vAlign w:val="center"/>
          </w:tcPr>
          <w:p w14:paraId="4923A7E6">
            <w:pPr>
              <w:widowControl/>
              <w:jc w:val="center"/>
              <w:rPr>
                <w:rFonts w:hint="eastAsia" w:ascii="宋体" w:hAnsi="宋体" w:eastAsia="宋体" w:cs="宋体"/>
                <w:color w:val="auto"/>
                <w:sz w:val="24"/>
                <w:szCs w:val="24"/>
                <w:highlight w:val="none"/>
              </w:rPr>
            </w:pPr>
          </w:p>
        </w:tc>
        <w:tc>
          <w:tcPr>
            <w:tcW w:w="1256" w:type="dxa"/>
            <w:vAlign w:val="center"/>
          </w:tcPr>
          <w:p w14:paraId="34BAEDB8">
            <w:pPr>
              <w:widowControl/>
              <w:jc w:val="center"/>
              <w:rPr>
                <w:rFonts w:hint="eastAsia" w:ascii="宋体" w:hAnsi="宋体" w:eastAsia="宋体" w:cs="宋体"/>
                <w:color w:val="auto"/>
                <w:sz w:val="24"/>
                <w:szCs w:val="24"/>
                <w:highlight w:val="none"/>
              </w:rPr>
            </w:pPr>
          </w:p>
        </w:tc>
        <w:tc>
          <w:tcPr>
            <w:tcW w:w="1236" w:type="dxa"/>
            <w:vAlign w:val="center"/>
          </w:tcPr>
          <w:p w14:paraId="301BE472">
            <w:pPr>
              <w:widowControl/>
              <w:jc w:val="center"/>
              <w:rPr>
                <w:rFonts w:hint="eastAsia" w:ascii="宋体" w:hAnsi="宋体" w:eastAsia="宋体" w:cs="宋体"/>
                <w:color w:val="auto"/>
                <w:sz w:val="24"/>
                <w:szCs w:val="24"/>
                <w:highlight w:val="none"/>
              </w:rPr>
            </w:pPr>
          </w:p>
        </w:tc>
        <w:tc>
          <w:tcPr>
            <w:tcW w:w="1296" w:type="dxa"/>
            <w:vAlign w:val="center"/>
          </w:tcPr>
          <w:p w14:paraId="55DDC4C8">
            <w:pPr>
              <w:widowControl/>
              <w:jc w:val="center"/>
              <w:rPr>
                <w:rFonts w:hint="eastAsia" w:ascii="宋体" w:hAnsi="宋体" w:eastAsia="宋体" w:cs="宋体"/>
                <w:color w:val="auto"/>
                <w:sz w:val="24"/>
                <w:szCs w:val="24"/>
                <w:highlight w:val="none"/>
              </w:rPr>
            </w:pPr>
          </w:p>
        </w:tc>
        <w:tc>
          <w:tcPr>
            <w:tcW w:w="1355" w:type="dxa"/>
            <w:vAlign w:val="center"/>
          </w:tcPr>
          <w:p w14:paraId="24946BB7">
            <w:pPr>
              <w:widowControl/>
              <w:jc w:val="center"/>
              <w:rPr>
                <w:rFonts w:hint="eastAsia" w:ascii="宋体" w:hAnsi="宋体" w:eastAsia="宋体" w:cs="宋体"/>
                <w:color w:val="auto"/>
                <w:sz w:val="24"/>
                <w:szCs w:val="24"/>
                <w:highlight w:val="none"/>
              </w:rPr>
            </w:pPr>
          </w:p>
        </w:tc>
        <w:tc>
          <w:tcPr>
            <w:tcW w:w="2120" w:type="dxa"/>
            <w:vAlign w:val="center"/>
          </w:tcPr>
          <w:p w14:paraId="362AC606">
            <w:pPr>
              <w:widowControl/>
              <w:jc w:val="center"/>
              <w:rPr>
                <w:rFonts w:hint="eastAsia" w:ascii="宋体" w:hAnsi="宋体" w:eastAsia="宋体" w:cs="宋体"/>
                <w:color w:val="auto"/>
                <w:sz w:val="24"/>
                <w:szCs w:val="24"/>
                <w:highlight w:val="none"/>
              </w:rPr>
            </w:pPr>
          </w:p>
        </w:tc>
        <w:tc>
          <w:tcPr>
            <w:tcW w:w="862" w:type="dxa"/>
            <w:vAlign w:val="center"/>
          </w:tcPr>
          <w:p w14:paraId="27E6A7CF">
            <w:pPr>
              <w:widowControl/>
              <w:jc w:val="center"/>
              <w:rPr>
                <w:rFonts w:hint="eastAsia" w:ascii="宋体" w:hAnsi="宋体" w:eastAsia="宋体" w:cs="宋体"/>
                <w:color w:val="auto"/>
                <w:sz w:val="24"/>
                <w:szCs w:val="24"/>
                <w:highlight w:val="none"/>
              </w:rPr>
            </w:pPr>
          </w:p>
        </w:tc>
      </w:tr>
      <w:tr w14:paraId="6F152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5" w:hRule="atLeast"/>
        </w:trPr>
        <w:tc>
          <w:tcPr>
            <w:tcW w:w="562" w:type="dxa"/>
            <w:vAlign w:val="center"/>
          </w:tcPr>
          <w:p w14:paraId="0050C214">
            <w:pPr>
              <w:widowControl/>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c>
          <w:tcPr>
            <w:tcW w:w="1543" w:type="dxa"/>
            <w:gridSpan w:val="2"/>
            <w:vAlign w:val="center"/>
          </w:tcPr>
          <w:p w14:paraId="1051D2FF">
            <w:pPr>
              <w:widowControl/>
              <w:jc w:val="center"/>
              <w:rPr>
                <w:rFonts w:hint="eastAsia" w:ascii="宋体" w:hAnsi="宋体" w:eastAsia="宋体" w:cs="宋体"/>
                <w:color w:val="auto"/>
                <w:sz w:val="24"/>
                <w:szCs w:val="24"/>
                <w:highlight w:val="none"/>
              </w:rPr>
            </w:pPr>
          </w:p>
        </w:tc>
        <w:tc>
          <w:tcPr>
            <w:tcW w:w="1950" w:type="dxa"/>
            <w:vAlign w:val="center"/>
          </w:tcPr>
          <w:p w14:paraId="2265D77C">
            <w:pPr>
              <w:widowControl/>
              <w:jc w:val="center"/>
              <w:rPr>
                <w:rFonts w:hint="eastAsia" w:ascii="宋体" w:hAnsi="宋体" w:eastAsia="宋体" w:cs="宋体"/>
                <w:color w:val="auto"/>
                <w:sz w:val="24"/>
                <w:szCs w:val="24"/>
                <w:highlight w:val="none"/>
              </w:rPr>
            </w:pPr>
          </w:p>
        </w:tc>
        <w:tc>
          <w:tcPr>
            <w:tcW w:w="2476" w:type="dxa"/>
            <w:vAlign w:val="center"/>
          </w:tcPr>
          <w:p w14:paraId="23ED5797">
            <w:pPr>
              <w:widowControl/>
              <w:jc w:val="center"/>
              <w:rPr>
                <w:rFonts w:hint="eastAsia" w:ascii="宋体" w:hAnsi="宋体" w:eastAsia="宋体" w:cs="宋体"/>
                <w:color w:val="auto"/>
                <w:sz w:val="24"/>
                <w:szCs w:val="24"/>
                <w:highlight w:val="none"/>
              </w:rPr>
            </w:pPr>
          </w:p>
        </w:tc>
        <w:tc>
          <w:tcPr>
            <w:tcW w:w="1256" w:type="dxa"/>
            <w:vAlign w:val="center"/>
          </w:tcPr>
          <w:p w14:paraId="2C9CFEA0">
            <w:pPr>
              <w:widowControl/>
              <w:jc w:val="center"/>
              <w:rPr>
                <w:rFonts w:hint="eastAsia" w:ascii="宋体" w:hAnsi="宋体" w:eastAsia="宋体" w:cs="宋体"/>
                <w:color w:val="auto"/>
                <w:sz w:val="24"/>
                <w:szCs w:val="24"/>
                <w:highlight w:val="none"/>
              </w:rPr>
            </w:pPr>
          </w:p>
        </w:tc>
        <w:tc>
          <w:tcPr>
            <w:tcW w:w="1236" w:type="dxa"/>
            <w:vAlign w:val="center"/>
          </w:tcPr>
          <w:p w14:paraId="7EDFB90F">
            <w:pPr>
              <w:widowControl/>
              <w:jc w:val="center"/>
              <w:rPr>
                <w:rFonts w:hint="eastAsia" w:ascii="宋体" w:hAnsi="宋体" w:eastAsia="宋体" w:cs="宋体"/>
                <w:color w:val="auto"/>
                <w:sz w:val="24"/>
                <w:szCs w:val="24"/>
                <w:highlight w:val="none"/>
              </w:rPr>
            </w:pPr>
          </w:p>
        </w:tc>
        <w:tc>
          <w:tcPr>
            <w:tcW w:w="1296" w:type="dxa"/>
            <w:vAlign w:val="center"/>
          </w:tcPr>
          <w:p w14:paraId="08555C3D">
            <w:pPr>
              <w:widowControl/>
              <w:jc w:val="center"/>
              <w:rPr>
                <w:rFonts w:hint="eastAsia" w:ascii="宋体" w:hAnsi="宋体" w:eastAsia="宋体" w:cs="宋体"/>
                <w:color w:val="auto"/>
                <w:sz w:val="24"/>
                <w:szCs w:val="24"/>
                <w:highlight w:val="none"/>
              </w:rPr>
            </w:pPr>
          </w:p>
        </w:tc>
        <w:tc>
          <w:tcPr>
            <w:tcW w:w="1355" w:type="dxa"/>
            <w:vAlign w:val="center"/>
          </w:tcPr>
          <w:p w14:paraId="37286801">
            <w:pPr>
              <w:widowControl/>
              <w:jc w:val="center"/>
              <w:rPr>
                <w:rFonts w:hint="eastAsia" w:ascii="宋体" w:hAnsi="宋体" w:eastAsia="宋体" w:cs="宋体"/>
                <w:color w:val="auto"/>
                <w:sz w:val="24"/>
                <w:szCs w:val="24"/>
                <w:highlight w:val="none"/>
              </w:rPr>
            </w:pPr>
          </w:p>
        </w:tc>
        <w:tc>
          <w:tcPr>
            <w:tcW w:w="2120" w:type="dxa"/>
            <w:vAlign w:val="center"/>
          </w:tcPr>
          <w:p w14:paraId="26BEAB6E">
            <w:pPr>
              <w:widowControl/>
              <w:jc w:val="center"/>
              <w:rPr>
                <w:rFonts w:hint="eastAsia" w:ascii="宋体" w:hAnsi="宋体" w:eastAsia="宋体" w:cs="宋体"/>
                <w:color w:val="auto"/>
                <w:sz w:val="24"/>
                <w:szCs w:val="24"/>
                <w:highlight w:val="none"/>
              </w:rPr>
            </w:pPr>
          </w:p>
        </w:tc>
        <w:tc>
          <w:tcPr>
            <w:tcW w:w="862" w:type="dxa"/>
            <w:vAlign w:val="center"/>
          </w:tcPr>
          <w:p w14:paraId="3D774F81">
            <w:pPr>
              <w:widowControl/>
              <w:jc w:val="center"/>
              <w:rPr>
                <w:rFonts w:hint="eastAsia" w:ascii="宋体" w:hAnsi="宋体" w:eastAsia="宋体" w:cs="宋体"/>
                <w:color w:val="auto"/>
                <w:sz w:val="24"/>
                <w:szCs w:val="24"/>
                <w:highlight w:val="none"/>
              </w:rPr>
            </w:pPr>
          </w:p>
        </w:tc>
      </w:tr>
      <w:tr w14:paraId="7AB67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4" w:hRule="atLeast"/>
        </w:trPr>
        <w:tc>
          <w:tcPr>
            <w:tcW w:w="1419" w:type="dxa"/>
            <w:gridSpan w:val="2"/>
            <w:vAlign w:val="center"/>
          </w:tcPr>
          <w:p w14:paraId="3E8EDDDC">
            <w:pPr>
              <w:widowControl/>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合计总报价</w:t>
            </w:r>
          </w:p>
        </w:tc>
        <w:tc>
          <w:tcPr>
            <w:tcW w:w="13237" w:type="dxa"/>
            <w:gridSpan w:val="9"/>
            <w:vAlign w:val="center"/>
          </w:tcPr>
          <w:p w14:paraId="1CAB6E9B">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合计总报价：</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 xml:space="preserve">    元（大写：     ）</w:t>
            </w:r>
            <w:r>
              <w:rPr>
                <w:rFonts w:hint="eastAsia" w:ascii="宋体" w:hAnsi="宋体" w:eastAsia="宋体" w:cs="宋体"/>
                <w:b/>
                <w:bCs/>
                <w:color w:val="auto"/>
                <w:sz w:val="24"/>
                <w:szCs w:val="24"/>
                <w:highlight w:val="none"/>
              </w:rPr>
              <w:t>。</w:t>
            </w:r>
          </w:p>
          <w:p w14:paraId="209EEBB4">
            <w:pPr>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折扣（10%）后评审价：</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 xml:space="preserve">    元（大写：     ）</w:t>
            </w:r>
            <w:r>
              <w:rPr>
                <w:rFonts w:hint="eastAsia" w:ascii="宋体" w:hAnsi="宋体" w:eastAsia="宋体" w:cs="宋体"/>
                <w:b/>
                <w:bCs/>
                <w:color w:val="auto"/>
                <w:sz w:val="24"/>
                <w:szCs w:val="24"/>
                <w:highlight w:val="none"/>
              </w:rPr>
              <w:t>（小微企业填写）</w:t>
            </w:r>
          </w:p>
        </w:tc>
      </w:tr>
    </w:tbl>
    <w:p w14:paraId="5D51287F">
      <w:pPr>
        <w:rPr>
          <w:rFonts w:hint="eastAsia" w:ascii="宋体" w:hAnsi="宋体" w:eastAsia="宋体" w:cs="宋体"/>
          <w:bCs/>
          <w:color w:val="auto"/>
          <w:sz w:val="18"/>
          <w:szCs w:val="21"/>
          <w:highlight w:val="none"/>
        </w:rPr>
      </w:pPr>
      <w:r>
        <w:rPr>
          <w:rFonts w:hint="eastAsia" w:ascii="宋体" w:hAnsi="宋体" w:eastAsia="宋体" w:cs="宋体"/>
          <w:color w:val="auto"/>
          <w:sz w:val="18"/>
          <w:highlight w:val="none"/>
        </w:rPr>
        <w:t>注：</w:t>
      </w:r>
      <w:r>
        <w:rPr>
          <w:rFonts w:hint="eastAsia" w:ascii="宋体" w:hAnsi="宋体" w:eastAsia="宋体" w:cs="宋体"/>
          <w:bCs/>
          <w:color w:val="auto"/>
          <w:sz w:val="18"/>
          <w:szCs w:val="21"/>
          <w:highlight w:val="none"/>
        </w:rPr>
        <w:t xml:space="preserve"> </w:t>
      </w:r>
    </w:p>
    <w:p w14:paraId="4D76517A">
      <w:pPr>
        <w:rPr>
          <w:rFonts w:hint="eastAsia" w:ascii="宋体" w:hAnsi="宋体" w:eastAsia="宋体" w:cs="宋体"/>
          <w:color w:val="auto"/>
          <w:sz w:val="18"/>
          <w:szCs w:val="21"/>
          <w:highlight w:val="none"/>
        </w:rPr>
      </w:pPr>
      <w:r>
        <w:rPr>
          <w:rFonts w:hint="eastAsia" w:ascii="宋体" w:hAnsi="宋体" w:eastAsia="宋体" w:cs="宋体"/>
          <w:color w:val="auto"/>
          <w:sz w:val="18"/>
          <w:szCs w:val="21"/>
          <w:highlight w:val="none"/>
        </w:rPr>
        <w:t>1、供应商必须按采购文件第六章“采购需求及技术要求”中采购货物逐项填报此表，不得缺项漏项或任意合并项目报价，必须按本表格式填写，否则评委可视为未响应采购文件实质性要求。</w:t>
      </w:r>
    </w:p>
    <w:p w14:paraId="741530DF">
      <w:pPr>
        <w:rPr>
          <w:rFonts w:hint="eastAsia" w:ascii="宋体" w:hAnsi="宋体" w:eastAsia="宋体" w:cs="宋体"/>
          <w:color w:val="auto"/>
          <w:sz w:val="18"/>
          <w:szCs w:val="21"/>
          <w:highlight w:val="none"/>
        </w:rPr>
      </w:pPr>
      <w:r>
        <w:rPr>
          <w:rFonts w:hint="eastAsia" w:ascii="宋体" w:hAnsi="宋体" w:eastAsia="宋体" w:cs="宋体"/>
          <w:color w:val="auto"/>
          <w:sz w:val="18"/>
          <w:szCs w:val="21"/>
          <w:highlight w:val="none"/>
        </w:rPr>
        <w:t>2、若产品为节能产品或环境标志产品，请在“备注”栏中标明，并在</w:t>
      </w:r>
      <w:r>
        <w:rPr>
          <w:rFonts w:hint="eastAsia" w:ascii="宋体" w:hAnsi="宋体" w:eastAsia="宋体" w:cs="宋体"/>
          <w:color w:val="auto"/>
          <w:sz w:val="18"/>
          <w:szCs w:val="21"/>
          <w:highlight w:val="none"/>
          <w:lang w:eastAsia="zh-CN"/>
        </w:rPr>
        <w:t>投标文件</w:t>
      </w:r>
      <w:r>
        <w:rPr>
          <w:rFonts w:hint="eastAsia" w:ascii="宋体" w:hAnsi="宋体" w:eastAsia="宋体" w:cs="宋体"/>
          <w:color w:val="auto"/>
          <w:sz w:val="18"/>
          <w:szCs w:val="21"/>
          <w:highlight w:val="none"/>
        </w:rPr>
        <w:t>中提供节能产品认证证书或环境标志产品认证证书复印件；否则，不予认可。</w:t>
      </w:r>
    </w:p>
    <w:p w14:paraId="3B1F71DE">
      <w:pPr>
        <w:rPr>
          <w:rFonts w:hint="eastAsia" w:ascii="宋体" w:hAnsi="宋体" w:eastAsia="宋体" w:cs="宋体"/>
          <w:color w:val="auto"/>
          <w:sz w:val="18"/>
          <w:szCs w:val="21"/>
          <w:highlight w:val="none"/>
        </w:rPr>
      </w:pPr>
      <w:r>
        <w:rPr>
          <w:rFonts w:hint="eastAsia" w:ascii="宋体" w:hAnsi="宋体" w:eastAsia="宋体" w:cs="宋体"/>
          <w:color w:val="auto"/>
          <w:sz w:val="18"/>
          <w:szCs w:val="21"/>
          <w:highlight w:val="none"/>
        </w:rPr>
        <w:t>3、若货物为小微型企业（残疾人福利性单位、监狱企业）产品、服务，请在备注栏中标明并同时提供中小企业声明函（残疾人福利性单位声明函、监狱企业证明文件），否则，不予进行价格扣除。</w:t>
      </w:r>
    </w:p>
    <w:p w14:paraId="79EDF95B">
      <w:pPr>
        <w:rPr>
          <w:rFonts w:hint="eastAsia" w:ascii="宋体" w:hAnsi="宋体" w:eastAsia="宋体" w:cs="宋体"/>
          <w:color w:val="auto"/>
          <w:sz w:val="18"/>
          <w:szCs w:val="21"/>
          <w:highlight w:val="none"/>
        </w:rPr>
      </w:pPr>
      <w:r>
        <w:rPr>
          <w:rFonts w:hint="eastAsia" w:ascii="宋体" w:hAnsi="宋体" w:eastAsia="宋体" w:cs="宋体"/>
          <w:color w:val="auto"/>
          <w:sz w:val="18"/>
          <w:szCs w:val="21"/>
          <w:highlight w:val="none"/>
        </w:rPr>
        <w:t>4</w:t>
      </w:r>
      <w:r>
        <w:rPr>
          <w:rFonts w:hint="eastAsia" w:ascii="宋体" w:hAnsi="宋体" w:eastAsia="宋体" w:cs="宋体"/>
          <w:color w:val="auto"/>
          <w:sz w:val="18"/>
          <w:szCs w:val="21"/>
          <w:highlight w:val="none"/>
          <w:lang w:eastAsia="zh-CN"/>
        </w:rPr>
        <w:t>、</w:t>
      </w:r>
      <w:r>
        <w:rPr>
          <w:rFonts w:hint="eastAsia" w:ascii="宋体" w:hAnsi="宋体" w:eastAsia="宋体" w:cs="宋体"/>
          <w:color w:val="auto"/>
          <w:sz w:val="18"/>
          <w:szCs w:val="21"/>
          <w:highlight w:val="none"/>
        </w:rPr>
        <w:t>上表中各项单价及总价均应包含</w:t>
      </w:r>
      <w:r>
        <w:rPr>
          <w:rFonts w:hint="eastAsia" w:ascii="宋体" w:hAnsi="宋体" w:eastAsia="宋体" w:cs="宋体"/>
          <w:color w:val="auto"/>
          <w:sz w:val="18"/>
          <w:szCs w:val="21"/>
          <w:highlight w:val="none"/>
          <w:lang w:val="en-US" w:eastAsia="zh-CN"/>
        </w:rPr>
        <w:t>采购</w:t>
      </w:r>
      <w:r>
        <w:rPr>
          <w:rFonts w:hint="eastAsia" w:ascii="宋体" w:hAnsi="宋体" w:eastAsia="宋体" w:cs="宋体"/>
          <w:color w:val="auto"/>
          <w:sz w:val="18"/>
          <w:szCs w:val="21"/>
          <w:highlight w:val="none"/>
        </w:rPr>
        <w:t>，</w:t>
      </w:r>
      <w:r>
        <w:rPr>
          <w:rFonts w:hint="eastAsia" w:ascii="宋体" w:hAnsi="宋体" w:eastAsia="宋体" w:cs="宋体"/>
          <w:color w:val="auto"/>
          <w:sz w:val="18"/>
          <w:szCs w:val="21"/>
          <w:highlight w:val="none"/>
          <w:lang w:val="en-US" w:eastAsia="zh-CN"/>
        </w:rPr>
        <w:t>运费、</w:t>
      </w:r>
      <w:r>
        <w:rPr>
          <w:rFonts w:hint="eastAsia" w:ascii="宋体" w:hAnsi="宋体" w:eastAsia="宋体" w:cs="宋体"/>
          <w:color w:val="auto"/>
          <w:sz w:val="18"/>
          <w:szCs w:val="21"/>
          <w:highlight w:val="none"/>
        </w:rPr>
        <w:t>安装</w:t>
      </w:r>
      <w:r>
        <w:rPr>
          <w:rFonts w:hint="eastAsia" w:ascii="宋体" w:hAnsi="宋体" w:eastAsia="宋体" w:cs="宋体"/>
          <w:color w:val="auto"/>
          <w:sz w:val="18"/>
          <w:szCs w:val="21"/>
          <w:highlight w:val="none"/>
          <w:lang w:val="en-US" w:eastAsia="zh-CN"/>
        </w:rPr>
        <w:t>费</w:t>
      </w:r>
      <w:r>
        <w:rPr>
          <w:rFonts w:hint="eastAsia" w:ascii="宋体" w:hAnsi="宋体" w:eastAsia="宋体" w:cs="宋体"/>
          <w:color w:val="auto"/>
          <w:sz w:val="18"/>
          <w:szCs w:val="21"/>
          <w:highlight w:val="none"/>
        </w:rPr>
        <w:t>、保险费及其他一切费用。</w:t>
      </w:r>
    </w:p>
    <w:p w14:paraId="47FECD67">
      <w:pPr>
        <w:rPr>
          <w:rFonts w:hint="eastAsia" w:ascii="宋体" w:hAnsi="宋体" w:eastAsia="宋体" w:cs="宋体"/>
          <w:color w:val="auto"/>
          <w:sz w:val="18"/>
          <w:szCs w:val="21"/>
          <w:highlight w:val="none"/>
        </w:rPr>
      </w:pPr>
      <w:r>
        <w:rPr>
          <w:rFonts w:hint="eastAsia" w:ascii="宋体" w:hAnsi="宋体" w:eastAsia="宋体" w:cs="宋体"/>
          <w:color w:val="auto"/>
          <w:sz w:val="18"/>
          <w:szCs w:val="21"/>
          <w:highlight w:val="none"/>
        </w:rPr>
        <w:t>5</w:t>
      </w:r>
      <w:r>
        <w:rPr>
          <w:rFonts w:hint="eastAsia" w:ascii="宋体" w:hAnsi="宋体" w:eastAsia="宋体" w:cs="宋体"/>
          <w:color w:val="auto"/>
          <w:sz w:val="18"/>
          <w:szCs w:val="21"/>
          <w:highlight w:val="none"/>
          <w:lang w:eastAsia="zh-CN"/>
        </w:rPr>
        <w:t>、</w:t>
      </w:r>
      <w:r>
        <w:rPr>
          <w:rFonts w:hint="eastAsia" w:ascii="宋体" w:hAnsi="宋体" w:eastAsia="宋体" w:cs="宋体"/>
          <w:color w:val="auto"/>
          <w:sz w:val="18"/>
          <w:szCs w:val="21"/>
          <w:highlight w:val="none"/>
        </w:rPr>
        <w:t>表格长度可根据需要自行调整，表中所列内容为必须填写项目，供应商可根据自身情况增加内容。</w:t>
      </w:r>
    </w:p>
    <w:p w14:paraId="14F0C891">
      <w:pPr>
        <w:rPr>
          <w:rFonts w:hint="eastAsia" w:ascii="宋体" w:hAnsi="宋体" w:eastAsia="宋体" w:cs="宋体"/>
          <w:color w:val="auto"/>
          <w:sz w:val="18"/>
          <w:szCs w:val="21"/>
          <w:highlight w:val="none"/>
        </w:rPr>
      </w:pPr>
      <w:r>
        <w:rPr>
          <w:rFonts w:hint="eastAsia" w:ascii="宋体" w:hAnsi="宋体" w:eastAsia="宋体" w:cs="宋体"/>
          <w:color w:val="auto"/>
          <w:sz w:val="18"/>
          <w:szCs w:val="21"/>
          <w:highlight w:val="none"/>
        </w:rPr>
        <w:t>6、此表“合计总报价”应与“</w:t>
      </w:r>
      <w:r>
        <w:rPr>
          <w:rFonts w:hint="eastAsia" w:ascii="宋体" w:hAnsi="宋体" w:eastAsia="宋体" w:cs="宋体"/>
          <w:color w:val="auto"/>
          <w:sz w:val="18"/>
          <w:szCs w:val="21"/>
          <w:highlight w:val="none"/>
          <w:lang w:val="en-US" w:eastAsia="zh-CN"/>
        </w:rPr>
        <w:t>投标报价</w:t>
      </w:r>
      <w:r>
        <w:rPr>
          <w:rFonts w:hint="eastAsia" w:ascii="宋体" w:hAnsi="宋体" w:eastAsia="宋体" w:cs="宋体"/>
          <w:color w:val="auto"/>
          <w:sz w:val="18"/>
          <w:szCs w:val="21"/>
          <w:highlight w:val="none"/>
        </w:rPr>
        <w:t>一览表”中“</w:t>
      </w:r>
      <w:r>
        <w:rPr>
          <w:rFonts w:hint="eastAsia" w:ascii="宋体" w:hAnsi="宋体" w:eastAsia="宋体" w:cs="宋体"/>
          <w:color w:val="auto"/>
          <w:sz w:val="18"/>
          <w:szCs w:val="21"/>
          <w:highlight w:val="none"/>
          <w:lang w:eastAsia="zh-CN"/>
        </w:rPr>
        <w:t>投标总报价（含税</w:t>
      </w:r>
      <w:r>
        <w:rPr>
          <w:rFonts w:hint="eastAsia" w:ascii="宋体" w:hAnsi="宋体" w:eastAsia="宋体" w:cs="宋体"/>
          <w:color w:val="auto"/>
          <w:sz w:val="18"/>
          <w:szCs w:val="21"/>
          <w:highlight w:val="none"/>
          <w:lang w:val="en-US" w:eastAsia="zh-CN"/>
        </w:rPr>
        <w:t>/元</w:t>
      </w:r>
      <w:r>
        <w:rPr>
          <w:rFonts w:hint="eastAsia" w:ascii="宋体" w:hAnsi="宋体" w:eastAsia="宋体" w:cs="宋体"/>
          <w:color w:val="auto"/>
          <w:sz w:val="18"/>
          <w:szCs w:val="21"/>
          <w:highlight w:val="none"/>
          <w:lang w:eastAsia="zh-CN"/>
        </w:rPr>
        <w:t>）</w:t>
      </w:r>
      <w:r>
        <w:rPr>
          <w:rFonts w:hint="eastAsia" w:ascii="宋体" w:hAnsi="宋体" w:eastAsia="宋体" w:cs="宋体"/>
          <w:color w:val="auto"/>
          <w:sz w:val="18"/>
          <w:szCs w:val="21"/>
          <w:highlight w:val="none"/>
        </w:rPr>
        <w:t>”中一致。</w:t>
      </w:r>
    </w:p>
    <w:p w14:paraId="23D563CF">
      <w:pPr>
        <w:rPr>
          <w:rFonts w:hint="eastAsia" w:ascii="宋体" w:hAnsi="宋体" w:eastAsia="宋体" w:cs="宋体"/>
          <w:b/>
          <w:color w:val="auto"/>
          <w:sz w:val="18"/>
          <w:highlight w:val="none"/>
          <w:lang w:val="en-US" w:eastAsia="zh-CN"/>
        </w:rPr>
      </w:pPr>
      <w:r>
        <w:rPr>
          <w:rFonts w:hint="eastAsia" w:ascii="宋体" w:hAnsi="宋体" w:eastAsia="宋体" w:cs="宋体"/>
          <w:color w:val="auto"/>
          <w:sz w:val="18"/>
          <w:szCs w:val="21"/>
          <w:highlight w:val="none"/>
          <w:lang w:val="en-US" w:eastAsia="zh-CN"/>
        </w:rPr>
        <w:t>7、“投标产品品牌、规格、型号”应该根据供应商所投货物标的如实填写，请勿复制采购文件中的“参数规格”；不涉及货物的其他类可不填报。</w:t>
      </w:r>
    </w:p>
    <w:p w14:paraId="18AAE7E9">
      <w:pPr>
        <w:spacing w:before="312" w:beforeLines="100" w:line="360" w:lineRule="auto"/>
        <w:ind w:firstLine="2" w:firstLineChars="1"/>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  </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none"/>
        </w:rPr>
        <w:t>（电子签章）</w:t>
      </w:r>
    </w:p>
    <w:p w14:paraId="6643F911">
      <w:pPr>
        <w:spacing w:line="360" w:lineRule="auto"/>
        <w:ind w:firstLine="2" w:firstLineChars="1"/>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法定代表人(单位负责人)或其委托代理人</w:t>
      </w:r>
      <w:r>
        <w:rPr>
          <w:rFonts w:hint="eastAsia" w:ascii="宋体" w:hAnsi="宋体" w:eastAsia="宋体" w:cs="宋体"/>
          <w:color w:val="auto"/>
          <w:sz w:val="22"/>
          <w:highlight w:val="none"/>
        </w:rPr>
        <w:t>：</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none"/>
        </w:rPr>
        <w:t>（电子签章）</w:t>
      </w:r>
    </w:p>
    <w:p w14:paraId="07BEED73">
      <w:pPr>
        <w:pStyle w:val="7"/>
        <w:spacing w:line="360" w:lineRule="auto"/>
        <w:ind w:firstLine="0" w:firstLineChars="0"/>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日    期：</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年</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月</w:t>
      </w:r>
      <w:r>
        <w:rPr>
          <w:rFonts w:hint="eastAsia" w:ascii="宋体" w:hAnsi="宋体" w:eastAsia="宋体" w:cs="宋体"/>
          <w:color w:val="auto"/>
          <w:sz w:val="22"/>
          <w:highlight w:val="none"/>
          <w:u w:val="single"/>
        </w:rPr>
        <w:t xml:space="preserve">      </w:t>
      </w:r>
    </w:p>
    <w:p w14:paraId="01A1D64E">
      <w:pPr>
        <w:rPr>
          <w:rFonts w:hint="eastAsia" w:ascii="宋体" w:hAnsi="宋体" w:eastAsia="宋体" w:cs="宋体"/>
          <w:color w:val="auto"/>
          <w:sz w:val="22"/>
          <w:highlight w:val="none"/>
          <w:u w:val="single"/>
        </w:rPr>
      </w:pPr>
    </w:p>
    <w:p w14:paraId="5EE7FB0D">
      <w:pPr>
        <w:rPr>
          <w:rFonts w:hint="eastAsia" w:ascii="宋体" w:hAnsi="宋体" w:eastAsia="宋体" w:cs="宋体"/>
          <w:color w:val="auto"/>
          <w:sz w:val="22"/>
          <w:highlight w:val="none"/>
          <w:u w:val="single"/>
        </w:rPr>
        <w:sectPr>
          <w:pgSz w:w="16838" w:h="11906" w:orient="landscape"/>
          <w:pgMar w:top="1020" w:right="1247" w:bottom="1020" w:left="1247" w:header="851" w:footer="992" w:gutter="0"/>
          <w:pgBorders>
            <w:top w:val="none" w:sz="0" w:space="0"/>
            <w:left w:val="none" w:sz="0" w:space="0"/>
            <w:bottom w:val="none" w:sz="0" w:space="0"/>
            <w:right w:val="none" w:sz="0" w:space="0"/>
          </w:pgBorders>
          <w:pgNumType w:fmt="numberInDash"/>
          <w:cols w:space="708" w:num="1"/>
          <w:docGrid w:type="lines" w:linePitch="312" w:charSpace="0"/>
        </w:sectPr>
      </w:pPr>
    </w:p>
    <w:p w14:paraId="140BD2DC">
      <w:pPr>
        <w:pStyle w:val="4"/>
        <w:bidi w:val="0"/>
        <w:rPr>
          <w:rFonts w:hint="eastAsia" w:ascii="宋体" w:hAnsi="宋体" w:eastAsia="宋体" w:cs="宋体"/>
          <w:color w:val="auto"/>
          <w:highlight w:val="none"/>
        </w:rPr>
      </w:pPr>
      <w:bookmarkStart w:id="459" w:name="_Toc11558"/>
      <w:bookmarkStart w:id="460" w:name="_Toc29419"/>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商务条款偏离</w:t>
      </w:r>
      <w:r>
        <w:rPr>
          <w:rFonts w:hint="eastAsia" w:ascii="宋体" w:hAnsi="宋体" w:eastAsia="宋体" w:cs="宋体"/>
          <w:color w:val="auto"/>
          <w:highlight w:val="none"/>
        </w:rPr>
        <w:t>表</w:t>
      </w:r>
    </w:p>
    <w:p w14:paraId="56F27D97">
      <w:pPr>
        <w:pStyle w:val="12"/>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请逐条对应招标文件中要求的商务条件，包括</w:t>
      </w:r>
      <w:r>
        <w:rPr>
          <w:rFonts w:hint="eastAsia" w:ascii="宋体" w:hAnsi="宋体" w:eastAsia="宋体" w:cs="宋体"/>
          <w:color w:val="auto"/>
          <w:kern w:val="0"/>
          <w:sz w:val="24"/>
          <w:highlight w:val="none"/>
          <w:lang w:eastAsia="zh-CN"/>
        </w:rPr>
        <w:t>合同履行期限</w:t>
      </w:r>
      <w:r>
        <w:rPr>
          <w:rFonts w:hint="eastAsia" w:ascii="宋体" w:hAnsi="宋体" w:eastAsia="宋体" w:cs="宋体"/>
          <w:color w:val="auto"/>
          <w:kern w:val="0"/>
          <w:sz w:val="24"/>
          <w:highlight w:val="none"/>
        </w:rPr>
        <w:t>、质量要求、交货期</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交货地点</w:t>
      </w:r>
      <w:r>
        <w:rPr>
          <w:rFonts w:hint="eastAsia" w:ascii="宋体" w:hAnsi="宋体" w:eastAsia="宋体" w:cs="宋体"/>
          <w:color w:val="auto"/>
          <w:kern w:val="0"/>
          <w:sz w:val="24"/>
          <w:highlight w:val="none"/>
          <w:lang w:val="en-US" w:eastAsia="zh-CN"/>
        </w:rPr>
        <w:t>及招标文件要求的商务</w:t>
      </w:r>
      <w:r>
        <w:rPr>
          <w:rFonts w:hint="eastAsia" w:ascii="宋体" w:hAnsi="宋体" w:eastAsia="宋体" w:cs="宋体"/>
          <w:color w:val="auto"/>
          <w:kern w:val="0"/>
          <w:sz w:val="24"/>
          <w:highlight w:val="none"/>
        </w:rPr>
        <w:t>内容等，并根据实际投标情况如实填写本表格。</w:t>
      </w:r>
    </w:p>
    <w:p w14:paraId="5D8E2B2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A、</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我公司已详细阅读招标文件中项商务要求，所有商务要求均无偏离，中标后我公司将严格遵照执行。</w:t>
      </w:r>
    </w:p>
    <w:p w14:paraId="2E5EDC8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B、□我公司已详细阅读招标文件中项商务要求，除下述条款有偏离外，其余条款我公司均予以认可，中标后将严格遵照执行。</w:t>
      </w:r>
    </w:p>
    <w:tbl>
      <w:tblPr>
        <w:tblStyle w:val="26"/>
        <w:tblW w:w="927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7"/>
        <w:gridCol w:w="3419"/>
        <w:gridCol w:w="2923"/>
        <w:gridCol w:w="1549"/>
      </w:tblGrid>
      <w:tr w14:paraId="114E1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387" w:type="dxa"/>
            <w:vAlign w:val="center"/>
          </w:tcPr>
          <w:p w14:paraId="4E866F19">
            <w:pPr>
              <w:pStyle w:val="12"/>
              <w:jc w:val="center"/>
              <w:rPr>
                <w:rFonts w:hint="eastAsia" w:ascii="宋体" w:hAnsi="宋体" w:eastAsia="宋体" w:cs="宋体"/>
                <w:b/>
                <w:color w:val="auto"/>
                <w:kern w:val="0"/>
                <w:highlight w:val="none"/>
              </w:rPr>
            </w:pPr>
            <w:r>
              <w:rPr>
                <w:rFonts w:hint="eastAsia" w:ascii="宋体" w:hAnsi="宋体" w:eastAsia="宋体" w:cs="宋体"/>
                <w:b/>
                <w:color w:val="auto"/>
                <w:kern w:val="0"/>
                <w:highlight w:val="none"/>
              </w:rPr>
              <w:t>序号</w:t>
            </w:r>
          </w:p>
        </w:tc>
        <w:tc>
          <w:tcPr>
            <w:tcW w:w="3419" w:type="dxa"/>
            <w:vAlign w:val="center"/>
          </w:tcPr>
          <w:p w14:paraId="34E77948">
            <w:pPr>
              <w:pStyle w:val="12"/>
              <w:jc w:val="center"/>
              <w:rPr>
                <w:rFonts w:hint="eastAsia" w:ascii="宋体" w:hAnsi="宋体" w:eastAsia="宋体" w:cs="宋体"/>
                <w:b/>
                <w:color w:val="auto"/>
                <w:kern w:val="0"/>
                <w:highlight w:val="none"/>
              </w:rPr>
            </w:pPr>
            <w:r>
              <w:rPr>
                <w:rFonts w:hint="eastAsia" w:ascii="宋体" w:hAnsi="宋体" w:eastAsia="宋体" w:cs="宋体"/>
                <w:b/>
                <w:color w:val="auto"/>
                <w:kern w:val="0"/>
                <w:highlight w:val="none"/>
              </w:rPr>
              <w:t>招标文件的商务条款</w:t>
            </w:r>
          </w:p>
        </w:tc>
        <w:tc>
          <w:tcPr>
            <w:tcW w:w="2923" w:type="dxa"/>
            <w:vAlign w:val="center"/>
          </w:tcPr>
          <w:p w14:paraId="0871323C">
            <w:pPr>
              <w:pStyle w:val="12"/>
              <w:jc w:val="center"/>
              <w:rPr>
                <w:rFonts w:hint="eastAsia" w:ascii="宋体" w:hAnsi="宋体" w:eastAsia="宋体" w:cs="宋体"/>
                <w:b/>
                <w:color w:val="auto"/>
                <w:kern w:val="0"/>
                <w:highlight w:val="none"/>
              </w:rPr>
            </w:pPr>
            <w:r>
              <w:rPr>
                <w:rFonts w:hint="eastAsia" w:ascii="宋体" w:hAnsi="宋体" w:eastAsia="宋体" w:cs="宋体"/>
                <w:b/>
                <w:color w:val="auto"/>
                <w:kern w:val="0"/>
                <w:highlight w:val="none"/>
              </w:rPr>
              <w:t>投标文件的商务条款</w:t>
            </w:r>
          </w:p>
        </w:tc>
        <w:tc>
          <w:tcPr>
            <w:tcW w:w="1549" w:type="dxa"/>
            <w:vAlign w:val="center"/>
          </w:tcPr>
          <w:p w14:paraId="1A865D71">
            <w:pPr>
              <w:pStyle w:val="12"/>
              <w:jc w:val="center"/>
              <w:rPr>
                <w:rFonts w:hint="eastAsia" w:ascii="宋体" w:hAnsi="宋体" w:eastAsia="宋体" w:cs="宋体"/>
                <w:b/>
                <w:color w:val="auto"/>
                <w:kern w:val="0"/>
                <w:highlight w:val="none"/>
              </w:rPr>
            </w:pPr>
            <w:r>
              <w:rPr>
                <w:rFonts w:hint="eastAsia" w:ascii="宋体" w:hAnsi="宋体" w:eastAsia="宋体" w:cs="宋体"/>
                <w:b/>
                <w:color w:val="auto"/>
                <w:kern w:val="0"/>
                <w:highlight w:val="none"/>
              </w:rPr>
              <w:t>偏离说明</w:t>
            </w:r>
          </w:p>
        </w:tc>
      </w:tr>
      <w:tr w14:paraId="7E0D3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387" w:type="dxa"/>
            <w:vAlign w:val="center"/>
          </w:tcPr>
          <w:p w14:paraId="7A2B0F5B">
            <w:pPr>
              <w:pStyle w:val="12"/>
              <w:jc w:val="center"/>
              <w:rPr>
                <w:rFonts w:hint="eastAsia" w:ascii="宋体" w:hAnsi="宋体" w:eastAsia="宋体" w:cs="宋体"/>
                <w:color w:val="auto"/>
                <w:kern w:val="0"/>
                <w:highlight w:val="none"/>
              </w:rPr>
            </w:pPr>
          </w:p>
        </w:tc>
        <w:tc>
          <w:tcPr>
            <w:tcW w:w="3419" w:type="dxa"/>
            <w:vAlign w:val="center"/>
          </w:tcPr>
          <w:p w14:paraId="6B3886A5">
            <w:pPr>
              <w:pStyle w:val="12"/>
              <w:jc w:val="center"/>
              <w:rPr>
                <w:rFonts w:hint="eastAsia" w:ascii="宋体" w:hAnsi="宋体" w:eastAsia="宋体" w:cs="宋体"/>
                <w:color w:val="auto"/>
                <w:kern w:val="0"/>
                <w:highlight w:val="none"/>
              </w:rPr>
            </w:pPr>
          </w:p>
        </w:tc>
        <w:tc>
          <w:tcPr>
            <w:tcW w:w="2923" w:type="dxa"/>
            <w:vAlign w:val="center"/>
          </w:tcPr>
          <w:p w14:paraId="116A458B">
            <w:pPr>
              <w:pStyle w:val="12"/>
              <w:jc w:val="center"/>
              <w:rPr>
                <w:rFonts w:hint="eastAsia" w:ascii="宋体" w:hAnsi="宋体" w:eastAsia="宋体" w:cs="宋体"/>
                <w:color w:val="auto"/>
                <w:kern w:val="0"/>
                <w:highlight w:val="none"/>
              </w:rPr>
            </w:pPr>
          </w:p>
        </w:tc>
        <w:tc>
          <w:tcPr>
            <w:tcW w:w="1549" w:type="dxa"/>
            <w:vAlign w:val="center"/>
          </w:tcPr>
          <w:p w14:paraId="54526F21">
            <w:pPr>
              <w:pStyle w:val="12"/>
              <w:jc w:val="center"/>
              <w:rPr>
                <w:rFonts w:hint="eastAsia" w:ascii="宋体" w:hAnsi="宋体" w:eastAsia="宋体" w:cs="宋体"/>
                <w:color w:val="auto"/>
                <w:kern w:val="0"/>
                <w:highlight w:val="none"/>
              </w:rPr>
            </w:pPr>
          </w:p>
        </w:tc>
      </w:tr>
      <w:tr w14:paraId="0340C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387" w:type="dxa"/>
            <w:vAlign w:val="center"/>
          </w:tcPr>
          <w:p w14:paraId="5ED0E03E">
            <w:pPr>
              <w:pStyle w:val="12"/>
              <w:jc w:val="center"/>
              <w:rPr>
                <w:rFonts w:hint="eastAsia" w:ascii="宋体" w:hAnsi="宋体" w:eastAsia="宋体" w:cs="宋体"/>
                <w:color w:val="auto"/>
                <w:kern w:val="0"/>
                <w:highlight w:val="none"/>
              </w:rPr>
            </w:pPr>
          </w:p>
        </w:tc>
        <w:tc>
          <w:tcPr>
            <w:tcW w:w="3419" w:type="dxa"/>
            <w:vAlign w:val="center"/>
          </w:tcPr>
          <w:p w14:paraId="5E6015BE">
            <w:pPr>
              <w:pStyle w:val="12"/>
              <w:jc w:val="center"/>
              <w:rPr>
                <w:rFonts w:hint="eastAsia" w:ascii="宋体" w:hAnsi="宋体" w:eastAsia="宋体" w:cs="宋体"/>
                <w:color w:val="auto"/>
                <w:kern w:val="0"/>
                <w:highlight w:val="none"/>
              </w:rPr>
            </w:pPr>
          </w:p>
        </w:tc>
        <w:tc>
          <w:tcPr>
            <w:tcW w:w="2923" w:type="dxa"/>
            <w:vAlign w:val="center"/>
          </w:tcPr>
          <w:p w14:paraId="2AA0FA80">
            <w:pPr>
              <w:pStyle w:val="12"/>
              <w:jc w:val="center"/>
              <w:rPr>
                <w:rFonts w:hint="eastAsia" w:ascii="宋体" w:hAnsi="宋体" w:eastAsia="宋体" w:cs="宋体"/>
                <w:color w:val="auto"/>
                <w:kern w:val="0"/>
                <w:highlight w:val="none"/>
              </w:rPr>
            </w:pPr>
          </w:p>
        </w:tc>
        <w:tc>
          <w:tcPr>
            <w:tcW w:w="1549" w:type="dxa"/>
            <w:vAlign w:val="center"/>
          </w:tcPr>
          <w:p w14:paraId="7FF973BA">
            <w:pPr>
              <w:pStyle w:val="12"/>
              <w:jc w:val="center"/>
              <w:rPr>
                <w:rFonts w:hint="eastAsia" w:ascii="宋体" w:hAnsi="宋体" w:eastAsia="宋体" w:cs="宋体"/>
                <w:color w:val="auto"/>
                <w:kern w:val="0"/>
                <w:highlight w:val="none"/>
              </w:rPr>
            </w:pPr>
          </w:p>
        </w:tc>
      </w:tr>
      <w:tr w14:paraId="370D0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387" w:type="dxa"/>
            <w:vAlign w:val="center"/>
          </w:tcPr>
          <w:p w14:paraId="470C10E8">
            <w:pPr>
              <w:pStyle w:val="12"/>
              <w:jc w:val="center"/>
              <w:rPr>
                <w:rFonts w:hint="eastAsia" w:ascii="宋体" w:hAnsi="宋体" w:eastAsia="宋体" w:cs="宋体"/>
                <w:color w:val="auto"/>
                <w:kern w:val="0"/>
                <w:highlight w:val="none"/>
              </w:rPr>
            </w:pPr>
          </w:p>
        </w:tc>
        <w:tc>
          <w:tcPr>
            <w:tcW w:w="3419" w:type="dxa"/>
            <w:vAlign w:val="center"/>
          </w:tcPr>
          <w:p w14:paraId="3D79EC27">
            <w:pPr>
              <w:pStyle w:val="12"/>
              <w:jc w:val="center"/>
              <w:rPr>
                <w:rFonts w:hint="eastAsia" w:ascii="宋体" w:hAnsi="宋体" w:eastAsia="宋体" w:cs="宋体"/>
                <w:color w:val="auto"/>
                <w:kern w:val="0"/>
                <w:highlight w:val="none"/>
              </w:rPr>
            </w:pPr>
          </w:p>
        </w:tc>
        <w:tc>
          <w:tcPr>
            <w:tcW w:w="2923" w:type="dxa"/>
            <w:vAlign w:val="center"/>
          </w:tcPr>
          <w:p w14:paraId="780BBC63">
            <w:pPr>
              <w:pStyle w:val="12"/>
              <w:jc w:val="center"/>
              <w:rPr>
                <w:rFonts w:hint="eastAsia" w:ascii="宋体" w:hAnsi="宋体" w:eastAsia="宋体" w:cs="宋体"/>
                <w:color w:val="auto"/>
                <w:kern w:val="0"/>
                <w:highlight w:val="none"/>
              </w:rPr>
            </w:pPr>
          </w:p>
        </w:tc>
        <w:tc>
          <w:tcPr>
            <w:tcW w:w="1549" w:type="dxa"/>
            <w:vAlign w:val="center"/>
          </w:tcPr>
          <w:p w14:paraId="34F14607">
            <w:pPr>
              <w:pStyle w:val="12"/>
              <w:jc w:val="center"/>
              <w:rPr>
                <w:rFonts w:hint="eastAsia" w:ascii="宋体" w:hAnsi="宋体" w:eastAsia="宋体" w:cs="宋体"/>
                <w:color w:val="auto"/>
                <w:kern w:val="0"/>
                <w:highlight w:val="none"/>
              </w:rPr>
            </w:pPr>
          </w:p>
        </w:tc>
      </w:tr>
      <w:tr w14:paraId="405DE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87" w:type="dxa"/>
            <w:vAlign w:val="center"/>
          </w:tcPr>
          <w:p w14:paraId="4EA99DE4">
            <w:pPr>
              <w:pStyle w:val="12"/>
              <w:jc w:val="center"/>
              <w:rPr>
                <w:rFonts w:hint="eastAsia" w:ascii="宋体" w:hAnsi="宋体" w:eastAsia="宋体" w:cs="宋体"/>
                <w:color w:val="auto"/>
                <w:kern w:val="0"/>
                <w:highlight w:val="none"/>
              </w:rPr>
            </w:pPr>
          </w:p>
        </w:tc>
        <w:tc>
          <w:tcPr>
            <w:tcW w:w="3419" w:type="dxa"/>
            <w:vAlign w:val="center"/>
          </w:tcPr>
          <w:p w14:paraId="0A55D541">
            <w:pPr>
              <w:pStyle w:val="12"/>
              <w:jc w:val="center"/>
              <w:rPr>
                <w:rFonts w:hint="eastAsia" w:ascii="宋体" w:hAnsi="宋体" w:eastAsia="宋体" w:cs="宋体"/>
                <w:color w:val="auto"/>
                <w:kern w:val="0"/>
                <w:highlight w:val="none"/>
              </w:rPr>
            </w:pPr>
          </w:p>
        </w:tc>
        <w:tc>
          <w:tcPr>
            <w:tcW w:w="2923" w:type="dxa"/>
            <w:vAlign w:val="center"/>
          </w:tcPr>
          <w:p w14:paraId="5EEFE97B">
            <w:pPr>
              <w:pStyle w:val="12"/>
              <w:jc w:val="center"/>
              <w:rPr>
                <w:rFonts w:hint="eastAsia" w:ascii="宋体" w:hAnsi="宋体" w:eastAsia="宋体" w:cs="宋体"/>
                <w:color w:val="auto"/>
                <w:kern w:val="0"/>
                <w:highlight w:val="none"/>
              </w:rPr>
            </w:pPr>
          </w:p>
        </w:tc>
        <w:tc>
          <w:tcPr>
            <w:tcW w:w="1549" w:type="dxa"/>
            <w:vAlign w:val="center"/>
          </w:tcPr>
          <w:p w14:paraId="4B66ACC4">
            <w:pPr>
              <w:pStyle w:val="12"/>
              <w:jc w:val="center"/>
              <w:rPr>
                <w:rFonts w:hint="eastAsia" w:ascii="宋体" w:hAnsi="宋体" w:eastAsia="宋体" w:cs="宋体"/>
                <w:color w:val="auto"/>
                <w:kern w:val="0"/>
                <w:highlight w:val="none"/>
              </w:rPr>
            </w:pPr>
          </w:p>
        </w:tc>
      </w:tr>
    </w:tbl>
    <w:p w14:paraId="3E80D8EC">
      <w:pPr>
        <w:spacing w:line="400" w:lineRule="exac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注：“偏离”系指“正偏离”、“负偏离”或“无偏离”。投标人根据应根据实际投标情况，填写本表格，若无偏离，则勾选A项，签章即可。若有偏离，则勾选B项，按表格要求及实际情况填写后，签字盖章。</w:t>
      </w:r>
    </w:p>
    <w:p w14:paraId="7135BA0A">
      <w:pPr>
        <w:spacing w:before="312" w:beforeLines="100" w:line="360" w:lineRule="auto"/>
        <w:ind w:firstLine="2" w:firstLineChars="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（电子签章）</w:t>
      </w:r>
    </w:p>
    <w:p w14:paraId="5DCB09F2">
      <w:pPr>
        <w:spacing w:line="360" w:lineRule="auto"/>
        <w:ind w:firstLine="2" w:firstLineChars="1"/>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（电子签章）</w:t>
      </w:r>
    </w:p>
    <w:p w14:paraId="5D069387">
      <w:pPr>
        <w:pStyle w:val="12"/>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BCC915D">
      <w:pPr>
        <w:rPr>
          <w:rFonts w:hint="eastAsia" w:ascii="宋体" w:hAnsi="宋体" w:eastAsia="宋体" w:cs="宋体"/>
          <w:color w:val="auto"/>
          <w:highlight w:val="none"/>
        </w:rPr>
      </w:pPr>
    </w:p>
    <w:p w14:paraId="41023B90">
      <w:pPr>
        <w:pStyle w:val="25"/>
        <w:rPr>
          <w:rFonts w:hint="eastAsia"/>
          <w:color w:val="auto"/>
          <w:highlight w:val="none"/>
        </w:rPr>
      </w:pPr>
    </w:p>
    <w:p w14:paraId="4C0FF868">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433C571">
      <w:pPr>
        <w:pStyle w:val="4"/>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w:t>
      </w:r>
      <w:bookmarkEnd w:id="459"/>
      <w:bookmarkStart w:id="461" w:name="_Toc16787"/>
      <w:bookmarkStart w:id="462" w:name="_Toc5406"/>
      <w:r>
        <w:rPr>
          <w:rFonts w:hint="eastAsia" w:ascii="宋体" w:hAnsi="宋体" w:eastAsia="宋体" w:cs="宋体"/>
          <w:color w:val="auto"/>
          <w:highlight w:val="none"/>
        </w:rPr>
        <w:t>服务人员配置</w:t>
      </w:r>
      <w:bookmarkEnd w:id="461"/>
      <w:r>
        <w:rPr>
          <w:rFonts w:hint="eastAsia" w:ascii="宋体" w:hAnsi="宋体" w:eastAsia="宋体" w:cs="宋体"/>
          <w:color w:val="auto"/>
          <w:highlight w:val="none"/>
          <w:lang w:val="en-US" w:eastAsia="zh-CN"/>
        </w:rPr>
        <w:t>情况表</w:t>
      </w:r>
    </w:p>
    <w:tbl>
      <w:tblPr>
        <w:tblStyle w:val="26"/>
        <w:tblpPr w:leftFromText="180" w:rightFromText="180" w:vertAnchor="text" w:horzAnchor="page" w:tblpXSpec="center" w:tblpY="582"/>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1504"/>
        <w:gridCol w:w="2232"/>
        <w:gridCol w:w="1529"/>
        <w:gridCol w:w="2434"/>
        <w:gridCol w:w="1214"/>
      </w:tblGrid>
      <w:tr w14:paraId="7EDB3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64" w:type="dxa"/>
            <w:vAlign w:val="center"/>
          </w:tcPr>
          <w:p w14:paraId="20285AF3">
            <w:pPr>
              <w:spacing w:line="40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序号</w:t>
            </w:r>
          </w:p>
        </w:tc>
        <w:tc>
          <w:tcPr>
            <w:tcW w:w="1504" w:type="dxa"/>
            <w:vAlign w:val="center"/>
          </w:tcPr>
          <w:p w14:paraId="64DAFA5F">
            <w:pPr>
              <w:spacing w:line="40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姓名</w:t>
            </w:r>
          </w:p>
        </w:tc>
        <w:tc>
          <w:tcPr>
            <w:tcW w:w="2232" w:type="dxa"/>
            <w:vAlign w:val="center"/>
          </w:tcPr>
          <w:p w14:paraId="40089203">
            <w:pPr>
              <w:spacing w:line="40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在本项目担任的职务</w:t>
            </w:r>
          </w:p>
        </w:tc>
        <w:tc>
          <w:tcPr>
            <w:tcW w:w="1529" w:type="dxa"/>
            <w:vAlign w:val="center"/>
          </w:tcPr>
          <w:p w14:paraId="7A274857">
            <w:pPr>
              <w:spacing w:line="40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年龄</w:t>
            </w:r>
          </w:p>
        </w:tc>
        <w:tc>
          <w:tcPr>
            <w:tcW w:w="2434" w:type="dxa"/>
            <w:vAlign w:val="center"/>
          </w:tcPr>
          <w:p w14:paraId="384ACA6E">
            <w:pPr>
              <w:spacing w:line="40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身份证号码</w:t>
            </w:r>
          </w:p>
        </w:tc>
        <w:tc>
          <w:tcPr>
            <w:tcW w:w="1214" w:type="dxa"/>
            <w:vAlign w:val="center"/>
          </w:tcPr>
          <w:p w14:paraId="1766235D">
            <w:pPr>
              <w:spacing w:line="40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备注</w:t>
            </w:r>
          </w:p>
        </w:tc>
      </w:tr>
      <w:tr w14:paraId="26C42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964" w:type="dxa"/>
            <w:vAlign w:val="center"/>
          </w:tcPr>
          <w:p w14:paraId="2535C203">
            <w:pPr>
              <w:spacing w:line="400" w:lineRule="exact"/>
              <w:jc w:val="center"/>
              <w:rPr>
                <w:rFonts w:hint="eastAsia" w:ascii="宋体" w:hAnsi="宋体" w:eastAsia="宋体" w:cs="宋体"/>
                <w:bCs/>
                <w:color w:val="auto"/>
                <w:highlight w:val="none"/>
              </w:rPr>
            </w:pPr>
          </w:p>
        </w:tc>
        <w:tc>
          <w:tcPr>
            <w:tcW w:w="1504" w:type="dxa"/>
            <w:vAlign w:val="center"/>
          </w:tcPr>
          <w:p w14:paraId="41E019EA">
            <w:pPr>
              <w:spacing w:line="400" w:lineRule="exact"/>
              <w:jc w:val="center"/>
              <w:rPr>
                <w:rFonts w:hint="eastAsia" w:ascii="宋体" w:hAnsi="宋体" w:eastAsia="宋体" w:cs="宋体"/>
                <w:bCs/>
                <w:color w:val="auto"/>
                <w:highlight w:val="none"/>
              </w:rPr>
            </w:pPr>
          </w:p>
        </w:tc>
        <w:tc>
          <w:tcPr>
            <w:tcW w:w="2232" w:type="dxa"/>
            <w:vAlign w:val="center"/>
          </w:tcPr>
          <w:p w14:paraId="264B8796">
            <w:pPr>
              <w:spacing w:line="400" w:lineRule="exact"/>
              <w:jc w:val="center"/>
              <w:rPr>
                <w:rFonts w:hint="eastAsia" w:ascii="宋体" w:hAnsi="宋体" w:eastAsia="宋体" w:cs="宋体"/>
                <w:bCs/>
                <w:color w:val="auto"/>
                <w:highlight w:val="none"/>
              </w:rPr>
            </w:pPr>
          </w:p>
        </w:tc>
        <w:tc>
          <w:tcPr>
            <w:tcW w:w="1529" w:type="dxa"/>
            <w:vAlign w:val="center"/>
          </w:tcPr>
          <w:p w14:paraId="173D7723">
            <w:pPr>
              <w:spacing w:line="400" w:lineRule="exact"/>
              <w:jc w:val="center"/>
              <w:rPr>
                <w:rFonts w:hint="eastAsia" w:ascii="宋体" w:hAnsi="宋体" w:eastAsia="宋体" w:cs="宋体"/>
                <w:bCs/>
                <w:color w:val="auto"/>
                <w:highlight w:val="none"/>
              </w:rPr>
            </w:pPr>
          </w:p>
        </w:tc>
        <w:tc>
          <w:tcPr>
            <w:tcW w:w="2434" w:type="dxa"/>
            <w:vAlign w:val="center"/>
          </w:tcPr>
          <w:p w14:paraId="0FF0B596">
            <w:pPr>
              <w:spacing w:line="400" w:lineRule="exact"/>
              <w:jc w:val="center"/>
              <w:rPr>
                <w:rFonts w:hint="eastAsia" w:ascii="宋体" w:hAnsi="宋体" w:eastAsia="宋体" w:cs="宋体"/>
                <w:bCs/>
                <w:color w:val="auto"/>
                <w:highlight w:val="none"/>
              </w:rPr>
            </w:pPr>
          </w:p>
        </w:tc>
        <w:tc>
          <w:tcPr>
            <w:tcW w:w="1214" w:type="dxa"/>
            <w:vAlign w:val="center"/>
          </w:tcPr>
          <w:p w14:paraId="166EFB21">
            <w:pPr>
              <w:spacing w:line="400" w:lineRule="exact"/>
              <w:jc w:val="center"/>
              <w:rPr>
                <w:rFonts w:hint="eastAsia" w:ascii="宋体" w:hAnsi="宋体" w:eastAsia="宋体" w:cs="宋体"/>
                <w:bCs/>
                <w:color w:val="auto"/>
                <w:highlight w:val="none"/>
              </w:rPr>
            </w:pPr>
          </w:p>
        </w:tc>
      </w:tr>
      <w:tr w14:paraId="62AD6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964" w:type="dxa"/>
            <w:vAlign w:val="center"/>
          </w:tcPr>
          <w:p w14:paraId="79817A4A">
            <w:pPr>
              <w:spacing w:line="400" w:lineRule="exact"/>
              <w:jc w:val="center"/>
              <w:rPr>
                <w:rFonts w:hint="eastAsia" w:ascii="宋体" w:hAnsi="宋体" w:eastAsia="宋体" w:cs="宋体"/>
                <w:bCs/>
                <w:color w:val="auto"/>
                <w:highlight w:val="none"/>
              </w:rPr>
            </w:pPr>
          </w:p>
        </w:tc>
        <w:tc>
          <w:tcPr>
            <w:tcW w:w="1504" w:type="dxa"/>
            <w:vAlign w:val="center"/>
          </w:tcPr>
          <w:p w14:paraId="0B362942">
            <w:pPr>
              <w:spacing w:line="400" w:lineRule="exact"/>
              <w:jc w:val="center"/>
              <w:rPr>
                <w:rFonts w:hint="eastAsia" w:ascii="宋体" w:hAnsi="宋体" w:eastAsia="宋体" w:cs="宋体"/>
                <w:bCs/>
                <w:color w:val="auto"/>
                <w:highlight w:val="none"/>
              </w:rPr>
            </w:pPr>
          </w:p>
        </w:tc>
        <w:tc>
          <w:tcPr>
            <w:tcW w:w="2232" w:type="dxa"/>
            <w:vAlign w:val="center"/>
          </w:tcPr>
          <w:p w14:paraId="00F0D6B9">
            <w:pPr>
              <w:spacing w:line="400" w:lineRule="exact"/>
              <w:jc w:val="center"/>
              <w:rPr>
                <w:rFonts w:hint="eastAsia" w:ascii="宋体" w:hAnsi="宋体" w:eastAsia="宋体" w:cs="宋体"/>
                <w:bCs/>
                <w:color w:val="auto"/>
                <w:highlight w:val="none"/>
              </w:rPr>
            </w:pPr>
          </w:p>
        </w:tc>
        <w:tc>
          <w:tcPr>
            <w:tcW w:w="1529" w:type="dxa"/>
            <w:vAlign w:val="center"/>
          </w:tcPr>
          <w:p w14:paraId="49FDC656">
            <w:pPr>
              <w:spacing w:line="400" w:lineRule="exact"/>
              <w:jc w:val="center"/>
              <w:rPr>
                <w:rFonts w:hint="eastAsia" w:ascii="宋体" w:hAnsi="宋体" w:eastAsia="宋体" w:cs="宋体"/>
                <w:bCs/>
                <w:color w:val="auto"/>
                <w:highlight w:val="none"/>
              </w:rPr>
            </w:pPr>
          </w:p>
        </w:tc>
        <w:tc>
          <w:tcPr>
            <w:tcW w:w="2434" w:type="dxa"/>
            <w:vAlign w:val="center"/>
          </w:tcPr>
          <w:p w14:paraId="7728A798">
            <w:pPr>
              <w:spacing w:line="400" w:lineRule="exact"/>
              <w:jc w:val="center"/>
              <w:rPr>
                <w:rFonts w:hint="eastAsia" w:ascii="宋体" w:hAnsi="宋体" w:eastAsia="宋体" w:cs="宋体"/>
                <w:bCs/>
                <w:color w:val="auto"/>
                <w:highlight w:val="none"/>
              </w:rPr>
            </w:pPr>
          </w:p>
        </w:tc>
        <w:tc>
          <w:tcPr>
            <w:tcW w:w="1214" w:type="dxa"/>
            <w:vAlign w:val="center"/>
          </w:tcPr>
          <w:p w14:paraId="51F81AE8">
            <w:pPr>
              <w:spacing w:line="400" w:lineRule="exact"/>
              <w:jc w:val="center"/>
              <w:rPr>
                <w:rFonts w:hint="eastAsia" w:ascii="宋体" w:hAnsi="宋体" w:eastAsia="宋体" w:cs="宋体"/>
                <w:bCs/>
                <w:color w:val="auto"/>
                <w:highlight w:val="none"/>
              </w:rPr>
            </w:pPr>
          </w:p>
        </w:tc>
      </w:tr>
      <w:tr w14:paraId="0D99C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964" w:type="dxa"/>
            <w:vAlign w:val="center"/>
          </w:tcPr>
          <w:p w14:paraId="3D12D7FC">
            <w:pPr>
              <w:spacing w:line="400" w:lineRule="exact"/>
              <w:jc w:val="center"/>
              <w:rPr>
                <w:rFonts w:hint="eastAsia" w:ascii="宋体" w:hAnsi="宋体" w:eastAsia="宋体" w:cs="宋体"/>
                <w:bCs/>
                <w:color w:val="auto"/>
                <w:highlight w:val="none"/>
              </w:rPr>
            </w:pPr>
          </w:p>
        </w:tc>
        <w:tc>
          <w:tcPr>
            <w:tcW w:w="1504" w:type="dxa"/>
            <w:vAlign w:val="center"/>
          </w:tcPr>
          <w:p w14:paraId="3358C6F7">
            <w:pPr>
              <w:spacing w:line="400" w:lineRule="exact"/>
              <w:jc w:val="center"/>
              <w:rPr>
                <w:rFonts w:hint="eastAsia" w:ascii="宋体" w:hAnsi="宋体" w:eastAsia="宋体" w:cs="宋体"/>
                <w:bCs/>
                <w:color w:val="auto"/>
                <w:highlight w:val="none"/>
              </w:rPr>
            </w:pPr>
          </w:p>
        </w:tc>
        <w:tc>
          <w:tcPr>
            <w:tcW w:w="2232" w:type="dxa"/>
            <w:vAlign w:val="center"/>
          </w:tcPr>
          <w:p w14:paraId="426986D0">
            <w:pPr>
              <w:spacing w:line="400" w:lineRule="exact"/>
              <w:jc w:val="center"/>
              <w:rPr>
                <w:rFonts w:hint="eastAsia" w:ascii="宋体" w:hAnsi="宋体" w:eastAsia="宋体" w:cs="宋体"/>
                <w:bCs/>
                <w:color w:val="auto"/>
                <w:highlight w:val="none"/>
              </w:rPr>
            </w:pPr>
          </w:p>
        </w:tc>
        <w:tc>
          <w:tcPr>
            <w:tcW w:w="1529" w:type="dxa"/>
            <w:vAlign w:val="center"/>
          </w:tcPr>
          <w:p w14:paraId="4E712DE6">
            <w:pPr>
              <w:spacing w:line="400" w:lineRule="exact"/>
              <w:jc w:val="center"/>
              <w:rPr>
                <w:rFonts w:hint="eastAsia" w:ascii="宋体" w:hAnsi="宋体" w:eastAsia="宋体" w:cs="宋体"/>
                <w:bCs/>
                <w:color w:val="auto"/>
                <w:highlight w:val="none"/>
              </w:rPr>
            </w:pPr>
          </w:p>
        </w:tc>
        <w:tc>
          <w:tcPr>
            <w:tcW w:w="2434" w:type="dxa"/>
            <w:vAlign w:val="center"/>
          </w:tcPr>
          <w:p w14:paraId="1269A1AD">
            <w:pPr>
              <w:spacing w:line="400" w:lineRule="exact"/>
              <w:jc w:val="center"/>
              <w:rPr>
                <w:rFonts w:hint="eastAsia" w:ascii="宋体" w:hAnsi="宋体" w:eastAsia="宋体" w:cs="宋体"/>
                <w:bCs/>
                <w:color w:val="auto"/>
                <w:highlight w:val="none"/>
              </w:rPr>
            </w:pPr>
          </w:p>
        </w:tc>
        <w:tc>
          <w:tcPr>
            <w:tcW w:w="1214" w:type="dxa"/>
            <w:vAlign w:val="center"/>
          </w:tcPr>
          <w:p w14:paraId="4F96876F">
            <w:pPr>
              <w:spacing w:line="400" w:lineRule="exact"/>
              <w:jc w:val="center"/>
              <w:rPr>
                <w:rFonts w:hint="eastAsia" w:ascii="宋体" w:hAnsi="宋体" w:eastAsia="宋体" w:cs="宋体"/>
                <w:bCs/>
                <w:color w:val="auto"/>
                <w:highlight w:val="none"/>
              </w:rPr>
            </w:pPr>
          </w:p>
        </w:tc>
      </w:tr>
      <w:tr w14:paraId="2A823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964" w:type="dxa"/>
            <w:vAlign w:val="center"/>
          </w:tcPr>
          <w:p w14:paraId="10C29D4F">
            <w:pPr>
              <w:spacing w:line="400" w:lineRule="exact"/>
              <w:jc w:val="center"/>
              <w:rPr>
                <w:rFonts w:hint="eastAsia" w:ascii="宋体" w:hAnsi="宋体" w:eastAsia="宋体" w:cs="宋体"/>
                <w:bCs/>
                <w:color w:val="auto"/>
                <w:highlight w:val="none"/>
              </w:rPr>
            </w:pPr>
          </w:p>
        </w:tc>
        <w:tc>
          <w:tcPr>
            <w:tcW w:w="1504" w:type="dxa"/>
            <w:vAlign w:val="center"/>
          </w:tcPr>
          <w:p w14:paraId="35C889D6">
            <w:pPr>
              <w:spacing w:line="400" w:lineRule="exact"/>
              <w:jc w:val="center"/>
              <w:rPr>
                <w:rFonts w:hint="eastAsia" w:ascii="宋体" w:hAnsi="宋体" w:eastAsia="宋体" w:cs="宋体"/>
                <w:bCs/>
                <w:color w:val="auto"/>
                <w:highlight w:val="none"/>
              </w:rPr>
            </w:pPr>
          </w:p>
        </w:tc>
        <w:tc>
          <w:tcPr>
            <w:tcW w:w="2232" w:type="dxa"/>
            <w:vAlign w:val="center"/>
          </w:tcPr>
          <w:p w14:paraId="67E78F9A">
            <w:pPr>
              <w:spacing w:line="400" w:lineRule="exact"/>
              <w:jc w:val="center"/>
              <w:rPr>
                <w:rFonts w:hint="eastAsia" w:ascii="宋体" w:hAnsi="宋体" w:eastAsia="宋体" w:cs="宋体"/>
                <w:bCs/>
                <w:color w:val="auto"/>
                <w:highlight w:val="none"/>
              </w:rPr>
            </w:pPr>
          </w:p>
        </w:tc>
        <w:tc>
          <w:tcPr>
            <w:tcW w:w="1529" w:type="dxa"/>
            <w:vAlign w:val="center"/>
          </w:tcPr>
          <w:p w14:paraId="3551B96B">
            <w:pPr>
              <w:spacing w:line="400" w:lineRule="exact"/>
              <w:jc w:val="center"/>
              <w:rPr>
                <w:rFonts w:hint="eastAsia" w:ascii="宋体" w:hAnsi="宋体" w:eastAsia="宋体" w:cs="宋体"/>
                <w:bCs/>
                <w:color w:val="auto"/>
                <w:highlight w:val="none"/>
              </w:rPr>
            </w:pPr>
          </w:p>
        </w:tc>
        <w:tc>
          <w:tcPr>
            <w:tcW w:w="2434" w:type="dxa"/>
            <w:vAlign w:val="center"/>
          </w:tcPr>
          <w:p w14:paraId="32381A33">
            <w:pPr>
              <w:spacing w:line="400" w:lineRule="exact"/>
              <w:jc w:val="center"/>
              <w:rPr>
                <w:rFonts w:hint="eastAsia" w:ascii="宋体" w:hAnsi="宋体" w:eastAsia="宋体" w:cs="宋体"/>
                <w:bCs/>
                <w:color w:val="auto"/>
                <w:highlight w:val="none"/>
              </w:rPr>
            </w:pPr>
          </w:p>
        </w:tc>
        <w:tc>
          <w:tcPr>
            <w:tcW w:w="1214" w:type="dxa"/>
            <w:vAlign w:val="center"/>
          </w:tcPr>
          <w:p w14:paraId="75C01FAE">
            <w:pPr>
              <w:spacing w:line="400" w:lineRule="exact"/>
              <w:jc w:val="center"/>
              <w:rPr>
                <w:rFonts w:hint="eastAsia" w:ascii="宋体" w:hAnsi="宋体" w:eastAsia="宋体" w:cs="宋体"/>
                <w:bCs/>
                <w:color w:val="auto"/>
                <w:highlight w:val="none"/>
              </w:rPr>
            </w:pPr>
          </w:p>
        </w:tc>
      </w:tr>
      <w:tr w14:paraId="2B6E7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964" w:type="dxa"/>
            <w:vAlign w:val="center"/>
          </w:tcPr>
          <w:p w14:paraId="4DF29F59">
            <w:pPr>
              <w:spacing w:line="400" w:lineRule="exact"/>
              <w:jc w:val="center"/>
              <w:rPr>
                <w:rFonts w:hint="eastAsia" w:ascii="宋体" w:hAnsi="宋体" w:eastAsia="宋体" w:cs="宋体"/>
                <w:bCs/>
                <w:color w:val="auto"/>
                <w:highlight w:val="none"/>
              </w:rPr>
            </w:pPr>
          </w:p>
        </w:tc>
        <w:tc>
          <w:tcPr>
            <w:tcW w:w="1504" w:type="dxa"/>
            <w:vAlign w:val="center"/>
          </w:tcPr>
          <w:p w14:paraId="062108D8">
            <w:pPr>
              <w:spacing w:line="400" w:lineRule="exact"/>
              <w:jc w:val="center"/>
              <w:rPr>
                <w:rFonts w:hint="eastAsia" w:ascii="宋体" w:hAnsi="宋体" w:eastAsia="宋体" w:cs="宋体"/>
                <w:bCs/>
                <w:color w:val="auto"/>
                <w:highlight w:val="none"/>
              </w:rPr>
            </w:pPr>
          </w:p>
        </w:tc>
        <w:tc>
          <w:tcPr>
            <w:tcW w:w="2232" w:type="dxa"/>
            <w:vAlign w:val="center"/>
          </w:tcPr>
          <w:p w14:paraId="1F8E05D5">
            <w:pPr>
              <w:spacing w:line="400" w:lineRule="exact"/>
              <w:jc w:val="center"/>
              <w:rPr>
                <w:rFonts w:hint="eastAsia" w:ascii="宋体" w:hAnsi="宋体" w:eastAsia="宋体" w:cs="宋体"/>
                <w:bCs/>
                <w:color w:val="auto"/>
                <w:highlight w:val="none"/>
              </w:rPr>
            </w:pPr>
          </w:p>
        </w:tc>
        <w:tc>
          <w:tcPr>
            <w:tcW w:w="1529" w:type="dxa"/>
            <w:vAlign w:val="center"/>
          </w:tcPr>
          <w:p w14:paraId="0EF9E5A2">
            <w:pPr>
              <w:spacing w:line="400" w:lineRule="exact"/>
              <w:jc w:val="center"/>
              <w:rPr>
                <w:rFonts w:hint="eastAsia" w:ascii="宋体" w:hAnsi="宋体" w:eastAsia="宋体" w:cs="宋体"/>
                <w:bCs/>
                <w:color w:val="auto"/>
                <w:highlight w:val="none"/>
              </w:rPr>
            </w:pPr>
          </w:p>
        </w:tc>
        <w:tc>
          <w:tcPr>
            <w:tcW w:w="2434" w:type="dxa"/>
            <w:vAlign w:val="center"/>
          </w:tcPr>
          <w:p w14:paraId="063F7048">
            <w:pPr>
              <w:spacing w:line="400" w:lineRule="exact"/>
              <w:jc w:val="center"/>
              <w:rPr>
                <w:rFonts w:hint="eastAsia" w:ascii="宋体" w:hAnsi="宋体" w:eastAsia="宋体" w:cs="宋体"/>
                <w:bCs/>
                <w:color w:val="auto"/>
                <w:highlight w:val="none"/>
              </w:rPr>
            </w:pPr>
          </w:p>
        </w:tc>
        <w:tc>
          <w:tcPr>
            <w:tcW w:w="1214" w:type="dxa"/>
            <w:vAlign w:val="center"/>
          </w:tcPr>
          <w:p w14:paraId="537A0783">
            <w:pPr>
              <w:spacing w:line="400" w:lineRule="exact"/>
              <w:jc w:val="center"/>
              <w:rPr>
                <w:rFonts w:hint="eastAsia" w:ascii="宋体" w:hAnsi="宋体" w:eastAsia="宋体" w:cs="宋体"/>
                <w:bCs/>
                <w:color w:val="auto"/>
                <w:highlight w:val="none"/>
              </w:rPr>
            </w:pPr>
          </w:p>
        </w:tc>
      </w:tr>
      <w:tr w14:paraId="161AB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964" w:type="dxa"/>
            <w:vAlign w:val="center"/>
          </w:tcPr>
          <w:p w14:paraId="69F41EE8">
            <w:pPr>
              <w:spacing w:line="400" w:lineRule="exact"/>
              <w:jc w:val="center"/>
              <w:rPr>
                <w:rFonts w:hint="eastAsia" w:ascii="宋体" w:hAnsi="宋体" w:eastAsia="宋体" w:cs="宋体"/>
                <w:bCs/>
                <w:color w:val="auto"/>
                <w:highlight w:val="none"/>
              </w:rPr>
            </w:pPr>
          </w:p>
        </w:tc>
        <w:tc>
          <w:tcPr>
            <w:tcW w:w="1504" w:type="dxa"/>
            <w:vAlign w:val="center"/>
          </w:tcPr>
          <w:p w14:paraId="61FA6C3B">
            <w:pPr>
              <w:spacing w:line="400" w:lineRule="exact"/>
              <w:jc w:val="center"/>
              <w:rPr>
                <w:rFonts w:hint="eastAsia" w:ascii="宋体" w:hAnsi="宋体" w:eastAsia="宋体" w:cs="宋体"/>
                <w:bCs/>
                <w:color w:val="auto"/>
                <w:highlight w:val="none"/>
              </w:rPr>
            </w:pPr>
          </w:p>
        </w:tc>
        <w:tc>
          <w:tcPr>
            <w:tcW w:w="2232" w:type="dxa"/>
            <w:vAlign w:val="center"/>
          </w:tcPr>
          <w:p w14:paraId="4F98BF70">
            <w:pPr>
              <w:spacing w:line="400" w:lineRule="exact"/>
              <w:jc w:val="center"/>
              <w:rPr>
                <w:rFonts w:hint="eastAsia" w:ascii="宋体" w:hAnsi="宋体" w:eastAsia="宋体" w:cs="宋体"/>
                <w:bCs/>
                <w:color w:val="auto"/>
                <w:highlight w:val="none"/>
              </w:rPr>
            </w:pPr>
          </w:p>
        </w:tc>
        <w:tc>
          <w:tcPr>
            <w:tcW w:w="1529" w:type="dxa"/>
            <w:vAlign w:val="center"/>
          </w:tcPr>
          <w:p w14:paraId="570619D8">
            <w:pPr>
              <w:spacing w:line="400" w:lineRule="exact"/>
              <w:jc w:val="center"/>
              <w:rPr>
                <w:rFonts w:hint="eastAsia" w:ascii="宋体" w:hAnsi="宋体" w:eastAsia="宋体" w:cs="宋体"/>
                <w:bCs/>
                <w:color w:val="auto"/>
                <w:highlight w:val="none"/>
              </w:rPr>
            </w:pPr>
          </w:p>
        </w:tc>
        <w:tc>
          <w:tcPr>
            <w:tcW w:w="2434" w:type="dxa"/>
            <w:vAlign w:val="center"/>
          </w:tcPr>
          <w:p w14:paraId="1662D5ED">
            <w:pPr>
              <w:spacing w:line="400" w:lineRule="exact"/>
              <w:jc w:val="center"/>
              <w:rPr>
                <w:rFonts w:hint="eastAsia" w:ascii="宋体" w:hAnsi="宋体" w:eastAsia="宋体" w:cs="宋体"/>
                <w:bCs/>
                <w:color w:val="auto"/>
                <w:highlight w:val="none"/>
              </w:rPr>
            </w:pPr>
          </w:p>
        </w:tc>
        <w:tc>
          <w:tcPr>
            <w:tcW w:w="1214" w:type="dxa"/>
            <w:vAlign w:val="center"/>
          </w:tcPr>
          <w:p w14:paraId="63F52E0B">
            <w:pPr>
              <w:spacing w:line="400" w:lineRule="exact"/>
              <w:jc w:val="center"/>
              <w:rPr>
                <w:rFonts w:hint="eastAsia" w:ascii="宋体" w:hAnsi="宋体" w:eastAsia="宋体" w:cs="宋体"/>
                <w:bCs/>
                <w:color w:val="auto"/>
                <w:highlight w:val="none"/>
              </w:rPr>
            </w:pPr>
          </w:p>
        </w:tc>
      </w:tr>
      <w:tr w14:paraId="08D29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964" w:type="dxa"/>
            <w:vAlign w:val="center"/>
          </w:tcPr>
          <w:p w14:paraId="7C37E667">
            <w:pPr>
              <w:spacing w:line="400" w:lineRule="exact"/>
              <w:jc w:val="center"/>
              <w:rPr>
                <w:rFonts w:hint="eastAsia" w:ascii="宋体" w:hAnsi="宋体" w:eastAsia="宋体" w:cs="宋体"/>
                <w:bCs/>
                <w:color w:val="auto"/>
                <w:highlight w:val="none"/>
              </w:rPr>
            </w:pPr>
          </w:p>
        </w:tc>
        <w:tc>
          <w:tcPr>
            <w:tcW w:w="1504" w:type="dxa"/>
            <w:vAlign w:val="center"/>
          </w:tcPr>
          <w:p w14:paraId="6940977F">
            <w:pPr>
              <w:spacing w:line="400" w:lineRule="exact"/>
              <w:jc w:val="center"/>
              <w:rPr>
                <w:rFonts w:hint="eastAsia" w:ascii="宋体" w:hAnsi="宋体" w:eastAsia="宋体" w:cs="宋体"/>
                <w:bCs/>
                <w:color w:val="auto"/>
                <w:highlight w:val="none"/>
              </w:rPr>
            </w:pPr>
          </w:p>
        </w:tc>
        <w:tc>
          <w:tcPr>
            <w:tcW w:w="2232" w:type="dxa"/>
            <w:vAlign w:val="center"/>
          </w:tcPr>
          <w:p w14:paraId="47EBEDEE">
            <w:pPr>
              <w:spacing w:line="400" w:lineRule="exact"/>
              <w:jc w:val="center"/>
              <w:rPr>
                <w:rFonts w:hint="eastAsia" w:ascii="宋体" w:hAnsi="宋体" w:eastAsia="宋体" w:cs="宋体"/>
                <w:bCs/>
                <w:color w:val="auto"/>
                <w:highlight w:val="none"/>
              </w:rPr>
            </w:pPr>
          </w:p>
        </w:tc>
        <w:tc>
          <w:tcPr>
            <w:tcW w:w="1529" w:type="dxa"/>
            <w:vAlign w:val="center"/>
          </w:tcPr>
          <w:p w14:paraId="69DCE1D5">
            <w:pPr>
              <w:spacing w:line="400" w:lineRule="exact"/>
              <w:jc w:val="center"/>
              <w:rPr>
                <w:rFonts w:hint="eastAsia" w:ascii="宋体" w:hAnsi="宋体" w:eastAsia="宋体" w:cs="宋体"/>
                <w:bCs/>
                <w:color w:val="auto"/>
                <w:highlight w:val="none"/>
              </w:rPr>
            </w:pPr>
          </w:p>
        </w:tc>
        <w:tc>
          <w:tcPr>
            <w:tcW w:w="2434" w:type="dxa"/>
            <w:vAlign w:val="center"/>
          </w:tcPr>
          <w:p w14:paraId="4E41F502">
            <w:pPr>
              <w:spacing w:line="400" w:lineRule="exact"/>
              <w:jc w:val="center"/>
              <w:rPr>
                <w:rFonts w:hint="eastAsia" w:ascii="宋体" w:hAnsi="宋体" w:eastAsia="宋体" w:cs="宋体"/>
                <w:bCs/>
                <w:color w:val="auto"/>
                <w:highlight w:val="none"/>
              </w:rPr>
            </w:pPr>
          </w:p>
        </w:tc>
        <w:tc>
          <w:tcPr>
            <w:tcW w:w="1214" w:type="dxa"/>
            <w:vAlign w:val="center"/>
          </w:tcPr>
          <w:p w14:paraId="5D95BA74">
            <w:pPr>
              <w:spacing w:line="400" w:lineRule="exact"/>
              <w:jc w:val="center"/>
              <w:rPr>
                <w:rFonts w:hint="eastAsia" w:ascii="宋体" w:hAnsi="宋体" w:eastAsia="宋体" w:cs="宋体"/>
                <w:bCs/>
                <w:color w:val="auto"/>
                <w:highlight w:val="none"/>
              </w:rPr>
            </w:pPr>
          </w:p>
        </w:tc>
      </w:tr>
    </w:tbl>
    <w:p w14:paraId="44AB97BF">
      <w:pPr>
        <w:spacing w:before="312" w:beforeLines="100" w:line="360" w:lineRule="auto"/>
        <w:ind w:firstLine="2" w:firstLineChars="1"/>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w:t>
      </w:r>
      <w:r>
        <w:rPr>
          <w:rFonts w:hint="eastAsia" w:ascii="宋体" w:hAnsi="宋体" w:eastAsia="宋体" w:cs="宋体"/>
          <w:color w:val="auto"/>
          <w:sz w:val="22"/>
          <w:szCs w:val="22"/>
          <w:highlight w:val="none"/>
          <w:lang w:val="en-US" w:eastAsia="zh-CN"/>
        </w:rPr>
        <w:t>需附人员相关证明材料及人员配备机构说明等材料</w:t>
      </w:r>
      <w:r>
        <w:rPr>
          <w:rFonts w:hint="eastAsia" w:ascii="宋体" w:hAnsi="宋体" w:eastAsia="宋体" w:cs="宋体"/>
          <w:color w:val="auto"/>
          <w:sz w:val="22"/>
          <w:szCs w:val="22"/>
          <w:highlight w:val="none"/>
        </w:rPr>
        <w:t>。</w:t>
      </w:r>
    </w:p>
    <w:p w14:paraId="6C0531C1">
      <w:pPr>
        <w:spacing w:before="312" w:beforeLines="100" w:line="360" w:lineRule="auto"/>
        <w:ind w:firstLine="2" w:firstLineChars="1"/>
        <w:rPr>
          <w:rFonts w:hint="eastAsia" w:ascii="宋体" w:hAnsi="宋体" w:eastAsia="宋体" w:cs="宋体"/>
          <w:color w:val="auto"/>
          <w:sz w:val="22"/>
          <w:highlight w:val="none"/>
        </w:rPr>
      </w:pPr>
    </w:p>
    <w:p w14:paraId="5CF0F2CC">
      <w:pPr>
        <w:spacing w:before="312" w:beforeLines="100" w:line="360" w:lineRule="auto"/>
        <w:ind w:firstLine="2" w:firstLineChars="1"/>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供应商：  </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u w:val="none"/>
        </w:rPr>
        <w:t>（电子签章）</w:t>
      </w:r>
    </w:p>
    <w:p w14:paraId="37A6AF05">
      <w:pPr>
        <w:spacing w:line="360" w:lineRule="auto"/>
        <w:ind w:firstLine="2" w:firstLineChars="1"/>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法定代表人(单位负责人)或其委托代理人</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u w:val="none"/>
        </w:rPr>
        <w:t>（电子签章）</w:t>
      </w:r>
    </w:p>
    <w:p w14:paraId="2373634D">
      <w:pPr>
        <w:spacing w:line="360" w:lineRule="auto"/>
        <w:ind w:firstLine="2" w:firstLineChars="1"/>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日    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日</w:t>
      </w:r>
    </w:p>
    <w:p w14:paraId="14799758">
      <w:pPr>
        <w:rPr>
          <w:rStyle w:val="33"/>
          <w:rFonts w:hint="eastAsia" w:ascii="宋体" w:hAnsi="宋体" w:eastAsia="宋体" w:cs="宋体"/>
          <w:color w:val="auto"/>
          <w:highlight w:val="none"/>
        </w:rPr>
      </w:pPr>
      <w:r>
        <w:rPr>
          <w:rFonts w:hint="eastAsia" w:ascii="宋体" w:hAnsi="宋体" w:eastAsia="宋体" w:cs="宋体"/>
          <w:color w:val="auto"/>
          <w:sz w:val="22"/>
          <w:highlight w:val="none"/>
        </w:rPr>
        <w:br w:type="page"/>
      </w:r>
    </w:p>
    <w:p w14:paraId="56C7EC3F">
      <w:pPr>
        <w:pStyle w:val="4"/>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格式5：企业相关证书</w:t>
      </w:r>
    </w:p>
    <w:p w14:paraId="5555DFB5">
      <w:pPr>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格式自拟：</w:t>
      </w:r>
    </w:p>
    <w:p w14:paraId="0D6C9DD8">
      <w:pPr>
        <w:pStyle w:val="4"/>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格式6：供应商类似业绩</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1322"/>
        <w:gridCol w:w="1072"/>
        <w:gridCol w:w="1072"/>
        <w:gridCol w:w="1072"/>
        <w:gridCol w:w="1073"/>
        <w:gridCol w:w="1073"/>
        <w:gridCol w:w="1455"/>
        <w:gridCol w:w="691"/>
      </w:tblGrid>
      <w:tr w14:paraId="7A784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6" w:hRule="atLeast"/>
        </w:trPr>
        <w:tc>
          <w:tcPr>
            <w:tcW w:w="822" w:type="dxa"/>
            <w:vAlign w:val="center"/>
          </w:tcPr>
          <w:p w14:paraId="5BCDE1AF">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序号</w:t>
            </w:r>
          </w:p>
        </w:tc>
        <w:tc>
          <w:tcPr>
            <w:tcW w:w="1322" w:type="dxa"/>
            <w:vAlign w:val="center"/>
          </w:tcPr>
          <w:p w14:paraId="3CB894BC">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合同项目名称</w:t>
            </w:r>
          </w:p>
        </w:tc>
        <w:tc>
          <w:tcPr>
            <w:tcW w:w="1072" w:type="dxa"/>
            <w:vAlign w:val="center"/>
          </w:tcPr>
          <w:p w14:paraId="14CC9C3B">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发包单位名称</w:t>
            </w:r>
          </w:p>
        </w:tc>
        <w:tc>
          <w:tcPr>
            <w:tcW w:w="1072" w:type="dxa"/>
            <w:vAlign w:val="center"/>
          </w:tcPr>
          <w:p w14:paraId="742A5865">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合同履行期限</w:t>
            </w:r>
          </w:p>
        </w:tc>
        <w:tc>
          <w:tcPr>
            <w:tcW w:w="1072" w:type="dxa"/>
            <w:vAlign w:val="center"/>
          </w:tcPr>
          <w:p w14:paraId="0091CD80">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合同金额（万元）</w:t>
            </w:r>
          </w:p>
        </w:tc>
        <w:tc>
          <w:tcPr>
            <w:tcW w:w="1073" w:type="dxa"/>
            <w:vAlign w:val="center"/>
          </w:tcPr>
          <w:p w14:paraId="73787C0F">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合同内容</w:t>
            </w:r>
          </w:p>
        </w:tc>
        <w:tc>
          <w:tcPr>
            <w:tcW w:w="1073" w:type="dxa"/>
            <w:vAlign w:val="center"/>
          </w:tcPr>
          <w:p w14:paraId="4CD892FF">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项目所在地</w:t>
            </w:r>
          </w:p>
        </w:tc>
        <w:tc>
          <w:tcPr>
            <w:tcW w:w="1455" w:type="dxa"/>
            <w:vAlign w:val="center"/>
          </w:tcPr>
          <w:p w14:paraId="5F4F65CE">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发包单位联系人及联系电话</w:t>
            </w:r>
          </w:p>
        </w:tc>
        <w:tc>
          <w:tcPr>
            <w:tcW w:w="691" w:type="dxa"/>
            <w:vAlign w:val="center"/>
          </w:tcPr>
          <w:p w14:paraId="520CFAC2">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备注</w:t>
            </w:r>
          </w:p>
        </w:tc>
      </w:tr>
      <w:tr w14:paraId="0399A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822" w:type="dxa"/>
            <w:vAlign w:val="center"/>
          </w:tcPr>
          <w:p w14:paraId="74E74296">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1</w:t>
            </w:r>
          </w:p>
        </w:tc>
        <w:tc>
          <w:tcPr>
            <w:tcW w:w="1322" w:type="dxa"/>
            <w:vAlign w:val="center"/>
          </w:tcPr>
          <w:p w14:paraId="4B130916">
            <w:pPr>
              <w:bidi w:val="0"/>
              <w:jc w:val="center"/>
              <w:rPr>
                <w:rFonts w:hint="eastAsia" w:ascii="宋体" w:hAnsi="宋体" w:eastAsia="宋体" w:cs="宋体"/>
                <w:color w:val="auto"/>
                <w:highlight w:val="none"/>
                <w:vertAlign w:val="baseline"/>
                <w:lang w:val="en-US" w:eastAsia="zh-CN"/>
              </w:rPr>
            </w:pPr>
          </w:p>
        </w:tc>
        <w:tc>
          <w:tcPr>
            <w:tcW w:w="1072" w:type="dxa"/>
            <w:vAlign w:val="center"/>
          </w:tcPr>
          <w:p w14:paraId="1B1F0E09">
            <w:pPr>
              <w:bidi w:val="0"/>
              <w:jc w:val="center"/>
              <w:rPr>
                <w:rFonts w:hint="eastAsia" w:ascii="宋体" w:hAnsi="宋体" w:eastAsia="宋体" w:cs="宋体"/>
                <w:color w:val="auto"/>
                <w:highlight w:val="none"/>
                <w:vertAlign w:val="baseline"/>
                <w:lang w:val="en-US" w:eastAsia="zh-CN"/>
              </w:rPr>
            </w:pPr>
          </w:p>
        </w:tc>
        <w:tc>
          <w:tcPr>
            <w:tcW w:w="1072" w:type="dxa"/>
            <w:vAlign w:val="center"/>
          </w:tcPr>
          <w:p w14:paraId="4E38B603">
            <w:pPr>
              <w:bidi w:val="0"/>
              <w:jc w:val="center"/>
              <w:rPr>
                <w:rFonts w:hint="eastAsia" w:ascii="宋体" w:hAnsi="宋体" w:eastAsia="宋体" w:cs="宋体"/>
                <w:color w:val="auto"/>
                <w:highlight w:val="none"/>
                <w:vertAlign w:val="baseline"/>
                <w:lang w:val="en-US" w:eastAsia="zh-CN"/>
              </w:rPr>
            </w:pPr>
          </w:p>
        </w:tc>
        <w:tc>
          <w:tcPr>
            <w:tcW w:w="1072" w:type="dxa"/>
            <w:vAlign w:val="center"/>
          </w:tcPr>
          <w:p w14:paraId="274353E7">
            <w:pPr>
              <w:bidi w:val="0"/>
              <w:jc w:val="center"/>
              <w:rPr>
                <w:rFonts w:hint="eastAsia" w:ascii="宋体" w:hAnsi="宋体" w:eastAsia="宋体" w:cs="宋体"/>
                <w:color w:val="auto"/>
                <w:highlight w:val="none"/>
                <w:vertAlign w:val="baseline"/>
                <w:lang w:val="en-US" w:eastAsia="zh-CN"/>
              </w:rPr>
            </w:pPr>
          </w:p>
        </w:tc>
        <w:tc>
          <w:tcPr>
            <w:tcW w:w="1073" w:type="dxa"/>
            <w:vAlign w:val="center"/>
          </w:tcPr>
          <w:p w14:paraId="3C364E39">
            <w:pPr>
              <w:bidi w:val="0"/>
              <w:jc w:val="center"/>
              <w:rPr>
                <w:rFonts w:hint="eastAsia" w:ascii="宋体" w:hAnsi="宋体" w:eastAsia="宋体" w:cs="宋体"/>
                <w:color w:val="auto"/>
                <w:highlight w:val="none"/>
                <w:vertAlign w:val="baseline"/>
                <w:lang w:val="en-US" w:eastAsia="zh-CN"/>
              </w:rPr>
            </w:pPr>
          </w:p>
        </w:tc>
        <w:tc>
          <w:tcPr>
            <w:tcW w:w="1073" w:type="dxa"/>
            <w:vAlign w:val="center"/>
          </w:tcPr>
          <w:p w14:paraId="75D6A7AE">
            <w:pPr>
              <w:bidi w:val="0"/>
              <w:jc w:val="center"/>
              <w:rPr>
                <w:rFonts w:hint="eastAsia" w:ascii="宋体" w:hAnsi="宋体" w:eastAsia="宋体" w:cs="宋体"/>
                <w:color w:val="auto"/>
                <w:highlight w:val="none"/>
                <w:vertAlign w:val="baseline"/>
                <w:lang w:val="en-US" w:eastAsia="zh-CN"/>
              </w:rPr>
            </w:pPr>
          </w:p>
        </w:tc>
        <w:tc>
          <w:tcPr>
            <w:tcW w:w="1455" w:type="dxa"/>
            <w:vAlign w:val="center"/>
          </w:tcPr>
          <w:p w14:paraId="4D8535FE">
            <w:pPr>
              <w:bidi w:val="0"/>
              <w:jc w:val="center"/>
              <w:rPr>
                <w:rFonts w:hint="eastAsia" w:ascii="宋体" w:hAnsi="宋体" w:eastAsia="宋体" w:cs="宋体"/>
                <w:color w:val="auto"/>
                <w:highlight w:val="none"/>
                <w:vertAlign w:val="baseline"/>
                <w:lang w:val="en-US" w:eastAsia="zh-CN"/>
              </w:rPr>
            </w:pPr>
          </w:p>
        </w:tc>
        <w:tc>
          <w:tcPr>
            <w:tcW w:w="691" w:type="dxa"/>
            <w:vAlign w:val="center"/>
          </w:tcPr>
          <w:p w14:paraId="680160FB">
            <w:pPr>
              <w:bidi w:val="0"/>
              <w:jc w:val="center"/>
              <w:rPr>
                <w:rFonts w:hint="eastAsia" w:ascii="宋体" w:hAnsi="宋体" w:eastAsia="宋体" w:cs="宋体"/>
                <w:color w:val="auto"/>
                <w:highlight w:val="none"/>
                <w:vertAlign w:val="baseline"/>
                <w:lang w:val="en-US" w:eastAsia="zh-CN"/>
              </w:rPr>
            </w:pPr>
          </w:p>
        </w:tc>
      </w:tr>
      <w:tr w14:paraId="28283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822" w:type="dxa"/>
            <w:vAlign w:val="center"/>
          </w:tcPr>
          <w:p w14:paraId="7BC9FF4F">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2</w:t>
            </w:r>
          </w:p>
        </w:tc>
        <w:tc>
          <w:tcPr>
            <w:tcW w:w="1322" w:type="dxa"/>
            <w:vAlign w:val="center"/>
          </w:tcPr>
          <w:p w14:paraId="28FE9210">
            <w:pPr>
              <w:bidi w:val="0"/>
              <w:jc w:val="center"/>
              <w:rPr>
                <w:rFonts w:hint="eastAsia" w:ascii="宋体" w:hAnsi="宋体" w:eastAsia="宋体" w:cs="宋体"/>
                <w:color w:val="auto"/>
                <w:highlight w:val="none"/>
                <w:vertAlign w:val="baseline"/>
                <w:lang w:val="en-US" w:eastAsia="zh-CN"/>
              </w:rPr>
            </w:pPr>
          </w:p>
        </w:tc>
        <w:tc>
          <w:tcPr>
            <w:tcW w:w="1072" w:type="dxa"/>
            <w:vAlign w:val="center"/>
          </w:tcPr>
          <w:p w14:paraId="793F4FA5">
            <w:pPr>
              <w:bidi w:val="0"/>
              <w:jc w:val="center"/>
              <w:rPr>
                <w:rFonts w:hint="eastAsia" w:ascii="宋体" w:hAnsi="宋体" w:eastAsia="宋体" w:cs="宋体"/>
                <w:color w:val="auto"/>
                <w:highlight w:val="none"/>
                <w:vertAlign w:val="baseline"/>
                <w:lang w:val="en-US" w:eastAsia="zh-CN"/>
              </w:rPr>
            </w:pPr>
          </w:p>
        </w:tc>
        <w:tc>
          <w:tcPr>
            <w:tcW w:w="1072" w:type="dxa"/>
            <w:vAlign w:val="center"/>
          </w:tcPr>
          <w:p w14:paraId="70CADE45">
            <w:pPr>
              <w:bidi w:val="0"/>
              <w:jc w:val="center"/>
              <w:rPr>
                <w:rFonts w:hint="eastAsia" w:ascii="宋体" w:hAnsi="宋体" w:eastAsia="宋体" w:cs="宋体"/>
                <w:color w:val="auto"/>
                <w:highlight w:val="none"/>
                <w:vertAlign w:val="baseline"/>
                <w:lang w:val="en-US" w:eastAsia="zh-CN"/>
              </w:rPr>
            </w:pPr>
          </w:p>
        </w:tc>
        <w:tc>
          <w:tcPr>
            <w:tcW w:w="1072" w:type="dxa"/>
            <w:vAlign w:val="center"/>
          </w:tcPr>
          <w:p w14:paraId="6B6B0B20">
            <w:pPr>
              <w:bidi w:val="0"/>
              <w:jc w:val="center"/>
              <w:rPr>
                <w:rFonts w:hint="eastAsia" w:ascii="宋体" w:hAnsi="宋体" w:eastAsia="宋体" w:cs="宋体"/>
                <w:color w:val="auto"/>
                <w:highlight w:val="none"/>
                <w:vertAlign w:val="baseline"/>
                <w:lang w:val="en-US" w:eastAsia="zh-CN"/>
              </w:rPr>
            </w:pPr>
          </w:p>
        </w:tc>
        <w:tc>
          <w:tcPr>
            <w:tcW w:w="1073" w:type="dxa"/>
            <w:vAlign w:val="center"/>
          </w:tcPr>
          <w:p w14:paraId="4A1ACF32">
            <w:pPr>
              <w:bidi w:val="0"/>
              <w:jc w:val="center"/>
              <w:rPr>
                <w:rFonts w:hint="eastAsia" w:ascii="宋体" w:hAnsi="宋体" w:eastAsia="宋体" w:cs="宋体"/>
                <w:color w:val="auto"/>
                <w:highlight w:val="none"/>
                <w:vertAlign w:val="baseline"/>
                <w:lang w:val="en-US" w:eastAsia="zh-CN"/>
              </w:rPr>
            </w:pPr>
          </w:p>
        </w:tc>
        <w:tc>
          <w:tcPr>
            <w:tcW w:w="1073" w:type="dxa"/>
            <w:vAlign w:val="center"/>
          </w:tcPr>
          <w:p w14:paraId="46034D70">
            <w:pPr>
              <w:bidi w:val="0"/>
              <w:jc w:val="center"/>
              <w:rPr>
                <w:rFonts w:hint="eastAsia" w:ascii="宋体" w:hAnsi="宋体" w:eastAsia="宋体" w:cs="宋体"/>
                <w:color w:val="auto"/>
                <w:highlight w:val="none"/>
                <w:vertAlign w:val="baseline"/>
                <w:lang w:val="en-US" w:eastAsia="zh-CN"/>
              </w:rPr>
            </w:pPr>
          </w:p>
        </w:tc>
        <w:tc>
          <w:tcPr>
            <w:tcW w:w="1455" w:type="dxa"/>
            <w:vAlign w:val="center"/>
          </w:tcPr>
          <w:p w14:paraId="08C7948E">
            <w:pPr>
              <w:bidi w:val="0"/>
              <w:jc w:val="center"/>
              <w:rPr>
                <w:rFonts w:hint="eastAsia" w:ascii="宋体" w:hAnsi="宋体" w:eastAsia="宋体" w:cs="宋体"/>
                <w:color w:val="auto"/>
                <w:highlight w:val="none"/>
                <w:vertAlign w:val="baseline"/>
                <w:lang w:val="en-US" w:eastAsia="zh-CN"/>
              </w:rPr>
            </w:pPr>
          </w:p>
        </w:tc>
        <w:tc>
          <w:tcPr>
            <w:tcW w:w="691" w:type="dxa"/>
            <w:vAlign w:val="center"/>
          </w:tcPr>
          <w:p w14:paraId="5162D67F">
            <w:pPr>
              <w:bidi w:val="0"/>
              <w:jc w:val="center"/>
              <w:rPr>
                <w:rFonts w:hint="eastAsia" w:ascii="宋体" w:hAnsi="宋体" w:eastAsia="宋体" w:cs="宋体"/>
                <w:color w:val="auto"/>
                <w:highlight w:val="none"/>
                <w:vertAlign w:val="baseline"/>
                <w:lang w:val="en-US" w:eastAsia="zh-CN"/>
              </w:rPr>
            </w:pPr>
          </w:p>
        </w:tc>
      </w:tr>
      <w:tr w14:paraId="4BB16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822" w:type="dxa"/>
            <w:vAlign w:val="center"/>
          </w:tcPr>
          <w:p w14:paraId="27FC4431">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3</w:t>
            </w:r>
          </w:p>
        </w:tc>
        <w:tc>
          <w:tcPr>
            <w:tcW w:w="1322" w:type="dxa"/>
            <w:vAlign w:val="center"/>
          </w:tcPr>
          <w:p w14:paraId="7C2EF1CC">
            <w:pPr>
              <w:bidi w:val="0"/>
              <w:jc w:val="center"/>
              <w:rPr>
                <w:rFonts w:hint="eastAsia" w:ascii="宋体" w:hAnsi="宋体" w:eastAsia="宋体" w:cs="宋体"/>
                <w:color w:val="auto"/>
                <w:highlight w:val="none"/>
                <w:vertAlign w:val="baseline"/>
                <w:lang w:val="en-US" w:eastAsia="zh-CN"/>
              </w:rPr>
            </w:pPr>
          </w:p>
        </w:tc>
        <w:tc>
          <w:tcPr>
            <w:tcW w:w="1072" w:type="dxa"/>
            <w:vAlign w:val="center"/>
          </w:tcPr>
          <w:p w14:paraId="44969E04">
            <w:pPr>
              <w:bidi w:val="0"/>
              <w:jc w:val="center"/>
              <w:rPr>
                <w:rFonts w:hint="eastAsia" w:ascii="宋体" w:hAnsi="宋体" w:eastAsia="宋体" w:cs="宋体"/>
                <w:color w:val="auto"/>
                <w:highlight w:val="none"/>
                <w:vertAlign w:val="baseline"/>
                <w:lang w:val="en-US" w:eastAsia="zh-CN"/>
              </w:rPr>
            </w:pPr>
          </w:p>
        </w:tc>
        <w:tc>
          <w:tcPr>
            <w:tcW w:w="1072" w:type="dxa"/>
            <w:vAlign w:val="center"/>
          </w:tcPr>
          <w:p w14:paraId="08FDA30D">
            <w:pPr>
              <w:bidi w:val="0"/>
              <w:jc w:val="center"/>
              <w:rPr>
                <w:rFonts w:hint="eastAsia" w:ascii="宋体" w:hAnsi="宋体" w:eastAsia="宋体" w:cs="宋体"/>
                <w:color w:val="auto"/>
                <w:highlight w:val="none"/>
                <w:vertAlign w:val="baseline"/>
                <w:lang w:val="en-US" w:eastAsia="zh-CN"/>
              </w:rPr>
            </w:pPr>
          </w:p>
        </w:tc>
        <w:tc>
          <w:tcPr>
            <w:tcW w:w="1072" w:type="dxa"/>
            <w:vAlign w:val="center"/>
          </w:tcPr>
          <w:p w14:paraId="38359126">
            <w:pPr>
              <w:bidi w:val="0"/>
              <w:jc w:val="center"/>
              <w:rPr>
                <w:rFonts w:hint="eastAsia" w:ascii="宋体" w:hAnsi="宋体" w:eastAsia="宋体" w:cs="宋体"/>
                <w:color w:val="auto"/>
                <w:highlight w:val="none"/>
                <w:vertAlign w:val="baseline"/>
                <w:lang w:val="en-US" w:eastAsia="zh-CN"/>
              </w:rPr>
            </w:pPr>
          </w:p>
        </w:tc>
        <w:tc>
          <w:tcPr>
            <w:tcW w:w="1073" w:type="dxa"/>
            <w:vAlign w:val="center"/>
          </w:tcPr>
          <w:p w14:paraId="6416D07B">
            <w:pPr>
              <w:bidi w:val="0"/>
              <w:jc w:val="center"/>
              <w:rPr>
                <w:rFonts w:hint="eastAsia" w:ascii="宋体" w:hAnsi="宋体" w:eastAsia="宋体" w:cs="宋体"/>
                <w:color w:val="auto"/>
                <w:highlight w:val="none"/>
                <w:vertAlign w:val="baseline"/>
                <w:lang w:val="en-US" w:eastAsia="zh-CN"/>
              </w:rPr>
            </w:pPr>
          </w:p>
        </w:tc>
        <w:tc>
          <w:tcPr>
            <w:tcW w:w="1073" w:type="dxa"/>
            <w:vAlign w:val="center"/>
          </w:tcPr>
          <w:p w14:paraId="5CE84DE4">
            <w:pPr>
              <w:bidi w:val="0"/>
              <w:jc w:val="center"/>
              <w:rPr>
                <w:rFonts w:hint="eastAsia" w:ascii="宋体" w:hAnsi="宋体" w:eastAsia="宋体" w:cs="宋体"/>
                <w:color w:val="auto"/>
                <w:highlight w:val="none"/>
                <w:vertAlign w:val="baseline"/>
                <w:lang w:val="en-US" w:eastAsia="zh-CN"/>
              </w:rPr>
            </w:pPr>
          </w:p>
        </w:tc>
        <w:tc>
          <w:tcPr>
            <w:tcW w:w="1455" w:type="dxa"/>
            <w:vAlign w:val="center"/>
          </w:tcPr>
          <w:p w14:paraId="17155E52">
            <w:pPr>
              <w:bidi w:val="0"/>
              <w:jc w:val="center"/>
              <w:rPr>
                <w:rFonts w:hint="eastAsia" w:ascii="宋体" w:hAnsi="宋体" w:eastAsia="宋体" w:cs="宋体"/>
                <w:color w:val="auto"/>
                <w:highlight w:val="none"/>
                <w:vertAlign w:val="baseline"/>
                <w:lang w:val="en-US" w:eastAsia="zh-CN"/>
              </w:rPr>
            </w:pPr>
          </w:p>
        </w:tc>
        <w:tc>
          <w:tcPr>
            <w:tcW w:w="691" w:type="dxa"/>
            <w:vAlign w:val="center"/>
          </w:tcPr>
          <w:p w14:paraId="08DEE872">
            <w:pPr>
              <w:bidi w:val="0"/>
              <w:jc w:val="center"/>
              <w:rPr>
                <w:rFonts w:hint="eastAsia" w:ascii="宋体" w:hAnsi="宋体" w:eastAsia="宋体" w:cs="宋体"/>
                <w:color w:val="auto"/>
                <w:highlight w:val="none"/>
                <w:vertAlign w:val="baseline"/>
                <w:lang w:val="en-US" w:eastAsia="zh-CN"/>
              </w:rPr>
            </w:pPr>
          </w:p>
        </w:tc>
      </w:tr>
      <w:tr w14:paraId="0EA01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822" w:type="dxa"/>
            <w:vAlign w:val="center"/>
          </w:tcPr>
          <w:p w14:paraId="741AC207">
            <w:pPr>
              <w:bidi w:val="0"/>
              <w:jc w:val="center"/>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w:t>
            </w:r>
          </w:p>
        </w:tc>
        <w:tc>
          <w:tcPr>
            <w:tcW w:w="1322" w:type="dxa"/>
            <w:vAlign w:val="center"/>
          </w:tcPr>
          <w:p w14:paraId="3574FACE">
            <w:pPr>
              <w:bidi w:val="0"/>
              <w:jc w:val="center"/>
              <w:rPr>
                <w:rFonts w:hint="eastAsia" w:ascii="宋体" w:hAnsi="宋体" w:eastAsia="宋体" w:cs="宋体"/>
                <w:color w:val="auto"/>
                <w:highlight w:val="none"/>
                <w:vertAlign w:val="baseline"/>
                <w:lang w:val="en-US" w:eastAsia="zh-CN"/>
              </w:rPr>
            </w:pPr>
          </w:p>
        </w:tc>
        <w:tc>
          <w:tcPr>
            <w:tcW w:w="1072" w:type="dxa"/>
            <w:vAlign w:val="center"/>
          </w:tcPr>
          <w:p w14:paraId="2E010E37">
            <w:pPr>
              <w:bidi w:val="0"/>
              <w:jc w:val="center"/>
              <w:rPr>
                <w:rFonts w:hint="eastAsia" w:ascii="宋体" w:hAnsi="宋体" w:eastAsia="宋体" w:cs="宋体"/>
                <w:color w:val="auto"/>
                <w:highlight w:val="none"/>
                <w:vertAlign w:val="baseline"/>
                <w:lang w:val="en-US" w:eastAsia="zh-CN"/>
              </w:rPr>
            </w:pPr>
          </w:p>
        </w:tc>
        <w:tc>
          <w:tcPr>
            <w:tcW w:w="1072" w:type="dxa"/>
            <w:vAlign w:val="center"/>
          </w:tcPr>
          <w:p w14:paraId="77D76530">
            <w:pPr>
              <w:bidi w:val="0"/>
              <w:jc w:val="center"/>
              <w:rPr>
                <w:rFonts w:hint="eastAsia" w:ascii="宋体" w:hAnsi="宋体" w:eastAsia="宋体" w:cs="宋体"/>
                <w:color w:val="auto"/>
                <w:highlight w:val="none"/>
                <w:vertAlign w:val="baseline"/>
                <w:lang w:val="en-US" w:eastAsia="zh-CN"/>
              </w:rPr>
            </w:pPr>
          </w:p>
        </w:tc>
        <w:tc>
          <w:tcPr>
            <w:tcW w:w="1072" w:type="dxa"/>
            <w:vAlign w:val="center"/>
          </w:tcPr>
          <w:p w14:paraId="485BF523">
            <w:pPr>
              <w:bidi w:val="0"/>
              <w:jc w:val="center"/>
              <w:rPr>
                <w:rFonts w:hint="eastAsia" w:ascii="宋体" w:hAnsi="宋体" w:eastAsia="宋体" w:cs="宋体"/>
                <w:color w:val="auto"/>
                <w:highlight w:val="none"/>
                <w:vertAlign w:val="baseline"/>
                <w:lang w:val="en-US" w:eastAsia="zh-CN"/>
              </w:rPr>
            </w:pPr>
          </w:p>
        </w:tc>
        <w:tc>
          <w:tcPr>
            <w:tcW w:w="1073" w:type="dxa"/>
            <w:vAlign w:val="center"/>
          </w:tcPr>
          <w:p w14:paraId="2C954A85">
            <w:pPr>
              <w:bidi w:val="0"/>
              <w:jc w:val="center"/>
              <w:rPr>
                <w:rFonts w:hint="eastAsia" w:ascii="宋体" w:hAnsi="宋体" w:eastAsia="宋体" w:cs="宋体"/>
                <w:color w:val="auto"/>
                <w:highlight w:val="none"/>
                <w:vertAlign w:val="baseline"/>
                <w:lang w:val="en-US" w:eastAsia="zh-CN"/>
              </w:rPr>
            </w:pPr>
          </w:p>
        </w:tc>
        <w:tc>
          <w:tcPr>
            <w:tcW w:w="1073" w:type="dxa"/>
            <w:vAlign w:val="center"/>
          </w:tcPr>
          <w:p w14:paraId="78A7B019">
            <w:pPr>
              <w:bidi w:val="0"/>
              <w:jc w:val="center"/>
              <w:rPr>
                <w:rFonts w:hint="eastAsia" w:ascii="宋体" w:hAnsi="宋体" w:eastAsia="宋体" w:cs="宋体"/>
                <w:color w:val="auto"/>
                <w:highlight w:val="none"/>
                <w:vertAlign w:val="baseline"/>
                <w:lang w:val="en-US" w:eastAsia="zh-CN"/>
              </w:rPr>
            </w:pPr>
          </w:p>
        </w:tc>
        <w:tc>
          <w:tcPr>
            <w:tcW w:w="1455" w:type="dxa"/>
            <w:vAlign w:val="center"/>
          </w:tcPr>
          <w:p w14:paraId="7007EE5B">
            <w:pPr>
              <w:bidi w:val="0"/>
              <w:jc w:val="center"/>
              <w:rPr>
                <w:rFonts w:hint="eastAsia" w:ascii="宋体" w:hAnsi="宋体" w:eastAsia="宋体" w:cs="宋体"/>
                <w:color w:val="auto"/>
                <w:highlight w:val="none"/>
                <w:vertAlign w:val="baseline"/>
                <w:lang w:val="en-US" w:eastAsia="zh-CN"/>
              </w:rPr>
            </w:pPr>
          </w:p>
        </w:tc>
        <w:tc>
          <w:tcPr>
            <w:tcW w:w="691" w:type="dxa"/>
            <w:vAlign w:val="center"/>
          </w:tcPr>
          <w:p w14:paraId="45447651">
            <w:pPr>
              <w:bidi w:val="0"/>
              <w:jc w:val="center"/>
              <w:rPr>
                <w:rFonts w:hint="eastAsia" w:ascii="宋体" w:hAnsi="宋体" w:eastAsia="宋体" w:cs="宋体"/>
                <w:color w:val="auto"/>
                <w:highlight w:val="none"/>
                <w:vertAlign w:val="baseline"/>
                <w:lang w:val="en-US" w:eastAsia="zh-CN"/>
              </w:rPr>
            </w:pPr>
          </w:p>
        </w:tc>
      </w:tr>
    </w:tbl>
    <w:p w14:paraId="089AA43F">
      <w:pPr>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注：类似业绩证明材料为：合同或成交通知书或业主证明材料。</w:t>
      </w:r>
    </w:p>
    <w:p w14:paraId="6260B689">
      <w:pPr>
        <w:rPr>
          <w:rFonts w:hint="eastAsia" w:ascii="宋体" w:hAnsi="宋体" w:eastAsia="宋体" w:cs="宋体"/>
          <w:color w:val="auto"/>
          <w:highlight w:val="none"/>
        </w:rPr>
      </w:pPr>
    </w:p>
    <w:p w14:paraId="7F8C2DE2">
      <w:pPr>
        <w:spacing w:before="312" w:beforeLines="100" w:line="360" w:lineRule="auto"/>
        <w:ind w:firstLine="2" w:firstLineChars="1"/>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供应商：  </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u w:val="none"/>
        </w:rPr>
        <w:t>（电子签章）</w:t>
      </w:r>
    </w:p>
    <w:p w14:paraId="3C35CF01">
      <w:pPr>
        <w:spacing w:line="360" w:lineRule="auto"/>
        <w:ind w:firstLine="2" w:firstLineChars="1"/>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法定代表人(单位负责人)或其委托代理人</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u w:val="none"/>
        </w:rPr>
        <w:t>（电子签章）</w:t>
      </w:r>
    </w:p>
    <w:p w14:paraId="7C58F672">
      <w:pPr>
        <w:spacing w:line="360" w:lineRule="auto"/>
        <w:ind w:firstLine="2" w:firstLineChars="1"/>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日    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日</w:t>
      </w:r>
    </w:p>
    <w:p w14:paraId="3EDAC266">
      <w:pPr>
        <w:rPr>
          <w:rFonts w:hint="eastAsia" w:ascii="宋体" w:hAnsi="宋体" w:eastAsia="宋体" w:cs="宋体"/>
          <w:color w:val="auto"/>
          <w:highlight w:val="none"/>
        </w:rPr>
      </w:pPr>
    </w:p>
    <w:p w14:paraId="78B1746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69FA42C">
      <w:pPr>
        <w:pStyle w:val="4"/>
        <w:bidi w:val="0"/>
        <w:rPr>
          <w:rFonts w:hint="eastAsia" w:ascii="宋体" w:hAnsi="宋体" w:eastAsia="宋体" w:cs="宋体"/>
          <w:color w:val="auto"/>
          <w:highlight w:val="none"/>
        </w:rPr>
      </w:pPr>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w:t>
      </w:r>
      <w:bookmarkStart w:id="463" w:name="_Toc27902"/>
      <w:r>
        <w:rPr>
          <w:rFonts w:hint="eastAsia" w:ascii="宋体" w:hAnsi="宋体" w:eastAsia="宋体" w:cs="宋体"/>
          <w:color w:val="auto"/>
          <w:highlight w:val="none"/>
        </w:rPr>
        <w:t>构成</w:t>
      </w:r>
      <w:r>
        <w:rPr>
          <w:rFonts w:hint="eastAsia" w:ascii="宋体" w:hAnsi="宋体" w:eastAsia="宋体" w:cs="宋体"/>
          <w:color w:val="auto"/>
          <w:highlight w:val="none"/>
          <w:lang w:val="en-US" w:eastAsia="zh-CN"/>
        </w:rPr>
        <w:t>商务</w:t>
      </w:r>
      <w:r>
        <w:rPr>
          <w:rFonts w:hint="eastAsia" w:ascii="宋体" w:hAnsi="宋体" w:eastAsia="宋体" w:cs="宋体"/>
          <w:color w:val="auto"/>
          <w:highlight w:val="none"/>
        </w:rPr>
        <w:t>文件的其他资料（如有）</w:t>
      </w:r>
      <w:bookmarkEnd w:id="462"/>
      <w:bookmarkEnd w:id="463"/>
    </w:p>
    <w:p w14:paraId="45292BC6">
      <w:pPr>
        <w:jc w:val="center"/>
        <w:rPr>
          <w:rFonts w:hint="eastAsia" w:ascii="宋体" w:hAnsi="宋体" w:eastAsia="宋体" w:cs="宋体"/>
          <w:color w:val="auto"/>
          <w:highlight w:val="none"/>
        </w:rPr>
      </w:pPr>
      <w:r>
        <w:rPr>
          <w:rFonts w:hint="eastAsia" w:ascii="宋体" w:hAnsi="宋体" w:eastAsia="宋体" w:cs="宋体"/>
          <w:color w:val="auto"/>
          <w:highlight w:val="none"/>
        </w:rPr>
        <w:t>此部分格式自拟；</w:t>
      </w:r>
    </w:p>
    <w:p w14:paraId="0F7DAC61">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4264592">
      <w:pPr>
        <w:pStyle w:val="3"/>
        <w:ind w:left="0" w:firstLine="0"/>
        <w:jc w:val="center"/>
        <w:rPr>
          <w:rFonts w:hint="eastAsia" w:ascii="宋体" w:hAnsi="宋体" w:eastAsia="宋体" w:cs="宋体"/>
          <w:color w:val="auto"/>
          <w:highlight w:val="none"/>
        </w:rPr>
      </w:pPr>
      <w:bookmarkStart w:id="464" w:name="_Toc5268"/>
      <w:r>
        <w:rPr>
          <w:rFonts w:hint="eastAsia" w:ascii="宋体" w:hAnsi="宋体" w:eastAsia="宋体" w:cs="宋体"/>
          <w:color w:val="auto"/>
          <w:highlight w:val="none"/>
        </w:rPr>
        <w:t>三、</w:t>
      </w:r>
      <w:bookmarkEnd w:id="460"/>
      <w:r>
        <w:rPr>
          <w:rFonts w:hint="eastAsia" w:ascii="宋体" w:hAnsi="宋体" w:eastAsia="宋体" w:cs="宋体"/>
          <w:color w:val="auto"/>
          <w:highlight w:val="none"/>
        </w:rPr>
        <w:t>技术部分</w:t>
      </w:r>
      <w:bookmarkEnd w:id="464"/>
    </w:p>
    <w:p w14:paraId="05013011">
      <w:pPr>
        <w:pStyle w:val="4"/>
        <w:bidi w:val="0"/>
        <w:rPr>
          <w:rFonts w:hint="eastAsia" w:ascii="宋体" w:hAnsi="宋体" w:eastAsia="宋体" w:cs="宋体"/>
          <w:color w:val="auto"/>
          <w:highlight w:val="none"/>
        </w:rPr>
      </w:pPr>
      <w:bookmarkStart w:id="465" w:name="_Toc5824"/>
      <w:bookmarkStart w:id="466" w:name="_Toc24377"/>
      <w:r>
        <w:rPr>
          <w:rFonts w:hint="eastAsia" w:ascii="宋体" w:hAnsi="宋体" w:eastAsia="宋体" w:cs="宋体"/>
          <w:color w:val="auto"/>
          <w:highlight w:val="none"/>
          <w:lang w:val="en-US" w:eastAsia="zh-CN"/>
        </w:rPr>
        <w:t>格式1：</w:t>
      </w:r>
      <w:r>
        <w:rPr>
          <w:rFonts w:hint="eastAsia" w:ascii="宋体" w:hAnsi="宋体" w:eastAsia="宋体" w:cs="宋体"/>
          <w:color w:val="auto"/>
          <w:highlight w:val="none"/>
        </w:rPr>
        <w:t>技术规格偏离表（货物技术参数评审）</w:t>
      </w:r>
      <w:bookmarkEnd w:id="465"/>
      <w:bookmarkEnd w:id="466"/>
    </w:p>
    <w:p w14:paraId="2F241533">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请按投标服务的实际技术要求，逐条对应招标文件的“</w:t>
      </w:r>
      <w:r>
        <w:rPr>
          <w:rFonts w:hint="eastAsia" w:ascii="宋体" w:hAnsi="宋体" w:eastAsia="宋体" w:cs="宋体"/>
          <w:b/>
          <w:color w:val="auto"/>
          <w:highlight w:val="none"/>
        </w:rPr>
        <w:t>招标需求及技术要求</w:t>
      </w:r>
      <w:r>
        <w:rPr>
          <w:rFonts w:hint="eastAsia" w:ascii="宋体" w:hAnsi="宋体" w:eastAsia="宋体" w:cs="宋体"/>
          <w:color w:val="auto"/>
          <w:highlight w:val="none"/>
        </w:rPr>
        <w:t>”中要求的技术规范认真填写该表。</w:t>
      </w:r>
    </w:p>
    <w:p w14:paraId="423F711F">
      <w:pPr>
        <w:pStyle w:val="9"/>
        <w:ind w:firstLine="482" w:firstLineChars="200"/>
        <w:rPr>
          <w:rFonts w:hint="eastAsia" w:ascii="宋体" w:hAnsi="宋体" w:eastAsia="宋体" w:cs="宋体"/>
          <w:color w:val="auto"/>
          <w:highlight w:val="none"/>
        </w:rPr>
      </w:pPr>
      <w:r>
        <w:rPr>
          <w:rFonts w:hint="eastAsia" w:ascii="宋体" w:hAnsi="宋体" w:eastAsia="宋体" w:cs="宋体"/>
          <w:b/>
          <w:bCs/>
          <w:color w:val="auto"/>
          <w:highlight w:val="none"/>
        </w:rPr>
        <w:t>★未填写本表格的</w:t>
      </w:r>
      <w:r>
        <w:rPr>
          <w:rFonts w:hint="eastAsia" w:ascii="宋体" w:hAnsi="宋体" w:eastAsia="宋体" w:cs="宋体"/>
          <w:b/>
          <w:bCs/>
          <w:color w:val="auto"/>
          <w:highlight w:val="none"/>
          <w:lang w:eastAsia="zh-CN"/>
        </w:rPr>
        <w:t>供应商</w:t>
      </w:r>
      <w:r>
        <w:rPr>
          <w:rFonts w:hint="eastAsia" w:ascii="宋体" w:hAnsi="宋体" w:eastAsia="宋体" w:cs="宋体"/>
          <w:b/>
          <w:bCs/>
          <w:color w:val="auto"/>
          <w:highlight w:val="none"/>
        </w:rPr>
        <w:t>将不能通过符合性审查。</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2"/>
        <w:gridCol w:w="1160"/>
        <w:gridCol w:w="2271"/>
        <w:gridCol w:w="1650"/>
        <w:gridCol w:w="885"/>
        <w:gridCol w:w="1155"/>
        <w:gridCol w:w="1457"/>
      </w:tblGrid>
      <w:tr w14:paraId="5C51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jc w:val="center"/>
        </w:trPr>
        <w:tc>
          <w:tcPr>
            <w:tcW w:w="9740" w:type="dxa"/>
            <w:gridSpan w:val="7"/>
            <w:tcBorders>
              <w:top w:val="single" w:color="auto" w:sz="4" w:space="0"/>
              <w:left w:val="single" w:color="auto" w:sz="4" w:space="0"/>
              <w:bottom w:val="single" w:color="auto" w:sz="4" w:space="0"/>
              <w:right w:val="single" w:color="auto" w:sz="4" w:space="0"/>
            </w:tcBorders>
            <w:vAlign w:val="center"/>
          </w:tcPr>
          <w:p w14:paraId="2F518DD1">
            <w:pPr>
              <w:jc w:val="center"/>
              <w:rPr>
                <w:rFonts w:hint="eastAsia" w:ascii="宋体" w:hAnsi="宋体" w:eastAsia="宋体" w:cs="宋体"/>
                <w:b/>
                <w:color w:val="auto"/>
                <w:sz w:val="20"/>
                <w:highlight w:val="none"/>
              </w:rPr>
            </w:pPr>
            <w:r>
              <w:rPr>
                <w:rFonts w:hint="eastAsia" w:ascii="宋体" w:hAnsi="宋体" w:eastAsia="宋体" w:cs="宋体"/>
                <w:b/>
                <w:color w:val="auto"/>
                <w:highlight w:val="none"/>
              </w:rPr>
              <w:t>技术参数明细一览</w:t>
            </w:r>
          </w:p>
        </w:tc>
      </w:tr>
      <w:tr w14:paraId="55838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1162" w:type="dxa"/>
            <w:tcBorders>
              <w:top w:val="single" w:color="auto" w:sz="4" w:space="0"/>
              <w:left w:val="single" w:color="auto" w:sz="4" w:space="0"/>
              <w:bottom w:val="single" w:color="auto" w:sz="4" w:space="0"/>
              <w:right w:val="single" w:color="auto" w:sz="4" w:space="0"/>
            </w:tcBorders>
            <w:vAlign w:val="center"/>
          </w:tcPr>
          <w:p w14:paraId="13A1087A">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序号</w:t>
            </w:r>
          </w:p>
        </w:tc>
        <w:tc>
          <w:tcPr>
            <w:tcW w:w="1160" w:type="dxa"/>
            <w:tcBorders>
              <w:top w:val="single" w:color="auto" w:sz="4" w:space="0"/>
              <w:left w:val="single" w:color="auto" w:sz="4" w:space="0"/>
              <w:bottom w:val="single" w:color="auto" w:sz="4" w:space="0"/>
              <w:right w:val="single" w:color="auto" w:sz="4" w:space="0"/>
            </w:tcBorders>
            <w:vAlign w:val="center"/>
          </w:tcPr>
          <w:p w14:paraId="77D15D8C">
            <w:pPr>
              <w:jc w:val="center"/>
              <w:rPr>
                <w:rFonts w:hint="eastAsia" w:ascii="宋体" w:hAnsi="宋体" w:eastAsia="宋体" w:cs="宋体"/>
                <w:b/>
                <w:bCs/>
                <w:color w:val="auto"/>
                <w:sz w:val="20"/>
                <w:highlight w:val="none"/>
                <w:lang w:val="en-US" w:eastAsia="zh-CN"/>
              </w:rPr>
            </w:pPr>
            <w:r>
              <w:rPr>
                <w:rFonts w:hint="eastAsia" w:ascii="宋体" w:hAnsi="宋体" w:eastAsia="宋体" w:cs="宋体"/>
                <w:b/>
                <w:bCs/>
                <w:color w:val="auto"/>
                <w:sz w:val="20"/>
                <w:highlight w:val="none"/>
                <w:lang w:val="en-US" w:eastAsia="zh-CN"/>
              </w:rPr>
              <w:t>货物名称</w:t>
            </w:r>
          </w:p>
        </w:tc>
        <w:tc>
          <w:tcPr>
            <w:tcW w:w="2271" w:type="dxa"/>
            <w:tcBorders>
              <w:top w:val="single" w:color="auto" w:sz="4" w:space="0"/>
              <w:left w:val="single" w:color="auto" w:sz="4" w:space="0"/>
              <w:bottom w:val="single" w:color="auto" w:sz="4" w:space="0"/>
              <w:right w:val="single" w:color="auto" w:sz="4" w:space="0"/>
            </w:tcBorders>
            <w:vAlign w:val="center"/>
          </w:tcPr>
          <w:p w14:paraId="2664E68A">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招标文件、招标需求</w:t>
            </w:r>
            <w:r>
              <w:rPr>
                <w:rFonts w:hint="eastAsia" w:ascii="宋体" w:hAnsi="宋体" w:eastAsia="宋体" w:cs="宋体"/>
                <w:b/>
                <w:bCs/>
                <w:color w:val="auto"/>
                <w:sz w:val="20"/>
                <w:highlight w:val="none"/>
                <w:lang w:val="en-US" w:eastAsia="zh-CN"/>
              </w:rPr>
              <w:t>货物的</w:t>
            </w:r>
            <w:r>
              <w:rPr>
                <w:rFonts w:hint="eastAsia" w:ascii="宋体" w:hAnsi="宋体" w:eastAsia="宋体" w:cs="宋体"/>
                <w:b/>
                <w:bCs/>
                <w:color w:val="auto"/>
                <w:sz w:val="20"/>
                <w:highlight w:val="none"/>
              </w:rPr>
              <w:t>技术规范、要求</w:t>
            </w:r>
          </w:p>
        </w:tc>
        <w:tc>
          <w:tcPr>
            <w:tcW w:w="1650" w:type="dxa"/>
            <w:tcBorders>
              <w:top w:val="single" w:color="auto" w:sz="4" w:space="0"/>
              <w:left w:val="single" w:color="auto" w:sz="4" w:space="0"/>
              <w:bottom w:val="single" w:color="auto" w:sz="4" w:space="0"/>
              <w:right w:val="single" w:color="auto" w:sz="4" w:space="0"/>
            </w:tcBorders>
            <w:vAlign w:val="center"/>
          </w:tcPr>
          <w:p w14:paraId="2E800F38">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lang w:val="en-US" w:eastAsia="zh-CN"/>
              </w:rPr>
              <w:t>所投标的物的</w:t>
            </w:r>
            <w:r>
              <w:rPr>
                <w:rFonts w:hint="eastAsia" w:ascii="宋体" w:hAnsi="宋体" w:eastAsia="宋体" w:cs="宋体"/>
                <w:b/>
                <w:bCs/>
                <w:color w:val="auto"/>
                <w:sz w:val="20"/>
                <w:highlight w:val="none"/>
              </w:rPr>
              <w:t>技术参数及配置</w:t>
            </w:r>
          </w:p>
        </w:tc>
        <w:tc>
          <w:tcPr>
            <w:tcW w:w="885" w:type="dxa"/>
            <w:tcBorders>
              <w:top w:val="single" w:color="auto" w:sz="4" w:space="0"/>
              <w:left w:val="single" w:color="auto" w:sz="4" w:space="0"/>
              <w:bottom w:val="single" w:color="auto" w:sz="4" w:space="0"/>
              <w:right w:val="single" w:color="auto" w:sz="4" w:space="0"/>
            </w:tcBorders>
            <w:vAlign w:val="center"/>
          </w:tcPr>
          <w:p w14:paraId="47672DE4">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偏离</w:t>
            </w:r>
          </w:p>
        </w:tc>
        <w:tc>
          <w:tcPr>
            <w:tcW w:w="1155" w:type="dxa"/>
            <w:tcBorders>
              <w:top w:val="single" w:color="auto" w:sz="4" w:space="0"/>
              <w:left w:val="single" w:color="auto" w:sz="4" w:space="0"/>
              <w:bottom w:val="single" w:color="auto" w:sz="4" w:space="0"/>
              <w:right w:val="single" w:color="auto" w:sz="4" w:space="0"/>
            </w:tcBorders>
            <w:vAlign w:val="center"/>
          </w:tcPr>
          <w:p w14:paraId="2B51ED03">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说明</w:t>
            </w:r>
          </w:p>
        </w:tc>
        <w:tc>
          <w:tcPr>
            <w:tcW w:w="1457" w:type="dxa"/>
            <w:tcBorders>
              <w:top w:val="single" w:color="auto" w:sz="4" w:space="0"/>
              <w:left w:val="single" w:color="auto" w:sz="4" w:space="0"/>
              <w:bottom w:val="single" w:color="auto" w:sz="4" w:space="0"/>
              <w:right w:val="single" w:color="auto" w:sz="4" w:space="0"/>
            </w:tcBorders>
            <w:vAlign w:val="center"/>
          </w:tcPr>
          <w:p w14:paraId="64BF1838">
            <w:pPr>
              <w:jc w:val="center"/>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技术资料索引</w:t>
            </w:r>
          </w:p>
        </w:tc>
      </w:tr>
      <w:tr w14:paraId="05FA6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1162" w:type="dxa"/>
            <w:tcBorders>
              <w:top w:val="single" w:color="auto" w:sz="4" w:space="0"/>
              <w:left w:val="single" w:color="auto" w:sz="4" w:space="0"/>
              <w:bottom w:val="single" w:color="auto" w:sz="4" w:space="0"/>
              <w:right w:val="single" w:color="auto" w:sz="4" w:space="0"/>
            </w:tcBorders>
            <w:vAlign w:val="center"/>
          </w:tcPr>
          <w:p w14:paraId="041FA321">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1</w:t>
            </w:r>
          </w:p>
        </w:tc>
        <w:tc>
          <w:tcPr>
            <w:tcW w:w="1160" w:type="dxa"/>
            <w:tcBorders>
              <w:top w:val="single" w:color="auto" w:sz="4" w:space="0"/>
              <w:left w:val="single" w:color="auto" w:sz="4" w:space="0"/>
              <w:bottom w:val="single" w:color="auto" w:sz="4" w:space="0"/>
              <w:right w:val="single" w:color="auto" w:sz="4" w:space="0"/>
            </w:tcBorders>
            <w:vAlign w:val="center"/>
          </w:tcPr>
          <w:p w14:paraId="6DBCFE72">
            <w:pPr>
              <w:jc w:val="center"/>
              <w:rPr>
                <w:rFonts w:hint="eastAsia" w:ascii="宋体" w:hAnsi="宋体" w:eastAsia="宋体" w:cs="宋体"/>
                <w:color w:val="auto"/>
                <w:sz w:val="20"/>
                <w:highlight w:val="none"/>
              </w:rPr>
            </w:pPr>
          </w:p>
        </w:tc>
        <w:tc>
          <w:tcPr>
            <w:tcW w:w="2271" w:type="dxa"/>
            <w:tcBorders>
              <w:top w:val="single" w:color="auto" w:sz="4" w:space="0"/>
              <w:left w:val="single" w:color="auto" w:sz="4" w:space="0"/>
              <w:bottom w:val="single" w:color="auto" w:sz="4" w:space="0"/>
              <w:right w:val="single" w:color="auto" w:sz="4" w:space="0"/>
            </w:tcBorders>
            <w:vAlign w:val="center"/>
          </w:tcPr>
          <w:p w14:paraId="219178E2">
            <w:pPr>
              <w:jc w:val="center"/>
              <w:rPr>
                <w:rFonts w:hint="eastAsia" w:ascii="宋体" w:hAnsi="宋体" w:eastAsia="宋体" w:cs="宋体"/>
                <w:color w:val="auto"/>
                <w:sz w:val="20"/>
                <w:highlight w:val="none"/>
              </w:rPr>
            </w:pPr>
          </w:p>
        </w:tc>
        <w:tc>
          <w:tcPr>
            <w:tcW w:w="1650" w:type="dxa"/>
            <w:tcBorders>
              <w:top w:val="single" w:color="auto" w:sz="4" w:space="0"/>
              <w:left w:val="single" w:color="auto" w:sz="4" w:space="0"/>
              <w:bottom w:val="single" w:color="auto" w:sz="4" w:space="0"/>
              <w:right w:val="single" w:color="auto" w:sz="4" w:space="0"/>
            </w:tcBorders>
            <w:vAlign w:val="center"/>
          </w:tcPr>
          <w:p w14:paraId="51A1DA78">
            <w:pPr>
              <w:jc w:val="center"/>
              <w:rPr>
                <w:rFonts w:hint="eastAsia" w:ascii="宋体" w:hAnsi="宋体" w:eastAsia="宋体" w:cs="宋体"/>
                <w:color w:val="auto"/>
                <w:sz w:val="20"/>
                <w:highlight w:val="none"/>
              </w:rPr>
            </w:pPr>
          </w:p>
        </w:tc>
        <w:tc>
          <w:tcPr>
            <w:tcW w:w="885" w:type="dxa"/>
            <w:tcBorders>
              <w:top w:val="single" w:color="auto" w:sz="4" w:space="0"/>
              <w:left w:val="single" w:color="auto" w:sz="4" w:space="0"/>
              <w:bottom w:val="single" w:color="auto" w:sz="4" w:space="0"/>
              <w:right w:val="single" w:color="auto" w:sz="4" w:space="0"/>
            </w:tcBorders>
            <w:vAlign w:val="center"/>
          </w:tcPr>
          <w:p w14:paraId="7C5DDC9A">
            <w:pPr>
              <w:jc w:val="center"/>
              <w:rPr>
                <w:rFonts w:hint="eastAsia" w:ascii="宋体" w:hAnsi="宋体" w:eastAsia="宋体" w:cs="宋体"/>
                <w:color w:val="auto"/>
                <w:sz w:val="20"/>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29D50E36">
            <w:pPr>
              <w:jc w:val="center"/>
              <w:rPr>
                <w:rFonts w:hint="eastAsia" w:ascii="宋体" w:hAnsi="宋体" w:eastAsia="宋体" w:cs="宋体"/>
                <w:color w:val="auto"/>
                <w:sz w:val="20"/>
                <w:highlight w:val="none"/>
              </w:rPr>
            </w:pPr>
          </w:p>
        </w:tc>
        <w:tc>
          <w:tcPr>
            <w:tcW w:w="1457" w:type="dxa"/>
            <w:tcBorders>
              <w:top w:val="single" w:color="auto" w:sz="4" w:space="0"/>
              <w:left w:val="single" w:color="auto" w:sz="4" w:space="0"/>
              <w:bottom w:val="single" w:color="auto" w:sz="4" w:space="0"/>
              <w:right w:val="single" w:color="auto" w:sz="4" w:space="0"/>
            </w:tcBorders>
            <w:vAlign w:val="center"/>
          </w:tcPr>
          <w:p w14:paraId="2A2E3D2C">
            <w:pPr>
              <w:jc w:val="center"/>
              <w:rPr>
                <w:rFonts w:hint="eastAsia" w:ascii="宋体" w:hAnsi="宋体" w:eastAsia="宋体" w:cs="宋体"/>
                <w:color w:val="auto"/>
                <w:sz w:val="20"/>
                <w:highlight w:val="none"/>
                <w:lang w:val="en-US" w:eastAsia="zh-CN"/>
              </w:rPr>
            </w:pPr>
            <w:r>
              <w:rPr>
                <w:rFonts w:hint="eastAsia" w:ascii="宋体" w:hAnsi="宋体" w:eastAsia="宋体" w:cs="宋体"/>
                <w:color w:val="auto"/>
                <w:sz w:val="20"/>
                <w:highlight w:val="none"/>
                <w:lang w:val="en-US" w:eastAsia="zh-CN"/>
              </w:rPr>
              <w:t>Px页-X页</w:t>
            </w:r>
          </w:p>
        </w:tc>
      </w:tr>
      <w:tr w14:paraId="4A9A6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1162" w:type="dxa"/>
            <w:tcBorders>
              <w:top w:val="single" w:color="auto" w:sz="4" w:space="0"/>
              <w:left w:val="single" w:color="auto" w:sz="4" w:space="0"/>
              <w:bottom w:val="single" w:color="auto" w:sz="4" w:space="0"/>
              <w:right w:val="single" w:color="auto" w:sz="4" w:space="0"/>
            </w:tcBorders>
            <w:vAlign w:val="center"/>
          </w:tcPr>
          <w:p w14:paraId="210FEA91">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2</w:t>
            </w:r>
          </w:p>
        </w:tc>
        <w:tc>
          <w:tcPr>
            <w:tcW w:w="1160" w:type="dxa"/>
            <w:tcBorders>
              <w:top w:val="single" w:color="auto" w:sz="4" w:space="0"/>
              <w:left w:val="single" w:color="auto" w:sz="4" w:space="0"/>
              <w:bottom w:val="single" w:color="auto" w:sz="4" w:space="0"/>
              <w:right w:val="single" w:color="auto" w:sz="4" w:space="0"/>
            </w:tcBorders>
            <w:vAlign w:val="center"/>
          </w:tcPr>
          <w:p w14:paraId="19392662">
            <w:pPr>
              <w:jc w:val="center"/>
              <w:rPr>
                <w:rFonts w:hint="eastAsia" w:ascii="宋体" w:hAnsi="宋体" w:eastAsia="宋体" w:cs="宋体"/>
                <w:color w:val="auto"/>
                <w:sz w:val="20"/>
                <w:highlight w:val="none"/>
              </w:rPr>
            </w:pPr>
          </w:p>
        </w:tc>
        <w:tc>
          <w:tcPr>
            <w:tcW w:w="2271" w:type="dxa"/>
            <w:tcBorders>
              <w:top w:val="single" w:color="auto" w:sz="4" w:space="0"/>
              <w:left w:val="single" w:color="auto" w:sz="4" w:space="0"/>
              <w:bottom w:val="single" w:color="auto" w:sz="4" w:space="0"/>
              <w:right w:val="single" w:color="auto" w:sz="4" w:space="0"/>
            </w:tcBorders>
            <w:vAlign w:val="center"/>
          </w:tcPr>
          <w:p w14:paraId="001200E9">
            <w:pPr>
              <w:jc w:val="center"/>
              <w:rPr>
                <w:rFonts w:hint="eastAsia" w:ascii="宋体" w:hAnsi="宋体" w:eastAsia="宋体" w:cs="宋体"/>
                <w:color w:val="auto"/>
                <w:sz w:val="20"/>
                <w:highlight w:val="none"/>
              </w:rPr>
            </w:pPr>
          </w:p>
        </w:tc>
        <w:tc>
          <w:tcPr>
            <w:tcW w:w="1650" w:type="dxa"/>
            <w:tcBorders>
              <w:top w:val="single" w:color="auto" w:sz="4" w:space="0"/>
              <w:left w:val="single" w:color="auto" w:sz="4" w:space="0"/>
              <w:bottom w:val="single" w:color="auto" w:sz="4" w:space="0"/>
              <w:right w:val="single" w:color="auto" w:sz="4" w:space="0"/>
            </w:tcBorders>
            <w:vAlign w:val="center"/>
          </w:tcPr>
          <w:p w14:paraId="20E03EDB">
            <w:pPr>
              <w:jc w:val="center"/>
              <w:rPr>
                <w:rFonts w:hint="eastAsia" w:ascii="宋体" w:hAnsi="宋体" w:eastAsia="宋体" w:cs="宋体"/>
                <w:color w:val="auto"/>
                <w:sz w:val="20"/>
                <w:highlight w:val="none"/>
              </w:rPr>
            </w:pPr>
          </w:p>
        </w:tc>
        <w:tc>
          <w:tcPr>
            <w:tcW w:w="885" w:type="dxa"/>
            <w:tcBorders>
              <w:top w:val="single" w:color="auto" w:sz="4" w:space="0"/>
              <w:left w:val="single" w:color="auto" w:sz="4" w:space="0"/>
              <w:bottom w:val="single" w:color="auto" w:sz="4" w:space="0"/>
              <w:right w:val="single" w:color="auto" w:sz="4" w:space="0"/>
            </w:tcBorders>
            <w:vAlign w:val="center"/>
          </w:tcPr>
          <w:p w14:paraId="2A362BC0">
            <w:pPr>
              <w:jc w:val="center"/>
              <w:rPr>
                <w:rFonts w:hint="eastAsia" w:ascii="宋体" w:hAnsi="宋体" w:eastAsia="宋体" w:cs="宋体"/>
                <w:color w:val="auto"/>
                <w:sz w:val="20"/>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73592A7E">
            <w:pPr>
              <w:jc w:val="center"/>
              <w:rPr>
                <w:rFonts w:hint="eastAsia" w:ascii="宋体" w:hAnsi="宋体" w:eastAsia="宋体" w:cs="宋体"/>
                <w:color w:val="auto"/>
                <w:sz w:val="20"/>
                <w:highlight w:val="none"/>
              </w:rPr>
            </w:pPr>
          </w:p>
        </w:tc>
        <w:tc>
          <w:tcPr>
            <w:tcW w:w="1457" w:type="dxa"/>
            <w:tcBorders>
              <w:top w:val="single" w:color="auto" w:sz="4" w:space="0"/>
              <w:left w:val="single" w:color="auto" w:sz="4" w:space="0"/>
              <w:bottom w:val="single" w:color="auto" w:sz="4" w:space="0"/>
              <w:right w:val="single" w:color="auto" w:sz="4" w:space="0"/>
            </w:tcBorders>
            <w:vAlign w:val="center"/>
          </w:tcPr>
          <w:p w14:paraId="22E3C8B5">
            <w:pPr>
              <w:jc w:val="center"/>
              <w:rPr>
                <w:rFonts w:hint="eastAsia" w:ascii="宋体" w:hAnsi="宋体" w:eastAsia="宋体" w:cs="宋体"/>
                <w:color w:val="auto"/>
                <w:sz w:val="20"/>
                <w:highlight w:val="none"/>
              </w:rPr>
            </w:pPr>
          </w:p>
        </w:tc>
      </w:tr>
      <w:tr w14:paraId="03A9F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1162" w:type="dxa"/>
            <w:tcBorders>
              <w:top w:val="single" w:color="auto" w:sz="4" w:space="0"/>
              <w:left w:val="single" w:color="auto" w:sz="4" w:space="0"/>
              <w:bottom w:val="single" w:color="auto" w:sz="4" w:space="0"/>
              <w:right w:val="single" w:color="auto" w:sz="4" w:space="0"/>
            </w:tcBorders>
            <w:vAlign w:val="center"/>
          </w:tcPr>
          <w:p w14:paraId="4AF16D50">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w:t>
            </w:r>
          </w:p>
        </w:tc>
        <w:tc>
          <w:tcPr>
            <w:tcW w:w="1160" w:type="dxa"/>
            <w:tcBorders>
              <w:top w:val="single" w:color="auto" w:sz="4" w:space="0"/>
              <w:left w:val="single" w:color="auto" w:sz="4" w:space="0"/>
              <w:bottom w:val="single" w:color="auto" w:sz="4" w:space="0"/>
              <w:right w:val="single" w:color="auto" w:sz="4" w:space="0"/>
            </w:tcBorders>
            <w:vAlign w:val="center"/>
          </w:tcPr>
          <w:p w14:paraId="193D2230">
            <w:pPr>
              <w:jc w:val="center"/>
              <w:rPr>
                <w:rFonts w:hint="eastAsia" w:ascii="宋体" w:hAnsi="宋体" w:eastAsia="宋体" w:cs="宋体"/>
                <w:color w:val="auto"/>
                <w:sz w:val="20"/>
                <w:highlight w:val="none"/>
              </w:rPr>
            </w:pPr>
          </w:p>
        </w:tc>
        <w:tc>
          <w:tcPr>
            <w:tcW w:w="2271" w:type="dxa"/>
            <w:tcBorders>
              <w:top w:val="single" w:color="auto" w:sz="4" w:space="0"/>
              <w:left w:val="single" w:color="auto" w:sz="4" w:space="0"/>
              <w:bottom w:val="single" w:color="auto" w:sz="4" w:space="0"/>
              <w:right w:val="single" w:color="auto" w:sz="4" w:space="0"/>
            </w:tcBorders>
            <w:vAlign w:val="center"/>
          </w:tcPr>
          <w:p w14:paraId="118AFB0B">
            <w:pPr>
              <w:jc w:val="center"/>
              <w:rPr>
                <w:rFonts w:hint="eastAsia" w:ascii="宋体" w:hAnsi="宋体" w:eastAsia="宋体" w:cs="宋体"/>
                <w:color w:val="auto"/>
                <w:sz w:val="20"/>
                <w:highlight w:val="none"/>
              </w:rPr>
            </w:pPr>
          </w:p>
        </w:tc>
        <w:tc>
          <w:tcPr>
            <w:tcW w:w="1650" w:type="dxa"/>
            <w:tcBorders>
              <w:top w:val="single" w:color="auto" w:sz="4" w:space="0"/>
              <w:left w:val="single" w:color="auto" w:sz="4" w:space="0"/>
              <w:bottom w:val="single" w:color="auto" w:sz="4" w:space="0"/>
              <w:right w:val="single" w:color="auto" w:sz="4" w:space="0"/>
            </w:tcBorders>
            <w:vAlign w:val="center"/>
          </w:tcPr>
          <w:p w14:paraId="6823E6A3">
            <w:pPr>
              <w:jc w:val="center"/>
              <w:rPr>
                <w:rFonts w:hint="eastAsia" w:ascii="宋体" w:hAnsi="宋体" w:eastAsia="宋体" w:cs="宋体"/>
                <w:color w:val="auto"/>
                <w:sz w:val="20"/>
                <w:highlight w:val="none"/>
              </w:rPr>
            </w:pPr>
          </w:p>
        </w:tc>
        <w:tc>
          <w:tcPr>
            <w:tcW w:w="885" w:type="dxa"/>
            <w:tcBorders>
              <w:top w:val="single" w:color="auto" w:sz="4" w:space="0"/>
              <w:left w:val="single" w:color="auto" w:sz="4" w:space="0"/>
              <w:bottom w:val="single" w:color="auto" w:sz="4" w:space="0"/>
              <w:right w:val="single" w:color="auto" w:sz="4" w:space="0"/>
            </w:tcBorders>
            <w:vAlign w:val="center"/>
          </w:tcPr>
          <w:p w14:paraId="0B0E4F02">
            <w:pPr>
              <w:jc w:val="center"/>
              <w:rPr>
                <w:rFonts w:hint="eastAsia" w:ascii="宋体" w:hAnsi="宋体" w:eastAsia="宋体" w:cs="宋体"/>
                <w:color w:val="auto"/>
                <w:sz w:val="20"/>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2473FE01">
            <w:pPr>
              <w:jc w:val="center"/>
              <w:rPr>
                <w:rFonts w:hint="eastAsia" w:ascii="宋体" w:hAnsi="宋体" w:eastAsia="宋体" w:cs="宋体"/>
                <w:color w:val="auto"/>
                <w:sz w:val="20"/>
                <w:highlight w:val="none"/>
              </w:rPr>
            </w:pPr>
          </w:p>
        </w:tc>
        <w:tc>
          <w:tcPr>
            <w:tcW w:w="1457" w:type="dxa"/>
            <w:tcBorders>
              <w:top w:val="single" w:color="auto" w:sz="4" w:space="0"/>
              <w:left w:val="single" w:color="auto" w:sz="4" w:space="0"/>
              <w:bottom w:val="single" w:color="auto" w:sz="4" w:space="0"/>
              <w:right w:val="single" w:color="auto" w:sz="4" w:space="0"/>
            </w:tcBorders>
            <w:vAlign w:val="center"/>
          </w:tcPr>
          <w:p w14:paraId="2C3A8796">
            <w:pPr>
              <w:jc w:val="center"/>
              <w:rPr>
                <w:rFonts w:hint="eastAsia" w:ascii="宋体" w:hAnsi="宋体" w:eastAsia="宋体" w:cs="宋体"/>
                <w:color w:val="auto"/>
                <w:sz w:val="20"/>
                <w:highlight w:val="none"/>
              </w:rPr>
            </w:pPr>
          </w:p>
        </w:tc>
      </w:tr>
      <w:tr w14:paraId="34A38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1162" w:type="dxa"/>
            <w:tcBorders>
              <w:top w:val="single" w:color="auto" w:sz="4" w:space="0"/>
              <w:left w:val="single" w:color="auto" w:sz="4" w:space="0"/>
              <w:bottom w:val="single" w:color="auto" w:sz="4" w:space="0"/>
              <w:right w:val="single" w:color="auto" w:sz="4" w:space="0"/>
            </w:tcBorders>
            <w:vAlign w:val="center"/>
          </w:tcPr>
          <w:p w14:paraId="1BE28FC5">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w:t>
            </w:r>
          </w:p>
        </w:tc>
        <w:tc>
          <w:tcPr>
            <w:tcW w:w="1160" w:type="dxa"/>
            <w:tcBorders>
              <w:top w:val="single" w:color="auto" w:sz="4" w:space="0"/>
              <w:left w:val="single" w:color="auto" w:sz="4" w:space="0"/>
              <w:bottom w:val="single" w:color="auto" w:sz="4" w:space="0"/>
              <w:right w:val="single" w:color="auto" w:sz="4" w:space="0"/>
            </w:tcBorders>
            <w:vAlign w:val="center"/>
          </w:tcPr>
          <w:p w14:paraId="35F0D0A7">
            <w:pPr>
              <w:jc w:val="center"/>
              <w:rPr>
                <w:rFonts w:hint="eastAsia" w:ascii="宋体" w:hAnsi="宋体" w:eastAsia="宋体" w:cs="宋体"/>
                <w:color w:val="auto"/>
                <w:sz w:val="20"/>
                <w:highlight w:val="none"/>
              </w:rPr>
            </w:pPr>
          </w:p>
        </w:tc>
        <w:tc>
          <w:tcPr>
            <w:tcW w:w="2271" w:type="dxa"/>
            <w:tcBorders>
              <w:top w:val="single" w:color="auto" w:sz="4" w:space="0"/>
              <w:left w:val="single" w:color="auto" w:sz="4" w:space="0"/>
              <w:bottom w:val="single" w:color="auto" w:sz="4" w:space="0"/>
              <w:right w:val="single" w:color="auto" w:sz="4" w:space="0"/>
            </w:tcBorders>
            <w:vAlign w:val="center"/>
          </w:tcPr>
          <w:p w14:paraId="34101927">
            <w:pPr>
              <w:jc w:val="center"/>
              <w:rPr>
                <w:rFonts w:hint="eastAsia" w:ascii="宋体" w:hAnsi="宋体" w:eastAsia="宋体" w:cs="宋体"/>
                <w:color w:val="auto"/>
                <w:sz w:val="20"/>
                <w:highlight w:val="none"/>
              </w:rPr>
            </w:pPr>
          </w:p>
        </w:tc>
        <w:tc>
          <w:tcPr>
            <w:tcW w:w="1650" w:type="dxa"/>
            <w:tcBorders>
              <w:top w:val="single" w:color="auto" w:sz="4" w:space="0"/>
              <w:left w:val="single" w:color="auto" w:sz="4" w:space="0"/>
              <w:bottom w:val="single" w:color="auto" w:sz="4" w:space="0"/>
              <w:right w:val="single" w:color="auto" w:sz="4" w:space="0"/>
            </w:tcBorders>
            <w:vAlign w:val="center"/>
          </w:tcPr>
          <w:p w14:paraId="15F5166A">
            <w:pPr>
              <w:jc w:val="center"/>
              <w:rPr>
                <w:rFonts w:hint="eastAsia" w:ascii="宋体" w:hAnsi="宋体" w:eastAsia="宋体" w:cs="宋体"/>
                <w:color w:val="auto"/>
                <w:sz w:val="20"/>
                <w:highlight w:val="none"/>
              </w:rPr>
            </w:pPr>
          </w:p>
        </w:tc>
        <w:tc>
          <w:tcPr>
            <w:tcW w:w="885" w:type="dxa"/>
            <w:tcBorders>
              <w:top w:val="single" w:color="auto" w:sz="4" w:space="0"/>
              <w:left w:val="single" w:color="auto" w:sz="4" w:space="0"/>
              <w:bottom w:val="single" w:color="auto" w:sz="4" w:space="0"/>
              <w:right w:val="single" w:color="auto" w:sz="4" w:space="0"/>
            </w:tcBorders>
            <w:vAlign w:val="center"/>
          </w:tcPr>
          <w:p w14:paraId="6D7D4E46">
            <w:pPr>
              <w:jc w:val="center"/>
              <w:rPr>
                <w:rFonts w:hint="eastAsia" w:ascii="宋体" w:hAnsi="宋体" w:eastAsia="宋体" w:cs="宋体"/>
                <w:color w:val="auto"/>
                <w:sz w:val="20"/>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5702F2DE">
            <w:pPr>
              <w:jc w:val="center"/>
              <w:rPr>
                <w:rFonts w:hint="eastAsia" w:ascii="宋体" w:hAnsi="宋体" w:eastAsia="宋体" w:cs="宋体"/>
                <w:color w:val="auto"/>
                <w:sz w:val="20"/>
                <w:highlight w:val="none"/>
              </w:rPr>
            </w:pPr>
          </w:p>
        </w:tc>
        <w:tc>
          <w:tcPr>
            <w:tcW w:w="1457" w:type="dxa"/>
            <w:tcBorders>
              <w:top w:val="single" w:color="auto" w:sz="4" w:space="0"/>
              <w:left w:val="single" w:color="auto" w:sz="4" w:space="0"/>
              <w:bottom w:val="single" w:color="auto" w:sz="4" w:space="0"/>
              <w:right w:val="single" w:color="auto" w:sz="4" w:space="0"/>
            </w:tcBorders>
            <w:vAlign w:val="center"/>
          </w:tcPr>
          <w:p w14:paraId="06D77FD0">
            <w:pPr>
              <w:jc w:val="center"/>
              <w:rPr>
                <w:rFonts w:hint="eastAsia" w:ascii="宋体" w:hAnsi="宋体" w:eastAsia="宋体" w:cs="宋体"/>
                <w:color w:val="auto"/>
                <w:sz w:val="20"/>
                <w:highlight w:val="none"/>
              </w:rPr>
            </w:pPr>
          </w:p>
        </w:tc>
      </w:tr>
      <w:tr w14:paraId="0B850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9" w:hRule="atLeast"/>
          <w:jc w:val="center"/>
        </w:trPr>
        <w:tc>
          <w:tcPr>
            <w:tcW w:w="1162" w:type="dxa"/>
            <w:tcBorders>
              <w:top w:val="single" w:color="auto" w:sz="4" w:space="0"/>
              <w:left w:val="single" w:color="auto" w:sz="4" w:space="0"/>
              <w:bottom w:val="single" w:color="auto" w:sz="4" w:space="0"/>
              <w:right w:val="single" w:color="auto" w:sz="4" w:space="0"/>
            </w:tcBorders>
            <w:vAlign w:val="center"/>
          </w:tcPr>
          <w:p w14:paraId="13006D8C">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w:t>
            </w:r>
          </w:p>
        </w:tc>
        <w:tc>
          <w:tcPr>
            <w:tcW w:w="1160" w:type="dxa"/>
            <w:tcBorders>
              <w:top w:val="single" w:color="auto" w:sz="4" w:space="0"/>
              <w:left w:val="single" w:color="auto" w:sz="4" w:space="0"/>
              <w:bottom w:val="single" w:color="auto" w:sz="4" w:space="0"/>
              <w:right w:val="single" w:color="auto" w:sz="4" w:space="0"/>
            </w:tcBorders>
            <w:vAlign w:val="center"/>
          </w:tcPr>
          <w:p w14:paraId="264154D8">
            <w:pPr>
              <w:jc w:val="center"/>
              <w:rPr>
                <w:rFonts w:hint="eastAsia" w:ascii="宋体" w:hAnsi="宋体" w:eastAsia="宋体" w:cs="宋体"/>
                <w:color w:val="auto"/>
                <w:sz w:val="20"/>
                <w:highlight w:val="none"/>
              </w:rPr>
            </w:pPr>
          </w:p>
        </w:tc>
        <w:tc>
          <w:tcPr>
            <w:tcW w:w="2271" w:type="dxa"/>
            <w:tcBorders>
              <w:top w:val="single" w:color="auto" w:sz="4" w:space="0"/>
              <w:left w:val="single" w:color="auto" w:sz="4" w:space="0"/>
              <w:bottom w:val="single" w:color="auto" w:sz="4" w:space="0"/>
              <w:right w:val="single" w:color="auto" w:sz="4" w:space="0"/>
            </w:tcBorders>
            <w:vAlign w:val="center"/>
          </w:tcPr>
          <w:p w14:paraId="2AD3F153">
            <w:pPr>
              <w:jc w:val="center"/>
              <w:rPr>
                <w:rFonts w:hint="eastAsia" w:ascii="宋体" w:hAnsi="宋体" w:eastAsia="宋体" w:cs="宋体"/>
                <w:color w:val="auto"/>
                <w:sz w:val="20"/>
                <w:highlight w:val="none"/>
              </w:rPr>
            </w:pPr>
          </w:p>
        </w:tc>
        <w:tc>
          <w:tcPr>
            <w:tcW w:w="1650" w:type="dxa"/>
            <w:tcBorders>
              <w:top w:val="single" w:color="auto" w:sz="4" w:space="0"/>
              <w:left w:val="single" w:color="auto" w:sz="4" w:space="0"/>
              <w:bottom w:val="single" w:color="auto" w:sz="4" w:space="0"/>
              <w:right w:val="single" w:color="auto" w:sz="4" w:space="0"/>
            </w:tcBorders>
            <w:vAlign w:val="center"/>
          </w:tcPr>
          <w:p w14:paraId="751D1A9E">
            <w:pPr>
              <w:jc w:val="center"/>
              <w:rPr>
                <w:rFonts w:hint="eastAsia" w:ascii="宋体" w:hAnsi="宋体" w:eastAsia="宋体" w:cs="宋体"/>
                <w:color w:val="auto"/>
                <w:sz w:val="20"/>
                <w:highlight w:val="none"/>
              </w:rPr>
            </w:pPr>
          </w:p>
        </w:tc>
        <w:tc>
          <w:tcPr>
            <w:tcW w:w="885" w:type="dxa"/>
            <w:tcBorders>
              <w:top w:val="single" w:color="auto" w:sz="4" w:space="0"/>
              <w:left w:val="single" w:color="auto" w:sz="4" w:space="0"/>
              <w:bottom w:val="single" w:color="auto" w:sz="4" w:space="0"/>
              <w:right w:val="single" w:color="auto" w:sz="4" w:space="0"/>
            </w:tcBorders>
            <w:vAlign w:val="center"/>
          </w:tcPr>
          <w:p w14:paraId="2BA5A557">
            <w:pPr>
              <w:jc w:val="center"/>
              <w:rPr>
                <w:rFonts w:hint="eastAsia" w:ascii="宋体" w:hAnsi="宋体" w:eastAsia="宋体" w:cs="宋体"/>
                <w:color w:val="auto"/>
                <w:sz w:val="20"/>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74407F53">
            <w:pPr>
              <w:jc w:val="center"/>
              <w:rPr>
                <w:rFonts w:hint="eastAsia" w:ascii="宋体" w:hAnsi="宋体" w:eastAsia="宋体" w:cs="宋体"/>
                <w:color w:val="auto"/>
                <w:sz w:val="20"/>
                <w:highlight w:val="none"/>
              </w:rPr>
            </w:pPr>
          </w:p>
        </w:tc>
        <w:tc>
          <w:tcPr>
            <w:tcW w:w="1457" w:type="dxa"/>
            <w:tcBorders>
              <w:top w:val="single" w:color="auto" w:sz="4" w:space="0"/>
              <w:left w:val="single" w:color="auto" w:sz="4" w:space="0"/>
              <w:bottom w:val="single" w:color="auto" w:sz="4" w:space="0"/>
              <w:right w:val="single" w:color="auto" w:sz="4" w:space="0"/>
            </w:tcBorders>
            <w:vAlign w:val="center"/>
          </w:tcPr>
          <w:p w14:paraId="24E32081">
            <w:pPr>
              <w:jc w:val="center"/>
              <w:rPr>
                <w:rFonts w:hint="eastAsia" w:ascii="宋体" w:hAnsi="宋体" w:eastAsia="宋体" w:cs="宋体"/>
                <w:color w:val="auto"/>
                <w:sz w:val="20"/>
                <w:highlight w:val="none"/>
              </w:rPr>
            </w:pPr>
          </w:p>
        </w:tc>
      </w:tr>
    </w:tbl>
    <w:p w14:paraId="66495426">
      <w:pPr>
        <w:ind w:firstLine="239" w:firstLineChars="11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表格中“偏离”一列，供应商只能如实填写“正偏离”“负偏离”或“无偏离”。凡投标内容高于招标文件要求的，按“正偏离”填写；低于招标文件要求的，按“负偏离”填写；满足招标文件要求的，按“无偏离”填写。</w:t>
      </w:r>
    </w:p>
    <w:p w14:paraId="6DD151F7">
      <w:pPr>
        <w:ind w:firstLine="239" w:firstLineChars="11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2、序号应逐条对应该产品在第六章《招标需求及技术要求》中的序号。</w:t>
      </w:r>
    </w:p>
    <w:p w14:paraId="6D360F21">
      <w:pPr>
        <w:ind w:firstLine="239" w:firstLineChars="114"/>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color w:val="auto"/>
          <w:sz w:val="21"/>
          <w:szCs w:val="21"/>
          <w:highlight w:val="none"/>
        </w:rPr>
        <w:t>表格中“说明”部分，若有偏离，则填写偏离指标。若无偏离，则不填写内容。</w:t>
      </w:r>
    </w:p>
    <w:p w14:paraId="18DBEEF1">
      <w:pPr>
        <w:ind w:firstLine="239" w:firstLineChars="11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4、“所投标的物的技术参数及配置”供应商应根据所投标的物的实际情况进行填报，请勿复制粘贴招标文件中的“参数规格”</w:t>
      </w:r>
    </w:p>
    <w:p w14:paraId="16C38842">
      <w:pPr>
        <w:ind w:firstLine="239" w:firstLineChars="114"/>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各供应商必须对招标文件第六章招标需求及技术要求中的技术参数要求作出全面、真实的反映，供应商除如实填写技术规格偏离表外，投标文件中还须提供最新技术支持资料（详细产品说明书、检测或检验报告、中文操作手册、产品彩页或其他有效证明材料）支持技术规格偏离表应答并标注索引，若投标文件中最新技术支持资料参数与技术规格偏离表应答不符或无技术资料应答，而供应商又未在投标文件中作出说明和解释的，可视为不响应该条技术参数要求。</w:t>
      </w:r>
    </w:p>
    <w:p w14:paraId="07B70593">
      <w:pPr>
        <w:spacing w:before="312" w:beforeLines="100" w:line="360" w:lineRule="auto"/>
        <w:ind w:firstLine="2" w:firstLineChars="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（电子签章）</w:t>
      </w:r>
    </w:p>
    <w:p w14:paraId="79C36A3D">
      <w:pPr>
        <w:spacing w:line="360" w:lineRule="auto"/>
        <w:ind w:firstLine="2" w:firstLineChars="1"/>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eastAsia="zh-CN"/>
        </w:rPr>
        <w:t>法定代表人(单位负责人)或其委托代理人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（电子签章）</w:t>
      </w:r>
    </w:p>
    <w:p w14:paraId="7F5CAB78">
      <w:pPr>
        <w:pStyle w:val="12"/>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bookmarkEnd w:id="443"/>
    <w:p w14:paraId="3B751A58">
      <w:pPr>
        <w:rPr>
          <w:rFonts w:hint="eastAsia" w:ascii="宋体" w:hAnsi="宋体" w:eastAsia="宋体" w:cs="宋体"/>
          <w:color w:val="auto"/>
          <w:highlight w:val="none"/>
        </w:rPr>
      </w:pPr>
      <w:bookmarkStart w:id="467" w:name="_Toc250531122"/>
      <w:bookmarkStart w:id="468" w:name="_Toc250531123"/>
      <w:bookmarkStart w:id="469" w:name="_Toc19464"/>
      <w:bookmarkStart w:id="470" w:name="_Toc14480"/>
      <w:bookmarkStart w:id="471" w:name="_Toc381109094"/>
      <w:bookmarkStart w:id="472" w:name="_Toc4259"/>
      <w:bookmarkStart w:id="473" w:name="_Toc13240"/>
      <w:r>
        <w:rPr>
          <w:rFonts w:hint="eastAsia" w:ascii="宋体" w:hAnsi="宋体" w:eastAsia="宋体" w:cs="宋体"/>
          <w:color w:val="auto"/>
          <w:highlight w:val="none"/>
        </w:rPr>
        <w:br w:type="page"/>
      </w:r>
    </w:p>
    <w:p w14:paraId="0AE09CB8">
      <w:pPr>
        <w:pStyle w:val="4"/>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格式2：总体供货安装方案</w:t>
      </w:r>
    </w:p>
    <w:p w14:paraId="679B73FB">
      <w:pPr>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格式自拟：</w:t>
      </w:r>
    </w:p>
    <w:p w14:paraId="117B7074">
      <w:pPr>
        <w:pStyle w:val="4"/>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格式3：</w:t>
      </w:r>
      <w:r>
        <w:rPr>
          <w:rFonts w:hint="eastAsia" w:ascii="宋体" w:hAnsi="宋体" w:eastAsia="宋体" w:cs="宋体"/>
          <w:bCs/>
          <w:color w:val="auto"/>
          <w:highlight w:val="none"/>
          <w:lang w:val="en-US" w:eastAsia="zh-CN"/>
        </w:rPr>
        <w:t>货物</w:t>
      </w:r>
      <w:r>
        <w:rPr>
          <w:rFonts w:hint="eastAsia" w:ascii="宋体" w:hAnsi="宋体" w:eastAsia="宋体" w:cs="宋体"/>
          <w:bCs/>
          <w:color w:val="auto"/>
          <w:highlight w:val="none"/>
        </w:rPr>
        <w:t>质量承诺及保证措施</w:t>
      </w:r>
    </w:p>
    <w:p w14:paraId="12C0673B">
      <w:pPr>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格式自拟：</w:t>
      </w:r>
    </w:p>
    <w:p w14:paraId="3663FF57">
      <w:pPr>
        <w:pStyle w:val="4"/>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格式4：供货、安装进度计划及保障措施</w:t>
      </w:r>
    </w:p>
    <w:p w14:paraId="554F9AE9">
      <w:pPr>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格式自拟：</w:t>
      </w:r>
    </w:p>
    <w:p w14:paraId="70A70DA5">
      <w:pPr>
        <w:rPr>
          <w:rFonts w:hint="eastAsia" w:ascii="宋体" w:hAnsi="宋体" w:eastAsia="宋体" w:cs="宋体"/>
          <w:color w:val="auto"/>
          <w:highlight w:val="none"/>
        </w:rPr>
      </w:pPr>
    </w:p>
    <w:p w14:paraId="77FC4EFE">
      <w:pPr>
        <w:pStyle w:val="4"/>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格式5：</w:t>
      </w:r>
      <w:r>
        <w:rPr>
          <w:rFonts w:hint="eastAsia" w:ascii="宋体" w:hAnsi="宋体" w:eastAsia="宋体" w:cs="宋体"/>
          <w:color w:val="auto"/>
          <w:highlight w:val="none"/>
        </w:rPr>
        <w:t>售后服务</w:t>
      </w:r>
      <w:r>
        <w:rPr>
          <w:rFonts w:hint="eastAsia" w:ascii="宋体" w:hAnsi="宋体" w:eastAsia="宋体" w:cs="宋体"/>
          <w:color w:val="auto"/>
          <w:highlight w:val="none"/>
          <w:lang w:val="en-US" w:eastAsia="zh-CN"/>
        </w:rPr>
        <w:t>承诺</w:t>
      </w:r>
      <w:r>
        <w:rPr>
          <w:rFonts w:hint="eastAsia" w:ascii="宋体" w:hAnsi="宋体" w:eastAsia="宋体" w:cs="宋体"/>
          <w:color w:val="auto"/>
          <w:highlight w:val="none"/>
        </w:rPr>
        <w:t>及保障措施</w:t>
      </w:r>
    </w:p>
    <w:p w14:paraId="1FC6149F">
      <w:pPr>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格式自拟：</w:t>
      </w:r>
    </w:p>
    <w:p w14:paraId="79F4BB21">
      <w:pPr>
        <w:pStyle w:val="4"/>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格式6：用户使用培训计划方案</w:t>
      </w:r>
    </w:p>
    <w:p w14:paraId="2064757F">
      <w:pPr>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格式自拟：</w:t>
      </w:r>
    </w:p>
    <w:p w14:paraId="35EEEA23">
      <w:pPr>
        <w:bidi w:val="0"/>
        <w:rPr>
          <w:rFonts w:hint="eastAsia" w:ascii="宋体" w:hAnsi="宋体" w:eastAsia="宋体" w:cs="宋体"/>
          <w:color w:val="auto"/>
          <w:highlight w:val="none"/>
        </w:rPr>
      </w:pPr>
    </w:p>
    <w:p w14:paraId="6854C67B">
      <w:pPr>
        <w:pStyle w:val="4"/>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格式7：构成技术部分的其他材料</w:t>
      </w:r>
    </w:p>
    <w:p w14:paraId="63CA5352">
      <w:pPr>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格式自拟：</w:t>
      </w:r>
    </w:p>
    <w:p w14:paraId="21E48633">
      <w:pPr>
        <w:bidi w:val="0"/>
        <w:rPr>
          <w:rFonts w:hint="eastAsia" w:ascii="宋体" w:hAnsi="宋体" w:eastAsia="宋体" w:cs="宋体"/>
          <w:color w:val="auto"/>
          <w:highlight w:val="none"/>
        </w:rPr>
      </w:pPr>
    </w:p>
    <w:p w14:paraId="205D84B5">
      <w:pPr>
        <w:bidi w:val="0"/>
        <w:rPr>
          <w:rFonts w:hint="eastAsia" w:ascii="宋体" w:hAnsi="宋体" w:eastAsia="宋体" w:cs="宋体"/>
          <w:color w:val="auto"/>
          <w:highlight w:val="none"/>
        </w:rPr>
      </w:pPr>
    </w:p>
    <w:p w14:paraId="4987D61D">
      <w:pPr>
        <w:bidi w:val="0"/>
        <w:rPr>
          <w:rFonts w:hint="eastAsia" w:ascii="宋体" w:hAnsi="宋体" w:eastAsia="宋体" w:cs="宋体"/>
          <w:color w:val="auto"/>
          <w:highlight w:val="none"/>
        </w:rPr>
      </w:pPr>
      <w:bookmarkStart w:id="474" w:name="_Toc4920"/>
    </w:p>
    <w:p w14:paraId="5E336985">
      <w:pPr>
        <w:rPr>
          <w:rFonts w:hint="eastAsia" w:ascii="宋体" w:hAnsi="宋体" w:eastAsia="宋体" w:cs="宋体"/>
          <w:color w:val="auto"/>
          <w:highlight w:val="none"/>
        </w:rPr>
        <w:sectPr>
          <w:pgSz w:w="11906" w:h="16838"/>
          <w:pgMar w:top="1247" w:right="1020" w:bottom="1247" w:left="1020" w:header="851" w:footer="992" w:gutter="0"/>
          <w:pgBorders>
            <w:top w:val="none" w:sz="0" w:space="0"/>
            <w:left w:val="none" w:sz="0" w:space="0"/>
            <w:bottom w:val="none" w:sz="0" w:space="0"/>
            <w:right w:val="none" w:sz="0" w:space="0"/>
          </w:pgBorders>
          <w:pgNumType w:fmt="numberInDash"/>
          <w:cols w:space="708" w:num="1"/>
          <w:docGrid w:type="lines" w:linePitch="312" w:charSpace="0"/>
        </w:sectPr>
      </w:pPr>
    </w:p>
    <w:p w14:paraId="56184F0A">
      <w:pPr>
        <w:pStyle w:val="2"/>
        <w:rPr>
          <w:rFonts w:hint="eastAsia" w:ascii="宋体" w:hAnsi="宋体" w:eastAsia="宋体" w:cs="宋体"/>
          <w:color w:val="auto"/>
          <w:highlight w:val="none"/>
        </w:rPr>
      </w:pPr>
      <w:r>
        <w:rPr>
          <w:rFonts w:hint="eastAsia" w:ascii="宋体" w:hAnsi="宋体" w:eastAsia="宋体" w:cs="宋体"/>
          <w:color w:val="auto"/>
          <w:highlight w:val="none"/>
        </w:rPr>
        <w:t>第六章 招标需求及技术要求</w:t>
      </w:r>
      <w:bookmarkEnd w:id="467"/>
      <w:bookmarkEnd w:id="468"/>
      <w:bookmarkEnd w:id="469"/>
      <w:bookmarkEnd w:id="470"/>
      <w:bookmarkEnd w:id="471"/>
      <w:bookmarkEnd w:id="472"/>
      <w:bookmarkEnd w:id="473"/>
      <w:bookmarkEnd w:id="474"/>
    </w:p>
    <w:p w14:paraId="41EE6A4F">
      <w:pPr>
        <w:pStyle w:val="4"/>
        <w:pageBreakBefore w:val="0"/>
        <w:kinsoku/>
        <w:wordWrap/>
        <w:overflowPunct/>
        <w:topLinePunct w:val="0"/>
        <w:autoSpaceDE/>
        <w:autoSpaceDN/>
        <w:bidi w:val="0"/>
        <w:adjustRightInd/>
        <w:snapToGrid/>
        <w:spacing w:before="0" w:after="0"/>
        <w:ind w:left="0" w:firstLine="482"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①</w:t>
      </w:r>
      <w:r>
        <w:rPr>
          <w:rFonts w:hint="eastAsia" w:ascii="宋体" w:hAnsi="宋体" w:eastAsia="宋体" w:cs="宋体"/>
          <w:color w:val="auto"/>
          <w:highlight w:val="none"/>
        </w:rPr>
        <w:t>采购需求</w:t>
      </w:r>
    </w:p>
    <w:p w14:paraId="5FA06571">
      <w:pPr>
        <w:pageBreakBefore w:val="0"/>
        <w:kinsoku/>
        <w:wordWrap/>
        <w:overflowPunct/>
        <w:topLinePunct w:val="0"/>
        <w:autoSpaceDE/>
        <w:autoSpaceDN/>
        <w:bidi w:val="0"/>
        <w:adjustRightInd/>
        <w:snapToGrid/>
        <w:ind w:left="0" w:firstLine="480" w:firstLineChars="200"/>
        <w:textAlignment w:val="auto"/>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精密仪器室、普通仪器实训室、称量室，具体参数及要求见附件。</w:t>
      </w:r>
    </w:p>
    <w:p w14:paraId="44C46B0D">
      <w:pPr>
        <w:pStyle w:val="4"/>
        <w:pageBreakBefore w:val="0"/>
        <w:kinsoku/>
        <w:wordWrap/>
        <w:overflowPunct/>
        <w:topLinePunct w:val="0"/>
        <w:autoSpaceDE/>
        <w:autoSpaceDN/>
        <w:bidi w:val="0"/>
        <w:adjustRightInd/>
        <w:snapToGrid/>
        <w:spacing w:before="0" w:after="0"/>
        <w:ind w:left="0" w:firstLine="482" w:firstLineChars="2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②采购清单</w:t>
      </w:r>
    </w:p>
    <w:tbl>
      <w:tblPr>
        <w:tblStyle w:val="57"/>
        <w:tblW w:w="99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845"/>
        <w:gridCol w:w="6278"/>
        <w:gridCol w:w="706"/>
        <w:gridCol w:w="716"/>
        <w:gridCol w:w="716"/>
      </w:tblGrid>
      <w:tr w14:paraId="775D8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ACCBB27">
            <w:pPr>
              <w:spacing w:line="240" w:lineRule="auto"/>
              <w:ind w:firstLine="0" w:firstLineChars="0"/>
              <w:jc w:val="center"/>
              <w:rPr>
                <w:rFonts w:ascii="宋体" w:hAnsi="宋体" w:cs="仿宋"/>
                <w:b/>
                <w:bCs/>
                <w:kern w:val="0"/>
                <w:sz w:val="24"/>
                <w:szCs w:val="24"/>
              </w:rPr>
            </w:pPr>
            <w:r>
              <w:rPr>
                <w:rFonts w:hint="eastAsia" w:ascii="宋体" w:hAnsi="宋体" w:cs="仿宋"/>
                <w:b/>
                <w:bCs/>
                <w:kern w:val="0"/>
                <w:sz w:val="24"/>
                <w:szCs w:val="24"/>
              </w:rPr>
              <w:t>序号</w:t>
            </w:r>
          </w:p>
        </w:tc>
        <w:tc>
          <w:tcPr>
            <w:tcW w:w="845" w:type="dxa"/>
            <w:vAlign w:val="center"/>
          </w:tcPr>
          <w:p w14:paraId="5C5CE883">
            <w:pPr>
              <w:spacing w:line="240" w:lineRule="auto"/>
              <w:ind w:firstLine="0" w:firstLineChars="0"/>
              <w:jc w:val="center"/>
              <w:rPr>
                <w:rFonts w:ascii="宋体" w:hAnsi="宋体" w:cs="仿宋"/>
                <w:b/>
                <w:bCs/>
                <w:kern w:val="0"/>
                <w:sz w:val="24"/>
                <w:szCs w:val="24"/>
              </w:rPr>
            </w:pPr>
            <w:r>
              <w:rPr>
                <w:rFonts w:hint="eastAsia" w:ascii="宋体" w:hAnsi="宋体" w:cs="仿宋"/>
                <w:b/>
                <w:bCs/>
                <w:kern w:val="0"/>
                <w:sz w:val="24"/>
                <w:szCs w:val="24"/>
              </w:rPr>
              <w:t>名称</w:t>
            </w:r>
          </w:p>
        </w:tc>
        <w:tc>
          <w:tcPr>
            <w:tcW w:w="6278" w:type="dxa"/>
          </w:tcPr>
          <w:p w14:paraId="7E98E354">
            <w:pPr>
              <w:spacing w:line="240" w:lineRule="auto"/>
              <w:ind w:firstLine="420" w:firstLineChars="0"/>
              <w:jc w:val="center"/>
              <w:rPr>
                <w:rFonts w:ascii="宋体" w:hAnsi="宋体" w:cs="仿宋"/>
                <w:b/>
                <w:bCs/>
                <w:kern w:val="0"/>
                <w:sz w:val="24"/>
                <w:szCs w:val="24"/>
              </w:rPr>
            </w:pPr>
            <w:r>
              <w:rPr>
                <w:rFonts w:hint="eastAsia" w:ascii="宋体" w:hAnsi="宋体" w:cs="仿宋"/>
                <w:b/>
                <w:bCs/>
                <w:kern w:val="0"/>
                <w:sz w:val="24"/>
                <w:szCs w:val="24"/>
              </w:rPr>
              <w:t>参数</w:t>
            </w:r>
          </w:p>
        </w:tc>
        <w:tc>
          <w:tcPr>
            <w:tcW w:w="706" w:type="dxa"/>
            <w:vAlign w:val="center"/>
          </w:tcPr>
          <w:p w14:paraId="5B43D267">
            <w:pPr>
              <w:spacing w:line="240" w:lineRule="auto"/>
              <w:ind w:firstLine="0" w:firstLineChars="0"/>
              <w:jc w:val="both"/>
              <w:rPr>
                <w:rFonts w:hint="eastAsia" w:ascii="宋体" w:hAnsi="宋体" w:cs="仿宋"/>
                <w:b/>
                <w:bCs/>
                <w:kern w:val="0"/>
                <w:sz w:val="24"/>
                <w:szCs w:val="24"/>
              </w:rPr>
            </w:pPr>
            <w:r>
              <w:rPr>
                <w:rFonts w:hint="eastAsia" w:ascii="宋体" w:hAnsi="宋体" w:cs="仿宋"/>
                <w:b/>
                <w:bCs/>
                <w:kern w:val="0"/>
                <w:sz w:val="24"/>
                <w:szCs w:val="24"/>
              </w:rPr>
              <w:t>单位</w:t>
            </w:r>
          </w:p>
        </w:tc>
        <w:tc>
          <w:tcPr>
            <w:tcW w:w="716" w:type="dxa"/>
            <w:vAlign w:val="center"/>
          </w:tcPr>
          <w:p w14:paraId="400C596F">
            <w:pPr>
              <w:spacing w:line="240" w:lineRule="auto"/>
              <w:ind w:firstLine="0" w:firstLineChars="0"/>
              <w:jc w:val="both"/>
              <w:rPr>
                <w:rFonts w:hint="eastAsia" w:ascii="宋体" w:hAnsi="宋体" w:cs="仿宋"/>
                <w:b/>
                <w:bCs/>
                <w:kern w:val="0"/>
                <w:sz w:val="24"/>
                <w:szCs w:val="24"/>
              </w:rPr>
            </w:pPr>
            <w:r>
              <w:rPr>
                <w:rFonts w:hint="eastAsia" w:ascii="宋体" w:hAnsi="宋体" w:cs="仿宋"/>
                <w:b/>
                <w:bCs/>
                <w:kern w:val="0"/>
                <w:sz w:val="24"/>
                <w:szCs w:val="24"/>
              </w:rPr>
              <w:t>数量</w:t>
            </w:r>
          </w:p>
        </w:tc>
        <w:tc>
          <w:tcPr>
            <w:tcW w:w="716" w:type="dxa"/>
          </w:tcPr>
          <w:p w14:paraId="288D5EF3">
            <w:pPr>
              <w:spacing w:line="240" w:lineRule="auto"/>
              <w:ind w:firstLine="0" w:firstLineChars="0"/>
              <w:jc w:val="both"/>
              <w:rPr>
                <w:rFonts w:hint="eastAsia" w:ascii="宋体" w:hAnsi="宋体" w:cs="仿宋"/>
                <w:b/>
                <w:bCs/>
                <w:kern w:val="0"/>
                <w:sz w:val="24"/>
                <w:szCs w:val="24"/>
              </w:rPr>
            </w:pPr>
            <w:r>
              <w:rPr>
                <w:rFonts w:hint="eastAsia" w:ascii="宋体" w:hAnsi="宋体" w:cs="仿宋"/>
                <w:b/>
                <w:bCs/>
                <w:kern w:val="0"/>
                <w:sz w:val="24"/>
                <w:szCs w:val="24"/>
              </w:rPr>
              <w:t>备注</w:t>
            </w:r>
          </w:p>
        </w:tc>
      </w:tr>
      <w:tr w14:paraId="6CB7A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9E142A6">
            <w:pPr>
              <w:spacing w:line="240" w:lineRule="auto"/>
              <w:ind w:firstLine="0" w:firstLineChars="0"/>
              <w:jc w:val="both"/>
              <w:rPr>
                <w:rFonts w:ascii="仿宋" w:hAnsi="仿宋" w:eastAsia="仿宋" w:cs="仿宋"/>
                <w:kern w:val="0"/>
                <w:sz w:val="24"/>
                <w:szCs w:val="24"/>
              </w:rPr>
            </w:pPr>
            <w:bookmarkStart w:id="475" w:name="_Hlk211958837"/>
            <w:r>
              <w:rPr>
                <w:rFonts w:hint="eastAsia" w:ascii="仿宋" w:hAnsi="仿宋" w:eastAsia="仿宋" w:cs="宋体"/>
                <w:color w:val="000000" w:themeColor="text1"/>
                <w:kern w:val="0"/>
                <w:sz w:val="24"/>
                <w:szCs w:val="24"/>
                <w14:textFill>
                  <w14:solidFill>
                    <w14:schemeClr w14:val="tx1"/>
                  </w14:solidFill>
                </w14:textFill>
              </w:rPr>
              <w:t>1</w:t>
            </w:r>
          </w:p>
        </w:tc>
        <w:tc>
          <w:tcPr>
            <w:tcW w:w="845" w:type="dxa"/>
            <w:vAlign w:val="center"/>
          </w:tcPr>
          <w:p w14:paraId="590E8613">
            <w:pPr>
              <w:spacing w:line="240" w:lineRule="auto"/>
              <w:ind w:firstLine="0" w:firstLineChars="0"/>
              <w:jc w:val="both"/>
              <w:rPr>
                <w:rFonts w:ascii="宋体" w:hAnsi="宋体" w:cs="仿宋"/>
                <w:kern w:val="0"/>
                <w:sz w:val="24"/>
                <w:szCs w:val="24"/>
              </w:rPr>
            </w:pPr>
            <w:r>
              <w:rPr>
                <w:rFonts w:hint="eastAsia" w:ascii="宋体" w:hAnsi="宋体" w:cs="宋体"/>
                <w:color w:val="000000" w:themeColor="text1"/>
                <w:kern w:val="0"/>
                <w:sz w:val="24"/>
                <w:szCs w:val="24"/>
                <w14:textFill>
                  <w14:solidFill>
                    <w14:schemeClr w14:val="tx1"/>
                  </w14:solidFill>
                </w14:textFill>
              </w:rPr>
              <w:t>紫外一可见分光光度仪</w:t>
            </w:r>
          </w:p>
        </w:tc>
        <w:tc>
          <w:tcPr>
            <w:tcW w:w="6278" w:type="dxa"/>
            <w:vAlign w:val="top"/>
          </w:tcPr>
          <w:p w14:paraId="107D0599">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波长范围：190~1100nm</w:t>
            </w:r>
          </w:p>
          <w:p w14:paraId="1932BE58">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光谱带宽：2nm</w:t>
            </w:r>
          </w:p>
          <w:p w14:paraId="368112F0">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光学系统：1200条/毫米高性能全息光栅</w:t>
            </w:r>
          </w:p>
          <w:p w14:paraId="3E420634">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★波长准确度：±0.3nm</w:t>
            </w:r>
          </w:p>
          <w:p w14:paraId="2DCB30E0">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 xml:space="preserve">波长重复性：≤0.2nm </w:t>
            </w:r>
          </w:p>
          <w:p w14:paraId="635B5403">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 xml:space="preserve">光度准确度：±0.002A(0~0.5A) ；±0.004A(0.5~1A)；±0.3%T(0~100%T) </w:t>
            </w:r>
          </w:p>
          <w:p w14:paraId="24688634">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光度重复性：≤0.001A(0~0.5A)；≤ 0.002A(0.5~1A)； ≤0.15％T(0~100%T)</w:t>
            </w:r>
          </w:p>
          <w:p w14:paraId="342A91B9">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杂散光：≤0.05％T (在360nm处)</w:t>
            </w:r>
          </w:p>
          <w:p w14:paraId="364FCD4A">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波长设置和调零：自动</w:t>
            </w:r>
          </w:p>
          <w:p w14:paraId="3603D79C">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光度范围：-0.3-3A, 0-200%T, 0-9999C</w:t>
            </w:r>
          </w:p>
          <w:p w14:paraId="75E1DDC5">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基线漂移：±0.001A/h（500nm预热后）</w:t>
            </w:r>
          </w:p>
          <w:p w14:paraId="1E63EC35">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基线平直度：±0.002A</w:t>
            </w:r>
          </w:p>
          <w:p w14:paraId="3B88581E">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噪声水平：0.0005Abs(500nm处)</w:t>
            </w:r>
          </w:p>
          <w:p w14:paraId="6E3E1627">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工作方式：A, T, C, E</w:t>
            </w:r>
          </w:p>
          <w:p w14:paraId="2086FB97">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光源：进口长寿命钨灯、氘灯。</w:t>
            </w:r>
          </w:p>
          <w:p w14:paraId="3D4782A6">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检测器：进口硅光二极管</w:t>
            </w:r>
          </w:p>
          <w:p w14:paraId="61EFC552">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显示方式：128×64位点阵式液晶显示器</w:t>
            </w:r>
          </w:p>
          <w:p w14:paraId="32A900E1">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数据输出；USB标准数据输出口，并行打印输出口</w:t>
            </w:r>
          </w:p>
          <w:p w14:paraId="5E8014F9">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电源：AC 220V/50Hz 或AC110V/60Hz</w:t>
            </w:r>
          </w:p>
          <w:p w14:paraId="477ECCB3">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仪器尺寸；490×360×240mm</w:t>
            </w:r>
          </w:p>
          <w:p w14:paraId="2DB9E97F">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重量：12kg</w:t>
            </w:r>
          </w:p>
          <w:p w14:paraId="3615A67A">
            <w:pPr>
              <w:spacing w:line="240" w:lineRule="auto"/>
              <w:ind w:firstLine="42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仪器主要特点</w:t>
            </w:r>
          </w:p>
          <w:p w14:paraId="0907FF6A">
            <w:pPr>
              <w:spacing w:line="240" w:lineRule="auto"/>
              <w:ind w:left="180" w:hanging="240" w:hangingChars="10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●仪器采用128×64点阵液晶显示器，主机上可独立完成光度测量、定量测量、动力学测试等，直接显示标准曲线和动力学测试曲线，存储100条标准曲线，200组测试数据</w:t>
            </w:r>
          </w:p>
          <w:p w14:paraId="50A57402">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●进口环保型氘灯系统有效减少您对臭氧的吸入</w:t>
            </w:r>
          </w:p>
          <w:p w14:paraId="1ED58A46">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●独特的光路系统设计、实现更高的分辨率，方便微量测试</w:t>
            </w:r>
          </w:p>
          <w:p w14:paraId="2F42A258">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●先进的控制系统对氘灯、钨灯的使用寿命进行实时监控</w:t>
            </w:r>
          </w:p>
          <w:p w14:paraId="01DF86BE">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●独特的插座式氘灯和钨灯设计，换灯时免光学调试</w:t>
            </w:r>
          </w:p>
          <w:p w14:paraId="61BC11E4">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●GLP自我鉴定功能，根据需要随时检测仪器的波长精度和光度精度</w:t>
            </w:r>
          </w:p>
          <w:p w14:paraId="292EBA88">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●具有断电保护功能</w:t>
            </w:r>
          </w:p>
          <w:p w14:paraId="72E17FE0">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●仪器可以进行自动波长校正、自动波长设定、自动切换光源和暗电流校正</w:t>
            </w:r>
          </w:p>
          <w:p w14:paraId="52E48433">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●宽大的样品室，可容纳 5-100mm各种规格的比色皿及各种附件的选配（自动八联架、微量比色皿架等），大大提高测试效率</w:t>
            </w:r>
          </w:p>
          <w:p w14:paraId="2DB7B5E7">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●1200条/mm全息光栅和全密封结构确保仪器具有优良的性能指标和超低的杂散光,全面减少光学件受外界气体和环境的影响</w:t>
            </w:r>
          </w:p>
          <w:p w14:paraId="283FBE5B">
            <w:pPr>
              <w:spacing w:line="240" w:lineRule="auto"/>
              <w:ind w:firstLine="42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仪器主要功能</w:t>
            </w:r>
          </w:p>
          <w:p w14:paraId="1D277FAD">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 xml:space="preserve">●光度测量 </w:t>
            </w:r>
          </w:p>
          <w:p w14:paraId="2D06C29C">
            <w:pPr>
              <w:spacing w:line="240" w:lineRule="auto"/>
              <w:ind w:firstLine="42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 xml:space="preserve"> 定波长下测样品的吸光度、透过率和能量 </w:t>
            </w:r>
          </w:p>
          <w:p w14:paraId="7E50EC16">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 xml:space="preserve">●定量测试   </w:t>
            </w:r>
          </w:p>
          <w:p w14:paraId="44B1370D">
            <w:pPr>
              <w:spacing w:line="240" w:lineRule="auto"/>
              <w:ind w:firstLine="42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 xml:space="preserve">  1、标准曲线法：最多可建立9个点的标准曲线，显示图谱和回归方程</w:t>
            </w:r>
          </w:p>
          <w:p w14:paraId="7C3A2F7B">
            <w:pPr>
              <w:spacing w:line="240" w:lineRule="auto"/>
              <w:ind w:firstLine="42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 xml:space="preserve">   2、系数法：利用公式C=KA+B或A=KC+B，通过输入相关系数进行测量</w:t>
            </w:r>
          </w:p>
          <w:p w14:paraId="6E4A4326">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●动力学测试</w:t>
            </w:r>
          </w:p>
          <w:p w14:paraId="38DB7444">
            <w:pPr>
              <w:spacing w:line="240" w:lineRule="auto"/>
              <w:ind w:firstLine="42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 xml:space="preserve">  固定波长点下测试待测样品在一段时间内吸光度或透过率的变化图谱，计算样品反应率</w:t>
            </w:r>
          </w:p>
          <w:p w14:paraId="60FE6CA9">
            <w:pPr>
              <w:spacing w:line="240" w:lineRule="auto"/>
              <w:ind w:firstLine="42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 xml:space="preserve">  △ A/t、扫描时间、采样间隔、波长点根据实际需要自行设定</w:t>
            </w:r>
          </w:p>
          <w:p w14:paraId="17EADFCC">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●系统功能</w:t>
            </w:r>
          </w:p>
          <w:p w14:paraId="434B162F">
            <w:pPr>
              <w:spacing w:line="240" w:lineRule="auto"/>
              <w:ind w:firstLine="42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 xml:space="preserve">  波长和暗电流自动校正，单独控制氘灯和钨灯的开关，自动记录光源的点亮时间，随时对当前日期和时间进行设置，自行设置光源的切换波长点。</w:t>
            </w:r>
          </w:p>
          <w:p w14:paraId="5B755491">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UV-1800-DS2应用软件功能：</w:t>
            </w:r>
          </w:p>
          <w:p w14:paraId="384F55AA">
            <w:pPr>
              <w:spacing w:line="240" w:lineRule="auto"/>
              <w:ind w:firstLine="42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定量测量</w:t>
            </w:r>
          </w:p>
          <w:p w14:paraId="49BB2B4A">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●单波长、双波长、三波长法</w:t>
            </w:r>
          </w:p>
          <w:p w14:paraId="6811592F">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●标准曲线法和系数法</w:t>
            </w:r>
          </w:p>
          <w:p w14:paraId="21F69618">
            <w:pPr>
              <w:spacing w:line="240" w:lineRule="auto"/>
              <w:ind w:firstLine="42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动力学测试</w:t>
            </w:r>
          </w:p>
          <w:p w14:paraId="7A0CC12D">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●固定波长点下样品在一段时间内的光度变化值,可计算样品反应率△A/t,</w:t>
            </w:r>
          </w:p>
          <w:p w14:paraId="05DD34C8">
            <w:pPr>
              <w:spacing w:line="240" w:lineRule="auto"/>
              <w:ind w:firstLine="42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多波长测试</w:t>
            </w:r>
          </w:p>
          <w:p w14:paraId="24F58A29">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●测试待测样品在多个波长点的吸光度、透过率</w:t>
            </w:r>
          </w:p>
          <w:p w14:paraId="1BAA3D7D">
            <w:pPr>
              <w:spacing w:line="240" w:lineRule="auto"/>
              <w:ind w:firstLine="42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DNA/蛋白质测试</w:t>
            </w:r>
          </w:p>
          <w:p w14:paraId="427AFEDC">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●提供2种测试方法，测定蛋白质浓度、DNA浓度及比率</w:t>
            </w:r>
          </w:p>
          <w:p w14:paraId="71FBB9F0">
            <w:pPr>
              <w:spacing w:line="240" w:lineRule="auto"/>
              <w:ind w:firstLine="42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 xml:space="preserve"> 光谱扫描</w:t>
            </w:r>
          </w:p>
          <w:p w14:paraId="34DBB24D">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●全波长范围内吸光度、透过率的图谱扫描</w:t>
            </w:r>
          </w:p>
          <w:p w14:paraId="5B2E4465">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●图谱可以进行1-4阶导数、四则运算、叠加等分析</w:t>
            </w:r>
          </w:p>
          <w:p w14:paraId="08176C1B">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●扫描间隔、扫描区间、扫描速度、T、A方式等可自行设置</w:t>
            </w:r>
          </w:p>
          <w:p w14:paraId="30724F07">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●扫描间隔0.1、0.2、0.5、1、2、5nm可选</w:t>
            </w:r>
          </w:p>
          <w:p w14:paraId="196D1751">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★软件有比色皿校正</w:t>
            </w:r>
          </w:p>
          <w:p w14:paraId="0174F556">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★软件有槽差校正</w:t>
            </w:r>
          </w:p>
          <w:p w14:paraId="65C15226">
            <w:pPr>
              <w:spacing w:line="240" w:lineRule="auto"/>
              <w:ind w:firstLine="0" w:firstLineChars="0"/>
              <w:jc w:val="left"/>
              <w:rPr>
                <w:rFonts w:ascii="宋体" w:hAnsi="宋体" w:cs="仿宋"/>
                <w:kern w:val="0"/>
                <w:sz w:val="24"/>
                <w:szCs w:val="24"/>
              </w:rPr>
            </w:pPr>
            <w:r>
              <w:rPr>
                <w:rFonts w:hint="eastAsia" w:ascii="宋体" w:hAnsi="宋体" w:cs="仿宋"/>
                <w:color w:val="000000" w:themeColor="text1"/>
                <w:kern w:val="0"/>
                <w:sz w:val="24"/>
                <w:szCs w:val="24"/>
                <w14:textFill>
                  <w14:solidFill>
                    <w14:schemeClr w14:val="tx1"/>
                  </w14:solidFill>
                </w14:textFill>
              </w:rPr>
              <w:t>满足全国职业院校技能大赛使用要求，提供生产厂家承诺函;保证实验室和实验人员的安全需为仪器投保（提供保险证书）。</w:t>
            </w:r>
          </w:p>
        </w:tc>
        <w:tc>
          <w:tcPr>
            <w:tcW w:w="706" w:type="dxa"/>
            <w:vAlign w:val="center"/>
          </w:tcPr>
          <w:p w14:paraId="0AC3BBD3">
            <w:pPr>
              <w:ind w:firstLine="0" w:firstLineChars="0"/>
              <w:jc w:val="center"/>
              <w:rPr>
                <w:rFonts w:ascii="仿宋" w:hAnsi="仿宋" w:eastAsia="仿宋" w:cs="仿宋"/>
                <w:kern w:val="0"/>
                <w:sz w:val="24"/>
                <w:szCs w:val="24"/>
              </w:rPr>
            </w:pPr>
            <w:r>
              <w:rPr>
                <w:rFonts w:hint="eastAsia" w:ascii="仿宋" w:hAnsi="仿宋" w:eastAsia="仿宋" w:cs="宋体"/>
                <w:color w:val="000000"/>
                <w:kern w:val="0"/>
                <w:sz w:val="24"/>
                <w:szCs w:val="24"/>
              </w:rPr>
              <w:t>台</w:t>
            </w:r>
          </w:p>
        </w:tc>
        <w:tc>
          <w:tcPr>
            <w:tcW w:w="716" w:type="dxa"/>
            <w:vAlign w:val="center"/>
          </w:tcPr>
          <w:p w14:paraId="46E840DF">
            <w:pPr>
              <w:ind w:firstLine="0" w:firstLineChars="0"/>
              <w:jc w:val="center"/>
              <w:rPr>
                <w:rFonts w:ascii="仿宋" w:hAnsi="仿宋" w:eastAsia="仿宋" w:cs="仿宋"/>
                <w:kern w:val="0"/>
                <w:sz w:val="24"/>
                <w:szCs w:val="24"/>
              </w:rPr>
            </w:pPr>
            <w:r>
              <w:rPr>
                <w:rFonts w:hint="eastAsia" w:ascii="仿宋" w:hAnsi="仿宋" w:eastAsia="仿宋" w:cs="宋体"/>
                <w:color w:val="000000"/>
                <w:kern w:val="0"/>
                <w:sz w:val="24"/>
                <w:szCs w:val="24"/>
              </w:rPr>
              <w:t>20</w:t>
            </w:r>
          </w:p>
        </w:tc>
        <w:tc>
          <w:tcPr>
            <w:tcW w:w="716" w:type="dxa"/>
          </w:tcPr>
          <w:p w14:paraId="3E106602">
            <w:pPr>
              <w:spacing w:line="240" w:lineRule="auto"/>
              <w:ind w:firstLine="0" w:firstLineChars="0"/>
              <w:jc w:val="both"/>
              <w:rPr>
                <w:rFonts w:ascii="仿宋" w:hAnsi="仿宋" w:eastAsia="仿宋" w:cs="仿宋"/>
                <w:kern w:val="0"/>
                <w:sz w:val="24"/>
                <w:szCs w:val="24"/>
              </w:rPr>
            </w:pPr>
          </w:p>
        </w:tc>
      </w:tr>
      <w:bookmarkEnd w:id="475"/>
      <w:tr w14:paraId="042FC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89249D5">
            <w:pPr>
              <w:spacing w:line="240" w:lineRule="auto"/>
              <w:ind w:firstLine="0" w:firstLineChars="0"/>
              <w:jc w:val="both"/>
              <w:rPr>
                <w:rFonts w:ascii="仿宋" w:hAnsi="仿宋" w:eastAsia="仿宋" w:cs="仿宋"/>
                <w:kern w:val="0"/>
                <w:sz w:val="24"/>
                <w:szCs w:val="24"/>
              </w:rPr>
            </w:pPr>
            <w:r>
              <w:rPr>
                <w:rFonts w:hint="eastAsia" w:ascii="仿宋" w:hAnsi="仿宋" w:eastAsia="仿宋" w:cs="宋体"/>
                <w:color w:val="000000" w:themeColor="text1"/>
                <w:kern w:val="0"/>
                <w:sz w:val="24"/>
                <w:szCs w:val="24"/>
                <w14:textFill>
                  <w14:solidFill>
                    <w14:schemeClr w14:val="tx1"/>
                  </w14:solidFill>
                </w14:textFill>
              </w:rPr>
              <w:t>2</w:t>
            </w:r>
          </w:p>
        </w:tc>
        <w:tc>
          <w:tcPr>
            <w:tcW w:w="845" w:type="dxa"/>
            <w:vAlign w:val="center"/>
          </w:tcPr>
          <w:p w14:paraId="782CD9EA">
            <w:pPr>
              <w:spacing w:line="240" w:lineRule="auto"/>
              <w:ind w:firstLine="0" w:firstLineChars="0"/>
              <w:jc w:val="both"/>
              <w:rPr>
                <w:rFonts w:ascii="宋体" w:hAnsi="宋体" w:cs="仿宋"/>
                <w:kern w:val="0"/>
                <w:sz w:val="24"/>
                <w:szCs w:val="24"/>
              </w:rPr>
            </w:pPr>
            <w:r>
              <w:rPr>
                <w:rFonts w:hint="eastAsia" w:ascii="宋体" w:hAnsi="宋体" w:cs="宋体"/>
                <w:color w:val="000000" w:themeColor="text1"/>
                <w:kern w:val="0"/>
                <w:sz w:val="24"/>
                <w:szCs w:val="24"/>
                <w14:textFill>
                  <w14:solidFill>
                    <w14:schemeClr w14:val="tx1"/>
                  </w14:solidFill>
                </w14:textFill>
              </w:rPr>
              <w:t>气相色谱仪</w:t>
            </w:r>
          </w:p>
        </w:tc>
        <w:tc>
          <w:tcPr>
            <w:tcW w:w="6278" w:type="dxa"/>
            <w:vAlign w:val="top"/>
          </w:tcPr>
          <w:p w14:paraId="079E2CBB">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一、配置要求：</w:t>
            </w:r>
            <w:r>
              <w:rPr>
                <w:rFonts w:ascii="Times New Roman" w:hAnsi="Times New Roman" w:cs="Times New Roman"/>
                <w:color w:val="000000" w:themeColor="text1"/>
                <w:kern w:val="0"/>
                <w:sz w:val="24"/>
                <w:szCs w:val="24"/>
                <w14:textFill>
                  <w14:solidFill>
                    <w14:schemeClr w14:val="tx1"/>
                  </w14:solidFill>
                </w14:textFill>
              </w:rPr>
              <w:t xml:space="preserve"> </w:t>
            </w:r>
          </w:p>
          <w:p w14:paraId="55000C9A">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w:t>
            </w:r>
            <w:r>
              <w:rPr>
                <w:rFonts w:hint="eastAsia" w:ascii="Times New Roman" w:hAnsi="Times New Roman" w:cs="Times New Roman"/>
                <w:color w:val="000000" w:themeColor="text1"/>
                <w:kern w:val="0"/>
                <w:sz w:val="24"/>
                <w:szCs w:val="24"/>
                <w14:textFill>
                  <w14:solidFill>
                    <w14:schemeClr w14:val="tx1"/>
                  </w14:solidFill>
                </w14:textFill>
              </w:rPr>
              <w:t>、全电子流量控制气相色谱仪主机</w:t>
            </w:r>
            <w:r>
              <w:rPr>
                <w:rFonts w:ascii="Times New Roman" w:hAnsi="Times New Roman" w:cs="Times New Roman"/>
                <w:color w:val="000000" w:themeColor="text1"/>
                <w:kern w:val="0"/>
                <w:sz w:val="24"/>
                <w:szCs w:val="24"/>
                <w14:textFill>
                  <w14:solidFill>
                    <w14:schemeClr w14:val="tx1"/>
                  </w14:solidFill>
                </w14:textFill>
              </w:rPr>
              <w:t>1</w:t>
            </w:r>
            <w:r>
              <w:rPr>
                <w:rFonts w:hint="eastAsia" w:ascii="Times New Roman" w:hAnsi="Times New Roman" w:cs="Times New Roman"/>
                <w:color w:val="000000" w:themeColor="text1"/>
                <w:kern w:val="0"/>
                <w:sz w:val="24"/>
                <w:szCs w:val="24"/>
                <w14:textFill>
                  <w14:solidFill>
                    <w14:schemeClr w14:val="tx1"/>
                  </w14:solidFill>
                </w14:textFill>
              </w:rPr>
              <w:t>套</w:t>
            </w:r>
          </w:p>
          <w:p w14:paraId="4F75E3D6">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2</w:t>
            </w:r>
            <w:r>
              <w:rPr>
                <w:rFonts w:hint="eastAsia" w:ascii="Times New Roman" w:hAnsi="Times New Roman" w:cs="Times New Roman"/>
                <w:color w:val="000000" w:themeColor="text1"/>
                <w:kern w:val="0"/>
                <w:sz w:val="24"/>
                <w:szCs w:val="24"/>
                <w14:textFill>
                  <w14:solidFill>
                    <w14:schemeClr w14:val="tx1"/>
                  </w14:solidFill>
                </w14:textFill>
              </w:rPr>
              <w:t>、氢火焰检测器</w:t>
            </w:r>
            <w:r>
              <w:rPr>
                <w:rFonts w:ascii="Times New Roman" w:hAnsi="Times New Roman" w:cs="Times New Roman"/>
                <w:color w:val="000000" w:themeColor="text1"/>
                <w:kern w:val="0"/>
                <w:sz w:val="24"/>
                <w:szCs w:val="24"/>
                <w14:textFill>
                  <w14:solidFill>
                    <w14:schemeClr w14:val="tx1"/>
                  </w14:solidFill>
                </w14:textFill>
              </w:rPr>
              <w:t>(FID) 1</w:t>
            </w:r>
            <w:r>
              <w:rPr>
                <w:rFonts w:hint="eastAsia" w:ascii="Times New Roman" w:hAnsi="Times New Roman" w:cs="Times New Roman"/>
                <w:color w:val="000000" w:themeColor="text1"/>
                <w:kern w:val="0"/>
                <w:sz w:val="24"/>
                <w:szCs w:val="24"/>
                <w14:textFill>
                  <w14:solidFill>
                    <w14:schemeClr w14:val="tx1"/>
                  </w14:solidFill>
                </w14:textFill>
              </w:rPr>
              <w:t>套；</w:t>
            </w:r>
          </w:p>
          <w:p w14:paraId="2E2FDBBA">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3</w:t>
            </w:r>
            <w:r>
              <w:rPr>
                <w:rFonts w:hint="eastAsia" w:ascii="Times New Roman" w:hAnsi="Times New Roman" w:cs="Times New Roman"/>
                <w:color w:val="000000" w:themeColor="text1"/>
                <w:kern w:val="0"/>
                <w:sz w:val="24"/>
                <w:szCs w:val="24"/>
                <w14:textFill>
                  <w14:solidFill>
                    <w14:schemeClr w14:val="tx1"/>
                  </w14:solidFill>
                </w14:textFill>
              </w:rPr>
              <w:t>、进样口：分流</w:t>
            </w:r>
            <w:r>
              <w:rPr>
                <w:rFonts w:ascii="Times New Roman" w:hAnsi="Times New Roman" w:cs="Times New Roman"/>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不分流进样口</w:t>
            </w:r>
            <w:r>
              <w:rPr>
                <w:rFonts w:ascii="Times New Roman" w:hAnsi="Times New Roman" w:cs="Times New Roman"/>
                <w:color w:val="000000" w:themeColor="text1"/>
                <w:kern w:val="0"/>
                <w:sz w:val="24"/>
                <w:szCs w:val="24"/>
                <w14:textFill>
                  <w14:solidFill>
                    <w14:schemeClr w14:val="tx1"/>
                  </w14:solidFill>
                </w14:textFill>
              </w:rPr>
              <w:t>1</w:t>
            </w:r>
            <w:r>
              <w:rPr>
                <w:rFonts w:hint="eastAsia" w:ascii="Times New Roman" w:hAnsi="Times New Roman" w:cs="Times New Roman"/>
                <w:color w:val="000000" w:themeColor="text1"/>
                <w:kern w:val="0"/>
                <w:sz w:val="24"/>
                <w:szCs w:val="24"/>
                <w14:textFill>
                  <w14:solidFill>
                    <w14:schemeClr w14:val="tx1"/>
                  </w14:solidFill>
                </w14:textFill>
              </w:rPr>
              <w:t>套；</w:t>
            </w:r>
            <w:r>
              <w:rPr>
                <w:rFonts w:ascii="Times New Roman" w:hAnsi="Times New Roman" w:cs="Times New Roman"/>
                <w:color w:val="000000" w:themeColor="text1"/>
                <w:kern w:val="0"/>
                <w:sz w:val="24"/>
                <w:szCs w:val="24"/>
                <w14:textFill>
                  <w14:solidFill>
                    <w14:schemeClr w14:val="tx1"/>
                  </w14:solidFill>
                </w14:textFill>
              </w:rPr>
              <w:t xml:space="preserve"> </w:t>
            </w:r>
          </w:p>
          <w:p w14:paraId="450380D1">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4</w:t>
            </w:r>
            <w:r>
              <w:rPr>
                <w:rFonts w:hint="eastAsia" w:ascii="Times New Roman" w:hAnsi="Times New Roman" w:cs="Times New Roman"/>
                <w:color w:val="000000" w:themeColor="text1"/>
                <w:kern w:val="0"/>
                <w:sz w:val="24"/>
                <w:szCs w:val="24"/>
                <w14:textFill>
                  <w14:solidFill>
                    <w14:schemeClr w14:val="tx1"/>
                  </w14:solidFill>
                </w14:textFill>
              </w:rPr>
              <w:t>、气路净化装置（三个独立的滤芯，分别用于载气，助燃气的除氧，除湿，除烃）</w:t>
            </w:r>
            <w:r>
              <w:rPr>
                <w:rFonts w:ascii="Times New Roman" w:hAnsi="Times New Roman" w:cs="Times New Roman"/>
                <w:color w:val="000000" w:themeColor="text1"/>
                <w:kern w:val="0"/>
                <w:sz w:val="24"/>
                <w:szCs w:val="24"/>
                <w14:textFill>
                  <w14:solidFill>
                    <w14:schemeClr w14:val="tx1"/>
                  </w14:solidFill>
                </w14:textFill>
              </w:rPr>
              <w:t>1</w:t>
            </w:r>
            <w:r>
              <w:rPr>
                <w:rFonts w:hint="eastAsia" w:ascii="Times New Roman" w:hAnsi="Times New Roman" w:cs="Times New Roman"/>
                <w:color w:val="000000" w:themeColor="text1"/>
                <w:kern w:val="0"/>
                <w:sz w:val="24"/>
                <w:szCs w:val="24"/>
                <w14:textFill>
                  <w14:solidFill>
                    <w14:schemeClr w14:val="tx1"/>
                  </w14:solidFill>
                </w14:textFill>
              </w:rPr>
              <w:t>套</w:t>
            </w:r>
          </w:p>
          <w:p w14:paraId="6682A53D">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5</w:t>
            </w:r>
            <w:r>
              <w:rPr>
                <w:rFonts w:hint="eastAsia" w:ascii="Times New Roman" w:hAnsi="Times New Roman" w:cs="Times New Roman"/>
                <w:color w:val="000000" w:themeColor="text1"/>
                <w:kern w:val="0"/>
                <w:sz w:val="24"/>
                <w:szCs w:val="24"/>
                <w14:textFill>
                  <w14:solidFill>
                    <w14:schemeClr w14:val="tx1"/>
                  </w14:solidFill>
                </w14:textFill>
              </w:rPr>
              <w:t>、主机用</w:t>
            </w:r>
            <w:r>
              <w:rPr>
                <w:rFonts w:ascii="Times New Roman" w:hAnsi="Times New Roman" w:cs="Times New Roman"/>
                <w:color w:val="000000" w:themeColor="text1"/>
                <w:kern w:val="0"/>
                <w:sz w:val="24"/>
                <w:szCs w:val="24"/>
                <w14:textFill>
                  <w14:solidFill>
                    <w14:schemeClr w14:val="tx1"/>
                  </w14:solidFill>
                </w14:textFill>
              </w:rPr>
              <w:t>ClickTek</w:t>
            </w:r>
            <w:r>
              <w:rPr>
                <w:rFonts w:hint="eastAsia" w:ascii="Times New Roman" w:hAnsi="Times New Roman" w:cs="Times New Roman"/>
                <w:color w:val="000000" w:themeColor="text1"/>
                <w:kern w:val="0"/>
                <w:sz w:val="24"/>
                <w:szCs w:val="24"/>
                <w14:textFill>
                  <w14:solidFill>
                    <w14:schemeClr w14:val="tx1"/>
                  </w14:solidFill>
                </w14:textFill>
              </w:rPr>
              <w:t>启动包</w:t>
            </w:r>
          </w:p>
          <w:p w14:paraId="3D60E8C2">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含</w:t>
            </w:r>
            <w:r>
              <w:rPr>
                <w:rFonts w:ascii="Times New Roman" w:hAnsi="Times New Roman" w:cs="Times New Roman"/>
                <w:color w:val="000000" w:themeColor="text1"/>
                <w:kern w:val="0"/>
                <w:sz w:val="24"/>
                <w:szCs w:val="24"/>
                <w14:textFill>
                  <w14:solidFill>
                    <w14:schemeClr w14:val="tx1"/>
                  </w14:solidFill>
                </w14:textFill>
              </w:rPr>
              <w:t>SPL</w:t>
            </w:r>
            <w:r>
              <w:rPr>
                <w:rFonts w:hint="eastAsia" w:ascii="Times New Roman" w:hAnsi="Times New Roman" w:cs="Times New Roman"/>
                <w:color w:val="000000" w:themeColor="text1"/>
                <w:kern w:val="0"/>
                <w:sz w:val="24"/>
                <w:szCs w:val="24"/>
                <w14:textFill>
                  <w14:solidFill>
                    <w14:schemeClr w14:val="tx1"/>
                  </w14:solidFill>
                </w14:textFill>
              </w:rPr>
              <w:t>智能锁、</w:t>
            </w:r>
            <w:r>
              <w:rPr>
                <w:rFonts w:ascii="Times New Roman" w:hAnsi="Times New Roman" w:cs="Times New Roman"/>
                <w:color w:val="000000" w:themeColor="text1"/>
                <w:kern w:val="0"/>
                <w:sz w:val="24"/>
                <w:szCs w:val="24"/>
                <w14:textFill>
                  <w14:solidFill>
                    <w14:schemeClr w14:val="tx1"/>
                  </w14:solidFill>
                </w14:textFill>
              </w:rPr>
              <w:t>SPL/FID</w:t>
            </w:r>
            <w:r>
              <w:rPr>
                <w:rFonts w:hint="eastAsia" w:ascii="Times New Roman" w:hAnsi="Times New Roman" w:cs="Times New Roman"/>
                <w:color w:val="000000" w:themeColor="text1"/>
                <w:kern w:val="0"/>
                <w:sz w:val="24"/>
                <w:szCs w:val="24"/>
                <w14:textFill>
                  <w14:solidFill>
                    <w14:schemeClr w14:val="tx1"/>
                  </w14:solidFill>
                </w14:textFill>
              </w:rPr>
              <w:t>智能扣及基座组件、智能灯、智能规、压环</w:t>
            </w:r>
            <w:r>
              <w:rPr>
                <w:rFonts w:ascii="Times New Roman" w:hAnsi="Times New Roman" w:cs="Times New Roman"/>
                <w:color w:val="000000" w:themeColor="text1"/>
                <w:kern w:val="0"/>
                <w:sz w:val="24"/>
                <w:szCs w:val="24"/>
                <w14:textFill>
                  <w14:solidFill>
                    <w14:schemeClr w14:val="tx1"/>
                  </w14:solidFill>
                </w14:textFill>
              </w:rPr>
              <w:t>(0.25mm</w:t>
            </w:r>
            <w:r>
              <w:rPr>
                <w:rFonts w:hint="eastAsia" w:ascii="Times New Roman" w:hAnsi="Times New Roman" w:cs="Times New Roman"/>
                <w:color w:val="000000" w:themeColor="text1"/>
                <w:kern w:val="0"/>
                <w:sz w:val="24"/>
                <w:szCs w:val="24"/>
                <w14:textFill>
                  <w14:solidFill>
                    <w14:schemeClr w14:val="tx1"/>
                  </w14:solidFill>
                </w14:textFill>
              </w:rPr>
              <w:t>内径及以下色谱柱用</w:t>
            </w:r>
            <w:r>
              <w:rPr>
                <w:rFonts w:ascii="Times New Roman" w:hAnsi="Times New Roman" w:cs="Times New Roman"/>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ClickTek</w:t>
            </w:r>
            <w:r>
              <w:rPr>
                <w:rFonts w:hint="eastAsia" w:ascii="Times New Roman" w:hAnsi="Times New Roman" w:cs="Times New Roman"/>
                <w:color w:val="000000" w:themeColor="text1"/>
                <w:kern w:val="0"/>
                <w:sz w:val="24"/>
                <w:szCs w:val="24"/>
                <w14:textFill>
                  <w14:solidFill>
                    <w14:schemeClr w14:val="tx1"/>
                  </w14:solidFill>
                </w14:textFill>
              </w:rPr>
              <w:t>压环</w:t>
            </w:r>
            <w:r>
              <w:rPr>
                <w:rFonts w:ascii="Times New Roman" w:hAnsi="Times New Roman" w:cs="Times New Roman"/>
                <w:color w:val="000000" w:themeColor="text1"/>
                <w:kern w:val="0"/>
                <w:sz w:val="24"/>
                <w:szCs w:val="24"/>
                <w14:textFill>
                  <w14:solidFill>
                    <w14:schemeClr w14:val="tx1"/>
                  </w14:solidFill>
                </w14:textFill>
              </w:rPr>
              <w:t>(0.32mm</w:t>
            </w:r>
            <w:r>
              <w:rPr>
                <w:rFonts w:hint="eastAsia" w:ascii="Times New Roman" w:hAnsi="Times New Roman" w:cs="Times New Roman"/>
                <w:color w:val="000000" w:themeColor="text1"/>
                <w:kern w:val="0"/>
                <w:sz w:val="24"/>
                <w:szCs w:val="24"/>
                <w14:textFill>
                  <w14:solidFill>
                    <w14:schemeClr w14:val="tx1"/>
                  </w14:solidFill>
                </w14:textFill>
              </w:rPr>
              <w:t>内径色谱柱用</w:t>
            </w:r>
            <w:r>
              <w:rPr>
                <w:rFonts w:ascii="Times New Roman" w:hAnsi="Times New Roman" w:cs="Times New Roman"/>
                <w:color w:val="000000" w:themeColor="text1"/>
                <w:kern w:val="0"/>
                <w:sz w:val="24"/>
                <w:szCs w:val="24"/>
                <w14:textFill>
                  <w14:solidFill>
                    <w14:schemeClr w14:val="tx1"/>
                  </w14:solidFill>
                </w14:textFill>
              </w:rPr>
              <w:t>)</w:t>
            </w:r>
          </w:p>
          <w:p w14:paraId="53B02114">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6</w:t>
            </w:r>
            <w:r>
              <w:rPr>
                <w:rFonts w:hint="eastAsia" w:ascii="Times New Roman" w:hAnsi="Times New Roman" w:cs="Times New Roman"/>
                <w:color w:val="000000" w:themeColor="text1"/>
                <w:kern w:val="0"/>
                <w:sz w:val="24"/>
                <w:szCs w:val="24"/>
                <w14:textFill>
                  <w14:solidFill>
                    <w14:schemeClr w14:val="tx1"/>
                  </w14:solidFill>
                </w14:textFill>
              </w:rPr>
              <w:t>、色谱工作站软件</w:t>
            </w:r>
            <w:r>
              <w:rPr>
                <w:rFonts w:ascii="Times New Roman" w:hAnsi="Times New Roman" w:cs="Times New Roman"/>
                <w:color w:val="000000" w:themeColor="text1"/>
                <w:kern w:val="0"/>
                <w:sz w:val="24"/>
                <w:szCs w:val="24"/>
                <w14:textFill>
                  <w14:solidFill>
                    <w14:schemeClr w14:val="tx1"/>
                  </w14:solidFill>
                </w14:textFill>
              </w:rPr>
              <w:t>1</w:t>
            </w:r>
            <w:r>
              <w:rPr>
                <w:rFonts w:hint="eastAsia" w:ascii="Times New Roman" w:hAnsi="Times New Roman" w:cs="Times New Roman"/>
                <w:color w:val="000000" w:themeColor="text1"/>
                <w:kern w:val="0"/>
                <w:sz w:val="24"/>
                <w:szCs w:val="24"/>
                <w14:textFill>
                  <w14:solidFill>
                    <w14:schemeClr w14:val="tx1"/>
                  </w14:solidFill>
                </w14:textFill>
              </w:rPr>
              <w:t>套</w:t>
            </w:r>
          </w:p>
          <w:p w14:paraId="07A17E38">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7</w:t>
            </w:r>
            <w:r>
              <w:rPr>
                <w:rFonts w:hint="eastAsia" w:ascii="Times New Roman" w:hAnsi="Times New Roman" w:cs="Times New Roman"/>
                <w:color w:val="000000" w:themeColor="text1"/>
                <w:kern w:val="0"/>
                <w:sz w:val="24"/>
                <w:szCs w:val="24"/>
                <w14:textFill>
                  <w14:solidFill>
                    <w14:schemeClr w14:val="tx1"/>
                  </w14:solidFill>
                </w14:textFill>
              </w:rPr>
              <w:t>、随机安装工具包</w:t>
            </w:r>
            <w:r>
              <w:rPr>
                <w:rFonts w:ascii="Times New Roman" w:hAnsi="Times New Roman" w:cs="Times New Roman"/>
                <w:color w:val="000000" w:themeColor="text1"/>
                <w:kern w:val="0"/>
                <w:sz w:val="24"/>
                <w:szCs w:val="24"/>
                <w14:textFill>
                  <w14:solidFill>
                    <w14:schemeClr w14:val="tx1"/>
                  </w14:solidFill>
                </w14:textFill>
              </w:rPr>
              <w:t>1</w:t>
            </w:r>
            <w:r>
              <w:rPr>
                <w:rFonts w:hint="eastAsia" w:ascii="Times New Roman" w:hAnsi="Times New Roman" w:cs="Times New Roman"/>
                <w:color w:val="000000" w:themeColor="text1"/>
                <w:kern w:val="0"/>
                <w:sz w:val="24"/>
                <w:szCs w:val="24"/>
                <w14:textFill>
                  <w14:solidFill>
                    <w14:schemeClr w14:val="tx1"/>
                  </w14:solidFill>
                </w14:textFill>
              </w:rPr>
              <w:t>套</w:t>
            </w:r>
          </w:p>
          <w:p w14:paraId="0E37086A">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8</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1.5mL</w:t>
            </w:r>
            <w:r>
              <w:rPr>
                <w:rFonts w:hint="eastAsia" w:ascii="Times New Roman" w:hAnsi="Times New Roman" w:cs="Times New Roman"/>
                <w:color w:val="000000" w:themeColor="text1"/>
                <w:kern w:val="0"/>
                <w:sz w:val="24"/>
                <w:szCs w:val="24"/>
                <w14:textFill>
                  <w14:solidFill>
                    <w14:schemeClr w14:val="tx1"/>
                  </w14:solidFill>
                </w14:textFill>
              </w:rPr>
              <w:t>样品瓶套装</w:t>
            </w:r>
            <w:r>
              <w:rPr>
                <w:rFonts w:ascii="Times New Roman" w:hAnsi="Times New Roman" w:cs="Times New Roman"/>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带盖和隔垫</w:t>
            </w:r>
            <w:r>
              <w:rPr>
                <w:rFonts w:ascii="Times New Roman" w:hAnsi="Times New Roman" w:cs="Times New Roman"/>
                <w:color w:val="000000" w:themeColor="text1"/>
                <w:kern w:val="0"/>
                <w:sz w:val="24"/>
                <w:szCs w:val="24"/>
                <w14:textFill>
                  <w14:solidFill>
                    <w14:schemeClr w14:val="tx1"/>
                  </w14:solidFill>
                </w14:textFill>
              </w:rPr>
              <w:t xml:space="preserve"> (100</w:t>
            </w:r>
            <w:r>
              <w:rPr>
                <w:rFonts w:hint="eastAsia" w:ascii="Times New Roman" w:hAnsi="Times New Roman" w:cs="Times New Roman"/>
                <w:color w:val="000000" w:themeColor="text1"/>
                <w:kern w:val="0"/>
                <w:sz w:val="24"/>
                <w:szCs w:val="24"/>
                <w14:textFill>
                  <w14:solidFill>
                    <w14:schemeClr w14:val="tx1"/>
                  </w14:solidFill>
                </w14:textFill>
              </w:rPr>
              <w:t>个</w:t>
            </w:r>
            <w:r>
              <w:rPr>
                <w:rFonts w:ascii="Times New Roman" w:hAnsi="Times New Roman" w:cs="Times New Roman"/>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包</w:t>
            </w:r>
            <w:r>
              <w:rPr>
                <w:rFonts w:ascii="Times New Roman" w:hAnsi="Times New Roman" w:cs="Times New Roman"/>
                <w:color w:val="000000" w:themeColor="text1"/>
                <w:kern w:val="0"/>
                <w:sz w:val="24"/>
                <w:szCs w:val="24"/>
                <w14:textFill>
                  <w14:solidFill>
                    <w14:schemeClr w14:val="tx1"/>
                  </w14:solidFill>
                </w14:textFill>
              </w:rPr>
              <w:t>)10</w:t>
            </w:r>
            <w:r>
              <w:rPr>
                <w:rFonts w:hint="eastAsia" w:ascii="Times New Roman" w:hAnsi="Times New Roman" w:cs="Times New Roman"/>
                <w:color w:val="000000" w:themeColor="text1"/>
                <w:kern w:val="0"/>
                <w:sz w:val="24"/>
                <w:szCs w:val="24"/>
                <w14:textFill>
                  <w14:solidFill>
                    <w14:schemeClr w14:val="tx1"/>
                  </w14:solidFill>
                </w14:textFill>
              </w:rPr>
              <w:t>包</w:t>
            </w:r>
          </w:p>
          <w:p w14:paraId="76F65A0B">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9</w:t>
            </w:r>
            <w:r>
              <w:rPr>
                <w:rFonts w:hint="eastAsia" w:ascii="Times New Roman" w:hAnsi="Times New Roman" w:cs="Times New Roman"/>
                <w:color w:val="000000" w:themeColor="text1"/>
                <w:kern w:val="0"/>
                <w:sz w:val="24"/>
                <w:szCs w:val="24"/>
                <w14:textFill>
                  <w14:solidFill>
                    <w14:schemeClr w14:val="tx1"/>
                  </w14:solidFill>
                </w14:textFill>
              </w:rPr>
              <w:t>、色谱柱：专用毛细管色谱柱各一根</w:t>
            </w:r>
          </w:p>
          <w:p w14:paraId="16BA5F92">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10</w:t>
            </w:r>
            <w:r>
              <w:rPr>
                <w:rFonts w:hint="eastAsia" w:ascii="Times New Roman" w:hAnsi="Times New Roman" w:cs="Times New Roman"/>
                <w:color w:val="000000" w:themeColor="text1"/>
                <w:kern w:val="0"/>
                <w:sz w:val="24"/>
                <w:szCs w:val="24"/>
                <w14:textFill>
                  <w14:solidFill>
                    <w14:schemeClr w14:val="tx1"/>
                  </w14:solidFill>
                </w14:textFill>
              </w:rPr>
              <w:t>、国内配套：电脑、激光打印机、钢瓶、氢气发生器、空气发生器各一套</w:t>
            </w:r>
          </w:p>
          <w:p w14:paraId="6BA355EC">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11</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150</w:t>
            </w:r>
            <w:r>
              <w:rPr>
                <w:rFonts w:hint="eastAsia" w:ascii="Times New Roman" w:hAnsi="Times New Roman" w:cs="Times New Roman"/>
                <w:color w:val="000000" w:themeColor="text1"/>
                <w:kern w:val="0"/>
                <w:sz w:val="24"/>
                <w:szCs w:val="24"/>
                <w14:textFill>
                  <w14:solidFill>
                    <w14:schemeClr w14:val="tx1"/>
                  </w14:solidFill>
                </w14:textFill>
              </w:rPr>
              <w:t>位全自动液体进样器一台</w:t>
            </w:r>
          </w:p>
          <w:p w14:paraId="7E73E5E1">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二、仪器详细技术参数（带</w:t>
            </w:r>
            <w:r>
              <w:rPr>
                <w:rFonts w:hint="eastAsia" w:ascii="宋体" w:hAnsi="宋体" w:cs="宋体"/>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为重要技术指标）：</w:t>
            </w:r>
          </w:p>
          <w:p w14:paraId="4C4AC8FF">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快速加热和冷却的柱温箱：</w:t>
            </w:r>
          </w:p>
          <w:p w14:paraId="781D635D">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w:t>
            </w:r>
            <w:r>
              <w:rPr>
                <w:rFonts w:hint="eastAsia" w:ascii="Times New Roman" w:hAnsi="Times New Roman" w:cs="Times New Roman"/>
                <w:color w:val="000000" w:themeColor="text1"/>
                <w:kern w:val="0"/>
                <w:sz w:val="24"/>
                <w:szCs w:val="24"/>
                <w14:textFill>
                  <w14:solidFill>
                    <w14:schemeClr w14:val="tx1"/>
                  </w14:solidFill>
                </w14:textFill>
              </w:rPr>
              <w:t>、柱箱温度：室温以上</w:t>
            </w:r>
            <w:r>
              <w:rPr>
                <w:rFonts w:ascii="Times New Roman" w:hAnsi="Times New Roman" w:cs="Times New Roman"/>
                <w:color w:val="000000" w:themeColor="text1"/>
                <w:kern w:val="0"/>
                <w:sz w:val="24"/>
                <w:szCs w:val="24"/>
                <w14:textFill>
                  <w14:solidFill>
                    <w14:schemeClr w14:val="tx1"/>
                  </w14:solidFill>
                </w14:textFill>
              </w:rPr>
              <w:t xml:space="preserve">3℃ </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 xml:space="preserve"> 450℃</w:t>
            </w:r>
          </w:p>
          <w:p w14:paraId="38D6CEDA">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2</w:t>
            </w:r>
            <w:r>
              <w:rPr>
                <w:rFonts w:hint="eastAsia" w:ascii="Times New Roman" w:hAnsi="Times New Roman" w:cs="Times New Roman"/>
                <w:color w:val="000000" w:themeColor="text1"/>
                <w:kern w:val="0"/>
                <w:sz w:val="24"/>
                <w:szCs w:val="24"/>
                <w14:textFill>
                  <w14:solidFill>
                    <w14:schemeClr w14:val="tx1"/>
                  </w14:solidFill>
                </w14:textFill>
              </w:rPr>
              <w:t>、程序升温：</w:t>
            </w:r>
            <w:r>
              <w:rPr>
                <w:rFonts w:ascii="Times New Roman" w:hAnsi="Times New Roman" w:cs="Times New Roman"/>
                <w:color w:val="000000" w:themeColor="text1"/>
                <w:kern w:val="0"/>
                <w:sz w:val="24"/>
                <w:szCs w:val="24"/>
                <w14:textFill>
                  <w14:solidFill>
                    <w14:schemeClr w14:val="tx1"/>
                  </w14:solidFill>
                </w14:textFill>
              </w:rPr>
              <w:t>≥30</w:t>
            </w:r>
            <w:r>
              <w:rPr>
                <w:rFonts w:hint="eastAsia" w:ascii="Times New Roman" w:hAnsi="Times New Roman" w:cs="Times New Roman"/>
                <w:color w:val="000000" w:themeColor="text1"/>
                <w:kern w:val="0"/>
                <w:sz w:val="24"/>
                <w:szCs w:val="24"/>
                <w14:textFill>
                  <w14:solidFill>
                    <w14:schemeClr w14:val="tx1"/>
                  </w14:solidFill>
                </w14:textFill>
              </w:rPr>
              <w:t>阶</w:t>
            </w:r>
            <w:r>
              <w:rPr>
                <w:rFonts w:ascii="Times New Roman" w:hAnsi="Times New Roman" w:cs="Times New Roman"/>
                <w:color w:val="000000" w:themeColor="text1"/>
                <w:kern w:val="0"/>
                <w:sz w:val="24"/>
                <w:szCs w:val="24"/>
                <w14:textFill>
                  <w14:solidFill>
                    <w14:schemeClr w14:val="tx1"/>
                  </w14:solidFill>
                </w14:textFill>
              </w:rPr>
              <w:t>31</w:t>
            </w:r>
            <w:r>
              <w:rPr>
                <w:rFonts w:hint="eastAsia" w:ascii="Times New Roman" w:hAnsi="Times New Roman" w:cs="Times New Roman"/>
                <w:color w:val="000000" w:themeColor="text1"/>
                <w:kern w:val="0"/>
                <w:sz w:val="24"/>
                <w:szCs w:val="24"/>
                <w14:textFill>
                  <w14:solidFill>
                    <w14:schemeClr w14:val="tx1"/>
                  </w14:solidFill>
                </w14:textFill>
              </w:rPr>
              <w:t>平台</w:t>
            </w:r>
          </w:p>
          <w:p w14:paraId="51B28ABA">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3</w:t>
            </w:r>
            <w:r>
              <w:rPr>
                <w:rFonts w:hint="eastAsia" w:ascii="Times New Roman" w:hAnsi="Times New Roman" w:cs="Times New Roman"/>
                <w:color w:val="000000" w:themeColor="text1"/>
                <w:kern w:val="0"/>
                <w:sz w:val="24"/>
                <w:szCs w:val="24"/>
                <w14:textFill>
                  <w14:solidFill>
                    <w14:schemeClr w14:val="tx1"/>
                  </w14:solidFill>
                </w14:textFill>
              </w:rPr>
              <w:t>、可设定升温速率：</w:t>
            </w:r>
            <w:r>
              <w:rPr>
                <w:rFonts w:ascii="Times New Roman" w:hAnsi="Times New Roman" w:cs="Times New Roman"/>
                <w:color w:val="000000" w:themeColor="text1"/>
                <w:kern w:val="0"/>
                <w:sz w:val="24"/>
                <w:szCs w:val="24"/>
                <w14:textFill>
                  <w14:solidFill>
                    <w14:schemeClr w14:val="tx1"/>
                  </w14:solidFill>
                </w14:textFill>
              </w:rPr>
              <w:t>≥±250℃/min</w:t>
            </w:r>
          </w:p>
          <w:p w14:paraId="1A546E6A">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4</w:t>
            </w:r>
            <w:r>
              <w:rPr>
                <w:rFonts w:hint="eastAsia" w:ascii="Times New Roman" w:hAnsi="Times New Roman" w:cs="Times New Roman"/>
                <w:color w:val="000000" w:themeColor="text1"/>
                <w:kern w:val="0"/>
                <w:sz w:val="24"/>
                <w:szCs w:val="24"/>
                <w14:textFill>
                  <w14:solidFill>
                    <w14:schemeClr w14:val="tx1"/>
                  </w14:solidFill>
                </w14:textFill>
              </w:rPr>
              <w:t>、温度设定精度：</w:t>
            </w:r>
            <w:r>
              <w:rPr>
                <w:rFonts w:ascii="Times New Roman" w:hAnsi="Times New Roman" w:cs="Times New Roman"/>
                <w:color w:val="000000" w:themeColor="text1"/>
                <w:kern w:val="0"/>
                <w:sz w:val="24"/>
                <w:szCs w:val="24"/>
                <w14:textFill>
                  <w14:solidFill>
                    <w14:schemeClr w14:val="tx1"/>
                  </w14:solidFill>
                </w14:textFill>
              </w:rPr>
              <w:t>0.1℃</w:t>
            </w:r>
          </w:p>
          <w:p w14:paraId="78C2FA79">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5</w:t>
            </w:r>
            <w:r>
              <w:rPr>
                <w:rFonts w:hint="eastAsia" w:ascii="Times New Roman" w:hAnsi="Times New Roman" w:cs="Times New Roman"/>
                <w:color w:val="000000" w:themeColor="text1"/>
                <w:kern w:val="0"/>
                <w:sz w:val="24"/>
                <w:szCs w:val="24"/>
                <w14:textFill>
                  <w14:solidFill>
                    <w14:schemeClr w14:val="tx1"/>
                  </w14:solidFill>
                </w14:textFill>
              </w:rPr>
              <w:t>、控温精度：设定值</w:t>
            </w:r>
            <w:r>
              <w:rPr>
                <w:rFonts w:ascii="Times New Roman" w:hAnsi="Times New Roman" w:cs="Times New Roman"/>
                <w:color w:val="000000" w:themeColor="text1"/>
                <w:kern w:val="0"/>
                <w:sz w:val="24"/>
                <w:szCs w:val="24"/>
                <w14:textFill>
                  <w14:solidFill>
                    <w14:schemeClr w14:val="tx1"/>
                  </w14:solidFill>
                </w14:textFill>
              </w:rPr>
              <w:t>(K) ± 1% (</w:t>
            </w:r>
            <w:r>
              <w:rPr>
                <w:rFonts w:hint="eastAsia" w:ascii="Times New Roman" w:hAnsi="Times New Roman" w:cs="Times New Roman"/>
                <w:color w:val="000000" w:themeColor="text1"/>
                <w:kern w:val="0"/>
                <w:sz w:val="24"/>
                <w:szCs w:val="24"/>
                <w14:textFill>
                  <w14:solidFill>
                    <w14:schemeClr w14:val="tx1"/>
                  </w14:solidFill>
                </w14:textFill>
              </w:rPr>
              <w:t>可校准至</w:t>
            </w:r>
            <w:r>
              <w:rPr>
                <w:rFonts w:ascii="Times New Roman" w:hAnsi="Times New Roman" w:cs="Times New Roman"/>
                <w:color w:val="000000" w:themeColor="text1"/>
                <w:kern w:val="0"/>
                <w:sz w:val="24"/>
                <w:szCs w:val="24"/>
                <w14:textFill>
                  <w14:solidFill>
                    <w14:schemeClr w14:val="tx1"/>
                  </w14:solidFill>
                </w14:textFill>
              </w:rPr>
              <w:t>0.01℃)</w:t>
            </w:r>
          </w:p>
          <w:p w14:paraId="4B1AF799">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6</w:t>
            </w:r>
            <w:r>
              <w:rPr>
                <w:rFonts w:hint="eastAsia" w:ascii="Times New Roman" w:hAnsi="Times New Roman" w:cs="Times New Roman"/>
                <w:color w:val="000000" w:themeColor="text1"/>
                <w:kern w:val="0"/>
                <w:sz w:val="24"/>
                <w:szCs w:val="24"/>
                <w14:textFill>
                  <w14:solidFill>
                    <w14:schemeClr w14:val="tx1"/>
                  </w14:solidFill>
                </w14:textFill>
              </w:rPr>
              <w:t>、温度稳定性：周围温度每变化</w:t>
            </w:r>
            <w:r>
              <w:rPr>
                <w:rFonts w:ascii="Times New Roman" w:hAnsi="Times New Roman" w:cs="Times New Roman"/>
                <w:color w:val="000000" w:themeColor="text1"/>
                <w:kern w:val="0"/>
                <w:sz w:val="24"/>
                <w:szCs w:val="24"/>
                <w14:textFill>
                  <w14:solidFill>
                    <w14:schemeClr w14:val="tx1"/>
                  </w14:solidFill>
                </w14:textFill>
              </w:rPr>
              <w:t>1℃</w:t>
            </w:r>
            <w:r>
              <w:rPr>
                <w:rFonts w:hint="eastAsia" w:ascii="Times New Roman" w:hAnsi="Times New Roman" w:cs="Times New Roman"/>
                <w:color w:val="000000" w:themeColor="text1"/>
                <w:kern w:val="0"/>
                <w:sz w:val="24"/>
                <w:szCs w:val="24"/>
                <w14:textFill>
                  <w14:solidFill>
                    <w14:schemeClr w14:val="tx1"/>
                  </w14:solidFill>
                </w14:textFill>
              </w:rPr>
              <w:t>，柱温箱温度变化小于</w:t>
            </w:r>
            <w:r>
              <w:rPr>
                <w:rFonts w:ascii="Times New Roman" w:hAnsi="Times New Roman" w:cs="Times New Roman"/>
                <w:color w:val="000000" w:themeColor="text1"/>
                <w:kern w:val="0"/>
                <w:sz w:val="24"/>
                <w:szCs w:val="24"/>
                <w14:textFill>
                  <w14:solidFill>
                    <w14:schemeClr w14:val="tx1"/>
                  </w14:solidFill>
                </w14:textFill>
              </w:rPr>
              <w:t>0.01℃</w:t>
            </w:r>
          </w:p>
          <w:p w14:paraId="13892109">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7</w:t>
            </w:r>
            <w:r>
              <w:rPr>
                <w:rFonts w:hint="eastAsia" w:ascii="Times New Roman" w:hAnsi="Times New Roman" w:cs="Times New Roman"/>
                <w:color w:val="000000" w:themeColor="text1"/>
                <w:kern w:val="0"/>
                <w:sz w:val="24"/>
                <w:szCs w:val="24"/>
                <w14:textFill>
                  <w14:solidFill>
                    <w14:schemeClr w14:val="tx1"/>
                  </w14:solidFill>
                </w14:textFill>
              </w:rPr>
              <w:t>、冷却速度：从</w:t>
            </w:r>
            <w:r>
              <w:rPr>
                <w:rFonts w:ascii="Times New Roman" w:hAnsi="Times New Roman" w:cs="Times New Roman"/>
                <w:color w:val="000000" w:themeColor="text1"/>
                <w:kern w:val="0"/>
                <w:sz w:val="24"/>
                <w:szCs w:val="24"/>
                <w14:textFill>
                  <w14:solidFill>
                    <w14:schemeClr w14:val="tx1"/>
                  </w14:solidFill>
                </w14:textFill>
              </w:rPr>
              <w:t xml:space="preserve"> 450 </w:t>
            </w:r>
            <w:r>
              <w:rPr>
                <w:rFonts w:hint="eastAsia" w:ascii="Times New Roman" w:hAnsi="Times New Roman" w:cs="Times New Roman"/>
                <w:color w:val="000000" w:themeColor="text1"/>
                <w:kern w:val="0"/>
                <w:sz w:val="24"/>
                <w:szCs w:val="24"/>
                <w14:textFill>
                  <w14:solidFill>
                    <w14:schemeClr w14:val="tx1"/>
                  </w14:solidFill>
                </w14:textFill>
              </w:rPr>
              <w:t>降到</w:t>
            </w:r>
            <w:r>
              <w:rPr>
                <w:rFonts w:ascii="Times New Roman" w:hAnsi="Times New Roman" w:cs="Times New Roman"/>
                <w:color w:val="000000" w:themeColor="text1"/>
                <w:kern w:val="0"/>
                <w:sz w:val="24"/>
                <w:szCs w:val="24"/>
                <w14:textFill>
                  <w14:solidFill>
                    <w14:schemeClr w14:val="tx1"/>
                  </w14:solidFill>
                </w14:textFill>
              </w:rPr>
              <w:t xml:space="preserve"> 50℃ ≤3.5min</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210s</w:t>
            </w:r>
            <w:r>
              <w:rPr>
                <w:rFonts w:hint="eastAsia" w:ascii="Times New Roman" w:hAnsi="Times New Roman" w:cs="Times New Roman"/>
                <w:color w:val="000000" w:themeColor="text1"/>
                <w:kern w:val="0"/>
                <w:sz w:val="24"/>
                <w:szCs w:val="24"/>
                <w14:textFill>
                  <w14:solidFill>
                    <w14:schemeClr w14:val="tx1"/>
                  </w14:solidFill>
                </w14:textFill>
              </w:rPr>
              <w:t>）</w:t>
            </w:r>
          </w:p>
          <w:p w14:paraId="12DAF6F8">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8</w:t>
            </w:r>
            <w:r>
              <w:rPr>
                <w:rFonts w:hint="eastAsia" w:ascii="Times New Roman" w:hAnsi="Times New Roman" w:cs="Times New Roman"/>
                <w:color w:val="000000" w:themeColor="text1"/>
                <w:kern w:val="0"/>
                <w:sz w:val="24"/>
                <w:szCs w:val="24"/>
                <w14:textFill>
                  <w14:solidFill>
                    <w14:schemeClr w14:val="tx1"/>
                  </w14:solidFill>
                </w14:textFill>
              </w:rPr>
              <w:t>、具有柱温箱温度的自动保护功能。</w:t>
            </w:r>
          </w:p>
          <w:p w14:paraId="59AF9804">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9</w:t>
            </w:r>
            <w:r>
              <w:rPr>
                <w:rFonts w:hint="eastAsia" w:ascii="Times New Roman" w:hAnsi="Times New Roman" w:cs="Times New Roman"/>
                <w:color w:val="000000" w:themeColor="text1"/>
                <w:kern w:val="0"/>
                <w:sz w:val="24"/>
                <w:szCs w:val="24"/>
                <w14:textFill>
                  <w14:solidFill>
                    <w14:schemeClr w14:val="tx1"/>
                  </w14:solidFill>
                </w14:textFill>
              </w:rPr>
              <w:t>、最大运行时间：</w:t>
            </w:r>
            <w:r>
              <w:rPr>
                <w:rFonts w:ascii="Times New Roman" w:hAnsi="Times New Roman" w:cs="Times New Roman"/>
                <w:color w:val="000000" w:themeColor="text1"/>
                <w:kern w:val="0"/>
                <w:sz w:val="24"/>
                <w:szCs w:val="24"/>
                <w14:textFill>
                  <w14:solidFill>
                    <w14:schemeClr w14:val="tx1"/>
                  </w14:solidFill>
                </w14:textFill>
              </w:rPr>
              <w:t>9999.99</w:t>
            </w:r>
            <w:r>
              <w:rPr>
                <w:rFonts w:hint="eastAsia" w:ascii="Times New Roman" w:hAnsi="Times New Roman" w:cs="Times New Roman"/>
                <w:color w:val="000000" w:themeColor="text1"/>
                <w:kern w:val="0"/>
                <w:sz w:val="24"/>
                <w:szCs w:val="24"/>
                <w14:textFill>
                  <w14:solidFill>
                    <w14:schemeClr w14:val="tx1"/>
                  </w14:solidFill>
                </w14:textFill>
              </w:rPr>
              <w:t>分钟。</w:t>
            </w:r>
          </w:p>
          <w:p w14:paraId="13DFD0F8">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10</w:t>
            </w:r>
            <w:r>
              <w:rPr>
                <w:rFonts w:hint="eastAsia" w:ascii="Times New Roman" w:hAnsi="Times New Roman" w:cs="Times New Roman"/>
                <w:color w:val="000000" w:themeColor="text1"/>
                <w:kern w:val="0"/>
                <w:sz w:val="24"/>
                <w:szCs w:val="24"/>
                <w14:textFill>
                  <w14:solidFill>
                    <w14:schemeClr w14:val="tx1"/>
                  </w14:solidFill>
                </w14:textFill>
              </w:rPr>
              <w:t>、内置氢气传感器（选配），实时监控泄漏，确保安全使用。须提供此技术的证明材料。</w:t>
            </w:r>
          </w:p>
          <w:p w14:paraId="7552C867">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可依据不同色谱柱自由设置柱温箱降温速率，有效延长色谱柱使用寿命。须提供此技术的证明材料</w:t>
            </w:r>
          </w:p>
          <w:p w14:paraId="41D85C16">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进样单元：</w:t>
            </w:r>
          </w:p>
          <w:p w14:paraId="5EE098BE">
            <w:pPr>
              <w:ind w:firstLine="511" w:firstLineChars="213"/>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最多可同时安装三个独立控温的进样单元，由先进的电子流量控制系统控制（</w:t>
            </w:r>
            <w:r>
              <w:rPr>
                <w:rFonts w:ascii="Times New Roman" w:hAnsi="Times New Roman" w:cs="Times New Roman"/>
                <w:color w:val="000000" w:themeColor="text1"/>
                <w:kern w:val="0"/>
                <w:sz w:val="24"/>
                <w:szCs w:val="24"/>
                <w14:textFill>
                  <w14:solidFill>
                    <w14:schemeClr w14:val="tx1"/>
                  </w14:solidFill>
                </w14:textFill>
              </w:rPr>
              <w:t>AFC</w:t>
            </w:r>
            <w:r>
              <w:rPr>
                <w:rFonts w:hint="eastAsia" w:ascii="Times New Roman" w:hAnsi="Times New Roman" w:cs="Times New Roman"/>
                <w:color w:val="000000" w:themeColor="text1"/>
                <w:kern w:val="0"/>
                <w:sz w:val="24"/>
                <w:szCs w:val="24"/>
                <w14:textFill>
                  <w14:solidFill>
                    <w14:schemeClr w14:val="tx1"/>
                  </w14:solidFill>
                </w14:textFill>
              </w:rPr>
              <w:t>）。</w:t>
            </w:r>
          </w:p>
          <w:p w14:paraId="3E698BCA">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1. </w:t>
            </w:r>
            <w:r>
              <w:rPr>
                <w:rFonts w:hint="eastAsia" w:ascii="Times New Roman" w:hAnsi="Times New Roman" w:cs="Times New Roman"/>
                <w:color w:val="000000" w:themeColor="text1"/>
                <w:kern w:val="0"/>
                <w:sz w:val="24"/>
                <w:szCs w:val="24"/>
                <w14:textFill>
                  <w14:solidFill>
                    <w14:schemeClr w14:val="tx1"/>
                  </w14:solidFill>
                </w14:textFill>
              </w:rPr>
              <w:t>分流</w:t>
            </w:r>
            <w:r>
              <w:rPr>
                <w:rFonts w:ascii="Times New Roman" w:hAnsi="Times New Roman" w:cs="Times New Roman"/>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不分流进样口</w:t>
            </w:r>
          </w:p>
          <w:p w14:paraId="18CE3B67">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1.1  </w:t>
            </w:r>
            <w:r>
              <w:rPr>
                <w:rFonts w:hint="eastAsia" w:ascii="Times New Roman" w:hAnsi="Times New Roman" w:cs="Times New Roman"/>
                <w:color w:val="000000" w:themeColor="text1"/>
                <w:kern w:val="0"/>
                <w:sz w:val="24"/>
                <w:szCs w:val="24"/>
                <w14:textFill>
                  <w14:solidFill>
                    <w14:schemeClr w14:val="tx1"/>
                  </w14:solidFill>
                </w14:textFill>
              </w:rPr>
              <w:t>最高温度：</w:t>
            </w:r>
            <w:r>
              <w:rPr>
                <w:rFonts w:ascii="Times New Roman" w:hAnsi="Times New Roman" w:cs="Times New Roman"/>
                <w:color w:val="000000" w:themeColor="text1"/>
                <w:kern w:val="0"/>
                <w:sz w:val="24"/>
                <w:szCs w:val="24"/>
                <w14:textFill>
                  <w14:solidFill>
                    <w14:schemeClr w14:val="tx1"/>
                  </w14:solidFill>
                </w14:textFill>
              </w:rPr>
              <w:t>420℃</w:t>
            </w:r>
          </w:p>
          <w:p w14:paraId="3AAB7351">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 xml:space="preserve">1.2  </w:t>
            </w:r>
            <w:r>
              <w:rPr>
                <w:rFonts w:hint="eastAsia" w:ascii="Times New Roman" w:hAnsi="Times New Roman" w:cs="Times New Roman"/>
                <w:color w:val="000000" w:themeColor="text1"/>
                <w:kern w:val="0"/>
                <w:sz w:val="24"/>
                <w:szCs w:val="24"/>
                <w14:textFill>
                  <w14:solidFill>
                    <w14:schemeClr w14:val="tx1"/>
                  </w14:solidFill>
                </w14:textFill>
              </w:rPr>
              <w:t>配备全自动电子流量控制系统</w:t>
            </w:r>
            <w:r>
              <w:rPr>
                <w:rFonts w:ascii="Times New Roman" w:hAnsi="Times New Roman" w:cs="Times New Roman"/>
                <w:color w:val="000000" w:themeColor="text1"/>
                <w:kern w:val="0"/>
                <w:sz w:val="24"/>
                <w:szCs w:val="24"/>
                <w14:textFill>
                  <w14:solidFill>
                    <w14:schemeClr w14:val="tx1"/>
                  </w14:solidFill>
                </w14:textFill>
              </w:rPr>
              <w:t>AFC</w:t>
            </w:r>
            <w:r>
              <w:rPr>
                <w:rFonts w:hint="eastAsia" w:ascii="Times New Roman" w:hAnsi="Times New Roman" w:cs="Times New Roman"/>
                <w:color w:val="000000" w:themeColor="text1"/>
                <w:kern w:val="0"/>
                <w:sz w:val="24"/>
                <w:szCs w:val="24"/>
                <w14:textFill>
                  <w14:solidFill>
                    <w14:schemeClr w14:val="tx1"/>
                  </w14:solidFill>
                </w14:textFill>
              </w:rPr>
              <w:t>，具备室温补偿和自动环境补偿功能，支持恒流，恒压，程序增加流速，程序升压及压力脉冲等操作模式以及独特的恒线速度控制功能。须提供软件截图和采用恒线速度分析样品的应用文章证明。</w:t>
            </w:r>
          </w:p>
          <w:p w14:paraId="55A37278">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1.3</w:t>
            </w:r>
            <w:r>
              <w:rPr>
                <w:rFonts w:hint="eastAsia" w:ascii="Times New Roman" w:hAnsi="Times New Roman" w:cs="Times New Roman"/>
                <w:color w:val="000000" w:themeColor="text1"/>
                <w:kern w:val="0"/>
                <w:sz w:val="24"/>
                <w:szCs w:val="24"/>
                <w14:textFill>
                  <w14:solidFill>
                    <w14:schemeClr w14:val="tx1"/>
                  </w14:solidFill>
                </w14:textFill>
              </w:rPr>
              <w:t>、标准配备载气节省模式，有效节约载气消耗量</w:t>
            </w:r>
          </w:p>
          <w:p w14:paraId="7207E52E">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1.4</w:t>
            </w:r>
            <w:r>
              <w:rPr>
                <w:rFonts w:hint="eastAsia" w:ascii="Times New Roman" w:hAnsi="Times New Roman" w:cs="Times New Roman"/>
                <w:color w:val="000000" w:themeColor="text1"/>
                <w:kern w:val="0"/>
                <w:sz w:val="24"/>
                <w:szCs w:val="24"/>
                <w14:textFill>
                  <w14:solidFill>
                    <w14:schemeClr w14:val="tx1"/>
                  </w14:solidFill>
                </w14:textFill>
              </w:rPr>
              <w:t>、压力设定范围：</w:t>
            </w:r>
            <w:r>
              <w:rPr>
                <w:rFonts w:ascii="Times New Roman" w:hAnsi="Times New Roman" w:cs="Times New Roman"/>
                <w:color w:val="000000" w:themeColor="text1"/>
                <w:kern w:val="0"/>
                <w:sz w:val="24"/>
                <w:szCs w:val="24"/>
                <w14:textFill>
                  <w14:solidFill>
                    <w14:schemeClr w14:val="tx1"/>
                  </w14:solidFill>
                </w14:textFill>
              </w:rPr>
              <w:t xml:space="preserve">0 </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 xml:space="preserve"> 1015kPa</w:t>
            </w:r>
            <w:r>
              <w:rPr>
                <w:rFonts w:hint="eastAsia" w:ascii="Times New Roman" w:hAnsi="Times New Roman" w:cs="Times New Roman"/>
                <w:color w:val="000000" w:themeColor="text1"/>
                <w:kern w:val="0"/>
                <w:sz w:val="24"/>
                <w:szCs w:val="24"/>
                <w14:textFill>
                  <w14:solidFill>
                    <w14:schemeClr w14:val="tx1"/>
                  </w14:solidFill>
                </w14:textFill>
              </w:rPr>
              <w:t>（相当于</w:t>
            </w:r>
            <w:r>
              <w:rPr>
                <w:rFonts w:ascii="Times New Roman" w:hAnsi="Times New Roman" w:cs="Times New Roman"/>
                <w:color w:val="000000" w:themeColor="text1"/>
                <w:kern w:val="0"/>
                <w:sz w:val="24"/>
                <w:szCs w:val="24"/>
                <w14:textFill>
                  <w14:solidFill>
                    <w14:schemeClr w14:val="tx1"/>
                  </w14:solidFill>
                </w14:textFill>
              </w:rPr>
              <w:t>0</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147psi</w:t>
            </w:r>
            <w:r>
              <w:rPr>
                <w:rFonts w:hint="eastAsia" w:ascii="Times New Roman" w:hAnsi="Times New Roman" w:cs="Times New Roman"/>
                <w:color w:val="000000" w:themeColor="text1"/>
                <w:kern w:val="0"/>
                <w:sz w:val="24"/>
                <w:szCs w:val="24"/>
                <w14:textFill>
                  <w14:solidFill>
                    <w14:schemeClr w14:val="tx1"/>
                  </w14:solidFill>
                </w14:textFill>
              </w:rPr>
              <w:t>）</w:t>
            </w:r>
          </w:p>
          <w:p w14:paraId="741B8A21">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1.5</w:t>
            </w:r>
            <w:r>
              <w:rPr>
                <w:rFonts w:hint="eastAsia" w:ascii="Times New Roman" w:hAnsi="Times New Roman" w:cs="Times New Roman"/>
                <w:color w:val="000000" w:themeColor="text1"/>
                <w:kern w:val="0"/>
                <w:sz w:val="24"/>
                <w:szCs w:val="24"/>
                <w14:textFill>
                  <w14:solidFill>
                    <w14:schemeClr w14:val="tx1"/>
                  </w14:solidFill>
                </w14:textFill>
              </w:rPr>
              <w:t>、压力控制精度：</w:t>
            </w:r>
            <w:r>
              <w:rPr>
                <w:rFonts w:ascii="Times New Roman" w:hAnsi="Times New Roman" w:cs="Times New Roman"/>
                <w:color w:val="000000" w:themeColor="text1"/>
                <w:kern w:val="0"/>
                <w:sz w:val="24"/>
                <w:szCs w:val="24"/>
                <w14:textFill>
                  <w14:solidFill>
                    <w14:schemeClr w14:val="tx1"/>
                  </w14:solidFill>
                </w14:textFill>
              </w:rPr>
              <w:t>0.001psi/kPa/bar</w:t>
            </w:r>
          </w:p>
          <w:p w14:paraId="4330562D">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1.6</w:t>
            </w:r>
            <w:r>
              <w:rPr>
                <w:rFonts w:hint="eastAsia" w:ascii="Times New Roman" w:hAnsi="Times New Roman" w:cs="Times New Roman"/>
                <w:color w:val="000000" w:themeColor="text1"/>
                <w:kern w:val="0"/>
                <w:sz w:val="24"/>
                <w:szCs w:val="24"/>
                <w14:textFill>
                  <w14:solidFill>
                    <w14:schemeClr w14:val="tx1"/>
                  </w14:solidFill>
                </w14:textFill>
              </w:rPr>
              <w:t>、压力程序比率设定范围：</w:t>
            </w:r>
            <w:r>
              <w:rPr>
                <w:rFonts w:ascii="Times New Roman" w:hAnsi="Times New Roman" w:cs="Times New Roman"/>
                <w:color w:val="000000" w:themeColor="text1"/>
                <w:kern w:val="0"/>
                <w:sz w:val="24"/>
                <w:szCs w:val="24"/>
                <w14:textFill>
                  <w14:solidFill>
                    <w14:schemeClr w14:val="tx1"/>
                  </w14:solidFill>
                </w14:textFill>
              </w:rPr>
              <w:t xml:space="preserve">-400 </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 xml:space="preserve"> 400kPa/min</w:t>
            </w:r>
          </w:p>
          <w:p w14:paraId="506DECE9">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1.7</w:t>
            </w:r>
            <w:r>
              <w:rPr>
                <w:rFonts w:hint="eastAsia" w:ascii="Times New Roman" w:hAnsi="Times New Roman" w:cs="Times New Roman"/>
                <w:color w:val="000000" w:themeColor="text1"/>
                <w:kern w:val="0"/>
                <w:sz w:val="24"/>
                <w:szCs w:val="24"/>
                <w14:textFill>
                  <w14:solidFill>
                    <w14:schemeClr w14:val="tx1"/>
                  </w14:solidFill>
                </w14:textFill>
              </w:rPr>
              <w:t>、压力程序：</w:t>
            </w:r>
            <w:r>
              <w:rPr>
                <w:rFonts w:ascii="Times New Roman" w:hAnsi="Times New Roman" w:cs="Times New Roman"/>
                <w:color w:val="000000" w:themeColor="text1"/>
                <w:kern w:val="0"/>
                <w:sz w:val="24"/>
                <w:szCs w:val="24"/>
                <w14:textFill>
                  <w14:solidFill>
                    <w14:schemeClr w14:val="tx1"/>
                  </w14:solidFill>
                </w14:textFill>
              </w:rPr>
              <w:t>7</w:t>
            </w:r>
            <w:r>
              <w:rPr>
                <w:rFonts w:hint="eastAsia" w:ascii="Times New Roman" w:hAnsi="Times New Roman" w:cs="Times New Roman"/>
                <w:color w:val="000000" w:themeColor="text1"/>
                <w:kern w:val="0"/>
                <w:sz w:val="24"/>
                <w:szCs w:val="24"/>
                <w14:textFill>
                  <w14:solidFill>
                    <w14:schemeClr w14:val="tx1"/>
                  </w14:solidFill>
                </w14:textFill>
              </w:rPr>
              <w:t>阶</w:t>
            </w:r>
          </w:p>
          <w:p w14:paraId="0D6E7896">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1.8</w:t>
            </w:r>
            <w:r>
              <w:rPr>
                <w:rFonts w:hint="eastAsia" w:ascii="Times New Roman" w:hAnsi="Times New Roman" w:cs="Times New Roman"/>
                <w:color w:val="000000" w:themeColor="text1"/>
                <w:kern w:val="0"/>
                <w:sz w:val="24"/>
                <w:szCs w:val="24"/>
                <w14:textFill>
                  <w14:solidFill>
                    <w14:schemeClr w14:val="tx1"/>
                  </w14:solidFill>
                </w14:textFill>
              </w:rPr>
              <w:t>、分流比设定范围：</w:t>
            </w:r>
            <w:r>
              <w:rPr>
                <w:rFonts w:ascii="Times New Roman" w:hAnsi="Times New Roman" w:cs="Times New Roman"/>
                <w:color w:val="000000" w:themeColor="text1"/>
                <w:kern w:val="0"/>
                <w:sz w:val="24"/>
                <w:szCs w:val="24"/>
                <w14:textFill>
                  <w14:solidFill>
                    <w14:schemeClr w14:val="tx1"/>
                  </w14:solidFill>
                </w14:textFill>
              </w:rPr>
              <w:t xml:space="preserve">0 </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 xml:space="preserve"> 9000</w:t>
            </w:r>
          </w:p>
          <w:p w14:paraId="2B1925E7">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1.9</w:t>
            </w:r>
            <w:r>
              <w:rPr>
                <w:rFonts w:hint="eastAsia" w:ascii="Times New Roman" w:hAnsi="Times New Roman" w:cs="Times New Roman"/>
                <w:color w:val="000000" w:themeColor="text1"/>
                <w:kern w:val="0"/>
                <w:sz w:val="24"/>
                <w:szCs w:val="24"/>
                <w14:textFill>
                  <w14:solidFill>
                    <w14:schemeClr w14:val="tx1"/>
                  </w14:solidFill>
                </w14:textFill>
              </w:rPr>
              <w:t>、流量设定范围：</w:t>
            </w:r>
            <w:r>
              <w:rPr>
                <w:rFonts w:ascii="Times New Roman" w:hAnsi="Times New Roman" w:cs="Times New Roman"/>
                <w:color w:val="000000" w:themeColor="text1"/>
                <w:kern w:val="0"/>
                <w:sz w:val="24"/>
                <w:szCs w:val="24"/>
                <w14:textFill>
                  <w14:solidFill>
                    <w14:schemeClr w14:val="tx1"/>
                  </w14:solidFill>
                </w14:textFill>
              </w:rPr>
              <w:t xml:space="preserve">0 </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 xml:space="preserve"> 1280mL/min</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He</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 xml:space="preserve">0 </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 xml:space="preserve"> 550mL/min</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N2</w:t>
            </w:r>
          </w:p>
          <w:p w14:paraId="049FE5B8">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 xml:space="preserve">1.10  </w:t>
            </w:r>
            <w:r>
              <w:rPr>
                <w:rFonts w:hint="eastAsia" w:ascii="Times New Roman" w:hAnsi="Times New Roman" w:cs="Times New Roman"/>
                <w:color w:val="000000" w:themeColor="text1"/>
                <w:kern w:val="0"/>
                <w:sz w:val="24"/>
                <w:szCs w:val="24"/>
                <w14:textFill>
                  <w14:solidFill>
                    <w14:schemeClr w14:val="tx1"/>
                  </w14:solidFill>
                </w14:textFill>
              </w:rPr>
              <w:t>具备</w:t>
            </w:r>
            <w:r>
              <w:rPr>
                <w:rFonts w:ascii="Times New Roman" w:hAnsi="Times New Roman" w:cs="Times New Roman"/>
                <w:color w:val="000000" w:themeColor="text1"/>
                <w:kern w:val="0"/>
                <w:sz w:val="24"/>
                <w:szCs w:val="24"/>
                <w14:textFill>
                  <w14:solidFill>
                    <w14:schemeClr w14:val="tx1"/>
                  </w14:solidFill>
                </w14:textFill>
              </w:rPr>
              <w:t>ClickTek</w:t>
            </w:r>
            <w:r>
              <w:rPr>
                <w:rFonts w:hint="eastAsia" w:ascii="Times New Roman" w:hAnsi="Times New Roman" w:cs="Times New Roman"/>
                <w:color w:val="000000" w:themeColor="text1"/>
                <w:kern w:val="0"/>
                <w:sz w:val="24"/>
                <w:szCs w:val="24"/>
                <w14:textFill>
                  <w14:solidFill>
                    <w14:schemeClr w14:val="tx1"/>
                  </w14:solidFill>
                </w14:textFill>
              </w:rPr>
              <w:t>技术（包含智能锁、智能扣、智能规、智能灯），不使用任何工具即可打开</w:t>
            </w:r>
            <w:r>
              <w:rPr>
                <w:rFonts w:ascii="Times New Roman" w:hAnsi="Times New Roman" w:cs="Times New Roman"/>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关闭进样口，不使用任何工具即可安装</w:t>
            </w:r>
            <w:r>
              <w:rPr>
                <w:rFonts w:ascii="Times New Roman" w:hAnsi="Times New Roman" w:cs="Times New Roman"/>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更换色谱柱的同时，仪器更可以自动感知最佳安装和气密位置。须提供此技术的证明材料。</w:t>
            </w:r>
          </w:p>
          <w:p w14:paraId="4CACF1C4">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2. </w:t>
            </w:r>
            <w:r>
              <w:rPr>
                <w:rFonts w:hint="eastAsia" w:ascii="Times New Roman" w:hAnsi="Times New Roman" w:cs="Times New Roman"/>
                <w:color w:val="000000" w:themeColor="text1"/>
                <w:kern w:val="0"/>
                <w:sz w:val="24"/>
                <w:szCs w:val="24"/>
                <w14:textFill>
                  <w14:solidFill>
                    <w14:schemeClr w14:val="tx1"/>
                  </w14:solidFill>
                </w14:textFill>
              </w:rPr>
              <w:t>冷柱头进样口</w:t>
            </w:r>
          </w:p>
          <w:p w14:paraId="30253E16">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2.1 </w:t>
            </w:r>
            <w:r>
              <w:rPr>
                <w:rFonts w:hint="eastAsia" w:ascii="Times New Roman" w:hAnsi="Times New Roman" w:cs="Times New Roman"/>
                <w:color w:val="000000" w:themeColor="text1"/>
                <w:kern w:val="0"/>
                <w:sz w:val="24"/>
                <w:szCs w:val="24"/>
                <w14:textFill>
                  <w14:solidFill>
                    <w14:schemeClr w14:val="tx1"/>
                  </w14:solidFill>
                </w14:textFill>
              </w:rPr>
              <w:t>最高温度：</w:t>
            </w:r>
            <w:r>
              <w:rPr>
                <w:rFonts w:ascii="Times New Roman" w:hAnsi="Times New Roman" w:cs="Times New Roman"/>
                <w:color w:val="000000" w:themeColor="text1"/>
                <w:kern w:val="0"/>
                <w:sz w:val="24"/>
                <w:szCs w:val="24"/>
                <w14:textFill>
                  <w14:solidFill>
                    <w14:schemeClr w14:val="tx1"/>
                  </w14:solidFill>
                </w14:textFill>
              </w:rPr>
              <w:t>450℃</w:t>
            </w:r>
          </w:p>
          <w:p w14:paraId="2A817710">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2.2 </w:t>
            </w:r>
            <w:r>
              <w:rPr>
                <w:rFonts w:hint="eastAsia" w:ascii="Times New Roman" w:hAnsi="Times New Roman" w:cs="Times New Roman"/>
                <w:color w:val="000000" w:themeColor="text1"/>
                <w:kern w:val="0"/>
                <w:sz w:val="24"/>
                <w:szCs w:val="24"/>
                <w14:textFill>
                  <w14:solidFill>
                    <w14:schemeClr w14:val="tx1"/>
                  </w14:solidFill>
                </w14:textFill>
              </w:rPr>
              <w:t>压力设定范围：</w:t>
            </w:r>
            <w:r>
              <w:rPr>
                <w:rFonts w:ascii="Times New Roman" w:hAnsi="Times New Roman" w:cs="Times New Roman"/>
                <w:color w:val="000000" w:themeColor="text1"/>
                <w:kern w:val="0"/>
                <w:sz w:val="24"/>
                <w:szCs w:val="24"/>
                <w14:textFill>
                  <w14:solidFill>
                    <w14:schemeClr w14:val="tx1"/>
                  </w14:solidFill>
                </w14:textFill>
              </w:rPr>
              <w:t xml:space="preserve">0 </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 xml:space="preserve"> 1015kPa</w:t>
            </w:r>
            <w:r>
              <w:rPr>
                <w:rFonts w:hint="eastAsia" w:ascii="Times New Roman" w:hAnsi="Times New Roman" w:cs="Times New Roman"/>
                <w:color w:val="000000" w:themeColor="text1"/>
                <w:kern w:val="0"/>
                <w:sz w:val="24"/>
                <w:szCs w:val="24"/>
                <w14:textFill>
                  <w14:solidFill>
                    <w14:schemeClr w14:val="tx1"/>
                  </w14:solidFill>
                </w14:textFill>
              </w:rPr>
              <w:t>（相当于</w:t>
            </w:r>
            <w:r>
              <w:rPr>
                <w:rFonts w:ascii="Times New Roman" w:hAnsi="Times New Roman" w:cs="Times New Roman"/>
                <w:color w:val="000000" w:themeColor="text1"/>
                <w:kern w:val="0"/>
                <w:sz w:val="24"/>
                <w:szCs w:val="24"/>
                <w14:textFill>
                  <w14:solidFill>
                    <w14:schemeClr w14:val="tx1"/>
                  </w14:solidFill>
                </w14:textFill>
              </w:rPr>
              <w:t>0</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147psi</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 xml:space="preserve"> </w:t>
            </w:r>
          </w:p>
          <w:p w14:paraId="57EF2543">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3. </w:t>
            </w:r>
            <w:r>
              <w:rPr>
                <w:rFonts w:hint="eastAsia" w:ascii="Times New Roman" w:hAnsi="Times New Roman" w:cs="Times New Roman"/>
                <w:color w:val="000000" w:themeColor="text1"/>
                <w:kern w:val="0"/>
                <w:sz w:val="24"/>
                <w:szCs w:val="24"/>
                <w14:textFill>
                  <w14:solidFill>
                    <w14:schemeClr w14:val="tx1"/>
                  </w14:solidFill>
                </w14:textFill>
              </w:rPr>
              <w:t>程序升温进样口</w:t>
            </w:r>
          </w:p>
          <w:p w14:paraId="26040E8B">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3.1</w:t>
            </w:r>
            <w:r>
              <w:rPr>
                <w:rFonts w:hint="eastAsia" w:ascii="Times New Roman" w:hAnsi="Times New Roman" w:cs="Times New Roman"/>
                <w:color w:val="000000" w:themeColor="text1"/>
                <w:kern w:val="0"/>
                <w:sz w:val="24"/>
                <w:szCs w:val="24"/>
                <w14:textFill>
                  <w14:solidFill>
                    <w14:schemeClr w14:val="tx1"/>
                  </w14:solidFill>
                </w14:textFill>
              </w:rPr>
              <w:t>最高温度：</w:t>
            </w:r>
            <w:r>
              <w:rPr>
                <w:rFonts w:ascii="Times New Roman" w:hAnsi="Times New Roman" w:cs="Times New Roman"/>
                <w:color w:val="000000" w:themeColor="text1"/>
                <w:kern w:val="0"/>
                <w:sz w:val="24"/>
                <w:szCs w:val="24"/>
                <w14:textFill>
                  <w14:solidFill>
                    <w14:schemeClr w14:val="tx1"/>
                  </w14:solidFill>
                </w14:textFill>
              </w:rPr>
              <w:t>450℃</w:t>
            </w:r>
          </w:p>
          <w:p w14:paraId="680B8C06">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3.2 </w:t>
            </w:r>
            <w:r>
              <w:rPr>
                <w:rFonts w:hint="eastAsia" w:ascii="Times New Roman" w:hAnsi="Times New Roman" w:cs="Times New Roman"/>
                <w:color w:val="000000" w:themeColor="text1"/>
                <w:kern w:val="0"/>
                <w:sz w:val="24"/>
                <w:szCs w:val="24"/>
                <w14:textFill>
                  <w14:solidFill>
                    <w14:schemeClr w14:val="tx1"/>
                  </w14:solidFill>
                </w14:textFill>
              </w:rPr>
              <w:t>压力设定范围：</w:t>
            </w:r>
            <w:r>
              <w:rPr>
                <w:rFonts w:ascii="Times New Roman" w:hAnsi="Times New Roman" w:cs="Times New Roman"/>
                <w:color w:val="000000" w:themeColor="text1"/>
                <w:kern w:val="0"/>
                <w:sz w:val="24"/>
                <w:szCs w:val="24"/>
                <w14:textFill>
                  <w14:solidFill>
                    <w14:schemeClr w14:val="tx1"/>
                  </w14:solidFill>
                </w14:textFill>
              </w:rPr>
              <w:t xml:space="preserve">0 </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 xml:space="preserve"> 1015kPa</w:t>
            </w:r>
            <w:r>
              <w:rPr>
                <w:rFonts w:hint="eastAsia" w:ascii="Times New Roman" w:hAnsi="Times New Roman" w:cs="Times New Roman"/>
                <w:color w:val="000000" w:themeColor="text1"/>
                <w:kern w:val="0"/>
                <w:sz w:val="24"/>
                <w:szCs w:val="24"/>
                <w14:textFill>
                  <w14:solidFill>
                    <w14:schemeClr w14:val="tx1"/>
                  </w14:solidFill>
                </w14:textFill>
              </w:rPr>
              <w:t>（相当于</w:t>
            </w:r>
            <w:r>
              <w:rPr>
                <w:rFonts w:ascii="Times New Roman" w:hAnsi="Times New Roman" w:cs="Times New Roman"/>
                <w:color w:val="000000" w:themeColor="text1"/>
                <w:kern w:val="0"/>
                <w:sz w:val="24"/>
                <w:szCs w:val="24"/>
                <w14:textFill>
                  <w14:solidFill>
                    <w14:schemeClr w14:val="tx1"/>
                  </w14:solidFill>
                </w14:textFill>
              </w:rPr>
              <w:t>0</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147psi</w:t>
            </w:r>
            <w:r>
              <w:rPr>
                <w:rFonts w:hint="eastAsia" w:ascii="Times New Roman" w:hAnsi="Times New Roman" w:cs="Times New Roman"/>
                <w:color w:val="000000" w:themeColor="text1"/>
                <w:kern w:val="0"/>
                <w:sz w:val="24"/>
                <w:szCs w:val="24"/>
                <w14:textFill>
                  <w14:solidFill>
                    <w14:schemeClr w14:val="tx1"/>
                  </w14:solidFill>
                </w14:textFill>
              </w:rPr>
              <w:t>）</w:t>
            </w:r>
          </w:p>
          <w:p w14:paraId="5B6747E7">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3.3 </w:t>
            </w:r>
            <w:r>
              <w:rPr>
                <w:rFonts w:hint="eastAsia" w:ascii="Times New Roman" w:hAnsi="Times New Roman" w:cs="Times New Roman"/>
                <w:color w:val="000000" w:themeColor="text1"/>
                <w:kern w:val="0"/>
                <w:sz w:val="24"/>
                <w:szCs w:val="24"/>
                <w14:textFill>
                  <w14:solidFill>
                    <w14:schemeClr w14:val="tx1"/>
                  </w14:solidFill>
                </w14:textFill>
              </w:rPr>
              <w:t>升温速率：</w:t>
            </w:r>
            <w:r>
              <w:rPr>
                <w:rFonts w:ascii="Times New Roman" w:hAnsi="Times New Roman" w:cs="Times New Roman"/>
                <w:color w:val="000000" w:themeColor="text1"/>
                <w:kern w:val="0"/>
                <w:sz w:val="24"/>
                <w:szCs w:val="24"/>
                <w14:textFill>
                  <w14:solidFill>
                    <w14:schemeClr w14:val="tx1"/>
                  </w14:solidFill>
                </w14:textFill>
              </w:rPr>
              <w:t xml:space="preserve">≤ 250℃/min </w:t>
            </w:r>
          </w:p>
          <w:p w14:paraId="3A97B5B3">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检测器：</w:t>
            </w:r>
          </w:p>
          <w:p w14:paraId="1A7C151A">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1</w:t>
            </w:r>
            <w:r>
              <w:rPr>
                <w:rFonts w:hint="eastAsia" w:ascii="Times New Roman" w:hAnsi="Times New Roman" w:cs="Times New Roman"/>
                <w:color w:val="000000" w:themeColor="text1"/>
                <w:kern w:val="0"/>
                <w:sz w:val="24"/>
                <w:szCs w:val="24"/>
                <w14:textFill>
                  <w14:solidFill>
                    <w14:schemeClr w14:val="tx1"/>
                  </w14:solidFill>
                </w14:textFill>
              </w:rPr>
              <w:t>、可同时安装四个独立控温的检测器，检测器的气体由先进的压力控制系统控制（</w:t>
            </w:r>
            <w:r>
              <w:rPr>
                <w:rFonts w:ascii="Times New Roman" w:hAnsi="Times New Roman" w:cs="Times New Roman"/>
                <w:color w:val="000000" w:themeColor="text1"/>
                <w:kern w:val="0"/>
                <w:sz w:val="24"/>
                <w:szCs w:val="24"/>
                <w14:textFill>
                  <w14:solidFill>
                    <w14:schemeClr w14:val="tx1"/>
                  </w14:solidFill>
                </w14:textFill>
              </w:rPr>
              <w:t>APC</w:t>
            </w:r>
            <w:r>
              <w:rPr>
                <w:rFonts w:hint="eastAsia" w:ascii="Times New Roman" w:hAnsi="Times New Roman" w:cs="Times New Roman"/>
                <w:color w:val="000000" w:themeColor="text1"/>
                <w:kern w:val="0"/>
                <w:sz w:val="24"/>
                <w:szCs w:val="24"/>
                <w14:textFill>
                  <w14:solidFill>
                    <w14:schemeClr w14:val="tx1"/>
                  </w14:solidFill>
                </w14:textFill>
              </w:rPr>
              <w:t>），检测器的数据采集速率是</w:t>
            </w:r>
            <w:r>
              <w:rPr>
                <w:rFonts w:ascii="Times New Roman" w:hAnsi="Times New Roman" w:cs="Times New Roman"/>
                <w:color w:val="000000" w:themeColor="text1"/>
                <w:kern w:val="0"/>
                <w:sz w:val="24"/>
                <w:szCs w:val="24"/>
                <w14:textFill>
                  <w14:solidFill>
                    <w14:schemeClr w14:val="tx1"/>
                  </w14:solidFill>
                </w14:textFill>
              </w:rPr>
              <w:t>500Hz</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2.0ms</w:t>
            </w:r>
            <w:r>
              <w:rPr>
                <w:rFonts w:hint="eastAsia" w:ascii="Times New Roman" w:hAnsi="Times New Roman" w:cs="Times New Roman"/>
                <w:color w:val="000000" w:themeColor="text1"/>
                <w:kern w:val="0"/>
                <w:sz w:val="24"/>
                <w:szCs w:val="24"/>
                <w14:textFill>
                  <w14:solidFill>
                    <w14:schemeClr w14:val="tx1"/>
                  </w14:solidFill>
                </w14:textFill>
              </w:rPr>
              <w:t>），需要提供证明材料。</w:t>
            </w:r>
          </w:p>
          <w:p w14:paraId="1B25DF42">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2. </w:t>
            </w:r>
            <w:r>
              <w:rPr>
                <w:rFonts w:hint="eastAsia" w:ascii="Times New Roman" w:hAnsi="Times New Roman" w:cs="Times New Roman"/>
                <w:color w:val="000000" w:themeColor="text1"/>
                <w:kern w:val="0"/>
                <w:sz w:val="24"/>
                <w:szCs w:val="24"/>
                <w14:textFill>
                  <w14:solidFill>
                    <w14:schemeClr w14:val="tx1"/>
                  </w14:solidFill>
                </w14:textFill>
              </w:rPr>
              <w:t>氢火焰离子化检测器（</w:t>
            </w:r>
            <w:r>
              <w:rPr>
                <w:rFonts w:ascii="Times New Roman" w:hAnsi="Times New Roman" w:cs="Times New Roman"/>
                <w:color w:val="000000" w:themeColor="text1"/>
                <w:kern w:val="0"/>
                <w:sz w:val="24"/>
                <w:szCs w:val="24"/>
                <w14:textFill>
                  <w14:solidFill>
                    <w14:schemeClr w14:val="tx1"/>
                  </w14:solidFill>
                </w14:textFill>
              </w:rPr>
              <w:t>FID</w:t>
            </w:r>
            <w:r>
              <w:rPr>
                <w:rFonts w:hint="eastAsia" w:ascii="Times New Roman" w:hAnsi="Times New Roman" w:cs="Times New Roman"/>
                <w:color w:val="000000" w:themeColor="text1"/>
                <w:kern w:val="0"/>
                <w:sz w:val="24"/>
                <w:szCs w:val="24"/>
                <w14:textFill>
                  <w14:solidFill>
                    <w14:schemeClr w14:val="tx1"/>
                  </w14:solidFill>
                </w14:textFill>
              </w:rPr>
              <w:t>）</w:t>
            </w:r>
          </w:p>
          <w:p w14:paraId="6C75208E">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2.1 </w:t>
            </w:r>
            <w:r>
              <w:rPr>
                <w:rFonts w:hint="eastAsia" w:ascii="Times New Roman" w:hAnsi="Times New Roman" w:cs="Times New Roman"/>
                <w:color w:val="000000" w:themeColor="text1"/>
                <w:kern w:val="0"/>
                <w:sz w:val="24"/>
                <w:szCs w:val="24"/>
                <w14:textFill>
                  <w14:solidFill>
                    <w14:schemeClr w14:val="tx1"/>
                  </w14:solidFill>
                </w14:textFill>
              </w:rPr>
              <w:t>最高使用温度：</w:t>
            </w:r>
            <w:r>
              <w:rPr>
                <w:rFonts w:ascii="Times New Roman" w:hAnsi="Times New Roman" w:cs="Times New Roman"/>
                <w:color w:val="000000" w:themeColor="text1"/>
                <w:kern w:val="0"/>
                <w:sz w:val="24"/>
                <w:szCs w:val="24"/>
                <w14:textFill>
                  <w14:solidFill>
                    <w14:schemeClr w14:val="tx1"/>
                  </w14:solidFill>
                </w14:textFill>
              </w:rPr>
              <w:t>450℃</w:t>
            </w:r>
          </w:p>
          <w:p w14:paraId="2626A096">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2.2 </w:t>
            </w:r>
            <w:r>
              <w:rPr>
                <w:rFonts w:hint="eastAsia" w:ascii="Times New Roman" w:hAnsi="Times New Roman" w:cs="Times New Roman"/>
                <w:color w:val="000000" w:themeColor="text1"/>
                <w:kern w:val="0"/>
                <w:sz w:val="24"/>
                <w:szCs w:val="24"/>
                <w14:textFill>
                  <w14:solidFill>
                    <w14:schemeClr w14:val="tx1"/>
                  </w14:solidFill>
                </w14:textFill>
              </w:rPr>
              <w:t>自动点火功能</w:t>
            </w:r>
          </w:p>
          <w:p w14:paraId="6AC23636">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 xml:space="preserve">2.3 </w:t>
            </w:r>
            <w:r>
              <w:rPr>
                <w:rFonts w:hint="eastAsia" w:ascii="Times New Roman" w:hAnsi="Times New Roman" w:cs="Times New Roman"/>
                <w:color w:val="000000" w:themeColor="text1"/>
                <w:kern w:val="0"/>
                <w:sz w:val="24"/>
                <w:szCs w:val="24"/>
                <w14:textFill>
                  <w14:solidFill>
                    <w14:schemeClr w14:val="tx1"/>
                  </w14:solidFill>
                </w14:textFill>
              </w:rPr>
              <w:t>检测限：</w:t>
            </w:r>
            <w:r>
              <w:rPr>
                <w:rFonts w:ascii="Times New Roman" w:hAnsi="Times New Roman" w:cs="Times New Roman"/>
                <w:color w:val="000000" w:themeColor="text1"/>
                <w:kern w:val="0"/>
                <w:sz w:val="24"/>
                <w:szCs w:val="24"/>
                <w14:textFill>
                  <w14:solidFill>
                    <w14:schemeClr w14:val="tx1"/>
                  </w14:solidFill>
                </w14:textFill>
              </w:rPr>
              <w:t xml:space="preserve">1.3×10-12g/s ( </w:t>
            </w:r>
            <w:r>
              <w:rPr>
                <w:rFonts w:hint="eastAsia" w:ascii="Times New Roman" w:hAnsi="Times New Roman" w:cs="Times New Roman"/>
                <w:color w:val="000000" w:themeColor="text1"/>
                <w:kern w:val="0"/>
                <w:sz w:val="24"/>
                <w:szCs w:val="24"/>
                <w14:textFill>
                  <w14:solidFill>
                    <w14:schemeClr w14:val="tx1"/>
                  </w14:solidFill>
                </w14:textFill>
              </w:rPr>
              <w:t>十二烷</w:t>
            </w: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，需要提供国家计量检定报告</w:t>
            </w:r>
          </w:p>
          <w:p w14:paraId="563227E8">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2.4 </w:t>
            </w:r>
            <w:r>
              <w:rPr>
                <w:rFonts w:hint="eastAsia" w:ascii="Times New Roman" w:hAnsi="Times New Roman" w:cs="Times New Roman"/>
                <w:color w:val="000000" w:themeColor="text1"/>
                <w:kern w:val="0"/>
                <w:sz w:val="24"/>
                <w:szCs w:val="24"/>
                <w14:textFill>
                  <w14:solidFill>
                    <w14:schemeClr w14:val="tx1"/>
                  </w14:solidFill>
                </w14:textFill>
              </w:rPr>
              <w:t>动态范围：</w:t>
            </w:r>
            <w:r>
              <w:rPr>
                <w:rFonts w:ascii="Times New Roman" w:hAnsi="Times New Roman" w:cs="Times New Roman"/>
                <w:color w:val="000000" w:themeColor="text1"/>
                <w:kern w:val="0"/>
                <w:sz w:val="24"/>
                <w:szCs w:val="24"/>
                <w14:textFill>
                  <w14:solidFill>
                    <w14:schemeClr w14:val="tx1"/>
                  </w14:solidFill>
                </w14:textFill>
              </w:rPr>
              <w:t>10</w:t>
            </w:r>
            <w:r>
              <w:rPr>
                <w:rFonts w:ascii="Times New Roman" w:hAnsi="Times New Roman" w:cs="Times New Roman"/>
                <w:color w:val="000000" w:themeColor="text1"/>
                <w:kern w:val="0"/>
                <w:sz w:val="24"/>
                <w:szCs w:val="24"/>
                <w:vertAlign w:val="superscript"/>
                <w14:textFill>
                  <w14:solidFill>
                    <w14:schemeClr w14:val="tx1"/>
                  </w14:solidFill>
                </w14:textFill>
              </w:rPr>
              <w:t>7</w:t>
            </w:r>
          </w:p>
          <w:p w14:paraId="7FFE6BB6">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2.5 </w:t>
            </w:r>
            <w:r>
              <w:rPr>
                <w:rFonts w:hint="eastAsia" w:ascii="Times New Roman" w:hAnsi="Times New Roman" w:cs="Times New Roman"/>
                <w:color w:val="000000" w:themeColor="text1"/>
                <w:kern w:val="0"/>
                <w:sz w:val="24"/>
                <w:szCs w:val="24"/>
                <w14:textFill>
                  <w14:solidFill>
                    <w14:schemeClr w14:val="tx1"/>
                  </w14:solidFill>
                </w14:textFill>
              </w:rPr>
              <w:t>数据采集速度：</w:t>
            </w:r>
            <w:r>
              <w:rPr>
                <w:rFonts w:ascii="Times New Roman" w:hAnsi="Times New Roman" w:cs="Times New Roman"/>
                <w:color w:val="000000" w:themeColor="text1"/>
                <w:kern w:val="0"/>
                <w:sz w:val="24"/>
                <w:szCs w:val="24"/>
                <w14:textFill>
                  <w14:solidFill>
                    <w14:schemeClr w14:val="tx1"/>
                  </w14:solidFill>
                </w14:textFill>
              </w:rPr>
              <w:t>≥500Hz</w:t>
            </w:r>
          </w:p>
          <w:p w14:paraId="2328233B">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3. </w:t>
            </w:r>
            <w:r>
              <w:rPr>
                <w:rFonts w:hint="eastAsia" w:ascii="Times New Roman" w:hAnsi="Times New Roman" w:cs="Times New Roman"/>
                <w:color w:val="000000" w:themeColor="text1"/>
                <w:kern w:val="0"/>
                <w:sz w:val="24"/>
                <w:szCs w:val="24"/>
                <w14:textFill>
                  <w14:solidFill>
                    <w14:schemeClr w14:val="tx1"/>
                  </w14:solidFill>
                </w14:textFill>
              </w:rPr>
              <w:t>电子捕获检测器（</w:t>
            </w:r>
            <w:r>
              <w:rPr>
                <w:rFonts w:ascii="Times New Roman" w:hAnsi="Times New Roman" w:cs="Times New Roman"/>
                <w:color w:val="000000" w:themeColor="text1"/>
                <w:kern w:val="0"/>
                <w:sz w:val="24"/>
                <w:szCs w:val="24"/>
                <w14:textFill>
                  <w14:solidFill>
                    <w14:schemeClr w14:val="tx1"/>
                  </w14:solidFill>
                </w14:textFill>
              </w:rPr>
              <w:t>ECD</w:t>
            </w:r>
            <w:r>
              <w:rPr>
                <w:rFonts w:hint="eastAsia" w:ascii="Times New Roman" w:hAnsi="Times New Roman" w:cs="Times New Roman"/>
                <w:color w:val="000000" w:themeColor="text1"/>
                <w:kern w:val="0"/>
                <w:sz w:val="24"/>
                <w:szCs w:val="24"/>
                <w14:textFill>
                  <w14:solidFill>
                    <w14:schemeClr w14:val="tx1"/>
                  </w14:solidFill>
                </w14:textFill>
              </w:rPr>
              <w:t>）</w:t>
            </w:r>
          </w:p>
          <w:p w14:paraId="78572D1C">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3.1 </w:t>
            </w:r>
            <w:r>
              <w:rPr>
                <w:rFonts w:hint="eastAsia" w:ascii="Times New Roman" w:hAnsi="Times New Roman" w:cs="Times New Roman"/>
                <w:color w:val="000000" w:themeColor="text1"/>
                <w:kern w:val="0"/>
                <w:sz w:val="24"/>
                <w:szCs w:val="24"/>
                <w14:textFill>
                  <w14:solidFill>
                    <w14:schemeClr w14:val="tx1"/>
                  </w14:solidFill>
                </w14:textFill>
              </w:rPr>
              <w:t>最高使用温度：</w:t>
            </w:r>
            <w:r>
              <w:rPr>
                <w:rFonts w:ascii="Times New Roman" w:hAnsi="Times New Roman" w:cs="Times New Roman"/>
                <w:color w:val="000000" w:themeColor="text1"/>
                <w:kern w:val="0"/>
                <w:sz w:val="24"/>
                <w:szCs w:val="24"/>
                <w14:textFill>
                  <w14:solidFill>
                    <w14:schemeClr w14:val="tx1"/>
                  </w14:solidFill>
                </w14:textFill>
              </w:rPr>
              <w:t>400°C</w:t>
            </w:r>
          </w:p>
          <w:p w14:paraId="2D84C888">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3.2 </w:t>
            </w:r>
            <w:r>
              <w:rPr>
                <w:rFonts w:hint="eastAsia" w:ascii="Times New Roman" w:hAnsi="Times New Roman" w:cs="Times New Roman"/>
                <w:color w:val="000000" w:themeColor="text1"/>
                <w:kern w:val="0"/>
                <w:sz w:val="24"/>
                <w:szCs w:val="24"/>
                <w14:textFill>
                  <w14:solidFill>
                    <w14:schemeClr w14:val="tx1"/>
                  </w14:solidFill>
                </w14:textFill>
              </w:rPr>
              <w:t>检测限：</w:t>
            </w:r>
            <w:r>
              <w:rPr>
                <w:rFonts w:ascii="Times New Roman" w:hAnsi="Times New Roman" w:cs="Times New Roman"/>
                <w:color w:val="000000" w:themeColor="text1"/>
                <w:kern w:val="0"/>
                <w:sz w:val="24"/>
                <w:szCs w:val="24"/>
                <w14:textFill>
                  <w14:solidFill>
                    <w14:schemeClr w14:val="tx1"/>
                  </w14:solidFill>
                </w14:textFill>
              </w:rPr>
              <w:t>4.2 fg/s (γ-BHC)</w:t>
            </w:r>
            <w:r>
              <w:rPr>
                <w:rFonts w:hint="eastAsia" w:ascii="Times New Roman" w:hAnsi="Times New Roman" w:cs="Times New Roman"/>
                <w:color w:val="000000" w:themeColor="text1"/>
                <w:kern w:val="0"/>
                <w:sz w:val="24"/>
                <w:szCs w:val="24"/>
                <w14:textFill>
                  <w14:solidFill>
                    <w14:schemeClr w14:val="tx1"/>
                  </w14:solidFill>
                </w14:textFill>
              </w:rPr>
              <w:t>，需要提供国家计量检定报告</w:t>
            </w:r>
          </w:p>
          <w:p w14:paraId="7AB05C87">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3.3 </w:t>
            </w:r>
            <w:r>
              <w:rPr>
                <w:rFonts w:hint="eastAsia" w:ascii="Times New Roman" w:hAnsi="Times New Roman" w:cs="Times New Roman"/>
                <w:color w:val="000000" w:themeColor="text1"/>
                <w:kern w:val="0"/>
                <w:sz w:val="24"/>
                <w:szCs w:val="24"/>
                <w14:textFill>
                  <w14:solidFill>
                    <w14:schemeClr w14:val="tx1"/>
                  </w14:solidFill>
                </w14:textFill>
              </w:rPr>
              <w:t>动态范围：</w:t>
            </w:r>
            <w:r>
              <w:rPr>
                <w:rFonts w:ascii="Times New Roman" w:hAnsi="Times New Roman" w:cs="Times New Roman"/>
                <w:color w:val="000000" w:themeColor="text1"/>
                <w:kern w:val="0"/>
                <w:sz w:val="24"/>
                <w:szCs w:val="24"/>
                <w14:textFill>
                  <w14:solidFill>
                    <w14:schemeClr w14:val="tx1"/>
                  </w14:solidFill>
                </w14:textFill>
              </w:rPr>
              <w:t>8x104</w:t>
            </w:r>
          </w:p>
          <w:p w14:paraId="4A6CA75C">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3.4 </w:t>
            </w:r>
            <w:r>
              <w:rPr>
                <w:rFonts w:hint="eastAsia" w:ascii="Times New Roman" w:hAnsi="Times New Roman" w:cs="Times New Roman"/>
                <w:color w:val="000000" w:themeColor="text1"/>
                <w:kern w:val="0"/>
                <w:sz w:val="24"/>
                <w:szCs w:val="24"/>
                <w14:textFill>
                  <w14:solidFill>
                    <w14:schemeClr w14:val="tx1"/>
                  </w14:solidFill>
                </w14:textFill>
              </w:rPr>
              <w:t>数据采集速度：</w:t>
            </w:r>
            <w:r>
              <w:rPr>
                <w:rFonts w:ascii="Times New Roman" w:hAnsi="Times New Roman" w:cs="Times New Roman"/>
                <w:color w:val="000000" w:themeColor="text1"/>
                <w:kern w:val="0"/>
                <w:sz w:val="24"/>
                <w:szCs w:val="24"/>
                <w14:textFill>
                  <w14:solidFill>
                    <w14:schemeClr w14:val="tx1"/>
                  </w14:solidFill>
                </w14:textFill>
              </w:rPr>
              <w:t>≥500Hz</w:t>
            </w:r>
            <w:r>
              <w:rPr>
                <w:rFonts w:hint="eastAsia" w:ascii="Times New Roman" w:hAnsi="Times New Roman" w:cs="Times New Roman"/>
                <w:color w:val="000000" w:themeColor="text1"/>
                <w:kern w:val="0"/>
                <w:sz w:val="24"/>
                <w:szCs w:val="24"/>
                <w14:textFill>
                  <w14:solidFill>
                    <w14:schemeClr w14:val="tx1"/>
                  </w14:solidFill>
                </w14:textFill>
              </w:rPr>
              <w:t>，需要提供证明材料。</w:t>
            </w:r>
          </w:p>
          <w:p w14:paraId="597016E8">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4</w:t>
            </w:r>
            <w:r>
              <w:rPr>
                <w:rFonts w:hint="eastAsia" w:ascii="Times New Roman" w:hAnsi="Times New Roman" w:cs="Times New Roman"/>
                <w:color w:val="000000" w:themeColor="text1"/>
                <w:kern w:val="0"/>
                <w:sz w:val="24"/>
                <w:szCs w:val="24"/>
                <w14:textFill>
                  <w14:solidFill>
                    <w14:schemeClr w14:val="tx1"/>
                  </w14:solidFill>
                </w14:textFill>
              </w:rPr>
              <w:t>火焰光度检测器（</w:t>
            </w:r>
            <w:r>
              <w:rPr>
                <w:rFonts w:ascii="Times New Roman" w:hAnsi="Times New Roman" w:cs="Times New Roman"/>
                <w:color w:val="000000" w:themeColor="text1"/>
                <w:kern w:val="0"/>
                <w:sz w:val="24"/>
                <w:szCs w:val="24"/>
                <w14:textFill>
                  <w14:solidFill>
                    <w14:schemeClr w14:val="tx1"/>
                  </w14:solidFill>
                </w14:textFill>
              </w:rPr>
              <w:t>FPD</w:t>
            </w:r>
            <w:r>
              <w:rPr>
                <w:rFonts w:hint="eastAsia" w:ascii="Times New Roman" w:hAnsi="Times New Roman" w:cs="Times New Roman"/>
                <w:color w:val="000000" w:themeColor="text1"/>
                <w:kern w:val="0"/>
                <w:sz w:val="24"/>
                <w:szCs w:val="24"/>
                <w14:textFill>
                  <w14:solidFill>
                    <w14:schemeClr w14:val="tx1"/>
                  </w14:solidFill>
                </w14:textFill>
              </w:rPr>
              <w:t>）</w:t>
            </w:r>
          </w:p>
          <w:p w14:paraId="027B8F70">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4.1 </w:t>
            </w:r>
            <w:r>
              <w:rPr>
                <w:rFonts w:hint="eastAsia" w:ascii="Times New Roman" w:hAnsi="Times New Roman" w:cs="Times New Roman"/>
                <w:color w:val="000000" w:themeColor="text1"/>
                <w:kern w:val="0"/>
                <w:sz w:val="24"/>
                <w:szCs w:val="24"/>
                <w14:textFill>
                  <w14:solidFill>
                    <w14:schemeClr w14:val="tx1"/>
                  </w14:solidFill>
                </w14:textFill>
              </w:rPr>
              <w:t>最高使用温度：</w:t>
            </w:r>
            <w:r>
              <w:rPr>
                <w:rFonts w:ascii="Times New Roman" w:hAnsi="Times New Roman" w:cs="Times New Roman"/>
                <w:color w:val="000000" w:themeColor="text1"/>
                <w:kern w:val="0"/>
                <w:sz w:val="24"/>
                <w:szCs w:val="24"/>
                <w14:textFill>
                  <w14:solidFill>
                    <w14:schemeClr w14:val="tx1"/>
                  </w14:solidFill>
                </w14:textFill>
              </w:rPr>
              <w:t>450°C</w:t>
            </w:r>
          </w:p>
          <w:p w14:paraId="6CCDD46B">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4.2 </w:t>
            </w:r>
            <w:r>
              <w:rPr>
                <w:rFonts w:hint="eastAsia" w:ascii="Times New Roman" w:hAnsi="Times New Roman" w:cs="Times New Roman"/>
                <w:color w:val="000000" w:themeColor="text1"/>
                <w:kern w:val="0"/>
                <w:sz w:val="24"/>
                <w:szCs w:val="24"/>
                <w14:textFill>
                  <w14:solidFill>
                    <w14:schemeClr w14:val="tx1"/>
                  </w14:solidFill>
                </w14:textFill>
              </w:rPr>
              <w:t>检测限：</w:t>
            </w:r>
            <w:r>
              <w:rPr>
                <w:rFonts w:ascii="Times New Roman" w:hAnsi="Times New Roman" w:cs="Times New Roman"/>
                <w:color w:val="000000" w:themeColor="text1"/>
                <w:kern w:val="0"/>
                <w:sz w:val="24"/>
                <w:szCs w:val="24"/>
                <w14:textFill>
                  <w14:solidFill>
                    <w14:schemeClr w14:val="tx1"/>
                  </w14:solidFill>
                </w14:textFill>
              </w:rPr>
              <w:t>P 45fgP/s (</w:t>
            </w:r>
            <w:r>
              <w:rPr>
                <w:rFonts w:hint="eastAsia" w:ascii="Times New Roman" w:hAnsi="Times New Roman" w:cs="Times New Roman"/>
                <w:color w:val="000000" w:themeColor="text1"/>
                <w:kern w:val="0"/>
                <w:sz w:val="24"/>
                <w:szCs w:val="24"/>
                <w14:textFill>
                  <w14:solidFill>
                    <w14:schemeClr w14:val="tx1"/>
                  </w14:solidFill>
                </w14:textFill>
              </w:rPr>
              <w:t>磷酸三丁酯</w:t>
            </w:r>
            <w:r>
              <w:rPr>
                <w:rFonts w:ascii="Times New Roman" w:hAnsi="Times New Roman" w:cs="Times New Roman"/>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S 2pgS/s (</w:t>
            </w:r>
            <w:r>
              <w:rPr>
                <w:rFonts w:hint="eastAsia" w:ascii="Times New Roman" w:hAnsi="Times New Roman" w:cs="Times New Roman"/>
                <w:color w:val="000000" w:themeColor="text1"/>
                <w:kern w:val="0"/>
                <w:sz w:val="24"/>
                <w:szCs w:val="24"/>
                <w14:textFill>
                  <w14:solidFill>
                    <w14:schemeClr w14:val="tx1"/>
                  </w14:solidFill>
                </w14:textFill>
              </w:rPr>
              <w:t>十二烷硫醇</w:t>
            </w:r>
            <w:r>
              <w:rPr>
                <w:rFonts w:ascii="Times New Roman" w:hAnsi="Times New Roman" w:cs="Times New Roman"/>
                <w:color w:val="000000" w:themeColor="text1"/>
                <w:kern w:val="0"/>
                <w:sz w:val="24"/>
                <w:szCs w:val="24"/>
                <w14:textFill>
                  <w14:solidFill>
                    <w14:schemeClr w14:val="tx1"/>
                  </w14:solidFill>
                </w14:textFill>
              </w:rPr>
              <w:t>)</w:t>
            </w:r>
          </w:p>
          <w:p w14:paraId="2F2DAA18">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4.3 </w:t>
            </w:r>
            <w:r>
              <w:rPr>
                <w:rFonts w:hint="eastAsia" w:ascii="Times New Roman" w:hAnsi="Times New Roman" w:cs="Times New Roman"/>
                <w:color w:val="000000" w:themeColor="text1"/>
                <w:kern w:val="0"/>
                <w:sz w:val="24"/>
                <w:szCs w:val="24"/>
                <w14:textFill>
                  <w14:solidFill>
                    <w14:schemeClr w14:val="tx1"/>
                  </w14:solidFill>
                </w14:textFill>
              </w:rPr>
              <w:t>动态范围：</w:t>
            </w:r>
            <w:r>
              <w:rPr>
                <w:rFonts w:ascii="Times New Roman" w:hAnsi="Times New Roman" w:cs="Times New Roman"/>
                <w:color w:val="000000" w:themeColor="text1"/>
                <w:kern w:val="0"/>
                <w:sz w:val="24"/>
                <w:szCs w:val="24"/>
                <w14:textFill>
                  <w14:solidFill>
                    <w14:schemeClr w14:val="tx1"/>
                  </w14:solidFill>
                </w14:textFill>
              </w:rPr>
              <w:t>P 104</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S 103</w:t>
            </w:r>
          </w:p>
          <w:p w14:paraId="19B5A55B">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4.4 </w:t>
            </w:r>
            <w:r>
              <w:rPr>
                <w:rFonts w:hint="eastAsia" w:ascii="Times New Roman" w:hAnsi="Times New Roman" w:cs="Times New Roman"/>
                <w:color w:val="000000" w:themeColor="text1"/>
                <w:kern w:val="0"/>
                <w:sz w:val="24"/>
                <w:szCs w:val="24"/>
                <w14:textFill>
                  <w14:solidFill>
                    <w14:schemeClr w14:val="tx1"/>
                  </w14:solidFill>
                </w14:textFill>
              </w:rPr>
              <w:t>数据采集速度：</w:t>
            </w:r>
            <w:r>
              <w:rPr>
                <w:rFonts w:ascii="Times New Roman" w:hAnsi="Times New Roman" w:cs="Times New Roman"/>
                <w:color w:val="000000" w:themeColor="text1"/>
                <w:kern w:val="0"/>
                <w:sz w:val="24"/>
                <w:szCs w:val="24"/>
                <w14:textFill>
                  <w14:solidFill>
                    <w14:schemeClr w14:val="tx1"/>
                  </w14:solidFill>
                </w14:textFill>
              </w:rPr>
              <w:t>500Hz</w:t>
            </w:r>
          </w:p>
          <w:p w14:paraId="0C54DE82">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三、其他：</w:t>
            </w:r>
          </w:p>
          <w:p w14:paraId="1F167AB7">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1. </w:t>
            </w:r>
            <w:r>
              <w:rPr>
                <w:rFonts w:hint="eastAsia" w:ascii="Times New Roman" w:hAnsi="Times New Roman" w:cs="Times New Roman"/>
                <w:color w:val="000000" w:themeColor="text1"/>
                <w:kern w:val="0"/>
                <w:sz w:val="24"/>
                <w:szCs w:val="24"/>
                <w14:textFill>
                  <w14:solidFill>
                    <w14:schemeClr w14:val="tx1"/>
                  </w14:solidFill>
                </w14:textFill>
              </w:rPr>
              <w:t>色谱柱和流路系统</w:t>
            </w:r>
          </w:p>
          <w:p w14:paraId="3F2BA6B7">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1.1 </w:t>
            </w:r>
            <w:r>
              <w:rPr>
                <w:rFonts w:hint="eastAsia" w:ascii="Times New Roman" w:hAnsi="Times New Roman" w:cs="Times New Roman"/>
                <w:color w:val="000000" w:themeColor="text1"/>
                <w:kern w:val="0"/>
                <w:sz w:val="24"/>
                <w:szCs w:val="24"/>
                <w14:textFill>
                  <w14:solidFill>
                    <w14:schemeClr w14:val="tx1"/>
                  </w14:solidFill>
                </w14:textFill>
              </w:rPr>
              <w:t>可安装并使用包括内径</w:t>
            </w:r>
            <w:r>
              <w:rPr>
                <w:rFonts w:ascii="Times New Roman" w:hAnsi="Times New Roman" w:cs="Times New Roman"/>
                <w:color w:val="000000" w:themeColor="text1"/>
                <w:kern w:val="0"/>
                <w:sz w:val="24"/>
                <w:szCs w:val="24"/>
                <w14:textFill>
                  <w14:solidFill>
                    <w14:schemeClr w14:val="tx1"/>
                  </w14:solidFill>
                </w14:textFill>
              </w:rPr>
              <w:t>0.53mm</w:t>
            </w:r>
            <w:r>
              <w:rPr>
                <w:rFonts w:hint="eastAsia" w:ascii="Times New Roman" w:hAnsi="Times New Roman" w:cs="Times New Roman"/>
                <w:color w:val="000000" w:themeColor="text1"/>
                <w:kern w:val="0"/>
                <w:sz w:val="24"/>
                <w:szCs w:val="24"/>
                <w14:textFill>
                  <w14:solidFill>
                    <w14:schemeClr w14:val="tx1"/>
                  </w14:solidFill>
                </w14:textFill>
              </w:rPr>
              <w:t>在内的各规格毛细柱，可选配填充柱，可使用</w:t>
            </w:r>
            <w:r>
              <w:rPr>
                <w:rFonts w:ascii="Times New Roman" w:hAnsi="Times New Roman" w:cs="Times New Roman"/>
                <w:color w:val="000000" w:themeColor="text1"/>
                <w:kern w:val="0"/>
                <w:sz w:val="24"/>
                <w:szCs w:val="24"/>
                <w14:textFill>
                  <w14:solidFill>
                    <w14:schemeClr w14:val="tx1"/>
                  </w14:solidFill>
                </w14:textFill>
              </w:rPr>
              <w:t>PAH</w:t>
            </w:r>
            <w:r>
              <w:rPr>
                <w:rFonts w:hint="eastAsia" w:ascii="Times New Roman" w:hAnsi="Times New Roman" w:cs="Times New Roman"/>
                <w:color w:val="000000" w:themeColor="text1"/>
                <w:kern w:val="0"/>
                <w:sz w:val="24"/>
                <w:szCs w:val="24"/>
                <w14:textFill>
                  <w14:solidFill>
                    <w14:schemeClr w14:val="tx1"/>
                  </w14:solidFill>
                </w14:textFill>
              </w:rPr>
              <w:t>专用柱、</w:t>
            </w:r>
            <w:r>
              <w:rPr>
                <w:rFonts w:ascii="Times New Roman" w:hAnsi="Times New Roman" w:cs="Times New Roman"/>
                <w:color w:val="000000" w:themeColor="text1"/>
                <w:kern w:val="0"/>
                <w:sz w:val="24"/>
                <w:szCs w:val="24"/>
                <w14:textFill>
                  <w14:solidFill>
                    <w14:schemeClr w14:val="tx1"/>
                  </w14:solidFill>
                </w14:textFill>
              </w:rPr>
              <w:t>PLOT</w:t>
            </w:r>
            <w:r>
              <w:rPr>
                <w:rFonts w:hint="eastAsia" w:ascii="Times New Roman" w:hAnsi="Times New Roman" w:cs="Times New Roman"/>
                <w:color w:val="000000" w:themeColor="text1"/>
                <w:kern w:val="0"/>
                <w:sz w:val="24"/>
                <w:szCs w:val="24"/>
                <w14:textFill>
                  <w14:solidFill>
                    <w14:schemeClr w14:val="tx1"/>
                  </w14:solidFill>
                </w14:textFill>
              </w:rPr>
              <w:t>、手性柱等特殊填料色谱柱</w:t>
            </w:r>
          </w:p>
          <w:p w14:paraId="2EBEB851">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1.2 </w:t>
            </w:r>
            <w:r>
              <w:rPr>
                <w:rFonts w:hint="eastAsia" w:ascii="Times New Roman" w:hAnsi="Times New Roman" w:cs="Times New Roman"/>
                <w:color w:val="000000" w:themeColor="text1"/>
                <w:kern w:val="0"/>
                <w:sz w:val="24"/>
                <w:szCs w:val="24"/>
                <w14:textFill>
                  <w14:solidFill>
                    <w14:schemeClr w14:val="tx1"/>
                  </w14:solidFill>
                </w14:textFill>
              </w:rPr>
              <w:t>支持双柱双流路系统，且两根色谱柱长度不受限制</w:t>
            </w:r>
          </w:p>
          <w:p w14:paraId="6A92DAC5">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1.3 </w:t>
            </w:r>
            <w:r>
              <w:rPr>
                <w:rFonts w:hint="eastAsia" w:ascii="Times New Roman" w:hAnsi="Times New Roman" w:cs="Times New Roman"/>
                <w:color w:val="000000" w:themeColor="text1"/>
                <w:kern w:val="0"/>
                <w:sz w:val="24"/>
                <w:szCs w:val="24"/>
                <w14:textFill>
                  <w14:solidFill>
                    <w14:schemeClr w14:val="tx1"/>
                  </w14:solidFill>
                </w14:textFill>
              </w:rPr>
              <w:t>两个柱流量控制系统均采用先进的流量控制单元</w:t>
            </w:r>
          </w:p>
          <w:p w14:paraId="2E67A392">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 xml:space="preserve">1.4 </w:t>
            </w:r>
            <w:r>
              <w:rPr>
                <w:rFonts w:hint="eastAsia" w:ascii="Times New Roman" w:hAnsi="Times New Roman" w:cs="Times New Roman"/>
                <w:color w:val="000000" w:themeColor="text1"/>
                <w:kern w:val="0"/>
                <w:sz w:val="24"/>
                <w:szCs w:val="24"/>
                <w14:textFill>
                  <w14:solidFill>
                    <w14:schemeClr w14:val="tx1"/>
                  </w14:solidFill>
                </w14:textFill>
              </w:rPr>
              <w:t>支持三柱三</w:t>
            </w:r>
            <w:r>
              <w:rPr>
                <w:rFonts w:ascii="Times New Roman" w:hAnsi="Times New Roman" w:cs="Times New Roman"/>
                <w:color w:val="000000" w:themeColor="text1"/>
                <w:kern w:val="0"/>
                <w:sz w:val="24"/>
                <w:szCs w:val="24"/>
                <w14:textFill>
                  <w14:solidFill>
                    <w14:schemeClr w14:val="tx1"/>
                  </w14:solidFill>
                </w14:textFill>
              </w:rPr>
              <w:t>FID</w:t>
            </w:r>
            <w:r>
              <w:rPr>
                <w:rFonts w:hint="eastAsia" w:ascii="Times New Roman" w:hAnsi="Times New Roman" w:cs="Times New Roman"/>
                <w:color w:val="000000" w:themeColor="text1"/>
                <w:kern w:val="0"/>
                <w:sz w:val="24"/>
                <w:szCs w:val="24"/>
                <w14:textFill>
                  <w14:solidFill>
                    <w14:schemeClr w14:val="tx1"/>
                  </w14:solidFill>
                </w14:textFill>
              </w:rPr>
              <w:t>同时分析组成气相色谱方法优化系统。须提供优化系统应用文章证明。</w:t>
            </w:r>
          </w:p>
          <w:p w14:paraId="2B58FF92">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1.5 </w:t>
            </w:r>
            <w:r>
              <w:rPr>
                <w:rFonts w:hint="eastAsia" w:ascii="Times New Roman" w:hAnsi="Times New Roman" w:cs="Times New Roman"/>
                <w:color w:val="000000" w:themeColor="text1"/>
                <w:kern w:val="0"/>
                <w:sz w:val="24"/>
                <w:szCs w:val="24"/>
                <w14:textFill>
                  <w14:solidFill>
                    <w14:schemeClr w14:val="tx1"/>
                  </w14:solidFill>
                </w14:textFill>
              </w:rPr>
              <w:t>可通过切割少许长度来延长色谱柱使用寿命，污染后无需即刻整体更换</w:t>
            </w:r>
          </w:p>
          <w:p w14:paraId="249FA0C7">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1.6 </w:t>
            </w:r>
            <w:r>
              <w:rPr>
                <w:rFonts w:hint="eastAsia" w:ascii="Times New Roman" w:hAnsi="Times New Roman" w:cs="Times New Roman"/>
                <w:color w:val="000000" w:themeColor="text1"/>
                <w:kern w:val="0"/>
                <w:sz w:val="24"/>
                <w:szCs w:val="24"/>
                <w14:textFill>
                  <w14:solidFill>
                    <w14:schemeClr w14:val="tx1"/>
                  </w14:solidFill>
                </w14:textFill>
              </w:rPr>
              <w:t>具有室温补偿和自动环境补偿功能</w:t>
            </w:r>
          </w:p>
          <w:p w14:paraId="47E4B706">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 xml:space="preserve">1.7 </w:t>
            </w:r>
            <w:r>
              <w:rPr>
                <w:rFonts w:hint="eastAsia" w:ascii="Times New Roman" w:hAnsi="Times New Roman" w:cs="Times New Roman"/>
                <w:color w:val="000000" w:themeColor="text1"/>
                <w:kern w:val="0"/>
                <w:sz w:val="24"/>
                <w:szCs w:val="24"/>
                <w14:textFill>
                  <w14:solidFill>
                    <w14:schemeClr w14:val="tx1"/>
                  </w14:solidFill>
                </w14:textFill>
              </w:rPr>
              <w:t>具有恒定的载气线速度控制功能须提供软件截图和采用恒线速度分析样品的应用文章证明。</w:t>
            </w:r>
          </w:p>
          <w:p w14:paraId="1D6532F6">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 xml:space="preserve">1.8 </w:t>
            </w:r>
            <w:r>
              <w:rPr>
                <w:rFonts w:hint="eastAsia" w:ascii="Times New Roman" w:hAnsi="Times New Roman" w:cs="Times New Roman"/>
                <w:color w:val="000000" w:themeColor="text1"/>
                <w:kern w:val="0"/>
                <w:sz w:val="24"/>
                <w:szCs w:val="24"/>
                <w14:textFill>
                  <w14:solidFill>
                    <w14:schemeClr w14:val="tx1"/>
                  </w14:solidFill>
                </w14:textFill>
              </w:rPr>
              <w:t>支持色谱柱柱后反吹，具有专为反吹设计的图示化控制软件，操作方便。同时可实现不泄真空更换色谱柱功能。须提供反吹软件图示化界面的截图。</w:t>
            </w:r>
          </w:p>
          <w:p w14:paraId="293E6F2A">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2. </w:t>
            </w:r>
            <w:r>
              <w:rPr>
                <w:rFonts w:hint="eastAsia" w:ascii="Times New Roman" w:hAnsi="Times New Roman" w:cs="Times New Roman"/>
                <w:color w:val="000000" w:themeColor="text1"/>
                <w:kern w:val="0"/>
                <w:sz w:val="24"/>
                <w:szCs w:val="24"/>
                <w14:textFill>
                  <w14:solidFill>
                    <w14:schemeClr w14:val="tx1"/>
                  </w14:solidFill>
                </w14:textFill>
              </w:rPr>
              <w:t>面板键盘</w:t>
            </w:r>
          </w:p>
          <w:p w14:paraId="41D0B073">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2.1  </w:t>
            </w:r>
            <w:r>
              <w:rPr>
                <w:rFonts w:hint="eastAsia" w:ascii="Times New Roman" w:hAnsi="Times New Roman" w:cs="Times New Roman"/>
                <w:color w:val="000000" w:themeColor="text1"/>
                <w:kern w:val="0"/>
                <w:sz w:val="24"/>
                <w:szCs w:val="24"/>
                <w14:textFill>
                  <w14:solidFill>
                    <w14:schemeClr w14:val="tx1"/>
                  </w14:solidFill>
                </w14:textFill>
              </w:rPr>
              <w:t>具有交互模式的彩色触摸屏进行操控</w:t>
            </w:r>
          </w:p>
          <w:p w14:paraId="7FEACB09">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屏幕尺寸</w:t>
            </w:r>
            <w:r>
              <w:rPr>
                <w:rFonts w:ascii="Times New Roman" w:hAnsi="Times New Roman" w:cs="Times New Roman"/>
                <w:color w:val="000000" w:themeColor="text1"/>
                <w:kern w:val="0"/>
                <w:sz w:val="24"/>
                <w:szCs w:val="24"/>
                <w14:textFill>
                  <w14:solidFill>
                    <w14:schemeClr w14:val="tx1"/>
                  </w14:solidFill>
                </w14:textFill>
              </w:rPr>
              <w:t>: 5.5</w:t>
            </w:r>
            <w:r>
              <w:rPr>
                <w:rFonts w:hint="eastAsia" w:ascii="Times New Roman" w:hAnsi="Times New Roman" w:cs="Times New Roman"/>
                <w:color w:val="000000" w:themeColor="text1"/>
                <w:kern w:val="0"/>
                <w:sz w:val="24"/>
                <w:szCs w:val="24"/>
                <w14:textFill>
                  <w14:solidFill>
                    <w14:schemeClr w14:val="tx1"/>
                  </w14:solidFill>
                </w14:textFill>
              </w:rPr>
              <w:t>英寸</w:t>
            </w:r>
          </w:p>
          <w:p w14:paraId="22F09D2F">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清晰度</w:t>
            </w:r>
            <w:r>
              <w:rPr>
                <w:rFonts w:ascii="Times New Roman" w:hAnsi="Times New Roman" w:cs="Times New Roman"/>
                <w:color w:val="000000" w:themeColor="text1"/>
                <w:kern w:val="0"/>
                <w:sz w:val="24"/>
                <w:szCs w:val="24"/>
                <w14:textFill>
                  <w14:solidFill>
                    <w14:schemeClr w14:val="tx1"/>
                  </w14:solidFill>
                </w14:textFill>
              </w:rPr>
              <w:t>: 640 × 480</w:t>
            </w:r>
          </w:p>
          <w:p w14:paraId="7B37CD07">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亮度</w:t>
            </w:r>
            <w:r>
              <w:rPr>
                <w:rFonts w:ascii="Times New Roman" w:hAnsi="Times New Roman" w:cs="Times New Roman"/>
                <w:color w:val="000000" w:themeColor="text1"/>
                <w:kern w:val="0"/>
                <w:sz w:val="24"/>
                <w:szCs w:val="24"/>
                <w14:textFill>
                  <w14:solidFill>
                    <w14:schemeClr w14:val="tx1"/>
                  </w14:solidFill>
                </w14:textFill>
              </w:rPr>
              <w:t>: 270 (Cd/m2)</w:t>
            </w:r>
          </w:p>
          <w:p w14:paraId="05CAF9AD">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2.2  </w:t>
            </w:r>
            <w:r>
              <w:rPr>
                <w:rFonts w:hint="eastAsia" w:ascii="Times New Roman" w:hAnsi="Times New Roman" w:cs="Times New Roman"/>
                <w:color w:val="000000" w:themeColor="text1"/>
                <w:kern w:val="0"/>
                <w:sz w:val="24"/>
                <w:szCs w:val="24"/>
                <w14:textFill>
                  <w14:solidFill>
                    <w14:schemeClr w14:val="tx1"/>
                  </w14:solidFill>
                </w14:textFill>
              </w:rPr>
              <w:t>完全控制及显示所有温度区域和载气流量</w:t>
            </w:r>
          </w:p>
          <w:p w14:paraId="70C81CA8">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2.3  </w:t>
            </w:r>
            <w:r>
              <w:rPr>
                <w:rFonts w:hint="eastAsia" w:ascii="Times New Roman" w:hAnsi="Times New Roman" w:cs="Times New Roman"/>
                <w:color w:val="000000" w:themeColor="text1"/>
                <w:kern w:val="0"/>
                <w:sz w:val="24"/>
                <w:szCs w:val="24"/>
                <w14:textFill>
                  <w14:solidFill>
                    <w14:schemeClr w14:val="tx1"/>
                  </w14:solidFill>
                </w14:textFill>
              </w:rPr>
              <w:t>完全控制所有检测器功能和检测器气体</w:t>
            </w:r>
          </w:p>
          <w:p w14:paraId="417C88D3">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2.4  </w:t>
            </w:r>
            <w:r>
              <w:rPr>
                <w:rFonts w:hint="eastAsia" w:ascii="Times New Roman" w:hAnsi="Times New Roman" w:cs="Times New Roman"/>
                <w:color w:val="000000" w:themeColor="text1"/>
                <w:kern w:val="0"/>
                <w:sz w:val="24"/>
                <w:szCs w:val="24"/>
                <w14:textFill>
                  <w14:solidFill>
                    <w14:schemeClr w14:val="tx1"/>
                  </w14:solidFill>
                </w14:textFill>
              </w:rPr>
              <w:t>实时时间程序和系统诊断，在线帮助和记事本记录程序事件</w:t>
            </w:r>
          </w:p>
          <w:p w14:paraId="77CFC2CD">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3. </w:t>
            </w:r>
            <w:r>
              <w:rPr>
                <w:rFonts w:hint="eastAsia" w:ascii="Times New Roman" w:hAnsi="Times New Roman" w:cs="Times New Roman"/>
                <w:color w:val="000000" w:themeColor="text1"/>
                <w:kern w:val="0"/>
                <w:sz w:val="24"/>
                <w:szCs w:val="24"/>
                <w14:textFill>
                  <w14:solidFill>
                    <w14:schemeClr w14:val="tx1"/>
                  </w14:solidFill>
                </w14:textFill>
              </w:rPr>
              <w:t>多种附件可供选择</w:t>
            </w:r>
          </w:p>
          <w:p w14:paraId="2A38B217">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可选配</w:t>
            </w:r>
            <w:r>
              <w:rPr>
                <w:rFonts w:ascii="Times New Roman" w:hAnsi="Times New Roman" w:cs="Times New Roman"/>
                <w:color w:val="000000" w:themeColor="text1"/>
                <w:kern w:val="0"/>
                <w:sz w:val="24"/>
                <w:szCs w:val="24"/>
                <w14:textFill>
                  <w14:solidFill>
                    <w14:schemeClr w14:val="tx1"/>
                  </w14:solidFill>
                </w14:textFill>
              </w:rPr>
              <w:t>A</w:t>
            </w:r>
            <w:r>
              <w:rPr>
                <w:rFonts w:hint="eastAsia" w:ascii="Times New Roman" w:hAnsi="Times New Roman" w:cs="Times New Roman"/>
                <w:color w:val="000000" w:themeColor="text1"/>
                <w:kern w:val="0"/>
                <w:sz w:val="24"/>
                <w:szCs w:val="24"/>
                <w14:textFill>
                  <w14:solidFill>
                    <w14:schemeClr w14:val="tx1"/>
                  </w14:solidFill>
                </w14:textFill>
              </w:rPr>
              <w:t>自动液体进样器、顶空进样器、多功能自动进样器、吹扫捕集、热裂解、热脱附等附件</w:t>
            </w:r>
          </w:p>
          <w:p w14:paraId="001F3B8F">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4</w:t>
            </w:r>
            <w:r>
              <w:rPr>
                <w:rFonts w:hint="eastAsia" w:ascii="Times New Roman" w:hAnsi="Times New Roman" w:cs="Times New Roman"/>
                <w:color w:val="000000" w:themeColor="text1"/>
                <w:kern w:val="0"/>
                <w:sz w:val="24"/>
                <w:szCs w:val="24"/>
                <w14:textFill>
                  <w14:solidFill>
                    <w14:schemeClr w14:val="tx1"/>
                  </w14:solidFill>
                </w14:textFill>
              </w:rPr>
              <w:t>、液体自动进样器</w:t>
            </w:r>
          </w:p>
          <w:p w14:paraId="5F6B42AA">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4.1 </w:t>
            </w:r>
            <w:r>
              <w:rPr>
                <w:rFonts w:hint="eastAsia" w:ascii="Times New Roman" w:hAnsi="Times New Roman" w:cs="Times New Roman"/>
                <w:color w:val="000000" w:themeColor="text1"/>
                <w:kern w:val="0"/>
                <w:sz w:val="24"/>
                <w:szCs w:val="24"/>
                <w14:textFill>
                  <w14:solidFill>
                    <w14:schemeClr w14:val="tx1"/>
                  </w14:solidFill>
                </w14:textFill>
              </w:rPr>
              <w:t>多台气相色谱仪方便相互使用</w:t>
            </w:r>
          </w:p>
          <w:p w14:paraId="59E380C9">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4.2</w:t>
            </w:r>
            <w:r>
              <w:rPr>
                <w:rFonts w:hint="eastAsia" w:ascii="Times New Roman" w:hAnsi="Times New Roman" w:cs="Times New Roman"/>
                <w:color w:val="000000" w:themeColor="text1"/>
                <w:kern w:val="0"/>
                <w:sz w:val="24"/>
                <w:szCs w:val="24"/>
                <w14:textFill>
                  <w14:solidFill>
                    <w14:schemeClr w14:val="tx1"/>
                  </w14:solidFill>
                </w14:textFill>
              </w:rPr>
              <w:t>进样品瓶数量：</w:t>
            </w:r>
            <w:r>
              <w:rPr>
                <w:rFonts w:ascii="Times New Roman" w:hAnsi="Times New Roman" w:cs="Times New Roman"/>
                <w:color w:val="000000" w:themeColor="text1"/>
                <w:kern w:val="0"/>
                <w:sz w:val="24"/>
                <w:szCs w:val="24"/>
                <w14:textFill>
                  <w14:solidFill>
                    <w14:schemeClr w14:val="tx1"/>
                  </w14:solidFill>
                </w14:textFill>
              </w:rPr>
              <w:t>150</w:t>
            </w:r>
            <w:r>
              <w:rPr>
                <w:rFonts w:hint="eastAsia" w:ascii="Times New Roman" w:hAnsi="Times New Roman" w:cs="Times New Roman"/>
                <w:color w:val="000000" w:themeColor="text1"/>
                <w:kern w:val="0"/>
                <w:sz w:val="24"/>
                <w:szCs w:val="24"/>
                <w14:textFill>
                  <w14:solidFill>
                    <w14:schemeClr w14:val="tx1"/>
                  </w14:solidFill>
                </w14:textFill>
              </w:rPr>
              <w:t>位以上（须提供软件设置截图和实物图片，不提供视为不满足）</w:t>
            </w:r>
          </w:p>
          <w:p w14:paraId="23CB1658">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5</w:t>
            </w:r>
            <w:r>
              <w:rPr>
                <w:rFonts w:hint="eastAsia" w:ascii="Times New Roman" w:hAnsi="Times New Roman" w:cs="Times New Roman"/>
                <w:color w:val="000000" w:themeColor="text1"/>
                <w:kern w:val="0"/>
                <w:sz w:val="24"/>
                <w:szCs w:val="24"/>
                <w14:textFill>
                  <w14:solidFill>
                    <w14:schemeClr w14:val="tx1"/>
                  </w14:solidFill>
                </w14:textFill>
              </w:rPr>
              <w:t>数据处理系统：</w:t>
            </w:r>
          </w:p>
          <w:p w14:paraId="6E6ACD43">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5.1.</w:t>
            </w:r>
            <w:r>
              <w:rPr>
                <w:rFonts w:hint="eastAsia" w:ascii="Times New Roman" w:hAnsi="Times New Roman" w:cs="Times New Roman"/>
                <w:color w:val="000000" w:themeColor="text1"/>
                <w:kern w:val="0"/>
                <w:sz w:val="24"/>
                <w:szCs w:val="24"/>
                <w14:textFill>
                  <w14:solidFill>
                    <w14:schemeClr w14:val="tx1"/>
                  </w14:solidFill>
                </w14:textFill>
              </w:rPr>
              <w:t>数据采集和数据解析</w:t>
            </w:r>
          </w:p>
          <w:p w14:paraId="0374DDCA">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采用一体化的数据结构，利用定量浏览器和数据浏览器可方便的进行分析操作和信息追溯，满足</w:t>
            </w:r>
            <w:r>
              <w:rPr>
                <w:rFonts w:ascii="Times New Roman" w:hAnsi="Times New Roman" w:cs="Times New Roman"/>
                <w:color w:val="000000" w:themeColor="text1"/>
                <w:kern w:val="0"/>
                <w:sz w:val="24"/>
                <w:szCs w:val="24"/>
                <w14:textFill>
                  <w14:solidFill>
                    <w14:schemeClr w14:val="tx1"/>
                  </w14:solidFill>
                </w14:textFill>
              </w:rPr>
              <w:t>GLP/GMP</w:t>
            </w:r>
            <w:r>
              <w:rPr>
                <w:rFonts w:hint="eastAsia" w:ascii="Times New Roman" w:hAnsi="Times New Roman" w:cs="Times New Roman"/>
                <w:color w:val="000000" w:themeColor="text1"/>
                <w:kern w:val="0"/>
                <w:sz w:val="24"/>
                <w:szCs w:val="24"/>
                <w14:textFill>
                  <w14:solidFill>
                    <w14:schemeClr w14:val="tx1"/>
                  </w14:solidFill>
                </w14:textFill>
              </w:rPr>
              <w:t>操作规范。具有丰富的计算功能和数据比较功能，可以显示相对保留时间（</w:t>
            </w:r>
            <w:r>
              <w:rPr>
                <w:rFonts w:ascii="Times New Roman" w:hAnsi="Times New Roman" w:cs="Times New Roman"/>
                <w:color w:val="000000" w:themeColor="text1"/>
                <w:kern w:val="0"/>
                <w:sz w:val="24"/>
                <w:szCs w:val="24"/>
                <w14:textFill>
                  <w14:solidFill>
                    <w14:schemeClr w14:val="tx1"/>
                  </w14:solidFill>
                </w14:textFill>
              </w:rPr>
              <w:t>RRT</w:t>
            </w:r>
            <w:r>
              <w:rPr>
                <w:rFonts w:hint="eastAsia" w:ascii="Times New Roman" w:hAnsi="Times New Roman" w:cs="Times New Roman"/>
                <w:color w:val="000000" w:themeColor="text1"/>
                <w:kern w:val="0"/>
                <w:sz w:val="24"/>
                <w:szCs w:val="24"/>
                <w14:textFill>
                  <w14:solidFill>
                    <w14:schemeClr w14:val="tx1"/>
                  </w14:solidFill>
                </w14:textFill>
              </w:rPr>
              <w:t>），具有保留时间自动校正功能（</w:t>
            </w:r>
            <w:r>
              <w:rPr>
                <w:rFonts w:ascii="Times New Roman" w:hAnsi="Times New Roman" w:cs="Times New Roman"/>
                <w:color w:val="000000" w:themeColor="text1"/>
                <w:kern w:val="0"/>
                <w:sz w:val="24"/>
                <w:szCs w:val="24"/>
                <w14:textFill>
                  <w14:solidFill>
                    <w14:schemeClr w14:val="tx1"/>
                  </w14:solidFill>
                </w14:textFill>
              </w:rPr>
              <w:t>AART</w:t>
            </w:r>
            <w:r>
              <w:rPr>
                <w:rFonts w:hint="eastAsia" w:ascii="Times New Roman" w:hAnsi="Times New Roman" w:cs="Times New Roman"/>
                <w:color w:val="000000" w:themeColor="text1"/>
                <w:kern w:val="0"/>
                <w:sz w:val="24"/>
                <w:szCs w:val="24"/>
                <w14:textFill>
                  <w14:solidFill>
                    <w14:schemeClr w14:val="tx1"/>
                  </w14:solidFill>
                </w14:textFill>
              </w:rPr>
              <w:t>）。可针对工作流程灵活设定软件操作界面。快速批处理窗口将系统中的样品瓶架图形化显示。须提供样品瓶架图示化界面的截图。</w:t>
            </w:r>
          </w:p>
          <w:p w14:paraId="491B5180">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5.2</w:t>
            </w:r>
            <w:r>
              <w:rPr>
                <w:rFonts w:hint="eastAsia" w:ascii="Times New Roman" w:hAnsi="Times New Roman" w:cs="Times New Roman"/>
                <w:color w:val="000000" w:themeColor="text1"/>
                <w:kern w:val="0"/>
                <w:sz w:val="24"/>
                <w:szCs w:val="24"/>
                <w14:textFill>
                  <w14:solidFill>
                    <w14:schemeClr w14:val="tx1"/>
                  </w14:solidFill>
                </w14:textFill>
              </w:rPr>
              <w:t>报告制作</w:t>
            </w:r>
            <w:r>
              <w:rPr>
                <w:rFonts w:ascii="Times New Roman" w:hAnsi="Times New Roman" w:cs="Times New Roman"/>
                <w:color w:val="000000" w:themeColor="text1"/>
                <w:kern w:val="0"/>
                <w:sz w:val="24"/>
                <w:szCs w:val="24"/>
                <w14:textFill>
                  <w14:solidFill>
                    <w14:schemeClr w14:val="tx1"/>
                  </w14:solidFill>
                </w14:textFill>
              </w:rPr>
              <w:t xml:space="preserve"> </w:t>
            </w:r>
          </w:p>
          <w:p w14:paraId="61C64CB3">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高度灵活的报告制作功能，各种类型的模板文件快捷选用，并支持自建模板。标准配备</w:t>
            </w:r>
            <w:r>
              <w:rPr>
                <w:rFonts w:ascii="Times New Roman" w:hAnsi="Times New Roman" w:cs="Times New Roman"/>
                <w:color w:val="000000" w:themeColor="text1"/>
                <w:kern w:val="0"/>
                <w:sz w:val="24"/>
                <w:szCs w:val="24"/>
                <w14:textFill>
                  <w14:solidFill>
                    <w14:schemeClr w14:val="tx1"/>
                  </w14:solidFill>
                </w14:textFill>
              </w:rPr>
              <w:t>PDF</w:t>
            </w:r>
            <w:r>
              <w:rPr>
                <w:rFonts w:hint="eastAsia" w:ascii="Times New Roman" w:hAnsi="Times New Roman" w:cs="Times New Roman"/>
                <w:color w:val="000000" w:themeColor="text1"/>
                <w:kern w:val="0"/>
                <w:sz w:val="24"/>
                <w:szCs w:val="24"/>
                <w14:textFill>
                  <w14:solidFill>
                    <w14:schemeClr w14:val="tx1"/>
                  </w14:solidFill>
                </w14:textFill>
              </w:rPr>
              <w:t>输出功能。</w:t>
            </w:r>
          </w:p>
          <w:p w14:paraId="71FC8CD0">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5.3 </w:t>
            </w:r>
            <w:r>
              <w:rPr>
                <w:rFonts w:hint="eastAsia" w:ascii="Times New Roman" w:hAnsi="Times New Roman" w:cs="Times New Roman"/>
                <w:color w:val="000000" w:themeColor="text1"/>
                <w:kern w:val="0"/>
                <w:sz w:val="24"/>
                <w:szCs w:val="24"/>
                <w14:textFill>
                  <w14:solidFill>
                    <w14:schemeClr w14:val="tx1"/>
                  </w14:solidFill>
                </w14:textFill>
              </w:rPr>
              <w:t>质量控制</w:t>
            </w:r>
            <w:r>
              <w:rPr>
                <w:rFonts w:ascii="Times New Roman" w:hAnsi="Times New Roman" w:cs="Times New Roman"/>
                <w:color w:val="000000" w:themeColor="text1"/>
                <w:kern w:val="0"/>
                <w:sz w:val="24"/>
                <w:szCs w:val="24"/>
                <w14:textFill>
                  <w14:solidFill>
                    <w14:schemeClr w14:val="tx1"/>
                  </w14:solidFill>
                </w14:textFill>
              </w:rPr>
              <w:t xml:space="preserve"> </w:t>
            </w:r>
          </w:p>
          <w:p w14:paraId="1CC56A58">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高精度控制</w:t>
            </w:r>
            <w:r>
              <w:rPr>
                <w:rFonts w:ascii="Times New Roman" w:hAnsi="Times New Roman" w:cs="Times New Roman"/>
                <w:color w:val="000000" w:themeColor="text1"/>
                <w:kern w:val="0"/>
                <w:sz w:val="24"/>
                <w:szCs w:val="24"/>
                <w14:textFill>
                  <w14:solidFill>
                    <w14:schemeClr w14:val="tx1"/>
                  </w14:solidFill>
                </w14:textFill>
              </w:rPr>
              <w:t>QA/QC</w:t>
            </w:r>
            <w:r>
              <w:rPr>
                <w:rFonts w:hint="eastAsia" w:ascii="Times New Roman" w:hAnsi="Times New Roman" w:cs="Times New Roman"/>
                <w:color w:val="000000" w:themeColor="text1"/>
                <w:kern w:val="0"/>
                <w:sz w:val="24"/>
                <w:szCs w:val="24"/>
                <w14:textFill>
                  <w14:solidFill>
                    <w14:schemeClr w14:val="tx1"/>
                  </w14:solidFill>
                </w14:textFill>
              </w:rPr>
              <w:t>功能，支持自动计算噪音、漂移、信噪比、</w:t>
            </w:r>
            <w:r>
              <w:rPr>
                <w:rFonts w:ascii="Times New Roman" w:hAnsi="Times New Roman" w:cs="Times New Roman"/>
                <w:color w:val="000000" w:themeColor="text1"/>
                <w:kern w:val="0"/>
                <w:sz w:val="24"/>
                <w:szCs w:val="24"/>
                <w14:textFill>
                  <w14:solidFill>
                    <w14:schemeClr w14:val="tx1"/>
                  </w14:solidFill>
                </w14:textFill>
              </w:rPr>
              <w:t>LOD</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LOQ</w:t>
            </w:r>
            <w:r>
              <w:rPr>
                <w:rFonts w:hint="eastAsia" w:ascii="Times New Roman" w:hAnsi="Times New Roman" w:cs="Times New Roman"/>
                <w:color w:val="000000" w:themeColor="text1"/>
                <w:kern w:val="0"/>
                <w:sz w:val="24"/>
                <w:szCs w:val="24"/>
                <w14:textFill>
                  <w14:solidFill>
                    <w14:schemeClr w14:val="tx1"/>
                  </w14:solidFill>
                </w14:textFill>
              </w:rPr>
              <w:t>、精密度和回收率等方法学指标，具有仪器系统检查功能和用户安全管理功能。</w:t>
            </w:r>
          </w:p>
          <w:p w14:paraId="24FB98A1">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5.4 </w:t>
            </w:r>
            <w:r>
              <w:rPr>
                <w:rFonts w:hint="eastAsia" w:ascii="Times New Roman" w:hAnsi="Times New Roman" w:cs="Times New Roman"/>
                <w:color w:val="000000" w:themeColor="text1"/>
                <w:kern w:val="0"/>
                <w:sz w:val="24"/>
                <w:szCs w:val="24"/>
                <w14:textFill>
                  <w14:solidFill>
                    <w14:schemeClr w14:val="tx1"/>
                  </w14:solidFill>
                </w14:textFill>
              </w:rPr>
              <w:t>网络化控制</w:t>
            </w:r>
          </w:p>
          <w:p w14:paraId="57A1E557">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可通过网络式</w:t>
            </w:r>
            <w:r>
              <w:rPr>
                <w:rFonts w:ascii="Times New Roman" w:hAnsi="Times New Roman" w:cs="Times New Roman"/>
                <w:color w:val="000000" w:themeColor="text1"/>
                <w:kern w:val="0"/>
                <w:sz w:val="24"/>
                <w:szCs w:val="24"/>
                <w14:textFill>
                  <w14:solidFill>
                    <w14:schemeClr w14:val="tx1"/>
                  </w14:solidFill>
                </w14:textFill>
              </w:rPr>
              <w:t>CDS</w:t>
            </w:r>
            <w:r>
              <w:rPr>
                <w:rFonts w:hint="eastAsia" w:ascii="Times New Roman" w:hAnsi="Times New Roman" w:cs="Times New Roman"/>
                <w:color w:val="000000" w:themeColor="text1"/>
                <w:kern w:val="0"/>
                <w:sz w:val="24"/>
                <w:szCs w:val="24"/>
                <w14:textFill>
                  <w14:solidFill>
                    <w14:schemeClr w14:val="tx1"/>
                  </w14:solidFill>
                </w14:textFill>
              </w:rPr>
              <w:t>（数据管理系统）进行软件远程控制和人机分离模式操作。</w:t>
            </w:r>
          </w:p>
          <w:p w14:paraId="24623DF1">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远程访问功能允许直接通过智能手机或平板电脑远程访问实验室</w:t>
            </w:r>
            <w:r>
              <w:rPr>
                <w:rFonts w:ascii="Times New Roman" w:hAnsi="Times New Roman" w:cs="Times New Roman"/>
                <w:color w:val="000000" w:themeColor="text1"/>
                <w:kern w:val="0"/>
                <w:sz w:val="24"/>
                <w:szCs w:val="24"/>
                <w14:textFill>
                  <w14:solidFill>
                    <w14:schemeClr w14:val="tx1"/>
                  </w14:solidFill>
                </w14:textFill>
              </w:rPr>
              <w:t>GC</w:t>
            </w:r>
            <w:r>
              <w:rPr>
                <w:rFonts w:hint="eastAsia" w:ascii="Times New Roman" w:hAnsi="Times New Roman" w:cs="Times New Roman"/>
                <w:color w:val="000000" w:themeColor="text1"/>
                <w:kern w:val="0"/>
                <w:sz w:val="24"/>
                <w:szCs w:val="24"/>
                <w14:textFill>
                  <w14:solidFill>
                    <w14:schemeClr w14:val="tx1"/>
                  </w14:solidFill>
                </w14:textFill>
              </w:rPr>
              <w:t>主机。</w:t>
            </w:r>
          </w:p>
          <w:p w14:paraId="30959E45">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5.5 </w:t>
            </w:r>
            <w:r>
              <w:rPr>
                <w:rFonts w:hint="eastAsia" w:ascii="Times New Roman" w:hAnsi="Times New Roman" w:cs="Times New Roman"/>
                <w:color w:val="000000" w:themeColor="text1"/>
                <w:kern w:val="0"/>
                <w:sz w:val="24"/>
                <w:szCs w:val="24"/>
                <w14:textFill>
                  <w14:solidFill>
                    <w14:schemeClr w14:val="tx1"/>
                  </w14:solidFill>
                </w14:textFill>
              </w:rPr>
              <w:t>法规符合性</w:t>
            </w:r>
            <w:r>
              <w:rPr>
                <w:rFonts w:ascii="Times New Roman" w:hAnsi="Times New Roman" w:cs="Times New Roman"/>
                <w:color w:val="000000" w:themeColor="text1"/>
                <w:kern w:val="0"/>
                <w:sz w:val="24"/>
                <w:szCs w:val="24"/>
                <w14:textFill>
                  <w14:solidFill>
                    <w14:schemeClr w14:val="tx1"/>
                  </w14:solidFill>
                </w14:textFill>
              </w:rPr>
              <w:t xml:space="preserve"> </w:t>
            </w:r>
          </w:p>
          <w:p w14:paraId="57ECE737">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LabSolutions LC/GC</w:t>
            </w:r>
            <w:r>
              <w:rPr>
                <w:rFonts w:hint="eastAsia" w:ascii="Times New Roman" w:hAnsi="Times New Roman" w:cs="Times New Roman"/>
                <w:color w:val="000000" w:themeColor="text1"/>
                <w:kern w:val="0"/>
                <w:sz w:val="24"/>
                <w:szCs w:val="24"/>
                <w14:textFill>
                  <w14:solidFill>
                    <w14:schemeClr w14:val="tx1"/>
                  </w14:solidFill>
                </w14:textFill>
              </w:rPr>
              <w:t>具有安全性策略、系统策略、用户权限和用户管理、审核追踪和理由输入等功能，完全符合</w:t>
            </w:r>
            <w:r>
              <w:rPr>
                <w:rFonts w:ascii="Times New Roman" w:hAnsi="Times New Roman" w:cs="Times New Roman"/>
                <w:color w:val="000000" w:themeColor="text1"/>
                <w:kern w:val="0"/>
                <w:sz w:val="24"/>
                <w:szCs w:val="24"/>
                <w14:textFill>
                  <w14:solidFill>
                    <w14:schemeClr w14:val="tx1"/>
                  </w14:solidFill>
                </w14:textFill>
              </w:rPr>
              <w:t>GxP</w:t>
            </w:r>
            <w:r>
              <w:rPr>
                <w:rFonts w:hint="eastAsia" w:ascii="Times New Roman" w:hAnsi="Times New Roman" w:cs="Times New Roman"/>
                <w:color w:val="000000" w:themeColor="text1"/>
                <w:kern w:val="0"/>
                <w:sz w:val="24"/>
                <w:szCs w:val="24"/>
                <w14:textFill>
                  <w14:solidFill>
                    <w14:schemeClr w14:val="tx1"/>
                  </w14:solidFill>
                </w14:textFill>
              </w:rPr>
              <w:t>和</w:t>
            </w:r>
            <w:r>
              <w:rPr>
                <w:rFonts w:ascii="Times New Roman" w:hAnsi="Times New Roman" w:cs="Times New Roman"/>
                <w:color w:val="000000" w:themeColor="text1"/>
                <w:kern w:val="0"/>
                <w:sz w:val="24"/>
                <w:szCs w:val="24"/>
                <w14:textFill>
                  <w14:solidFill>
                    <w14:schemeClr w14:val="tx1"/>
                  </w14:solidFill>
                </w14:textFill>
              </w:rPr>
              <w:t>FDA 21 CFR Part11</w:t>
            </w:r>
            <w:r>
              <w:rPr>
                <w:rFonts w:hint="eastAsia" w:ascii="Times New Roman" w:hAnsi="Times New Roman" w:cs="Times New Roman"/>
                <w:color w:val="000000" w:themeColor="text1"/>
                <w:kern w:val="0"/>
                <w:sz w:val="24"/>
                <w:szCs w:val="24"/>
                <w14:textFill>
                  <w14:solidFill>
                    <w14:schemeClr w14:val="tx1"/>
                  </w14:solidFill>
                </w14:textFill>
              </w:rPr>
              <w:t>或厚生劳动省相关法规的要求。</w:t>
            </w:r>
          </w:p>
          <w:p w14:paraId="697AC50F">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7</w:t>
            </w:r>
            <w:r>
              <w:rPr>
                <w:rFonts w:hint="eastAsia" w:ascii="Times New Roman" w:hAnsi="Times New Roman" w:cs="Times New Roman"/>
                <w:color w:val="000000" w:themeColor="text1"/>
                <w:kern w:val="0"/>
                <w:sz w:val="24"/>
                <w:szCs w:val="24"/>
                <w14:textFill>
                  <w14:solidFill>
                    <w14:schemeClr w14:val="tx1"/>
                  </w14:solidFill>
                </w14:textFill>
              </w:rPr>
              <w:t>售后服务：</w:t>
            </w:r>
          </w:p>
          <w:p w14:paraId="1CBB6FE1">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7.1</w:t>
            </w:r>
            <w:r>
              <w:rPr>
                <w:rFonts w:hint="eastAsia" w:ascii="Times New Roman" w:hAnsi="Times New Roman" w:cs="Times New Roman"/>
                <w:color w:val="000000" w:themeColor="text1"/>
                <w:kern w:val="0"/>
                <w:sz w:val="24"/>
                <w:szCs w:val="24"/>
                <w14:textFill>
                  <w14:solidFill>
                    <w14:schemeClr w14:val="tx1"/>
                  </w14:solidFill>
                </w14:textFill>
              </w:rPr>
              <w:t>技术服务</w:t>
            </w:r>
          </w:p>
          <w:p w14:paraId="72F701CC">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7.1.1</w:t>
            </w:r>
            <w:r>
              <w:rPr>
                <w:rFonts w:hint="eastAsia" w:ascii="Times New Roman" w:hAnsi="Times New Roman" w:cs="Times New Roman"/>
                <w:color w:val="000000" w:themeColor="text1"/>
                <w:kern w:val="0"/>
                <w:sz w:val="24"/>
                <w:szCs w:val="24"/>
                <w14:textFill>
                  <w14:solidFill>
                    <w14:schemeClr w14:val="tx1"/>
                  </w14:solidFill>
                </w14:textFill>
              </w:rPr>
              <w:t>安装调试</w:t>
            </w: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由卖方负责派人负责设备的现场安装和调试，按合同规定的时间交货、安装、调试、验收完毕。在设备的安装、调试、试运行期间</w:t>
            </w: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卖方安装调试人员一切费用自理。</w:t>
            </w:r>
          </w:p>
          <w:p w14:paraId="6F7561DF">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培训</w:t>
            </w:r>
            <w:r>
              <w:rPr>
                <w:rFonts w:ascii="Times New Roman" w:hAnsi="Times New Roman" w:cs="Times New Roman"/>
                <w:color w:val="000000" w:themeColor="text1"/>
                <w:kern w:val="0"/>
                <w:sz w:val="24"/>
                <w:szCs w:val="24"/>
                <w14:textFill>
                  <w14:solidFill>
                    <w14:schemeClr w14:val="tx1"/>
                  </w14:solidFill>
                </w14:textFill>
              </w:rPr>
              <w:t xml:space="preserve"> </w:t>
            </w:r>
          </w:p>
          <w:p w14:paraId="5C70B489">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7.1.2</w:t>
            </w:r>
            <w:r>
              <w:rPr>
                <w:rFonts w:hint="eastAsia" w:ascii="Times New Roman" w:hAnsi="Times New Roman" w:cs="Times New Roman"/>
                <w:color w:val="000000" w:themeColor="text1"/>
                <w:kern w:val="0"/>
                <w:sz w:val="24"/>
                <w:szCs w:val="24"/>
                <w14:textFill>
                  <w14:solidFill>
                    <w14:schemeClr w14:val="tx1"/>
                  </w14:solidFill>
                </w14:textFill>
              </w:rPr>
              <w:t>现场培训：卖方在设备的安装、调试、验收完毕后即进行现场培训直至买方基本掌握运行操作、维修保养技术。</w:t>
            </w:r>
          </w:p>
          <w:p w14:paraId="1BC80B69">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专门培训：卖方应就设备的安装、检验、调试、使用和维护等培训买方</w:t>
            </w:r>
            <w:r>
              <w:rPr>
                <w:rFonts w:ascii="Times New Roman" w:hAnsi="Times New Roman" w:cs="Times New Roman"/>
                <w:color w:val="000000" w:themeColor="text1"/>
                <w:kern w:val="0"/>
                <w:sz w:val="24"/>
                <w:szCs w:val="24"/>
                <w14:textFill>
                  <w14:solidFill>
                    <w14:schemeClr w14:val="tx1"/>
                  </w14:solidFill>
                </w14:textFill>
              </w:rPr>
              <w:t>2</w:t>
            </w:r>
            <w:r>
              <w:rPr>
                <w:rFonts w:hint="eastAsia" w:ascii="Times New Roman" w:hAnsi="Times New Roman" w:cs="Times New Roman"/>
                <w:color w:val="000000" w:themeColor="text1"/>
                <w:kern w:val="0"/>
                <w:sz w:val="24"/>
                <w:szCs w:val="24"/>
                <w14:textFill>
                  <w14:solidFill>
                    <w14:schemeClr w14:val="tx1"/>
                  </w14:solidFill>
                </w14:textFill>
              </w:rPr>
              <w:t>名技术人员，直到买方受训人员全部掌握运行操作、维修保养技术，并能达到正确检修、维护、排除一般故障为止。买方受训人员的培训费用由卖方承担。</w:t>
            </w:r>
          </w:p>
          <w:p w14:paraId="4C100C3D">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培训方式：技术培训、操作培训。</w:t>
            </w:r>
          </w:p>
          <w:p w14:paraId="2CF0766A">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培训地点：由买卖双方确定在卖方产品国内专业的技术中心。</w:t>
            </w:r>
          </w:p>
          <w:p w14:paraId="65CAA0C0">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培训时间与受训人员：由买方确定受训人员至少</w:t>
            </w:r>
            <w:r>
              <w:rPr>
                <w:rFonts w:ascii="Times New Roman" w:hAnsi="Times New Roman" w:cs="Times New Roman"/>
                <w:color w:val="000000" w:themeColor="text1"/>
                <w:kern w:val="0"/>
                <w:sz w:val="24"/>
                <w:szCs w:val="24"/>
                <w14:textFill>
                  <w14:solidFill>
                    <w14:schemeClr w14:val="tx1"/>
                  </w14:solidFill>
                </w14:textFill>
              </w:rPr>
              <w:t>2</w:t>
            </w:r>
            <w:r>
              <w:rPr>
                <w:rFonts w:hint="eastAsia" w:ascii="Times New Roman" w:hAnsi="Times New Roman" w:cs="Times New Roman"/>
                <w:color w:val="000000" w:themeColor="text1"/>
                <w:kern w:val="0"/>
                <w:sz w:val="24"/>
                <w:szCs w:val="24"/>
                <w14:textFill>
                  <w14:solidFill>
                    <w14:schemeClr w14:val="tx1"/>
                  </w14:solidFill>
                </w14:textFill>
              </w:rPr>
              <w:t>人，买卖双方商定时间。</w:t>
            </w:r>
          </w:p>
          <w:p w14:paraId="6EF3D580">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7.2</w:t>
            </w:r>
            <w:r>
              <w:rPr>
                <w:rFonts w:hint="eastAsia" w:ascii="Times New Roman" w:hAnsi="Times New Roman" w:cs="Times New Roman"/>
                <w:color w:val="000000" w:themeColor="text1"/>
                <w:kern w:val="0"/>
                <w:sz w:val="24"/>
                <w:szCs w:val="24"/>
                <w14:textFill>
                  <w14:solidFill>
                    <w14:schemeClr w14:val="tx1"/>
                  </w14:solidFill>
                </w14:textFill>
              </w:rPr>
              <w:t>质保与维修</w:t>
            </w:r>
          </w:p>
          <w:p w14:paraId="2FC209ED">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7.2.1</w:t>
            </w:r>
            <w:r>
              <w:rPr>
                <w:rFonts w:hint="eastAsia" w:ascii="Times New Roman" w:hAnsi="Times New Roman" w:cs="Times New Roman"/>
                <w:color w:val="000000" w:themeColor="text1"/>
                <w:kern w:val="0"/>
                <w:sz w:val="24"/>
                <w:szCs w:val="24"/>
                <w14:textFill>
                  <w14:solidFill>
                    <w14:schemeClr w14:val="tx1"/>
                  </w14:solidFill>
                </w14:textFill>
              </w:rPr>
              <w:t>质量保证期</w:t>
            </w:r>
            <w:r>
              <w:rPr>
                <w:rFonts w:ascii="Times New Roman" w:hAnsi="Times New Roman" w:cs="Times New Roman"/>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整机验收合格后</w:t>
            </w:r>
            <w:r>
              <w:rPr>
                <w:rFonts w:ascii="Times New Roman" w:hAnsi="Times New Roman" w:cs="Times New Roman"/>
                <w:color w:val="000000" w:themeColor="text1"/>
                <w:kern w:val="0"/>
                <w:sz w:val="24"/>
                <w:szCs w:val="24"/>
                <w14:textFill>
                  <w14:solidFill>
                    <w14:schemeClr w14:val="tx1"/>
                  </w14:solidFill>
                </w14:textFill>
              </w:rPr>
              <w:t>12</w:t>
            </w:r>
            <w:r>
              <w:rPr>
                <w:rFonts w:hint="eastAsia" w:ascii="Times New Roman" w:hAnsi="Times New Roman" w:cs="Times New Roman"/>
                <w:color w:val="000000" w:themeColor="text1"/>
                <w:kern w:val="0"/>
                <w:sz w:val="24"/>
                <w:szCs w:val="24"/>
                <w14:textFill>
                  <w14:solidFill>
                    <w14:schemeClr w14:val="tx1"/>
                  </w14:solidFill>
                </w14:textFill>
              </w:rPr>
              <w:t>个月。</w:t>
            </w:r>
            <w:r>
              <w:rPr>
                <w:rFonts w:ascii="Times New Roman" w:hAnsi="Times New Roman" w:cs="Times New Roman"/>
                <w:color w:val="000000" w:themeColor="text1"/>
                <w:kern w:val="0"/>
                <w:sz w:val="24"/>
                <w:szCs w:val="24"/>
                <w14:textFill>
                  <w14:solidFill>
                    <w14:schemeClr w14:val="tx1"/>
                  </w14:solidFill>
                </w14:textFill>
              </w:rPr>
              <w:t xml:space="preserve"> </w:t>
            </w:r>
          </w:p>
          <w:p w14:paraId="2917B57A">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7.2.2</w:t>
            </w:r>
            <w:r>
              <w:rPr>
                <w:rFonts w:hint="eastAsia" w:ascii="Times New Roman" w:hAnsi="Times New Roman" w:cs="Times New Roman"/>
                <w:color w:val="000000" w:themeColor="text1"/>
                <w:kern w:val="0"/>
                <w:sz w:val="24"/>
                <w:szCs w:val="24"/>
                <w14:textFill>
                  <w14:solidFill>
                    <w14:schemeClr w14:val="tx1"/>
                  </w14:solidFill>
                </w14:textFill>
              </w:rPr>
              <w:t>维修：卖方应在质保期内提供免费上门维修服务，并进行终身维护。要求卖方在设备寿命期内以不高于投标价格的价格保证备品备件并长期提供技术咨询服务。卖方在接到用户要求对所购仪器进行维修通知时，应在</w:t>
            </w:r>
            <w:r>
              <w:rPr>
                <w:rFonts w:ascii="Times New Roman" w:hAnsi="Times New Roman" w:cs="Times New Roman"/>
                <w:color w:val="000000" w:themeColor="text1"/>
                <w:kern w:val="0"/>
                <w:sz w:val="24"/>
                <w:szCs w:val="24"/>
                <w14:textFill>
                  <w14:solidFill>
                    <w14:schemeClr w14:val="tx1"/>
                  </w14:solidFill>
                </w14:textFill>
              </w:rPr>
              <w:t>24</w:t>
            </w:r>
            <w:r>
              <w:rPr>
                <w:rFonts w:hint="eastAsia" w:ascii="Times New Roman" w:hAnsi="Times New Roman" w:cs="Times New Roman"/>
                <w:color w:val="000000" w:themeColor="text1"/>
                <w:kern w:val="0"/>
                <w:sz w:val="24"/>
                <w:szCs w:val="24"/>
                <w14:textFill>
                  <w14:solidFill>
                    <w14:schemeClr w14:val="tx1"/>
                  </w14:solidFill>
                </w14:textFill>
              </w:rPr>
              <w:t>小时内给予明确的解决措施；如需卖方派员，则应在</w:t>
            </w:r>
            <w:r>
              <w:rPr>
                <w:rFonts w:ascii="Times New Roman" w:hAnsi="Times New Roman" w:cs="Times New Roman"/>
                <w:color w:val="000000" w:themeColor="text1"/>
                <w:kern w:val="0"/>
                <w:sz w:val="24"/>
                <w:szCs w:val="24"/>
                <w14:textFill>
                  <w14:solidFill>
                    <w14:schemeClr w14:val="tx1"/>
                  </w14:solidFill>
                </w14:textFill>
              </w:rPr>
              <w:t>3</w:t>
            </w:r>
            <w:r>
              <w:rPr>
                <w:rFonts w:hint="eastAsia" w:ascii="Times New Roman" w:hAnsi="Times New Roman" w:cs="Times New Roman"/>
                <w:color w:val="000000" w:themeColor="text1"/>
                <w:kern w:val="0"/>
                <w:sz w:val="24"/>
                <w:szCs w:val="24"/>
                <w14:textFill>
                  <w14:solidFill>
                    <w14:schemeClr w14:val="tx1"/>
                  </w14:solidFill>
                </w14:textFill>
              </w:rPr>
              <w:t>日内（不计路途时间）派出专门维修人员到现场维修。</w:t>
            </w:r>
          </w:p>
          <w:p w14:paraId="7B6F7E30">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软件升级：卖方</w:t>
            </w:r>
            <w:r>
              <w:rPr>
                <w:rFonts w:ascii="Times New Roman" w:hAnsi="Times New Roman" w:cs="Times New Roman"/>
                <w:color w:val="000000" w:themeColor="text1"/>
                <w:kern w:val="0"/>
                <w:sz w:val="24"/>
                <w:szCs w:val="24"/>
                <w14:textFill>
                  <w14:solidFill>
                    <w14:schemeClr w14:val="tx1"/>
                  </w14:solidFill>
                </w14:textFill>
              </w:rPr>
              <w:t>3</w:t>
            </w:r>
            <w:r>
              <w:rPr>
                <w:rFonts w:hint="eastAsia" w:ascii="Times New Roman" w:hAnsi="Times New Roman" w:cs="Times New Roman"/>
                <w:color w:val="000000" w:themeColor="text1"/>
                <w:kern w:val="0"/>
                <w:sz w:val="24"/>
                <w:szCs w:val="24"/>
                <w14:textFill>
                  <w14:solidFill>
                    <w14:schemeClr w14:val="tx1"/>
                  </w14:solidFill>
                </w14:textFill>
              </w:rPr>
              <w:t>年内免费为买方提供设备所配软件升级。</w:t>
            </w:r>
          </w:p>
          <w:p w14:paraId="20AC3782">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7.3</w:t>
            </w:r>
            <w:r>
              <w:rPr>
                <w:rFonts w:hint="eastAsia" w:ascii="Times New Roman" w:hAnsi="Times New Roman" w:cs="Times New Roman"/>
                <w:color w:val="000000" w:themeColor="text1"/>
                <w:kern w:val="0"/>
                <w:sz w:val="24"/>
                <w:szCs w:val="24"/>
                <w14:textFill>
                  <w14:solidFill>
                    <w14:schemeClr w14:val="tx1"/>
                  </w14:solidFill>
                </w14:textFill>
              </w:rPr>
              <w:t>厂家资质要求</w:t>
            </w:r>
          </w:p>
          <w:p w14:paraId="2D8C43BB">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7.3.1</w:t>
            </w:r>
            <w:r>
              <w:rPr>
                <w:rFonts w:hint="eastAsia" w:ascii="Times New Roman" w:hAnsi="Times New Roman" w:cs="Times New Roman"/>
                <w:color w:val="000000" w:themeColor="text1"/>
                <w:kern w:val="0"/>
                <w:sz w:val="24"/>
                <w:szCs w:val="24"/>
                <w14:textFill>
                  <w14:solidFill>
                    <w14:schemeClr w14:val="tx1"/>
                  </w14:solidFill>
                </w14:textFill>
              </w:rPr>
              <w:t>厂家提供正式工商注册资质证明文件。有</w:t>
            </w:r>
            <w:r>
              <w:rPr>
                <w:rFonts w:ascii="Times New Roman" w:hAnsi="Times New Roman" w:cs="Times New Roman"/>
                <w:color w:val="000000" w:themeColor="text1"/>
                <w:kern w:val="0"/>
                <w:sz w:val="24"/>
                <w:szCs w:val="24"/>
                <w14:textFill>
                  <w14:solidFill>
                    <w14:schemeClr w14:val="tx1"/>
                  </w14:solidFill>
                </w14:textFill>
              </w:rPr>
              <w:t>3</w:t>
            </w:r>
            <w:r>
              <w:rPr>
                <w:rFonts w:hint="eastAsia" w:ascii="Times New Roman" w:hAnsi="Times New Roman" w:cs="Times New Roman"/>
                <w:color w:val="000000" w:themeColor="text1"/>
                <w:kern w:val="0"/>
                <w:sz w:val="24"/>
                <w:szCs w:val="24"/>
                <w14:textFill>
                  <w14:solidFill>
                    <w14:schemeClr w14:val="tx1"/>
                  </w14:solidFill>
                </w14:textFill>
              </w:rPr>
              <w:t>名以上专业维修、维护工程师和</w:t>
            </w:r>
            <w:r>
              <w:rPr>
                <w:rFonts w:ascii="Times New Roman" w:hAnsi="Times New Roman" w:cs="Times New Roman"/>
                <w:color w:val="000000" w:themeColor="text1"/>
                <w:kern w:val="0"/>
                <w:sz w:val="24"/>
                <w:szCs w:val="24"/>
                <w14:textFill>
                  <w14:solidFill>
                    <w14:schemeClr w14:val="tx1"/>
                  </w14:solidFill>
                </w14:textFill>
              </w:rPr>
              <w:t>1</w:t>
            </w:r>
            <w:r>
              <w:rPr>
                <w:rFonts w:hint="eastAsia" w:ascii="Times New Roman" w:hAnsi="Times New Roman" w:cs="Times New Roman"/>
                <w:color w:val="000000" w:themeColor="text1"/>
                <w:kern w:val="0"/>
                <w:sz w:val="24"/>
                <w:szCs w:val="24"/>
                <w14:textFill>
                  <w14:solidFill>
                    <w14:schemeClr w14:val="tx1"/>
                  </w14:solidFill>
                </w14:textFill>
              </w:rPr>
              <w:t>名以上的应用工程师，并提供工程师资格证明材料。</w:t>
            </w:r>
          </w:p>
          <w:p w14:paraId="4C0F52F8">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7.3.2</w:t>
            </w:r>
            <w:r>
              <w:rPr>
                <w:rFonts w:hint="eastAsia" w:ascii="Times New Roman" w:hAnsi="Times New Roman" w:cs="Times New Roman"/>
                <w:color w:val="000000" w:themeColor="text1"/>
                <w:kern w:val="0"/>
                <w:sz w:val="24"/>
                <w:szCs w:val="24"/>
                <w14:textFill>
                  <w14:solidFill>
                    <w14:schemeClr w14:val="tx1"/>
                  </w14:solidFill>
                </w14:textFill>
              </w:rPr>
              <w:t>制造厂家有专业应用支持工程师，需要提供盖厂家公章的证明材料以及联系电话。</w:t>
            </w:r>
          </w:p>
          <w:p w14:paraId="226BC71F">
            <w:pPr>
              <w:ind w:firstLine="36" w:firstLineChars="15"/>
              <w:jc w:val="left"/>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7.3.3</w:t>
            </w:r>
            <w:r>
              <w:rPr>
                <w:rFonts w:hint="eastAsia" w:ascii="Times New Roman" w:hAnsi="Times New Roman" w:cs="Times New Roman"/>
                <w:color w:val="000000" w:themeColor="text1"/>
                <w:kern w:val="0"/>
                <w:sz w:val="24"/>
                <w:szCs w:val="24"/>
                <w14:textFill>
                  <w14:solidFill>
                    <w14:schemeClr w14:val="tx1"/>
                  </w14:solidFill>
                </w14:textFill>
              </w:rPr>
              <w:t>制造厂家应用技术人员在现场提供应用支持时间不低于</w:t>
            </w:r>
            <w:r>
              <w:rPr>
                <w:rFonts w:ascii="Times New Roman" w:hAnsi="Times New Roman" w:cs="Times New Roman"/>
                <w:color w:val="000000" w:themeColor="text1"/>
                <w:kern w:val="0"/>
                <w:sz w:val="24"/>
                <w:szCs w:val="24"/>
                <w14:textFill>
                  <w14:solidFill>
                    <w14:schemeClr w14:val="tx1"/>
                  </w14:solidFill>
                </w14:textFill>
              </w:rPr>
              <w:t>7</w:t>
            </w:r>
            <w:r>
              <w:rPr>
                <w:rFonts w:hint="eastAsia" w:ascii="Times New Roman" w:hAnsi="Times New Roman" w:cs="Times New Roman"/>
                <w:color w:val="000000" w:themeColor="text1"/>
                <w:kern w:val="0"/>
                <w:sz w:val="24"/>
                <w:szCs w:val="24"/>
                <w14:textFill>
                  <w14:solidFill>
                    <w14:schemeClr w14:val="tx1"/>
                  </w14:solidFill>
                </w14:textFill>
              </w:rPr>
              <w:t>个工作日。</w:t>
            </w:r>
          </w:p>
          <w:p w14:paraId="34BC2A8F">
            <w:pPr>
              <w:ind w:firstLine="36" w:firstLineChars="15"/>
              <w:jc w:val="both"/>
              <w:rPr>
                <w:rFonts w:ascii="Times New Roman" w:hAnsi="Times New Roman" w:cs="Times New Roman"/>
                <w:kern w:val="0"/>
                <w:sz w:val="24"/>
                <w:szCs w:val="24"/>
              </w:rPr>
            </w:pPr>
            <w:r>
              <w:rPr>
                <w:rFonts w:hint="eastAsia" w:ascii="宋体" w:hAnsi="宋体" w:cs="宋体"/>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备注：需提供生产厂售后服务承诺书原件</w:t>
            </w:r>
          </w:p>
        </w:tc>
        <w:tc>
          <w:tcPr>
            <w:tcW w:w="706" w:type="dxa"/>
            <w:vAlign w:val="center"/>
          </w:tcPr>
          <w:p w14:paraId="28668504">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台</w:t>
            </w:r>
          </w:p>
        </w:tc>
        <w:tc>
          <w:tcPr>
            <w:tcW w:w="716" w:type="dxa"/>
            <w:vAlign w:val="center"/>
          </w:tcPr>
          <w:p w14:paraId="134C74C8">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1</w:t>
            </w:r>
          </w:p>
        </w:tc>
        <w:tc>
          <w:tcPr>
            <w:tcW w:w="716" w:type="dxa"/>
          </w:tcPr>
          <w:p w14:paraId="22DAA7DA">
            <w:pPr>
              <w:spacing w:line="240" w:lineRule="auto"/>
              <w:ind w:firstLine="0" w:firstLineChars="0"/>
              <w:jc w:val="both"/>
              <w:rPr>
                <w:rFonts w:ascii="仿宋" w:hAnsi="仿宋" w:eastAsia="仿宋" w:cs="仿宋"/>
                <w:kern w:val="0"/>
                <w:sz w:val="24"/>
                <w:szCs w:val="24"/>
              </w:rPr>
            </w:pPr>
          </w:p>
        </w:tc>
      </w:tr>
      <w:tr w14:paraId="3E9BA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BEF7BB3">
            <w:pPr>
              <w:spacing w:line="240" w:lineRule="auto"/>
              <w:ind w:firstLine="0" w:firstLineChars="0"/>
              <w:jc w:val="both"/>
              <w:rPr>
                <w:rFonts w:ascii="仿宋" w:hAnsi="仿宋" w:eastAsia="仿宋" w:cs="仿宋"/>
                <w:kern w:val="0"/>
                <w:sz w:val="24"/>
                <w:szCs w:val="24"/>
              </w:rPr>
            </w:pPr>
            <w:r>
              <w:rPr>
                <w:rFonts w:hint="eastAsia" w:ascii="仿宋" w:hAnsi="仿宋" w:eastAsia="仿宋" w:cs="宋体"/>
                <w:color w:val="000000" w:themeColor="text1"/>
                <w:kern w:val="0"/>
                <w:sz w:val="24"/>
                <w:szCs w:val="24"/>
                <w14:textFill>
                  <w14:solidFill>
                    <w14:schemeClr w14:val="tx1"/>
                  </w14:solidFill>
                </w14:textFill>
              </w:rPr>
              <w:t>3</w:t>
            </w:r>
          </w:p>
        </w:tc>
        <w:tc>
          <w:tcPr>
            <w:tcW w:w="845" w:type="dxa"/>
            <w:vAlign w:val="center"/>
          </w:tcPr>
          <w:p w14:paraId="2EDB2AE8">
            <w:pPr>
              <w:spacing w:line="240" w:lineRule="auto"/>
              <w:ind w:firstLine="0" w:firstLineChars="0"/>
              <w:jc w:val="both"/>
              <w:rPr>
                <w:rFonts w:ascii="宋体" w:hAnsi="宋体" w:cs="仿宋"/>
                <w:kern w:val="0"/>
                <w:sz w:val="24"/>
                <w:szCs w:val="24"/>
              </w:rPr>
            </w:pPr>
            <w:r>
              <w:rPr>
                <w:rFonts w:hint="eastAsia" w:ascii="宋体" w:hAnsi="宋体" w:cs="宋体"/>
                <w:color w:val="000000" w:themeColor="text1"/>
                <w:kern w:val="0"/>
                <w:sz w:val="24"/>
                <w:szCs w:val="24"/>
                <w14:textFill>
                  <w14:solidFill>
                    <w14:schemeClr w14:val="tx1"/>
                  </w14:solidFill>
                </w14:textFill>
              </w:rPr>
              <w:t>高效液相色谱仪</w:t>
            </w:r>
          </w:p>
        </w:tc>
        <w:tc>
          <w:tcPr>
            <w:tcW w:w="6278" w:type="dxa"/>
            <w:vAlign w:val="top"/>
          </w:tcPr>
          <w:p w14:paraId="25D66110">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1工作条件</w:t>
            </w:r>
          </w:p>
          <w:p w14:paraId="25D1FC42">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1.1 电源：220V，50Hz电源</w:t>
            </w:r>
          </w:p>
          <w:p w14:paraId="101610BB">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1.2 </w:t>
            </w:r>
            <w:r>
              <w:rPr>
                <w:rFonts w:hint="eastAsia" w:ascii="Times New Roman" w:hAnsi="Times New Roman" w:cs="Times New Roman"/>
                <w:color w:val="000000" w:themeColor="text1"/>
                <w:kern w:val="0"/>
                <w:sz w:val="24"/>
                <w:szCs w:val="24"/>
                <w14:textFill>
                  <w14:solidFill>
                    <w14:schemeClr w14:val="tx1"/>
                  </w14:solidFill>
                </w14:textFill>
              </w:rPr>
              <w:t>环境温度：</w:t>
            </w:r>
            <w:r>
              <w:rPr>
                <w:rFonts w:ascii="Times New Roman" w:hAnsi="Times New Roman" w:cs="Times New Roman"/>
                <w:color w:val="000000" w:themeColor="text1"/>
                <w:kern w:val="0"/>
                <w:sz w:val="24"/>
                <w:szCs w:val="24"/>
                <w14:textFill>
                  <w14:solidFill>
                    <w14:schemeClr w14:val="tx1"/>
                  </w14:solidFill>
                </w14:textFill>
              </w:rPr>
              <w:t>5-55˚C</w:t>
            </w:r>
          </w:p>
          <w:p w14:paraId="2B6F2319">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1.3 环境湿度：&lt;85%</w:t>
            </w:r>
          </w:p>
          <w:p w14:paraId="01E25B21">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 技术参数</w:t>
            </w:r>
          </w:p>
          <w:p w14:paraId="37F8829E">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2.1梯度泵</w:t>
            </w:r>
          </w:p>
          <w:p w14:paraId="075A3AE1">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★2.1.1 串联式双柱塞往复泵,伺服控制主动入口阀，连续可变冲程20-100ul，主动电磁阀控制。最大耐压600Bar</w:t>
            </w:r>
          </w:p>
          <w:p w14:paraId="084F8CEB">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2.1.2梯度：四元混合， 梯度功能专用的高速比例阀</w:t>
            </w:r>
          </w:p>
          <w:p w14:paraId="69B93D20">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2.1.3、流量精度：&lt;0.08RSD</w:t>
            </w:r>
          </w:p>
          <w:p w14:paraId="1CD77139">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2.1.4、混合精度：±0.25%SD</w:t>
            </w:r>
          </w:p>
          <w:p w14:paraId="2A1E9A97">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2.1.5、可压缩性补偿：根据流动相自动调节或用户选择</w:t>
            </w:r>
          </w:p>
          <w:p w14:paraId="70DF36F9">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2.1.6、流量范围：0.001ml/min～10.0ml/min，递增率0.001ml/min</w:t>
            </w:r>
          </w:p>
          <w:p w14:paraId="040E2DBB">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2.1梯度泵</w:t>
            </w:r>
          </w:p>
          <w:p w14:paraId="4573CCF2">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★2.1.1 串联式双柱塞往复泵,伺服控制主动入口阀，连续可变冲程20-100ul，主动电磁阀控制。最大耐压600Bar</w:t>
            </w:r>
          </w:p>
          <w:p w14:paraId="3480271D">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2.1.2梯度：四元混合， 梯度功能专用的高速比例阀</w:t>
            </w:r>
          </w:p>
          <w:p w14:paraId="314B6344">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2.1.3、流量精度：&lt;0.08RSD</w:t>
            </w:r>
          </w:p>
          <w:p w14:paraId="0D6FF3CD">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2.1.4、混合精度：±0.25%SD</w:t>
            </w:r>
          </w:p>
          <w:p w14:paraId="5707F6DF">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2.1.5、可压缩性补偿：根据流动相自动调节或用户选择</w:t>
            </w:r>
          </w:p>
          <w:p w14:paraId="23AAAFB1">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2.1.6、流量范围：0.001ml/min～10.0ml/min，递增率0.001ml/min</w:t>
            </w:r>
          </w:p>
          <w:p w14:paraId="452A7BF1">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2.3 智能化温控柱箱</w:t>
            </w:r>
          </w:p>
          <w:p w14:paraId="3C86A30F">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2.3.1半导体温控设计，流动相柱前预加热功能。</w:t>
            </w:r>
          </w:p>
          <w:p w14:paraId="74B72866">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2.3.2</w:t>
            </w:r>
            <w:r>
              <w:rPr>
                <w:rFonts w:hint="eastAsia" w:ascii="Times New Roman" w:hAnsi="Times New Roman" w:cs="Times New Roman"/>
                <w:color w:val="000000" w:themeColor="text1"/>
                <w:kern w:val="0"/>
                <w:sz w:val="24"/>
                <w:szCs w:val="24"/>
                <w14:textFill>
                  <w14:solidFill>
                    <w14:schemeClr w14:val="tx1"/>
                  </w14:solidFill>
                </w14:textFill>
              </w:rPr>
              <w:t>柱温范围：室温以上</w:t>
            </w:r>
            <w:r>
              <w:rPr>
                <w:rFonts w:ascii="Times New Roman" w:hAnsi="Times New Roman" w:cs="Times New Roman"/>
                <w:color w:val="000000" w:themeColor="text1"/>
                <w:kern w:val="0"/>
                <w:sz w:val="24"/>
                <w:szCs w:val="24"/>
                <w14:textFill>
                  <w14:solidFill>
                    <w14:schemeClr w14:val="tx1"/>
                  </w14:solidFill>
                </w14:textFill>
              </w:rPr>
              <w:t>4</w:t>
            </w:r>
            <w:r>
              <w:rPr>
                <w:rFonts w:hint="eastAsia" w:ascii="Times New Roman" w:hAnsi="Times New Roman" w:cs="Times New Roman"/>
                <w:color w:val="000000" w:themeColor="text1"/>
                <w:kern w:val="0"/>
                <w:sz w:val="24"/>
                <w:szCs w:val="24"/>
                <w14:textFill>
                  <w14:solidFill>
                    <w14:schemeClr w14:val="tx1"/>
                  </w14:solidFill>
                </w14:textFill>
              </w:rPr>
              <w:t>至</w:t>
            </w:r>
            <w:r>
              <w:rPr>
                <w:rFonts w:ascii="Times New Roman" w:hAnsi="Times New Roman" w:cs="Times New Roman"/>
                <w:color w:val="000000" w:themeColor="text1"/>
                <w:kern w:val="0"/>
                <w:sz w:val="24"/>
                <w:szCs w:val="24"/>
                <w14:textFill>
                  <w14:solidFill>
                    <w14:schemeClr w14:val="tx1"/>
                  </w14:solidFill>
                </w14:textFill>
              </w:rPr>
              <w:t>80˚C</w:t>
            </w:r>
          </w:p>
          <w:p w14:paraId="4A202B82">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2.3.3</w:t>
            </w:r>
            <w:r>
              <w:rPr>
                <w:rFonts w:hint="eastAsia" w:ascii="Times New Roman" w:hAnsi="Times New Roman" w:cs="Times New Roman"/>
                <w:color w:val="000000" w:themeColor="text1"/>
                <w:kern w:val="0"/>
                <w:sz w:val="24"/>
                <w:szCs w:val="24"/>
                <w14:textFill>
                  <w14:solidFill>
                    <w14:schemeClr w14:val="tx1"/>
                  </w14:solidFill>
                </w14:textFill>
              </w:rPr>
              <w:t>温度稳定性：±</w:t>
            </w:r>
            <w:r>
              <w:rPr>
                <w:rFonts w:ascii="Times New Roman" w:hAnsi="Times New Roman" w:cs="Times New Roman"/>
                <w:color w:val="000000" w:themeColor="text1"/>
                <w:kern w:val="0"/>
                <w:sz w:val="24"/>
                <w:szCs w:val="24"/>
                <w14:textFill>
                  <w14:solidFill>
                    <w14:schemeClr w14:val="tx1"/>
                  </w14:solidFill>
                </w14:textFill>
              </w:rPr>
              <w:t>0.2˚C</w:t>
            </w:r>
          </w:p>
          <w:p w14:paraId="373D8A9C">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2.3.4</w:t>
            </w:r>
            <w:r>
              <w:rPr>
                <w:rFonts w:hint="eastAsia" w:ascii="Times New Roman" w:hAnsi="Times New Roman" w:cs="Times New Roman"/>
                <w:color w:val="000000" w:themeColor="text1"/>
                <w:kern w:val="0"/>
                <w:sz w:val="24"/>
                <w:szCs w:val="24"/>
                <w14:textFill>
                  <w14:solidFill>
                    <w14:schemeClr w14:val="tx1"/>
                  </w14:solidFill>
                </w14:textFill>
              </w:rPr>
              <w:t>温度准确度：±</w:t>
            </w:r>
            <w:r>
              <w:rPr>
                <w:rFonts w:ascii="Times New Roman" w:hAnsi="Times New Roman" w:cs="Times New Roman"/>
                <w:color w:val="000000" w:themeColor="text1"/>
                <w:kern w:val="0"/>
                <w:sz w:val="24"/>
                <w:szCs w:val="24"/>
                <w14:textFill>
                  <w14:solidFill>
                    <w14:schemeClr w14:val="tx1"/>
                  </w14:solidFill>
                </w14:textFill>
              </w:rPr>
              <w:t>0.5˚C</w:t>
            </w:r>
          </w:p>
          <w:p w14:paraId="5C38C0A9">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2.3.5 柱容量：最多可同时放2根色谱柱。</w:t>
            </w:r>
          </w:p>
          <w:p w14:paraId="3BF25224">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2.4 自动进样器：130位样品盘</w:t>
            </w:r>
          </w:p>
          <w:p w14:paraId="3306C9FE">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★2.4.1具有可编程进样功能，具有样品柱前衍生，柱前样品自动稀释，自动混合等复杂进样方式，进样系统采用高压在线流路，进样针始终处于液体中。</w:t>
            </w:r>
          </w:p>
          <w:p w14:paraId="0E54C219">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2.4.2可根据样品的粘度，调节取样及进样速度。</w:t>
            </w:r>
          </w:p>
          <w:p w14:paraId="67282BF8">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2.4.3自动进样器具有氨基酸柱前衍生功能，可进行氨基酸自动分析功能。</w:t>
            </w:r>
          </w:p>
          <w:p w14:paraId="5EE6BFC8">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2.4.4</w:t>
            </w:r>
            <w:r>
              <w:rPr>
                <w:rFonts w:hint="eastAsia" w:ascii="Times New Roman" w:hAnsi="Times New Roman" w:cs="Times New Roman"/>
                <w:color w:val="000000" w:themeColor="text1"/>
                <w:kern w:val="0"/>
                <w:sz w:val="24"/>
                <w:szCs w:val="24"/>
                <w14:textFill>
                  <w14:solidFill>
                    <w14:schemeClr w14:val="tx1"/>
                  </w14:solidFill>
                </w14:textFill>
              </w:rPr>
              <w:t>进样范围：</w:t>
            </w:r>
            <w:r>
              <w:rPr>
                <w:rFonts w:ascii="Times New Roman" w:hAnsi="Times New Roman" w:cs="Times New Roman"/>
                <w:color w:val="000000" w:themeColor="text1"/>
                <w:kern w:val="0"/>
                <w:sz w:val="24"/>
                <w:szCs w:val="24"/>
                <w14:textFill>
                  <w14:solidFill>
                    <w14:schemeClr w14:val="tx1"/>
                  </w14:solidFill>
                </w14:textFill>
              </w:rPr>
              <w:t>0.1</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100L</w:t>
            </w:r>
            <w:r>
              <w:rPr>
                <w:rFonts w:hint="eastAsia" w:ascii="Times New Roman" w:hAnsi="Times New Roman" w:cs="Times New Roman"/>
                <w:color w:val="000000" w:themeColor="text1"/>
                <w:kern w:val="0"/>
                <w:sz w:val="24"/>
                <w:szCs w:val="24"/>
                <w14:textFill>
                  <w14:solidFill>
                    <w14:schemeClr w14:val="tx1"/>
                  </w14:solidFill>
                </w14:textFill>
              </w:rPr>
              <w:t>，增量为</w:t>
            </w:r>
            <w:r>
              <w:rPr>
                <w:rFonts w:ascii="Times New Roman" w:hAnsi="Times New Roman" w:cs="Times New Roman"/>
                <w:color w:val="000000" w:themeColor="text1"/>
                <w:kern w:val="0"/>
                <w:sz w:val="24"/>
                <w:szCs w:val="24"/>
                <w14:textFill>
                  <w14:solidFill>
                    <w14:schemeClr w14:val="tx1"/>
                  </w14:solidFill>
                </w14:textFill>
              </w:rPr>
              <w:t>0.1mL</w:t>
            </w:r>
            <w:r>
              <w:rPr>
                <w:rFonts w:hint="eastAsia" w:ascii="Times New Roman" w:hAnsi="Times New Roman" w:cs="Times New Roman"/>
                <w:color w:val="000000" w:themeColor="text1"/>
                <w:kern w:val="0"/>
                <w:sz w:val="24"/>
                <w:szCs w:val="24"/>
                <w14:textFill>
                  <w14:solidFill>
                    <w14:schemeClr w14:val="tx1"/>
                  </w14:solidFill>
                </w14:textFill>
              </w:rPr>
              <w:t>；</w:t>
            </w:r>
          </w:p>
          <w:p w14:paraId="5313D67E">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2.4.5进样精密度：&lt; 0.25% RSD</w:t>
            </w:r>
          </w:p>
          <w:p w14:paraId="183F906A">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2.4.6样品残留：&lt;0.05%</w:t>
            </w:r>
          </w:p>
          <w:p w14:paraId="3E902B6A">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2.5紫外检测器</w:t>
            </w:r>
          </w:p>
          <w:p w14:paraId="148309BB">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2.5.1光源：氘灯</w:t>
            </w:r>
          </w:p>
          <w:p w14:paraId="09B9CDCB">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2.5.2波长范围：190～600nm</w:t>
            </w:r>
          </w:p>
          <w:p w14:paraId="7EDFCB91">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★2.5.3谱带宽：&lt;7nm</w:t>
            </w:r>
          </w:p>
          <w:p w14:paraId="2B3F0903">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2.5.4光谱：停流扫描</w:t>
            </w:r>
          </w:p>
          <w:p w14:paraId="7F728E52">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2.5.5检测通道：1个实时输出信号</w:t>
            </w:r>
          </w:p>
          <w:p w14:paraId="165C67AD">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2.5.6波长校正：氘灯和内置氧化钬滤光片自动校正</w:t>
            </w:r>
          </w:p>
          <w:p w14:paraId="76047617">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2.5.7波长精度：1nm</w:t>
            </w:r>
          </w:p>
          <w:p w14:paraId="0277859B">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2.5.8基线噪音：±0.25*10-5AU at 254nm（1mL/min 甲醇）</w:t>
            </w:r>
          </w:p>
          <w:p w14:paraId="0885EA44">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2.5.9基线漂移：1*10-4mAU/h at 254nm（1mL/min 甲醇）</w:t>
            </w:r>
          </w:p>
          <w:p w14:paraId="67356F62">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2.5.10线性范围：&gt;2.5AU</w:t>
            </w:r>
          </w:p>
          <w:p w14:paraId="7EAFC102">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★2.5.11扫描速度：120HZ</w:t>
            </w:r>
          </w:p>
          <w:p w14:paraId="55F3BA32">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2.5.12可编程时间表：波长，峰宽，氘灯开/关，信号自动回零，峰反转，采样时间</w:t>
            </w:r>
          </w:p>
          <w:p w14:paraId="419E07AA">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2.5.13信号输出：1 个输出，100mV 或1V</w:t>
            </w:r>
          </w:p>
          <w:p w14:paraId="7EE06D9E">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2.6、数据处理系统</w:t>
            </w:r>
          </w:p>
          <w:p w14:paraId="638A0626">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2.6.1、软件：Windows操作环境，三维液相色谱作软件，工作站系统通过LAN接口控制泵系统和检测器并可进行快速采集数据，进行色谱定性、定量分析。</w:t>
            </w:r>
          </w:p>
          <w:p w14:paraId="5D818965">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2.6.2、GLP功能</w:t>
            </w:r>
          </w:p>
          <w:p w14:paraId="426F0F02">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2.6.3、图形化设计</w:t>
            </w:r>
          </w:p>
          <w:p w14:paraId="57491BF7">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2.6.4、维护信息预报系统（EMF）</w:t>
            </w:r>
          </w:p>
          <w:p w14:paraId="0667B27C">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2.6.5、电子记录维护和错误及故障信息</w:t>
            </w:r>
          </w:p>
          <w:p w14:paraId="2F57EB9A">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3、配置要求：</w:t>
            </w:r>
          </w:p>
          <w:p w14:paraId="20F00626">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 xml:space="preserve">3.1四元泵含在线脱气机一套 </w:t>
            </w:r>
          </w:p>
          <w:p w14:paraId="7C17C761">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 xml:space="preserve">3.2液相色谱软件一套 </w:t>
            </w:r>
          </w:p>
          <w:p w14:paraId="13DD8883">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 xml:space="preserve">3.3智能助手模块一套                      </w:t>
            </w:r>
          </w:p>
          <w:p w14:paraId="30F9CFA4">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 xml:space="preserve">3.4液相色谱系统工具包一套              </w:t>
            </w:r>
          </w:p>
          <w:p w14:paraId="07AE0E7E">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 xml:space="preserve">3.5 130位液体自动进样器一套              </w:t>
            </w:r>
          </w:p>
          <w:p w14:paraId="1AC934A5">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 xml:space="preserve">3.6柱温箱一套                  </w:t>
            </w:r>
          </w:p>
          <w:p w14:paraId="6E016EE7">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 xml:space="preserve">3.7 紫外检测器一套含流通池 </w:t>
            </w:r>
          </w:p>
          <w:p w14:paraId="547B2E11">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3.8 原厂C18色谱柱2根</w:t>
            </w:r>
          </w:p>
          <w:p w14:paraId="7A08E425">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★3.9耗材：在线过滤器一套、0.3 µm滤芯5包、自动进样器针头组件2个、自动进样器标准针座2个、转子密封垫 2个、PTFE 滤 芯（过滤白头）5包、密封盖组件2个，柱塞杆密封垫2个，另外液相色谱保护柱一套。</w:t>
            </w:r>
          </w:p>
          <w:p w14:paraId="23B35E91">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★4.技术服务</w:t>
            </w:r>
          </w:p>
          <w:p w14:paraId="61D20F6C">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4.1 安装调试: 由卖方负责派人负责设备的现场安装和调试，按合同规定的时间交货、安装、调试设备，达到投标书指标要求的技术性能后验收。如果现场测试指标未通过，买方有权要求退货并要求赔偿损失。在设备的安装、调试、试运行期间, 卖方安装调试人员一切费用自理。</w:t>
            </w:r>
          </w:p>
          <w:p w14:paraId="2BFA0207">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 xml:space="preserve">4.2  培训 </w:t>
            </w:r>
          </w:p>
          <w:p w14:paraId="26B6543C">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4.2.1 现场培训：卖方在设备的安装、调试、验收完毕后即进行现场培训直至买方基本掌握运行操作、维修保养技术。</w:t>
            </w:r>
          </w:p>
          <w:p w14:paraId="6C22E268">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4.2.2 专门培训：卖方应就设备的安装、检验、调试、使用和维护等培训买方2名技术人员，直到买方受训人员全部掌握运行操作、维修保养技术，并能达到正确检修、维护、排除一般故障为止。买方受训人员的培训费用由卖方承担。</w:t>
            </w:r>
          </w:p>
          <w:p w14:paraId="58A3C73F">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培训方式：技术培训、操作培训。</w:t>
            </w:r>
          </w:p>
          <w:p w14:paraId="05D8E15E">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培训地点：由买卖双方确定在卖方产品国内专业的技术中心。</w:t>
            </w:r>
          </w:p>
          <w:p w14:paraId="0874DE18">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训时间与受训人员：由买方确定受训人员至少2人，买卖双方商定时间。</w:t>
            </w:r>
          </w:p>
          <w:p w14:paraId="15E04220">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4.3 质保与维修</w:t>
            </w:r>
          </w:p>
          <w:p w14:paraId="2ED7FFEC">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4.3.1质量保证期:整机验收合格后12个月。</w:t>
            </w:r>
          </w:p>
          <w:p w14:paraId="416C770F">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4.3.2维修：卖方应在质保期内提供免费上门维修服务，并进行终身维护。要求卖方在设备寿命期内以不高于投标价格的价格保证备品备件并长期提供技术咨询服务。卖方在接到用户要求对所购仪器进行维修通知时，应在24小时内给予明确的解决措施；如需卖方派员，则应在3日内（不计路途时间）派出专门维修人员到现场维修。</w:t>
            </w:r>
          </w:p>
          <w:p w14:paraId="049E1A60">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4.3.3软件升级：卖方终身免费为买方提供设备所配软件升级。</w:t>
            </w:r>
          </w:p>
          <w:p w14:paraId="650036BC">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4.4 厂家资质要求</w:t>
            </w:r>
          </w:p>
          <w:p w14:paraId="42DBB4C0">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4.4.1 生产商具备培训中心和厂家应用实验室为用户提供仪器的基本原理、操作、日常维护及基础分析仪器理论课程，并为用户提供上机培训。</w:t>
            </w:r>
          </w:p>
          <w:p w14:paraId="3FE5C608">
            <w:pPr>
              <w:ind w:firstLine="36" w:firstLineChars="15"/>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4.4.2制造厂家有专业应用支持工程师，需要提供盖厂家公章的证明材料以及联系电话，制造厂家应用技术人员在现场提供应用支持时间不少于7个工作日。</w:t>
            </w:r>
          </w:p>
          <w:p w14:paraId="51E415FC">
            <w:pPr>
              <w:ind w:firstLine="36" w:firstLineChars="15"/>
              <w:jc w:val="both"/>
              <w:rPr>
                <w:rFonts w:ascii="Times New Roman" w:hAnsi="Times New Roman" w:eastAsia="仿宋" w:cs="Times New Roman"/>
                <w:color w:val="auto"/>
                <w:kern w:val="0"/>
                <w:sz w:val="24"/>
                <w:szCs w:val="24"/>
              </w:rPr>
            </w:pPr>
            <w:r>
              <w:rPr>
                <w:rFonts w:hint="eastAsia" w:ascii="Times New Roman" w:hAnsi="Times New Roman" w:cs="Times New Roman"/>
                <w:color w:val="000000" w:themeColor="text1"/>
                <w:kern w:val="0"/>
                <w:sz w:val="24"/>
                <w:szCs w:val="24"/>
                <w14:textFill>
                  <w14:solidFill>
                    <w14:schemeClr w14:val="tx1"/>
                  </w14:solidFill>
                </w14:textFill>
              </w:rPr>
              <w:t>5．带★的项目为必须满足的指标。</w:t>
            </w:r>
          </w:p>
        </w:tc>
        <w:tc>
          <w:tcPr>
            <w:tcW w:w="706" w:type="dxa"/>
            <w:vAlign w:val="center"/>
          </w:tcPr>
          <w:p w14:paraId="1D56E07D">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台</w:t>
            </w:r>
          </w:p>
        </w:tc>
        <w:tc>
          <w:tcPr>
            <w:tcW w:w="716" w:type="dxa"/>
            <w:vAlign w:val="center"/>
          </w:tcPr>
          <w:p w14:paraId="28DAA7C5">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1</w:t>
            </w:r>
          </w:p>
        </w:tc>
        <w:tc>
          <w:tcPr>
            <w:tcW w:w="716" w:type="dxa"/>
          </w:tcPr>
          <w:p w14:paraId="083B1504">
            <w:pPr>
              <w:spacing w:line="240" w:lineRule="auto"/>
              <w:ind w:firstLine="0" w:firstLineChars="0"/>
              <w:jc w:val="both"/>
              <w:rPr>
                <w:rFonts w:ascii="仿宋" w:hAnsi="仿宋" w:eastAsia="仿宋" w:cs="仿宋"/>
                <w:kern w:val="0"/>
                <w:sz w:val="24"/>
                <w:szCs w:val="24"/>
              </w:rPr>
            </w:pPr>
          </w:p>
        </w:tc>
      </w:tr>
      <w:tr w14:paraId="4D8A5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DC4038D">
            <w:pPr>
              <w:spacing w:line="240" w:lineRule="auto"/>
              <w:ind w:firstLine="0" w:firstLineChars="0"/>
              <w:jc w:val="both"/>
              <w:rPr>
                <w:rFonts w:ascii="仿宋" w:hAnsi="仿宋" w:eastAsia="仿宋" w:cs="仿宋"/>
                <w:kern w:val="0"/>
                <w:sz w:val="24"/>
                <w:szCs w:val="24"/>
              </w:rPr>
            </w:pPr>
            <w:r>
              <w:rPr>
                <w:rFonts w:hint="eastAsia" w:ascii="仿宋" w:hAnsi="仿宋" w:eastAsia="仿宋" w:cs="宋体"/>
                <w:color w:val="000000" w:themeColor="text1"/>
                <w:kern w:val="0"/>
                <w:sz w:val="24"/>
                <w:szCs w:val="24"/>
                <w14:textFill>
                  <w14:solidFill>
                    <w14:schemeClr w14:val="tx1"/>
                  </w14:solidFill>
                </w14:textFill>
              </w:rPr>
              <w:t>4</w:t>
            </w:r>
          </w:p>
        </w:tc>
        <w:tc>
          <w:tcPr>
            <w:tcW w:w="845" w:type="dxa"/>
            <w:vAlign w:val="center"/>
          </w:tcPr>
          <w:p w14:paraId="16A79F79">
            <w:pPr>
              <w:spacing w:line="240" w:lineRule="auto"/>
              <w:ind w:firstLine="0" w:firstLineChars="0"/>
              <w:jc w:val="both"/>
              <w:rPr>
                <w:rFonts w:ascii="宋体" w:hAnsi="宋体" w:cs="仿宋"/>
                <w:kern w:val="0"/>
                <w:sz w:val="24"/>
                <w:szCs w:val="24"/>
              </w:rPr>
            </w:pPr>
            <w:r>
              <w:rPr>
                <w:rFonts w:hint="eastAsia" w:ascii="宋体" w:hAnsi="宋体" w:cs="宋体"/>
                <w:color w:val="000000" w:themeColor="text1"/>
                <w:kern w:val="0"/>
                <w:sz w:val="24"/>
                <w:szCs w:val="24"/>
                <w14:textFill>
                  <w14:solidFill>
                    <w14:schemeClr w14:val="tx1"/>
                  </w14:solidFill>
                </w14:textFill>
              </w:rPr>
              <w:t>原子吸收分光光度计+ 火焰石墨炉一体机</w:t>
            </w:r>
          </w:p>
        </w:tc>
        <w:tc>
          <w:tcPr>
            <w:tcW w:w="6278" w:type="dxa"/>
            <w:vAlign w:val="top"/>
          </w:tcPr>
          <w:p w14:paraId="53E299D8">
            <w:pPr>
              <w:spacing w:line="240" w:lineRule="auto"/>
              <w:ind w:firstLine="0" w:firstLineChars="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技术指标：</w:t>
            </w:r>
          </w:p>
          <w:p w14:paraId="335225D3">
            <w:pPr>
              <w:spacing w:line="240" w:lineRule="auto"/>
              <w:ind w:firstLine="0" w:firstLineChars="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1.工作条件：电源电压220V（±10%），50HZ，环境温度≤35℃，相对湿度≤85%</w:t>
            </w:r>
          </w:p>
          <w:p w14:paraId="240A63D2">
            <w:pPr>
              <w:spacing w:line="240" w:lineRule="auto"/>
              <w:ind w:firstLine="0" w:firstLineChars="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2.技术要求</w:t>
            </w:r>
          </w:p>
          <w:p w14:paraId="68C11E93">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2.1分析方法：火焰法和石墨炉法原子吸收分析</w:t>
            </w:r>
          </w:p>
          <w:p w14:paraId="5376F8D5">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2.1.1火焰原子化器和石墨炉原子化器并联设计，光程较串联方式大幅度缩短，光能量损失小，灵敏度高，火焰——石墨炉自动转换。</w:t>
            </w:r>
          </w:p>
          <w:p w14:paraId="6BCDC4C1">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2.2光路结构：消象差Czerny-Turner型光栅单色器</w:t>
            </w:r>
          </w:p>
          <w:p w14:paraId="201E83A1">
            <w:pPr>
              <w:spacing w:line="240" w:lineRule="auto"/>
              <w:ind w:left="754" w:leftChars="114" w:hanging="480" w:hangingChars="2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2.3背景校正：氚灯、自吸双重背景校正系统。1Abs时氘灯背景校正能力≥40倍， 自吸效应背景校正能力≥60倍</w:t>
            </w:r>
          </w:p>
          <w:p w14:paraId="05271A15">
            <w:pPr>
              <w:spacing w:line="240" w:lineRule="auto"/>
              <w:ind w:left="754" w:leftChars="114" w:hanging="480" w:hangingChars="2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2.4光学系统:单光束透镜—反射镜结构、全密封光学系统。采用全息闪耀高性能光栅，分辨率、色散率性能提高</w:t>
            </w:r>
          </w:p>
          <w:p w14:paraId="6BD9BACF">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2.4.1衍射光栅:  1800线/mm，闪耀波长250nm；焦距300mm</w:t>
            </w:r>
          </w:p>
          <w:p w14:paraId="54E633F3">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2.4.2波长范围/设置: 190nm-900nm/自动寻峰设置。</w:t>
            </w:r>
          </w:p>
          <w:p w14:paraId="40BE193C">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2.4.3波长准确度:  ≤±0.25nm</w:t>
            </w:r>
          </w:p>
          <w:p w14:paraId="7699577E">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2.4.4波长重复性: ≤0.15nm</w:t>
            </w:r>
          </w:p>
          <w:p w14:paraId="56268FAF">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2.4.5★光谱带宽：0.1，0.2，0.4，1.0，2.0nm五档自动可选</w:t>
            </w:r>
          </w:p>
          <w:p w14:paraId="1232BB97">
            <w:pPr>
              <w:spacing w:line="240" w:lineRule="auto"/>
              <w:ind w:left="874" w:leftChars="114" w:hanging="600" w:hangingChars="25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2.4.6</w:t>
            </w:r>
            <w:r>
              <w:rPr>
                <w:rFonts w:ascii="宋体" w:hAnsi="宋体" w:cs="Times New Roman"/>
                <w:color w:val="000000" w:themeColor="text1"/>
                <w:kern w:val="0"/>
                <w:sz w:val="24"/>
                <w:szCs w:val="24"/>
                <w14:textFill>
                  <w14:solidFill>
                    <w14:schemeClr w14:val="tx1"/>
                  </w14:solidFill>
                </w14:textFill>
              </w:rPr>
              <w:t>光谱带宽偏差≤0.02nm</w:t>
            </w:r>
          </w:p>
          <w:p w14:paraId="74D378F5">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2.4.7基线稳定性: ≤0.004Abs/30min</w:t>
            </w:r>
          </w:p>
          <w:p w14:paraId="79A4416F">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2.5元素灯系统</w:t>
            </w:r>
          </w:p>
          <w:p w14:paraId="55E97746">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2.5.1★灯座数:每个灯架装8只灯（横向圆盘设计，自动回转，自动优化参数）</w:t>
            </w:r>
          </w:p>
          <w:p w14:paraId="5221625C">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2.5.2灯位置: 灯位自动设定，1灯工作，1灯预热，自动调入优化的工作参数及分析条件。</w:t>
            </w:r>
          </w:p>
          <w:p w14:paraId="2A8F601D">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2.6火焰部分</w:t>
            </w:r>
          </w:p>
          <w:p w14:paraId="0838D0F2">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2.6.1燃烧头: 预混合型全钛燃烧头</w:t>
            </w:r>
          </w:p>
          <w:p w14:paraId="284B668F">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2.6.2扣背景: 氘灯、自吸全波段扣背景</w:t>
            </w:r>
          </w:p>
          <w:p w14:paraId="2AD587D3">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2.6.3点火方式: 自动点火</w:t>
            </w:r>
          </w:p>
          <w:p w14:paraId="5EADC128">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2.6.4燃烧条件设置: 质量流量控制器自动设置燃烧条件</w:t>
            </w:r>
          </w:p>
          <w:p w14:paraId="484A575C">
            <w:pPr>
              <w:spacing w:line="240" w:lineRule="auto"/>
              <w:ind w:left="994" w:leftChars="114" w:hanging="720" w:hangingChars="3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2.6.5保护功能: 自动安全连锁功能:仪器设有火焰监视器,当意外火焰熄灭时,自动关闭乙炔流量；异常压力监视器：随时监视空气压力变化，异常时自动关闭乙炔气体，安全熄火；自动限流以及清洗功能使得质量流量控制器的火焰操作更为安全；完善的石墨炉保护措施：仪器同时监测保护气压、冷却水流量和石墨管是否断裂，当出现以上任何异常波动时，立即停止加热，同时提示报警；</w:t>
            </w:r>
          </w:p>
          <w:p w14:paraId="5B70B621">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2.6.6特征浓度:铜≤0.04ug/ml/1%</w:t>
            </w:r>
          </w:p>
          <w:p w14:paraId="7A5E6E9A">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2.6.7精密度:铜≤1.0%</w:t>
            </w:r>
          </w:p>
          <w:p w14:paraId="006380CA">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2.6.8检出极限:铜≤0.006ug/ml</w:t>
            </w:r>
          </w:p>
          <w:p w14:paraId="79CBC58B">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2．7石墨炉分析</w:t>
            </w:r>
          </w:p>
          <w:p w14:paraId="7D85BEA9">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2.7.1特征量：（Cd）1.0×10-12g</w:t>
            </w:r>
          </w:p>
          <w:p w14:paraId="42910ADF">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2,7.2检出限：（Cd）1.0×10-12g</w:t>
            </w:r>
          </w:p>
          <w:p w14:paraId="729C1D6F">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2.7.3精密度：RSD≤3%</w:t>
            </w:r>
          </w:p>
          <w:p w14:paraId="214E0C23">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2.7.4加热方式：横向加热石墨炉技术，2650℃即可实现高效原子化，优于纵向3000℃的高温加热方式，保护石墨炉体。</w:t>
            </w:r>
          </w:p>
          <w:p w14:paraId="573751CE">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2.7.5加热控温方式：干燥灰化阶段功率控制方式，原子化阶段采用光控最大功率方式。</w:t>
            </w:r>
          </w:p>
          <w:p w14:paraId="342C78B7">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2.7.6加热条件设定：最大9个程序，斜坡升温、阶梯升温、最大功率加热升温。</w:t>
            </w:r>
          </w:p>
          <w:p w14:paraId="486996D5">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2.7.7保护功能: 完善的石墨炉保护措施：仪器同时监测保护气压、冷却水流量和石墨管是否断裂，当出现以上任何异常波动时，立即停止加热，同时提示报警；</w:t>
            </w:r>
          </w:p>
          <w:p w14:paraId="4FD1B7AA">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2.7.8石墨炉电源外置，减少内置电源对主机光源、电路、检测器的电磁干扰，提高数据稳定性。</w:t>
            </w:r>
          </w:p>
          <w:p w14:paraId="7D6E0C69">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2.7.9★石墨管加热方式：采用横向加热石墨炉技术，抗干扰性好、温度梯度小、降低基体效应、消除峰拖尾、灵敏度高、原子化时间短、降低记忆效应、测定精密度高、炉体寿命长。石墨管采用热解涂层L‘VOV平台石墨管。（提供证明材料佐证）</w:t>
            </w:r>
          </w:p>
          <w:p w14:paraId="7D1C8C30">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2.7.10石墨炉电源采用计算机控制功率升温及内气流量4种选择组合。</w:t>
            </w:r>
          </w:p>
          <w:p w14:paraId="753735C2">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2.7.11石墨炉自动进样器：具有自动清洗，欠压保护，水平调节，自动配制标准溶液，自动添加基体改进剂功能。能够全过程模拟人工，用“稀释法”配置编制曲线溶液，并自动测定生成标准曲线。</w:t>
            </w:r>
          </w:p>
          <w:p w14:paraId="50A19B78">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规格参数：</w:t>
            </w:r>
          </w:p>
          <w:p w14:paraId="454ACFE4">
            <w:pPr>
              <w:spacing w:line="240" w:lineRule="auto"/>
              <w:ind w:firstLine="720" w:firstLineChars="3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注射器容积：100uL；</w:t>
            </w:r>
          </w:p>
          <w:p w14:paraId="479F2AEB">
            <w:pPr>
              <w:spacing w:line="240" w:lineRule="auto"/>
              <w:ind w:firstLine="720" w:firstLineChars="3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清洗瓶容积：800mL；</w:t>
            </w:r>
          </w:p>
          <w:p w14:paraId="371CBB1D">
            <w:pPr>
              <w:spacing w:line="240" w:lineRule="auto"/>
              <w:ind w:firstLine="720" w:firstLineChars="3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样品盘杯位数：76杯位，包括70杯位×1.5mL和6杯位×10mL。</w:t>
            </w:r>
          </w:p>
          <w:p w14:paraId="03192C0D">
            <w:pPr>
              <w:spacing w:line="240" w:lineRule="auto"/>
              <w:ind w:firstLine="720" w:firstLineChars="3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进样范围：5uL～20uL;</w:t>
            </w:r>
          </w:p>
          <w:p w14:paraId="15881EB1">
            <w:pPr>
              <w:spacing w:line="240" w:lineRule="auto"/>
              <w:ind w:firstLine="720" w:firstLineChars="3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进样重复性：2%</w:t>
            </w:r>
          </w:p>
          <w:p w14:paraId="655B084C">
            <w:pPr>
              <w:autoSpaceDE w:val="0"/>
              <w:autoSpaceDN w:val="0"/>
              <w:adjustRightInd w:val="0"/>
              <w:spacing w:line="240" w:lineRule="auto"/>
              <w:ind w:firstLine="240" w:firstLineChars="100"/>
              <w:jc w:val="left"/>
              <w:rPr>
                <w:rFonts w:ascii="宋体" w:hAnsi="宋体" w:cs="Times New Roman"/>
                <w:color w:val="000000" w:themeColor="text1"/>
                <w:sz w:val="24"/>
                <w:szCs w:val="24"/>
                <w14:textFill>
                  <w14:solidFill>
                    <w14:schemeClr w14:val="tx1"/>
                  </w14:solidFill>
                </w14:textFill>
                <w14:ligatures w14:val="standardContextual"/>
              </w:rPr>
            </w:pPr>
            <w:r>
              <w:rPr>
                <w:rFonts w:ascii="宋体" w:hAnsi="宋体" w:cs="Times New Roman"/>
                <w:color w:val="000000" w:themeColor="text1"/>
                <w:sz w:val="24"/>
                <w:szCs w:val="24"/>
                <w14:textFill>
                  <w14:solidFill>
                    <w14:schemeClr w14:val="tx1"/>
                  </w14:solidFill>
                </w14:textFill>
                <w14:ligatures w14:val="standardContextual"/>
              </w:rPr>
              <w:t>2.8 自动化设计</w:t>
            </w:r>
          </w:p>
          <w:p w14:paraId="70DD70CE">
            <w:pPr>
              <w:spacing w:line="240" w:lineRule="auto"/>
              <w:ind w:left="874" w:leftChars="114" w:hanging="600" w:hangingChars="25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2.8.1火焰与石墨炉原子化器的自动切换: 火焰原子化器与石墨炉原子化器一体化的结构设计,实现了火焰与石墨炉原子化器的自动切换。</w:t>
            </w:r>
          </w:p>
          <w:p w14:paraId="181E345E">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2.8.2自动设置燃气流量：实现了自动选择元素分析最佳助燃比。</w:t>
            </w:r>
          </w:p>
          <w:p w14:paraId="78637FB6">
            <w:pPr>
              <w:spacing w:line="240" w:lineRule="auto"/>
              <w:ind w:left="514" w:leftChars="114" w:hanging="240" w:hanging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2.8.3自动设定最佳火焰高度及原子化器的前后位置：使仪器处于最佳的分析条件。</w:t>
            </w:r>
          </w:p>
          <w:p w14:paraId="71AB936A">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2.8.4使用氘灯扣背景时：具有自动切入半透半反镜装置功能。</w:t>
            </w:r>
          </w:p>
          <w:p w14:paraId="6D6887C0">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2.8.5自动控制波长扫描及自动寻峰。</w:t>
            </w:r>
          </w:p>
          <w:p w14:paraId="1EE86967">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2.8.6自动更换光谱带宽：五挡可供选择。</w:t>
            </w:r>
          </w:p>
          <w:p w14:paraId="5B42A0E2">
            <w:pPr>
              <w:spacing w:line="240" w:lineRule="auto"/>
              <w:ind w:left="514" w:leftChars="114" w:hanging="240" w:hanging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2.8.7自动调整负高压、灯电流、两路光平衡、自动流量控制、自动点火、自动熄火保护。</w:t>
            </w:r>
          </w:p>
          <w:p w14:paraId="7CFE49A7">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2.8.9★仪器拓展：配套重金属检测专用耗材及方法包（铅、镉），实现对重金属特异性选择、富集及检测，检出限达到5ppb以下。</w:t>
            </w:r>
          </w:p>
          <w:p w14:paraId="14E61697">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2.8.10</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Times New Roman"/>
                <w:color w:val="000000" w:themeColor="text1"/>
                <w:kern w:val="0"/>
                <w:sz w:val="24"/>
                <w:szCs w:val="24"/>
                <w14:textFill>
                  <w14:solidFill>
                    <w14:schemeClr w14:val="tx1"/>
                  </w14:solidFill>
                </w14:textFill>
              </w:rPr>
              <w:t>要求提供盖有第三方检测机构公章出具的验证报告，仪器制造商出具的正规授权文件，售后服务承诺书，确保仪器的技术参数符合，来源渠道正规合法，保证售后服务。</w:t>
            </w:r>
          </w:p>
          <w:p w14:paraId="2A0D07E8">
            <w:pPr>
              <w:spacing w:line="240" w:lineRule="auto"/>
              <w:ind w:firstLine="0" w:firstLineChars="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3. 数据处理</w:t>
            </w:r>
          </w:p>
          <w:p w14:paraId="7BAB1123">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3.1数据输入方式:计算机自动在线采样,人工离线输入</w:t>
            </w:r>
          </w:p>
          <w:p w14:paraId="5A08C7B3">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3.2浓度计算方式:曲线拟合法,标准曲线法,标准加入法, 内插法,相对标准偏差,相关系数</w:t>
            </w:r>
          </w:p>
          <w:p w14:paraId="794C1E21">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3.3信号实行自动采集,自动处理</w:t>
            </w:r>
          </w:p>
          <w:p w14:paraId="4B361F7A">
            <w:pPr>
              <w:spacing w:line="240" w:lineRule="auto"/>
              <w:ind w:left="754" w:leftChars="114" w:hanging="480" w:hangingChars="2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3.4可打印测试数据和最终分析报告,能够使用Excel软件进行编辑,所有数据均以数据库形式管理,同时提供专家系统数据库.</w:t>
            </w:r>
          </w:p>
          <w:p w14:paraId="1DA3A6AA">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3.5可自动计算相对标准偏差,相关系数，绘制标准曲线，自动计算样品浓度及样品实际浓度</w:t>
            </w:r>
          </w:p>
          <w:p w14:paraId="1CCB3FFD">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3.6保护措施起作用时，软件均给予相应提示</w:t>
            </w:r>
          </w:p>
          <w:p w14:paraId="693B1E3D">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3.7软件拥有详细的帮助功能，时时可以给用户以提示</w:t>
            </w:r>
          </w:p>
          <w:p w14:paraId="75AA84C0">
            <w:pPr>
              <w:numPr>
                <w:ilvl w:val="0"/>
                <w:numId w:val="3"/>
              </w:numPr>
              <w:autoSpaceDE w:val="0"/>
              <w:autoSpaceDN w:val="0"/>
              <w:adjustRightInd w:val="0"/>
              <w:spacing w:line="240" w:lineRule="auto"/>
              <w:ind w:firstLine="0" w:firstLineChars="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售后服务</w:t>
            </w:r>
          </w:p>
          <w:p w14:paraId="0F8AB336">
            <w:pPr>
              <w:spacing w:line="240" w:lineRule="auto"/>
              <w:ind w:left="514" w:leftChars="114" w:hanging="240" w:hanging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4.1生产厂商有专职售后服务工程师，人数不低于3人（提供相关证明材料）。</w:t>
            </w:r>
          </w:p>
          <w:p w14:paraId="77407C1B">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4.2生产厂商具有NTC培训、考核双重资质，可帮助客户获取分析检测人员技术能力证书（提供相关证明材料）。</w:t>
            </w:r>
          </w:p>
          <w:p w14:paraId="0A6DBCD6">
            <w:pPr>
              <w:spacing w:line="240" w:lineRule="auto"/>
              <w:ind w:left="754" w:leftChars="114" w:hanging="480" w:hangingChars="2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4.</w:t>
            </w:r>
            <w:r>
              <w:rPr>
                <w:rFonts w:hint="eastAsia" w:ascii="宋体" w:hAnsi="宋体" w:cs="Times New Roman"/>
                <w:color w:val="000000" w:themeColor="text1"/>
                <w:kern w:val="0"/>
                <w:sz w:val="24"/>
                <w:szCs w:val="24"/>
                <w:lang w:val="en-US" w:eastAsia="zh-CN"/>
                <w14:textFill>
                  <w14:solidFill>
                    <w14:schemeClr w14:val="tx1"/>
                  </w14:solidFill>
                </w14:textFill>
              </w:rPr>
              <w:t>3</w:t>
            </w:r>
            <w:r>
              <w:rPr>
                <w:rFonts w:hint="eastAsia" w:ascii="宋体" w:hAnsi="宋体" w:cs="Times New Roman"/>
                <w:color w:val="000000" w:themeColor="text1"/>
                <w:kern w:val="0"/>
                <w:sz w:val="24"/>
                <w:szCs w:val="24"/>
                <w14:textFill>
                  <w14:solidFill>
                    <w14:schemeClr w14:val="tx1"/>
                  </w14:solidFill>
                </w14:textFill>
              </w:rPr>
              <w:t>设备到达现场后，供货方派专业工程师到现场与用户一起开箱检验，按设备配置清单进行验收，若有短少或损坏，我方立即补足或更换全新同规格产品。我方为用户免费提供操作培训和维护培训，客户对设备验收合格后，双方共同签署验收合格证书。</w:t>
            </w:r>
          </w:p>
          <w:p w14:paraId="7CFC5B14">
            <w:pPr>
              <w:numPr>
                <w:ilvl w:val="0"/>
                <w:numId w:val="3"/>
              </w:numPr>
              <w:autoSpaceDE w:val="0"/>
              <w:autoSpaceDN w:val="0"/>
              <w:adjustRightInd w:val="0"/>
              <w:spacing w:line="240" w:lineRule="auto"/>
              <w:ind w:firstLine="0" w:firstLineChars="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仪器配置要求</w:t>
            </w:r>
          </w:p>
          <w:p w14:paraId="47384330">
            <w:pPr>
              <w:spacing w:line="240" w:lineRule="auto"/>
              <w:ind w:left="754" w:leftChars="114" w:hanging="480" w:hangingChars="2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1.火焰石墨炉原子吸收主机1套，</w:t>
            </w:r>
          </w:p>
          <w:p w14:paraId="4214D081">
            <w:pPr>
              <w:spacing w:line="240" w:lineRule="auto"/>
              <w:ind w:left="754" w:leftChars="114" w:hanging="480" w:hangingChars="2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2.自动控温冷却水装置1套，无油空压机1台，</w:t>
            </w:r>
          </w:p>
          <w:p w14:paraId="1FFDFF17">
            <w:pPr>
              <w:spacing w:line="240" w:lineRule="auto"/>
              <w:ind w:left="754" w:leftChars="114" w:hanging="480" w:hangingChars="2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3.元素灯9只，主机标配铜汞锰镉各1只，其余5只由客户指定，</w:t>
            </w:r>
          </w:p>
          <w:p w14:paraId="72350500">
            <w:pPr>
              <w:spacing w:line="240" w:lineRule="auto"/>
              <w:ind w:left="754" w:leftChars="114" w:hanging="480" w:hangingChars="2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4.高效玻璃雾化器2只，石墨管1盒，</w:t>
            </w:r>
          </w:p>
          <w:p w14:paraId="3F2868B5">
            <w:pPr>
              <w:spacing w:line="240" w:lineRule="auto"/>
              <w:ind w:left="754" w:leftChars="114" w:hanging="480" w:hangingChars="2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5.石墨炉自动进样器1套，</w:t>
            </w:r>
          </w:p>
          <w:p w14:paraId="69CC5028">
            <w:pPr>
              <w:spacing w:line="240" w:lineRule="auto"/>
              <w:ind w:left="754" w:leftChars="114" w:hanging="480" w:hangingChars="2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6.同品牌铅离子印迹材料1盒，</w:t>
            </w:r>
          </w:p>
          <w:p w14:paraId="76863E09">
            <w:pPr>
              <w:spacing w:line="240" w:lineRule="auto"/>
              <w:ind w:left="754" w:leftChars="114" w:hanging="480" w:hangingChars="2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7.品牌商用电脑、打印机、稳压电源各一台，</w:t>
            </w:r>
          </w:p>
          <w:p w14:paraId="4D008080">
            <w:pPr>
              <w:spacing w:line="240" w:lineRule="auto"/>
              <w:ind w:firstLine="240" w:firstLineChars="100"/>
              <w:jc w:val="left"/>
              <w:rPr>
                <w:rFonts w:ascii="宋体" w:hAnsi="宋体" w:cs="Times New Roman"/>
                <w:color w:val="000000" w:themeColor="text1"/>
                <w:kern w:val="0"/>
                <w:sz w:val="24"/>
                <w:szCs w:val="24"/>
                <w14:textFill>
                  <w14:solidFill>
                    <w14:schemeClr w14:val="tx1"/>
                  </w14:solidFill>
                </w14:textFill>
              </w:rPr>
            </w:pPr>
            <w:r>
              <w:rPr>
                <w:rFonts w:hint="eastAsia" w:ascii="宋体" w:hAnsi="宋体" w:cs="Times New Roman"/>
                <w:color w:val="000000" w:themeColor="text1"/>
                <w:kern w:val="0"/>
                <w:sz w:val="24"/>
                <w:szCs w:val="24"/>
                <w14:textFill>
                  <w14:solidFill>
                    <w14:schemeClr w14:val="tx1"/>
                  </w14:solidFill>
                </w14:textFill>
              </w:rPr>
              <w:t>8.随机工具1套。</w:t>
            </w:r>
          </w:p>
          <w:p w14:paraId="0CEA76EB">
            <w:pPr>
              <w:spacing w:line="240" w:lineRule="auto"/>
              <w:ind w:firstLine="0" w:firstLineChars="0"/>
              <w:jc w:val="both"/>
              <w:rPr>
                <w:rFonts w:hint="eastAsia" w:ascii="宋体" w:hAnsi="宋体" w:eastAsia="宋体" w:cs="宋体"/>
                <w:kern w:val="0"/>
                <w:sz w:val="24"/>
                <w:szCs w:val="24"/>
              </w:rPr>
            </w:pPr>
            <w:r>
              <w:rPr>
                <w:rFonts w:hint="eastAsia" w:ascii="宋体" w:hAnsi="宋体" w:cs="Times New Roman"/>
                <w:color w:val="000000" w:themeColor="text1"/>
                <w:kern w:val="0"/>
                <w:sz w:val="24"/>
                <w:szCs w:val="24"/>
                <w14:textFill>
                  <w14:solidFill>
                    <w14:schemeClr w14:val="tx1"/>
                  </w14:solidFill>
                </w14:textFill>
              </w:rPr>
              <w:t>满足全国职业院校技能大赛使用要求，提供生产厂家承诺函。</w:t>
            </w:r>
          </w:p>
        </w:tc>
        <w:tc>
          <w:tcPr>
            <w:tcW w:w="706" w:type="dxa"/>
            <w:vAlign w:val="center"/>
          </w:tcPr>
          <w:p w14:paraId="07C81AFD">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套</w:t>
            </w:r>
          </w:p>
        </w:tc>
        <w:tc>
          <w:tcPr>
            <w:tcW w:w="716" w:type="dxa"/>
            <w:vAlign w:val="center"/>
          </w:tcPr>
          <w:p w14:paraId="2E3D5360">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1</w:t>
            </w:r>
          </w:p>
        </w:tc>
        <w:tc>
          <w:tcPr>
            <w:tcW w:w="716" w:type="dxa"/>
          </w:tcPr>
          <w:p w14:paraId="7C8638AB">
            <w:pPr>
              <w:spacing w:line="240" w:lineRule="auto"/>
              <w:ind w:firstLine="0" w:firstLineChars="0"/>
              <w:jc w:val="both"/>
              <w:rPr>
                <w:rFonts w:ascii="仿宋" w:hAnsi="仿宋" w:eastAsia="仿宋" w:cs="仿宋"/>
                <w:kern w:val="0"/>
                <w:sz w:val="24"/>
                <w:szCs w:val="24"/>
              </w:rPr>
            </w:pPr>
          </w:p>
        </w:tc>
      </w:tr>
      <w:tr w14:paraId="021D5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71E63E8">
            <w:pPr>
              <w:spacing w:line="240" w:lineRule="auto"/>
              <w:ind w:firstLine="0" w:firstLineChars="0"/>
              <w:jc w:val="both"/>
              <w:rPr>
                <w:rFonts w:ascii="仿宋" w:hAnsi="仿宋" w:eastAsia="仿宋" w:cs="仿宋"/>
                <w:kern w:val="0"/>
                <w:sz w:val="24"/>
                <w:szCs w:val="24"/>
              </w:rPr>
            </w:pPr>
            <w:r>
              <w:rPr>
                <w:rFonts w:hint="eastAsia" w:ascii="仿宋" w:hAnsi="仿宋" w:eastAsia="仿宋" w:cs="宋体"/>
                <w:color w:val="000000" w:themeColor="text1"/>
                <w:kern w:val="0"/>
                <w:sz w:val="24"/>
                <w:szCs w:val="24"/>
                <w14:textFill>
                  <w14:solidFill>
                    <w14:schemeClr w14:val="tx1"/>
                  </w14:solidFill>
                </w14:textFill>
              </w:rPr>
              <w:t>5</w:t>
            </w:r>
          </w:p>
        </w:tc>
        <w:tc>
          <w:tcPr>
            <w:tcW w:w="845" w:type="dxa"/>
            <w:vAlign w:val="center"/>
          </w:tcPr>
          <w:p w14:paraId="28FF77D6">
            <w:pPr>
              <w:spacing w:line="240" w:lineRule="auto"/>
              <w:ind w:firstLine="0" w:firstLineChars="0"/>
              <w:jc w:val="both"/>
              <w:rPr>
                <w:rFonts w:ascii="宋体" w:hAnsi="宋体" w:cs="仿宋"/>
                <w:kern w:val="0"/>
                <w:sz w:val="24"/>
                <w:szCs w:val="24"/>
              </w:rPr>
            </w:pPr>
            <w:r>
              <w:rPr>
                <w:rFonts w:hint="eastAsia" w:ascii="宋体" w:hAnsi="宋体" w:cs="宋体"/>
                <w:color w:val="000000" w:themeColor="text1"/>
                <w:kern w:val="0"/>
                <w:sz w:val="24"/>
                <w:szCs w:val="24"/>
                <w14:textFill>
                  <w14:solidFill>
                    <w14:schemeClr w14:val="tx1"/>
                  </w14:solidFill>
                </w14:textFill>
              </w:rPr>
              <w:t>恒温水浴锅</w:t>
            </w:r>
          </w:p>
        </w:tc>
        <w:tc>
          <w:tcPr>
            <w:tcW w:w="6278" w:type="dxa"/>
            <w:vAlign w:val="top"/>
          </w:tcPr>
          <w:p w14:paraId="7AFEA1D8">
            <w:pPr>
              <w:spacing w:line="240" w:lineRule="auto"/>
              <w:ind w:firstLine="400" w:firstLineChars="0"/>
              <w:jc w:val="both"/>
              <w:rPr>
                <w:rFonts w:ascii="宋体" w:hAnsi="宋体" w:cs="仿宋"/>
                <w:kern w:val="0"/>
                <w:sz w:val="24"/>
                <w:szCs w:val="24"/>
              </w:rPr>
            </w:pPr>
            <w:r>
              <w:rPr>
                <w:rFonts w:hint="eastAsia" w:ascii="宋体" w:hAnsi="宋体" w:cs="仿宋"/>
                <w:color w:val="000000" w:themeColor="text1"/>
                <w:kern w:val="0"/>
                <w:sz w:val="24"/>
                <w:szCs w:val="24"/>
                <w14:textFill>
                  <w14:solidFill>
                    <w14:schemeClr w14:val="tx1"/>
                  </w14:solidFill>
                </w14:textFill>
              </w:rPr>
              <w:t>双列六孔智能水浴锅，室温-99.9℃，功率：1500W，工作室：450*300*120mm, 水温波动: ±1℃, 电源: 220V/50HZ</w:t>
            </w:r>
          </w:p>
        </w:tc>
        <w:tc>
          <w:tcPr>
            <w:tcW w:w="706" w:type="dxa"/>
            <w:vAlign w:val="center"/>
          </w:tcPr>
          <w:p w14:paraId="2B21CD2B">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台</w:t>
            </w:r>
          </w:p>
        </w:tc>
        <w:tc>
          <w:tcPr>
            <w:tcW w:w="716" w:type="dxa"/>
            <w:vAlign w:val="center"/>
          </w:tcPr>
          <w:p w14:paraId="6706B479">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10</w:t>
            </w:r>
          </w:p>
        </w:tc>
        <w:tc>
          <w:tcPr>
            <w:tcW w:w="716" w:type="dxa"/>
          </w:tcPr>
          <w:p w14:paraId="5763A8FE">
            <w:pPr>
              <w:spacing w:line="240" w:lineRule="auto"/>
              <w:ind w:firstLine="0" w:firstLineChars="0"/>
              <w:jc w:val="both"/>
              <w:rPr>
                <w:rFonts w:ascii="仿宋" w:hAnsi="仿宋" w:eastAsia="仿宋" w:cs="仿宋"/>
                <w:kern w:val="0"/>
                <w:sz w:val="24"/>
                <w:szCs w:val="24"/>
              </w:rPr>
            </w:pPr>
          </w:p>
        </w:tc>
      </w:tr>
      <w:tr w14:paraId="07E9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FAEA4DB">
            <w:pPr>
              <w:spacing w:line="240" w:lineRule="auto"/>
              <w:ind w:firstLine="0" w:firstLineChars="0"/>
              <w:jc w:val="both"/>
              <w:rPr>
                <w:rFonts w:ascii="仿宋" w:hAnsi="仿宋" w:eastAsia="仿宋" w:cs="仿宋"/>
                <w:kern w:val="0"/>
                <w:sz w:val="24"/>
                <w:szCs w:val="24"/>
              </w:rPr>
            </w:pPr>
            <w:r>
              <w:rPr>
                <w:rFonts w:hint="eastAsia" w:ascii="仿宋" w:hAnsi="仿宋" w:eastAsia="仿宋" w:cs="宋体"/>
                <w:color w:val="000000" w:themeColor="text1"/>
                <w:kern w:val="0"/>
                <w:sz w:val="24"/>
                <w:szCs w:val="24"/>
                <w14:textFill>
                  <w14:solidFill>
                    <w14:schemeClr w14:val="tx1"/>
                  </w14:solidFill>
                </w14:textFill>
              </w:rPr>
              <w:t>6</w:t>
            </w:r>
          </w:p>
        </w:tc>
        <w:tc>
          <w:tcPr>
            <w:tcW w:w="845" w:type="dxa"/>
            <w:vAlign w:val="center"/>
          </w:tcPr>
          <w:p w14:paraId="635255C1">
            <w:pPr>
              <w:spacing w:line="240" w:lineRule="auto"/>
              <w:ind w:firstLine="0" w:firstLineChars="0"/>
              <w:jc w:val="both"/>
              <w:rPr>
                <w:rFonts w:ascii="宋体" w:hAnsi="宋体" w:cs="仿宋"/>
                <w:kern w:val="0"/>
                <w:sz w:val="24"/>
                <w:szCs w:val="24"/>
              </w:rPr>
            </w:pPr>
            <w:r>
              <w:rPr>
                <w:rFonts w:hint="eastAsia" w:ascii="宋体" w:hAnsi="宋体" w:cs="宋体"/>
                <w:color w:val="000000" w:themeColor="text1"/>
                <w:kern w:val="0"/>
                <w:sz w:val="24"/>
                <w:szCs w:val="24"/>
                <w14:textFill>
                  <w14:solidFill>
                    <w14:schemeClr w14:val="tx1"/>
                  </w14:solidFill>
                </w14:textFill>
              </w:rPr>
              <w:t>电子天平</w:t>
            </w:r>
          </w:p>
        </w:tc>
        <w:tc>
          <w:tcPr>
            <w:tcW w:w="6278" w:type="dxa"/>
            <w:vAlign w:val="top"/>
          </w:tcPr>
          <w:p w14:paraId="3D24D739">
            <w:pPr>
              <w:autoSpaceDE w:val="0"/>
              <w:autoSpaceDN w:val="0"/>
              <w:adjustRightInd w:val="0"/>
              <w:spacing w:line="240" w:lineRule="auto"/>
              <w:ind w:firstLine="0" w:firstLineChars="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1:称重量程： 220g</w:t>
            </w:r>
          </w:p>
          <w:p w14:paraId="1E6BD3B4">
            <w:pPr>
              <w:autoSpaceDE w:val="0"/>
              <w:autoSpaceDN w:val="0"/>
              <w:adjustRightInd w:val="0"/>
              <w:spacing w:line="240" w:lineRule="auto"/>
              <w:ind w:firstLine="0" w:firstLineChars="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2:可读性:   0.0001g</w:t>
            </w:r>
          </w:p>
          <w:p w14:paraId="5009EB04">
            <w:pPr>
              <w:autoSpaceDE w:val="0"/>
              <w:autoSpaceDN w:val="0"/>
              <w:adjustRightInd w:val="0"/>
              <w:spacing w:line="240" w:lineRule="auto"/>
              <w:ind w:firstLine="0" w:firstLineChars="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 重复性sd (5%的满量程):   0.08mg</w:t>
            </w:r>
          </w:p>
          <w:p w14:paraId="7CAFFF51">
            <w:pPr>
              <w:autoSpaceDE w:val="0"/>
              <w:autoSpaceDN w:val="0"/>
              <w:adjustRightInd w:val="0"/>
              <w:spacing w:line="240" w:lineRule="auto"/>
              <w:ind w:firstLine="0" w:firstLineChars="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 典型线性误差：  ±0.06mg</w:t>
            </w:r>
          </w:p>
          <w:p w14:paraId="6E53028D">
            <w:pPr>
              <w:autoSpaceDE w:val="0"/>
              <w:autoSpaceDN w:val="0"/>
              <w:adjustRightInd w:val="0"/>
              <w:spacing w:line="240" w:lineRule="auto"/>
              <w:ind w:firstLine="0" w:firstLineChars="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5:校准方式：自动内部校准。</w:t>
            </w:r>
          </w:p>
          <w:p w14:paraId="31DB5B18">
            <w:pPr>
              <w:autoSpaceDE w:val="0"/>
              <w:autoSpaceDN w:val="0"/>
              <w:adjustRightInd w:val="0"/>
              <w:spacing w:line="240" w:lineRule="auto"/>
              <w:ind w:firstLine="0" w:firstLineChars="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6:稳定时间：3s</w:t>
            </w:r>
          </w:p>
          <w:p w14:paraId="257FDF21">
            <w:pPr>
              <w:autoSpaceDE w:val="0"/>
              <w:autoSpaceDN w:val="0"/>
              <w:adjustRightInd w:val="0"/>
              <w:spacing w:line="240" w:lineRule="auto"/>
              <w:ind w:firstLine="0" w:firstLineChars="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7:典型最小称量值(USP K=2, U=0.10%)：160mg, 最佳最小称量值</w:t>
            </w:r>
          </w:p>
          <w:p w14:paraId="1C8F5EEE">
            <w:pPr>
              <w:autoSpaceDE w:val="0"/>
              <w:autoSpaceDN w:val="0"/>
              <w:adjustRightInd w:val="0"/>
              <w:spacing w:line="240" w:lineRule="auto"/>
              <w:ind w:firstLine="0" w:firstLineChars="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(USP, U=0.10%, K=2) SRP≤0.41d*:82mg</w:t>
            </w:r>
          </w:p>
          <w:p w14:paraId="677A0352">
            <w:pPr>
              <w:autoSpaceDE w:val="0"/>
              <w:autoSpaceDN w:val="0"/>
              <w:adjustRightInd w:val="0"/>
              <w:spacing w:line="240" w:lineRule="auto"/>
              <w:ind w:firstLine="0" w:firstLineChars="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8:防风罩: 5面玻璃风罩，方便拆卸</w:t>
            </w:r>
          </w:p>
          <w:p w14:paraId="534CFB27">
            <w:pPr>
              <w:autoSpaceDE w:val="0"/>
              <w:autoSpaceDN w:val="0"/>
              <w:adjustRightInd w:val="0"/>
              <w:spacing w:line="240" w:lineRule="auto"/>
              <w:ind w:firstLine="0" w:firstLineChars="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9：显示屏：可调节亮度的背光LCD显示屏，4个圆形按键加上简易的用户操作界面，无需培训即可使用</w:t>
            </w:r>
          </w:p>
          <w:p w14:paraId="3CF4C1A1">
            <w:pPr>
              <w:autoSpaceDE w:val="0"/>
              <w:autoSpaceDN w:val="0"/>
              <w:adjustRightInd w:val="0"/>
              <w:spacing w:line="240" w:lineRule="auto"/>
              <w:ind w:firstLine="0" w:firstLineChars="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★10：天平自带SPDC PRO软件，可实现多通道同时在线连接最多100台天平实时传输记录数据，导出Word ，Text，PDF ，Excel格式。软件有权限分级功能更加安全可靠。</w:t>
            </w:r>
          </w:p>
          <w:p w14:paraId="18E8F7E2">
            <w:pPr>
              <w:autoSpaceDE w:val="0"/>
              <w:autoSpaceDN w:val="0"/>
              <w:adjustRightInd w:val="0"/>
              <w:spacing w:line="240" w:lineRule="auto"/>
              <w:ind w:firstLine="0" w:firstLineChars="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11：标配RS232接口，GLP/GMP实时时钟输出，可编辑项目ID和用户ID，超载/负载提示</w:t>
            </w:r>
          </w:p>
          <w:p w14:paraId="29389E8B">
            <w:pPr>
              <w:autoSpaceDE w:val="0"/>
              <w:autoSpaceDN w:val="0"/>
              <w:adjustRightInd w:val="0"/>
              <w:spacing w:line="240" w:lineRule="auto"/>
              <w:ind w:firstLine="0" w:firstLineChars="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12:称量模式:  基本称量、计件称量、百分比称量，下挂式称量</w:t>
            </w:r>
          </w:p>
          <w:p w14:paraId="2FBA2587">
            <w:pPr>
              <w:autoSpaceDE w:val="0"/>
              <w:autoSpaceDN w:val="0"/>
              <w:adjustRightInd w:val="0"/>
              <w:spacing w:line="240" w:lineRule="auto"/>
              <w:ind w:firstLine="0" w:firstLineChars="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13:称盘尺寸:   直径 90mm</w:t>
            </w:r>
          </w:p>
          <w:p w14:paraId="7FA5AFAB">
            <w:pPr>
              <w:autoSpaceDE w:val="0"/>
              <w:autoSpaceDN w:val="0"/>
              <w:adjustRightInd w:val="0"/>
              <w:spacing w:line="240" w:lineRule="auto"/>
              <w:ind w:firstLine="0" w:firstLineChars="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14：多级可选环境滤波参数设置，保证称量要求，可选量程校准点，称量值稳定提示符。</w:t>
            </w:r>
          </w:p>
          <w:p w14:paraId="455E9466">
            <w:pPr>
              <w:autoSpaceDE w:val="0"/>
              <w:autoSpaceDN w:val="0"/>
              <w:adjustRightInd w:val="0"/>
              <w:spacing w:line="240" w:lineRule="auto"/>
              <w:ind w:firstLine="0" w:firstLineChars="0"/>
              <w:jc w:val="left"/>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15：通讯兼容命令：天平称量信息输出格式兼容其他品牌</w:t>
            </w:r>
          </w:p>
          <w:p w14:paraId="14590BC0">
            <w:pPr>
              <w:autoSpaceDE w:val="0"/>
              <w:autoSpaceDN w:val="0"/>
              <w:adjustRightInd w:val="0"/>
              <w:spacing w:line="240" w:lineRule="auto"/>
              <w:ind w:firstLine="0" w:firstLineChars="0"/>
              <w:jc w:val="left"/>
              <w:rPr>
                <w:rFonts w:ascii="宋体" w:hAnsi="宋体" w:cs="宋体"/>
                <w:color w:val="000000"/>
                <w:kern w:val="0"/>
                <w:sz w:val="24"/>
                <w:szCs w:val="24"/>
              </w:rPr>
            </w:pPr>
            <w:r>
              <w:rPr>
                <w:rFonts w:hint="eastAsia" w:ascii="宋体" w:hAnsi="宋体" w:cs="宋体"/>
                <w:color w:val="000000" w:themeColor="text1"/>
                <w:kern w:val="0"/>
                <w:sz w:val="24"/>
                <w:szCs w:val="24"/>
                <w14:textFill>
                  <w14:solidFill>
                    <w14:schemeClr w14:val="tx1"/>
                  </w14:solidFill>
                </w14:textFill>
              </w:rPr>
              <w:t>（为保证后续的售后服务，需制造厂家提供售后服务承诺书）</w:t>
            </w:r>
          </w:p>
        </w:tc>
        <w:tc>
          <w:tcPr>
            <w:tcW w:w="706" w:type="dxa"/>
            <w:vAlign w:val="center"/>
          </w:tcPr>
          <w:p w14:paraId="06E16740">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台</w:t>
            </w:r>
          </w:p>
        </w:tc>
        <w:tc>
          <w:tcPr>
            <w:tcW w:w="716" w:type="dxa"/>
            <w:vAlign w:val="center"/>
          </w:tcPr>
          <w:p w14:paraId="61E3E7EC">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50</w:t>
            </w:r>
          </w:p>
        </w:tc>
        <w:tc>
          <w:tcPr>
            <w:tcW w:w="716" w:type="dxa"/>
          </w:tcPr>
          <w:p w14:paraId="2D6EFCCA">
            <w:pPr>
              <w:spacing w:line="240" w:lineRule="auto"/>
              <w:ind w:firstLine="0" w:firstLineChars="0"/>
              <w:jc w:val="both"/>
              <w:rPr>
                <w:rFonts w:ascii="仿宋" w:hAnsi="仿宋" w:eastAsia="仿宋" w:cs="仿宋"/>
                <w:kern w:val="0"/>
                <w:sz w:val="24"/>
                <w:szCs w:val="24"/>
              </w:rPr>
            </w:pPr>
          </w:p>
        </w:tc>
      </w:tr>
      <w:tr w14:paraId="10CF5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3DD4771">
            <w:pPr>
              <w:spacing w:line="240" w:lineRule="auto"/>
              <w:ind w:firstLine="0" w:firstLineChars="0"/>
              <w:jc w:val="both"/>
              <w:rPr>
                <w:rFonts w:ascii="仿宋" w:hAnsi="仿宋" w:eastAsia="仿宋" w:cs="仿宋"/>
                <w:kern w:val="0"/>
                <w:sz w:val="24"/>
                <w:szCs w:val="24"/>
              </w:rPr>
            </w:pPr>
            <w:r>
              <w:rPr>
                <w:rFonts w:hint="eastAsia" w:ascii="仿宋" w:hAnsi="仿宋" w:eastAsia="仿宋" w:cs="宋体"/>
                <w:color w:val="000000" w:themeColor="text1"/>
                <w:kern w:val="0"/>
                <w:sz w:val="24"/>
                <w:szCs w:val="24"/>
                <w14:textFill>
                  <w14:solidFill>
                    <w14:schemeClr w14:val="tx1"/>
                  </w14:solidFill>
                </w14:textFill>
              </w:rPr>
              <w:t>7</w:t>
            </w:r>
          </w:p>
        </w:tc>
        <w:tc>
          <w:tcPr>
            <w:tcW w:w="845" w:type="dxa"/>
            <w:vAlign w:val="center"/>
          </w:tcPr>
          <w:p w14:paraId="565C6947">
            <w:pPr>
              <w:spacing w:line="240" w:lineRule="auto"/>
              <w:ind w:firstLine="0" w:firstLineChars="0"/>
              <w:jc w:val="both"/>
              <w:rPr>
                <w:rFonts w:ascii="宋体" w:hAnsi="宋体" w:cs="仿宋"/>
                <w:kern w:val="0"/>
                <w:sz w:val="24"/>
                <w:szCs w:val="24"/>
              </w:rPr>
            </w:pPr>
            <w:r>
              <w:rPr>
                <w:rFonts w:hint="eastAsia" w:ascii="宋体" w:hAnsi="宋体" w:cs="宋体"/>
                <w:color w:val="000000" w:themeColor="text1"/>
                <w:kern w:val="0"/>
                <w:sz w:val="24"/>
                <w:szCs w:val="24"/>
                <w14:textFill>
                  <w14:solidFill>
                    <w14:schemeClr w14:val="tx1"/>
                  </w14:solidFill>
                </w14:textFill>
              </w:rPr>
              <w:t>PH计</w:t>
            </w:r>
          </w:p>
        </w:tc>
        <w:tc>
          <w:tcPr>
            <w:tcW w:w="6278" w:type="dxa"/>
            <w:vAlign w:val="top"/>
          </w:tcPr>
          <w:p w14:paraId="0CD5959C">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【主要特点】</w:t>
            </w:r>
          </w:p>
          <w:p w14:paraId="4F91DFFD">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1、智能检测、自动识别</w:t>
            </w:r>
          </w:p>
          <w:p w14:paraId="14DD5890">
            <w:pPr>
              <w:numPr>
                <w:ilvl w:val="0"/>
                <w:numId w:val="0"/>
              </w:numPr>
              <w:spacing w:line="240" w:lineRule="auto"/>
              <w:ind w:left="397" w:left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采用高清LCD屏，显示清晰</w:t>
            </w:r>
          </w:p>
          <w:p w14:paraId="23A80C15">
            <w:pPr>
              <w:numPr>
                <w:ilvl w:val="0"/>
                <w:numId w:val="0"/>
              </w:numPr>
              <w:spacing w:line="240" w:lineRule="auto"/>
              <w:ind w:left="397" w:left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智能判别终点：支持自动读数、定时读数、定时间隔读数、手动读数</w:t>
            </w:r>
          </w:p>
          <w:p w14:paraId="47F20DE3">
            <w:pPr>
              <w:numPr>
                <w:ilvl w:val="0"/>
                <w:numId w:val="0"/>
              </w:numPr>
              <w:spacing w:line="240" w:lineRule="auto"/>
              <w:ind w:left="397" w:left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自动温度补偿，自动1-5点标定，电极校准提醒</w:t>
            </w:r>
          </w:p>
          <w:p w14:paraId="5C083601">
            <w:pPr>
              <w:numPr>
                <w:ilvl w:val="0"/>
                <w:numId w:val="0"/>
              </w:numPr>
              <w:spacing w:line="276" w:lineRule="auto"/>
              <w:ind w:left="397" w:left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支持GB、DIN、NIST等多种缓冲溶液，支持标液组管理和自定义pH缓冲溶液和标液组</w:t>
            </w:r>
          </w:p>
          <w:p w14:paraId="7D13100C">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2、数据管理，信息追溯</w:t>
            </w:r>
          </w:p>
          <w:p w14:paraId="7F564C3D">
            <w:pPr>
              <w:numPr>
                <w:ilvl w:val="0"/>
                <w:numId w:val="0"/>
              </w:numPr>
              <w:spacing w:line="240" w:lineRule="auto"/>
              <w:ind w:left="397" w:left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支持数据存储（500套）、查阅、删除、传输和打印</w:t>
            </w:r>
          </w:p>
          <w:p w14:paraId="4B1269F9">
            <w:pPr>
              <w:numPr>
                <w:ilvl w:val="0"/>
                <w:numId w:val="0"/>
              </w:numPr>
              <w:spacing w:line="276" w:lineRule="auto"/>
              <w:ind w:left="397" w:left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符合GLP，实现数据追溯</w:t>
            </w:r>
          </w:p>
          <w:p w14:paraId="0691666C">
            <w:pPr>
              <w:numPr>
                <w:ilvl w:val="0"/>
                <w:numId w:val="0"/>
              </w:numPr>
              <w:spacing w:line="240" w:lineRule="auto"/>
              <w:ind w:left="397" w:left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具有USB接口，配合专用的通信软件，实现与PC的连接</w:t>
            </w:r>
          </w:p>
          <w:p w14:paraId="0D4B5E89">
            <w:pPr>
              <w:spacing w:line="240" w:lineRule="auto"/>
              <w:ind w:firstLine="0" w:firstLineChars="0"/>
              <w:jc w:val="left"/>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【技术参数】</w:t>
            </w:r>
          </w:p>
          <w:tbl>
            <w:tblPr>
              <w:tblStyle w:val="26"/>
              <w:tblW w:w="0" w:type="auto"/>
              <w:jc w:val="center"/>
              <w:tblLayout w:type="autofit"/>
              <w:tblCellMar>
                <w:top w:w="0" w:type="dxa"/>
                <w:left w:w="108" w:type="dxa"/>
                <w:bottom w:w="0" w:type="dxa"/>
                <w:right w:w="108" w:type="dxa"/>
              </w:tblCellMar>
            </w:tblPr>
            <w:tblGrid>
              <w:gridCol w:w="722"/>
              <w:gridCol w:w="1510"/>
              <w:gridCol w:w="3830"/>
            </w:tblGrid>
            <w:tr w14:paraId="6AC9D953">
              <w:tblPrEx>
                <w:tblCellMar>
                  <w:top w:w="0" w:type="dxa"/>
                  <w:left w:w="108" w:type="dxa"/>
                  <w:bottom w:w="0" w:type="dxa"/>
                  <w:right w:w="108" w:type="dxa"/>
                </w:tblCellMar>
              </w:tblPrEx>
              <w:trPr>
                <w:trHeight w:val="609" w:hRule="atLeast"/>
                <w:jc w:val="center"/>
              </w:trPr>
              <w:tc>
                <w:tcPr>
                  <w:tcW w:w="0" w:type="auto"/>
                  <w:gridSpan w:val="2"/>
                  <w:tcBorders>
                    <w:top w:val="single" w:color="auto" w:sz="4" w:space="0"/>
                    <w:left w:val="single" w:color="auto" w:sz="4" w:space="0"/>
                    <w:bottom w:val="single" w:color="auto" w:sz="4" w:space="0"/>
                    <w:right w:val="single" w:color="auto" w:sz="4" w:space="0"/>
                  </w:tcBorders>
                </w:tcPr>
                <w:p w14:paraId="3042A803">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仪器级别</w:t>
                  </w:r>
                </w:p>
              </w:tc>
              <w:tc>
                <w:tcPr>
                  <w:tcW w:w="3830" w:type="dxa"/>
                  <w:tcBorders>
                    <w:top w:val="single" w:color="auto" w:sz="4" w:space="0"/>
                    <w:left w:val="single" w:color="auto" w:sz="4" w:space="0"/>
                    <w:bottom w:val="single" w:color="auto" w:sz="4" w:space="0"/>
                    <w:right w:val="single" w:color="auto" w:sz="4" w:space="0"/>
                  </w:tcBorders>
                </w:tcPr>
                <w:p w14:paraId="24DA043B">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0.01级</w:t>
                  </w:r>
                </w:p>
              </w:tc>
            </w:tr>
            <w:tr w14:paraId="1704F6A7">
              <w:tblPrEx>
                <w:tblCellMar>
                  <w:top w:w="0" w:type="dxa"/>
                  <w:left w:w="108" w:type="dxa"/>
                  <w:bottom w:w="0" w:type="dxa"/>
                  <w:right w:w="108" w:type="dxa"/>
                </w:tblCellMar>
              </w:tblPrEx>
              <w:trPr>
                <w:jc w:val="center"/>
              </w:trPr>
              <w:tc>
                <w:tcPr>
                  <w:tcW w:w="0" w:type="auto"/>
                  <w:gridSpan w:val="2"/>
                  <w:tcBorders>
                    <w:top w:val="single" w:color="auto" w:sz="4" w:space="0"/>
                    <w:left w:val="single" w:color="auto" w:sz="4" w:space="0"/>
                    <w:bottom w:val="single" w:color="auto" w:sz="4" w:space="0"/>
                    <w:right w:val="single" w:color="auto" w:sz="4" w:space="0"/>
                  </w:tcBorders>
                </w:tcPr>
                <w:p w14:paraId="00AB08EA">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测量参数</w:t>
                  </w:r>
                </w:p>
              </w:tc>
              <w:tc>
                <w:tcPr>
                  <w:tcW w:w="3830" w:type="dxa"/>
                  <w:tcBorders>
                    <w:top w:val="single" w:color="auto" w:sz="4" w:space="0"/>
                    <w:left w:val="single" w:color="auto" w:sz="4" w:space="0"/>
                    <w:bottom w:val="single" w:color="auto" w:sz="4" w:space="0"/>
                    <w:right w:val="single" w:color="auto" w:sz="4" w:space="0"/>
                  </w:tcBorders>
                </w:tcPr>
                <w:p w14:paraId="1D2C1038">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电位值、pH值、ORP值和温度值</w:t>
                  </w:r>
                </w:p>
              </w:tc>
            </w:tr>
            <w:tr w14:paraId="29A0DF63">
              <w:tblPrEx>
                <w:tblCellMar>
                  <w:top w:w="0" w:type="dxa"/>
                  <w:left w:w="108" w:type="dxa"/>
                  <w:bottom w:w="0" w:type="dxa"/>
                  <w:right w:w="108" w:type="dxa"/>
                </w:tblCellMar>
              </w:tblPrEx>
              <w:trPr>
                <w:jc w:val="center"/>
              </w:trPr>
              <w:tc>
                <w:tcPr>
                  <w:tcW w:w="0" w:type="auto"/>
                  <w:vMerge w:val="restart"/>
                  <w:tcBorders>
                    <w:top w:val="single" w:color="auto" w:sz="4" w:space="0"/>
                    <w:left w:val="single" w:color="auto" w:sz="4" w:space="0"/>
                    <w:bottom w:val="single" w:color="auto" w:sz="4" w:space="0"/>
                    <w:right w:val="single" w:color="auto" w:sz="4" w:space="0"/>
                  </w:tcBorders>
                </w:tcPr>
                <w:p w14:paraId="45A68518">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mV</w:t>
                  </w:r>
                </w:p>
              </w:tc>
              <w:tc>
                <w:tcPr>
                  <w:tcW w:w="0" w:type="auto"/>
                  <w:tcBorders>
                    <w:top w:val="single" w:color="auto" w:sz="4" w:space="0"/>
                    <w:left w:val="single" w:color="auto" w:sz="4" w:space="0"/>
                    <w:bottom w:val="single" w:color="auto" w:sz="4" w:space="0"/>
                    <w:right w:val="single" w:color="auto" w:sz="4" w:space="0"/>
                  </w:tcBorders>
                </w:tcPr>
                <w:p w14:paraId="11827F79">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范围</w:t>
                  </w:r>
                </w:p>
              </w:tc>
              <w:tc>
                <w:tcPr>
                  <w:tcW w:w="3830" w:type="dxa"/>
                  <w:tcBorders>
                    <w:top w:val="single" w:color="auto" w:sz="4" w:space="0"/>
                    <w:left w:val="single" w:color="auto" w:sz="4" w:space="0"/>
                    <w:bottom w:val="single" w:color="auto" w:sz="4" w:space="0"/>
                    <w:right w:val="single" w:color="auto" w:sz="4" w:space="0"/>
                  </w:tcBorders>
                </w:tcPr>
                <w:p w14:paraId="66A11BFB">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(-2000.0～2000.0)mV</w:t>
                  </w:r>
                </w:p>
              </w:tc>
            </w:tr>
            <w:tr w14:paraId="7876B1A7">
              <w:tblPrEx>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678B992">
                  <w:pPr>
                    <w:widowControl/>
                    <w:spacing w:line="240" w:lineRule="auto"/>
                    <w:ind w:firstLine="0" w:firstLineChars="0"/>
                    <w:jc w:val="left"/>
                    <w:rPr>
                      <w:rFonts w:ascii="等线" w:hAnsi="等线" w:eastAsia="等线" w:cs="Times New Roman"/>
                      <w:color w:val="000000" w:themeColor="text1"/>
                      <w:sz w:val="24"/>
                      <w:szCs w:val="24"/>
                      <w14:textFill>
                        <w14:solidFill>
                          <w14:schemeClr w14:val="tx1"/>
                        </w14:solidFill>
                      </w14:textFill>
                      <w14:ligatures w14:val="standardContextual"/>
                    </w:rPr>
                  </w:pPr>
                </w:p>
              </w:tc>
              <w:tc>
                <w:tcPr>
                  <w:tcW w:w="0" w:type="auto"/>
                  <w:tcBorders>
                    <w:top w:val="single" w:color="auto" w:sz="4" w:space="0"/>
                    <w:left w:val="single" w:color="auto" w:sz="4" w:space="0"/>
                    <w:bottom w:val="single" w:color="auto" w:sz="4" w:space="0"/>
                    <w:right w:val="single" w:color="auto" w:sz="4" w:space="0"/>
                  </w:tcBorders>
                </w:tcPr>
                <w:p w14:paraId="4F20B47C">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最小分辨率</w:t>
                  </w:r>
                </w:p>
              </w:tc>
              <w:tc>
                <w:tcPr>
                  <w:tcW w:w="3830" w:type="dxa"/>
                  <w:tcBorders>
                    <w:top w:val="single" w:color="auto" w:sz="4" w:space="0"/>
                    <w:left w:val="single" w:color="auto" w:sz="4" w:space="0"/>
                    <w:bottom w:val="single" w:color="auto" w:sz="4" w:space="0"/>
                    <w:right w:val="single" w:color="auto" w:sz="4" w:space="0"/>
                  </w:tcBorders>
                </w:tcPr>
                <w:p w14:paraId="499D8CB2">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0.1 mV</w:t>
                  </w:r>
                </w:p>
              </w:tc>
            </w:tr>
            <w:tr w14:paraId="73E78271">
              <w:tblPrEx>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C30192E">
                  <w:pPr>
                    <w:widowControl/>
                    <w:spacing w:line="240" w:lineRule="auto"/>
                    <w:ind w:firstLine="0" w:firstLineChars="0"/>
                    <w:jc w:val="left"/>
                    <w:rPr>
                      <w:rFonts w:ascii="等线" w:hAnsi="等线" w:eastAsia="等线" w:cs="Times New Roman"/>
                      <w:color w:val="000000" w:themeColor="text1"/>
                      <w:sz w:val="24"/>
                      <w:szCs w:val="24"/>
                      <w14:textFill>
                        <w14:solidFill>
                          <w14:schemeClr w14:val="tx1"/>
                        </w14:solidFill>
                      </w14:textFill>
                      <w14:ligatures w14:val="standardContextual"/>
                    </w:rPr>
                  </w:pPr>
                </w:p>
              </w:tc>
              <w:tc>
                <w:tcPr>
                  <w:tcW w:w="0" w:type="auto"/>
                  <w:tcBorders>
                    <w:top w:val="single" w:color="auto" w:sz="4" w:space="0"/>
                    <w:left w:val="single" w:color="auto" w:sz="4" w:space="0"/>
                    <w:bottom w:val="single" w:color="auto" w:sz="4" w:space="0"/>
                    <w:right w:val="single" w:color="auto" w:sz="4" w:space="0"/>
                  </w:tcBorders>
                </w:tcPr>
                <w:p w14:paraId="496B283B">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电子单元示值误差</w:t>
                  </w:r>
                </w:p>
              </w:tc>
              <w:tc>
                <w:tcPr>
                  <w:tcW w:w="3830" w:type="dxa"/>
                  <w:tcBorders>
                    <w:top w:val="single" w:color="auto" w:sz="4" w:space="0"/>
                    <w:left w:val="single" w:color="auto" w:sz="4" w:space="0"/>
                    <w:bottom w:val="single" w:color="auto" w:sz="4" w:space="0"/>
                    <w:right w:val="single" w:color="auto" w:sz="4" w:space="0"/>
                  </w:tcBorders>
                </w:tcPr>
                <w:p w14:paraId="0E53DBDA">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±0.1%或±0.3 mV</w:t>
                  </w:r>
                </w:p>
              </w:tc>
            </w:tr>
            <w:tr w14:paraId="5616510D">
              <w:tblPrEx>
                <w:tblCellMar>
                  <w:top w:w="0" w:type="dxa"/>
                  <w:left w:w="108" w:type="dxa"/>
                  <w:bottom w:w="0" w:type="dxa"/>
                  <w:right w:w="108" w:type="dxa"/>
                </w:tblCellMar>
              </w:tblPrEx>
              <w:trPr>
                <w:jc w:val="center"/>
              </w:trPr>
              <w:tc>
                <w:tcPr>
                  <w:tcW w:w="0" w:type="auto"/>
                  <w:vMerge w:val="restart"/>
                  <w:tcBorders>
                    <w:top w:val="single" w:color="auto" w:sz="4" w:space="0"/>
                    <w:left w:val="single" w:color="auto" w:sz="4" w:space="0"/>
                    <w:bottom w:val="single" w:color="auto" w:sz="4" w:space="0"/>
                    <w:right w:val="single" w:color="auto" w:sz="4" w:space="0"/>
                  </w:tcBorders>
                </w:tcPr>
                <w:p w14:paraId="6F28633A">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pH</w:t>
                  </w:r>
                </w:p>
              </w:tc>
              <w:tc>
                <w:tcPr>
                  <w:tcW w:w="0" w:type="auto"/>
                  <w:tcBorders>
                    <w:top w:val="single" w:color="auto" w:sz="4" w:space="0"/>
                    <w:left w:val="single" w:color="auto" w:sz="4" w:space="0"/>
                    <w:bottom w:val="single" w:color="auto" w:sz="4" w:space="0"/>
                    <w:right w:val="single" w:color="auto" w:sz="4" w:space="0"/>
                  </w:tcBorders>
                </w:tcPr>
                <w:p w14:paraId="52C1CBB9">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范围</w:t>
                  </w:r>
                </w:p>
              </w:tc>
              <w:tc>
                <w:tcPr>
                  <w:tcW w:w="3830" w:type="dxa"/>
                  <w:tcBorders>
                    <w:top w:val="single" w:color="auto" w:sz="4" w:space="0"/>
                    <w:left w:val="single" w:color="auto" w:sz="4" w:space="0"/>
                    <w:bottom w:val="single" w:color="auto" w:sz="4" w:space="0"/>
                    <w:right w:val="single" w:color="auto" w:sz="4" w:space="0"/>
                  </w:tcBorders>
                </w:tcPr>
                <w:p w14:paraId="46F32D4A">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(-2.00～20.00)pH</w:t>
                  </w:r>
                </w:p>
              </w:tc>
            </w:tr>
            <w:tr w14:paraId="19511C4D">
              <w:tblPrEx>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EF372AE">
                  <w:pPr>
                    <w:widowControl/>
                    <w:spacing w:line="240" w:lineRule="auto"/>
                    <w:ind w:firstLine="0" w:firstLineChars="0"/>
                    <w:jc w:val="left"/>
                    <w:rPr>
                      <w:rFonts w:ascii="等线" w:hAnsi="等线" w:eastAsia="等线" w:cs="Times New Roman"/>
                      <w:color w:val="000000" w:themeColor="text1"/>
                      <w:sz w:val="24"/>
                      <w:szCs w:val="24"/>
                      <w14:textFill>
                        <w14:solidFill>
                          <w14:schemeClr w14:val="tx1"/>
                        </w14:solidFill>
                      </w14:textFill>
                      <w14:ligatures w14:val="standardContextual"/>
                    </w:rPr>
                  </w:pPr>
                </w:p>
              </w:tc>
              <w:tc>
                <w:tcPr>
                  <w:tcW w:w="0" w:type="auto"/>
                  <w:tcBorders>
                    <w:top w:val="single" w:color="auto" w:sz="4" w:space="0"/>
                    <w:left w:val="single" w:color="auto" w:sz="4" w:space="0"/>
                    <w:bottom w:val="single" w:color="auto" w:sz="4" w:space="0"/>
                    <w:right w:val="single" w:color="auto" w:sz="4" w:space="0"/>
                  </w:tcBorders>
                </w:tcPr>
                <w:p w14:paraId="75D5E2E4">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最小分辨率</w:t>
                  </w:r>
                </w:p>
              </w:tc>
              <w:tc>
                <w:tcPr>
                  <w:tcW w:w="3830" w:type="dxa"/>
                  <w:tcBorders>
                    <w:top w:val="single" w:color="auto" w:sz="4" w:space="0"/>
                    <w:left w:val="single" w:color="auto" w:sz="4" w:space="0"/>
                    <w:bottom w:val="single" w:color="auto" w:sz="4" w:space="0"/>
                    <w:right w:val="single" w:color="auto" w:sz="4" w:space="0"/>
                  </w:tcBorders>
                </w:tcPr>
                <w:p w14:paraId="11BD0E6A">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0.01pH</w:t>
                  </w:r>
                </w:p>
              </w:tc>
            </w:tr>
            <w:tr w14:paraId="4B4C226C">
              <w:tblPrEx>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C8B4B05">
                  <w:pPr>
                    <w:widowControl/>
                    <w:spacing w:line="240" w:lineRule="auto"/>
                    <w:ind w:firstLine="0" w:firstLineChars="0"/>
                    <w:jc w:val="left"/>
                    <w:rPr>
                      <w:rFonts w:ascii="等线" w:hAnsi="等线" w:eastAsia="等线" w:cs="Times New Roman"/>
                      <w:color w:val="000000" w:themeColor="text1"/>
                      <w:sz w:val="24"/>
                      <w:szCs w:val="24"/>
                      <w14:textFill>
                        <w14:solidFill>
                          <w14:schemeClr w14:val="tx1"/>
                        </w14:solidFill>
                      </w14:textFill>
                      <w14:ligatures w14:val="standardContextual"/>
                    </w:rPr>
                  </w:pPr>
                </w:p>
              </w:tc>
              <w:tc>
                <w:tcPr>
                  <w:tcW w:w="0" w:type="auto"/>
                  <w:tcBorders>
                    <w:top w:val="single" w:color="auto" w:sz="4" w:space="0"/>
                    <w:left w:val="single" w:color="auto" w:sz="4" w:space="0"/>
                    <w:bottom w:val="single" w:color="auto" w:sz="4" w:space="0"/>
                    <w:right w:val="single" w:color="auto" w:sz="4" w:space="0"/>
                  </w:tcBorders>
                </w:tcPr>
                <w:p w14:paraId="517F60B0">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电子单元示值误差</w:t>
                  </w:r>
                </w:p>
              </w:tc>
              <w:tc>
                <w:tcPr>
                  <w:tcW w:w="3830" w:type="dxa"/>
                  <w:tcBorders>
                    <w:top w:val="single" w:color="auto" w:sz="4" w:space="0"/>
                    <w:left w:val="single" w:color="auto" w:sz="4" w:space="0"/>
                    <w:bottom w:val="single" w:color="auto" w:sz="4" w:space="0"/>
                    <w:right w:val="single" w:color="auto" w:sz="4" w:space="0"/>
                  </w:tcBorders>
                </w:tcPr>
                <w:p w14:paraId="46CC506D">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±0.01pH</w:t>
                  </w:r>
                </w:p>
              </w:tc>
            </w:tr>
            <w:tr w14:paraId="2F6493C1">
              <w:tblPrEx>
                <w:tblCellMar>
                  <w:top w:w="0" w:type="dxa"/>
                  <w:left w:w="108" w:type="dxa"/>
                  <w:bottom w:w="0" w:type="dxa"/>
                  <w:right w:w="108" w:type="dxa"/>
                </w:tblCellMar>
              </w:tblPrEx>
              <w:trPr>
                <w:jc w:val="center"/>
              </w:trPr>
              <w:tc>
                <w:tcPr>
                  <w:tcW w:w="0" w:type="auto"/>
                  <w:vMerge w:val="restart"/>
                  <w:tcBorders>
                    <w:top w:val="single" w:color="auto" w:sz="4" w:space="0"/>
                    <w:left w:val="single" w:color="auto" w:sz="4" w:space="0"/>
                    <w:bottom w:val="single" w:color="auto" w:sz="4" w:space="0"/>
                    <w:right w:val="single" w:color="auto" w:sz="4" w:space="0"/>
                  </w:tcBorders>
                </w:tcPr>
                <w:p w14:paraId="61AA83FD">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温度</w:t>
                  </w:r>
                </w:p>
              </w:tc>
              <w:tc>
                <w:tcPr>
                  <w:tcW w:w="0" w:type="auto"/>
                  <w:tcBorders>
                    <w:top w:val="single" w:color="auto" w:sz="4" w:space="0"/>
                    <w:left w:val="single" w:color="auto" w:sz="4" w:space="0"/>
                    <w:bottom w:val="single" w:color="auto" w:sz="4" w:space="0"/>
                    <w:right w:val="single" w:color="auto" w:sz="4" w:space="0"/>
                  </w:tcBorders>
                </w:tcPr>
                <w:p w14:paraId="79898BA9">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范围</w:t>
                  </w:r>
                </w:p>
              </w:tc>
              <w:tc>
                <w:tcPr>
                  <w:tcW w:w="3830" w:type="dxa"/>
                  <w:tcBorders>
                    <w:top w:val="single" w:color="000000" w:sz="4" w:space="0"/>
                    <w:left w:val="single" w:color="000000" w:sz="4" w:space="0"/>
                    <w:bottom w:val="single" w:color="000000" w:sz="4" w:space="0"/>
                    <w:right w:val="single" w:color="000000" w:sz="4" w:space="0"/>
                  </w:tcBorders>
                </w:tcPr>
                <w:p w14:paraId="5699CB44">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(-5.0～110.0)℃ /(23-230)℉</w:t>
                  </w:r>
                </w:p>
              </w:tc>
            </w:tr>
            <w:tr w14:paraId="226228EA">
              <w:tblPrEx>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F0CFDD5">
                  <w:pPr>
                    <w:widowControl/>
                    <w:spacing w:line="240" w:lineRule="auto"/>
                    <w:ind w:firstLine="0" w:firstLineChars="0"/>
                    <w:jc w:val="left"/>
                    <w:rPr>
                      <w:rFonts w:ascii="等线" w:hAnsi="等线" w:eastAsia="等线" w:cs="Times New Roman"/>
                      <w:color w:val="000000" w:themeColor="text1"/>
                      <w:sz w:val="24"/>
                      <w:szCs w:val="24"/>
                      <w14:textFill>
                        <w14:solidFill>
                          <w14:schemeClr w14:val="tx1"/>
                        </w14:solidFill>
                      </w14:textFill>
                      <w14:ligatures w14:val="standardContextual"/>
                    </w:rPr>
                  </w:pPr>
                </w:p>
              </w:tc>
              <w:tc>
                <w:tcPr>
                  <w:tcW w:w="0" w:type="auto"/>
                  <w:tcBorders>
                    <w:top w:val="single" w:color="auto" w:sz="4" w:space="0"/>
                    <w:left w:val="single" w:color="auto" w:sz="4" w:space="0"/>
                    <w:bottom w:val="single" w:color="auto" w:sz="4" w:space="0"/>
                    <w:right w:val="single" w:color="auto" w:sz="4" w:space="0"/>
                  </w:tcBorders>
                </w:tcPr>
                <w:p w14:paraId="3B1228A2">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最小分辨率</w:t>
                  </w:r>
                </w:p>
              </w:tc>
              <w:tc>
                <w:tcPr>
                  <w:tcW w:w="3830" w:type="dxa"/>
                  <w:tcBorders>
                    <w:top w:val="single" w:color="000000" w:sz="4" w:space="0"/>
                    <w:left w:val="single" w:color="000000" w:sz="4" w:space="0"/>
                    <w:bottom w:val="single" w:color="000000" w:sz="4" w:space="0"/>
                    <w:right w:val="single" w:color="000000" w:sz="4" w:space="0"/>
                  </w:tcBorders>
                </w:tcPr>
                <w:p w14:paraId="04D960C1">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0.1℃/0.1℉</w:t>
                  </w:r>
                </w:p>
              </w:tc>
            </w:tr>
            <w:tr w14:paraId="74B70785">
              <w:tblPrEx>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3564989">
                  <w:pPr>
                    <w:widowControl/>
                    <w:spacing w:line="240" w:lineRule="auto"/>
                    <w:ind w:firstLine="0" w:firstLineChars="0"/>
                    <w:jc w:val="left"/>
                    <w:rPr>
                      <w:rFonts w:ascii="等线" w:hAnsi="等线" w:eastAsia="等线" w:cs="Times New Roman"/>
                      <w:color w:val="000000" w:themeColor="text1"/>
                      <w:sz w:val="24"/>
                      <w:szCs w:val="24"/>
                      <w14:textFill>
                        <w14:solidFill>
                          <w14:schemeClr w14:val="tx1"/>
                        </w14:solidFill>
                      </w14:textFill>
                      <w14:ligatures w14:val="standardContextual"/>
                    </w:rPr>
                  </w:pPr>
                </w:p>
              </w:tc>
              <w:tc>
                <w:tcPr>
                  <w:tcW w:w="0" w:type="auto"/>
                  <w:tcBorders>
                    <w:top w:val="single" w:color="auto" w:sz="4" w:space="0"/>
                    <w:left w:val="single" w:color="auto" w:sz="4" w:space="0"/>
                    <w:bottom w:val="single" w:color="auto" w:sz="4" w:space="0"/>
                    <w:right w:val="single" w:color="auto" w:sz="4" w:space="0"/>
                  </w:tcBorders>
                </w:tcPr>
                <w:p w14:paraId="37F9802C">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电子单元示值误差</w:t>
                  </w:r>
                </w:p>
              </w:tc>
              <w:tc>
                <w:tcPr>
                  <w:tcW w:w="3830" w:type="dxa"/>
                  <w:tcBorders>
                    <w:top w:val="single" w:color="000000" w:sz="4" w:space="0"/>
                    <w:left w:val="single" w:color="000000" w:sz="4" w:space="0"/>
                    <w:bottom w:val="single" w:color="000000" w:sz="4" w:space="0"/>
                    <w:right w:val="single" w:color="000000" w:sz="4" w:space="0"/>
                  </w:tcBorders>
                </w:tcPr>
                <w:p w14:paraId="6C32244A">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±0.2 ℃/±0.36℉</w:t>
                  </w:r>
                </w:p>
              </w:tc>
            </w:tr>
            <w:tr w14:paraId="2CF79E6B">
              <w:tblPrEx>
                <w:tblCellMar>
                  <w:top w:w="0" w:type="dxa"/>
                  <w:left w:w="108" w:type="dxa"/>
                  <w:bottom w:w="0" w:type="dxa"/>
                  <w:right w:w="108" w:type="dxa"/>
                </w:tblCellMar>
              </w:tblPrEx>
              <w:trPr>
                <w:jc w:val="center"/>
              </w:trPr>
              <w:tc>
                <w:tcPr>
                  <w:tcW w:w="0" w:type="auto"/>
                  <w:gridSpan w:val="2"/>
                  <w:tcBorders>
                    <w:top w:val="single" w:color="auto" w:sz="4" w:space="0"/>
                    <w:left w:val="single" w:color="auto" w:sz="4" w:space="0"/>
                    <w:bottom w:val="single" w:color="auto" w:sz="4" w:space="0"/>
                    <w:right w:val="single" w:color="auto" w:sz="4" w:space="0"/>
                  </w:tcBorders>
                </w:tcPr>
                <w:p w14:paraId="0DDE6FC5">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电源</w:t>
                  </w:r>
                </w:p>
              </w:tc>
              <w:tc>
                <w:tcPr>
                  <w:tcW w:w="3830" w:type="dxa"/>
                  <w:tcBorders>
                    <w:top w:val="single" w:color="auto" w:sz="4" w:space="0"/>
                    <w:left w:val="single" w:color="auto" w:sz="4" w:space="0"/>
                    <w:bottom w:val="single" w:color="auto" w:sz="4" w:space="0"/>
                    <w:right w:val="single" w:color="auto" w:sz="4" w:space="0"/>
                  </w:tcBorders>
                </w:tcPr>
                <w:p w14:paraId="11F14833">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电源适配器（输入：AC100~240V，输出：DC9V）</w:t>
                  </w:r>
                </w:p>
              </w:tc>
            </w:tr>
            <w:tr w14:paraId="12C5CED3">
              <w:tblPrEx>
                <w:tblCellMar>
                  <w:top w:w="0" w:type="dxa"/>
                  <w:left w:w="108" w:type="dxa"/>
                  <w:bottom w:w="0" w:type="dxa"/>
                  <w:right w:w="108" w:type="dxa"/>
                </w:tblCellMar>
              </w:tblPrEx>
              <w:trPr>
                <w:jc w:val="center"/>
              </w:trPr>
              <w:tc>
                <w:tcPr>
                  <w:tcW w:w="0" w:type="auto"/>
                  <w:gridSpan w:val="2"/>
                  <w:tcBorders>
                    <w:top w:val="single" w:color="auto" w:sz="4" w:space="0"/>
                    <w:left w:val="single" w:color="auto" w:sz="4" w:space="0"/>
                    <w:bottom w:val="single" w:color="auto" w:sz="4" w:space="0"/>
                    <w:right w:val="single" w:color="auto" w:sz="4" w:space="0"/>
                  </w:tcBorders>
                </w:tcPr>
                <w:p w14:paraId="38631D40">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尺寸（mm），重量（kg）</w:t>
                  </w:r>
                </w:p>
              </w:tc>
              <w:tc>
                <w:tcPr>
                  <w:tcW w:w="3830" w:type="dxa"/>
                  <w:tcBorders>
                    <w:top w:val="single" w:color="auto" w:sz="4" w:space="0"/>
                    <w:left w:val="single" w:color="auto" w:sz="4" w:space="0"/>
                    <w:bottom w:val="single" w:color="auto" w:sz="4" w:space="0"/>
                    <w:right w:val="single" w:color="auto" w:sz="4" w:space="0"/>
                  </w:tcBorders>
                </w:tcPr>
                <w:p w14:paraId="7A6F947A">
                  <w:pPr>
                    <w:widowControl/>
                    <w:spacing w:line="240" w:lineRule="auto"/>
                    <w:ind w:firstLine="0" w:firstLineChars="0"/>
                    <w:jc w:val="center"/>
                    <w:rPr>
                      <w:rFonts w:ascii="等线" w:hAnsi="等线" w:eastAsia="等线" w:cs="Times New Roman"/>
                      <w:color w:val="000000" w:themeColor="text1"/>
                      <w:sz w:val="24"/>
                      <w:szCs w:val="24"/>
                      <w14:textFill>
                        <w14:solidFill>
                          <w14:schemeClr w14:val="tx1"/>
                        </w14:solidFill>
                      </w14:textFill>
                      <w14:ligatures w14:val="standardContextual"/>
                    </w:rPr>
                  </w:pPr>
                  <w:r>
                    <w:rPr>
                      <w:rFonts w:hint="eastAsia" w:ascii="等线" w:hAnsi="等线" w:eastAsia="等线" w:cs="Times New Roman"/>
                      <w:color w:val="000000" w:themeColor="text1"/>
                      <w:sz w:val="24"/>
                      <w:szCs w:val="24"/>
                      <w14:textFill>
                        <w14:solidFill>
                          <w14:schemeClr w14:val="tx1"/>
                        </w14:solidFill>
                      </w14:textFill>
                      <w14:ligatures w14:val="standardContextual"/>
                    </w:rPr>
                    <w:t>242×195×68，0.9</w:t>
                  </w:r>
                </w:p>
              </w:tc>
            </w:tr>
          </w:tbl>
          <w:p w14:paraId="1E19083A">
            <w:pPr>
              <w:pStyle w:val="47"/>
              <w:spacing w:line="240" w:lineRule="auto"/>
              <w:ind w:firstLine="0" w:firstLineChars="0"/>
              <w:jc w:val="both"/>
              <w:rPr>
                <w:rFonts w:hint="eastAsia" w:ascii="宋体" w:hAnsi="宋体" w:eastAsia="宋体" w:cs="宋体"/>
                <w:kern w:val="0"/>
                <w:sz w:val="24"/>
                <w:szCs w:val="24"/>
              </w:rPr>
            </w:pPr>
          </w:p>
        </w:tc>
        <w:tc>
          <w:tcPr>
            <w:tcW w:w="706" w:type="dxa"/>
            <w:vAlign w:val="center"/>
          </w:tcPr>
          <w:p w14:paraId="4EA099FD">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台</w:t>
            </w:r>
          </w:p>
        </w:tc>
        <w:tc>
          <w:tcPr>
            <w:tcW w:w="716" w:type="dxa"/>
            <w:vAlign w:val="center"/>
          </w:tcPr>
          <w:p w14:paraId="511192FE">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5</w:t>
            </w:r>
          </w:p>
        </w:tc>
        <w:tc>
          <w:tcPr>
            <w:tcW w:w="716" w:type="dxa"/>
          </w:tcPr>
          <w:p w14:paraId="33E7B300">
            <w:pPr>
              <w:spacing w:line="240" w:lineRule="auto"/>
              <w:ind w:firstLine="0" w:firstLineChars="0"/>
              <w:jc w:val="both"/>
              <w:rPr>
                <w:rFonts w:ascii="仿宋" w:hAnsi="仿宋" w:eastAsia="仿宋" w:cs="仿宋"/>
                <w:kern w:val="0"/>
                <w:sz w:val="24"/>
                <w:szCs w:val="24"/>
              </w:rPr>
            </w:pPr>
          </w:p>
        </w:tc>
      </w:tr>
      <w:tr w14:paraId="0FE89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8A7C821">
            <w:pPr>
              <w:spacing w:line="240" w:lineRule="auto"/>
              <w:ind w:firstLine="0" w:firstLineChars="0"/>
              <w:jc w:val="both"/>
              <w:rPr>
                <w:rFonts w:ascii="仿宋" w:hAnsi="仿宋" w:eastAsia="仿宋" w:cs="仿宋"/>
                <w:kern w:val="0"/>
                <w:sz w:val="24"/>
                <w:szCs w:val="24"/>
              </w:rPr>
            </w:pPr>
            <w:r>
              <w:rPr>
                <w:rFonts w:hint="eastAsia" w:ascii="仿宋" w:hAnsi="仿宋" w:eastAsia="仿宋" w:cs="宋体"/>
                <w:color w:val="000000" w:themeColor="text1"/>
                <w:kern w:val="0"/>
                <w:sz w:val="24"/>
                <w:szCs w:val="24"/>
                <w14:textFill>
                  <w14:solidFill>
                    <w14:schemeClr w14:val="tx1"/>
                  </w14:solidFill>
                </w14:textFill>
              </w:rPr>
              <w:t>8</w:t>
            </w:r>
          </w:p>
        </w:tc>
        <w:tc>
          <w:tcPr>
            <w:tcW w:w="845" w:type="dxa"/>
            <w:vAlign w:val="center"/>
          </w:tcPr>
          <w:p w14:paraId="4E16C6CF">
            <w:pPr>
              <w:spacing w:line="240" w:lineRule="auto"/>
              <w:ind w:firstLine="0" w:firstLineChars="0"/>
              <w:jc w:val="both"/>
              <w:rPr>
                <w:rFonts w:ascii="宋体" w:hAnsi="宋体" w:cs="仿宋"/>
                <w:kern w:val="0"/>
                <w:sz w:val="24"/>
                <w:szCs w:val="24"/>
              </w:rPr>
            </w:pPr>
            <w:r>
              <w:rPr>
                <w:rFonts w:hint="eastAsia" w:ascii="宋体" w:hAnsi="宋体" w:cs="宋体"/>
                <w:color w:val="000000" w:themeColor="text1"/>
                <w:kern w:val="0"/>
                <w:sz w:val="24"/>
                <w:szCs w:val="24"/>
                <w14:textFill>
                  <w14:solidFill>
                    <w14:schemeClr w14:val="tx1"/>
                  </w14:solidFill>
                </w14:textFill>
              </w:rPr>
              <w:t>全自动灭菌器</w:t>
            </w:r>
          </w:p>
        </w:tc>
        <w:tc>
          <w:tcPr>
            <w:tcW w:w="6278" w:type="dxa"/>
            <w:vAlign w:val="top"/>
          </w:tcPr>
          <w:p w14:paraId="3CEABC76">
            <w:pPr>
              <w:ind w:firstLine="40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产品特点：</w:t>
            </w:r>
          </w:p>
          <w:p w14:paraId="2C6E46D7">
            <w:pPr>
              <w:ind w:firstLine="40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采用</w:t>
            </w:r>
            <w:r>
              <w:rPr>
                <w:rFonts w:ascii="Times New Roman" w:hAnsi="Times New Roman" w:cs="Times New Roman"/>
                <w:color w:val="000000" w:themeColor="text1"/>
                <w:kern w:val="0"/>
                <w:sz w:val="24"/>
                <w:szCs w:val="24"/>
                <w14:textFill>
                  <w14:solidFill>
                    <w14:schemeClr w14:val="tx1"/>
                  </w14:solidFill>
                </w14:textFill>
              </w:rPr>
              <w:t>SUS304</w:t>
            </w:r>
            <w:r>
              <w:rPr>
                <w:rFonts w:hint="eastAsia" w:ascii="Times New Roman" w:hAnsi="Times New Roman" w:cs="Times New Roman"/>
                <w:color w:val="000000" w:themeColor="text1"/>
                <w:kern w:val="0"/>
                <w:sz w:val="24"/>
                <w:szCs w:val="24"/>
                <w14:textFill>
                  <w14:solidFill>
                    <w14:schemeClr w14:val="tx1"/>
                  </w14:solidFill>
                </w14:textFill>
              </w:rPr>
              <w:t>材料制成</w:t>
            </w:r>
          </w:p>
          <w:p w14:paraId="6504AAC1">
            <w:pPr>
              <w:ind w:firstLine="40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微电脑智能化控制</w:t>
            </w:r>
          </w:p>
          <w:p w14:paraId="0063BD2E">
            <w:pPr>
              <w:ind w:firstLine="40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自涨式密封</w:t>
            </w: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自动排放冷空气</w:t>
            </w:r>
          </w:p>
          <w:p w14:paraId="67B21A1C">
            <w:pPr>
              <w:ind w:firstLine="40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断水自控</w:t>
            </w:r>
          </w:p>
          <w:p w14:paraId="6E9BFD74">
            <w:pPr>
              <w:ind w:firstLine="40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超温保护</w:t>
            </w:r>
          </w:p>
          <w:p w14:paraId="20439D7C">
            <w:pPr>
              <w:ind w:firstLine="40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超压自泄</w:t>
            </w:r>
          </w:p>
          <w:p w14:paraId="53DBB277">
            <w:pPr>
              <w:ind w:firstLine="40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灭菌终了蜂鸣器提醒</w:t>
            </w:r>
          </w:p>
          <w:p w14:paraId="77FC2DC3">
            <w:pPr>
              <w:spacing w:line="240" w:lineRule="auto"/>
              <w:ind w:firstLine="0" w:firstLineChars="0"/>
              <w:jc w:val="both"/>
              <w:rPr>
                <w:rFonts w:hint="eastAsia" w:ascii="宋体" w:hAnsi="宋体" w:eastAsia="宋体" w:cs="宋体"/>
                <w:color w:val="auto"/>
                <w:kern w:val="0"/>
                <w:sz w:val="24"/>
                <w:szCs w:val="24"/>
              </w:rPr>
            </w:pPr>
            <w:r>
              <w:rPr>
                <w:rFonts w:hint="eastAsia" w:ascii="Times New Roman" w:hAnsi="Times New Roman" w:cs="Times New Roman"/>
                <w:b/>
                <w:bCs/>
                <w:color w:val="000000" w:themeColor="text1"/>
                <w:kern w:val="0"/>
                <w:sz w:val="24"/>
                <w:szCs w:val="24"/>
                <w14:textFill>
                  <w14:solidFill>
                    <w14:schemeClr w14:val="tx1"/>
                  </w14:solidFill>
                </w14:textFill>
              </w:rPr>
              <w:t>技术参数：</w:t>
            </w:r>
            <w:r>
              <w:rPr>
                <w:rFonts w:ascii="Times New Roman" w:hAnsi="Times New Roman" w:cs="Times New Roman"/>
                <w:color w:val="000000" w:themeColor="text1"/>
                <w:kern w:val="0"/>
                <w:sz w:val="24"/>
                <w:szCs w:val="24"/>
                <w14:textFill>
                  <w14:solidFill>
                    <w14:schemeClr w14:val="tx1"/>
                  </w14:solidFill>
                </w14:textFill>
              </w:rPr>
              <w:br w:type="textWrapping"/>
            </w:r>
            <w:r>
              <w:rPr>
                <w:rFonts w:hint="eastAsia" w:ascii="Times New Roman" w:hAnsi="Times New Roman" w:cs="Times New Roman"/>
                <w:color w:val="000000" w:themeColor="text1"/>
                <w:kern w:val="0"/>
                <w:sz w:val="24"/>
                <w:szCs w:val="24"/>
                <w14:textFill>
                  <w14:solidFill>
                    <w14:schemeClr w14:val="tx1"/>
                  </w14:solidFill>
                </w14:textFill>
              </w:rPr>
              <w:t>容积：</w:t>
            </w:r>
            <w:r>
              <w:rPr>
                <w:rFonts w:ascii="Times New Roman" w:hAnsi="Times New Roman" w:cs="Times New Roman"/>
                <w:color w:val="000000" w:themeColor="text1"/>
                <w:kern w:val="0"/>
                <w:sz w:val="24"/>
                <w:szCs w:val="24"/>
                <w14:textFill>
                  <w14:solidFill>
                    <w14:schemeClr w14:val="tx1"/>
                  </w14:solidFill>
                </w14:textFill>
              </w:rPr>
              <w:t>29L</w:t>
            </w:r>
            <w:r>
              <w:rPr>
                <w:rFonts w:ascii="Times New Roman" w:hAnsi="Times New Roman" w:cs="Times New Roman"/>
                <w:color w:val="000000" w:themeColor="text1"/>
                <w:kern w:val="0"/>
                <w:sz w:val="24"/>
                <w:szCs w:val="24"/>
                <w14:textFill>
                  <w14:solidFill>
                    <w14:schemeClr w14:val="tx1"/>
                  </w14:solidFill>
                </w14:textFill>
              </w:rPr>
              <w:br w:type="textWrapping"/>
            </w:r>
            <w:r>
              <w:rPr>
                <w:rFonts w:hint="eastAsia" w:ascii="Times New Roman" w:hAnsi="Times New Roman" w:cs="Times New Roman"/>
                <w:color w:val="000000" w:themeColor="text1"/>
                <w:kern w:val="0"/>
                <w:sz w:val="24"/>
                <w:szCs w:val="24"/>
                <w14:textFill>
                  <w14:solidFill>
                    <w14:schemeClr w14:val="tx1"/>
                  </w14:solidFill>
                </w14:textFill>
              </w:rPr>
              <w:t>功率：</w:t>
            </w:r>
            <w:r>
              <w:rPr>
                <w:rFonts w:ascii="Times New Roman" w:hAnsi="Times New Roman" w:cs="Times New Roman"/>
                <w:color w:val="000000" w:themeColor="text1"/>
                <w:kern w:val="0"/>
                <w:sz w:val="24"/>
                <w:szCs w:val="24"/>
                <w14:textFill>
                  <w14:solidFill>
                    <w14:schemeClr w14:val="tx1"/>
                  </w14:solidFill>
                </w14:textFill>
              </w:rPr>
              <w:t>2kW</w:t>
            </w:r>
            <w:r>
              <w:rPr>
                <w:rFonts w:ascii="Times New Roman" w:hAnsi="Times New Roman" w:cs="Times New Roman"/>
                <w:color w:val="000000" w:themeColor="text1"/>
                <w:kern w:val="0"/>
                <w:sz w:val="24"/>
                <w:szCs w:val="24"/>
                <w14:textFill>
                  <w14:solidFill>
                    <w14:schemeClr w14:val="tx1"/>
                  </w14:solidFill>
                </w14:textFill>
              </w:rPr>
              <w:br w:type="textWrapping"/>
            </w:r>
            <w:r>
              <w:rPr>
                <w:rFonts w:hint="eastAsia" w:ascii="Times New Roman" w:hAnsi="Times New Roman" w:cs="Times New Roman"/>
                <w:color w:val="000000" w:themeColor="text1"/>
                <w:kern w:val="0"/>
                <w:sz w:val="24"/>
                <w:szCs w:val="24"/>
                <w14:textFill>
                  <w14:solidFill>
                    <w14:schemeClr w14:val="tx1"/>
                  </w14:solidFill>
                </w14:textFill>
              </w:rPr>
              <w:t>电源：</w:t>
            </w:r>
            <w:r>
              <w:rPr>
                <w:rFonts w:ascii="Times New Roman" w:hAnsi="Times New Roman" w:cs="Times New Roman"/>
                <w:color w:val="000000" w:themeColor="text1"/>
                <w:kern w:val="0"/>
                <w:sz w:val="24"/>
                <w:szCs w:val="24"/>
                <w14:textFill>
                  <w14:solidFill>
                    <w14:schemeClr w14:val="tx1"/>
                  </w14:solidFill>
                </w14:textFill>
              </w:rPr>
              <w:t>220V/50Hz</w:t>
            </w:r>
            <w:r>
              <w:rPr>
                <w:rFonts w:ascii="Times New Roman" w:hAnsi="Times New Roman" w:cs="Times New Roman"/>
                <w:color w:val="000000" w:themeColor="text1"/>
                <w:kern w:val="0"/>
                <w:sz w:val="24"/>
                <w:szCs w:val="24"/>
                <w14:textFill>
                  <w14:solidFill>
                    <w14:schemeClr w14:val="tx1"/>
                  </w14:solidFill>
                </w14:textFill>
              </w:rPr>
              <w:br w:type="textWrapping"/>
            </w:r>
            <w:r>
              <w:rPr>
                <w:rFonts w:hint="eastAsia" w:ascii="Times New Roman" w:hAnsi="Times New Roman" w:cs="Times New Roman"/>
                <w:color w:val="000000" w:themeColor="text1"/>
                <w:kern w:val="0"/>
                <w:sz w:val="24"/>
                <w:szCs w:val="24"/>
                <w14:textFill>
                  <w14:solidFill>
                    <w14:schemeClr w14:val="tx1"/>
                  </w14:solidFill>
                </w14:textFill>
              </w:rPr>
              <w:t>温度分辨力：</w:t>
            </w:r>
            <w:r>
              <w:rPr>
                <w:rFonts w:ascii="Times New Roman" w:hAnsi="Times New Roman" w:cs="Times New Roman"/>
                <w:color w:val="000000" w:themeColor="text1"/>
                <w:kern w:val="0"/>
                <w:sz w:val="24"/>
                <w:szCs w:val="24"/>
                <w14:textFill>
                  <w14:solidFill>
                    <w14:schemeClr w14:val="tx1"/>
                  </w14:solidFill>
                </w14:textFill>
              </w:rPr>
              <w:t>1℃</w:t>
            </w:r>
            <w:r>
              <w:rPr>
                <w:rFonts w:ascii="Times New Roman" w:hAnsi="Times New Roman" w:cs="Times New Roman"/>
                <w:color w:val="000000" w:themeColor="text1"/>
                <w:kern w:val="0"/>
                <w:sz w:val="24"/>
                <w:szCs w:val="24"/>
                <w14:textFill>
                  <w14:solidFill>
                    <w14:schemeClr w14:val="tx1"/>
                  </w14:solidFill>
                </w14:textFill>
              </w:rPr>
              <w:br w:type="textWrapping"/>
            </w:r>
            <w:r>
              <w:rPr>
                <w:rFonts w:hint="eastAsia" w:ascii="Times New Roman" w:hAnsi="Times New Roman" w:cs="Times New Roman"/>
                <w:color w:val="000000" w:themeColor="text1"/>
                <w:kern w:val="0"/>
                <w:sz w:val="24"/>
                <w:szCs w:val="24"/>
                <w14:textFill>
                  <w14:solidFill>
                    <w14:schemeClr w14:val="tx1"/>
                  </w14:solidFill>
                </w14:textFill>
              </w:rPr>
              <w:t>极限工作</w:t>
            </w:r>
            <w:r>
              <w:rPr>
                <w:rFonts w:ascii="Times New Roman" w:hAnsi="Times New Roman" w:cs="Times New Roman"/>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设计温度：</w:t>
            </w:r>
            <w:r>
              <w:rPr>
                <w:rFonts w:ascii="Times New Roman" w:hAnsi="Times New Roman" w:cs="Times New Roman"/>
                <w:color w:val="000000" w:themeColor="text1"/>
                <w:kern w:val="0"/>
                <w:sz w:val="24"/>
                <w:szCs w:val="24"/>
                <w14:textFill>
                  <w14:solidFill>
                    <w14:schemeClr w14:val="tx1"/>
                  </w14:solidFill>
                </w14:textFill>
              </w:rPr>
              <w:t>126℃/128℃</w:t>
            </w:r>
            <w:r>
              <w:rPr>
                <w:rFonts w:ascii="Times New Roman" w:hAnsi="Times New Roman" w:cs="Times New Roman"/>
                <w:color w:val="000000" w:themeColor="text1"/>
                <w:kern w:val="0"/>
                <w:sz w:val="24"/>
                <w:szCs w:val="24"/>
                <w14:textFill>
                  <w14:solidFill>
                    <w14:schemeClr w14:val="tx1"/>
                  </w14:solidFill>
                </w14:textFill>
              </w:rPr>
              <w:br w:type="textWrapping"/>
            </w:r>
            <w:r>
              <w:rPr>
                <w:rFonts w:hint="eastAsia" w:ascii="Times New Roman" w:hAnsi="Times New Roman" w:cs="Times New Roman"/>
                <w:color w:val="000000" w:themeColor="text1"/>
                <w:kern w:val="0"/>
                <w:sz w:val="24"/>
                <w:szCs w:val="24"/>
                <w14:textFill>
                  <w14:solidFill>
                    <w14:schemeClr w14:val="tx1"/>
                  </w14:solidFill>
                </w14:textFill>
              </w:rPr>
              <w:t>极限工作</w:t>
            </w:r>
            <w:r>
              <w:rPr>
                <w:rFonts w:ascii="Times New Roman" w:hAnsi="Times New Roman" w:cs="Times New Roman"/>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设计压力：</w:t>
            </w:r>
            <w:r>
              <w:rPr>
                <w:rFonts w:ascii="Times New Roman" w:hAnsi="Times New Roman" w:cs="Times New Roman"/>
                <w:color w:val="000000" w:themeColor="text1"/>
                <w:kern w:val="0"/>
                <w:sz w:val="24"/>
                <w:szCs w:val="24"/>
                <w14:textFill>
                  <w14:solidFill>
                    <w14:schemeClr w14:val="tx1"/>
                  </w14:solidFill>
                </w14:textFill>
              </w:rPr>
              <w:t>0.14MPa/0.165MPa</w:t>
            </w:r>
            <w:r>
              <w:rPr>
                <w:rFonts w:ascii="Times New Roman" w:hAnsi="Times New Roman" w:cs="Times New Roman"/>
                <w:color w:val="000000" w:themeColor="text1"/>
                <w:kern w:val="0"/>
                <w:sz w:val="24"/>
                <w:szCs w:val="24"/>
                <w14:textFill>
                  <w14:solidFill>
                    <w14:schemeClr w14:val="tx1"/>
                  </w14:solidFill>
                </w14:textFill>
              </w:rPr>
              <w:br w:type="textWrapping"/>
            </w:r>
            <w:r>
              <w:rPr>
                <w:rFonts w:hint="eastAsia" w:ascii="Times New Roman" w:hAnsi="Times New Roman" w:cs="Times New Roman"/>
                <w:color w:val="000000" w:themeColor="text1"/>
                <w:kern w:val="0"/>
                <w:sz w:val="24"/>
                <w:szCs w:val="24"/>
                <w14:textFill>
                  <w14:solidFill>
                    <w14:schemeClr w14:val="tx1"/>
                  </w14:solidFill>
                </w14:textFill>
              </w:rPr>
              <w:t>压力表显示范围：</w:t>
            </w:r>
            <w:r>
              <w:rPr>
                <w:rFonts w:ascii="Times New Roman" w:hAnsi="Times New Roman" w:cs="Times New Roman"/>
                <w:color w:val="000000" w:themeColor="text1"/>
                <w:kern w:val="0"/>
                <w:sz w:val="24"/>
                <w:szCs w:val="24"/>
                <w14:textFill>
                  <w14:solidFill>
                    <w14:schemeClr w14:val="tx1"/>
                  </w14:solidFill>
                </w14:textFill>
              </w:rPr>
              <w:t>0~0.25MPa</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2.5</w:t>
            </w:r>
            <w:r>
              <w:rPr>
                <w:rFonts w:hint="eastAsia" w:ascii="Times New Roman" w:hAnsi="Times New Roman" w:cs="Times New Roman"/>
                <w:color w:val="000000" w:themeColor="text1"/>
                <w:kern w:val="0"/>
                <w:sz w:val="24"/>
                <w:szCs w:val="24"/>
                <w14:textFill>
                  <w14:solidFill>
                    <w14:schemeClr w14:val="tx1"/>
                  </w14:solidFill>
                </w14:textFill>
              </w:rPr>
              <w:t>级）</w:t>
            </w:r>
            <w:r>
              <w:rPr>
                <w:rFonts w:ascii="Times New Roman" w:hAnsi="Times New Roman" w:cs="Times New Roman"/>
                <w:color w:val="000000" w:themeColor="text1"/>
                <w:kern w:val="0"/>
                <w:sz w:val="24"/>
                <w:szCs w:val="24"/>
                <w14:textFill>
                  <w14:solidFill>
                    <w14:schemeClr w14:val="tx1"/>
                  </w14:solidFill>
                </w14:textFill>
              </w:rPr>
              <w:br w:type="textWrapping"/>
            </w:r>
            <w:r>
              <w:rPr>
                <w:rFonts w:hint="eastAsia" w:ascii="Times New Roman" w:hAnsi="Times New Roman" w:cs="Times New Roman"/>
                <w:color w:val="000000" w:themeColor="text1"/>
                <w:kern w:val="0"/>
                <w:sz w:val="24"/>
                <w:szCs w:val="24"/>
                <w14:textFill>
                  <w14:solidFill>
                    <w14:schemeClr w14:val="tx1"/>
                  </w14:solidFill>
                </w14:textFill>
              </w:rPr>
              <w:t>定时范围（分钟）：</w:t>
            </w:r>
            <w:r>
              <w:rPr>
                <w:rFonts w:ascii="Times New Roman" w:hAnsi="Times New Roman" w:cs="Times New Roman"/>
                <w:color w:val="000000" w:themeColor="text1"/>
                <w:kern w:val="0"/>
                <w:sz w:val="24"/>
                <w:szCs w:val="24"/>
                <w14:textFill>
                  <w14:solidFill>
                    <w14:schemeClr w14:val="tx1"/>
                  </w14:solidFill>
                </w14:textFill>
              </w:rPr>
              <w:t>0-120min</w:t>
            </w:r>
            <w:r>
              <w:rPr>
                <w:rFonts w:ascii="Times New Roman" w:hAnsi="Times New Roman" w:cs="Times New Roman"/>
                <w:color w:val="000000" w:themeColor="text1"/>
                <w:kern w:val="0"/>
                <w:sz w:val="24"/>
                <w:szCs w:val="24"/>
                <w14:textFill>
                  <w14:solidFill>
                    <w14:schemeClr w14:val="tx1"/>
                  </w14:solidFill>
                </w14:textFill>
              </w:rPr>
              <w:br w:type="textWrapping"/>
            </w:r>
            <w:r>
              <w:rPr>
                <w:rFonts w:hint="eastAsia" w:ascii="Times New Roman" w:hAnsi="Times New Roman" w:cs="Times New Roman"/>
                <w:color w:val="000000" w:themeColor="text1"/>
                <w:kern w:val="0"/>
                <w:sz w:val="24"/>
                <w:szCs w:val="24"/>
                <w14:textFill>
                  <w14:solidFill>
                    <w14:schemeClr w14:val="tx1"/>
                  </w14:solidFill>
                </w14:textFill>
              </w:rPr>
              <w:t>外形尺寸</w:t>
            </w:r>
            <w:r>
              <w:rPr>
                <w:rFonts w:ascii="Times New Roman" w:hAnsi="Times New Roman" w:cs="Times New Roman"/>
                <w:color w:val="000000" w:themeColor="text1"/>
                <w:kern w:val="0"/>
                <w:sz w:val="24"/>
                <w:szCs w:val="24"/>
                <w14:textFill>
                  <w14:solidFill>
                    <w14:schemeClr w14:val="tx1"/>
                  </w14:solidFill>
                </w14:textFill>
              </w:rPr>
              <w:t>(mm)</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395×395×780mm</w:t>
            </w:r>
            <w:r>
              <w:rPr>
                <w:rFonts w:ascii="Times New Roman" w:hAnsi="Times New Roman" w:cs="Times New Roman"/>
                <w:color w:val="000000" w:themeColor="text1"/>
                <w:kern w:val="0"/>
                <w:sz w:val="24"/>
                <w:szCs w:val="24"/>
                <w14:textFill>
                  <w14:solidFill>
                    <w14:schemeClr w14:val="tx1"/>
                  </w14:solidFill>
                </w14:textFill>
              </w:rPr>
              <w:br w:type="textWrapping"/>
            </w:r>
            <w:r>
              <w:rPr>
                <w:rFonts w:hint="eastAsia" w:ascii="Times New Roman" w:hAnsi="Times New Roman" w:cs="Times New Roman"/>
                <w:color w:val="000000" w:themeColor="text1"/>
                <w:kern w:val="0"/>
                <w:sz w:val="24"/>
                <w:szCs w:val="24"/>
                <w14:textFill>
                  <w14:solidFill>
                    <w14:schemeClr w14:val="tx1"/>
                  </w14:solidFill>
                </w14:textFill>
              </w:rPr>
              <w:t>内腔尺寸</w:t>
            </w:r>
            <w:r>
              <w:rPr>
                <w:rFonts w:ascii="Times New Roman" w:hAnsi="Times New Roman" w:cs="Times New Roman"/>
                <w:color w:val="000000" w:themeColor="text1"/>
                <w:kern w:val="0"/>
                <w:sz w:val="24"/>
                <w:szCs w:val="24"/>
                <w14:textFill>
                  <w14:solidFill>
                    <w14:schemeClr w14:val="tx1"/>
                  </w14:solidFill>
                </w14:textFill>
              </w:rPr>
              <w:t>(mm)</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Φ300×420mm</w:t>
            </w:r>
            <w:r>
              <w:rPr>
                <w:rFonts w:ascii="Times New Roman" w:hAnsi="Times New Roman" w:cs="Times New Roman"/>
                <w:color w:val="000000" w:themeColor="text1"/>
                <w:kern w:val="0"/>
                <w:sz w:val="24"/>
                <w:szCs w:val="24"/>
                <w14:textFill>
                  <w14:solidFill>
                    <w14:schemeClr w14:val="tx1"/>
                  </w14:solidFill>
                </w14:textFill>
              </w:rPr>
              <w:br w:type="textWrapping"/>
            </w:r>
            <w:r>
              <w:rPr>
                <w:rFonts w:hint="eastAsia" w:ascii="Times New Roman" w:hAnsi="Times New Roman" w:cs="Times New Roman"/>
                <w:color w:val="000000" w:themeColor="text1"/>
                <w:kern w:val="0"/>
                <w:sz w:val="24"/>
                <w:szCs w:val="24"/>
                <w14:textFill>
                  <w14:solidFill>
                    <w14:schemeClr w14:val="tx1"/>
                  </w14:solidFill>
                </w14:textFill>
              </w:rPr>
              <w:t>提篮尺寸</w:t>
            </w:r>
            <w:r>
              <w:rPr>
                <w:rFonts w:ascii="Times New Roman" w:hAnsi="Times New Roman" w:cs="Times New Roman"/>
                <w:color w:val="000000" w:themeColor="text1"/>
                <w:kern w:val="0"/>
                <w:sz w:val="24"/>
                <w:szCs w:val="24"/>
                <w14:textFill>
                  <w14:solidFill>
                    <w14:schemeClr w14:val="tx1"/>
                  </w14:solidFill>
                </w14:textFill>
              </w:rPr>
              <w:t>(mm)</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Ф280×340×1</w:t>
            </w:r>
            <w:r>
              <w:rPr>
                <w:rFonts w:hint="eastAsia" w:ascii="Times New Roman" w:hAnsi="Times New Roman" w:cs="Times New Roman"/>
                <w:color w:val="000000" w:themeColor="text1"/>
                <w:kern w:val="0"/>
                <w:sz w:val="24"/>
                <w:szCs w:val="24"/>
                <w14:textFill>
                  <w14:solidFill>
                    <w14:schemeClr w14:val="tx1"/>
                  </w14:solidFill>
                </w14:textFill>
              </w:rPr>
              <w:t>个</w:t>
            </w:r>
            <w:r>
              <w:rPr>
                <w:rFonts w:ascii="Times New Roman" w:hAnsi="Times New Roman" w:cs="Times New Roman"/>
                <w:color w:val="000000" w:themeColor="text1"/>
                <w:kern w:val="0"/>
                <w:sz w:val="24"/>
                <w:szCs w:val="24"/>
                <w14:textFill>
                  <w14:solidFill>
                    <w14:schemeClr w14:val="tx1"/>
                  </w14:solidFill>
                </w14:textFill>
              </w:rPr>
              <w:br w:type="textWrapping"/>
            </w:r>
            <w:r>
              <w:rPr>
                <w:rFonts w:hint="eastAsia" w:ascii="Times New Roman" w:hAnsi="Times New Roman" w:cs="Times New Roman"/>
                <w:color w:val="000000" w:themeColor="text1"/>
                <w:kern w:val="0"/>
                <w:sz w:val="24"/>
                <w:szCs w:val="24"/>
                <w14:textFill>
                  <w14:solidFill>
                    <w14:schemeClr w14:val="tx1"/>
                  </w14:solidFill>
                </w14:textFill>
              </w:rPr>
              <w:t>使用高度</w:t>
            </w:r>
            <w:r>
              <w:rPr>
                <w:rFonts w:ascii="Times New Roman" w:hAnsi="Times New Roman" w:cs="Times New Roman"/>
                <w:color w:val="000000" w:themeColor="text1"/>
                <w:kern w:val="0"/>
                <w:sz w:val="24"/>
                <w:szCs w:val="24"/>
                <w14:textFill>
                  <w14:solidFill>
                    <w14:schemeClr w14:val="tx1"/>
                  </w14:solidFill>
                </w14:textFill>
              </w:rPr>
              <w:t>(mm)</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360</w:t>
            </w:r>
          </w:p>
        </w:tc>
        <w:tc>
          <w:tcPr>
            <w:tcW w:w="706" w:type="dxa"/>
            <w:vAlign w:val="center"/>
          </w:tcPr>
          <w:p w14:paraId="2C228DA6">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台</w:t>
            </w:r>
          </w:p>
        </w:tc>
        <w:tc>
          <w:tcPr>
            <w:tcW w:w="716" w:type="dxa"/>
            <w:vAlign w:val="center"/>
          </w:tcPr>
          <w:p w14:paraId="39E16A84">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2</w:t>
            </w:r>
          </w:p>
        </w:tc>
        <w:tc>
          <w:tcPr>
            <w:tcW w:w="716" w:type="dxa"/>
          </w:tcPr>
          <w:p w14:paraId="67DF7189">
            <w:pPr>
              <w:spacing w:line="240" w:lineRule="auto"/>
              <w:ind w:firstLine="0" w:firstLineChars="0"/>
              <w:jc w:val="both"/>
              <w:rPr>
                <w:rFonts w:ascii="仿宋" w:hAnsi="仿宋" w:eastAsia="仿宋" w:cs="仿宋"/>
                <w:kern w:val="0"/>
                <w:sz w:val="24"/>
                <w:szCs w:val="24"/>
              </w:rPr>
            </w:pPr>
          </w:p>
        </w:tc>
      </w:tr>
      <w:tr w14:paraId="2813E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5188E38">
            <w:pPr>
              <w:spacing w:line="240" w:lineRule="auto"/>
              <w:ind w:firstLine="0" w:firstLineChars="0"/>
              <w:jc w:val="both"/>
              <w:rPr>
                <w:rFonts w:ascii="仿宋" w:hAnsi="仿宋" w:eastAsia="仿宋" w:cs="仿宋"/>
                <w:kern w:val="0"/>
                <w:sz w:val="24"/>
                <w:szCs w:val="24"/>
              </w:rPr>
            </w:pPr>
            <w:r>
              <w:rPr>
                <w:rFonts w:hint="eastAsia" w:ascii="仿宋" w:hAnsi="仿宋" w:eastAsia="仿宋" w:cs="宋体"/>
                <w:color w:val="000000" w:themeColor="text1"/>
                <w:kern w:val="0"/>
                <w:sz w:val="24"/>
                <w:szCs w:val="24"/>
                <w14:textFill>
                  <w14:solidFill>
                    <w14:schemeClr w14:val="tx1"/>
                  </w14:solidFill>
                </w14:textFill>
              </w:rPr>
              <w:t>9</w:t>
            </w:r>
          </w:p>
        </w:tc>
        <w:tc>
          <w:tcPr>
            <w:tcW w:w="845" w:type="dxa"/>
            <w:vAlign w:val="center"/>
          </w:tcPr>
          <w:p w14:paraId="57E2005B">
            <w:pPr>
              <w:spacing w:line="240" w:lineRule="auto"/>
              <w:ind w:firstLine="0" w:firstLineChars="0"/>
              <w:jc w:val="both"/>
              <w:rPr>
                <w:rFonts w:ascii="宋体" w:hAnsi="宋体" w:cs="仿宋"/>
                <w:kern w:val="0"/>
                <w:sz w:val="24"/>
                <w:szCs w:val="24"/>
              </w:rPr>
            </w:pPr>
            <w:r>
              <w:rPr>
                <w:rFonts w:hint="eastAsia" w:ascii="宋体" w:hAnsi="宋体" w:cs="宋体"/>
                <w:color w:val="000000" w:themeColor="text1"/>
                <w:kern w:val="0"/>
                <w:sz w:val="24"/>
                <w:szCs w:val="24"/>
                <w14:textFill>
                  <w14:solidFill>
                    <w14:schemeClr w14:val="tx1"/>
                  </w14:solidFill>
                </w14:textFill>
              </w:rPr>
              <w:t>立式大容量全温振荡培养箱</w:t>
            </w:r>
          </w:p>
        </w:tc>
        <w:tc>
          <w:tcPr>
            <w:tcW w:w="6278" w:type="dxa"/>
            <w:vAlign w:val="top"/>
          </w:tcPr>
          <w:p w14:paraId="6DD068ED">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人性化设计</w:t>
            </w:r>
          </w:p>
          <w:p w14:paraId="24BD06AC">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集培养箱、振荡器于一体，占地小，载瓶量大；</w:t>
            </w:r>
          </w:p>
          <w:p w14:paraId="6D92DDDA">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大屏幕液晶显示屏，菜单式操作界面，简单易懂；</w:t>
            </w:r>
          </w:p>
          <w:p w14:paraId="197A0326">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全新无氟设计，使你始终走在健康生活的前面；</w:t>
            </w:r>
          </w:p>
          <w:p w14:paraId="3AF69729">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大屏幕钢化隔热观察窗，即清晰地在仪器运行观察样本的状态同时具有良好的隔热效果；</w:t>
            </w:r>
          </w:p>
          <w:p w14:paraId="44B0F75C">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多种专用摇架和夹具可供选择，摇架和夹具更换非常简便，大大提高了工作效率；</w:t>
            </w:r>
          </w:p>
          <w:p w14:paraId="305BAF74">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箱体内胆、振动台面和搁板均采用</w:t>
            </w:r>
            <w:r>
              <w:rPr>
                <w:rFonts w:ascii="Times New Roman" w:hAnsi="Times New Roman" w:cs="Times New Roman"/>
                <w:color w:val="000000" w:themeColor="text1"/>
                <w:kern w:val="0"/>
                <w:sz w:val="24"/>
                <w:szCs w:val="24"/>
                <w14:textFill>
                  <w14:solidFill>
                    <w14:schemeClr w14:val="tx1"/>
                  </w14:solidFill>
                </w14:textFill>
              </w:rPr>
              <w:t>304</w:t>
            </w:r>
            <w:r>
              <w:rPr>
                <w:rFonts w:hint="eastAsia" w:ascii="Times New Roman" w:hAnsi="Times New Roman" w:cs="Times New Roman"/>
                <w:color w:val="000000" w:themeColor="text1"/>
                <w:kern w:val="0"/>
                <w:sz w:val="24"/>
                <w:szCs w:val="24"/>
                <w14:textFill>
                  <w14:solidFill>
                    <w14:schemeClr w14:val="tx1"/>
                  </w14:solidFill>
                </w14:textFill>
              </w:rPr>
              <w:t>不锈钢材料，便于清洗；</w:t>
            </w:r>
          </w:p>
          <w:p w14:paraId="32C67770">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箱体左侧配有直径为</w:t>
            </w:r>
            <w:r>
              <w:rPr>
                <w:rFonts w:ascii="Times New Roman" w:hAnsi="Times New Roman" w:cs="Times New Roman"/>
                <w:color w:val="000000" w:themeColor="text1"/>
                <w:kern w:val="0"/>
                <w:sz w:val="24"/>
                <w:szCs w:val="24"/>
                <w14:textFill>
                  <w14:solidFill>
                    <w14:schemeClr w14:val="tx1"/>
                  </w14:solidFill>
                </w14:textFill>
              </w:rPr>
              <w:t>25mm</w:t>
            </w:r>
            <w:r>
              <w:rPr>
                <w:rFonts w:hint="eastAsia" w:ascii="Times New Roman" w:hAnsi="Times New Roman" w:cs="Times New Roman"/>
                <w:color w:val="000000" w:themeColor="text1"/>
                <w:kern w:val="0"/>
                <w:sz w:val="24"/>
                <w:szCs w:val="24"/>
                <w14:textFill>
                  <w14:solidFill>
                    <w14:schemeClr w14:val="tx1"/>
                  </w14:solidFill>
                </w14:textFill>
              </w:rPr>
              <w:t>测试孔，可根据放置场所需要而任意布线；</w:t>
            </w:r>
          </w:p>
          <w:p w14:paraId="5FD80484">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品质保证</w:t>
            </w:r>
          </w:p>
          <w:p w14:paraId="4C2003A1">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用户设定的参数可以在突然停电的情况下自动储存，并在通电后运行原设定程序；</w:t>
            </w:r>
          </w:p>
          <w:p w14:paraId="1368EEE9">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采用微电脑</w:t>
            </w:r>
            <w:r>
              <w:rPr>
                <w:rFonts w:ascii="Times New Roman" w:hAnsi="Times New Roman" w:cs="Times New Roman"/>
                <w:color w:val="000000" w:themeColor="text1"/>
                <w:kern w:val="0"/>
                <w:sz w:val="24"/>
                <w:szCs w:val="24"/>
                <w14:textFill>
                  <w14:solidFill>
                    <w14:schemeClr w14:val="tx1"/>
                  </w14:solidFill>
                </w14:textFill>
              </w:rPr>
              <w:t>PID</w:t>
            </w:r>
            <w:r>
              <w:rPr>
                <w:rFonts w:hint="eastAsia" w:ascii="Times New Roman" w:hAnsi="Times New Roman" w:cs="Times New Roman"/>
                <w:color w:val="000000" w:themeColor="text1"/>
                <w:kern w:val="0"/>
                <w:sz w:val="24"/>
                <w:szCs w:val="24"/>
                <w14:textFill>
                  <w14:solidFill>
                    <w14:schemeClr w14:val="tx1"/>
                  </w14:solidFill>
                </w14:textFill>
              </w:rPr>
              <w:t>控制温度和振荡频率，带有定时功能；</w:t>
            </w:r>
          </w:p>
          <w:p w14:paraId="7A8C764F">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压缩机和循环风扇等关键零部件均采用品牌产品，环保无氟制冷剂；</w:t>
            </w:r>
          </w:p>
          <w:p w14:paraId="3C79C9BC">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连续运行保证</w:t>
            </w:r>
          </w:p>
          <w:p w14:paraId="5C124C32">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低散热无碳刷直流电机，启动转矩大，调速宽、免保养、突破现有国产振荡器无法长时间连续运行的缺陷；</w:t>
            </w:r>
          </w:p>
          <w:p w14:paraId="1EFAF92C">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安全功能</w:t>
            </w:r>
          </w:p>
          <w:p w14:paraId="52A887FD">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箱门开启时，微风循环、加热和摇床自动停止，无温度过冲之弊；</w:t>
            </w:r>
          </w:p>
          <w:p w14:paraId="1AC595A7">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控制转速电路，能确保摇床平稳启动，并能防止液体溅出而造成仪器损坏；</w:t>
            </w:r>
          </w:p>
          <w:p w14:paraId="3E086E6F">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独立限温报警系统，超过限制温度后自动切断加热，保证安全运行不发生意外；</w:t>
            </w:r>
          </w:p>
          <w:p w14:paraId="7E22DE00">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循环风扇速度大小自动控制，可避免试验过程中，由于循环风扇过快而造成样品挥发；</w:t>
            </w:r>
          </w:p>
          <w:p w14:paraId="02489005">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可配</w:t>
            </w:r>
            <w:r>
              <w:rPr>
                <w:rFonts w:ascii="Times New Roman" w:hAnsi="Times New Roman" w:cs="Times New Roman"/>
                <w:color w:val="000000" w:themeColor="text1"/>
                <w:kern w:val="0"/>
                <w:sz w:val="24"/>
                <w:szCs w:val="24"/>
                <w14:textFill>
                  <w14:solidFill>
                    <w14:schemeClr w14:val="tx1"/>
                  </w14:solidFill>
                </w14:textFill>
              </w:rPr>
              <w:t>RS-485</w:t>
            </w:r>
            <w:r>
              <w:rPr>
                <w:rFonts w:hint="eastAsia" w:ascii="Times New Roman" w:hAnsi="Times New Roman" w:cs="Times New Roman"/>
                <w:color w:val="000000" w:themeColor="text1"/>
                <w:kern w:val="0"/>
                <w:sz w:val="24"/>
                <w:szCs w:val="24"/>
                <w14:textFill>
                  <w14:solidFill>
                    <w14:schemeClr w14:val="tx1"/>
                  </w14:solidFill>
                </w14:textFill>
              </w:rPr>
              <w:t>接口和</w:t>
            </w:r>
            <w:r>
              <w:rPr>
                <w:rFonts w:ascii="Times New Roman" w:hAnsi="Times New Roman" w:cs="Times New Roman"/>
                <w:color w:val="000000" w:themeColor="text1"/>
                <w:kern w:val="0"/>
                <w:sz w:val="24"/>
                <w:szCs w:val="24"/>
                <w14:textFill>
                  <w14:solidFill>
                    <w14:schemeClr w14:val="tx1"/>
                  </w14:solidFill>
                </w14:textFill>
              </w:rPr>
              <w:t>USB</w:t>
            </w:r>
            <w:r>
              <w:rPr>
                <w:rFonts w:hint="eastAsia" w:ascii="Times New Roman" w:hAnsi="Times New Roman" w:cs="Times New Roman"/>
                <w:color w:val="000000" w:themeColor="text1"/>
                <w:kern w:val="0"/>
                <w:sz w:val="24"/>
                <w:szCs w:val="24"/>
                <w14:textFill>
                  <w14:solidFill>
                    <w14:schemeClr w14:val="tx1"/>
                  </w14:solidFill>
                </w14:textFill>
              </w:rPr>
              <w:t>数据转移接口（</w:t>
            </w:r>
            <w:r>
              <w:rPr>
                <w:rFonts w:ascii="Times New Roman" w:hAnsi="Times New Roman" w:cs="Times New Roman"/>
                <w:color w:val="000000" w:themeColor="text1"/>
                <w:kern w:val="0"/>
                <w:sz w:val="24"/>
                <w:szCs w:val="24"/>
                <w14:textFill>
                  <w14:solidFill>
                    <w14:schemeClr w14:val="tx1"/>
                  </w14:solidFill>
                </w14:textFill>
              </w:rPr>
              <w:t>U</w:t>
            </w:r>
            <w:r>
              <w:rPr>
                <w:rFonts w:hint="eastAsia" w:ascii="Times New Roman" w:hAnsi="Times New Roman" w:cs="Times New Roman"/>
                <w:color w:val="000000" w:themeColor="text1"/>
                <w:kern w:val="0"/>
                <w:sz w:val="24"/>
                <w:szCs w:val="24"/>
                <w14:textFill>
                  <w14:solidFill>
                    <w14:schemeClr w14:val="tx1"/>
                  </w14:solidFill>
                </w14:textFill>
              </w:rPr>
              <w:t>盘），通过连接电脑，监测温度、转速、时间和报警；（选配）</w:t>
            </w:r>
          </w:p>
          <w:p w14:paraId="48A1EB33">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多段可编程控制（选配）</w:t>
            </w:r>
          </w:p>
          <w:p w14:paraId="246D0CDC">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多段温度、速度、时间同步编程，普通和编程运行模式可选，预置值和运行值同时显示，可以简化复杂的培养要求，真正实现自动控制和运行；</w:t>
            </w:r>
          </w:p>
          <w:p w14:paraId="6175C3A0">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自我诊断功能</w:t>
            </w:r>
          </w:p>
          <w:p w14:paraId="234E355E">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当振荡培养箱发生故障时，液晶显示屏会出现故障信息，振荡培养箱运行故障一目了然；</w:t>
            </w:r>
          </w:p>
          <w:p w14:paraId="312D0CF7">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三偏心轴平衡驱动</w:t>
            </w:r>
          </w:p>
          <w:p w14:paraId="47C4D235">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三偏心轴平衡驱动工艺，确保在振荡托盘上的样品都以同样的转速振荡。承重耐用的结构设计保证了我们的振荡器甚至在满载，高速的状态下也</w:t>
            </w:r>
          </w:p>
          <w:p w14:paraId="537336A3">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能表现出强劲的功率；</w:t>
            </w:r>
          </w:p>
          <w:p w14:paraId="30156708">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方便的数据处理（选配）</w:t>
            </w:r>
          </w:p>
          <w:p w14:paraId="51F115D7">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可连接打印机或</w:t>
            </w:r>
            <w:r>
              <w:rPr>
                <w:rFonts w:ascii="Times New Roman" w:hAnsi="Times New Roman" w:cs="Times New Roman"/>
                <w:color w:val="000000" w:themeColor="text1"/>
                <w:kern w:val="0"/>
                <w:sz w:val="24"/>
                <w:szCs w:val="24"/>
                <w14:textFill>
                  <w14:solidFill>
                    <w14:schemeClr w14:val="tx1"/>
                  </w14:solidFill>
                </w14:textFill>
              </w:rPr>
              <w:t>485</w:t>
            </w:r>
            <w:r>
              <w:rPr>
                <w:rFonts w:hint="eastAsia" w:ascii="Times New Roman" w:hAnsi="Times New Roman" w:cs="Times New Roman"/>
                <w:color w:val="000000" w:themeColor="text1"/>
                <w:kern w:val="0"/>
                <w:sz w:val="24"/>
                <w:szCs w:val="24"/>
                <w14:textFill>
                  <w14:solidFill>
                    <w14:schemeClr w14:val="tx1"/>
                  </w14:solidFill>
                </w14:textFill>
              </w:rPr>
              <w:t>通讯接口，用电脑和打印机记录温度和时间曲线，为试验过程数据储存与回放提供有力保证；</w:t>
            </w:r>
          </w:p>
          <w:p w14:paraId="62E34D89">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技术参数：</w:t>
            </w:r>
          </w:p>
          <w:p w14:paraId="0A6A4F92">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电源：</w:t>
            </w:r>
            <w:r>
              <w:rPr>
                <w:rFonts w:ascii="Times New Roman" w:hAnsi="Times New Roman" w:cs="Times New Roman"/>
                <w:color w:val="000000" w:themeColor="text1"/>
                <w:kern w:val="0"/>
                <w:sz w:val="24"/>
                <w:szCs w:val="24"/>
                <w14:textFill>
                  <w14:solidFill>
                    <w14:schemeClr w14:val="tx1"/>
                  </w14:solidFill>
                </w14:textFill>
              </w:rPr>
              <w:t>AC220V 50HZ</w:t>
            </w:r>
          </w:p>
          <w:p w14:paraId="347FE98A">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空载振荡频率：</w:t>
            </w:r>
            <w:r>
              <w:rPr>
                <w:rFonts w:ascii="Times New Roman" w:hAnsi="Times New Roman" w:cs="Times New Roman"/>
                <w:color w:val="000000" w:themeColor="text1"/>
                <w:kern w:val="0"/>
                <w:sz w:val="24"/>
                <w:szCs w:val="24"/>
                <w14:textFill>
                  <w14:solidFill>
                    <w14:schemeClr w14:val="tx1"/>
                  </w14:solidFill>
                </w14:textFill>
              </w:rPr>
              <w:t>10</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300 rpm</w:t>
            </w:r>
          </w:p>
          <w:p w14:paraId="0C52286F">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振幅：</w:t>
            </w:r>
            <w:r>
              <w:rPr>
                <w:rFonts w:ascii="Times New Roman" w:hAnsi="Times New Roman" w:cs="Times New Roman"/>
                <w:color w:val="000000" w:themeColor="text1"/>
                <w:kern w:val="0"/>
                <w:sz w:val="24"/>
                <w:szCs w:val="24"/>
                <w14:textFill>
                  <w14:solidFill>
                    <w14:schemeClr w14:val="tx1"/>
                  </w14:solidFill>
                </w14:textFill>
              </w:rPr>
              <w:t>26mm</w:t>
            </w:r>
          </w:p>
          <w:p w14:paraId="40430778">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控温范围：</w:t>
            </w:r>
            <w:r>
              <w:rPr>
                <w:rFonts w:ascii="Times New Roman" w:hAnsi="Times New Roman" w:cs="Times New Roman"/>
                <w:color w:val="000000" w:themeColor="text1"/>
                <w:kern w:val="0"/>
                <w:sz w:val="24"/>
                <w:szCs w:val="24"/>
                <w14:textFill>
                  <w14:solidFill>
                    <w14:schemeClr w14:val="tx1"/>
                  </w14:solidFill>
                </w14:textFill>
              </w:rPr>
              <w:t>4</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65℃</w:t>
            </w:r>
          </w:p>
          <w:p w14:paraId="200E26FA">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温度波动度：</w:t>
            </w:r>
            <w:r>
              <w:rPr>
                <w:rFonts w:ascii="Times New Roman" w:hAnsi="Times New Roman" w:cs="Times New Roman"/>
                <w:color w:val="000000" w:themeColor="text1"/>
                <w:kern w:val="0"/>
                <w:sz w:val="24"/>
                <w:szCs w:val="24"/>
                <w14:textFill>
                  <w14:solidFill>
                    <w14:schemeClr w14:val="tx1"/>
                  </w14:solidFill>
                </w14:textFill>
              </w:rPr>
              <w:t>±0.2℃</w:t>
            </w:r>
            <w:r>
              <w:rPr>
                <w:rFonts w:hint="eastAsia" w:ascii="Times New Roman" w:hAnsi="Times New Roman" w:cs="Times New Roman"/>
                <w:color w:val="000000" w:themeColor="text1"/>
                <w:kern w:val="0"/>
                <w:sz w:val="24"/>
                <w:szCs w:val="24"/>
                <w14:textFill>
                  <w14:solidFill>
                    <w14:schemeClr w14:val="tx1"/>
                  </w14:solidFill>
                </w14:textFill>
              </w:rPr>
              <w:t>（测试点为</w:t>
            </w:r>
            <w:r>
              <w:rPr>
                <w:rFonts w:ascii="Times New Roman" w:hAnsi="Times New Roman" w:cs="Times New Roman"/>
                <w:color w:val="000000" w:themeColor="text1"/>
                <w:kern w:val="0"/>
                <w:sz w:val="24"/>
                <w:szCs w:val="24"/>
                <w14:textFill>
                  <w14:solidFill>
                    <w14:schemeClr w14:val="tx1"/>
                  </w14:solidFill>
                </w14:textFill>
              </w:rPr>
              <w:t>37℃</w:t>
            </w:r>
            <w:r>
              <w:rPr>
                <w:rFonts w:hint="eastAsia" w:ascii="Times New Roman" w:hAnsi="Times New Roman" w:cs="Times New Roman"/>
                <w:color w:val="000000" w:themeColor="text1"/>
                <w:kern w:val="0"/>
                <w:sz w:val="24"/>
                <w:szCs w:val="24"/>
                <w14:textFill>
                  <w14:solidFill>
                    <w14:schemeClr w14:val="tx1"/>
                  </w14:solidFill>
                </w14:textFill>
              </w:rPr>
              <w:t>）</w:t>
            </w:r>
          </w:p>
          <w:p w14:paraId="521CFF43">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温度均匀度：</w:t>
            </w:r>
            <w:r>
              <w:rPr>
                <w:rFonts w:ascii="Times New Roman" w:hAnsi="Times New Roman" w:cs="Times New Roman"/>
                <w:color w:val="000000" w:themeColor="text1"/>
                <w:kern w:val="0"/>
                <w:sz w:val="24"/>
                <w:szCs w:val="24"/>
                <w14:textFill>
                  <w14:solidFill>
                    <w14:schemeClr w14:val="tx1"/>
                  </w14:solidFill>
                </w14:textFill>
              </w:rPr>
              <w:t>±1℃</w:t>
            </w:r>
            <w:r>
              <w:rPr>
                <w:rFonts w:hint="eastAsia" w:ascii="Times New Roman" w:hAnsi="Times New Roman" w:cs="Times New Roman"/>
                <w:color w:val="000000" w:themeColor="text1"/>
                <w:kern w:val="0"/>
                <w:sz w:val="24"/>
                <w:szCs w:val="24"/>
                <w14:textFill>
                  <w14:solidFill>
                    <w14:schemeClr w14:val="tx1"/>
                  </w14:solidFill>
                </w14:textFill>
              </w:rPr>
              <w:t>（测试点为</w:t>
            </w:r>
            <w:r>
              <w:rPr>
                <w:rFonts w:ascii="Times New Roman" w:hAnsi="Times New Roman" w:cs="Times New Roman"/>
                <w:color w:val="000000" w:themeColor="text1"/>
                <w:kern w:val="0"/>
                <w:sz w:val="24"/>
                <w:szCs w:val="24"/>
                <w14:textFill>
                  <w14:solidFill>
                    <w14:schemeClr w14:val="tx1"/>
                  </w14:solidFill>
                </w14:textFill>
              </w:rPr>
              <w:t>37℃</w:t>
            </w:r>
            <w:r>
              <w:rPr>
                <w:rFonts w:hint="eastAsia" w:ascii="Times New Roman" w:hAnsi="Times New Roman" w:cs="Times New Roman"/>
                <w:color w:val="000000" w:themeColor="text1"/>
                <w:kern w:val="0"/>
                <w:sz w:val="24"/>
                <w:szCs w:val="24"/>
                <w14:textFill>
                  <w14:solidFill>
                    <w14:schemeClr w14:val="tx1"/>
                  </w14:solidFill>
                </w14:textFill>
              </w:rPr>
              <w:t>）</w:t>
            </w:r>
          </w:p>
          <w:p w14:paraId="15B9BE29">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定时范围：</w:t>
            </w:r>
            <w:r>
              <w:rPr>
                <w:rFonts w:ascii="Times New Roman" w:hAnsi="Times New Roman" w:cs="Times New Roman"/>
                <w:color w:val="000000" w:themeColor="text1"/>
                <w:kern w:val="0"/>
                <w:sz w:val="24"/>
                <w:szCs w:val="24"/>
                <w14:textFill>
                  <w14:solidFill>
                    <w14:schemeClr w14:val="tx1"/>
                  </w14:solidFill>
                </w14:textFill>
              </w:rPr>
              <w:t>0</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999.9</w:t>
            </w:r>
            <w:r>
              <w:rPr>
                <w:rFonts w:hint="eastAsia" w:ascii="Times New Roman" w:hAnsi="Times New Roman" w:cs="Times New Roman"/>
                <w:color w:val="000000" w:themeColor="text1"/>
                <w:kern w:val="0"/>
                <w:sz w:val="24"/>
                <w:szCs w:val="24"/>
                <w14:textFill>
                  <w14:solidFill>
                    <w14:schemeClr w14:val="tx1"/>
                  </w14:solidFill>
                </w14:textFill>
              </w:rPr>
              <w:t>小时</w:t>
            </w:r>
          </w:p>
          <w:p w14:paraId="41F828F0">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输入功率：</w:t>
            </w:r>
            <w:r>
              <w:rPr>
                <w:rFonts w:ascii="Times New Roman" w:hAnsi="Times New Roman" w:cs="Times New Roman"/>
                <w:color w:val="000000" w:themeColor="text1"/>
                <w:kern w:val="0"/>
                <w:sz w:val="24"/>
                <w:szCs w:val="24"/>
                <w14:textFill>
                  <w14:solidFill>
                    <w14:schemeClr w14:val="tx1"/>
                  </w14:solidFill>
                </w14:textFill>
              </w:rPr>
              <w:t>2250W</w:t>
            </w:r>
          </w:p>
          <w:p w14:paraId="5E7269F9">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标配烧瓶夹（</w:t>
            </w:r>
            <w:r>
              <w:rPr>
                <w:rFonts w:ascii="Times New Roman" w:hAnsi="Times New Roman" w:cs="Times New Roman"/>
                <w:color w:val="000000" w:themeColor="text1"/>
                <w:kern w:val="0"/>
                <w:sz w:val="24"/>
                <w:szCs w:val="24"/>
                <w14:textFill>
                  <w14:solidFill>
                    <w14:schemeClr w14:val="tx1"/>
                  </w14:solidFill>
                </w14:textFill>
              </w:rPr>
              <w:t>ml</w:t>
            </w:r>
            <w:r>
              <w:rPr>
                <w:rFonts w:hint="eastAsia" w:ascii="Times New Roman" w:hAnsi="Times New Roman" w:cs="Times New Roman"/>
                <w:color w:val="000000" w:themeColor="text1"/>
                <w:kern w:val="0"/>
                <w:sz w:val="24"/>
                <w:szCs w:val="24"/>
                <w14:textFill>
                  <w14:solidFill>
                    <w14:schemeClr w14:val="tx1"/>
                  </w14:solidFill>
                </w14:textFill>
              </w:rPr>
              <w:t>）：单层</w:t>
            </w:r>
            <w:r>
              <w:rPr>
                <w:rFonts w:ascii="Times New Roman" w:hAnsi="Times New Roman" w:cs="Times New Roman"/>
                <w:color w:val="000000" w:themeColor="text1"/>
                <w:kern w:val="0"/>
                <w:sz w:val="24"/>
                <w:szCs w:val="24"/>
                <w14:textFill>
                  <w14:solidFill>
                    <w14:schemeClr w14:val="tx1"/>
                  </w14:solidFill>
                </w14:textFill>
              </w:rPr>
              <w:t>250ml×50</w:t>
            </w:r>
            <w:r>
              <w:rPr>
                <w:rFonts w:hint="eastAsia" w:ascii="Times New Roman" w:hAnsi="Times New Roman" w:cs="Times New Roman"/>
                <w:color w:val="000000" w:themeColor="text1"/>
                <w:kern w:val="0"/>
                <w:sz w:val="24"/>
                <w:szCs w:val="24"/>
                <w14:textFill>
                  <w14:solidFill>
                    <w14:schemeClr w14:val="tx1"/>
                  </w14:solidFill>
                </w14:textFill>
              </w:rPr>
              <w:t>只或</w:t>
            </w:r>
            <w:r>
              <w:rPr>
                <w:rFonts w:ascii="Times New Roman" w:hAnsi="Times New Roman" w:cs="Times New Roman"/>
                <w:color w:val="000000" w:themeColor="text1"/>
                <w:kern w:val="0"/>
                <w:sz w:val="24"/>
                <w:szCs w:val="24"/>
                <w14:textFill>
                  <w14:solidFill>
                    <w14:schemeClr w14:val="tx1"/>
                  </w14:solidFill>
                </w14:textFill>
              </w:rPr>
              <w:t>500ml×32</w:t>
            </w:r>
            <w:r>
              <w:rPr>
                <w:rFonts w:hint="eastAsia" w:ascii="Times New Roman" w:hAnsi="Times New Roman" w:cs="Times New Roman"/>
                <w:color w:val="000000" w:themeColor="text1"/>
                <w:kern w:val="0"/>
                <w:sz w:val="24"/>
                <w:szCs w:val="24"/>
                <w14:textFill>
                  <w14:solidFill>
                    <w14:schemeClr w14:val="tx1"/>
                  </w14:solidFill>
                </w14:textFill>
              </w:rPr>
              <w:t>或</w:t>
            </w:r>
            <w:r>
              <w:rPr>
                <w:rFonts w:ascii="Times New Roman" w:hAnsi="Times New Roman" w:cs="Times New Roman"/>
                <w:color w:val="000000" w:themeColor="text1"/>
                <w:kern w:val="0"/>
                <w:sz w:val="24"/>
                <w:szCs w:val="24"/>
                <w14:textFill>
                  <w14:solidFill>
                    <w14:schemeClr w14:val="tx1"/>
                  </w14:solidFill>
                </w14:textFill>
              </w:rPr>
              <w:t>1000ml×18</w:t>
            </w:r>
            <w:r>
              <w:rPr>
                <w:rFonts w:hint="eastAsia" w:ascii="Times New Roman" w:hAnsi="Times New Roman" w:cs="Times New Roman"/>
                <w:color w:val="000000" w:themeColor="text1"/>
                <w:kern w:val="0"/>
                <w:sz w:val="24"/>
                <w:szCs w:val="24"/>
                <w14:textFill>
                  <w14:solidFill>
                    <w14:schemeClr w14:val="tx1"/>
                  </w14:solidFill>
                </w14:textFill>
              </w:rPr>
              <w:t>或</w:t>
            </w:r>
            <w:r>
              <w:rPr>
                <w:rFonts w:ascii="Times New Roman" w:hAnsi="Times New Roman" w:cs="Times New Roman"/>
                <w:color w:val="000000" w:themeColor="text1"/>
                <w:kern w:val="0"/>
                <w:sz w:val="24"/>
                <w:szCs w:val="24"/>
                <w14:textFill>
                  <w14:solidFill>
                    <w14:schemeClr w14:val="tx1"/>
                  </w14:solidFill>
                </w14:textFill>
              </w:rPr>
              <w:t>2000ml×10</w:t>
            </w:r>
            <w:r>
              <w:rPr>
                <w:rFonts w:hint="eastAsia" w:ascii="Times New Roman" w:hAnsi="Times New Roman" w:cs="Times New Roman"/>
                <w:color w:val="000000" w:themeColor="text1"/>
                <w:kern w:val="0"/>
                <w:sz w:val="24"/>
                <w:szCs w:val="24"/>
                <w14:textFill>
                  <w14:solidFill>
                    <w14:schemeClr w14:val="tx1"/>
                  </w14:solidFill>
                </w14:textFill>
              </w:rPr>
              <w:t>，共两层</w:t>
            </w:r>
          </w:p>
          <w:p w14:paraId="4C94A128">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托盘尺寸</w:t>
            </w:r>
            <w:r>
              <w:rPr>
                <w:rFonts w:ascii="Times New Roman" w:hAnsi="Times New Roman" w:cs="Times New Roman"/>
                <w:color w:val="000000" w:themeColor="text1"/>
                <w:kern w:val="0"/>
                <w:sz w:val="24"/>
                <w:szCs w:val="24"/>
                <w14:textFill>
                  <w14:solidFill>
                    <w14:schemeClr w14:val="tx1"/>
                  </w14:solidFill>
                </w14:textFill>
              </w:rPr>
              <w:t>W×D</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mm</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986×455(</w:t>
            </w:r>
            <w:r>
              <w:rPr>
                <w:rFonts w:hint="eastAsia" w:ascii="Times New Roman" w:hAnsi="Times New Roman" w:cs="Times New Roman"/>
                <w:color w:val="000000" w:themeColor="text1"/>
                <w:kern w:val="0"/>
                <w:sz w:val="24"/>
                <w:szCs w:val="24"/>
                <w14:textFill>
                  <w14:solidFill>
                    <w14:schemeClr w14:val="tx1"/>
                  </w14:solidFill>
                </w14:textFill>
              </w:rPr>
              <w:t>双层</w:t>
            </w:r>
            <w:r>
              <w:rPr>
                <w:rFonts w:ascii="Times New Roman" w:hAnsi="Times New Roman" w:cs="Times New Roman"/>
                <w:color w:val="000000" w:themeColor="text1"/>
                <w:kern w:val="0"/>
                <w:sz w:val="24"/>
                <w:szCs w:val="24"/>
                <w14:textFill>
                  <w14:solidFill>
                    <w14:schemeClr w14:val="tx1"/>
                  </w14:solidFill>
                </w14:textFill>
              </w:rPr>
              <w:t>)</w:t>
            </w:r>
          </w:p>
          <w:p w14:paraId="0D6DF404">
            <w:pPr>
              <w:spacing w:line="240" w:lineRule="auto"/>
              <w:ind w:firstLine="0" w:firstLineChars="0"/>
              <w:jc w:val="both"/>
              <w:rPr>
                <w:rFonts w:hint="eastAsia" w:ascii="宋体" w:hAnsi="宋体" w:eastAsia="宋体" w:cs="宋体"/>
                <w:color w:val="auto"/>
                <w:kern w:val="0"/>
                <w:sz w:val="24"/>
                <w:szCs w:val="24"/>
              </w:rPr>
            </w:pPr>
            <w:r>
              <w:rPr>
                <w:rFonts w:hint="eastAsia" w:ascii="Times New Roman" w:hAnsi="Times New Roman" w:cs="Times New Roman"/>
                <w:color w:val="000000" w:themeColor="text1"/>
                <w:kern w:val="0"/>
                <w:sz w:val="24"/>
                <w:szCs w:val="24"/>
                <w14:textFill>
                  <w14:solidFill>
                    <w14:schemeClr w14:val="tx1"/>
                  </w14:solidFill>
                </w14:textFill>
              </w:rPr>
              <w:t>外部尺寸</w:t>
            </w:r>
            <w:r>
              <w:rPr>
                <w:rFonts w:ascii="Times New Roman" w:hAnsi="Times New Roman" w:cs="Times New Roman"/>
                <w:color w:val="000000" w:themeColor="text1"/>
                <w:kern w:val="0"/>
                <w:sz w:val="24"/>
                <w:szCs w:val="24"/>
                <w14:textFill>
                  <w14:solidFill>
                    <w14:schemeClr w14:val="tx1"/>
                  </w14:solidFill>
                </w14:textFill>
              </w:rPr>
              <w:t>W×D×H(mm)</w:t>
            </w:r>
            <w:r>
              <w:rPr>
                <w:rFonts w:hint="eastAsia" w:ascii="Times New Roman" w:hAnsi="Times New Roman" w:cs="Times New Roman"/>
                <w:color w:val="000000" w:themeColor="text1"/>
                <w:kern w:val="0"/>
                <w:sz w:val="24"/>
                <w:szCs w:val="24"/>
                <w14:textFill>
                  <w14:solidFill>
                    <w14:schemeClr w14:val="tx1"/>
                  </w14:solidFill>
                </w14:textFill>
              </w:rPr>
              <w:t>：小于</w:t>
            </w:r>
            <w:r>
              <w:rPr>
                <w:rFonts w:ascii="Times New Roman" w:hAnsi="Times New Roman" w:cs="Times New Roman"/>
                <w:color w:val="000000" w:themeColor="text1"/>
                <w:kern w:val="0"/>
                <w:sz w:val="24"/>
                <w:szCs w:val="24"/>
                <w14:textFill>
                  <w14:solidFill>
                    <w14:schemeClr w14:val="tx1"/>
                  </w14:solidFill>
                </w14:textFill>
              </w:rPr>
              <w:t>1200mm×850mm×1450mm</w:t>
            </w:r>
          </w:p>
        </w:tc>
        <w:tc>
          <w:tcPr>
            <w:tcW w:w="706" w:type="dxa"/>
            <w:vAlign w:val="center"/>
          </w:tcPr>
          <w:p w14:paraId="26DF38BA">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台</w:t>
            </w:r>
          </w:p>
        </w:tc>
        <w:tc>
          <w:tcPr>
            <w:tcW w:w="716" w:type="dxa"/>
            <w:vAlign w:val="center"/>
          </w:tcPr>
          <w:p w14:paraId="5F18C940">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2</w:t>
            </w:r>
          </w:p>
        </w:tc>
        <w:tc>
          <w:tcPr>
            <w:tcW w:w="716" w:type="dxa"/>
          </w:tcPr>
          <w:p w14:paraId="487BF460">
            <w:pPr>
              <w:spacing w:line="240" w:lineRule="auto"/>
              <w:ind w:firstLine="0" w:firstLineChars="0"/>
              <w:jc w:val="both"/>
              <w:rPr>
                <w:rFonts w:ascii="仿宋" w:hAnsi="仿宋" w:eastAsia="仿宋" w:cs="仿宋"/>
                <w:kern w:val="0"/>
                <w:sz w:val="24"/>
                <w:szCs w:val="24"/>
              </w:rPr>
            </w:pPr>
          </w:p>
        </w:tc>
      </w:tr>
      <w:tr w14:paraId="4AF68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B5DD5FF">
            <w:pPr>
              <w:spacing w:line="240" w:lineRule="auto"/>
              <w:ind w:firstLine="0" w:firstLineChars="0"/>
              <w:jc w:val="both"/>
              <w:rPr>
                <w:rFonts w:ascii="仿宋" w:hAnsi="仿宋" w:eastAsia="仿宋" w:cs="仿宋"/>
                <w:kern w:val="0"/>
                <w:sz w:val="24"/>
                <w:szCs w:val="24"/>
              </w:rPr>
            </w:pPr>
            <w:r>
              <w:rPr>
                <w:rFonts w:hint="eastAsia" w:ascii="仿宋" w:hAnsi="仿宋" w:eastAsia="仿宋" w:cs="宋体"/>
                <w:color w:val="000000" w:themeColor="text1"/>
                <w:kern w:val="0"/>
                <w:sz w:val="24"/>
                <w:szCs w:val="24"/>
                <w14:textFill>
                  <w14:solidFill>
                    <w14:schemeClr w14:val="tx1"/>
                  </w14:solidFill>
                </w14:textFill>
              </w:rPr>
              <w:t>10</w:t>
            </w:r>
          </w:p>
        </w:tc>
        <w:tc>
          <w:tcPr>
            <w:tcW w:w="845" w:type="dxa"/>
            <w:vAlign w:val="center"/>
          </w:tcPr>
          <w:p w14:paraId="6D9E2501">
            <w:pPr>
              <w:spacing w:line="240" w:lineRule="auto"/>
              <w:ind w:firstLine="0" w:firstLineChars="0"/>
              <w:jc w:val="both"/>
              <w:rPr>
                <w:rFonts w:ascii="宋体" w:hAnsi="宋体" w:cs="仿宋"/>
                <w:kern w:val="0"/>
                <w:sz w:val="24"/>
                <w:szCs w:val="24"/>
              </w:rPr>
            </w:pPr>
            <w:r>
              <w:rPr>
                <w:rFonts w:hint="eastAsia" w:ascii="宋体" w:hAnsi="宋体" w:cs="宋体"/>
                <w:color w:val="000000" w:themeColor="text1"/>
                <w:kern w:val="0"/>
                <w:sz w:val="24"/>
                <w:szCs w:val="24"/>
                <w14:textFill>
                  <w14:solidFill>
                    <w14:schemeClr w14:val="tx1"/>
                  </w14:solidFill>
                </w14:textFill>
              </w:rPr>
              <w:t>双人单面超净工作台</w:t>
            </w:r>
          </w:p>
        </w:tc>
        <w:tc>
          <w:tcPr>
            <w:tcW w:w="6278" w:type="dxa"/>
            <w:vAlign w:val="top"/>
          </w:tcPr>
          <w:p w14:paraId="333DDF33">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微电脑控制采用可调风量风机系统，轻触型开关调节电压大小。</w:t>
            </w:r>
          </w:p>
          <w:p w14:paraId="1AC72560">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w:t>
            </w:r>
            <w:r>
              <w:rPr>
                <w:rFonts w:hint="eastAsia" w:ascii="Times New Roman" w:hAnsi="Times New Roman" w:cs="Times New Roman"/>
                <w:color w:val="000000" w:themeColor="text1"/>
                <w:kern w:val="0"/>
                <w:sz w:val="24"/>
                <w:szCs w:val="24"/>
                <w14:textFill>
                  <w14:solidFill>
                    <w14:schemeClr w14:val="tx1"/>
                  </w14:solidFill>
                </w14:textFill>
              </w:rPr>
              <w:t>、外型尺寸</w:t>
            </w:r>
            <w:r>
              <w:rPr>
                <w:rFonts w:ascii="Times New Roman" w:hAnsi="Times New Roman" w:cs="Times New Roman"/>
                <w:color w:val="000000" w:themeColor="text1"/>
                <w:kern w:val="0"/>
                <w:sz w:val="24"/>
                <w:szCs w:val="24"/>
                <w14:textFill>
                  <w14:solidFill>
                    <w14:schemeClr w14:val="tx1"/>
                  </w14:solidFill>
                </w14:textFill>
              </w:rPr>
              <w:t>1500</w:t>
            </w:r>
            <w:r>
              <w:rPr>
                <w:rFonts w:hint="eastAsia" w:ascii="Times New Roman" w:hAnsi="Times New Roman" w:cs="Times New Roman"/>
                <w:color w:val="000000" w:themeColor="text1"/>
                <w:kern w:val="0"/>
                <w:sz w:val="24"/>
                <w:szCs w:val="24"/>
                <w14:textFill>
                  <w14:solidFill>
                    <w14:schemeClr w14:val="tx1"/>
                  </w14:solidFill>
                </w14:textFill>
              </w:rPr>
              <w:t>（宽）</w:t>
            </w:r>
            <w:r>
              <w:rPr>
                <w:rFonts w:ascii="Times New Roman" w:hAnsi="Times New Roman" w:cs="Times New Roman"/>
                <w:color w:val="000000" w:themeColor="text1"/>
                <w:kern w:val="0"/>
                <w:sz w:val="24"/>
                <w:szCs w:val="24"/>
                <w14:textFill>
                  <w14:solidFill>
                    <w14:schemeClr w14:val="tx1"/>
                  </w14:solidFill>
                </w14:textFill>
              </w:rPr>
              <w:t>×730</w:t>
            </w:r>
            <w:r>
              <w:rPr>
                <w:rFonts w:hint="eastAsia" w:ascii="Times New Roman" w:hAnsi="Times New Roman" w:cs="Times New Roman"/>
                <w:color w:val="000000" w:themeColor="text1"/>
                <w:kern w:val="0"/>
                <w:sz w:val="24"/>
                <w:szCs w:val="24"/>
                <w14:textFill>
                  <w14:solidFill>
                    <w14:schemeClr w14:val="tx1"/>
                  </w14:solidFill>
                </w14:textFill>
              </w:rPr>
              <w:t>（深）</w:t>
            </w:r>
            <w:r>
              <w:rPr>
                <w:rFonts w:ascii="Times New Roman" w:hAnsi="Times New Roman" w:cs="Times New Roman"/>
                <w:color w:val="000000" w:themeColor="text1"/>
                <w:kern w:val="0"/>
                <w:sz w:val="24"/>
                <w:szCs w:val="24"/>
                <w14:textFill>
                  <w14:solidFill>
                    <w14:schemeClr w14:val="tx1"/>
                  </w14:solidFill>
                </w14:textFill>
              </w:rPr>
              <w:t>×1600</w:t>
            </w:r>
            <w:r>
              <w:rPr>
                <w:rFonts w:hint="eastAsia" w:ascii="Times New Roman" w:hAnsi="Times New Roman" w:cs="Times New Roman"/>
                <w:color w:val="000000" w:themeColor="text1"/>
                <w:kern w:val="0"/>
                <w:sz w:val="24"/>
                <w:szCs w:val="24"/>
                <w14:textFill>
                  <w14:solidFill>
                    <w14:schemeClr w14:val="tx1"/>
                  </w14:solidFill>
                </w14:textFill>
              </w:rPr>
              <w:t>（高）</w:t>
            </w:r>
          </w:p>
          <w:p w14:paraId="2F1BD601">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内部尺寸</w:t>
            </w:r>
            <w:r>
              <w:rPr>
                <w:rFonts w:ascii="Times New Roman" w:hAnsi="Times New Roman" w:cs="Times New Roman"/>
                <w:color w:val="000000" w:themeColor="text1"/>
                <w:kern w:val="0"/>
                <w:sz w:val="24"/>
                <w:szCs w:val="24"/>
                <w14:textFill>
                  <w14:solidFill>
                    <w14:schemeClr w14:val="tx1"/>
                  </w14:solidFill>
                </w14:textFill>
              </w:rPr>
              <w:t>1360</w:t>
            </w:r>
            <w:r>
              <w:rPr>
                <w:rFonts w:hint="eastAsia" w:ascii="Times New Roman" w:hAnsi="Times New Roman" w:cs="Times New Roman"/>
                <w:color w:val="000000" w:themeColor="text1"/>
                <w:kern w:val="0"/>
                <w:sz w:val="24"/>
                <w:szCs w:val="24"/>
                <w14:textFill>
                  <w14:solidFill>
                    <w14:schemeClr w14:val="tx1"/>
                  </w14:solidFill>
                </w14:textFill>
              </w:rPr>
              <w:t>（宽）</w:t>
            </w:r>
            <w:r>
              <w:rPr>
                <w:rFonts w:ascii="Times New Roman" w:hAnsi="Times New Roman" w:cs="Times New Roman"/>
                <w:color w:val="000000" w:themeColor="text1"/>
                <w:kern w:val="0"/>
                <w:sz w:val="24"/>
                <w:szCs w:val="24"/>
                <w14:textFill>
                  <w14:solidFill>
                    <w14:schemeClr w14:val="tx1"/>
                  </w14:solidFill>
                </w14:textFill>
              </w:rPr>
              <w:t>×690</w:t>
            </w:r>
            <w:r>
              <w:rPr>
                <w:rFonts w:hint="eastAsia" w:ascii="Times New Roman" w:hAnsi="Times New Roman" w:cs="Times New Roman"/>
                <w:color w:val="000000" w:themeColor="text1"/>
                <w:kern w:val="0"/>
                <w:sz w:val="24"/>
                <w:szCs w:val="24"/>
                <w14:textFill>
                  <w14:solidFill>
                    <w14:schemeClr w14:val="tx1"/>
                  </w14:solidFill>
                </w14:textFill>
              </w:rPr>
              <w:t>（深）</w:t>
            </w:r>
            <w:r>
              <w:rPr>
                <w:rFonts w:ascii="Times New Roman" w:hAnsi="Times New Roman" w:cs="Times New Roman"/>
                <w:color w:val="000000" w:themeColor="text1"/>
                <w:kern w:val="0"/>
                <w:sz w:val="24"/>
                <w:szCs w:val="24"/>
                <w14:textFill>
                  <w14:solidFill>
                    <w14:schemeClr w14:val="tx1"/>
                  </w14:solidFill>
                </w14:textFill>
              </w:rPr>
              <w:t>×520</w:t>
            </w:r>
            <w:r>
              <w:rPr>
                <w:rFonts w:hint="eastAsia" w:ascii="Times New Roman" w:hAnsi="Times New Roman" w:cs="Times New Roman"/>
                <w:color w:val="000000" w:themeColor="text1"/>
                <w:kern w:val="0"/>
                <w:sz w:val="24"/>
                <w:szCs w:val="24"/>
                <w14:textFill>
                  <w14:solidFill>
                    <w14:schemeClr w14:val="tx1"/>
                  </w14:solidFill>
                </w14:textFill>
              </w:rPr>
              <w:t>（高）</w:t>
            </w:r>
          </w:p>
          <w:p w14:paraId="42058A37">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2</w:t>
            </w:r>
            <w:r>
              <w:rPr>
                <w:rFonts w:hint="eastAsia" w:ascii="Times New Roman" w:hAnsi="Times New Roman" w:cs="Times New Roman"/>
                <w:color w:val="000000" w:themeColor="text1"/>
                <w:kern w:val="0"/>
                <w:sz w:val="24"/>
                <w:szCs w:val="24"/>
                <w14:textFill>
                  <w14:solidFill>
                    <w14:schemeClr w14:val="tx1"/>
                  </w14:solidFill>
                </w14:textFill>
              </w:rPr>
              <w:t>、过滤技术：采用</w:t>
            </w:r>
            <w:r>
              <w:rPr>
                <w:rFonts w:ascii="Times New Roman" w:hAnsi="Times New Roman" w:cs="Times New Roman"/>
                <w:color w:val="000000" w:themeColor="text1"/>
                <w:kern w:val="0"/>
                <w:sz w:val="24"/>
                <w:szCs w:val="24"/>
                <w14:textFill>
                  <w14:solidFill>
                    <w14:schemeClr w14:val="tx1"/>
                  </w14:solidFill>
                </w14:textFill>
              </w:rPr>
              <w:t xml:space="preserve">HLPA Filter( </w:t>
            </w:r>
            <w:r>
              <w:rPr>
                <w:rFonts w:hint="eastAsia" w:ascii="Times New Roman" w:hAnsi="Times New Roman" w:cs="Times New Roman"/>
                <w:color w:val="000000" w:themeColor="text1"/>
                <w:kern w:val="0"/>
                <w:sz w:val="24"/>
                <w:szCs w:val="24"/>
                <w14:textFill>
                  <w14:solidFill>
                    <w14:schemeClr w14:val="tx1"/>
                  </w14:solidFill>
                </w14:textFill>
              </w:rPr>
              <w:t>高效过滤技术</w:t>
            </w: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过滤效率</w:t>
            </w:r>
            <w:r>
              <w:rPr>
                <w:rFonts w:ascii="Times New Roman" w:hAnsi="Times New Roman" w:cs="Times New Roman"/>
                <w:color w:val="000000" w:themeColor="text1"/>
                <w:kern w:val="0"/>
                <w:sz w:val="24"/>
                <w:szCs w:val="24"/>
                <w14:textFill>
                  <w14:solidFill>
                    <w14:schemeClr w14:val="tx1"/>
                  </w14:solidFill>
                </w14:textFill>
              </w:rPr>
              <w:t>99.995%</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 0.3μm</w:t>
            </w:r>
            <w:r>
              <w:rPr>
                <w:rFonts w:hint="eastAsia" w:ascii="Times New Roman" w:hAnsi="Times New Roman" w:cs="Times New Roman"/>
                <w:color w:val="000000" w:themeColor="text1"/>
                <w:kern w:val="0"/>
                <w:sz w:val="24"/>
                <w:szCs w:val="24"/>
                <w14:textFill>
                  <w14:solidFill>
                    <w14:schemeClr w14:val="tx1"/>
                  </w14:solidFill>
                </w14:textFill>
              </w:rPr>
              <w:t>颗粒）</w:t>
            </w:r>
          </w:p>
          <w:p w14:paraId="3AE227C1">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高效过滤器规格及数量</w:t>
            </w:r>
            <w:r>
              <w:rPr>
                <w:rFonts w:ascii="Times New Roman" w:hAnsi="Times New Roman" w:cs="Times New Roman"/>
                <w:color w:val="000000" w:themeColor="text1"/>
                <w:kern w:val="0"/>
                <w:sz w:val="24"/>
                <w:szCs w:val="24"/>
                <w14:textFill>
                  <w14:solidFill>
                    <w14:schemeClr w14:val="tx1"/>
                  </w14:solidFill>
                </w14:textFill>
              </w:rPr>
              <w:t>610*610*50*2</w:t>
            </w:r>
            <w:r>
              <w:rPr>
                <w:rFonts w:hint="eastAsia" w:ascii="Times New Roman" w:hAnsi="Times New Roman" w:cs="Times New Roman"/>
                <w:color w:val="000000" w:themeColor="text1"/>
                <w:kern w:val="0"/>
                <w:sz w:val="24"/>
                <w:szCs w:val="24"/>
                <w14:textFill>
                  <w14:solidFill>
                    <w14:schemeClr w14:val="tx1"/>
                  </w14:solidFill>
                </w14:textFill>
              </w:rPr>
              <w:t>，</w:t>
            </w:r>
            <w:r>
              <w:rPr>
                <w:rFonts w:ascii="Times New Roman" w:hAnsi="Times New Roman" w:cs="Times New Roman"/>
                <w:color w:val="000000" w:themeColor="text1"/>
                <w:kern w:val="0"/>
                <w:sz w:val="24"/>
                <w:szCs w:val="24"/>
                <w14:textFill>
                  <w14:solidFill>
                    <w14:schemeClr w14:val="tx1"/>
                  </w14:solidFill>
                </w14:textFill>
              </w:rPr>
              <w:t>2</w:t>
            </w:r>
            <w:r>
              <w:rPr>
                <w:rFonts w:hint="eastAsia" w:ascii="Times New Roman" w:hAnsi="Times New Roman" w:cs="Times New Roman"/>
                <w:color w:val="000000" w:themeColor="text1"/>
                <w:kern w:val="0"/>
                <w:sz w:val="24"/>
                <w:szCs w:val="24"/>
                <w14:textFill>
                  <w14:solidFill>
                    <w14:schemeClr w14:val="tx1"/>
                  </w14:solidFill>
                </w14:textFill>
              </w:rPr>
              <w:t>只过滤膜材质为美国</w:t>
            </w:r>
            <w:r>
              <w:rPr>
                <w:rFonts w:ascii="Times New Roman" w:hAnsi="Times New Roman" w:cs="Times New Roman"/>
                <w:color w:val="000000" w:themeColor="text1"/>
                <w:kern w:val="0"/>
                <w:sz w:val="24"/>
                <w:szCs w:val="24"/>
                <w14:textFill>
                  <w14:solidFill>
                    <w14:schemeClr w14:val="tx1"/>
                  </w14:solidFill>
                </w14:textFill>
              </w:rPr>
              <w:t>HV</w:t>
            </w:r>
            <w:r>
              <w:rPr>
                <w:rFonts w:hint="eastAsia" w:ascii="Times New Roman" w:hAnsi="Times New Roman" w:cs="Times New Roman"/>
                <w:color w:val="000000" w:themeColor="text1"/>
                <w:kern w:val="0"/>
                <w:sz w:val="24"/>
                <w:szCs w:val="24"/>
                <w14:textFill>
                  <w14:solidFill>
                    <w14:schemeClr w14:val="tx1"/>
                  </w14:solidFill>
                </w14:textFill>
              </w:rPr>
              <w:t>公司进口，并采用</w:t>
            </w:r>
            <w:r>
              <w:rPr>
                <w:rFonts w:ascii="Times New Roman" w:hAnsi="Times New Roman" w:cs="Times New Roman"/>
                <w:color w:val="000000" w:themeColor="text1"/>
                <w:kern w:val="0"/>
                <w:sz w:val="24"/>
                <w:szCs w:val="24"/>
                <w14:textFill>
                  <w14:solidFill>
                    <w14:schemeClr w14:val="tx1"/>
                  </w14:solidFill>
                </w14:textFill>
              </w:rPr>
              <w:t>AIRTECH</w:t>
            </w:r>
            <w:r>
              <w:rPr>
                <w:rFonts w:hint="eastAsia" w:ascii="Times New Roman" w:hAnsi="Times New Roman" w:cs="Times New Roman"/>
                <w:color w:val="000000" w:themeColor="text1"/>
                <w:kern w:val="0"/>
                <w:sz w:val="24"/>
                <w:szCs w:val="24"/>
                <w14:textFill>
                  <w14:solidFill>
                    <w14:schemeClr w14:val="tx1"/>
                  </w14:solidFill>
                </w14:textFill>
              </w:rPr>
              <w:t>公司的自动生产线生产</w:t>
            </w:r>
          </w:p>
          <w:p w14:paraId="74056600">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3</w:t>
            </w:r>
            <w:r>
              <w:rPr>
                <w:rFonts w:hint="eastAsia" w:ascii="Times New Roman" w:hAnsi="Times New Roman" w:cs="Times New Roman"/>
                <w:color w:val="000000" w:themeColor="text1"/>
                <w:kern w:val="0"/>
                <w:sz w:val="24"/>
                <w:szCs w:val="24"/>
                <w14:textFill>
                  <w14:solidFill>
                    <w14:schemeClr w14:val="tx1"/>
                  </w14:solidFill>
                </w14:textFill>
              </w:rPr>
              <w:t>、洁净度</w:t>
            </w:r>
            <w:r>
              <w:rPr>
                <w:rFonts w:ascii="Times New Roman" w:hAnsi="Times New Roman" w:cs="Times New Roman"/>
                <w:color w:val="000000" w:themeColor="text1"/>
                <w:kern w:val="0"/>
                <w:sz w:val="24"/>
                <w:szCs w:val="24"/>
                <w14:textFill>
                  <w14:solidFill>
                    <w14:schemeClr w14:val="tx1"/>
                  </w14:solidFill>
                </w14:textFill>
              </w:rPr>
              <w:t xml:space="preserve">      ISO 5 </w:t>
            </w:r>
            <w:r>
              <w:rPr>
                <w:rFonts w:hint="eastAsia" w:ascii="Times New Roman" w:hAnsi="Times New Roman" w:cs="Times New Roman"/>
                <w:color w:val="000000" w:themeColor="text1"/>
                <w:kern w:val="0"/>
                <w:sz w:val="24"/>
                <w:szCs w:val="24"/>
                <w14:textFill>
                  <w14:solidFill>
                    <w14:schemeClr w14:val="tx1"/>
                  </w14:solidFill>
                </w14:textFill>
              </w:rPr>
              <w:t>级（美联邦</w:t>
            </w:r>
            <w:r>
              <w:rPr>
                <w:rFonts w:ascii="Times New Roman" w:hAnsi="Times New Roman" w:cs="Times New Roman"/>
                <w:color w:val="000000" w:themeColor="text1"/>
                <w:kern w:val="0"/>
                <w:sz w:val="24"/>
                <w:szCs w:val="24"/>
                <w14:textFill>
                  <w14:solidFill>
                    <w14:schemeClr w14:val="tx1"/>
                  </w14:solidFill>
                </w14:textFill>
              </w:rPr>
              <w:t>209E 100</w:t>
            </w:r>
            <w:r>
              <w:rPr>
                <w:rFonts w:hint="eastAsia" w:ascii="Times New Roman" w:hAnsi="Times New Roman" w:cs="Times New Roman"/>
                <w:color w:val="000000" w:themeColor="text1"/>
                <w:kern w:val="0"/>
                <w:sz w:val="24"/>
                <w:szCs w:val="24"/>
                <w14:textFill>
                  <w14:solidFill>
                    <w14:schemeClr w14:val="tx1"/>
                  </w14:solidFill>
                </w14:textFill>
              </w:rPr>
              <w:t>级）</w:t>
            </w:r>
          </w:p>
          <w:p w14:paraId="643FACDA">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4</w:t>
            </w:r>
            <w:r>
              <w:rPr>
                <w:rFonts w:hint="eastAsia" w:ascii="Times New Roman" w:hAnsi="Times New Roman" w:cs="Times New Roman"/>
                <w:color w:val="000000" w:themeColor="text1"/>
                <w:kern w:val="0"/>
                <w:sz w:val="24"/>
                <w:szCs w:val="24"/>
                <w14:textFill>
                  <w14:solidFill>
                    <w14:schemeClr w14:val="tx1"/>
                  </w14:solidFill>
                </w14:textFill>
              </w:rPr>
              <w:t>、噪音</w:t>
            </w:r>
            <w:r>
              <w:rPr>
                <w:rFonts w:ascii="Times New Roman" w:hAnsi="Times New Roman" w:cs="Times New Roman"/>
                <w:color w:val="000000" w:themeColor="text1"/>
                <w:kern w:val="0"/>
                <w:sz w:val="24"/>
                <w:szCs w:val="24"/>
                <w14:textFill>
                  <w14:solidFill>
                    <w14:schemeClr w14:val="tx1"/>
                  </w14:solidFill>
                </w14:textFill>
              </w:rPr>
              <w:t xml:space="preserve">      ≤62dB(A)</w:t>
            </w:r>
          </w:p>
          <w:p w14:paraId="038F277D">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5</w:t>
            </w:r>
            <w:r>
              <w:rPr>
                <w:rFonts w:hint="eastAsia" w:ascii="Times New Roman" w:hAnsi="Times New Roman" w:cs="Times New Roman"/>
                <w:color w:val="000000" w:themeColor="text1"/>
                <w:kern w:val="0"/>
                <w:sz w:val="24"/>
                <w:szCs w:val="24"/>
                <w14:textFill>
                  <w14:solidFill>
                    <w14:schemeClr w14:val="tx1"/>
                  </w14:solidFill>
                </w14:textFill>
              </w:rPr>
              <w:t>、电源：</w:t>
            </w:r>
            <w:r>
              <w:rPr>
                <w:rFonts w:ascii="Times New Roman" w:hAnsi="Times New Roman" w:cs="Times New Roman"/>
                <w:color w:val="000000" w:themeColor="text1"/>
                <w:kern w:val="0"/>
                <w:sz w:val="24"/>
                <w:szCs w:val="24"/>
                <w14:textFill>
                  <w14:solidFill>
                    <w14:schemeClr w14:val="tx1"/>
                  </w14:solidFill>
                </w14:textFill>
              </w:rPr>
              <w:t>200V/50Hz</w:t>
            </w:r>
            <w:r>
              <w:rPr>
                <w:rFonts w:hint="eastAsia" w:ascii="Times New Roman" w:hAnsi="Times New Roman" w:cs="Times New Roman"/>
                <w:color w:val="000000" w:themeColor="text1"/>
                <w:kern w:val="0"/>
                <w:sz w:val="24"/>
                <w:szCs w:val="24"/>
                <w14:textFill>
                  <w14:solidFill>
                    <w14:schemeClr w14:val="tx1"/>
                  </w14:solidFill>
                </w14:textFill>
              </w:rPr>
              <w:t>；额定功率：</w:t>
            </w:r>
            <w:r>
              <w:rPr>
                <w:rFonts w:ascii="Times New Roman" w:hAnsi="Times New Roman" w:cs="Times New Roman"/>
                <w:color w:val="000000" w:themeColor="text1"/>
                <w:kern w:val="0"/>
                <w:sz w:val="24"/>
                <w:szCs w:val="24"/>
                <w14:textFill>
                  <w14:solidFill>
                    <w14:schemeClr w14:val="tx1"/>
                  </w14:solidFill>
                </w14:textFill>
              </w:rPr>
              <w:t>500W</w:t>
            </w:r>
          </w:p>
          <w:p w14:paraId="55AF7945">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6</w:t>
            </w:r>
            <w:r>
              <w:rPr>
                <w:rFonts w:hint="eastAsia" w:ascii="Times New Roman" w:hAnsi="Times New Roman" w:cs="Times New Roman"/>
                <w:color w:val="000000" w:themeColor="text1"/>
                <w:kern w:val="0"/>
                <w:sz w:val="24"/>
                <w:szCs w:val="24"/>
                <w14:textFill>
                  <w14:solidFill>
                    <w14:schemeClr w14:val="tx1"/>
                  </w14:solidFill>
                </w14:textFill>
              </w:rPr>
              <w:t>、照度</w:t>
            </w:r>
            <w:r>
              <w:rPr>
                <w:rFonts w:ascii="Times New Roman" w:hAnsi="Times New Roman" w:cs="Times New Roman"/>
                <w:color w:val="000000" w:themeColor="text1"/>
                <w:kern w:val="0"/>
                <w:sz w:val="24"/>
                <w:szCs w:val="24"/>
                <w14:textFill>
                  <w14:solidFill>
                    <w14:schemeClr w14:val="tx1"/>
                  </w14:solidFill>
                </w14:textFill>
              </w:rPr>
              <w:t xml:space="preserve">       ≥300Lu</w:t>
            </w:r>
          </w:p>
          <w:p w14:paraId="1E62969A">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7</w:t>
            </w:r>
            <w:r>
              <w:rPr>
                <w:rFonts w:hint="eastAsia" w:ascii="Times New Roman" w:hAnsi="Times New Roman" w:cs="Times New Roman"/>
                <w:color w:val="000000" w:themeColor="text1"/>
                <w:kern w:val="0"/>
                <w:sz w:val="24"/>
                <w:szCs w:val="24"/>
                <w14:textFill>
                  <w14:solidFill>
                    <w14:schemeClr w14:val="tx1"/>
                  </w14:solidFill>
                </w14:textFill>
              </w:rPr>
              <w:t>、平均风速</w:t>
            </w:r>
            <w:r>
              <w:rPr>
                <w:rFonts w:ascii="Times New Roman" w:hAnsi="Times New Roman" w:cs="Times New Roman"/>
                <w:color w:val="000000" w:themeColor="text1"/>
                <w:kern w:val="0"/>
                <w:sz w:val="24"/>
                <w:szCs w:val="24"/>
                <w14:textFill>
                  <w14:solidFill>
                    <w14:schemeClr w14:val="tx1"/>
                  </w14:solidFill>
                </w14:textFill>
              </w:rPr>
              <w:t xml:space="preserve">  ≥0.3m/s(</w:t>
            </w:r>
            <w:r>
              <w:rPr>
                <w:rFonts w:hint="eastAsia" w:ascii="Times New Roman" w:hAnsi="Times New Roman" w:cs="Times New Roman"/>
                <w:color w:val="000000" w:themeColor="text1"/>
                <w:kern w:val="0"/>
                <w:sz w:val="24"/>
                <w:szCs w:val="24"/>
                <w14:textFill>
                  <w14:solidFill>
                    <w14:schemeClr w14:val="tx1"/>
                  </w14:solidFill>
                </w14:textFill>
              </w:rPr>
              <w:t>三档调速</w:t>
            </w:r>
            <w:r>
              <w:rPr>
                <w:rFonts w:ascii="Times New Roman" w:hAnsi="Times New Roman" w:cs="Times New Roman"/>
                <w:color w:val="000000" w:themeColor="text1"/>
                <w:kern w:val="0"/>
                <w:sz w:val="24"/>
                <w:szCs w:val="24"/>
                <w14:textFill>
                  <w14:solidFill>
                    <w14:schemeClr w14:val="tx1"/>
                  </w14:solidFill>
                </w14:textFill>
              </w:rPr>
              <w:t>)</w:t>
            </w:r>
          </w:p>
          <w:p w14:paraId="7196BCB3">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8</w:t>
            </w:r>
            <w:r>
              <w:rPr>
                <w:rFonts w:hint="eastAsia" w:ascii="Times New Roman" w:hAnsi="Times New Roman" w:cs="Times New Roman"/>
                <w:color w:val="000000" w:themeColor="text1"/>
                <w:kern w:val="0"/>
                <w:sz w:val="24"/>
                <w:szCs w:val="24"/>
                <w14:textFill>
                  <w14:solidFill>
                    <w14:schemeClr w14:val="tx1"/>
                  </w14:solidFill>
                </w14:textFill>
              </w:rPr>
              <w:t>、沉降菌浓度</w:t>
            </w:r>
            <w:r>
              <w:rPr>
                <w:rFonts w:ascii="Times New Roman" w:hAnsi="Times New Roman" w:cs="Times New Roman"/>
                <w:color w:val="000000" w:themeColor="text1"/>
                <w:kern w:val="0"/>
                <w:sz w:val="24"/>
                <w:szCs w:val="24"/>
                <w14:textFill>
                  <w14:solidFill>
                    <w14:schemeClr w14:val="tx1"/>
                  </w14:solidFill>
                </w14:textFill>
              </w:rPr>
              <w:t>≤0.5 ufc/</w:t>
            </w:r>
            <w:r>
              <w:rPr>
                <w:rFonts w:hint="eastAsia" w:ascii="Times New Roman" w:hAnsi="Times New Roman" w:cs="Times New Roman"/>
                <w:color w:val="000000" w:themeColor="text1"/>
                <w:kern w:val="0"/>
                <w:sz w:val="24"/>
                <w:szCs w:val="24"/>
                <w14:textFill>
                  <w14:solidFill>
                    <w14:schemeClr w14:val="tx1"/>
                  </w14:solidFill>
                </w14:textFill>
              </w:rPr>
              <w:t>皿</w:t>
            </w:r>
            <w:r>
              <w:rPr>
                <w:rFonts w:ascii="Times New Roman" w:hAnsi="Times New Roman" w:cs="Times New Roman"/>
                <w:color w:val="000000" w:themeColor="text1"/>
                <w:kern w:val="0"/>
                <w:sz w:val="24"/>
                <w:szCs w:val="24"/>
                <w14:textFill>
                  <w14:solidFill>
                    <w14:schemeClr w14:val="tx1"/>
                  </w14:solidFill>
                </w14:textFill>
              </w:rPr>
              <w:t>·0.5</w:t>
            </w:r>
            <w:r>
              <w:rPr>
                <w:rFonts w:hint="eastAsia" w:ascii="Times New Roman" w:hAnsi="Times New Roman" w:cs="Times New Roman"/>
                <w:color w:val="000000" w:themeColor="text1"/>
                <w:kern w:val="0"/>
                <w:sz w:val="24"/>
                <w:szCs w:val="24"/>
                <w14:textFill>
                  <w14:solidFill>
                    <w14:schemeClr w14:val="tx1"/>
                  </w14:solidFill>
                </w14:textFill>
              </w:rPr>
              <w:t>时</w:t>
            </w:r>
          </w:p>
          <w:p w14:paraId="7B4891E6">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9</w:t>
            </w:r>
            <w:r>
              <w:rPr>
                <w:rFonts w:hint="eastAsia" w:ascii="Times New Roman" w:hAnsi="Times New Roman" w:cs="Times New Roman"/>
                <w:color w:val="000000" w:themeColor="text1"/>
                <w:kern w:val="0"/>
                <w:sz w:val="24"/>
                <w:szCs w:val="24"/>
                <w14:textFill>
                  <w14:solidFill>
                    <w14:schemeClr w14:val="tx1"/>
                  </w14:solidFill>
                </w14:textFill>
              </w:rPr>
              <w:t>、荧光灯</w:t>
            </w:r>
            <w:r>
              <w:rPr>
                <w:rFonts w:ascii="Times New Roman" w:hAnsi="Times New Roman" w:cs="Times New Roman"/>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紫外灯规格及数量：</w:t>
            </w:r>
            <w:r>
              <w:rPr>
                <w:rFonts w:ascii="Times New Roman" w:hAnsi="Times New Roman" w:cs="Times New Roman"/>
                <w:color w:val="000000" w:themeColor="text1"/>
                <w:kern w:val="0"/>
                <w:sz w:val="24"/>
                <w:szCs w:val="24"/>
                <w14:textFill>
                  <w14:solidFill>
                    <w14:schemeClr w14:val="tx1"/>
                  </w14:solidFill>
                </w14:textFill>
              </w:rPr>
              <w:t>14W*</w:t>
            </w:r>
            <w:r>
              <w:rPr>
                <w:rFonts w:hint="eastAsia" w:ascii="Times New Roman" w:hAnsi="Times New Roman" w:cs="Times New Roman"/>
                <w:color w:val="000000" w:themeColor="text1"/>
                <w:kern w:val="0"/>
                <w:sz w:val="24"/>
                <w:szCs w:val="24"/>
                <w14:textFill>
                  <w14:solidFill>
                    <w14:schemeClr w14:val="tx1"/>
                  </w14:solidFill>
                </w14:textFill>
              </w:rPr>
              <w:t>②</w:t>
            </w:r>
            <w:r>
              <w:rPr>
                <w:rFonts w:ascii="Times New Roman" w:hAnsi="Times New Roman" w:cs="Times New Roman"/>
                <w:color w:val="000000" w:themeColor="text1"/>
                <w:kern w:val="0"/>
                <w:sz w:val="24"/>
                <w:szCs w:val="24"/>
                <w14:textFill>
                  <w14:solidFill>
                    <w14:schemeClr w14:val="tx1"/>
                  </w14:solidFill>
                </w14:textFill>
              </w:rPr>
              <w:t>/8W*</w:t>
            </w:r>
            <w:r>
              <w:rPr>
                <w:rFonts w:hint="eastAsia" w:ascii="Times New Roman" w:hAnsi="Times New Roman" w:cs="Times New Roman"/>
                <w:color w:val="000000" w:themeColor="text1"/>
                <w:kern w:val="0"/>
                <w:sz w:val="24"/>
                <w:szCs w:val="24"/>
                <w14:textFill>
                  <w14:solidFill>
                    <w14:schemeClr w14:val="tx1"/>
                  </w14:solidFill>
                </w14:textFill>
              </w:rPr>
              <w:t>②</w:t>
            </w:r>
          </w:p>
          <w:p w14:paraId="1DF42A98">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10</w:t>
            </w:r>
            <w:r>
              <w:rPr>
                <w:rFonts w:hint="eastAsia" w:ascii="Times New Roman" w:hAnsi="Times New Roman" w:cs="Times New Roman"/>
                <w:color w:val="000000" w:themeColor="text1"/>
                <w:kern w:val="0"/>
                <w:sz w:val="24"/>
                <w:szCs w:val="24"/>
                <w14:textFill>
                  <w14:solidFill>
                    <w14:schemeClr w14:val="tx1"/>
                  </w14:solidFill>
                </w14:textFill>
              </w:rPr>
              <w:t>、日本</w:t>
            </w:r>
            <w:r>
              <w:rPr>
                <w:rFonts w:ascii="Times New Roman" w:hAnsi="Times New Roman" w:cs="Times New Roman"/>
                <w:color w:val="000000" w:themeColor="text1"/>
                <w:kern w:val="0"/>
                <w:sz w:val="24"/>
                <w:szCs w:val="24"/>
                <w14:textFill>
                  <w14:solidFill>
                    <w14:schemeClr w14:val="tx1"/>
                  </w14:solidFill>
                </w14:textFill>
              </w:rPr>
              <w:t>AIRTECH</w:t>
            </w:r>
            <w:r>
              <w:rPr>
                <w:rFonts w:hint="eastAsia" w:ascii="Times New Roman" w:hAnsi="Times New Roman" w:cs="Times New Roman"/>
                <w:color w:val="000000" w:themeColor="text1"/>
                <w:kern w:val="0"/>
                <w:sz w:val="24"/>
                <w:szCs w:val="24"/>
                <w14:textFill>
                  <w14:solidFill>
                    <w14:schemeClr w14:val="tx1"/>
                  </w14:solidFill>
                </w14:textFill>
              </w:rPr>
              <w:t>技术，结构：全钢结构，工作台面采用</w:t>
            </w:r>
            <w:r>
              <w:rPr>
                <w:rFonts w:ascii="Times New Roman" w:hAnsi="Times New Roman" w:cs="Times New Roman"/>
                <w:color w:val="000000" w:themeColor="text1"/>
                <w:kern w:val="0"/>
                <w:sz w:val="24"/>
                <w:szCs w:val="24"/>
                <w14:textFill>
                  <w14:solidFill>
                    <w14:schemeClr w14:val="tx1"/>
                  </w14:solidFill>
                </w14:textFill>
              </w:rPr>
              <w:t>SUS304</w:t>
            </w:r>
            <w:r>
              <w:rPr>
                <w:rFonts w:hint="eastAsia" w:ascii="Times New Roman" w:hAnsi="Times New Roman" w:cs="Times New Roman"/>
                <w:color w:val="000000" w:themeColor="text1"/>
                <w:kern w:val="0"/>
                <w:sz w:val="24"/>
                <w:szCs w:val="24"/>
                <w14:textFill>
                  <w14:solidFill>
                    <w14:schemeClr w14:val="tx1"/>
                  </w14:solidFill>
                </w14:textFill>
              </w:rPr>
              <w:t>优质不锈钢耐用易清洁，箱体采用宝钢产优质冷轧钢板静电涂装抗腐蚀能力强（粉为美国进口），流线型的豪华整机造型</w:t>
            </w:r>
            <w:r>
              <w:rPr>
                <w:rFonts w:ascii="Times New Roman" w:hAnsi="Times New Roman" w:cs="Times New Roman"/>
                <w:color w:val="000000" w:themeColor="text1"/>
                <w:kern w:val="0"/>
                <w:sz w:val="24"/>
                <w:szCs w:val="24"/>
                <w14:textFill>
                  <w14:solidFill>
                    <w14:schemeClr w14:val="tx1"/>
                  </w14:solidFill>
                </w14:textFill>
              </w:rPr>
              <w:t xml:space="preserve">, </w:t>
            </w:r>
            <w:r>
              <w:rPr>
                <w:rFonts w:hint="eastAsia" w:ascii="Times New Roman" w:hAnsi="Times New Roman" w:cs="Times New Roman"/>
                <w:color w:val="000000" w:themeColor="text1"/>
                <w:kern w:val="0"/>
                <w:sz w:val="24"/>
                <w:szCs w:val="24"/>
                <w14:textFill>
                  <w14:solidFill>
                    <w14:schemeClr w14:val="tx1"/>
                  </w14:solidFill>
                </w14:textFill>
              </w:rPr>
              <w:t>使作业区气流受扰动最少。</w:t>
            </w:r>
          </w:p>
          <w:p w14:paraId="6A0D3C43">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11</w:t>
            </w:r>
            <w:r>
              <w:rPr>
                <w:rFonts w:hint="eastAsia" w:ascii="Times New Roman" w:hAnsi="Times New Roman" w:cs="Times New Roman"/>
                <w:color w:val="000000" w:themeColor="text1"/>
                <w:kern w:val="0"/>
                <w:sz w:val="24"/>
                <w:szCs w:val="24"/>
                <w14:textFill>
                  <w14:solidFill>
                    <w14:schemeClr w14:val="tx1"/>
                  </w14:solidFill>
                </w14:textFill>
              </w:rPr>
              <w:t>、工作玻璃移门为进口定位控制系统，升降自如、定位准确、无故障、免维护，并能完全关闭以便灭菌。移门系统为</w:t>
            </w:r>
            <w:r>
              <w:rPr>
                <w:rFonts w:ascii="Times New Roman" w:hAnsi="Times New Roman" w:cs="Times New Roman"/>
                <w:color w:val="000000" w:themeColor="text1"/>
                <w:kern w:val="0"/>
                <w:sz w:val="24"/>
                <w:szCs w:val="24"/>
                <w14:textFill>
                  <w14:solidFill>
                    <w14:schemeClr w14:val="tx1"/>
                  </w14:solidFill>
                </w14:textFill>
              </w:rPr>
              <w:t xml:space="preserve">AIRTECH   </w:t>
            </w:r>
          </w:p>
          <w:p w14:paraId="2A79E873">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12</w:t>
            </w:r>
            <w:r>
              <w:rPr>
                <w:rFonts w:hint="eastAsia" w:ascii="Times New Roman" w:hAnsi="Times New Roman" w:cs="Times New Roman"/>
                <w:color w:val="000000" w:themeColor="text1"/>
                <w:kern w:val="0"/>
                <w:sz w:val="24"/>
                <w:szCs w:val="24"/>
                <w14:textFill>
                  <w14:solidFill>
                    <w14:schemeClr w14:val="tx1"/>
                  </w14:solidFill>
                </w14:textFill>
              </w:rPr>
              <w:t>、照明系统采用进口名牌灯具</w:t>
            </w:r>
            <w:r>
              <w:rPr>
                <w:rFonts w:ascii="Times New Roman" w:hAnsi="Times New Roman" w:cs="Times New Roman"/>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护眼设计</w:t>
            </w:r>
            <w:r>
              <w:rPr>
                <w:rFonts w:ascii="Times New Roman" w:hAnsi="Times New Roman" w:cs="Times New Roman"/>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照度大于国家标准。</w:t>
            </w:r>
          </w:p>
          <w:p w14:paraId="4574675F">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13</w:t>
            </w:r>
            <w:r>
              <w:rPr>
                <w:rFonts w:hint="eastAsia" w:ascii="Times New Roman" w:hAnsi="Times New Roman" w:cs="Times New Roman"/>
                <w:color w:val="000000" w:themeColor="text1"/>
                <w:kern w:val="0"/>
                <w:sz w:val="24"/>
                <w:szCs w:val="24"/>
                <w14:textFill>
                  <w14:solidFill>
                    <w14:schemeClr w14:val="tx1"/>
                  </w14:solidFill>
                </w14:textFill>
              </w:rPr>
              <w:t>、带刹车装置的万向转动优质脚轮</w:t>
            </w:r>
            <w:r>
              <w:rPr>
                <w:rFonts w:ascii="Times New Roman" w:hAnsi="Times New Roman" w:cs="Times New Roman"/>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移动灵活</w:t>
            </w:r>
            <w:r>
              <w:rPr>
                <w:rFonts w:ascii="Times New Roman" w:hAnsi="Times New Roman" w:cs="Times New Roman"/>
                <w:color w:val="000000" w:themeColor="text1"/>
                <w:kern w:val="0"/>
                <w:sz w:val="24"/>
                <w:szCs w:val="24"/>
                <w14:textFill>
                  <w14:solidFill>
                    <w14:schemeClr w14:val="tx1"/>
                  </w14:solidFill>
                </w14:textFill>
              </w:rPr>
              <w:t>,</w:t>
            </w:r>
            <w:r>
              <w:rPr>
                <w:rFonts w:hint="eastAsia" w:ascii="Times New Roman" w:hAnsi="Times New Roman" w:cs="Times New Roman"/>
                <w:color w:val="000000" w:themeColor="text1"/>
                <w:kern w:val="0"/>
                <w:sz w:val="24"/>
                <w:szCs w:val="24"/>
                <w14:textFill>
                  <w14:solidFill>
                    <w14:schemeClr w14:val="tx1"/>
                  </w14:solidFill>
                </w14:textFill>
              </w:rPr>
              <w:t>固定方便可靠。</w:t>
            </w:r>
          </w:p>
          <w:p w14:paraId="29AA1DFA">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14</w:t>
            </w:r>
            <w:r>
              <w:rPr>
                <w:rFonts w:hint="eastAsia" w:ascii="Times New Roman" w:hAnsi="Times New Roman" w:cs="Times New Roman"/>
                <w:color w:val="000000" w:themeColor="text1"/>
                <w:kern w:val="0"/>
                <w:sz w:val="24"/>
                <w:szCs w:val="24"/>
                <w14:textFill>
                  <w14:solidFill>
                    <w14:schemeClr w14:val="tx1"/>
                  </w14:solidFill>
                </w14:textFill>
              </w:rPr>
              <w:t>、人性化的预过滤器快速更换与清洗设计使客户更感便捷。</w:t>
            </w:r>
          </w:p>
          <w:p w14:paraId="62D112E5">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15</w:t>
            </w:r>
            <w:r>
              <w:rPr>
                <w:rFonts w:hint="eastAsia" w:ascii="Times New Roman" w:hAnsi="Times New Roman" w:cs="Times New Roman"/>
                <w:color w:val="000000" w:themeColor="text1"/>
                <w:kern w:val="0"/>
                <w:sz w:val="24"/>
                <w:szCs w:val="24"/>
                <w14:textFill>
                  <w14:solidFill>
                    <w14:schemeClr w14:val="tx1"/>
                  </w14:solidFill>
                </w14:textFill>
              </w:rPr>
              <w:t>、带备用插座设计，可断电保护功能，使用安全方便。荧光灯</w:t>
            </w:r>
            <w:r>
              <w:rPr>
                <w:rFonts w:ascii="Times New Roman" w:hAnsi="Times New Roman" w:cs="Times New Roman"/>
                <w:color w:val="000000" w:themeColor="text1"/>
                <w:kern w:val="0"/>
                <w:sz w:val="24"/>
                <w:szCs w:val="24"/>
                <w14:textFill>
                  <w14:solidFill>
                    <w14:schemeClr w14:val="tx1"/>
                  </w14:solidFill>
                </w14:textFill>
              </w:rPr>
              <w:t>14W*2</w:t>
            </w:r>
          </w:p>
          <w:p w14:paraId="6B5F5100">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16</w:t>
            </w:r>
            <w:r>
              <w:rPr>
                <w:rFonts w:hint="eastAsia" w:ascii="Times New Roman" w:hAnsi="Times New Roman" w:cs="Times New Roman"/>
                <w:color w:val="000000" w:themeColor="text1"/>
                <w:kern w:val="0"/>
                <w:sz w:val="24"/>
                <w:szCs w:val="24"/>
                <w14:textFill>
                  <w14:solidFill>
                    <w14:schemeClr w14:val="tx1"/>
                  </w14:solidFill>
                </w14:textFill>
              </w:rPr>
              <w:t>、具有因停电，死机状态数据丢失而保护的参数记忆，来电恢复功能。</w:t>
            </w:r>
          </w:p>
          <w:p w14:paraId="310B815E">
            <w:pPr>
              <w:ind w:firstLine="360"/>
              <w:jc w:val="both"/>
              <w:rPr>
                <w:rFonts w:ascii="Times New Roman" w:hAnsi="Times New Roman" w:cs="Times New Roman"/>
                <w:color w:val="000000" w:themeColor="text1"/>
                <w:kern w:val="0"/>
                <w:sz w:val="24"/>
                <w:szCs w:val="24"/>
                <w14:textFill>
                  <w14:solidFill>
                    <w14:schemeClr w14:val="tx1"/>
                  </w14:solidFill>
                </w14:textFill>
              </w:rPr>
            </w:pPr>
            <w:r>
              <w:rPr>
                <w:rFonts w:ascii="Times New Roman" w:hAnsi="Times New Roman" w:cs="Times New Roman"/>
                <w:color w:val="000000" w:themeColor="text1"/>
                <w:kern w:val="0"/>
                <w:sz w:val="24"/>
                <w:szCs w:val="24"/>
                <w14:textFill>
                  <w14:solidFill>
                    <w14:schemeClr w14:val="tx1"/>
                  </w14:solidFill>
                </w14:textFill>
              </w:rPr>
              <w:t>17</w:t>
            </w:r>
            <w:r>
              <w:rPr>
                <w:rFonts w:hint="eastAsia" w:ascii="Times New Roman" w:hAnsi="Times New Roman" w:cs="Times New Roman"/>
                <w:color w:val="000000" w:themeColor="text1"/>
                <w:kern w:val="0"/>
                <w:sz w:val="24"/>
                <w:szCs w:val="24"/>
                <w14:textFill>
                  <w14:solidFill>
                    <w14:schemeClr w14:val="tx1"/>
                  </w14:solidFill>
                </w14:textFill>
              </w:rPr>
              <w:t>、带紫外灯预约，风机、紫外灯、高效过滤器累计运行时间显示等多项功能。</w:t>
            </w:r>
          </w:p>
          <w:p w14:paraId="297A4E84">
            <w:pPr>
              <w:spacing w:line="240" w:lineRule="auto"/>
              <w:ind w:firstLine="0" w:firstLineChars="0"/>
              <w:jc w:val="both"/>
              <w:rPr>
                <w:rFonts w:hint="eastAsia" w:ascii="宋体" w:hAnsi="宋体" w:eastAsia="宋体" w:cs="宋体"/>
                <w:color w:val="auto"/>
                <w:kern w:val="0"/>
                <w:sz w:val="24"/>
                <w:szCs w:val="24"/>
              </w:rPr>
            </w:pPr>
            <w:r>
              <w:rPr>
                <w:rFonts w:ascii="Times New Roman" w:hAnsi="Times New Roman" w:cs="Times New Roman"/>
                <w:color w:val="000000" w:themeColor="text1"/>
                <w:kern w:val="0"/>
                <w:sz w:val="24"/>
                <w:szCs w:val="24"/>
                <w14:textFill>
                  <w14:solidFill>
                    <w14:schemeClr w14:val="tx1"/>
                  </w14:solidFill>
                </w14:textFill>
              </w:rPr>
              <w:t>18</w:t>
            </w:r>
            <w:r>
              <w:rPr>
                <w:rFonts w:hint="eastAsia" w:ascii="Times New Roman" w:hAnsi="Times New Roman" w:cs="Times New Roman"/>
                <w:color w:val="000000" w:themeColor="text1"/>
                <w:kern w:val="0"/>
                <w:sz w:val="24"/>
                <w:szCs w:val="24"/>
                <w14:textFill>
                  <w14:solidFill>
                    <w14:schemeClr w14:val="tx1"/>
                  </w14:solidFill>
                </w14:textFill>
              </w:rPr>
              <w:t>、适用人数：双人单面</w:t>
            </w:r>
          </w:p>
        </w:tc>
        <w:tc>
          <w:tcPr>
            <w:tcW w:w="706" w:type="dxa"/>
            <w:vAlign w:val="center"/>
          </w:tcPr>
          <w:p w14:paraId="1A916988">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套</w:t>
            </w:r>
          </w:p>
        </w:tc>
        <w:tc>
          <w:tcPr>
            <w:tcW w:w="716" w:type="dxa"/>
            <w:vAlign w:val="center"/>
          </w:tcPr>
          <w:p w14:paraId="71BF2C85">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2</w:t>
            </w:r>
          </w:p>
        </w:tc>
        <w:tc>
          <w:tcPr>
            <w:tcW w:w="716" w:type="dxa"/>
          </w:tcPr>
          <w:p w14:paraId="02E4936D">
            <w:pPr>
              <w:spacing w:line="240" w:lineRule="auto"/>
              <w:ind w:firstLine="0" w:firstLineChars="0"/>
              <w:jc w:val="both"/>
              <w:rPr>
                <w:rFonts w:ascii="仿宋" w:hAnsi="仿宋" w:eastAsia="仿宋" w:cs="仿宋"/>
                <w:kern w:val="0"/>
                <w:sz w:val="24"/>
                <w:szCs w:val="24"/>
              </w:rPr>
            </w:pPr>
          </w:p>
        </w:tc>
      </w:tr>
      <w:tr w14:paraId="3B1CD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384194D">
            <w:pPr>
              <w:spacing w:line="240" w:lineRule="auto"/>
              <w:ind w:firstLine="0" w:firstLineChars="0"/>
              <w:jc w:val="both"/>
              <w:rPr>
                <w:rFonts w:ascii="仿宋" w:hAnsi="仿宋" w:eastAsia="仿宋" w:cs="仿宋"/>
                <w:kern w:val="0"/>
                <w:sz w:val="24"/>
                <w:szCs w:val="24"/>
              </w:rPr>
            </w:pPr>
            <w:r>
              <w:rPr>
                <w:rFonts w:hint="eastAsia" w:ascii="仿宋" w:hAnsi="仿宋" w:eastAsia="仿宋" w:cs="宋体"/>
                <w:color w:val="000000" w:themeColor="text1"/>
                <w:kern w:val="0"/>
                <w:sz w:val="24"/>
                <w:szCs w:val="24"/>
                <w14:textFill>
                  <w14:solidFill>
                    <w14:schemeClr w14:val="tx1"/>
                  </w14:solidFill>
                </w14:textFill>
              </w:rPr>
              <w:t>11</w:t>
            </w:r>
          </w:p>
        </w:tc>
        <w:tc>
          <w:tcPr>
            <w:tcW w:w="845" w:type="dxa"/>
            <w:vAlign w:val="center"/>
          </w:tcPr>
          <w:p w14:paraId="78504864">
            <w:pPr>
              <w:spacing w:line="240" w:lineRule="auto"/>
              <w:ind w:firstLine="0" w:firstLineChars="0"/>
              <w:jc w:val="both"/>
              <w:rPr>
                <w:rFonts w:ascii="宋体" w:hAnsi="宋体" w:cs="仿宋"/>
                <w:kern w:val="0"/>
                <w:sz w:val="24"/>
                <w:szCs w:val="24"/>
              </w:rPr>
            </w:pPr>
            <w:r>
              <w:rPr>
                <w:rFonts w:hint="eastAsia" w:ascii="宋体" w:hAnsi="宋体" w:cs="宋体"/>
                <w:color w:val="000000" w:themeColor="text1"/>
                <w:kern w:val="0"/>
                <w:sz w:val="24"/>
                <w:szCs w:val="24"/>
                <w14:textFill>
                  <w14:solidFill>
                    <w14:schemeClr w14:val="tx1"/>
                  </w14:solidFill>
                </w14:textFill>
              </w:rPr>
              <w:t>实验台</w:t>
            </w:r>
          </w:p>
        </w:tc>
        <w:tc>
          <w:tcPr>
            <w:tcW w:w="6278" w:type="dxa"/>
            <w:vAlign w:val="top"/>
          </w:tcPr>
          <w:p w14:paraId="789A1942">
            <w:pPr>
              <w:spacing w:line="240" w:lineRule="auto"/>
              <w:ind w:firstLine="0" w:firstLineChars="0"/>
              <w:jc w:val="both"/>
              <w:rPr>
                <w:rFonts w:ascii="宋体" w:hAnsi="宋体" w:cs="仿宋"/>
                <w:b/>
                <w:bCs/>
                <w:color w:val="000000" w:themeColor="text1"/>
                <w:kern w:val="0"/>
                <w:sz w:val="24"/>
                <w:szCs w:val="24"/>
                <w14:textFill>
                  <w14:solidFill>
                    <w14:schemeClr w14:val="tx1"/>
                  </w14:solidFill>
                </w14:textFill>
              </w:rPr>
            </w:pPr>
            <w:r>
              <w:rPr>
                <w:rFonts w:hint="eastAsia" w:ascii="宋体" w:hAnsi="宋体" w:cs="仿宋"/>
                <w:b/>
                <w:bCs/>
                <w:color w:val="000000" w:themeColor="text1"/>
                <w:kern w:val="0"/>
                <w:sz w:val="24"/>
                <w:szCs w:val="24"/>
                <w14:textFill>
                  <w14:solidFill>
                    <w14:schemeClr w14:val="tx1"/>
                  </w14:solidFill>
                </w14:textFill>
              </w:rPr>
              <w:t>中央台6.5*1.5*0.8m：2组；</w:t>
            </w:r>
          </w:p>
          <w:p w14:paraId="5A77843C">
            <w:pPr>
              <w:spacing w:line="240" w:lineRule="auto"/>
              <w:ind w:firstLine="0" w:firstLineChars="0"/>
              <w:jc w:val="both"/>
              <w:rPr>
                <w:rFonts w:ascii="宋体" w:hAnsi="宋体" w:cs="仿宋"/>
                <w:b/>
                <w:bCs/>
                <w:color w:val="000000" w:themeColor="text1"/>
                <w:kern w:val="0"/>
                <w:sz w:val="24"/>
                <w:szCs w:val="24"/>
                <w14:textFill>
                  <w14:solidFill>
                    <w14:schemeClr w14:val="tx1"/>
                  </w14:solidFill>
                </w14:textFill>
              </w:rPr>
            </w:pPr>
            <w:r>
              <w:rPr>
                <w:rFonts w:hint="eastAsia" w:ascii="宋体" w:hAnsi="宋体" w:cs="仿宋"/>
                <w:b/>
                <w:bCs/>
                <w:color w:val="000000" w:themeColor="text1"/>
                <w:kern w:val="0"/>
                <w:sz w:val="24"/>
                <w:szCs w:val="24"/>
                <w14:textFill>
                  <w14:solidFill>
                    <w14:schemeClr w14:val="tx1"/>
                  </w14:solidFill>
                </w14:textFill>
              </w:rPr>
              <w:t>边台6.5*0.75*0.8m：1组；</w:t>
            </w:r>
          </w:p>
          <w:p w14:paraId="544BADCC">
            <w:pPr>
              <w:spacing w:line="240" w:lineRule="auto"/>
              <w:ind w:firstLine="0" w:firstLineChars="0"/>
              <w:jc w:val="both"/>
              <w:rPr>
                <w:rFonts w:ascii="宋体" w:hAnsi="宋体" w:cs="仿宋"/>
                <w:b/>
                <w:bCs/>
                <w:color w:val="000000" w:themeColor="text1"/>
                <w:kern w:val="0"/>
                <w:sz w:val="24"/>
                <w:szCs w:val="24"/>
                <w14:textFill>
                  <w14:solidFill>
                    <w14:schemeClr w14:val="tx1"/>
                  </w14:solidFill>
                </w14:textFill>
              </w:rPr>
            </w:pPr>
            <w:r>
              <w:rPr>
                <w:rFonts w:hint="eastAsia" w:ascii="宋体" w:hAnsi="宋体" w:cs="仿宋"/>
                <w:b/>
                <w:bCs/>
                <w:color w:val="000000" w:themeColor="text1"/>
                <w:kern w:val="0"/>
                <w:sz w:val="24"/>
                <w:szCs w:val="24"/>
                <w14:textFill>
                  <w14:solidFill>
                    <w14:schemeClr w14:val="tx1"/>
                  </w14:solidFill>
                </w14:textFill>
              </w:rPr>
              <w:t>全钢器皿柜，尺寸：0.9*0.45*1.8m：6个</w:t>
            </w:r>
          </w:p>
          <w:p w14:paraId="4EC43C40">
            <w:pPr>
              <w:spacing w:line="240" w:lineRule="auto"/>
              <w:ind w:firstLine="0" w:firstLineChars="0"/>
              <w:jc w:val="both"/>
              <w:rPr>
                <w:rFonts w:ascii="宋体" w:hAnsi="宋体" w:cs="仿宋"/>
                <w:color w:val="000000" w:themeColor="text1"/>
                <w:kern w:val="0"/>
                <w:sz w:val="24"/>
                <w:szCs w:val="24"/>
                <w14:textFill>
                  <w14:solidFill>
                    <w14:schemeClr w14:val="tx1"/>
                  </w14:solidFill>
                </w14:textFill>
              </w:rPr>
            </w:pPr>
            <w:r>
              <w:rPr>
                <w:rFonts w:hint="eastAsia" w:ascii="宋体" w:hAnsi="宋体" w:cs="仿宋"/>
                <w:color w:val="000000" w:themeColor="text1"/>
                <w:kern w:val="0"/>
                <w:sz w:val="24"/>
                <w:szCs w:val="24"/>
                <w14:textFill>
                  <w14:solidFill>
                    <w14:schemeClr w14:val="tx1"/>
                  </w14:solidFill>
                </w14:textFill>
              </w:rPr>
              <w:t>实验台参数：</w:t>
            </w:r>
          </w:p>
          <w:p w14:paraId="11C5FFBB">
            <w:pPr>
              <w:spacing w:line="240" w:lineRule="auto"/>
              <w:ind w:firstLine="0" w:firstLineChars="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1、材质和外形尺寸：钢木结构柜体，理化板台面，带空位；。</w:t>
            </w:r>
          </w:p>
          <w:p w14:paraId="779E1995">
            <w:pPr>
              <w:spacing w:line="240" w:lineRule="auto"/>
              <w:ind w:firstLine="0" w:firstLineChars="0"/>
              <w:jc w:val="both"/>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2、主框架：采用60mm×40mm×1.5mm优质镀锌方钢，表面经酸洗磷化后环氧树脂静电喷涂热固处理，耐酸碱腐蚀；承重性能好，框架整体荷载≥200 kg/㎡。</w:t>
            </w:r>
          </w:p>
          <w:p w14:paraId="329B57B1">
            <w:pPr>
              <w:widowControl/>
              <w:spacing w:line="360" w:lineRule="exact"/>
              <w:ind w:firstLine="0" w:firstLineChars="0"/>
              <w:jc w:val="left"/>
              <w:rPr>
                <w:rFonts w:ascii="Times New Roman" w:hAnsi="Times New Roman" w:cs="Times New Roman"/>
                <w:color w:val="000000" w:themeColor="text1"/>
                <w:kern w:val="0"/>
                <w:sz w:val="24"/>
                <w:szCs w:val="24"/>
                <w14:textFill>
                  <w14:solidFill>
                    <w14:schemeClr w14:val="tx1"/>
                  </w14:solidFill>
                </w14:textFill>
              </w:rPr>
            </w:pPr>
            <w:r>
              <w:rPr>
                <w:rFonts w:hint="eastAsia" w:ascii="Times New Roman" w:hAnsi="Times New Roman" w:cs="Times New Roman"/>
                <w:color w:val="000000" w:themeColor="text1"/>
                <w:kern w:val="0"/>
                <w:sz w:val="24"/>
                <w:szCs w:val="24"/>
                <w14:textFill>
                  <w14:solidFill>
                    <w14:schemeClr w14:val="tx1"/>
                  </w14:solidFill>
                </w14:textFill>
              </w:rPr>
              <w:t>3、台面：采用13mm厚抗微生物实芯理化板台面，表面具备超强耐酸碱性能、耐冲击、韧性强，低光护眼等特点。投标人须提供理化板台面针对本项目（含项目名称和编号）且加盖理化板台面生产厂家公章的售后服务承诺书，并提供添加有本项目水印（含项目名称和编号）、满足下述所有相应指标且加盖理化板台面生产厂家公章的检测报告复印件以备查验。</w:t>
            </w:r>
          </w:p>
          <w:p w14:paraId="19B32813">
            <w:pPr>
              <w:widowControl/>
              <w:spacing w:line="360" w:lineRule="exact"/>
              <w:ind w:firstLine="0" w:firstLineChars="0"/>
              <w:jc w:val="left"/>
              <w:rPr>
                <w:rFonts w:hint="eastAsia" w:ascii="宋体" w:hAnsi="宋体" w:eastAsia="宋体" w:cs="宋体"/>
                <w:kern w:val="0"/>
                <w:sz w:val="24"/>
                <w:szCs w:val="24"/>
              </w:rPr>
            </w:pPr>
            <w:r>
              <w:rPr>
                <w:rFonts w:hint="eastAsia" w:ascii="Times New Roman" w:hAnsi="Times New Roman" w:cs="Times New Roman"/>
                <w:color w:val="000000" w:themeColor="text1"/>
                <w:kern w:val="0"/>
                <w:sz w:val="24"/>
                <w:szCs w:val="24"/>
                <w14:textFill>
                  <w14:solidFill>
                    <w14:schemeClr w14:val="tx1"/>
                  </w14:solidFill>
                </w14:textFill>
              </w:rPr>
              <w:t>3.1、通过“第三方检测机构”检测，参照GB/T17657-2022“人造板及饰面人造板理化性能试验方法”进行检验。</w:t>
            </w:r>
          </w:p>
        </w:tc>
        <w:tc>
          <w:tcPr>
            <w:tcW w:w="706" w:type="dxa"/>
            <w:vAlign w:val="center"/>
          </w:tcPr>
          <w:p w14:paraId="5E7B05E5">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批</w:t>
            </w:r>
          </w:p>
        </w:tc>
        <w:tc>
          <w:tcPr>
            <w:tcW w:w="716" w:type="dxa"/>
            <w:vAlign w:val="center"/>
          </w:tcPr>
          <w:p w14:paraId="42D33217">
            <w:pPr>
              <w:ind w:firstLine="0" w:firstLineChars="0"/>
              <w:jc w:val="left"/>
              <w:rPr>
                <w:rFonts w:ascii="仿宋" w:hAnsi="仿宋" w:eastAsia="仿宋" w:cs="仿宋"/>
                <w:kern w:val="0"/>
                <w:sz w:val="24"/>
                <w:szCs w:val="24"/>
              </w:rPr>
            </w:pPr>
            <w:r>
              <w:rPr>
                <w:rFonts w:hint="eastAsia" w:ascii="仿宋" w:hAnsi="仿宋" w:eastAsia="仿宋" w:cs="宋体"/>
                <w:color w:val="000000"/>
                <w:kern w:val="0"/>
                <w:sz w:val="24"/>
                <w:szCs w:val="24"/>
              </w:rPr>
              <w:t>1</w:t>
            </w:r>
          </w:p>
        </w:tc>
        <w:tc>
          <w:tcPr>
            <w:tcW w:w="716" w:type="dxa"/>
          </w:tcPr>
          <w:p w14:paraId="4027C7BB">
            <w:pPr>
              <w:spacing w:line="240" w:lineRule="auto"/>
              <w:ind w:firstLine="0" w:firstLineChars="0"/>
              <w:jc w:val="both"/>
              <w:rPr>
                <w:rFonts w:ascii="仿宋" w:hAnsi="仿宋" w:eastAsia="仿宋" w:cs="仿宋"/>
                <w:kern w:val="0"/>
                <w:sz w:val="24"/>
                <w:szCs w:val="24"/>
              </w:rPr>
            </w:pPr>
          </w:p>
        </w:tc>
      </w:tr>
    </w:tbl>
    <w:p w14:paraId="3A634720">
      <w:pPr>
        <w:bidi w:val="0"/>
        <w:rPr>
          <w:rFonts w:hint="eastAsia" w:ascii="宋体" w:hAnsi="宋体" w:cs="宋体"/>
          <w:i w:val="0"/>
          <w:iCs w:val="0"/>
          <w:color w:val="auto"/>
          <w:kern w:val="2"/>
          <w:sz w:val="24"/>
          <w:szCs w:val="24"/>
          <w:highlight w:val="none"/>
          <w:lang w:val="en-US" w:eastAsia="zh-CN" w:bidi="ar"/>
        </w:rPr>
      </w:pPr>
    </w:p>
    <w:p w14:paraId="3BB734B9">
      <w:pPr>
        <w:bidi w:val="0"/>
        <w:rPr>
          <w:rFonts w:hint="eastAsia" w:ascii="宋体" w:hAnsi="宋体" w:cs="宋体"/>
          <w:i w:val="0"/>
          <w:iCs w:val="0"/>
          <w:color w:val="auto"/>
          <w:kern w:val="2"/>
          <w:sz w:val="24"/>
          <w:szCs w:val="24"/>
          <w:highlight w:val="none"/>
          <w:lang w:val="en-US" w:eastAsia="zh-CN" w:bidi="ar"/>
        </w:rPr>
      </w:pPr>
      <w:r>
        <w:rPr>
          <w:rFonts w:hint="eastAsia" w:ascii="宋体" w:hAnsi="宋体" w:cs="宋体"/>
          <w:i w:val="0"/>
          <w:iCs w:val="0"/>
          <w:color w:val="auto"/>
          <w:kern w:val="2"/>
          <w:sz w:val="24"/>
          <w:szCs w:val="24"/>
          <w:highlight w:val="none"/>
          <w:lang w:val="en-US" w:eastAsia="zh-CN" w:bidi="ar"/>
        </w:rPr>
        <w:t>注：</w:t>
      </w:r>
    </w:p>
    <w:p w14:paraId="49E5143A">
      <w:pPr>
        <w:spacing w:line="360" w:lineRule="auto"/>
        <w:ind w:firstLine="240" w:firstLineChars="1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设备故障</w:t>
      </w:r>
      <w:r>
        <w:rPr>
          <w:rFonts w:hint="eastAsia" w:ascii="宋体" w:hAnsi="宋体" w:eastAsia="宋体" w:cs="宋体"/>
          <w:color w:val="auto"/>
          <w:highlight w:val="none"/>
        </w:rPr>
        <w:t>维修响应：2小时响应，24小时内到场；（包括节假日）；</w:t>
      </w:r>
    </w:p>
    <w:p w14:paraId="5C87FDB8">
      <w:pPr>
        <w:spacing w:line="360" w:lineRule="auto"/>
        <w:ind w:firstLine="240" w:firstLineChars="100"/>
        <w:rPr>
          <w:rFonts w:hint="eastAsia" w:ascii="宋体" w:hAnsi="宋体" w:cs="宋体"/>
          <w:color w:val="auto"/>
          <w:highlight w:val="none"/>
          <w:lang w:eastAsia="zh-CN"/>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设备使用</w:t>
      </w:r>
      <w:r>
        <w:rPr>
          <w:rFonts w:hint="eastAsia" w:ascii="宋体" w:hAnsi="宋体" w:eastAsia="宋体" w:cs="宋体"/>
          <w:color w:val="auto"/>
          <w:highlight w:val="none"/>
        </w:rPr>
        <w:t>培训：免费操作培训和维修培训</w:t>
      </w:r>
      <w:r>
        <w:rPr>
          <w:rFonts w:hint="eastAsia" w:ascii="宋体" w:hAnsi="宋体" w:cs="宋体"/>
          <w:color w:val="auto"/>
          <w:highlight w:val="none"/>
          <w:lang w:eastAsia="zh-CN"/>
        </w:rPr>
        <w:t>。</w:t>
      </w:r>
    </w:p>
    <w:p w14:paraId="7D723409">
      <w:pPr>
        <w:pStyle w:val="9"/>
        <w:numPr>
          <w:ilvl w:val="0"/>
          <w:numId w:val="0"/>
        </w:numPr>
        <w:spacing w:line="360" w:lineRule="auto"/>
        <w:ind w:firstLine="240" w:firstLineChars="100"/>
        <w:rPr>
          <w:rFonts w:hint="default" w:ascii="宋体" w:hAnsi="宋体" w:cs="宋体"/>
          <w:color w:val="auto"/>
          <w:highlight w:val="none"/>
          <w:lang w:val="en-US" w:eastAsia="zh-CN"/>
        </w:rPr>
      </w:pPr>
      <w:r>
        <w:rPr>
          <w:rFonts w:hint="eastAsia" w:ascii="宋体" w:hAnsi="宋体" w:cs="宋体"/>
          <w:color w:val="auto"/>
          <w:highlight w:val="none"/>
          <w:lang w:val="en-US" w:eastAsia="zh-CN"/>
        </w:rPr>
        <w:t>★3、依据《财政部办公厅关于政府采购进口产品管理有关问题的通知》（财办库〔2008〕248号）第五条规定：招标文件中未特别注明可采购“进口产品”的，视为拒绝进口产品响应，</w:t>
      </w:r>
      <w:r>
        <w:rPr>
          <w:rFonts w:hint="eastAsia" w:ascii="宋体" w:hAnsi="宋体" w:cs="宋体"/>
          <w:b/>
          <w:bCs/>
          <w:color w:val="auto"/>
          <w:highlight w:val="none"/>
          <w:lang w:val="en-US" w:eastAsia="zh-CN"/>
        </w:rPr>
        <w:t>必须采购国产产品</w:t>
      </w:r>
      <w:r>
        <w:rPr>
          <w:rFonts w:hint="eastAsia" w:ascii="宋体" w:hAnsi="宋体" w:cs="宋体"/>
          <w:color w:val="auto"/>
          <w:highlight w:val="none"/>
        </w:rPr>
        <w:t>。</w:t>
      </w:r>
    </w:p>
    <w:sectPr>
      <w:pgSz w:w="11906" w:h="16838"/>
      <w:pgMar w:top="1247" w:right="1020" w:bottom="1247" w:left="1020" w:header="851" w:footer="992" w:gutter="0"/>
      <w:pgBorders>
        <w:top w:val="none" w:sz="0" w:space="0"/>
        <w:left w:val="none" w:sz="0" w:space="0"/>
        <w:bottom w:val="none" w:sz="0" w:space="0"/>
        <w:right w:val="none" w:sz="0" w:space="0"/>
      </w:pgBorders>
      <w:pgNumType w:fmt="numberInDash"/>
      <w:cols w:space="708"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02"/>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2AA95">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8B0CD">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548EE">
    <w:pPr>
      <w:pStyle w:val="14"/>
      <w:pBdr>
        <w:top w:val="single" w:color="auto" w:sz="4" w:space="0"/>
      </w:pBdr>
      <w:jc w:val="right"/>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2B351E">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12B351E">
                    <w:pPr>
                      <w:pStyle w:val="14"/>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val="en-US" w:eastAsia="zh-CN"/>
      </w:rPr>
      <w:t xml:space="preserve"> </w:t>
    </w:r>
    <w:r>
      <w:rPr>
        <w:rFonts w:hint="eastAsia"/>
        <w:lang w:eastAsia="zh-CN"/>
      </w:rPr>
      <w:drawing>
        <wp:inline distT="0" distB="0" distL="114300" distR="114300">
          <wp:extent cx="399415" cy="399415"/>
          <wp:effectExtent l="0" t="0" r="0" b="0"/>
          <wp:docPr id="6" name="图片 1" descr="云南康成工程咨询有限公司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云南康成工程咨询有限公司_画板 1"/>
                  <pic:cNvPicPr>
                    <a:picLocks noChangeAspect="1"/>
                  </pic:cNvPicPr>
                </pic:nvPicPr>
                <pic:blipFill>
                  <a:blip r:embed="rId1"/>
                  <a:stretch>
                    <a:fillRect/>
                  </a:stretch>
                </pic:blipFill>
                <pic:spPr>
                  <a:xfrm>
                    <a:off x="0" y="0"/>
                    <a:ext cx="399415" cy="399415"/>
                  </a:xfrm>
                  <a:prstGeom prst="rect">
                    <a:avLst/>
                  </a:prstGeom>
                  <a:noFill/>
                  <a:ln>
                    <a:noFill/>
                  </a:ln>
                </pic:spPr>
              </pic:pic>
            </a:graphicData>
          </a:graphic>
        </wp:inline>
      </w:drawing>
    </w:r>
    <w:r>
      <w:rPr>
        <w:rFonts w:hint="eastAsia"/>
        <w:lang w:val="en-US" w:eastAsia="zh-CN"/>
      </w:rPr>
      <w:t xml:space="preserve">    </w:t>
    </w:r>
    <w:r>
      <w:rPr>
        <w:rFonts w:hint="eastAsia"/>
        <w:lang w:eastAsia="zh-CN"/>
      </w:rPr>
      <w:t>云南康成工程咨询有限公司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25C91">
    <w:pPr>
      <w:pStyle w:val="16"/>
      <w:pBdr>
        <w:bottom w:val="single" w:color="auto" w:sz="4" w:space="1"/>
      </w:pBdr>
      <w:jc w:val="left"/>
      <w:rPr>
        <w:rFonts w:hint="default" w:eastAsia="宋体"/>
        <w:sz w:val="2"/>
        <w:szCs w:val="8"/>
        <w:lang w:val="en-US" w:eastAsia="zh-CN"/>
      </w:rPr>
    </w:pPr>
    <w:r>
      <w:rPr>
        <w:rFonts w:hint="eastAsia" w:ascii="宋体" w:hAnsi="宋体" w:cs="宋体"/>
        <w:b/>
        <w:bCs/>
        <w:color w:val="auto"/>
        <w:sz w:val="18"/>
        <w:szCs w:val="18"/>
        <w:highlight w:val="none"/>
        <w:lang w:eastAsia="zh-CN"/>
      </w:rPr>
      <w:t>云南能源职业技术学院综合分析检测平台项目</w:t>
    </w:r>
    <w:r>
      <w:rPr>
        <w:rFonts w:hint="eastAsia" w:ascii="宋体" w:hAnsi="宋体" w:cs="宋体"/>
        <w:b/>
        <w:bCs/>
        <w:color w:val="auto"/>
        <w:sz w:val="18"/>
        <w:szCs w:val="18"/>
        <w:highlight w:val="none"/>
        <w:lang w:val="en-US" w:eastAsia="zh-CN"/>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B30EA">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A1CB11"/>
    <w:multiLevelType w:val="singleLevel"/>
    <w:tmpl w:val="D6A1CB11"/>
    <w:lvl w:ilvl="0" w:tentative="0">
      <w:start w:val="4"/>
      <w:numFmt w:val="decimal"/>
      <w:suff w:val="space"/>
      <w:lvlText w:val="%1."/>
      <w:lvlJc w:val="left"/>
    </w:lvl>
  </w:abstractNum>
  <w:abstractNum w:abstractNumId="1">
    <w:nsid w:val="019954A8"/>
    <w:multiLevelType w:val="singleLevel"/>
    <w:tmpl w:val="019954A8"/>
    <w:lvl w:ilvl="0" w:tentative="0">
      <w:start w:val="2"/>
      <w:numFmt w:val="decimal"/>
      <w:suff w:val="nothing"/>
      <w:lvlText w:val="%1．"/>
      <w:lvlJc w:val="left"/>
    </w:lvl>
  </w:abstractNum>
  <w:abstractNum w:abstractNumId="2">
    <w:nsid w:val="0CED0764"/>
    <w:multiLevelType w:val="singleLevel"/>
    <w:tmpl w:val="0CED0764"/>
    <w:lvl w:ilvl="0" w:tentative="0">
      <w:start w:val="7"/>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E3YjJjMzY3N2Y2ZjFhOGFkM2Y5MzczMmEzMTRjMGMifQ=="/>
  </w:docVars>
  <w:rsids>
    <w:rsidRoot w:val="005F0F84"/>
    <w:rsid w:val="0022599A"/>
    <w:rsid w:val="002B35FE"/>
    <w:rsid w:val="005F0F84"/>
    <w:rsid w:val="00627F4A"/>
    <w:rsid w:val="009F1924"/>
    <w:rsid w:val="00AB652D"/>
    <w:rsid w:val="018369BE"/>
    <w:rsid w:val="01885311"/>
    <w:rsid w:val="01B41C27"/>
    <w:rsid w:val="01C505C2"/>
    <w:rsid w:val="01E0373D"/>
    <w:rsid w:val="02130433"/>
    <w:rsid w:val="022E44A8"/>
    <w:rsid w:val="02337D11"/>
    <w:rsid w:val="02564295"/>
    <w:rsid w:val="02994018"/>
    <w:rsid w:val="02CC15DE"/>
    <w:rsid w:val="02D908B8"/>
    <w:rsid w:val="034F73C8"/>
    <w:rsid w:val="03993DBA"/>
    <w:rsid w:val="03FD2571"/>
    <w:rsid w:val="04241DDC"/>
    <w:rsid w:val="044E2BE0"/>
    <w:rsid w:val="045D72C7"/>
    <w:rsid w:val="049C1B9D"/>
    <w:rsid w:val="04CA6A18"/>
    <w:rsid w:val="053165D7"/>
    <w:rsid w:val="05832D5D"/>
    <w:rsid w:val="05D9472B"/>
    <w:rsid w:val="05E11832"/>
    <w:rsid w:val="060F45F1"/>
    <w:rsid w:val="06320B96"/>
    <w:rsid w:val="069A1996"/>
    <w:rsid w:val="069A210C"/>
    <w:rsid w:val="069F1B5F"/>
    <w:rsid w:val="06F21F49"/>
    <w:rsid w:val="07107CE7"/>
    <w:rsid w:val="07590886"/>
    <w:rsid w:val="07634BF4"/>
    <w:rsid w:val="07AC2477"/>
    <w:rsid w:val="07E004AE"/>
    <w:rsid w:val="08406BBB"/>
    <w:rsid w:val="086A5E9B"/>
    <w:rsid w:val="08CE42EF"/>
    <w:rsid w:val="093928BE"/>
    <w:rsid w:val="09502F56"/>
    <w:rsid w:val="09C91135"/>
    <w:rsid w:val="09D53D2B"/>
    <w:rsid w:val="0A36742C"/>
    <w:rsid w:val="0A4370F5"/>
    <w:rsid w:val="0A466107"/>
    <w:rsid w:val="0A6214D1"/>
    <w:rsid w:val="0A9D666F"/>
    <w:rsid w:val="0AD02E89"/>
    <w:rsid w:val="0AFA761E"/>
    <w:rsid w:val="0B015797"/>
    <w:rsid w:val="0B5D1CFF"/>
    <w:rsid w:val="0BA63302"/>
    <w:rsid w:val="0C333F0C"/>
    <w:rsid w:val="0C572C27"/>
    <w:rsid w:val="0C5B40EC"/>
    <w:rsid w:val="0C7B653C"/>
    <w:rsid w:val="0CA43CE5"/>
    <w:rsid w:val="0CF87B8D"/>
    <w:rsid w:val="0CFC2FB8"/>
    <w:rsid w:val="0CFE2CC9"/>
    <w:rsid w:val="0D0916A3"/>
    <w:rsid w:val="0D6331DA"/>
    <w:rsid w:val="0DB367A1"/>
    <w:rsid w:val="0DC7755F"/>
    <w:rsid w:val="0E100F06"/>
    <w:rsid w:val="0E8B67DF"/>
    <w:rsid w:val="0EB75826"/>
    <w:rsid w:val="0EBD009B"/>
    <w:rsid w:val="0EC850E3"/>
    <w:rsid w:val="0EEE5ECB"/>
    <w:rsid w:val="0EEF168A"/>
    <w:rsid w:val="0F1A028E"/>
    <w:rsid w:val="0F1E0AE6"/>
    <w:rsid w:val="0F225395"/>
    <w:rsid w:val="0F334EAC"/>
    <w:rsid w:val="0F697B22"/>
    <w:rsid w:val="0F707EAE"/>
    <w:rsid w:val="0F7768DD"/>
    <w:rsid w:val="0FD4748F"/>
    <w:rsid w:val="0FEE0B17"/>
    <w:rsid w:val="103153C4"/>
    <w:rsid w:val="103C5FE2"/>
    <w:rsid w:val="1086721B"/>
    <w:rsid w:val="10943557"/>
    <w:rsid w:val="10963ADC"/>
    <w:rsid w:val="109951E3"/>
    <w:rsid w:val="10A420CD"/>
    <w:rsid w:val="10A5790B"/>
    <w:rsid w:val="10C1473A"/>
    <w:rsid w:val="10D821AF"/>
    <w:rsid w:val="111E1B8C"/>
    <w:rsid w:val="114710E3"/>
    <w:rsid w:val="11704826"/>
    <w:rsid w:val="117F07D8"/>
    <w:rsid w:val="11F12DFD"/>
    <w:rsid w:val="12135469"/>
    <w:rsid w:val="122F33EC"/>
    <w:rsid w:val="12331667"/>
    <w:rsid w:val="12360AF3"/>
    <w:rsid w:val="124027A5"/>
    <w:rsid w:val="125D3993"/>
    <w:rsid w:val="12701020"/>
    <w:rsid w:val="12A55950"/>
    <w:rsid w:val="12AC6FB4"/>
    <w:rsid w:val="12AD1898"/>
    <w:rsid w:val="12B91B6C"/>
    <w:rsid w:val="12C81DAF"/>
    <w:rsid w:val="12FE7EC7"/>
    <w:rsid w:val="13385187"/>
    <w:rsid w:val="13465C7A"/>
    <w:rsid w:val="134D6C00"/>
    <w:rsid w:val="136B0FE8"/>
    <w:rsid w:val="139F52BA"/>
    <w:rsid w:val="13C20EF5"/>
    <w:rsid w:val="13CA1B57"/>
    <w:rsid w:val="14074B59"/>
    <w:rsid w:val="140E413A"/>
    <w:rsid w:val="14A405FA"/>
    <w:rsid w:val="14C447F8"/>
    <w:rsid w:val="14FE41AE"/>
    <w:rsid w:val="156E3160"/>
    <w:rsid w:val="15FB249C"/>
    <w:rsid w:val="165A5414"/>
    <w:rsid w:val="16881F81"/>
    <w:rsid w:val="168976C2"/>
    <w:rsid w:val="16905A52"/>
    <w:rsid w:val="175A6ED0"/>
    <w:rsid w:val="17807ED6"/>
    <w:rsid w:val="1783099B"/>
    <w:rsid w:val="178A7F7B"/>
    <w:rsid w:val="179D7CAF"/>
    <w:rsid w:val="17E53404"/>
    <w:rsid w:val="18003D99"/>
    <w:rsid w:val="18164100"/>
    <w:rsid w:val="18B95AF2"/>
    <w:rsid w:val="19083A1D"/>
    <w:rsid w:val="191650EE"/>
    <w:rsid w:val="197A1FB6"/>
    <w:rsid w:val="1A044015"/>
    <w:rsid w:val="1A2D78C3"/>
    <w:rsid w:val="1A3907DB"/>
    <w:rsid w:val="1A3B761A"/>
    <w:rsid w:val="1A4252E7"/>
    <w:rsid w:val="1A613C8D"/>
    <w:rsid w:val="1A7A7E33"/>
    <w:rsid w:val="1AC16615"/>
    <w:rsid w:val="1AC217DA"/>
    <w:rsid w:val="1ACB68E1"/>
    <w:rsid w:val="1AEB6F83"/>
    <w:rsid w:val="1B9238A2"/>
    <w:rsid w:val="1BD9502D"/>
    <w:rsid w:val="1BDF76E9"/>
    <w:rsid w:val="1BEA6C31"/>
    <w:rsid w:val="1C056F0B"/>
    <w:rsid w:val="1C1041DF"/>
    <w:rsid w:val="1C550B58"/>
    <w:rsid w:val="1C8036FB"/>
    <w:rsid w:val="1CF14485"/>
    <w:rsid w:val="1D167BBB"/>
    <w:rsid w:val="1D736C89"/>
    <w:rsid w:val="1DA358F3"/>
    <w:rsid w:val="1E0740D4"/>
    <w:rsid w:val="1E234C86"/>
    <w:rsid w:val="1E787A27"/>
    <w:rsid w:val="1EE95587"/>
    <w:rsid w:val="1F394761"/>
    <w:rsid w:val="1F846C05"/>
    <w:rsid w:val="1FD22B7A"/>
    <w:rsid w:val="1FE22078"/>
    <w:rsid w:val="1FE67D19"/>
    <w:rsid w:val="20000DDB"/>
    <w:rsid w:val="20085EE1"/>
    <w:rsid w:val="201D2128"/>
    <w:rsid w:val="203861C8"/>
    <w:rsid w:val="209B4FA7"/>
    <w:rsid w:val="211E6091"/>
    <w:rsid w:val="215D2452"/>
    <w:rsid w:val="21780E44"/>
    <w:rsid w:val="21A07717"/>
    <w:rsid w:val="21BE56E6"/>
    <w:rsid w:val="21BF0821"/>
    <w:rsid w:val="21F55057"/>
    <w:rsid w:val="22286F53"/>
    <w:rsid w:val="22521696"/>
    <w:rsid w:val="22771730"/>
    <w:rsid w:val="22B934C3"/>
    <w:rsid w:val="22CE51C0"/>
    <w:rsid w:val="22D24584"/>
    <w:rsid w:val="23073B84"/>
    <w:rsid w:val="2342795C"/>
    <w:rsid w:val="234D14AA"/>
    <w:rsid w:val="2350771E"/>
    <w:rsid w:val="23847F75"/>
    <w:rsid w:val="2388271B"/>
    <w:rsid w:val="23A75A11"/>
    <w:rsid w:val="23AE66CF"/>
    <w:rsid w:val="23D83E1C"/>
    <w:rsid w:val="242157C3"/>
    <w:rsid w:val="244734E8"/>
    <w:rsid w:val="248F6BD1"/>
    <w:rsid w:val="2493609C"/>
    <w:rsid w:val="255120D8"/>
    <w:rsid w:val="25FC0D5C"/>
    <w:rsid w:val="260C30AB"/>
    <w:rsid w:val="26145F14"/>
    <w:rsid w:val="2619220F"/>
    <w:rsid w:val="2628235B"/>
    <w:rsid w:val="26526108"/>
    <w:rsid w:val="26830430"/>
    <w:rsid w:val="26AC327A"/>
    <w:rsid w:val="26AE3E92"/>
    <w:rsid w:val="26DD472F"/>
    <w:rsid w:val="27016811"/>
    <w:rsid w:val="27201D1D"/>
    <w:rsid w:val="275E4DE7"/>
    <w:rsid w:val="27806CA5"/>
    <w:rsid w:val="27D03788"/>
    <w:rsid w:val="28215D92"/>
    <w:rsid w:val="282835C4"/>
    <w:rsid w:val="284E151D"/>
    <w:rsid w:val="28C37179"/>
    <w:rsid w:val="29E928DF"/>
    <w:rsid w:val="2A1B24B1"/>
    <w:rsid w:val="2A7C6A8A"/>
    <w:rsid w:val="2A8966BC"/>
    <w:rsid w:val="2AA50EFC"/>
    <w:rsid w:val="2AB063BD"/>
    <w:rsid w:val="2ACD0453"/>
    <w:rsid w:val="2B065713"/>
    <w:rsid w:val="2B157704"/>
    <w:rsid w:val="2B3758CC"/>
    <w:rsid w:val="2BDD0222"/>
    <w:rsid w:val="2BFE7A5D"/>
    <w:rsid w:val="2C026598"/>
    <w:rsid w:val="2C0438CC"/>
    <w:rsid w:val="2C5B2D1B"/>
    <w:rsid w:val="2D404F0C"/>
    <w:rsid w:val="2D4A568C"/>
    <w:rsid w:val="2D6C32C4"/>
    <w:rsid w:val="2D947006"/>
    <w:rsid w:val="2DF81343"/>
    <w:rsid w:val="2E0221C2"/>
    <w:rsid w:val="2E6764C9"/>
    <w:rsid w:val="2EDD678B"/>
    <w:rsid w:val="2EF10702"/>
    <w:rsid w:val="2F762E67"/>
    <w:rsid w:val="2F8B61E7"/>
    <w:rsid w:val="2F963509"/>
    <w:rsid w:val="2FEF2B33"/>
    <w:rsid w:val="30191A45"/>
    <w:rsid w:val="301F3224"/>
    <w:rsid w:val="304940D8"/>
    <w:rsid w:val="307D5C1A"/>
    <w:rsid w:val="30B52BFE"/>
    <w:rsid w:val="30E00D88"/>
    <w:rsid w:val="30E164F9"/>
    <w:rsid w:val="31247320"/>
    <w:rsid w:val="31DB4CF3"/>
    <w:rsid w:val="32096215"/>
    <w:rsid w:val="32342D6D"/>
    <w:rsid w:val="324616C4"/>
    <w:rsid w:val="32805DAB"/>
    <w:rsid w:val="32A658FC"/>
    <w:rsid w:val="339C6C14"/>
    <w:rsid w:val="33B444E3"/>
    <w:rsid w:val="33CC0DB1"/>
    <w:rsid w:val="33DA14EB"/>
    <w:rsid w:val="342F2BD8"/>
    <w:rsid w:val="345B262C"/>
    <w:rsid w:val="34A57D4B"/>
    <w:rsid w:val="34B65AB4"/>
    <w:rsid w:val="34F5482E"/>
    <w:rsid w:val="34FD7B87"/>
    <w:rsid w:val="350767C2"/>
    <w:rsid w:val="35242162"/>
    <w:rsid w:val="352E7D40"/>
    <w:rsid w:val="355D23D3"/>
    <w:rsid w:val="356419B4"/>
    <w:rsid w:val="36323860"/>
    <w:rsid w:val="364A0BAA"/>
    <w:rsid w:val="36533F02"/>
    <w:rsid w:val="36566B7B"/>
    <w:rsid w:val="366D4898"/>
    <w:rsid w:val="36E903C3"/>
    <w:rsid w:val="37391B0F"/>
    <w:rsid w:val="374D0E2A"/>
    <w:rsid w:val="374E624E"/>
    <w:rsid w:val="375F76AC"/>
    <w:rsid w:val="377203B8"/>
    <w:rsid w:val="37F03362"/>
    <w:rsid w:val="38084878"/>
    <w:rsid w:val="381A45AC"/>
    <w:rsid w:val="38386D3E"/>
    <w:rsid w:val="38794C50"/>
    <w:rsid w:val="388E0193"/>
    <w:rsid w:val="38AF1198"/>
    <w:rsid w:val="38E46859"/>
    <w:rsid w:val="39136089"/>
    <w:rsid w:val="39246653"/>
    <w:rsid w:val="397E3E3F"/>
    <w:rsid w:val="3A575643"/>
    <w:rsid w:val="3A5F2943"/>
    <w:rsid w:val="3A8B1791"/>
    <w:rsid w:val="3AD13648"/>
    <w:rsid w:val="3ADE663C"/>
    <w:rsid w:val="3AF773E5"/>
    <w:rsid w:val="3B095088"/>
    <w:rsid w:val="3B156AF0"/>
    <w:rsid w:val="3B585B17"/>
    <w:rsid w:val="3B5B1163"/>
    <w:rsid w:val="3B7D02ED"/>
    <w:rsid w:val="3B7F4E52"/>
    <w:rsid w:val="3B9F72A2"/>
    <w:rsid w:val="3BAE774F"/>
    <w:rsid w:val="3BC767F9"/>
    <w:rsid w:val="3BDD7DCA"/>
    <w:rsid w:val="3BF375EE"/>
    <w:rsid w:val="3C12216A"/>
    <w:rsid w:val="3C123F18"/>
    <w:rsid w:val="3C19757F"/>
    <w:rsid w:val="3C4A424B"/>
    <w:rsid w:val="3CA72049"/>
    <w:rsid w:val="3D18555E"/>
    <w:rsid w:val="3D297CA6"/>
    <w:rsid w:val="3D507F16"/>
    <w:rsid w:val="3D6A5FFE"/>
    <w:rsid w:val="3D6B0388"/>
    <w:rsid w:val="3D780579"/>
    <w:rsid w:val="3DA0193C"/>
    <w:rsid w:val="3DAB6071"/>
    <w:rsid w:val="3DD05E38"/>
    <w:rsid w:val="3DD365AF"/>
    <w:rsid w:val="3DDB2B01"/>
    <w:rsid w:val="3E3D3A39"/>
    <w:rsid w:val="3E5E367C"/>
    <w:rsid w:val="3E7A3FF6"/>
    <w:rsid w:val="3E8167B1"/>
    <w:rsid w:val="3E976956"/>
    <w:rsid w:val="3EC040FF"/>
    <w:rsid w:val="3EE44456"/>
    <w:rsid w:val="3EF43DA9"/>
    <w:rsid w:val="3F17670B"/>
    <w:rsid w:val="3F4F1CCA"/>
    <w:rsid w:val="3F587DB5"/>
    <w:rsid w:val="3F6710D8"/>
    <w:rsid w:val="3F7F7B16"/>
    <w:rsid w:val="3FD31C10"/>
    <w:rsid w:val="3FF7648D"/>
    <w:rsid w:val="405014B2"/>
    <w:rsid w:val="40555399"/>
    <w:rsid w:val="40644F5E"/>
    <w:rsid w:val="4093139F"/>
    <w:rsid w:val="40A67D91"/>
    <w:rsid w:val="40B04A1A"/>
    <w:rsid w:val="40BE42C6"/>
    <w:rsid w:val="40E1035D"/>
    <w:rsid w:val="40E37746"/>
    <w:rsid w:val="414A5FD1"/>
    <w:rsid w:val="41CD4EF2"/>
    <w:rsid w:val="41CE268F"/>
    <w:rsid w:val="41E1633C"/>
    <w:rsid w:val="423A5F76"/>
    <w:rsid w:val="42817701"/>
    <w:rsid w:val="42E87780"/>
    <w:rsid w:val="42FC76D0"/>
    <w:rsid w:val="431762B8"/>
    <w:rsid w:val="43273B71"/>
    <w:rsid w:val="43AF4742"/>
    <w:rsid w:val="43C24A53"/>
    <w:rsid w:val="43D85DD6"/>
    <w:rsid w:val="44505921"/>
    <w:rsid w:val="44522754"/>
    <w:rsid w:val="447A6AFE"/>
    <w:rsid w:val="448E0EAD"/>
    <w:rsid w:val="4496320C"/>
    <w:rsid w:val="44985BE0"/>
    <w:rsid w:val="44D66648"/>
    <w:rsid w:val="44E26451"/>
    <w:rsid w:val="450C4952"/>
    <w:rsid w:val="453E7B2C"/>
    <w:rsid w:val="459636CF"/>
    <w:rsid w:val="4597598F"/>
    <w:rsid w:val="46115CF7"/>
    <w:rsid w:val="461E47A9"/>
    <w:rsid w:val="462036D5"/>
    <w:rsid w:val="468B4FF2"/>
    <w:rsid w:val="46B856BC"/>
    <w:rsid w:val="46C25123"/>
    <w:rsid w:val="46DA1AD6"/>
    <w:rsid w:val="476615BC"/>
    <w:rsid w:val="47D76015"/>
    <w:rsid w:val="47DB5B06"/>
    <w:rsid w:val="488E0DCA"/>
    <w:rsid w:val="488F0C66"/>
    <w:rsid w:val="489A776F"/>
    <w:rsid w:val="48B63E7D"/>
    <w:rsid w:val="49CD147E"/>
    <w:rsid w:val="49DC7913"/>
    <w:rsid w:val="49E15DA4"/>
    <w:rsid w:val="49EB12D5"/>
    <w:rsid w:val="4A0A4518"/>
    <w:rsid w:val="4A4C6847"/>
    <w:rsid w:val="4A5334F5"/>
    <w:rsid w:val="4A54394D"/>
    <w:rsid w:val="4A8A55C1"/>
    <w:rsid w:val="4AC07235"/>
    <w:rsid w:val="4B06733D"/>
    <w:rsid w:val="4B871B00"/>
    <w:rsid w:val="4B887D52"/>
    <w:rsid w:val="4BC92119"/>
    <w:rsid w:val="4BFB6776"/>
    <w:rsid w:val="4BFC24EE"/>
    <w:rsid w:val="4C105B58"/>
    <w:rsid w:val="4C2118B1"/>
    <w:rsid w:val="4C2D6862"/>
    <w:rsid w:val="4C8449BE"/>
    <w:rsid w:val="4D16313C"/>
    <w:rsid w:val="4D467EC5"/>
    <w:rsid w:val="4D4952BF"/>
    <w:rsid w:val="4D673998"/>
    <w:rsid w:val="4D745841"/>
    <w:rsid w:val="4DF416CF"/>
    <w:rsid w:val="4DF739FA"/>
    <w:rsid w:val="4E1C1282"/>
    <w:rsid w:val="4E1C1C71"/>
    <w:rsid w:val="4E4700E1"/>
    <w:rsid w:val="4E4D7031"/>
    <w:rsid w:val="4E760336"/>
    <w:rsid w:val="4EB470B0"/>
    <w:rsid w:val="4ECB6814"/>
    <w:rsid w:val="4ECE12A8"/>
    <w:rsid w:val="4F253AC4"/>
    <w:rsid w:val="4F310565"/>
    <w:rsid w:val="4F5A4BAB"/>
    <w:rsid w:val="4FA47E64"/>
    <w:rsid w:val="4FDB635C"/>
    <w:rsid w:val="4FEA478B"/>
    <w:rsid w:val="505521CD"/>
    <w:rsid w:val="50836D3A"/>
    <w:rsid w:val="508A631B"/>
    <w:rsid w:val="50E27F05"/>
    <w:rsid w:val="5133250E"/>
    <w:rsid w:val="51865A67"/>
    <w:rsid w:val="518D6C8A"/>
    <w:rsid w:val="51A0187A"/>
    <w:rsid w:val="51CE0489"/>
    <w:rsid w:val="51D640EA"/>
    <w:rsid w:val="51DA6929"/>
    <w:rsid w:val="51E02835"/>
    <w:rsid w:val="51F21EEF"/>
    <w:rsid w:val="520F675D"/>
    <w:rsid w:val="526D7CA2"/>
    <w:rsid w:val="52B91B03"/>
    <w:rsid w:val="53A5521A"/>
    <w:rsid w:val="53A66C6D"/>
    <w:rsid w:val="53C95E90"/>
    <w:rsid w:val="540E1011"/>
    <w:rsid w:val="542B7D30"/>
    <w:rsid w:val="54372316"/>
    <w:rsid w:val="546B238B"/>
    <w:rsid w:val="54BF230B"/>
    <w:rsid w:val="556C74DE"/>
    <w:rsid w:val="55C2654D"/>
    <w:rsid w:val="55D5422C"/>
    <w:rsid w:val="55DF3FE6"/>
    <w:rsid w:val="5621502B"/>
    <w:rsid w:val="56252E0A"/>
    <w:rsid w:val="563D798B"/>
    <w:rsid w:val="56723AD9"/>
    <w:rsid w:val="56821F80"/>
    <w:rsid w:val="56A870D0"/>
    <w:rsid w:val="56AD40EC"/>
    <w:rsid w:val="56FB4FB6"/>
    <w:rsid w:val="570A1F63"/>
    <w:rsid w:val="57A57E2D"/>
    <w:rsid w:val="57CD78F7"/>
    <w:rsid w:val="57F022B4"/>
    <w:rsid w:val="5806097D"/>
    <w:rsid w:val="585A63E5"/>
    <w:rsid w:val="5879038D"/>
    <w:rsid w:val="58D77C23"/>
    <w:rsid w:val="58D9147C"/>
    <w:rsid w:val="58F50B04"/>
    <w:rsid w:val="58FE1654"/>
    <w:rsid w:val="590E489B"/>
    <w:rsid w:val="59EF7DD1"/>
    <w:rsid w:val="5A1B6236"/>
    <w:rsid w:val="5A1F7851"/>
    <w:rsid w:val="5A7616BE"/>
    <w:rsid w:val="5AD67EE9"/>
    <w:rsid w:val="5B01542B"/>
    <w:rsid w:val="5B540F9E"/>
    <w:rsid w:val="5B59067D"/>
    <w:rsid w:val="5BA1276A"/>
    <w:rsid w:val="5BEF05B4"/>
    <w:rsid w:val="5C335AB8"/>
    <w:rsid w:val="5C630938"/>
    <w:rsid w:val="5C7355F9"/>
    <w:rsid w:val="5D064399"/>
    <w:rsid w:val="5D0A1595"/>
    <w:rsid w:val="5D1A724B"/>
    <w:rsid w:val="5D213B63"/>
    <w:rsid w:val="5D573826"/>
    <w:rsid w:val="5D683540"/>
    <w:rsid w:val="5D891708"/>
    <w:rsid w:val="5D9E1657"/>
    <w:rsid w:val="5DD66B15"/>
    <w:rsid w:val="5DFB0858"/>
    <w:rsid w:val="5DFD637E"/>
    <w:rsid w:val="5E331F82"/>
    <w:rsid w:val="5E346BD9"/>
    <w:rsid w:val="5E6A467A"/>
    <w:rsid w:val="5E876D32"/>
    <w:rsid w:val="5F17346F"/>
    <w:rsid w:val="5F93686E"/>
    <w:rsid w:val="5FB94527"/>
    <w:rsid w:val="5FCF6F9F"/>
    <w:rsid w:val="5FD36467"/>
    <w:rsid w:val="5FE743D1"/>
    <w:rsid w:val="5FEE514E"/>
    <w:rsid w:val="5FF613EB"/>
    <w:rsid w:val="60066961"/>
    <w:rsid w:val="600D2854"/>
    <w:rsid w:val="60934D78"/>
    <w:rsid w:val="61314591"/>
    <w:rsid w:val="61342A7F"/>
    <w:rsid w:val="613F0A5C"/>
    <w:rsid w:val="6166050D"/>
    <w:rsid w:val="61860438"/>
    <w:rsid w:val="61C64CD9"/>
    <w:rsid w:val="62143C96"/>
    <w:rsid w:val="623065F6"/>
    <w:rsid w:val="624215C5"/>
    <w:rsid w:val="62981BC5"/>
    <w:rsid w:val="629D770A"/>
    <w:rsid w:val="62EC472C"/>
    <w:rsid w:val="62EC5F9A"/>
    <w:rsid w:val="631B1F44"/>
    <w:rsid w:val="632717A7"/>
    <w:rsid w:val="635A2B8A"/>
    <w:rsid w:val="63770981"/>
    <w:rsid w:val="63B83E54"/>
    <w:rsid w:val="63CE5E0C"/>
    <w:rsid w:val="63D1455F"/>
    <w:rsid w:val="64206F99"/>
    <w:rsid w:val="642F4DB7"/>
    <w:rsid w:val="64410F8F"/>
    <w:rsid w:val="644B1C02"/>
    <w:rsid w:val="645A795A"/>
    <w:rsid w:val="64632CB3"/>
    <w:rsid w:val="648D7D30"/>
    <w:rsid w:val="64B81251"/>
    <w:rsid w:val="64DF0C36"/>
    <w:rsid w:val="651B358E"/>
    <w:rsid w:val="65414F7C"/>
    <w:rsid w:val="65A417D5"/>
    <w:rsid w:val="65B819BD"/>
    <w:rsid w:val="65FC516D"/>
    <w:rsid w:val="661701F9"/>
    <w:rsid w:val="662B0398"/>
    <w:rsid w:val="66E92A6B"/>
    <w:rsid w:val="67177D85"/>
    <w:rsid w:val="676F3054"/>
    <w:rsid w:val="679355E3"/>
    <w:rsid w:val="679715F1"/>
    <w:rsid w:val="67A83750"/>
    <w:rsid w:val="67AB6E4B"/>
    <w:rsid w:val="67B92ED7"/>
    <w:rsid w:val="6868570A"/>
    <w:rsid w:val="6884144A"/>
    <w:rsid w:val="69015722"/>
    <w:rsid w:val="69692B1A"/>
    <w:rsid w:val="696B3B80"/>
    <w:rsid w:val="69BA15C7"/>
    <w:rsid w:val="69DA7573"/>
    <w:rsid w:val="6A050368"/>
    <w:rsid w:val="6A1D5CF8"/>
    <w:rsid w:val="6A4C5F97"/>
    <w:rsid w:val="6A8428FA"/>
    <w:rsid w:val="6AEF5A9A"/>
    <w:rsid w:val="6B2A3BA1"/>
    <w:rsid w:val="6B522D95"/>
    <w:rsid w:val="6BB81B36"/>
    <w:rsid w:val="6BDB0948"/>
    <w:rsid w:val="6C203FA5"/>
    <w:rsid w:val="6C465394"/>
    <w:rsid w:val="6C4B6506"/>
    <w:rsid w:val="6CB0280D"/>
    <w:rsid w:val="6D673814"/>
    <w:rsid w:val="6D725D15"/>
    <w:rsid w:val="6D8617C0"/>
    <w:rsid w:val="6DCF3167"/>
    <w:rsid w:val="6E094833"/>
    <w:rsid w:val="6E265763"/>
    <w:rsid w:val="6E6E6BDC"/>
    <w:rsid w:val="6E8126B3"/>
    <w:rsid w:val="6EAB5982"/>
    <w:rsid w:val="6EBF142E"/>
    <w:rsid w:val="6EE437B2"/>
    <w:rsid w:val="6EE4712B"/>
    <w:rsid w:val="6F101064"/>
    <w:rsid w:val="6F1F1ECC"/>
    <w:rsid w:val="6F38128B"/>
    <w:rsid w:val="6F3C65DA"/>
    <w:rsid w:val="6F59718C"/>
    <w:rsid w:val="6F5A540B"/>
    <w:rsid w:val="6F6444D0"/>
    <w:rsid w:val="6FED5B27"/>
    <w:rsid w:val="7040644A"/>
    <w:rsid w:val="70736101"/>
    <w:rsid w:val="70B36D70"/>
    <w:rsid w:val="70CE2CD1"/>
    <w:rsid w:val="70F76C5D"/>
    <w:rsid w:val="71C34AF7"/>
    <w:rsid w:val="72035AD5"/>
    <w:rsid w:val="7204522B"/>
    <w:rsid w:val="727F33AE"/>
    <w:rsid w:val="72A46D21"/>
    <w:rsid w:val="72C161C4"/>
    <w:rsid w:val="72EC715E"/>
    <w:rsid w:val="72F0555E"/>
    <w:rsid w:val="730C3F17"/>
    <w:rsid w:val="732B6D0E"/>
    <w:rsid w:val="733D0B73"/>
    <w:rsid w:val="73467A28"/>
    <w:rsid w:val="73840550"/>
    <w:rsid w:val="743E1585"/>
    <w:rsid w:val="74852401"/>
    <w:rsid w:val="748C2B39"/>
    <w:rsid w:val="74A52E74"/>
    <w:rsid w:val="75530B22"/>
    <w:rsid w:val="75DD1586"/>
    <w:rsid w:val="75F63130"/>
    <w:rsid w:val="761958A0"/>
    <w:rsid w:val="761C7166"/>
    <w:rsid w:val="766C59F7"/>
    <w:rsid w:val="76BD3DFD"/>
    <w:rsid w:val="76BF646F"/>
    <w:rsid w:val="76D31F1A"/>
    <w:rsid w:val="76E00193"/>
    <w:rsid w:val="76E87426"/>
    <w:rsid w:val="7721064A"/>
    <w:rsid w:val="77732DB5"/>
    <w:rsid w:val="7791148D"/>
    <w:rsid w:val="77D04617"/>
    <w:rsid w:val="77D45F4A"/>
    <w:rsid w:val="785F2235"/>
    <w:rsid w:val="789E013A"/>
    <w:rsid w:val="78A0407E"/>
    <w:rsid w:val="78BD0E56"/>
    <w:rsid w:val="78CD32B5"/>
    <w:rsid w:val="78E55F35"/>
    <w:rsid w:val="79520659"/>
    <w:rsid w:val="79CD71A3"/>
    <w:rsid w:val="79DE3361"/>
    <w:rsid w:val="79F13787"/>
    <w:rsid w:val="7A0F14BB"/>
    <w:rsid w:val="7A284479"/>
    <w:rsid w:val="7A495B49"/>
    <w:rsid w:val="7A5A200A"/>
    <w:rsid w:val="7A6569F9"/>
    <w:rsid w:val="7B0C59FB"/>
    <w:rsid w:val="7B14665D"/>
    <w:rsid w:val="7B551150"/>
    <w:rsid w:val="7BB730A1"/>
    <w:rsid w:val="7BE40725"/>
    <w:rsid w:val="7BE67FFA"/>
    <w:rsid w:val="7C0A0BC5"/>
    <w:rsid w:val="7C953391"/>
    <w:rsid w:val="7C9B7036"/>
    <w:rsid w:val="7CA55996"/>
    <w:rsid w:val="7D664357"/>
    <w:rsid w:val="7D953E93"/>
    <w:rsid w:val="7DB12889"/>
    <w:rsid w:val="7E026C41"/>
    <w:rsid w:val="7E1001D8"/>
    <w:rsid w:val="7E1A042F"/>
    <w:rsid w:val="7E7F508D"/>
    <w:rsid w:val="7EB663A9"/>
    <w:rsid w:val="7ECF23DE"/>
    <w:rsid w:val="7EE7785F"/>
    <w:rsid w:val="7F0A04A3"/>
    <w:rsid w:val="7F0C2D8A"/>
    <w:rsid w:val="7F17496E"/>
    <w:rsid w:val="7F2A46A1"/>
    <w:rsid w:val="7F674B18"/>
    <w:rsid w:val="7F733B78"/>
    <w:rsid w:val="7F915D42"/>
    <w:rsid w:val="7FFA383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0"/>
    <w:pPr>
      <w:spacing w:line="360" w:lineRule="auto"/>
      <w:jc w:val="center"/>
      <w:outlineLvl w:val="0"/>
    </w:pPr>
    <w:rPr>
      <w:b/>
      <w:sz w:val="32"/>
    </w:rPr>
  </w:style>
  <w:style w:type="paragraph" w:styleId="3">
    <w:name w:val="heading 2"/>
    <w:basedOn w:val="1"/>
    <w:next w:val="1"/>
    <w:link w:val="32"/>
    <w:qFormat/>
    <w:uiPriority w:val="0"/>
    <w:pPr>
      <w:keepNext/>
      <w:tabs>
        <w:tab w:val="left" w:pos="1021"/>
      </w:tabs>
      <w:adjustRightInd w:val="0"/>
      <w:spacing w:before="120" w:after="120"/>
      <w:ind w:left="1021" w:hanging="596"/>
      <w:jc w:val="center"/>
      <w:textAlignment w:val="baseline"/>
      <w:outlineLvl w:val="1"/>
    </w:pPr>
    <w:rPr>
      <w:rFonts w:ascii="Times New Roman" w:hAnsi="Times New Roman" w:eastAsia="宋体"/>
      <w:b/>
      <w:kern w:val="0"/>
      <w:sz w:val="28"/>
      <w:szCs w:val="20"/>
    </w:rPr>
  </w:style>
  <w:style w:type="paragraph" w:styleId="4">
    <w:name w:val="heading 3"/>
    <w:basedOn w:val="1"/>
    <w:next w:val="1"/>
    <w:link w:val="33"/>
    <w:qFormat/>
    <w:uiPriority w:val="0"/>
    <w:pPr>
      <w:keepNext/>
      <w:keepLines/>
      <w:widowControl/>
      <w:numPr>
        <w:ilvl w:val="2"/>
        <w:numId w:val="0"/>
      </w:numPr>
      <w:tabs>
        <w:tab w:val="left" w:pos="720"/>
      </w:tabs>
      <w:spacing w:before="120" w:after="120" w:line="360" w:lineRule="auto"/>
      <w:ind w:left="720" w:hanging="720"/>
      <w:jc w:val="center"/>
      <w:outlineLvl w:val="2"/>
    </w:pPr>
    <w:rPr>
      <w:rFonts w:ascii="宋体" w:hAnsi="宋体" w:eastAsia="宋体"/>
      <w:b/>
      <w:color w:val="000000"/>
      <w:kern w:val="0"/>
      <w:szCs w:val="20"/>
    </w:rPr>
  </w:style>
  <w:style w:type="paragraph" w:styleId="5">
    <w:name w:val="heading 4"/>
    <w:basedOn w:val="1"/>
    <w:next w:val="1"/>
    <w:link w:val="34"/>
    <w:qFormat/>
    <w:uiPriority w:val="0"/>
    <w:pPr>
      <w:tabs>
        <w:tab w:val="left" w:pos="2155"/>
      </w:tabs>
      <w:adjustRightInd w:val="0"/>
      <w:spacing w:before="120" w:line="360" w:lineRule="auto"/>
      <w:ind w:left="1915" w:leftChars="100" w:rightChars="100" w:hanging="1078"/>
      <w:textAlignment w:val="baseline"/>
      <w:outlineLvl w:val="3"/>
    </w:pPr>
    <w:rPr>
      <w:rFonts w:ascii="Arial" w:hAnsi="Arial"/>
      <w:b/>
      <w:kern w:val="0"/>
      <w:szCs w:val="20"/>
    </w:rPr>
  </w:style>
  <w:style w:type="paragraph" w:styleId="6">
    <w:name w:val="heading 5"/>
    <w:basedOn w:val="1"/>
    <w:next w:val="1"/>
    <w:link w:val="35"/>
    <w:qFormat/>
    <w:uiPriority w:val="0"/>
    <w:pPr>
      <w:keepNext/>
      <w:keepLines/>
      <w:spacing w:before="20" w:beforeLines="0" w:beforeAutospacing="0" w:after="20" w:afterLines="0" w:afterAutospacing="0" w:line="360" w:lineRule="auto"/>
      <w:jc w:val="left"/>
      <w:outlineLvl w:val="4"/>
    </w:pPr>
    <w:rPr>
      <w:rFonts w:ascii="Times New Roman" w:hAnsi="Times New Roman" w:eastAsia="宋体" w:cs="Times New Roman"/>
      <w:b/>
      <w:sz w:val="28"/>
      <w:szCs w:val="22"/>
    </w:rPr>
  </w:style>
  <w:style w:type="character" w:default="1" w:styleId="28">
    <w:name w:val="Default Paragraph Font"/>
    <w:semiHidden/>
    <w:qFormat/>
    <w:uiPriority w:val="0"/>
  </w:style>
  <w:style w:type="table" w:default="1" w:styleId="26">
    <w:name w:val="Normal Table"/>
    <w:semiHidden/>
    <w:qFormat/>
    <w:uiPriority w:val="0"/>
    <w:tblPr>
      <w:tblCellMar>
        <w:top w:w="0" w:type="dxa"/>
        <w:left w:w="108" w:type="dxa"/>
        <w:bottom w:w="0" w:type="dxa"/>
        <w:right w:w="108" w:type="dxa"/>
      </w:tblCellMar>
    </w:tblPr>
  </w:style>
  <w:style w:type="paragraph" w:styleId="7">
    <w:name w:val="Normal Indent"/>
    <w:basedOn w:val="1"/>
    <w:next w:val="1"/>
    <w:qFormat/>
    <w:uiPriority w:val="0"/>
    <w:pPr>
      <w:widowControl/>
      <w:ind w:firstLine="420" w:firstLineChars="200"/>
      <w:jc w:val="left"/>
    </w:pPr>
    <w:rPr>
      <w:rFonts w:ascii="Times New Roman" w:hAnsi="Times New Roman" w:eastAsia="宋体" w:cs="Times New Roman"/>
      <w:kern w:val="0"/>
      <w:sz w:val="20"/>
      <w:szCs w:val="20"/>
    </w:rPr>
  </w:style>
  <w:style w:type="paragraph" w:styleId="8">
    <w:name w:val="annotation text"/>
    <w:basedOn w:val="1"/>
    <w:link w:val="36"/>
    <w:qFormat/>
    <w:uiPriority w:val="0"/>
    <w:pPr>
      <w:ind w:firstLine="388" w:firstLineChars="200"/>
      <w:jc w:val="left"/>
    </w:pPr>
    <w:rPr>
      <w:szCs w:val="20"/>
    </w:rPr>
  </w:style>
  <w:style w:type="paragraph" w:styleId="9">
    <w:name w:val="Body Text"/>
    <w:basedOn w:val="1"/>
    <w:qFormat/>
    <w:uiPriority w:val="0"/>
    <w:pPr>
      <w:spacing w:after="120"/>
    </w:pPr>
    <w:rPr>
      <w:rFonts w:ascii="Times New Roman" w:hAnsi="Times New Roman" w:eastAsia="宋体" w:cs="Times New Roman"/>
    </w:rPr>
  </w:style>
  <w:style w:type="paragraph" w:styleId="10">
    <w:name w:val="Body Text Indent"/>
    <w:basedOn w:val="1"/>
    <w:qFormat/>
    <w:uiPriority w:val="0"/>
    <w:pPr>
      <w:spacing w:after="120"/>
      <w:ind w:left="420" w:leftChars="200"/>
    </w:pPr>
    <w:rPr>
      <w:rFonts w:ascii="Times New Roman" w:hAnsi="Times New Roman" w:eastAsia="宋体" w:cs="Times New Roman"/>
    </w:rPr>
  </w:style>
  <w:style w:type="paragraph" w:styleId="11">
    <w:name w:val="Block Text"/>
    <w:basedOn w:val="1"/>
    <w:next w:val="1"/>
    <w:unhideWhenUsed/>
    <w:qFormat/>
    <w:uiPriority w:val="99"/>
    <w:pPr>
      <w:spacing w:after="120"/>
      <w:ind w:left="1440" w:leftChars="700" w:right="1440" w:rightChars="700"/>
    </w:pPr>
  </w:style>
  <w:style w:type="paragraph" w:styleId="12">
    <w:name w:val="Plain Text"/>
    <w:basedOn w:val="1"/>
    <w:next w:val="1"/>
    <w:qFormat/>
    <w:uiPriority w:val="0"/>
    <w:rPr>
      <w:rFonts w:ascii="宋体" w:hAnsi="Times New Roman" w:eastAsia="宋体" w:cs="Times New Roman"/>
      <w:szCs w:val="20"/>
    </w:rPr>
  </w:style>
  <w:style w:type="paragraph" w:styleId="13">
    <w:name w:val="Body Text Indent 2"/>
    <w:basedOn w:val="1"/>
    <w:qFormat/>
    <w:uiPriority w:val="0"/>
    <w:pPr>
      <w:spacing w:after="120" w:line="480" w:lineRule="auto"/>
      <w:ind w:left="200" w:leftChars="200"/>
    </w:pPr>
    <w:rPr>
      <w:rFonts w:ascii="Times New Roman" w:hAnsi="Times New Roman" w:eastAsia="宋体" w:cs="Times New Roman"/>
    </w:rPr>
  </w:style>
  <w:style w:type="paragraph" w:styleId="14">
    <w:name w:val="footer"/>
    <w:basedOn w:val="1"/>
    <w:qFormat/>
    <w:uiPriority w:val="99"/>
    <w:pPr>
      <w:tabs>
        <w:tab w:val="center" w:pos="4153"/>
        <w:tab w:val="right" w:pos="8306"/>
      </w:tabs>
      <w:snapToGrid w:val="0"/>
      <w:jc w:val="left"/>
    </w:pPr>
    <w:rPr>
      <w:rFonts w:ascii="宋体" w:hAnsi="Times New Roman" w:eastAsia="宋体" w:cs="Times New Roman"/>
      <w:sz w:val="18"/>
      <w:szCs w:val="20"/>
    </w:rPr>
  </w:style>
  <w:style w:type="paragraph" w:styleId="15">
    <w:name w:val="envelope return"/>
    <w:basedOn w:val="1"/>
    <w:qFormat/>
    <w:uiPriority w:val="0"/>
    <w:pPr>
      <w:snapToGrid w:val="0"/>
    </w:pPr>
    <w:rPr>
      <w:rFonts w:ascii="Arial" w:hAnsi="Arial"/>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qFormat/>
    <w:uiPriority w:val="0"/>
  </w:style>
  <w:style w:type="paragraph" w:styleId="18">
    <w:name w:val="footnote text"/>
    <w:basedOn w:val="1"/>
    <w:qFormat/>
    <w:uiPriority w:val="99"/>
    <w:pPr>
      <w:adjustRightInd w:val="0"/>
      <w:snapToGrid w:val="0"/>
      <w:spacing w:line="312" w:lineRule="atLeast"/>
      <w:jc w:val="left"/>
      <w:textAlignment w:val="baseline"/>
    </w:pPr>
    <w:rPr>
      <w:rFonts w:ascii="Times New Roman" w:hAnsi="Times New Roman" w:eastAsia="仿宋" w:cs="Times New Roman"/>
      <w:kern w:val="0"/>
      <w:sz w:val="18"/>
      <w:szCs w:val="18"/>
    </w:rPr>
  </w:style>
  <w:style w:type="paragraph" w:styleId="19">
    <w:name w:val="toc 2"/>
    <w:basedOn w:val="1"/>
    <w:next w:val="1"/>
    <w:qFormat/>
    <w:uiPriority w:val="0"/>
    <w:pPr>
      <w:ind w:left="420" w:leftChars="200"/>
    </w:pPr>
  </w:style>
  <w:style w:type="paragraph" w:styleId="20">
    <w:name w:val="Body Text 2"/>
    <w:basedOn w:val="1"/>
    <w:qFormat/>
    <w:uiPriority w:val="0"/>
    <w:rPr>
      <w:sz w:val="24"/>
    </w:rPr>
  </w:style>
  <w:style w:type="paragraph" w:styleId="21">
    <w:name w:val="Normal (Web)"/>
    <w:basedOn w:val="1"/>
    <w:qFormat/>
    <w:uiPriority w:val="99"/>
    <w:pPr>
      <w:widowControl/>
      <w:spacing w:before="100" w:beforeAutospacing="1" w:after="100" w:afterAutospacing="1"/>
      <w:jc w:val="left"/>
    </w:pPr>
    <w:rPr>
      <w:rFonts w:ascii="宋体" w:hAnsi="宋体" w:eastAsia="宋体" w:cs="Times New Roman"/>
      <w:kern w:val="0"/>
      <w:sz w:val="24"/>
    </w:rPr>
  </w:style>
  <w:style w:type="paragraph" w:styleId="22">
    <w:name w:val="Title"/>
    <w:basedOn w:val="1"/>
    <w:next w:val="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23">
    <w:name w:val="annotation subject"/>
    <w:basedOn w:val="8"/>
    <w:next w:val="8"/>
    <w:link w:val="37"/>
    <w:qFormat/>
    <w:uiPriority w:val="0"/>
    <w:pPr>
      <w:ind w:firstLine="0" w:firstLineChars="0"/>
    </w:pPr>
    <w:rPr>
      <w:b/>
      <w:bCs/>
      <w:szCs w:val="24"/>
    </w:rPr>
  </w:style>
  <w:style w:type="paragraph" w:styleId="24">
    <w:name w:val="Body Text First Indent"/>
    <w:basedOn w:val="9"/>
    <w:qFormat/>
    <w:uiPriority w:val="0"/>
    <w:pPr>
      <w:ind w:firstLine="420" w:firstLineChars="100"/>
    </w:pPr>
  </w:style>
  <w:style w:type="paragraph" w:styleId="25">
    <w:name w:val="Body Text First Indent 2"/>
    <w:basedOn w:val="10"/>
    <w:qFormat/>
    <w:uiPriority w:val="0"/>
    <w:pPr>
      <w:ind w:firstLine="420" w:firstLineChars="2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Hyperlink"/>
    <w:qFormat/>
    <w:uiPriority w:val="0"/>
    <w:rPr>
      <w:color w:val="0000FF"/>
      <w:u w:val="single"/>
    </w:rPr>
  </w:style>
  <w:style w:type="character" w:styleId="31">
    <w:name w:val="annotation reference"/>
    <w:qFormat/>
    <w:uiPriority w:val="0"/>
    <w:rPr>
      <w:sz w:val="21"/>
      <w:szCs w:val="21"/>
    </w:rPr>
  </w:style>
  <w:style w:type="character" w:customStyle="1" w:styleId="32">
    <w:name w:val="标题 2 字符"/>
    <w:link w:val="3"/>
    <w:qFormat/>
    <w:uiPriority w:val="0"/>
    <w:rPr>
      <w:rFonts w:ascii="Times New Roman" w:hAnsi="Times New Roman" w:eastAsia="宋体"/>
      <w:b/>
      <w:kern w:val="0"/>
      <w:sz w:val="28"/>
      <w:szCs w:val="20"/>
    </w:rPr>
  </w:style>
  <w:style w:type="character" w:customStyle="1" w:styleId="33">
    <w:name w:val="标题 3 字符"/>
    <w:link w:val="4"/>
    <w:qFormat/>
    <w:uiPriority w:val="0"/>
    <w:rPr>
      <w:rFonts w:ascii="宋体" w:hAnsi="宋体" w:eastAsia="宋体"/>
      <w:b/>
      <w:color w:val="000000"/>
      <w:kern w:val="0"/>
      <w:szCs w:val="20"/>
    </w:rPr>
  </w:style>
  <w:style w:type="character" w:customStyle="1" w:styleId="34">
    <w:name w:val="标题 4 字符"/>
    <w:link w:val="5"/>
    <w:qFormat/>
    <w:uiPriority w:val="0"/>
    <w:rPr>
      <w:rFonts w:ascii="Arial" w:hAnsi="Arial"/>
      <w:b/>
      <w:kern w:val="0"/>
      <w:szCs w:val="20"/>
    </w:rPr>
  </w:style>
  <w:style w:type="character" w:customStyle="1" w:styleId="35">
    <w:name w:val="标题 5 字符"/>
    <w:link w:val="6"/>
    <w:qFormat/>
    <w:uiPriority w:val="0"/>
    <w:rPr>
      <w:rFonts w:ascii="Times New Roman" w:hAnsi="Times New Roman" w:eastAsia="宋体" w:cs="Times New Roman"/>
      <w:b/>
      <w:sz w:val="28"/>
      <w:szCs w:val="22"/>
    </w:rPr>
  </w:style>
  <w:style w:type="character" w:customStyle="1" w:styleId="36">
    <w:name w:val="批注文字 字符"/>
    <w:link w:val="8"/>
    <w:qFormat/>
    <w:uiPriority w:val="0"/>
    <w:rPr>
      <w:kern w:val="2"/>
      <w:sz w:val="24"/>
    </w:rPr>
  </w:style>
  <w:style w:type="character" w:customStyle="1" w:styleId="37">
    <w:name w:val="批注主题 字符"/>
    <w:link w:val="23"/>
    <w:qFormat/>
    <w:uiPriority w:val="0"/>
    <w:rPr>
      <w:b/>
      <w:bCs/>
      <w:kern w:val="2"/>
      <w:sz w:val="24"/>
      <w:szCs w:val="24"/>
    </w:rPr>
  </w:style>
  <w:style w:type="paragraph" w:customStyle="1" w:styleId="38">
    <w:name w:val="Body Text First Indent 2"/>
    <w:basedOn w:val="39"/>
    <w:qFormat/>
    <w:uiPriority w:val="0"/>
    <w:pPr>
      <w:spacing w:after="120" w:afterLines="0"/>
      <w:ind w:firstLine="420" w:firstLineChars="200"/>
    </w:pPr>
  </w:style>
  <w:style w:type="paragraph" w:customStyle="1" w:styleId="39">
    <w:name w:val="Body Text Indent"/>
    <w:basedOn w:val="1"/>
    <w:next w:val="40"/>
    <w:qFormat/>
    <w:uiPriority w:val="0"/>
    <w:pPr>
      <w:spacing w:line="500" w:lineRule="exact"/>
      <w:ind w:left="0" w:firstLine="200" w:firstLineChars="200"/>
    </w:pPr>
    <w:rPr>
      <w:rFonts w:ascii="Times New Roman" w:hAnsi="宋体" w:eastAsia="宋体" w:cs="Times New Roman"/>
      <w:lang w:bidi="ar-SA"/>
    </w:rPr>
  </w:style>
  <w:style w:type="paragraph" w:customStyle="1" w:styleId="40">
    <w:name w:val="Body Text First Indent 21"/>
    <w:basedOn w:val="41"/>
    <w:qFormat/>
    <w:uiPriority w:val="0"/>
  </w:style>
  <w:style w:type="paragraph" w:customStyle="1" w:styleId="41">
    <w:name w:val="Body Text Indent1"/>
    <w:basedOn w:val="1"/>
    <w:qFormat/>
    <w:uiPriority w:val="0"/>
    <w:pPr>
      <w:ind w:firstLine="200" w:firstLineChars="200"/>
      <w:jc w:val="left"/>
    </w:pPr>
    <w:rPr>
      <w:rFonts w:ascii="仿宋_GB2312" w:eastAsia="仿宋_GB2312"/>
      <w:sz w:val="28"/>
    </w:rPr>
  </w:style>
  <w:style w:type="paragraph" w:customStyle="1" w:styleId="42">
    <w:name w:val="Default"/>
    <w:qFormat/>
    <w:uiPriority w:val="99"/>
    <w:pPr>
      <w:widowControl w:val="0"/>
      <w:autoSpaceDE w:val="0"/>
      <w:autoSpaceDN w:val="0"/>
      <w:adjustRightInd w:val="0"/>
    </w:pPr>
    <w:rPr>
      <w:rFonts w:ascii="宋体" w:hAnsi="Calibri" w:eastAsia="宋体" w:cs="Times New Roman"/>
      <w:color w:val="000000"/>
      <w:sz w:val="24"/>
      <w:lang w:val="en-US" w:eastAsia="zh-CN" w:bidi="ar-SA"/>
    </w:rPr>
  </w:style>
  <w:style w:type="character" w:customStyle="1" w:styleId="43">
    <w:name w:val="grame"/>
    <w:qFormat/>
    <w:uiPriority w:val="0"/>
    <w:rPr>
      <w:rFonts w:ascii="Times New Roman" w:hAnsi="Times New Roman" w:eastAsia="宋体" w:cs="Times New Roman"/>
    </w:rPr>
  </w:style>
  <w:style w:type="character" w:customStyle="1" w:styleId="44">
    <w:name w:val="font11"/>
    <w:basedOn w:val="28"/>
    <w:qFormat/>
    <w:uiPriority w:val="0"/>
    <w:rPr>
      <w:rFonts w:hint="eastAsia" w:ascii="宋体" w:hAnsi="宋体" w:eastAsia="宋体" w:cs="宋体"/>
      <w:color w:val="000000"/>
      <w:sz w:val="22"/>
      <w:szCs w:val="22"/>
      <w:u w:val="none"/>
    </w:rPr>
  </w:style>
  <w:style w:type="paragraph" w:styleId="45">
    <w:name w:val="No Spacing"/>
    <w:basedOn w:val="1"/>
    <w:qFormat/>
    <w:uiPriority w:val="1"/>
    <w:pPr>
      <w:widowControl/>
      <w:jc w:val="left"/>
    </w:pPr>
    <w:rPr>
      <w:rFonts w:cs="Times New Roman"/>
      <w:kern w:val="0"/>
      <w:sz w:val="24"/>
      <w:szCs w:val="32"/>
      <w:lang w:eastAsia="en-US" w:bidi="en-US"/>
    </w:rPr>
  </w:style>
  <w:style w:type="paragraph" w:customStyle="1" w:styleId="46">
    <w:name w:val="样式 标题 2 + (西文) 宋体 小四 非加粗"/>
    <w:basedOn w:val="3"/>
    <w:qFormat/>
    <w:uiPriority w:val="0"/>
    <w:pPr>
      <w:spacing w:before="100" w:beforeLines="100" w:after="100" w:afterLines="100" w:line="240" w:lineRule="auto"/>
      <w:ind w:left="576" w:hanging="576"/>
    </w:pPr>
    <w:rPr>
      <w:rFonts w:ascii="宋体" w:hAnsi="宋体" w:eastAsia="宋体" w:cs="Times New Roman"/>
      <w:sz w:val="24"/>
    </w:rPr>
  </w:style>
  <w:style w:type="paragraph" w:styleId="47">
    <w:name w:val="List Paragraph"/>
    <w:basedOn w:val="1"/>
    <w:qFormat/>
    <w:uiPriority w:val="99"/>
    <w:pPr>
      <w:ind w:firstLine="420" w:firstLineChars="200"/>
    </w:pPr>
    <w:rPr>
      <w:rFonts w:ascii="Times New Roman" w:hAnsi="Times New Roman" w:eastAsia="宋体" w:cs="Times New Roman"/>
      <w:szCs w:val="24"/>
    </w:rPr>
  </w:style>
  <w:style w:type="paragraph" w:customStyle="1" w:styleId="48">
    <w:name w:val="样式 宋体 小四 行距: 固定值 20 磅"/>
    <w:basedOn w:val="1"/>
    <w:qFormat/>
    <w:uiPriority w:val="0"/>
    <w:pPr>
      <w:spacing w:line="400" w:lineRule="exact"/>
    </w:pPr>
    <w:rPr>
      <w:rFonts w:ascii="宋体" w:hAnsi="宋体" w:cs="宋体"/>
      <w:sz w:val="24"/>
    </w:rPr>
  </w:style>
  <w:style w:type="paragraph" w:customStyle="1" w:styleId="49">
    <w:name w:val="05正文"/>
    <w:basedOn w:val="1"/>
    <w:qFormat/>
    <w:uiPriority w:val="0"/>
    <w:pPr>
      <w:jc w:val="left"/>
    </w:pPr>
    <w:rPr>
      <w:rFonts w:ascii="宋体" w:hAnsi="Calibri"/>
      <w:szCs w:val="24"/>
    </w:rPr>
  </w:style>
  <w:style w:type="paragraph" w:customStyle="1" w:styleId="50">
    <w:name w:val="Table Paragraph"/>
    <w:basedOn w:val="1"/>
    <w:qFormat/>
    <w:uiPriority w:val="1"/>
    <w:pPr>
      <w:autoSpaceDE w:val="0"/>
      <w:autoSpaceDN w:val="0"/>
      <w:spacing w:before="116"/>
      <w:ind w:left="107"/>
      <w:jc w:val="left"/>
    </w:pPr>
    <w:rPr>
      <w:rFonts w:ascii="微软雅黑" w:hAnsi="微软雅黑" w:eastAsia="微软雅黑" w:cs="微软雅黑"/>
      <w:kern w:val="0"/>
      <w:sz w:val="22"/>
      <w:szCs w:val="22"/>
    </w:rPr>
  </w:style>
  <w:style w:type="character" w:customStyle="1" w:styleId="51">
    <w:name w:val="font41"/>
    <w:basedOn w:val="28"/>
    <w:qFormat/>
    <w:uiPriority w:val="0"/>
    <w:rPr>
      <w:rFonts w:hint="eastAsia" w:ascii="宋体" w:hAnsi="宋体" w:eastAsia="宋体" w:cs="宋体"/>
      <w:color w:val="000000"/>
      <w:sz w:val="28"/>
      <w:szCs w:val="28"/>
      <w:u w:val="none"/>
    </w:rPr>
  </w:style>
  <w:style w:type="character" w:customStyle="1" w:styleId="52">
    <w:name w:val="font51"/>
    <w:basedOn w:val="28"/>
    <w:qFormat/>
    <w:uiPriority w:val="0"/>
    <w:rPr>
      <w:rFonts w:hint="eastAsia" w:ascii="宋体" w:hAnsi="宋体" w:eastAsia="宋体" w:cs="宋体"/>
      <w:color w:val="000000"/>
      <w:sz w:val="28"/>
      <w:szCs w:val="28"/>
      <w:u w:val="none"/>
      <w:vertAlign w:val="superscript"/>
    </w:rPr>
  </w:style>
  <w:style w:type="paragraph" w:customStyle="1" w:styleId="53">
    <w:name w:val="_Style 2"/>
    <w:basedOn w:val="1"/>
    <w:qFormat/>
    <w:uiPriority w:val="0"/>
  </w:style>
  <w:style w:type="paragraph" w:customStyle="1" w:styleId="54">
    <w:name w:val="彩色列表 - 强调文字颜色 12"/>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55">
    <w:name w:val="font81"/>
    <w:basedOn w:val="28"/>
    <w:qFormat/>
    <w:uiPriority w:val="0"/>
    <w:rPr>
      <w:rFonts w:hint="eastAsia" w:ascii="宋体" w:hAnsi="宋体" w:eastAsia="宋体" w:cs="宋体"/>
      <w:color w:val="FF0000"/>
      <w:sz w:val="24"/>
      <w:szCs w:val="24"/>
      <w:u w:val="none"/>
    </w:rPr>
  </w:style>
  <w:style w:type="character" w:customStyle="1" w:styleId="56">
    <w:name w:val="font91"/>
    <w:basedOn w:val="28"/>
    <w:qFormat/>
    <w:uiPriority w:val="0"/>
    <w:rPr>
      <w:rFonts w:hint="eastAsia" w:ascii="宋体" w:hAnsi="宋体" w:eastAsia="宋体" w:cs="宋体"/>
      <w:b/>
      <w:bCs/>
      <w:color w:val="FF0000"/>
      <w:sz w:val="18"/>
      <w:szCs w:val="18"/>
      <w:u w:val="none"/>
    </w:rPr>
  </w:style>
  <w:style w:type="table" w:customStyle="1" w:styleId="57">
    <w:name w:val="网格型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paragraph" w:customStyle="1" w:styleId="58">
    <w:name w:val="表格文字"/>
    <w:basedOn w:val="1"/>
    <w:qFormat/>
    <w:uiPriority w:val="0"/>
    <w:pPr>
      <w:wordWrap w:val="0"/>
    </w:pPr>
    <w:rPr>
      <w:sz w:val="18"/>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89</Pages>
  <Words>17171</Words>
  <Characters>18835</Characters>
  <Lines>399</Lines>
  <Paragraphs>112</Paragraphs>
  <TotalTime>2</TotalTime>
  <ScaleCrop>false</ScaleCrop>
  <LinksUpToDate>false</LinksUpToDate>
  <CharactersWithSpaces>19028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Administrator.PC-20180707NLQN</dc:creator>
  <cp:lastModifiedBy>℡ 楊先生！♌</cp:lastModifiedBy>
  <cp:lastPrinted>2024-05-23T06:19:00Z</cp:lastPrinted>
  <dcterms:modified xsi:type="dcterms:W3CDTF">2025-11-29T08:39:06Z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F32DF660214946EDB1A77891595D00B6_13</vt:lpwstr>
  </property>
  <property fmtid="{D5CDD505-2E9C-101B-9397-08002B2CF9AE}" pid="3" name="KSOProductBuildVer">
    <vt:lpwstr>2052-12.1.0.24034</vt:lpwstr>
  </property>
  <property fmtid="{D5CDD505-2E9C-101B-9397-08002B2CF9AE}" pid="4" name="KSOTemplateDocerSaveRecord">
    <vt:lpwstr>eyJoZGlkIjoiODE3NDg2NjkzYWFhODQ2NGYwMTE4MzhhZTIxOGU5N2EiLCJ1c2VySWQiOiI3NTAwNjYwODAifQ==</vt:lpwstr>
  </property>
</Properties>
</file>