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0AB65">
      <w:pPr>
        <w:pStyle w:val="3"/>
        <w:keepNext w:val="0"/>
        <w:keepLines w:val="0"/>
        <w:pageBreakBefore w:val="0"/>
        <w:widowControl w:val="0"/>
        <w:kinsoku/>
        <w:wordWrap/>
        <w:overflowPunct/>
        <w:topLinePunct w:val="0"/>
        <w:autoSpaceDE/>
        <w:autoSpaceDN/>
        <w:bidi w:val="0"/>
        <w:adjustRightInd/>
        <w:snapToGrid/>
        <w:spacing w:after="0" w:line="360" w:lineRule="auto"/>
        <w:ind w:firstLine="560" w:firstLineChars="200"/>
        <w:jc w:val="center"/>
        <w:textAlignment w:val="auto"/>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3.4.其他要求</w:t>
      </w:r>
    </w:p>
    <w:p w14:paraId="46598385">
      <w:pPr>
        <w:widowControl/>
        <w:spacing w:line="360" w:lineRule="auto"/>
        <w:ind w:firstLine="560" w:firstLineChars="200"/>
        <w:jc w:val="left"/>
        <w:rPr>
          <w:rFonts w:hint="eastAsia" w:ascii="宋体" w:hAnsi="宋体" w:eastAsia="宋体" w:cs="宋体"/>
          <w:strike w:val="0"/>
          <w:dstrike w:val="0"/>
          <w:color w:val="auto"/>
          <w:kern w:val="2"/>
          <w:sz w:val="28"/>
          <w:szCs w:val="28"/>
          <w:highlight w:val="none"/>
          <w:lang w:val="en-US" w:eastAsia="zh-CN" w:bidi="ar-SA"/>
        </w:rPr>
      </w:pPr>
      <w:r>
        <w:rPr>
          <w:rFonts w:hint="eastAsia" w:ascii="宋体" w:hAnsi="宋体" w:eastAsia="宋体" w:cs="宋体"/>
          <w:strike w:val="0"/>
          <w:dstrike w:val="0"/>
          <w:color w:val="auto"/>
          <w:kern w:val="2"/>
          <w:sz w:val="28"/>
          <w:szCs w:val="28"/>
          <w:highlight w:val="none"/>
          <w:lang w:val="en-US" w:eastAsia="zh-CN" w:bidi="ar-SA"/>
        </w:rPr>
        <w:t>★1</w:t>
      </w:r>
      <w:r>
        <w:rPr>
          <w:rFonts w:hint="eastAsia" w:ascii="宋体" w:hAnsi="宋体" w:cs="宋体"/>
          <w:strike w:val="0"/>
          <w:dstrike w:val="0"/>
          <w:color w:val="auto"/>
          <w:kern w:val="2"/>
          <w:sz w:val="28"/>
          <w:szCs w:val="28"/>
          <w:highlight w:val="none"/>
          <w:lang w:val="en-US" w:eastAsia="zh-CN" w:bidi="ar-SA"/>
        </w:rPr>
        <w:t>.</w:t>
      </w:r>
      <w:r>
        <w:rPr>
          <w:rFonts w:hint="eastAsia" w:ascii="宋体" w:hAnsi="宋体" w:eastAsia="宋体" w:cs="宋体"/>
          <w:strike w:val="0"/>
          <w:dstrike w:val="0"/>
          <w:color w:val="auto"/>
          <w:kern w:val="2"/>
          <w:sz w:val="28"/>
          <w:szCs w:val="28"/>
          <w:highlight w:val="none"/>
          <w:lang w:val="en-US" w:eastAsia="zh-CN" w:bidi="ar-SA"/>
        </w:rPr>
        <w:t>采购要求：无论是否中标，投标人均应自行承担在采购活动产生的一切费用。</w:t>
      </w:r>
    </w:p>
    <w:p w14:paraId="7A3570BA">
      <w:pPr>
        <w:widowControl/>
        <w:spacing w:line="360" w:lineRule="auto"/>
        <w:ind w:firstLine="560" w:firstLineChars="200"/>
        <w:jc w:val="left"/>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w:t>
      </w:r>
      <w:r>
        <w:rPr>
          <w:rFonts w:hint="eastAsia" w:ascii="宋体" w:hAnsi="宋体" w:cs="宋体"/>
          <w:color w:val="auto"/>
          <w:kern w:val="2"/>
          <w:sz w:val="28"/>
          <w:szCs w:val="28"/>
          <w:highlight w:val="none"/>
          <w:lang w:val="en-US" w:eastAsia="zh-CN" w:bidi="ar-SA"/>
        </w:rPr>
        <w:t>.</w:t>
      </w:r>
      <w:r>
        <w:rPr>
          <w:rFonts w:hint="eastAsia" w:ascii="宋体" w:hAnsi="宋体" w:eastAsia="宋体" w:cs="宋体"/>
          <w:color w:val="auto"/>
          <w:kern w:val="2"/>
          <w:sz w:val="28"/>
          <w:szCs w:val="28"/>
          <w:highlight w:val="none"/>
          <w:lang w:val="en-US" w:eastAsia="zh-CN" w:bidi="ar-SA"/>
        </w:rPr>
        <w:t>报价要求：①本项目采用固定总价定价方式。投标人的报价应包含项目全部工作内容的体现。②本项目所有运输、保险、装卸、安装（包含辅材、设施设备、安装等相关辅助工作）、培训、税费、设备自带软件终身质保升级、</w:t>
      </w:r>
      <w:r>
        <w:rPr>
          <w:rFonts w:hint="eastAsia" w:ascii="宋体" w:hAnsi="宋体" w:cs="宋体"/>
          <w:color w:val="auto"/>
          <w:kern w:val="2"/>
          <w:sz w:val="28"/>
          <w:szCs w:val="28"/>
          <w:highlight w:val="none"/>
          <w:lang w:val="en-US" w:eastAsia="zh-CN" w:bidi="ar-SA"/>
        </w:rPr>
        <w:t>端口开放</w:t>
      </w:r>
      <w:r>
        <w:rPr>
          <w:rFonts w:hint="eastAsia" w:ascii="宋体" w:hAnsi="宋体" w:eastAsia="宋体" w:cs="宋体"/>
          <w:color w:val="auto"/>
          <w:kern w:val="2"/>
          <w:sz w:val="28"/>
          <w:szCs w:val="28"/>
          <w:highlight w:val="none"/>
          <w:lang w:val="en-US" w:eastAsia="zh-CN" w:bidi="ar-SA"/>
        </w:rPr>
        <w:t>等一切相关费用均包含在投标报价中，</w:t>
      </w:r>
      <w:r>
        <w:rPr>
          <w:rFonts w:hint="eastAsia" w:ascii="宋体" w:hAnsi="宋体" w:cs="宋体"/>
          <w:color w:val="auto"/>
          <w:kern w:val="2"/>
          <w:sz w:val="28"/>
          <w:szCs w:val="28"/>
          <w:highlight w:val="none"/>
          <w:lang w:val="en-US" w:eastAsia="zh-CN" w:bidi="ar-SA"/>
        </w:rPr>
        <w:t>招标人</w:t>
      </w:r>
      <w:r>
        <w:rPr>
          <w:rFonts w:hint="eastAsia" w:ascii="宋体" w:hAnsi="宋体" w:eastAsia="宋体" w:cs="宋体"/>
          <w:color w:val="auto"/>
          <w:kern w:val="2"/>
          <w:sz w:val="28"/>
          <w:szCs w:val="28"/>
          <w:highlight w:val="none"/>
          <w:lang w:val="en-US" w:eastAsia="zh-CN" w:bidi="ar-SA"/>
        </w:rPr>
        <w:t>不再承担除</w:t>
      </w:r>
      <w:r>
        <w:rPr>
          <w:rFonts w:hint="eastAsia" w:ascii="宋体" w:hAnsi="宋体" w:cs="宋体"/>
          <w:color w:val="auto"/>
          <w:kern w:val="2"/>
          <w:sz w:val="28"/>
          <w:szCs w:val="28"/>
          <w:highlight w:val="none"/>
          <w:lang w:val="en-US" w:eastAsia="zh-CN" w:bidi="ar-SA"/>
        </w:rPr>
        <w:t>中标金额</w:t>
      </w:r>
      <w:r>
        <w:rPr>
          <w:rFonts w:hint="eastAsia" w:ascii="宋体" w:hAnsi="宋体" w:eastAsia="宋体" w:cs="宋体"/>
          <w:color w:val="auto"/>
          <w:kern w:val="2"/>
          <w:sz w:val="28"/>
          <w:szCs w:val="28"/>
          <w:highlight w:val="none"/>
          <w:lang w:val="en-US" w:eastAsia="zh-CN" w:bidi="ar-SA"/>
        </w:rPr>
        <w:t>外的任何费用。</w:t>
      </w:r>
    </w:p>
    <w:p w14:paraId="6D958645">
      <w:pPr>
        <w:widowControl/>
        <w:spacing w:line="360" w:lineRule="auto"/>
        <w:ind w:firstLine="560" w:firstLineChars="200"/>
        <w:jc w:val="left"/>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w:t>
      </w:r>
      <w:r>
        <w:rPr>
          <w:rFonts w:hint="eastAsia" w:ascii="宋体" w:hAnsi="宋体" w:cs="宋体"/>
          <w:color w:val="auto"/>
          <w:kern w:val="2"/>
          <w:sz w:val="28"/>
          <w:szCs w:val="28"/>
          <w:highlight w:val="none"/>
          <w:lang w:val="en-US" w:eastAsia="zh-CN" w:bidi="ar-SA"/>
        </w:rPr>
        <w:t>.</w:t>
      </w:r>
      <w:r>
        <w:rPr>
          <w:rFonts w:hint="eastAsia" w:ascii="宋体" w:hAnsi="宋体" w:eastAsia="宋体" w:cs="宋体"/>
          <w:color w:val="auto"/>
          <w:kern w:val="2"/>
          <w:sz w:val="28"/>
          <w:szCs w:val="28"/>
          <w:highlight w:val="none"/>
          <w:lang w:val="en-US" w:eastAsia="zh-CN" w:bidi="ar-SA"/>
        </w:rPr>
        <w:t>安全要求：本项目履行期限及质保期内安全保障和责任全部由中标人自行承担。</w:t>
      </w:r>
    </w:p>
    <w:p w14:paraId="5E8E93B3">
      <w:pPr>
        <w:widowControl/>
        <w:spacing w:line="360" w:lineRule="auto"/>
        <w:ind w:firstLine="560" w:firstLineChars="200"/>
        <w:jc w:val="left"/>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w:t>
      </w:r>
      <w:r>
        <w:rPr>
          <w:rFonts w:hint="eastAsia" w:ascii="宋体" w:hAnsi="宋体" w:cs="宋体"/>
          <w:color w:val="auto"/>
          <w:kern w:val="2"/>
          <w:sz w:val="28"/>
          <w:szCs w:val="28"/>
          <w:highlight w:val="none"/>
          <w:lang w:val="en-US" w:eastAsia="zh-CN" w:bidi="ar-SA"/>
        </w:rPr>
        <w:t>4.</w:t>
      </w:r>
      <w:r>
        <w:rPr>
          <w:rFonts w:hint="eastAsia" w:ascii="宋体" w:hAnsi="宋体" w:eastAsia="宋体" w:cs="宋体"/>
          <w:color w:val="auto"/>
          <w:kern w:val="2"/>
          <w:sz w:val="28"/>
          <w:szCs w:val="28"/>
          <w:highlight w:val="none"/>
          <w:lang w:val="en-US" w:eastAsia="zh-CN" w:bidi="ar-SA"/>
        </w:rPr>
        <w:t>因安装调试等原因导致招标人的设施设备损坏或故障的，中标人须原价赔偿并承担相应的责任。</w:t>
      </w:r>
    </w:p>
    <w:p w14:paraId="26D1B31C">
      <w:pPr>
        <w:widowControl/>
        <w:spacing w:line="360" w:lineRule="auto"/>
        <w:ind w:firstLine="560" w:firstLineChars="200"/>
        <w:jc w:val="left"/>
        <w:rPr>
          <w:rFonts w:hint="default"/>
          <w:highlight w:val="none"/>
          <w:lang w:val="en-US" w:eastAsia="zh-CN"/>
        </w:rPr>
      </w:pPr>
      <w:r>
        <w:rPr>
          <w:rFonts w:hint="eastAsia" w:ascii="宋体" w:hAnsi="宋体" w:eastAsia="宋体" w:cs="宋体"/>
          <w:color w:val="auto"/>
          <w:kern w:val="2"/>
          <w:sz w:val="28"/>
          <w:szCs w:val="28"/>
          <w:highlight w:val="none"/>
          <w:lang w:val="en-US" w:eastAsia="zh-CN" w:bidi="ar-SA"/>
        </w:rPr>
        <w:t>★</w:t>
      </w:r>
      <w:r>
        <w:rPr>
          <w:rFonts w:hint="eastAsia" w:ascii="宋体" w:hAnsi="宋体" w:cs="宋体"/>
          <w:color w:val="auto"/>
          <w:kern w:val="2"/>
          <w:sz w:val="28"/>
          <w:szCs w:val="28"/>
          <w:highlight w:val="none"/>
          <w:lang w:val="en-US" w:eastAsia="zh-CN" w:bidi="ar-SA"/>
        </w:rPr>
        <w:t>5.</w:t>
      </w:r>
      <w:r>
        <w:rPr>
          <w:rFonts w:hint="eastAsia" w:ascii="宋体" w:hAnsi="宋体" w:eastAsia="宋体" w:cs="宋体"/>
          <w:color w:val="auto"/>
          <w:kern w:val="2"/>
          <w:sz w:val="28"/>
          <w:szCs w:val="28"/>
          <w:highlight w:val="none"/>
          <w:lang w:val="en-US" w:eastAsia="zh-CN" w:bidi="ar-SA"/>
        </w:rPr>
        <w:t>招标文件、投标文件、承诺约定、合同的附件与合同具有同等法律效力，如以上各文件相互有冲突或不一致的地方，应以有利于招标人解释为准。招标文件、投标文件、承诺约定、合同的附件及合同，如有中、英文两种版本的，应以有利于招标人解释为准。未尽事宜,双方另行协商解决。</w:t>
      </w:r>
    </w:p>
    <w:p w14:paraId="51CECB02">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6.</w:t>
      </w:r>
      <w:r>
        <w:rPr>
          <w:rFonts w:hint="default" w:ascii="宋体" w:hAnsi="宋体" w:eastAsia="宋体" w:cs="宋体"/>
          <w:kern w:val="2"/>
          <w:sz w:val="28"/>
          <w:szCs w:val="28"/>
          <w:highlight w:val="none"/>
          <w:lang w:val="en-US" w:eastAsia="zh-CN" w:bidi="ar-SA"/>
        </w:rPr>
        <w:t>投标人需提供项目实施方案包含但不限于以下内容：</w:t>
      </w:r>
    </w:p>
    <w:p w14:paraId="785DC28F">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6.</w:t>
      </w:r>
      <w:r>
        <w:rPr>
          <w:rFonts w:hint="default" w:ascii="宋体" w:hAnsi="宋体" w:eastAsia="宋体" w:cs="宋体"/>
          <w:kern w:val="2"/>
          <w:sz w:val="28"/>
          <w:szCs w:val="28"/>
          <w:highlight w:val="none"/>
          <w:lang w:val="en-US" w:eastAsia="zh-CN" w:bidi="ar-SA"/>
        </w:rPr>
        <w:t>1</w:t>
      </w:r>
      <w:r>
        <w:rPr>
          <w:rFonts w:hint="eastAsia" w:ascii="宋体" w:hAnsi="宋体" w:cs="宋体"/>
          <w:kern w:val="2"/>
          <w:sz w:val="28"/>
          <w:szCs w:val="28"/>
          <w:highlight w:val="none"/>
          <w:lang w:val="en-US" w:eastAsia="zh-CN" w:bidi="ar-SA"/>
        </w:rPr>
        <w:t>投标人</w:t>
      </w:r>
      <w:r>
        <w:rPr>
          <w:rFonts w:hint="default" w:ascii="宋体" w:hAnsi="宋体" w:eastAsia="宋体" w:cs="宋体"/>
          <w:kern w:val="2"/>
          <w:sz w:val="28"/>
          <w:szCs w:val="28"/>
          <w:highlight w:val="none"/>
          <w:lang w:val="en-US" w:eastAsia="zh-CN" w:bidi="ar-SA"/>
        </w:rPr>
        <w:t>根据本项目采购需求在有利于项目实施的角度有针对性的编制产品质量保证措施，能够综合设计、安装、管理及维护全流程，保障采购设备的安全性、有效性和可靠性，确保患者安全与医疗效果，保护患者与</w:t>
      </w:r>
      <w:r>
        <w:rPr>
          <w:rFonts w:hint="eastAsia" w:ascii="宋体" w:hAnsi="宋体" w:eastAsia="宋体" w:cs="宋体"/>
          <w:kern w:val="2"/>
          <w:sz w:val="28"/>
          <w:szCs w:val="28"/>
          <w:highlight w:val="none"/>
          <w:lang w:val="en-US" w:eastAsia="zh-CN" w:bidi="ar-SA"/>
        </w:rPr>
        <w:t>招标人</w:t>
      </w:r>
      <w:r>
        <w:rPr>
          <w:rFonts w:hint="default" w:ascii="宋体" w:hAnsi="宋体" w:eastAsia="宋体" w:cs="宋体"/>
          <w:kern w:val="2"/>
          <w:sz w:val="28"/>
          <w:szCs w:val="28"/>
          <w:highlight w:val="none"/>
          <w:lang w:val="en-US" w:eastAsia="zh-CN" w:bidi="ar-SA"/>
        </w:rPr>
        <w:t xml:space="preserve">权益： </w:t>
      </w:r>
    </w:p>
    <w:p w14:paraId="37C36F7F">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（1）质量管理组织机构及责任权限：设立专门的质量管理机构与项目团队成员及其职责，至少包括项目经理、技术负责人、安装工程师、质量监督人员。</w:t>
      </w:r>
    </w:p>
    <w:p w14:paraId="4E48772E">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2）安装实施方案:制定详细的实施时间表，涵盖前期准备、运输、现场安装、调试、验收等各阶段的时间节点；列出所需的人力资源、工具设备、材料配件以及技术支持资源；进行安装风险识别，罗列可能存在的问题并制定预案；</w:t>
      </w:r>
    </w:p>
    <w:p w14:paraId="5AE9DCCF">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3）关键质量控制:提供安装环境评估方案，检查安装场所是否满足设备运行所需的环境条件，包括温度、湿度、洁净度、电力供应、空间布局等；提供安装过程监控方案，记录安装过程中的关键步骤，包括设备就位、管道连接、电源接入等；</w:t>
      </w:r>
    </w:p>
    <w:p w14:paraId="6A3C8EF2">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 xml:space="preserve">（4）测试验证方案：包括性能参数测试、安全性测试、稳定性测试，确保设备符合使用要求； </w:t>
      </w:r>
    </w:p>
    <w:p w14:paraId="0FAD6DE6">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6</w:t>
      </w:r>
      <w:r>
        <w:rPr>
          <w:rFonts w:hint="default" w:ascii="宋体" w:hAnsi="宋体" w:eastAsia="宋体" w:cs="宋体"/>
          <w:kern w:val="2"/>
          <w:sz w:val="28"/>
          <w:szCs w:val="28"/>
          <w:highlight w:val="none"/>
          <w:lang w:val="en-US" w:eastAsia="zh-CN" w:bidi="ar-SA"/>
        </w:rPr>
        <w:t>.2</w:t>
      </w:r>
      <w:r>
        <w:rPr>
          <w:rFonts w:hint="eastAsia" w:ascii="宋体" w:hAnsi="宋体" w:cs="宋体"/>
          <w:kern w:val="2"/>
          <w:sz w:val="28"/>
          <w:szCs w:val="28"/>
          <w:highlight w:val="none"/>
          <w:lang w:val="en-US" w:eastAsia="zh-CN" w:bidi="ar-SA"/>
        </w:rPr>
        <w:t>投标人</w:t>
      </w:r>
      <w:r>
        <w:rPr>
          <w:rFonts w:hint="default" w:ascii="宋体" w:hAnsi="宋体" w:eastAsia="宋体" w:cs="宋体"/>
          <w:kern w:val="2"/>
          <w:sz w:val="28"/>
          <w:szCs w:val="28"/>
          <w:highlight w:val="none"/>
          <w:lang w:val="en-US" w:eastAsia="zh-CN" w:bidi="ar-SA"/>
        </w:rPr>
        <w:t>根据本项目采购需求在有利于项目实施的角度有针对性的编制维护巡检方案，能够确保采购设备的安全性、功能性及舒适性，支持医疗工作的顺利进行，通过定期巡检及时发现和解决潜在问题，延长设备使用寿命：</w:t>
      </w:r>
    </w:p>
    <w:p w14:paraId="3EF31CBA">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（1）巡检前准备方案：根据本次采购的设备类型和采购需求，设定设备合理的巡检周期；制定关键部件预防性保养计划。</w:t>
      </w:r>
    </w:p>
    <w:p w14:paraId="68C01EF3">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（2）巡检中处理方案：明确所需记录的设备基本信息内容与巡检人员信息；设定外观检查、功能性检查、接缝与连接处、产品清洁等不同的具体实施方案，明确其合格标准。</w:t>
      </w:r>
    </w:p>
    <w:p w14:paraId="7F244583">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（3）巡检后总结方案：设定设备的复查时间，确保整改措施落实到位；制定负责巡检的人员培训计划；建立反馈机制，以便医护人员对设备使用中的问题提出意见和建议；</w:t>
      </w:r>
    </w:p>
    <w:p w14:paraId="0D60A324">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6</w:t>
      </w:r>
      <w:r>
        <w:rPr>
          <w:rFonts w:hint="default" w:ascii="宋体" w:hAnsi="宋体" w:eastAsia="宋体" w:cs="宋体"/>
          <w:kern w:val="2"/>
          <w:sz w:val="28"/>
          <w:szCs w:val="28"/>
          <w:highlight w:val="none"/>
          <w:lang w:val="en-US" w:eastAsia="zh-CN" w:bidi="ar-SA"/>
        </w:rPr>
        <w:t>.3</w:t>
      </w:r>
      <w:r>
        <w:rPr>
          <w:rFonts w:hint="eastAsia" w:ascii="宋体" w:hAnsi="宋体" w:cs="宋体"/>
          <w:kern w:val="2"/>
          <w:sz w:val="28"/>
          <w:szCs w:val="28"/>
          <w:highlight w:val="none"/>
          <w:lang w:val="en-US" w:eastAsia="zh-CN" w:bidi="ar-SA"/>
        </w:rPr>
        <w:t>投标人</w:t>
      </w:r>
      <w:r>
        <w:rPr>
          <w:rFonts w:hint="default" w:ascii="宋体" w:hAnsi="宋体" w:eastAsia="宋体" w:cs="宋体"/>
          <w:kern w:val="2"/>
          <w:sz w:val="28"/>
          <w:szCs w:val="28"/>
          <w:highlight w:val="none"/>
          <w:lang w:val="en-US" w:eastAsia="zh-CN" w:bidi="ar-SA"/>
        </w:rPr>
        <w:t>根据本项目采购需求在有利于项目实施的角度有针对性的编制产品培训方案，能够提升安全意识与规范操作，提高医疗服务质量与效率，延长设备寿命与降低损耗，保障患者与医务人员安全：</w:t>
      </w:r>
    </w:p>
    <w:p w14:paraId="543B7E8D">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（1）培训人员范围：明确培训对象，至少包含科室临床一线使用人员、运维人员。</w:t>
      </w:r>
    </w:p>
    <w:p w14:paraId="35514023">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（2）培训内容：根据</w:t>
      </w:r>
      <w:r>
        <w:rPr>
          <w:rFonts w:hint="eastAsia" w:ascii="宋体" w:hAnsi="宋体" w:cs="宋体"/>
          <w:kern w:val="2"/>
          <w:sz w:val="28"/>
          <w:szCs w:val="28"/>
          <w:highlight w:val="none"/>
          <w:lang w:val="en-US" w:eastAsia="zh-CN" w:bidi="ar-SA"/>
        </w:rPr>
        <w:t>培</w:t>
      </w:r>
      <w:r>
        <w:rPr>
          <w:rFonts w:hint="default" w:ascii="宋体" w:hAnsi="宋体" w:eastAsia="宋体" w:cs="宋体"/>
          <w:kern w:val="2"/>
          <w:sz w:val="28"/>
          <w:szCs w:val="28"/>
          <w:highlight w:val="none"/>
          <w:lang w:val="en-US" w:eastAsia="zh-CN" w:bidi="ar-SA"/>
        </w:rPr>
        <w:t>训对象的职责制定差异化培训内容，至少包括设备的基本</w:t>
      </w:r>
      <w:r>
        <w:rPr>
          <w:rFonts w:hint="eastAsia" w:ascii="宋体" w:hAnsi="宋体" w:cs="宋体"/>
          <w:kern w:val="2"/>
          <w:sz w:val="28"/>
          <w:szCs w:val="28"/>
          <w:highlight w:val="none"/>
          <w:lang w:val="en-US" w:eastAsia="zh-CN" w:bidi="ar-SA"/>
        </w:rPr>
        <w:t>机构</w:t>
      </w:r>
      <w:r>
        <w:rPr>
          <w:rFonts w:hint="default" w:ascii="宋体" w:hAnsi="宋体" w:eastAsia="宋体" w:cs="宋体"/>
          <w:kern w:val="2"/>
          <w:sz w:val="28"/>
          <w:szCs w:val="28"/>
          <w:highlight w:val="none"/>
          <w:lang w:val="en-US" w:eastAsia="zh-CN" w:bidi="ar-SA"/>
        </w:rPr>
        <w:t>、常见故障排查、日常维护与保养方法、安全操作规范以及风险识别与控制措施。</w:t>
      </w:r>
    </w:p>
    <w:p w14:paraId="041DAA77">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（3）明确不同的培训方式方案：至少包括理论授课、实操演练、视频教学、模拟操作、考核测试等多种形式相结合，提升培训效果。</w:t>
      </w:r>
    </w:p>
    <w:p w14:paraId="4F008631">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6</w:t>
      </w:r>
      <w:r>
        <w:rPr>
          <w:rFonts w:hint="default" w:ascii="宋体" w:hAnsi="宋体" w:eastAsia="宋体" w:cs="宋体"/>
          <w:kern w:val="2"/>
          <w:sz w:val="28"/>
          <w:szCs w:val="28"/>
          <w:highlight w:val="none"/>
          <w:lang w:val="en-US" w:eastAsia="zh-CN" w:bidi="ar-SA"/>
        </w:rPr>
        <w:t>.4</w:t>
      </w:r>
      <w:r>
        <w:rPr>
          <w:rFonts w:hint="eastAsia" w:ascii="宋体" w:hAnsi="宋体" w:cs="宋体"/>
          <w:kern w:val="2"/>
          <w:sz w:val="28"/>
          <w:szCs w:val="28"/>
          <w:highlight w:val="none"/>
          <w:lang w:val="en-US" w:eastAsia="zh-CN" w:bidi="ar-SA"/>
        </w:rPr>
        <w:t>投标人</w:t>
      </w:r>
      <w:r>
        <w:rPr>
          <w:rFonts w:hint="default" w:ascii="宋体" w:hAnsi="宋体" w:eastAsia="宋体" w:cs="宋体"/>
          <w:kern w:val="2"/>
          <w:sz w:val="28"/>
          <w:szCs w:val="28"/>
          <w:highlight w:val="none"/>
          <w:lang w:val="en-US" w:eastAsia="zh-CN" w:bidi="ar-SA"/>
        </w:rPr>
        <w:t xml:space="preserve">根据本项目采购需求在有利于项目实施的角度有针对性的编制应急响应方案，能够标准化流程与责任分工，保障人员安全与减少损失，资源协调与快速恢复，确保产品使用的连续性，降低医患纠纷： </w:t>
      </w:r>
    </w:p>
    <w:p w14:paraId="2116269D">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（1）响应机制建设：根据本次采购设备类型可能发生的紧急情况制定不同的分级响应标准，包含一般性故障、严重故障和重大紧急事件的分级应对模式。</w:t>
      </w:r>
    </w:p>
    <w:p w14:paraId="2C5CFEC1">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（2）组织架构与职责分工：建立应急响应团队，明确责任人及其在应急处置中的角色，每类事件需明确相应的技术处置流程、联络机制和责任人，做到分类响应、快速联动。</w:t>
      </w:r>
    </w:p>
    <w:p w14:paraId="38D433F0">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（3）备件与资源保障：建立备件目录与清单管理方案，根据</w:t>
      </w:r>
      <w:r>
        <w:rPr>
          <w:rFonts w:hint="eastAsia" w:ascii="宋体" w:hAnsi="宋体" w:eastAsia="宋体" w:cs="宋体"/>
          <w:kern w:val="2"/>
          <w:sz w:val="28"/>
          <w:szCs w:val="28"/>
          <w:highlight w:val="none"/>
          <w:lang w:val="en-US" w:eastAsia="zh-CN" w:bidi="ar-SA"/>
        </w:rPr>
        <w:t>招标人</w:t>
      </w:r>
      <w:r>
        <w:rPr>
          <w:rFonts w:hint="default" w:ascii="宋体" w:hAnsi="宋体" w:eastAsia="宋体" w:cs="宋体"/>
          <w:kern w:val="2"/>
          <w:sz w:val="28"/>
          <w:szCs w:val="28"/>
          <w:highlight w:val="none"/>
          <w:lang w:val="en-US" w:eastAsia="zh-CN" w:bidi="ar-SA"/>
        </w:rPr>
        <w:t>规模和本次采购设备类型，设立专属备件库，明确关键设备的核心零部件、易损件、专用模块及重要等级；设定库存策略与储备标准，根据设备使用频率、故障率、维修周期和临床依赖程度，制定合理的库存策略，确保关键备件不断供；设立仓储管理与存放条件方案，满足防尘、防潮、防静电、温湿度控制等环境要求。</w:t>
      </w:r>
    </w:p>
    <w:p w14:paraId="7E40868B">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default" w:ascii="宋体" w:hAnsi="宋体" w:eastAsia="宋体" w:cs="宋体"/>
          <w:kern w:val="2"/>
          <w:sz w:val="28"/>
          <w:szCs w:val="28"/>
          <w:highlight w:val="none"/>
          <w:lang w:val="en-US" w:eastAsia="zh-CN" w:bidi="ar-SA"/>
        </w:rPr>
        <w:t>（4）医疗纠纷：明确本次采购设备中涉及医疗器械问题引发的纠纷类型及处理机制</w:t>
      </w:r>
      <w:bookmarkStart w:id="0" w:name="_GoBack"/>
      <w:bookmarkEnd w:id="0"/>
      <w:r>
        <w:rPr>
          <w:rFonts w:hint="default" w:ascii="宋体" w:hAnsi="宋体" w:eastAsia="宋体" w:cs="宋体"/>
          <w:kern w:val="2"/>
          <w:sz w:val="28"/>
          <w:szCs w:val="28"/>
          <w:highlight w:val="none"/>
          <w:lang w:val="en-US" w:eastAsia="zh-CN" w:bidi="ar-SA"/>
        </w:rPr>
        <w:t>。</w:t>
      </w:r>
    </w:p>
    <w:p w14:paraId="7ADF5BDC">
      <w:pPr>
        <w:pStyle w:val="2"/>
        <w:ind w:firstLine="560" w:firstLineChars="20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w:t>
      </w:r>
      <w:r>
        <w:rPr>
          <w:rFonts w:hint="eastAsia" w:ascii="宋体" w:hAnsi="宋体" w:cs="宋体"/>
          <w:kern w:val="2"/>
          <w:sz w:val="28"/>
          <w:szCs w:val="28"/>
          <w:highlight w:val="none"/>
          <w:lang w:val="en-US" w:eastAsia="zh-CN" w:bidi="ar-SA"/>
        </w:rPr>
        <w:t>7</w:t>
      </w:r>
      <w:r>
        <w:rPr>
          <w:rFonts w:hint="eastAsia" w:ascii="宋体" w:hAnsi="宋体" w:eastAsia="宋体" w:cs="宋体"/>
          <w:kern w:val="2"/>
          <w:sz w:val="28"/>
          <w:szCs w:val="28"/>
          <w:highlight w:val="none"/>
          <w:lang w:val="en-US" w:eastAsia="zh-CN" w:bidi="ar-SA"/>
        </w:rPr>
        <w:t>.在质保期内，对设备提供定期保养，保障设备处于正常运行状态，保修期内（每年以12个月计）中标人的工程人员每年应提供不少于2次的维护保养服务，提供年度维保维修报告2份，所需费用均由中标人承担。</w:t>
      </w:r>
    </w:p>
    <w:p w14:paraId="58E890F7">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w:t>
      </w:r>
      <w:r>
        <w:rPr>
          <w:rFonts w:hint="eastAsia" w:ascii="宋体" w:hAnsi="宋体" w:cs="宋体"/>
          <w:kern w:val="2"/>
          <w:sz w:val="28"/>
          <w:szCs w:val="28"/>
          <w:highlight w:val="none"/>
          <w:lang w:val="en-US" w:eastAsia="zh-CN" w:bidi="ar-SA"/>
        </w:rPr>
        <w:t>8</w:t>
      </w:r>
      <w:r>
        <w:rPr>
          <w:rFonts w:hint="eastAsia" w:ascii="宋体" w:hAnsi="宋体" w:eastAsia="宋体" w:cs="宋体"/>
          <w:kern w:val="2"/>
          <w:sz w:val="28"/>
          <w:szCs w:val="28"/>
          <w:highlight w:val="none"/>
          <w:lang w:val="en-US" w:eastAsia="zh-CN" w:bidi="ar-SA"/>
        </w:rPr>
        <w:t>.中标人提供产品，需提供生产日期为6个月内（以到货日期为准，到货日期指本项目响应产品生产日期至送到供货地点的时间）的货物。</w:t>
      </w:r>
    </w:p>
    <w:p w14:paraId="40620939">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w:t>
      </w:r>
      <w:r>
        <w:rPr>
          <w:rFonts w:hint="eastAsia" w:ascii="宋体" w:hAnsi="宋体" w:cs="宋体"/>
          <w:kern w:val="2"/>
          <w:sz w:val="28"/>
          <w:szCs w:val="28"/>
          <w:highlight w:val="none"/>
          <w:lang w:val="en-US" w:eastAsia="zh-CN" w:bidi="ar-SA"/>
        </w:rPr>
        <w:t>9</w:t>
      </w:r>
      <w:r>
        <w:rPr>
          <w:rFonts w:hint="eastAsia" w:ascii="宋体" w:hAnsi="宋体" w:eastAsia="宋体" w:cs="宋体"/>
          <w:kern w:val="2"/>
          <w:sz w:val="28"/>
          <w:szCs w:val="28"/>
          <w:highlight w:val="none"/>
          <w:lang w:val="en-US" w:eastAsia="zh-CN" w:bidi="ar-SA"/>
        </w:rPr>
        <w:t>.中标人须在验收时对该批次的所供货物贴上服务溯源标签（厂家，安装日期，售后服务电话）。</w:t>
      </w:r>
    </w:p>
    <w:p w14:paraId="1DDDCA3A">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★10.</w:t>
      </w:r>
      <w:r>
        <w:rPr>
          <w:rFonts w:hint="eastAsia" w:ascii="宋体" w:hAnsi="宋体" w:cs="宋体"/>
          <w:kern w:val="2"/>
          <w:sz w:val="28"/>
          <w:szCs w:val="28"/>
          <w:highlight w:val="none"/>
          <w:lang w:val="en-US" w:eastAsia="zh-CN" w:bidi="ar-SA"/>
        </w:rPr>
        <w:t>零配件清单不包含在此次采购项目的预算中，后续若招标人需对零配件清单进行采购，则采购价格不得高于每个产品的最高限价。</w:t>
      </w:r>
    </w:p>
    <w:tbl>
      <w:tblPr>
        <w:tblStyle w:val="7"/>
        <w:tblW w:w="501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20"/>
        <w:gridCol w:w="3945"/>
        <w:gridCol w:w="1860"/>
        <w:gridCol w:w="1519"/>
      </w:tblGrid>
      <w:tr w14:paraId="0F71C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611" w:type="pct"/>
            <w:vAlign w:val="center"/>
          </w:tcPr>
          <w:p w14:paraId="2E01EEF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序号</w:t>
            </w:r>
          </w:p>
        </w:tc>
        <w:tc>
          <w:tcPr>
            <w:tcW w:w="2363" w:type="pct"/>
            <w:vAlign w:val="center"/>
          </w:tcPr>
          <w:p w14:paraId="57C60E9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零配件名称</w:t>
            </w:r>
          </w:p>
        </w:tc>
        <w:tc>
          <w:tcPr>
            <w:tcW w:w="1114" w:type="pct"/>
            <w:vAlign w:val="center"/>
          </w:tcPr>
          <w:p w14:paraId="031C35D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单位</w:t>
            </w:r>
          </w:p>
        </w:tc>
        <w:tc>
          <w:tcPr>
            <w:tcW w:w="910" w:type="pct"/>
            <w:vAlign w:val="center"/>
          </w:tcPr>
          <w:p w14:paraId="5E56784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最高限价（元）</w:t>
            </w:r>
          </w:p>
        </w:tc>
      </w:tr>
      <w:tr w14:paraId="310DD7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611" w:type="pct"/>
            <w:vAlign w:val="center"/>
          </w:tcPr>
          <w:p w14:paraId="16EB4E4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w:t>
            </w:r>
          </w:p>
        </w:tc>
        <w:tc>
          <w:tcPr>
            <w:tcW w:w="2363" w:type="pct"/>
            <w:vAlign w:val="center"/>
          </w:tcPr>
          <w:p w14:paraId="3A803AAE">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光学限位器组件</w:t>
            </w:r>
          </w:p>
        </w:tc>
        <w:tc>
          <w:tcPr>
            <w:tcW w:w="1114" w:type="pct"/>
            <w:vAlign w:val="center"/>
          </w:tcPr>
          <w:p w14:paraId="0BF9C31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366A460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160</w:t>
            </w:r>
          </w:p>
        </w:tc>
      </w:tr>
      <w:tr w14:paraId="72EB1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11" w:type="pct"/>
            <w:vAlign w:val="center"/>
          </w:tcPr>
          <w:p w14:paraId="73194AB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w:t>
            </w:r>
          </w:p>
        </w:tc>
        <w:tc>
          <w:tcPr>
            <w:tcW w:w="2363" w:type="pct"/>
            <w:vAlign w:val="center"/>
          </w:tcPr>
          <w:p w14:paraId="3BCB384B">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腮托架外壳</w:t>
            </w:r>
          </w:p>
        </w:tc>
        <w:tc>
          <w:tcPr>
            <w:tcW w:w="1114" w:type="pct"/>
            <w:vAlign w:val="center"/>
          </w:tcPr>
          <w:p w14:paraId="512862C5">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1CFA4AF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1542</w:t>
            </w:r>
          </w:p>
        </w:tc>
      </w:tr>
      <w:tr w14:paraId="05A9B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611" w:type="pct"/>
            <w:vAlign w:val="center"/>
          </w:tcPr>
          <w:p w14:paraId="6AE49C6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w:t>
            </w:r>
          </w:p>
        </w:tc>
        <w:tc>
          <w:tcPr>
            <w:tcW w:w="2363" w:type="pct"/>
            <w:vAlign w:val="center"/>
          </w:tcPr>
          <w:p w14:paraId="288D5F28">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下巴托</w:t>
            </w:r>
          </w:p>
        </w:tc>
        <w:tc>
          <w:tcPr>
            <w:tcW w:w="1114" w:type="pct"/>
            <w:vAlign w:val="center"/>
          </w:tcPr>
          <w:p w14:paraId="0C44541C">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4AA4265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120</w:t>
            </w:r>
          </w:p>
        </w:tc>
      </w:tr>
      <w:tr w14:paraId="7517C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611" w:type="pct"/>
            <w:vAlign w:val="center"/>
          </w:tcPr>
          <w:p w14:paraId="4A4D1BC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w:t>
            </w:r>
          </w:p>
        </w:tc>
        <w:tc>
          <w:tcPr>
            <w:tcW w:w="2363" w:type="pct"/>
            <w:vAlign w:val="center"/>
          </w:tcPr>
          <w:p w14:paraId="401FA09C">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腮托架组件</w:t>
            </w:r>
          </w:p>
        </w:tc>
        <w:tc>
          <w:tcPr>
            <w:tcW w:w="1114" w:type="pct"/>
            <w:vAlign w:val="center"/>
          </w:tcPr>
          <w:p w14:paraId="57F6759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501E68EC">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2470</w:t>
            </w:r>
          </w:p>
        </w:tc>
      </w:tr>
      <w:tr w14:paraId="75581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11" w:type="pct"/>
            <w:vMerge w:val="restart"/>
            <w:tcBorders>
              <w:bottom w:val="nil"/>
            </w:tcBorders>
            <w:vAlign w:val="center"/>
          </w:tcPr>
          <w:p w14:paraId="464F9F5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w:t>
            </w:r>
          </w:p>
        </w:tc>
        <w:tc>
          <w:tcPr>
            <w:tcW w:w="2363" w:type="pct"/>
            <w:vAlign w:val="center"/>
          </w:tcPr>
          <w:p w14:paraId="168F9BC0">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主机外壳/套(上)</w:t>
            </w:r>
          </w:p>
        </w:tc>
        <w:tc>
          <w:tcPr>
            <w:tcW w:w="1114" w:type="pct"/>
            <w:vAlign w:val="center"/>
          </w:tcPr>
          <w:p w14:paraId="38B176F6">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30A37533">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1500</w:t>
            </w:r>
          </w:p>
        </w:tc>
      </w:tr>
      <w:tr w14:paraId="5F0DB1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Merge w:val="continue"/>
            <w:tcBorders>
              <w:top w:val="nil"/>
              <w:bottom w:val="nil"/>
            </w:tcBorders>
            <w:vAlign w:val="center"/>
          </w:tcPr>
          <w:p w14:paraId="4162623C">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p>
        </w:tc>
        <w:tc>
          <w:tcPr>
            <w:tcW w:w="2363" w:type="pct"/>
            <w:vAlign w:val="center"/>
          </w:tcPr>
          <w:p w14:paraId="3124726C">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主机外壳/套(中)</w:t>
            </w:r>
          </w:p>
        </w:tc>
        <w:tc>
          <w:tcPr>
            <w:tcW w:w="1114" w:type="pct"/>
            <w:vAlign w:val="center"/>
          </w:tcPr>
          <w:p w14:paraId="1FF4FD8E">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7D13AEC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1300</w:t>
            </w:r>
          </w:p>
        </w:tc>
      </w:tr>
      <w:tr w14:paraId="33290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Merge w:val="continue"/>
            <w:tcBorders>
              <w:top w:val="nil"/>
              <w:bottom w:val="nil"/>
            </w:tcBorders>
            <w:vAlign w:val="center"/>
          </w:tcPr>
          <w:p w14:paraId="3D3BEBB6">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p>
        </w:tc>
        <w:tc>
          <w:tcPr>
            <w:tcW w:w="2363" w:type="pct"/>
            <w:vAlign w:val="center"/>
          </w:tcPr>
          <w:p w14:paraId="38D4CF23">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主机外壳/套(下)</w:t>
            </w:r>
          </w:p>
        </w:tc>
        <w:tc>
          <w:tcPr>
            <w:tcW w:w="1114" w:type="pct"/>
            <w:vAlign w:val="center"/>
          </w:tcPr>
          <w:p w14:paraId="28961A6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0AFB9F8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1520</w:t>
            </w:r>
          </w:p>
        </w:tc>
      </w:tr>
      <w:tr w14:paraId="5D6B3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11" w:type="pct"/>
            <w:vMerge w:val="continue"/>
            <w:tcBorders>
              <w:top w:val="nil"/>
              <w:bottom w:val="nil"/>
            </w:tcBorders>
            <w:vAlign w:val="center"/>
          </w:tcPr>
          <w:p w14:paraId="122A30FB">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p>
        </w:tc>
        <w:tc>
          <w:tcPr>
            <w:tcW w:w="2363" w:type="pct"/>
            <w:vAlign w:val="center"/>
          </w:tcPr>
          <w:p w14:paraId="350F5791">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支架上罩壳</w:t>
            </w:r>
          </w:p>
        </w:tc>
        <w:tc>
          <w:tcPr>
            <w:tcW w:w="1114" w:type="pct"/>
            <w:vAlign w:val="center"/>
          </w:tcPr>
          <w:p w14:paraId="1163339A">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2FF754D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220</w:t>
            </w:r>
          </w:p>
        </w:tc>
      </w:tr>
      <w:tr w14:paraId="5D0CE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11" w:type="pct"/>
            <w:vMerge w:val="continue"/>
            <w:tcBorders>
              <w:top w:val="nil"/>
              <w:bottom w:val="nil"/>
            </w:tcBorders>
            <w:vAlign w:val="center"/>
          </w:tcPr>
          <w:p w14:paraId="62653AF3">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p>
        </w:tc>
        <w:tc>
          <w:tcPr>
            <w:tcW w:w="2363" w:type="pct"/>
            <w:vAlign w:val="center"/>
          </w:tcPr>
          <w:p w14:paraId="14EBC431">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支架下罩壳</w:t>
            </w:r>
          </w:p>
        </w:tc>
        <w:tc>
          <w:tcPr>
            <w:tcW w:w="1114" w:type="pct"/>
            <w:vAlign w:val="center"/>
          </w:tcPr>
          <w:p w14:paraId="16271B5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329B8D5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180</w:t>
            </w:r>
          </w:p>
        </w:tc>
      </w:tr>
      <w:tr w14:paraId="1EAAC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611" w:type="pct"/>
            <w:vMerge w:val="continue"/>
            <w:tcBorders>
              <w:top w:val="nil"/>
            </w:tcBorders>
            <w:vAlign w:val="center"/>
          </w:tcPr>
          <w:p w14:paraId="197A3C43">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p>
        </w:tc>
        <w:tc>
          <w:tcPr>
            <w:tcW w:w="2363" w:type="pct"/>
            <w:vAlign w:val="center"/>
          </w:tcPr>
          <w:p w14:paraId="4E473291">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眼表罩壳</w:t>
            </w:r>
          </w:p>
        </w:tc>
        <w:tc>
          <w:tcPr>
            <w:tcW w:w="1114" w:type="pct"/>
            <w:vAlign w:val="center"/>
          </w:tcPr>
          <w:p w14:paraId="2638DC25">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5A718116">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320</w:t>
            </w:r>
          </w:p>
        </w:tc>
      </w:tr>
      <w:tr w14:paraId="412DAA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Align w:val="center"/>
          </w:tcPr>
          <w:p w14:paraId="762925D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6</w:t>
            </w:r>
          </w:p>
        </w:tc>
        <w:tc>
          <w:tcPr>
            <w:tcW w:w="2363" w:type="pct"/>
            <w:vAlign w:val="center"/>
          </w:tcPr>
          <w:p w14:paraId="4BB1A69A">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触控显示设备（≥10.1寸）</w:t>
            </w:r>
          </w:p>
        </w:tc>
        <w:tc>
          <w:tcPr>
            <w:tcW w:w="1114" w:type="pct"/>
            <w:vAlign w:val="center"/>
          </w:tcPr>
          <w:p w14:paraId="1065B76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台</w:t>
            </w:r>
          </w:p>
        </w:tc>
        <w:tc>
          <w:tcPr>
            <w:tcW w:w="910" w:type="pct"/>
            <w:vAlign w:val="center"/>
          </w:tcPr>
          <w:p w14:paraId="7C0905C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1640</w:t>
            </w:r>
          </w:p>
        </w:tc>
      </w:tr>
      <w:tr w14:paraId="56221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611" w:type="pct"/>
            <w:vAlign w:val="center"/>
          </w:tcPr>
          <w:p w14:paraId="4A368E9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7</w:t>
            </w:r>
          </w:p>
        </w:tc>
        <w:tc>
          <w:tcPr>
            <w:tcW w:w="2363" w:type="pct"/>
            <w:vAlign w:val="center"/>
          </w:tcPr>
          <w:p w14:paraId="741074F8">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主控制板</w:t>
            </w:r>
          </w:p>
        </w:tc>
        <w:tc>
          <w:tcPr>
            <w:tcW w:w="1114" w:type="pct"/>
            <w:vAlign w:val="center"/>
          </w:tcPr>
          <w:p w14:paraId="225196A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5A2E020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5520</w:t>
            </w:r>
          </w:p>
        </w:tc>
      </w:tr>
      <w:tr w14:paraId="242B98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11" w:type="pct"/>
            <w:vAlign w:val="center"/>
          </w:tcPr>
          <w:p w14:paraId="40ECA3D5">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8</w:t>
            </w:r>
          </w:p>
        </w:tc>
        <w:tc>
          <w:tcPr>
            <w:tcW w:w="2363" w:type="pct"/>
            <w:vAlign w:val="center"/>
          </w:tcPr>
          <w:p w14:paraId="1014758B">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眼底照明光源(红外加座</w:t>
            </w:r>
          </w:p>
          <w:p w14:paraId="59908FF4">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子 )</w:t>
            </w:r>
          </w:p>
        </w:tc>
        <w:tc>
          <w:tcPr>
            <w:tcW w:w="1114" w:type="pct"/>
            <w:vAlign w:val="center"/>
          </w:tcPr>
          <w:p w14:paraId="10B47EC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3A52B2C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240</w:t>
            </w:r>
          </w:p>
        </w:tc>
      </w:tr>
      <w:tr w14:paraId="74E19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611" w:type="pct"/>
            <w:vAlign w:val="center"/>
          </w:tcPr>
          <w:p w14:paraId="4DE84DC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9</w:t>
            </w:r>
          </w:p>
        </w:tc>
        <w:tc>
          <w:tcPr>
            <w:tcW w:w="2363" w:type="pct"/>
            <w:vAlign w:val="center"/>
          </w:tcPr>
          <w:p w14:paraId="0FDF1161">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自动对焦光源</w:t>
            </w:r>
          </w:p>
        </w:tc>
        <w:tc>
          <w:tcPr>
            <w:tcW w:w="1114" w:type="pct"/>
            <w:vAlign w:val="center"/>
          </w:tcPr>
          <w:p w14:paraId="728A7D6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48630F9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460</w:t>
            </w:r>
          </w:p>
        </w:tc>
      </w:tr>
      <w:tr w14:paraId="7B9A9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Align w:val="center"/>
          </w:tcPr>
          <w:p w14:paraId="1DC302E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10</w:t>
            </w:r>
          </w:p>
        </w:tc>
        <w:tc>
          <w:tcPr>
            <w:tcW w:w="2363" w:type="pct"/>
            <w:vAlign w:val="center"/>
          </w:tcPr>
          <w:p w14:paraId="61D76107">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对焦电机28</w:t>
            </w:r>
          </w:p>
        </w:tc>
        <w:tc>
          <w:tcPr>
            <w:tcW w:w="1114" w:type="pct"/>
            <w:vAlign w:val="center"/>
          </w:tcPr>
          <w:p w14:paraId="28EC259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3300A153">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750</w:t>
            </w:r>
          </w:p>
        </w:tc>
      </w:tr>
      <w:tr w14:paraId="2A65C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Align w:val="center"/>
          </w:tcPr>
          <w:p w14:paraId="43CBC48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11</w:t>
            </w:r>
          </w:p>
        </w:tc>
        <w:tc>
          <w:tcPr>
            <w:tcW w:w="2363" w:type="pct"/>
            <w:vAlign w:val="center"/>
          </w:tcPr>
          <w:p w14:paraId="0E1D127B">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同步电机15</w:t>
            </w:r>
          </w:p>
        </w:tc>
        <w:tc>
          <w:tcPr>
            <w:tcW w:w="1114" w:type="pct"/>
            <w:vAlign w:val="center"/>
          </w:tcPr>
          <w:p w14:paraId="4C878C2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2E66655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190</w:t>
            </w:r>
          </w:p>
        </w:tc>
      </w:tr>
      <w:tr w14:paraId="49C94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Align w:val="center"/>
          </w:tcPr>
          <w:p w14:paraId="6A0D10B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12</w:t>
            </w:r>
          </w:p>
        </w:tc>
        <w:tc>
          <w:tcPr>
            <w:tcW w:w="2363" w:type="pct"/>
            <w:vAlign w:val="center"/>
          </w:tcPr>
          <w:p w14:paraId="4AFF414E">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光栅电机(空心杯电机)</w:t>
            </w:r>
          </w:p>
        </w:tc>
        <w:tc>
          <w:tcPr>
            <w:tcW w:w="1114" w:type="pct"/>
            <w:vAlign w:val="center"/>
          </w:tcPr>
          <w:p w14:paraId="6CC7C1C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7BA27DE6">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750</w:t>
            </w:r>
          </w:p>
        </w:tc>
      </w:tr>
      <w:tr w14:paraId="40718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5" w:hRule="atLeast"/>
        </w:trPr>
        <w:tc>
          <w:tcPr>
            <w:tcW w:w="611" w:type="pct"/>
            <w:vAlign w:val="center"/>
          </w:tcPr>
          <w:p w14:paraId="6A0FCD16">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13</w:t>
            </w:r>
          </w:p>
        </w:tc>
        <w:tc>
          <w:tcPr>
            <w:tcW w:w="2363" w:type="pct"/>
            <w:vAlign w:val="center"/>
          </w:tcPr>
          <w:p w14:paraId="56F222DD">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闪光灯组件(3000KLLED</w:t>
            </w:r>
          </w:p>
          <w:p w14:paraId="7491E172">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加座子)</w:t>
            </w:r>
          </w:p>
        </w:tc>
        <w:tc>
          <w:tcPr>
            <w:tcW w:w="1114" w:type="pct"/>
            <w:vAlign w:val="center"/>
          </w:tcPr>
          <w:p w14:paraId="68CC908A">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6DAD17E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1000</w:t>
            </w:r>
          </w:p>
        </w:tc>
      </w:tr>
      <w:tr w14:paraId="18769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11" w:type="pct"/>
            <w:vAlign w:val="center"/>
          </w:tcPr>
          <w:p w14:paraId="28843C4C">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w:t>
            </w:r>
          </w:p>
        </w:tc>
        <w:tc>
          <w:tcPr>
            <w:tcW w:w="2363" w:type="pct"/>
            <w:vAlign w:val="center"/>
          </w:tcPr>
          <w:p w14:paraId="44054B0C">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眼表摄像头组件</w:t>
            </w:r>
          </w:p>
        </w:tc>
        <w:tc>
          <w:tcPr>
            <w:tcW w:w="1114" w:type="pct"/>
            <w:vAlign w:val="center"/>
          </w:tcPr>
          <w:p w14:paraId="2036FA3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37F1CC1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1500</w:t>
            </w:r>
          </w:p>
        </w:tc>
      </w:tr>
      <w:tr w14:paraId="02E7E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Align w:val="center"/>
          </w:tcPr>
          <w:p w14:paraId="2BE57F0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15</w:t>
            </w:r>
          </w:p>
        </w:tc>
        <w:tc>
          <w:tcPr>
            <w:tcW w:w="2363" w:type="pct"/>
            <w:vAlign w:val="center"/>
          </w:tcPr>
          <w:p w14:paraId="20F8CA96">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大物镜组件</w:t>
            </w:r>
          </w:p>
        </w:tc>
        <w:tc>
          <w:tcPr>
            <w:tcW w:w="1114" w:type="pct"/>
            <w:vAlign w:val="center"/>
          </w:tcPr>
          <w:p w14:paraId="43040B7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2F2E5A1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4920</w:t>
            </w:r>
          </w:p>
        </w:tc>
      </w:tr>
      <w:tr w14:paraId="493CE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Align w:val="center"/>
          </w:tcPr>
          <w:p w14:paraId="5216218A">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w:t>
            </w:r>
          </w:p>
        </w:tc>
        <w:tc>
          <w:tcPr>
            <w:tcW w:w="2363" w:type="pct"/>
            <w:vAlign w:val="center"/>
          </w:tcPr>
          <w:p w14:paraId="1EF1BACB">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眼底成像摄像头组件</w:t>
            </w:r>
          </w:p>
        </w:tc>
        <w:tc>
          <w:tcPr>
            <w:tcW w:w="1114" w:type="pct"/>
            <w:vAlign w:val="center"/>
          </w:tcPr>
          <w:p w14:paraId="7E80E7C3">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4BD02F1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11640</w:t>
            </w:r>
          </w:p>
        </w:tc>
      </w:tr>
      <w:tr w14:paraId="39765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Align w:val="center"/>
          </w:tcPr>
          <w:p w14:paraId="4D357D8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17</w:t>
            </w:r>
          </w:p>
        </w:tc>
        <w:tc>
          <w:tcPr>
            <w:tcW w:w="2363" w:type="pct"/>
            <w:vAlign w:val="center"/>
          </w:tcPr>
          <w:p w14:paraId="280D2C62">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内固视灯模块</w:t>
            </w:r>
          </w:p>
        </w:tc>
        <w:tc>
          <w:tcPr>
            <w:tcW w:w="1114" w:type="pct"/>
            <w:vAlign w:val="center"/>
          </w:tcPr>
          <w:p w14:paraId="4504AEB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4EA06286">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1600</w:t>
            </w:r>
          </w:p>
        </w:tc>
      </w:tr>
      <w:tr w14:paraId="29D6D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11" w:type="pct"/>
            <w:vAlign w:val="center"/>
          </w:tcPr>
          <w:p w14:paraId="4AA4882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18</w:t>
            </w:r>
          </w:p>
        </w:tc>
        <w:tc>
          <w:tcPr>
            <w:tcW w:w="2363" w:type="pct"/>
            <w:vAlign w:val="center"/>
          </w:tcPr>
          <w:p w14:paraId="27AF2935">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电脑主机</w:t>
            </w:r>
          </w:p>
        </w:tc>
        <w:tc>
          <w:tcPr>
            <w:tcW w:w="1114" w:type="pct"/>
            <w:vAlign w:val="center"/>
          </w:tcPr>
          <w:p w14:paraId="6CBEA946">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73C9E09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7000</w:t>
            </w:r>
          </w:p>
        </w:tc>
      </w:tr>
      <w:tr w14:paraId="3D37F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11" w:type="pct"/>
            <w:vAlign w:val="center"/>
          </w:tcPr>
          <w:p w14:paraId="18A6E9A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19</w:t>
            </w:r>
          </w:p>
        </w:tc>
        <w:tc>
          <w:tcPr>
            <w:tcW w:w="2363" w:type="pct"/>
            <w:vAlign w:val="center"/>
          </w:tcPr>
          <w:p w14:paraId="47BE645A">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USB板组件</w:t>
            </w:r>
          </w:p>
        </w:tc>
        <w:tc>
          <w:tcPr>
            <w:tcW w:w="1114" w:type="pct"/>
            <w:vAlign w:val="center"/>
          </w:tcPr>
          <w:p w14:paraId="228240CC">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56113663">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564</w:t>
            </w:r>
          </w:p>
        </w:tc>
      </w:tr>
      <w:tr w14:paraId="5CF41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611" w:type="pct"/>
            <w:vAlign w:val="center"/>
          </w:tcPr>
          <w:p w14:paraId="5D580C6A">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20</w:t>
            </w:r>
          </w:p>
        </w:tc>
        <w:tc>
          <w:tcPr>
            <w:tcW w:w="2363" w:type="pct"/>
            <w:vAlign w:val="center"/>
          </w:tcPr>
          <w:p w14:paraId="7314D0CC">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主机电源(医用开关电</w:t>
            </w:r>
          </w:p>
          <w:p w14:paraId="0A1086FC">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源 )</w:t>
            </w:r>
          </w:p>
        </w:tc>
        <w:tc>
          <w:tcPr>
            <w:tcW w:w="1114" w:type="pct"/>
            <w:vAlign w:val="center"/>
          </w:tcPr>
          <w:p w14:paraId="340DD88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11D5E1E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1600</w:t>
            </w:r>
          </w:p>
        </w:tc>
      </w:tr>
      <w:tr w14:paraId="03CBB8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611" w:type="pct"/>
            <w:vAlign w:val="center"/>
          </w:tcPr>
          <w:p w14:paraId="58540FB5">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21</w:t>
            </w:r>
          </w:p>
        </w:tc>
        <w:tc>
          <w:tcPr>
            <w:tcW w:w="2363" w:type="pct"/>
            <w:vAlign w:val="center"/>
          </w:tcPr>
          <w:p w14:paraId="5F607B6A">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镜头保护盖</w:t>
            </w:r>
          </w:p>
        </w:tc>
        <w:tc>
          <w:tcPr>
            <w:tcW w:w="1114" w:type="pct"/>
            <w:vAlign w:val="center"/>
          </w:tcPr>
          <w:p w14:paraId="63EC340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52AC969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160</w:t>
            </w:r>
          </w:p>
        </w:tc>
      </w:tr>
      <w:tr w14:paraId="042E5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3" w:hRule="atLeast"/>
        </w:trPr>
        <w:tc>
          <w:tcPr>
            <w:tcW w:w="611" w:type="pct"/>
            <w:vAlign w:val="center"/>
          </w:tcPr>
          <w:p w14:paraId="50E6778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22</w:t>
            </w:r>
          </w:p>
        </w:tc>
        <w:tc>
          <w:tcPr>
            <w:tcW w:w="2363" w:type="pct"/>
            <w:vAlign w:val="center"/>
          </w:tcPr>
          <w:p w14:paraId="31127ED7">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遮光布</w:t>
            </w:r>
          </w:p>
        </w:tc>
        <w:tc>
          <w:tcPr>
            <w:tcW w:w="1114" w:type="pct"/>
            <w:vAlign w:val="center"/>
          </w:tcPr>
          <w:p w14:paraId="2E49537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块</w:t>
            </w:r>
          </w:p>
        </w:tc>
        <w:tc>
          <w:tcPr>
            <w:tcW w:w="910" w:type="pct"/>
            <w:vAlign w:val="center"/>
          </w:tcPr>
          <w:p w14:paraId="3C45C35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300</w:t>
            </w:r>
          </w:p>
        </w:tc>
      </w:tr>
      <w:tr w14:paraId="5BB6E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611" w:type="pct"/>
            <w:vAlign w:val="center"/>
          </w:tcPr>
          <w:p w14:paraId="38D47F4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23</w:t>
            </w:r>
          </w:p>
        </w:tc>
        <w:tc>
          <w:tcPr>
            <w:tcW w:w="2363" w:type="pct"/>
            <w:vAlign w:val="center"/>
          </w:tcPr>
          <w:p w14:paraId="72D7091B">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HDMI延长线(内置)</w:t>
            </w:r>
          </w:p>
        </w:tc>
        <w:tc>
          <w:tcPr>
            <w:tcW w:w="1114" w:type="pct"/>
            <w:vAlign w:val="center"/>
          </w:tcPr>
          <w:p w14:paraId="6111EE8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56ECC18C">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100</w:t>
            </w:r>
          </w:p>
        </w:tc>
      </w:tr>
      <w:tr w14:paraId="65EF5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611" w:type="pct"/>
            <w:vAlign w:val="center"/>
          </w:tcPr>
          <w:p w14:paraId="293C9045">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24</w:t>
            </w:r>
          </w:p>
        </w:tc>
        <w:tc>
          <w:tcPr>
            <w:tcW w:w="2363" w:type="pct"/>
            <w:vAlign w:val="center"/>
          </w:tcPr>
          <w:p w14:paraId="76B9762A">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HDMI转VGA转换器</w:t>
            </w:r>
          </w:p>
        </w:tc>
        <w:tc>
          <w:tcPr>
            <w:tcW w:w="1114" w:type="pct"/>
            <w:vAlign w:val="center"/>
          </w:tcPr>
          <w:p w14:paraId="4C95CB4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6AEF1A6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90</w:t>
            </w:r>
          </w:p>
        </w:tc>
      </w:tr>
      <w:tr w14:paraId="63FDB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611" w:type="pct"/>
            <w:vAlign w:val="center"/>
          </w:tcPr>
          <w:p w14:paraId="5FA13E06">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25</w:t>
            </w:r>
          </w:p>
        </w:tc>
        <w:tc>
          <w:tcPr>
            <w:tcW w:w="2363" w:type="pct"/>
            <w:vAlign w:val="center"/>
          </w:tcPr>
          <w:p w14:paraId="4D2E7520">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升降台(全套，含开关+ 面板+线盒)</w:t>
            </w:r>
          </w:p>
        </w:tc>
        <w:tc>
          <w:tcPr>
            <w:tcW w:w="1114" w:type="pct"/>
            <w:vAlign w:val="center"/>
          </w:tcPr>
          <w:p w14:paraId="1288559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套</w:t>
            </w:r>
          </w:p>
        </w:tc>
        <w:tc>
          <w:tcPr>
            <w:tcW w:w="910" w:type="pct"/>
            <w:vAlign w:val="center"/>
          </w:tcPr>
          <w:p w14:paraId="6147BD25">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3590</w:t>
            </w:r>
          </w:p>
        </w:tc>
      </w:tr>
      <w:tr w14:paraId="0CC05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611" w:type="pct"/>
            <w:vAlign w:val="center"/>
          </w:tcPr>
          <w:p w14:paraId="0BEBFBD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26</w:t>
            </w:r>
          </w:p>
        </w:tc>
        <w:tc>
          <w:tcPr>
            <w:tcW w:w="2363" w:type="pct"/>
            <w:vAlign w:val="center"/>
          </w:tcPr>
          <w:p w14:paraId="60CA9B3C">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升降台开关</w:t>
            </w:r>
          </w:p>
        </w:tc>
        <w:tc>
          <w:tcPr>
            <w:tcW w:w="1114" w:type="pct"/>
            <w:vAlign w:val="center"/>
          </w:tcPr>
          <w:p w14:paraId="6971B3F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386E0C8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400</w:t>
            </w:r>
          </w:p>
        </w:tc>
      </w:tr>
      <w:tr w14:paraId="30F850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611" w:type="pct"/>
            <w:vAlign w:val="center"/>
          </w:tcPr>
          <w:p w14:paraId="66F965E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27</w:t>
            </w:r>
          </w:p>
        </w:tc>
        <w:tc>
          <w:tcPr>
            <w:tcW w:w="2363" w:type="pct"/>
            <w:vAlign w:val="center"/>
          </w:tcPr>
          <w:p w14:paraId="61B7659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防尘罩</w:t>
            </w:r>
          </w:p>
        </w:tc>
        <w:tc>
          <w:tcPr>
            <w:tcW w:w="1114" w:type="pct"/>
            <w:vAlign w:val="center"/>
          </w:tcPr>
          <w:p w14:paraId="3C1F5F76">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2DDED02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160</w:t>
            </w:r>
          </w:p>
        </w:tc>
      </w:tr>
      <w:tr w14:paraId="006B9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611" w:type="pct"/>
            <w:vAlign w:val="center"/>
          </w:tcPr>
          <w:p w14:paraId="24623EA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28</w:t>
            </w:r>
          </w:p>
        </w:tc>
        <w:tc>
          <w:tcPr>
            <w:tcW w:w="2363" w:type="pct"/>
            <w:vAlign w:val="center"/>
          </w:tcPr>
          <w:p w14:paraId="7307A35A">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成型泡沫套装</w:t>
            </w:r>
          </w:p>
        </w:tc>
        <w:tc>
          <w:tcPr>
            <w:tcW w:w="1114" w:type="pct"/>
            <w:vAlign w:val="center"/>
          </w:tcPr>
          <w:p w14:paraId="17D86DA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600CFD7E">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530</w:t>
            </w:r>
          </w:p>
        </w:tc>
      </w:tr>
      <w:tr w14:paraId="5FA209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611" w:type="pct"/>
            <w:vAlign w:val="center"/>
          </w:tcPr>
          <w:p w14:paraId="6AABBFF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29</w:t>
            </w:r>
          </w:p>
        </w:tc>
        <w:tc>
          <w:tcPr>
            <w:tcW w:w="2363" w:type="pct"/>
            <w:vAlign w:val="center"/>
          </w:tcPr>
          <w:p w14:paraId="06E5C174">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重包纸箱</w:t>
            </w:r>
          </w:p>
        </w:tc>
        <w:tc>
          <w:tcPr>
            <w:tcW w:w="1114" w:type="pct"/>
            <w:vAlign w:val="center"/>
          </w:tcPr>
          <w:p w14:paraId="4974847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7CC82973">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800</w:t>
            </w:r>
          </w:p>
        </w:tc>
      </w:tr>
      <w:tr w14:paraId="08474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611" w:type="pct"/>
            <w:vAlign w:val="center"/>
          </w:tcPr>
          <w:p w14:paraId="2FA4746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30</w:t>
            </w:r>
          </w:p>
        </w:tc>
        <w:tc>
          <w:tcPr>
            <w:tcW w:w="2363" w:type="pct"/>
            <w:vAlign w:val="center"/>
          </w:tcPr>
          <w:p w14:paraId="42B5A3EC">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木托盘</w:t>
            </w:r>
          </w:p>
        </w:tc>
        <w:tc>
          <w:tcPr>
            <w:tcW w:w="1114" w:type="pct"/>
            <w:vAlign w:val="center"/>
          </w:tcPr>
          <w:p w14:paraId="4637ED8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个</w:t>
            </w:r>
          </w:p>
        </w:tc>
        <w:tc>
          <w:tcPr>
            <w:tcW w:w="910" w:type="pct"/>
            <w:vAlign w:val="center"/>
          </w:tcPr>
          <w:p w14:paraId="46BDFF1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300</w:t>
            </w:r>
          </w:p>
        </w:tc>
      </w:tr>
    </w:tbl>
    <w:p w14:paraId="115F3B26">
      <w:pPr>
        <w:pStyle w:val="4"/>
        <w:rPr>
          <w:rFonts w:hint="default" w:ascii="宋体" w:hAnsi="宋体" w:cs="宋体"/>
          <w:b w:val="0"/>
          <w:bCs w:val="0"/>
          <w:color w:val="auto"/>
          <w:sz w:val="28"/>
          <w:szCs w:val="28"/>
          <w:highlight w:val="none"/>
          <w:lang w:val="en-US" w:eastAsia="zh-CN"/>
        </w:rPr>
      </w:pPr>
    </w:p>
    <w:p w14:paraId="79A24F61">
      <w:pPr>
        <w:pStyle w:val="3"/>
        <w:spacing w:after="0" w:line="540" w:lineRule="exact"/>
        <w:ind w:firstLine="562" w:firstLineChars="200"/>
        <w:rPr>
          <w:rFonts w:hint="eastAsia" w:ascii="宋体" w:hAnsi="宋体" w:cs="宋体"/>
          <w:b/>
          <w:bCs/>
          <w:sz w:val="28"/>
          <w:szCs w:val="28"/>
          <w:highlight w:val="none"/>
        </w:rPr>
      </w:pPr>
    </w:p>
    <w:p w14:paraId="0BD3F143">
      <w:pPr>
        <w:pStyle w:val="3"/>
        <w:spacing w:after="0" w:line="540" w:lineRule="exact"/>
        <w:ind w:firstLine="562" w:firstLineChars="200"/>
        <w:rPr>
          <w:rFonts w:ascii="宋体" w:hAnsi="宋体" w:cs="宋体"/>
          <w:sz w:val="72"/>
          <w:szCs w:val="72"/>
          <w:highlight w:val="none"/>
        </w:rPr>
      </w:pPr>
      <w:r>
        <w:rPr>
          <w:rFonts w:hint="eastAsia" w:ascii="宋体" w:hAnsi="宋体" w:cs="宋体"/>
          <w:b/>
          <w:bCs/>
          <w:sz w:val="28"/>
          <w:szCs w:val="28"/>
          <w:highlight w:val="none"/>
        </w:rPr>
        <w:t>注：本章采购需求中标注“★”号的条款为本次采购项目的实质性要求</w:t>
      </w:r>
      <w:r>
        <w:rPr>
          <w:rFonts w:hint="eastAsia" w:ascii="宋体" w:hAnsi="宋体" w:cs="宋体"/>
          <w:b/>
          <w:bCs/>
          <w:sz w:val="28"/>
          <w:szCs w:val="28"/>
          <w:highlight w:val="none"/>
          <w:lang w:eastAsia="zh-CN"/>
        </w:rPr>
        <w:t>投标人</w:t>
      </w:r>
      <w:r>
        <w:rPr>
          <w:rFonts w:hint="eastAsia" w:ascii="宋体" w:hAnsi="宋体" w:cs="宋体"/>
          <w:b/>
          <w:bCs/>
          <w:sz w:val="28"/>
          <w:szCs w:val="28"/>
          <w:highlight w:val="none"/>
        </w:rPr>
        <w:t>应全部满足，标注“▲”号的为重要技术参数条款，未标注特殊符号的为一般技术参数条款。</w:t>
      </w:r>
    </w:p>
    <w:p w14:paraId="4D2F64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45E7A"/>
    <w:rsid w:val="30893534"/>
    <w:rsid w:val="3B2F187C"/>
    <w:rsid w:val="43BB4117"/>
    <w:rsid w:val="4CF3569F"/>
    <w:rsid w:val="6A7554EE"/>
    <w:rsid w:val="6C94228F"/>
    <w:rsid w:val="74F123F7"/>
    <w:rsid w:val="7AF71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rPr>
      <w:rFonts w:ascii="Calibri" w:hAnsi="Calibri"/>
    </w:rPr>
  </w:style>
  <w:style w:type="paragraph" w:styleId="4">
    <w:name w:val="Body Text First Indent"/>
    <w:basedOn w:val="3"/>
    <w:next w:val="1"/>
    <w:unhideWhenUsed/>
    <w:qFormat/>
    <w:uiPriority w:val="99"/>
    <w:pPr>
      <w:ind w:firstLine="420" w:firstLineChars="100"/>
    </w:pPr>
  </w:style>
  <w:style w:type="table" w:customStyle="1" w:styleId="7">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2561</Words>
  <Characters>2714</Characters>
  <Lines>0</Lines>
  <Paragraphs>0</Paragraphs>
  <TotalTime>18</TotalTime>
  <ScaleCrop>false</ScaleCrop>
  <LinksUpToDate>false</LinksUpToDate>
  <CharactersWithSpaces>2720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2026-02-27T03:12:00Z</dcterms:created>
  <dc:creator>s1mple</dc:creator>
  <cp:lastModifiedBy>s1mple</cp:lastModifiedBy>
  <dcterms:modified xsi:type="dcterms:W3CDTF">2026-03-11T08:05:43Z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eyJoZGlkIjoiMzg1MmNkY2Q3Yjc4OTEzZGU0NGNkMmMxZjYxMzVlNmYiLCJ1c2VySWQiOiIzODk0ODA0OTIifQ==</vt:lpwstr>
  </property>
  <property fmtid="{D5CDD505-2E9C-101B-9397-08002B2CF9AE}" pid="4" name="ICV">
    <vt:lpwstr>9EBFE10B542740AEB279EB35FEBB718A_12</vt:lpwstr>
  </property>
</Properties>
</file>