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版本号：N510301202600007120260310001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全自动免散瞳眼底相机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N5103012026000071</w:t>
      </w:r>
    </w:p>
    <w:p>
      <w:pPr>
        <w:pStyle w:val="null3"/>
        <w:jc w:val="left"/>
        <w:outlineLvl w:val="2"/>
      </w:pPr>
      <w:r>
        <w:rPr>
          <w:rFonts w:ascii="仿宋_GB2312" w:hAnsi="仿宋_GB2312" w:cs="仿宋_GB2312" w:eastAsia="仿宋_GB2312"/>
          <w:sz w:val="28"/>
          <w:b/>
        </w:rPr>
        <w:t>自贡市第一人民医院</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自贡市第一人民医院</w:t>
      </w:r>
      <w:r>
        <w:rPr>
          <w:rFonts w:ascii="仿宋_GB2312" w:hAnsi="仿宋_GB2312" w:cs="仿宋_GB2312" w:eastAsia="仿宋_GB2312"/>
        </w:rPr>
        <w:t xml:space="preserve"> 委托，拟对 </w:t>
      </w:r>
      <w:r>
        <w:rPr>
          <w:rFonts w:ascii="仿宋_GB2312" w:hAnsi="仿宋_GB2312" w:cs="仿宋_GB2312" w:eastAsia="仿宋_GB2312"/>
        </w:rPr>
        <w:t>全自动免散瞳眼底相机</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全自动免散瞳眼底相机</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自贡市第一人民医院因工作需要，拟通过公开招标方式采购全自动免散瞳眼底相机，此次采购包括：设备安装、调试、培训及售后服务等。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1、投标产品若为医疗器械时投标人须符合《医疗器械监督管理条例》的要求（描述：投标产品若为医疗器械时： ①投标人非投标产品制造商时，三类医疗器械：提供投标人的《医疗器械经营许可证》影印件；二类医疗器械：提供投标人的医疗器械经营备案凭证影印件；一类医疗器械可不提供。②投标人为投标产品制造商时无需提供。 注：根据国办发〔2017〕41号政策要求“多证合一”的营业执照除外。）</w:t>
      </w:r>
    </w:p>
    <w:p>
      <w:pPr>
        <w:pStyle w:val="null3"/>
        <w:jc w:val="left"/>
      </w:pPr>
      <w:r>
        <w:rPr>
          <w:rFonts w:ascii="仿宋_GB2312" w:hAnsi="仿宋_GB2312" w:cs="仿宋_GB2312" w:eastAsia="仿宋_GB2312"/>
        </w:rPr>
        <w:t>2、投标产品若为医疗器械时须符合《医疗器械注册管理办法》的要求（描述：投标产品若为医疗器械时： ①二类、三类医疗器械：提供《医疗器械注册证》和《注册登记表》影印件或国家新颁发的《医疗器械注册证》影印件；一类医疗器械：提供医疗器械注册备案影印件。 ②二类、三类医疗器械：提供产品制造商的《医疗器械生产许可证》影印件；一类医疗器械：提供产品制造商的医疗器械生产备案凭证影印件并加盖投标人电子签章。）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自贡市大安区灯城西街1号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0813-2100023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四川国信恒通项目管理有限公司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四川省成都市武侯区中国（四川）自由贸易试验区成都高新区锦城大道666号4栋20层3号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0813-3226563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代理服务费收费标准：向中标人以现金或转账的方式定额收取人民币：3000.00（叁仟元整）。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自贡市第一人民医院</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自贡市政府采购履约验收管理办法》的规定、招标文件的质量要求和技术指标、中标人的投标文件及承诺、国家有关部门批准的技术标准、招标人与中标人签订的合同，共同现场验收。同时提供相关证明文件及操作手册，否则视为验收不合格，招标人有权单方面解除合同外，中标人立即返回支付的合同金额并按支付合同金额的20%支付违约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联系电话：0813-3226552</w:t>
      </w:r>
    </w:p>
    <w:p>
      <w:pPr>
        <w:pStyle w:val="null3"/>
        <w:jc w:val="left"/>
      </w:pPr>
      <w:r>
        <w:rPr>
          <w:rFonts w:ascii="仿宋_GB2312" w:hAnsi="仿宋_GB2312" w:cs="仿宋_GB2312" w:eastAsia="仿宋_GB2312"/>
        </w:rPr>
        <w:t>地址：四川省自贡市时代大道龙湖领御三期10栋1号2楼</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w:t>
      </w:r>
    </w:p>
    <w:p>
      <w:pPr>
        <w:pStyle w:val="null3"/>
        <w:jc w:val="left"/>
      </w:pPr>
      <w:r>
        <w:rPr>
          <w:rFonts w:ascii="仿宋_GB2312" w:hAnsi="仿宋_GB2312" w:cs="仿宋_GB2312" w:eastAsia="仿宋_GB2312"/>
        </w:rPr>
        <w:t>采购包最高限价（元）: 173,000.00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全自动免散瞳眼底相机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173,000.00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全自动免散瞳眼底相机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173,000.00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A02320400 医用光学仪器</w:t>
            </w:r>
          </w:p>
        </w:tc>
        <w:tc>
          <w:tcPr>
            <w:tcW w:type="dxa" w:w="2492"/>
          </w:tcPr>
          <w:p>
            <w:pPr>
              <w:pStyle w:val="null3"/>
              <w:jc w:val="left"/>
            </w:pPr>
            <w:r>
              <w:rPr>
                <w:rFonts w:ascii="仿宋_GB2312" w:hAnsi="仿宋_GB2312" w:cs="仿宋_GB2312" w:eastAsia="仿宋_GB2312"/>
              </w:rPr>
              <w:t>全自动免散瞳眼底相机</w:t>
            </w:r>
          </w:p>
        </w:tc>
        <w:tc>
          <w:tcPr>
            <w:tcW w:type="dxa" w:w="2492"/>
          </w:tcPr>
          <w:p>
            <w:pPr>
              <w:pStyle w:val="null3"/>
              <w:jc w:val="left"/>
            </w:pPr>
            <w:r>
              <w:rPr>
                <w:rFonts w:ascii="仿宋_GB2312" w:hAnsi="仿宋_GB2312" w:cs="仿宋_GB2312" w:eastAsia="仿宋_GB2312"/>
              </w:rPr>
              <w:t>全自动免散瞳眼底相机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标的名称：全自动免散瞳眼底相机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全自动免散瞳眼底相机</w:t>
            </w:r>
          </w:p>
        </w:tc>
        <w:tc>
          <w:tcPr>
            <w:tcW w:type="dxa" w:w="5814"/>
          </w:tcPr>
          <w:p>
            <w:pPr>
              <w:pStyle w:val="null3"/>
              <w:spacing w:after="120"/>
              <w:ind w:firstLine="420"/>
              <w:jc w:val="both"/>
            </w:pPr>
            <w:r>
              <w:rPr>
                <w:rFonts w:ascii="仿宋_GB2312" w:hAnsi="仿宋_GB2312" w:cs="仿宋_GB2312" w:eastAsia="仿宋_GB2312"/>
                <w:sz w:val="28"/>
              </w:rPr>
              <w:t>★1、操作模式:全自动/手动；无需人工调整，一键完成双眼自动拍照，自动调节腮托架，自动追踪眼位（上下左右），自动对焦（前后），自动测量，自动转换左右眼。</w:t>
            </w:r>
          </w:p>
          <w:p>
            <w:pPr>
              <w:pStyle w:val="null3"/>
              <w:spacing w:after="120"/>
              <w:ind w:firstLine="420"/>
              <w:jc w:val="both"/>
            </w:pPr>
            <w:r>
              <w:rPr>
                <w:rFonts w:ascii="仿宋_GB2312" w:hAnsi="仿宋_GB2312" w:cs="仿宋_GB2312" w:eastAsia="仿宋_GB2312"/>
                <w:sz w:val="28"/>
              </w:rPr>
              <w:t>▲2、对焦模式：全自动/手动；自动切换左右眼、自动寻找瞳孔、自动校准瞳孔位置（需提供产品说明书或彩页或第三方检测机构出具的检测报告）。</w:t>
            </w:r>
          </w:p>
          <w:p>
            <w:pPr>
              <w:pStyle w:val="null3"/>
              <w:spacing w:after="120"/>
              <w:ind w:firstLine="420"/>
              <w:jc w:val="both"/>
            </w:pPr>
            <w:r>
              <w:rPr>
                <w:rFonts w:ascii="仿宋_GB2312" w:hAnsi="仿宋_GB2312" w:cs="仿宋_GB2312" w:eastAsia="仿宋_GB2312"/>
                <w:sz w:val="28"/>
              </w:rPr>
              <w:t>3、拍照模式：自动/手动。</w:t>
            </w:r>
          </w:p>
          <w:p>
            <w:pPr>
              <w:pStyle w:val="null3"/>
              <w:spacing w:after="120"/>
              <w:ind w:firstLine="420"/>
              <w:jc w:val="both"/>
            </w:pPr>
            <w:r>
              <w:rPr>
                <w:rFonts w:ascii="仿宋_GB2312" w:hAnsi="仿宋_GB2312" w:cs="仿宋_GB2312" w:eastAsia="仿宋_GB2312"/>
                <w:sz w:val="28"/>
              </w:rPr>
              <w:t>4、采集模式：免散瞳/散瞳彩照。</w:t>
            </w:r>
          </w:p>
          <w:p>
            <w:pPr>
              <w:pStyle w:val="null3"/>
              <w:spacing w:after="120"/>
              <w:ind w:firstLine="420"/>
              <w:jc w:val="both"/>
            </w:pPr>
            <w:r>
              <w:rPr>
                <w:rFonts w:ascii="仿宋_GB2312" w:hAnsi="仿宋_GB2312" w:cs="仿宋_GB2312" w:eastAsia="仿宋_GB2312"/>
                <w:sz w:val="28"/>
              </w:rPr>
              <w:t>5、曝光模式：自动/手动。</w:t>
            </w:r>
          </w:p>
          <w:p>
            <w:pPr>
              <w:pStyle w:val="null3"/>
              <w:spacing w:after="120"/>
              <w:ind w:firstLine="420"/>
              <w:jc w:val="both"/>
            </w:pPr>
            <w:r>
              <w:rPr>
                <w:rFonts w:ascii="仿宋_GB2312" w:hAnsi="仿宋_GB2312" w:cs="仿宋_GB2312" w:eastAsia="仿宋_GB2312"/>
                <w:sz w:val="28"/>
              </w:rPr>
              <w:t>6、采集过程全程语音导航。</w:t>
            </w:r>
          </w:p>
          <w:p>
            <w:pPr>
              <w:pStyle w:val="null3"/>
              <w:spacing w:after="120"/>
              <w:ind w:firstLine="420"/>
              <w:jc w:val="both"/>
            </w:pPr>
            <w:r>
              <w:rPr>
                <w:rFonts w:ascii="仿宋_GB2312" w:hAnsi="仿宋_GB2312" w:cs="仿宋_GB2312" w:eastAsia="仿宋_GB2312"/>
                <w:sz w:val="28"/>
              </w:rPr>
              <w:t>7、尺寸：280mm（±20）（长）×559mm（±20）（宽）×460mm（±10）（高）。</w:t>
            </w:r>
          </w:p>
          <w:p>
            <w:pPr>
              <w:pStyle w:val="null3"/>
              <w:spacing w:after="120"/>
              <w:ind w:firstLine="420"/>
              <w:jc w:val="both"/>
            </w:pPr>
            <w:r>
              <w:rPr>
                <w:rFonts w:ascii="仿宋_GB2312" w:hAnsi="仿宋_GB2312" w:cs="仿宋_GB2312" w:eastAsia="仿宋_GB2312"/>
                <w:sz w:val="28"/>
              </w:rPr>
              <w:t xml:space="preserve">8、重量：21（±2）KG。                         </w:t>
            </w:r>
          </w:p>
          <w:p>
            <w:pPr>
              <w:pStyle w:val="null3"/>
              <w:spacing w:after="120"/>
              <w:ind w:firstLine="420"/>
              <w:jc w:val="both"/>
            </w:pPr>
            <w:r>
              <w:rPr>
                <w:rFonts w:ascii="仿宋_GB2312" w:hAnsi="仿宋_GB2312" w:cs="仿宋_GB2312" w:eastAsia="仿宋_GB2312"/>
                <w:sz w:val="28"/>
              </w:rPr>
              <w:t>▲9、照相瞳孔直径：≥2.8mm（需提供产品说明书或彩页或第三方检测机构出具的检测报告）。</w:t>
            </w:r>
          </w:p>
          <w:p>
            <w:pPr>
              <w:pStyle w:val="null3"/>
              <w:spacing w:after="120"/>
              <w:ind w:firstLine="420"/>
              <w:jc w:val="both"/>
            </w:pPr>
            <w:r>
              <w:rPr>
                <w:rFonts w:ascii="仿宋_GB2312" w:hAnsi="仿宋_GB2312" w:cs="仿宋_GB2312" w:eastAsia="仿宋_GB2312"/>
                <w:sz w:val="28"/>
              </w:rPr>
              <w:t>10、闪光强度：自适应无级可调。</w:t>
            </w:r>
          </w:p>
          <w:p>
            <w:pPr>
              <w:pStyle w:val="null3"/>
              <w:spacing w:after="120"/>
              <w:ind w:firstLine="420"/>
              <w:jc w:val="both"/>
            </w:pPr>
            <w:r>
              <w:rPr>
                <w:rFonts w:ascii="仿宋_GB2312" w:hAnsi="仿宋_GB2312" w:cs="仿宋_GB2312" w:eastAsia="仿宋_GB2312"/>
                <w:sz w:val="28"/>
              </w:rPr>
              <w:t>11、视场角：53°±5°。</w:t>
            </w:r>
          </w:p>
          <w:p>
            <w:pPr>
              <w:pStyle w:val="null3"/>
              <w:spacing w:after="120"/>
              <w:ind w:firstLine="420"/>
              <w:jc w:val="both"/>
            </w:pPr>
            <w:r>
              <w:rPr>
                <w:rFonts w:ascii="仿宋_GB2312" w:hAnsi="仿宋_GB2312" w:cs="仿宋_GB2312" w:eastAsia="仿宋_GB2312"/>
                <w:sz w:val="28"/>
              </w:rPr>
              <w:t>12、操作者方位：对侧、旁侧。</w:t>
            </w:r>
          </w:p>
          <w:p>
            <w:pPr>
              <w:pStyle w:val="null3"/>
              <w:spacing w:after="120"/>
              <w:ind w:firstLine="420"/>
              <w:jc w:val="both"/>
            </w:pPr>
            <w:r>
              <w:rPr>
                <w:rFonts w:ascii="仿宋_GB2312" w:hAnsi="仿宋_GB2312" w:cs="仿宋_GB2312" w:eastAsia="仿宋_GB2312"/>
                <w:sz w:val="28"/>
              </w:rPr>
              <w:t>▲13、采集模块和成像像素：采集模块内置高清摄像头，成像像素≥2400万（需提供产品说明书或彩页或第三方检测机构出具的检测报告）。</w:t>
            </w:r>
          </w:p>
          <w:p>
            <w:pPr>
              <w:pStyle w:val="null3"/>
              <w:spacing w:after="120"/>
              <w:ind w:firstLine="420"/>
              <w:jc w:val="both"/>
            </w:pPr>
            <w:r>
              <w:rPr>
                <w:rFonts w:ascii="仿宋_GB2312" w:hAnsi="仿宋_GB2312" w:cs="仿宋_GB2312" w:eastAsia="仿宋_GB2312"/>
                <w:sz w:val="28"/>
              </w:rPr>
              <w:t>▲14、患者屈光度校正范围：无补偿透镜：-30D～+30D（需提供产品说明书或彩页或第三方检测机构出具的检测报告）。</w:t>
            </w:r>
          </w:p>
          <w:p>
            <w:pPr>
              <w:pStyle w:val="null3"/>
              <w:spacing w:after="120"/>
              <w:ind w:firstLine="420"/>
              <w:jc w:val="both"/>
            </w:pPr>
            <w:r>
              <w:rPr>
                <w:rFonts w:ascii="仿宋_GB2312" w:hAnsi="仿宋_GB2312" w:cs="仿宋_GB2312" w:eastAsia="仿宋_GB2312"/>
                <w:sz w:val="28"/>
              </w:rPr>
              <w:t>15、固视标：内固视标：采用液晶点阵，任意固视点标注，其中周边模式有9点固视。</w:t>
            </w:r>
          </w:p>
          <w:p>
            <w:pPr>
              <w:pStyle w:val="null3"/>
              <w:spacing w:after="120"/>
              <w:ind w:firstLine="420"/>
              <w:jc w:val="both"/>
            </w:pPr>
            <w:r>
              <w:rPr>
                <w:rFonts w:ascii="仿宋_GB2312" w:hAnsi="仿宋_GB2312" w:cs="仿宋_GB2312" w:eastAsia="仿宋_GB2312"/>
                <w:sz w:val="28"/>
              </w:rPr>
              <w:t>▲16、显示设备：≥10.1寸旋转电容触控显示设备，外接≥20寸扩展显示设备（可分屏显示）（需提供产品说明书或彩页或第三方检测机构出具的检测报告）。</w:t>
            </w:r>
          </w:p>
          <w:p>
            <w:pPr>
              <w:pStyle w:val="null3"/>
              <w:spacing w:after="120"/>
              <w:ind w:firstLine="420"/>
              <w:jc w:val="both"/>
            </w:pPr>
            <w:r>
              <w:rPr>
                <w:rFonts w:ascii="仿宋_GB2312" w:hAnsi="仿宋_GB2312" w:cs="仿宋_GB2312" w:eastAsia="仿宋_GB2312"/>
                <w:sz w:val="28"/>
              </w:rPr>
              <w:t xml:space="preserve">17、工作距离：16±2mm。         </w:t>
            </w:r>
          </w:p>
          <w:p>
            <w:pPr>
              <w:pStyle w:val="null3"/>
              <w:spacing w:after="120"/>
              <w:ind w:firstLine="420"/>
              <w:jc w:val="both"/>
            </w:pPr>
            <w:r>
              <w:rPr>
                <w:rFonts w:ascii="仿宋_GB2312" w:hAnsi="仿宋_GB2312" w:cs="仿宋_GB2312" w:eastAsia="仿宋_GB2312"/>
                <w:sz w:val="28"/>
              </w:rPr>
              <w:t>18、电源电压：AC100-240V。</w:t>
            </w:r>
          </w:p>
          <w:p>
            <w:pPr>
              <w:pStyle w:val="null3"/>
              <w:spacing w:after="120"/>
              <w:ind w:firstLine="420"/>
              <w:jc w:val="both"/>
            </w:pPr>
            <w:r>
              <w:rPr>
                <w:rFonts w:ascii="仿宋_GB2312" w:hAnsi="仿宋_GB2312" w:cs="仿宋_GB2312" w:eastAsia="仿宋_GB2312"/>
                <w:sz w:val="28"/>
              </w:rPr>
              <w:t>19、功率输入：≥200VA。</w:t>
            </w:r>
          </w:p>
          <w:p>
            <w:pPr>
              <w:pStyle w:val="null3"/>
              <w:spacing w:after="120"/>
              <w:ind w:firstLine="420"/>
              <w:jc w:val="both"/>
            </w:pPr>
            <w:r>
              <w:rPr>
                <w:rFonts w:ascii="仿宋_GB2312" w:hAnsi="仿宋_GB2312" w:cs="仿宋_GB2312" w:eastAsia="仿宋_GB2312"/>
                <w:sz w:val="28"/>
              </w:rPr>
              <w:t>20、频率：50-60Hz。</w:t>
            </w:r>
          </w:p>
          <w:p>
            <w:pPr>
              <w:pStyle w:val="null3"/>
              <w:spacing w:after="120"/>
              <w:ind w:firstLine="420"/>
              <w:jc w:val="both"/>
            </w:pPr>
            <w:r>
              <w:rPr>
                <w:rFonts w:ascii="仿宋_GB2312" w:hAnsi="仿宋_GB2312" w:cs="仿宋_GB2312" w:eastAsia="仿宋_GB2312"/>
                <w:sz w:val="28"/>
              </w:rPr>
              <w:t>21、PC传输：USB、局域网、FTP、DICOM。</w:t>
            </w:r>
          </w:p>
          <w:p>
            <w:pPr>
              <w:pStyle w:val="null3"/>
              <w:spacing w:after="120"/>
              <w:ind w:firstLine="420"/>
              <w:jc w:val="both"/>
            </w:pPr>
            <w:r>
              <w:rPr>
                <w:rFonts w:ascii="仿宋_GB2312" w:hAnsi="仿宋_GB2312" w:cs="仿宋_GB2312" w:eastAsia="仿宋_GB2312"/>
                <w:sz w:val="28"/>
              </w:rPr>
              <w:t>22、图像处理：图片后处理功能：亮度，色彩，对比度；病灶标注及计算；随访对比。</w:t>
            </w:r>
          </w:p>
          <w:p>
            <w:pPr>
              <w:pStyle w:val="null3"/>
              <w:spacing w:after="120"/>
              <w:ind w:firstLine="420"/>
              <w:jc w:val="both"/>
            </w:pPr>
            <w:r>
              <w:rPr>
                <w:rFonts w:ascii="仿宋_GB2312" w:hAnsi="仿宋_GB2312" w:cs="仿宋_GB2312" w:eastAsia="仿宋_GB2312"/>
                <w:sz w:val="28"/>
              </w:rPr>
              <w:t>★23、配置清单</w:t>
            </w:r>
          </w:p>
          <w:p>
            <w:pPr>
              <w:pStyle w:val="null3"/>
              <w:spacing w:after="120"/>
              <w:ind w:firstLine="420"/>
              <w:jc w:val="both"/>
            </w:pPr>
            <w:r>
              <w:rPr>
                <w:rFonts w:ascii="仿宋_GB2312" w:hAnsi="仿宋_GB2312" w:cs="仿宋_GB2312" w:eastAsia="仿宋_GB2312"/>
                <w:sz w:val="28"/>
              </w:rPr>
              <w:t>23.1 主机，1台。</w:t>
            </w:r>
          </w:p>
          <w:p>
            <w:pPr>
              <w:pStyle w:val="null3"/>
              <w:spacing w:after="120"/>
              <w:ind w:firstLine="420"/>
              <w:jc w:val="both"/>
            </w:pPr>
            <w:r>
              <w:rPr>
                <w:rFonts w:ascii="仿宋_GB2312" w:hAnsi="仿宋_GB2312" w:cs="仿宋_GB2312" w:eastAsia="仿宋_GB2312"/>
                <w:sz w:val="28"/>
              </w:rPr>
              <w:t>23.2眼底专业采集分析系统，1套。</w:t>
            </w:r>
          </w:p>
          <w:p>
            <w:pPr>
              <w:pStyle w:val="null3"/>
              <w:spacing w:after="120"/>
              <w:ind w:firstLine="420"/>
              <w:jc w:val="both"/>
            </w:pPr>
            <w:r>
              <w:rPr>
                <w:rFonts w:ascii="仿宋_GB2312" w:hAnsi="仿宋_GB2312" w:cs="仿宋_GB2312" w:eastAsia="仿宋_GB2312"/>
                <w:sz w:val="28"/>
              </w:rPr>
              <w:t>23.3医用电动升降平台，1套。</w:t>
            </w:r>
          </w:p>
          <w:p>
            <w:pPr>
              <w:pStyle w:val="null3"/>
              <w:spacing w:after="120"/>
              <w:ind w:firstLine="420"/>
              <w:jc w:val="both"/>
            </w:pPr>
            <w:r>
              <w:rPr>
                <w:rFonts w:ascii="仿宋_GB2312" w:hAnsi="仿宋_GB2312" w:cs="仿宋_GB2312" w:eastAsia="仿宋_GB2312"/>
                <w:sz w:val="28"/>
              </w:rPr>
              <w:t>23.4显示设备及支架，1套。</w:t>
            </w:r>
          </w:p>
          <w:p>
            <w:pPr>
              <w:pStyle w:val="null3"/>
              <w:spacing w:after="120"/>
              <w:ind w:firstLine="420"/>
              <w:jc w:val="both"/>
            </w:pPr>
            <w:r>
              <w:rPr>
                <w:rFonts w:ascii="仿宋_GB2312" w:hAnsi="仿宋_GB2312" w:cs="仿宋_GB2312" w:eastAsia="仿宋_GB2312"/>
                <w:sz w:val="28"/>
              </w:rPr>
              <w:t>23.5输出设备，1台。</w:t>
            </w:r>
          </w:p>
          <w:p>
            <w:pPr>
              <w:pStyle w:val="null3"/>
              <w:spacing w:after="120"/>
              <w:ind w:firstLine="420"/>
              <w:jc w:val="both"/>
            </w:pPr>
            <w:r>
              <w:rPr>
                <w:rFonts w:ascii="仿宋_GB2312" w:hAnsi="仿宋_GB2312" w:cs="仿宋_GB2312" w:eastAsia="仿宋_GB2312"/>
                <w:sz w:val="28"/>
              </w:rPr>
              <w:t>23.6无线键鼠，1个。</w:t>
            </w:r>
          </w:p>
          <w:p>
            <w:pPr>
              <w:pStyle w:val="null3"/>
              <w:spacing w:after="120"/>
              <w:ind w:firstLine="420"/>
              <w:jc w:val="both"/>
            </w:pPr>
            <w:r>
              <w:rPr>
                <w:rFonts w:ascii="仿宋_GB2312" w:hAnsi="仿宋_GB2312" w:cs="仿宋_GB2312" w:eastAsia="仿宋_GB2312"/>
                <w:sz w:val="28"/>
              </w:rPr>
              <w:t>23.7主机专用防尘罩，1个。</w:t>
            </w:r>
          </w:p>
          <w:p>
            <w:pPr>
              <w:pStyle w:val="null3"/>
              <w:spacing w:after="120"/>
              <w:ind w:firstLine="420"/>
              <w:jc w:val="both"/>
            </w:pPr>
            <w:r>
              <w:rPr>
                <w:rFonts w:ascii="仿宋_GB2312" w:hAnsi="仿宋_GB2312" w:cs="仿宋_GB2312" w:eastAsia="仿宋_GB2312"/>
                <w:sz w:val="28"/>
              </w:rPr>
              <w:t>23.8主机专用遮光罩，1个。</w:t>
            </w:r>
          </w:p>
          <w:p>
            <w:pPr>
              <w:pStyle w:val="null3"/>
              <w:spacing w:after="120"/>
              <w:ind w:firstLine="420"/>
              <w:jc w:val="both"/>
            </w:pPr>
            <w:r>
              <w:rPr>
                <w:rFonts w:ascii="仿宋_GB2312" w:hAnsi="仿宋_GB2312" w:cs="仿宋_GB2312" w:eastAsia="仿宋_GB2312"/>
                <w:sz w:val="28"/>
              </w:rPr>
              <w:t>23.9腮托纸，1包，≥200张/包。</w:t>
            </w:r>
          </w:p>
          <w:p>
            <w:pPr>
              <w:pStyle w:val="null3"/>
              <w:spacing w:after="120"/>
              <w:ind w:firstLine="420"/>
              <w:jc w:val="both"/>
            </w:pPr>
            <w:r>
              <w:rPr>
                <w:rFonts w:ascii="仿宋_GB2312" w:hAnsi="仿宋_GB2312" w:cs="仿宋_GB2312" w:eastAsia="仿宋_GB2312"/>
                <w:sz w:val="28"/>
              </w:rPr>
              <w:t>23.10清洁套装，1套。</w:t>
            </w:r>
          </w:p>
          <w:p>
            <w:pPr>
              <w:pStyle w:val="null3"/>
              <w:jc w:val="both"/>
            </w:pPr>
            <w:r>
              <w:rPr>
                <w:rFonts w:ascii="仿宋_GB2312" w:hAnsi="仿宋_GB2312" w:cs="仿宋_GB2312" w:eastAsia="仿宋_GB2312"/>
                <w:sz w:val="28"/>
              </w:rPr>
              <w:t>23.11电源线，1条。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合同签订</w:t>
            </w:r>
          </w:p>
        </w:tc>
        <w:tc>
          <w:tcPr>
            <w:tcW w:type="dxa" w:w="5814"/>
          </w:tcPr>
          <w:p>
            <w:pPr>
              <w:pStyle w:val="null3"/>
              <w:jc w:val="left"/>
            </w:pPr>
            <w:r>
              <w:rPr>
                <w:rFonts w:ascii="仿宋_GB2312" w:hAnsi="仿宋_GB2312" w:cs="仿宋_GB2312" w:eastAsia="仿宋_GB2312"/>
                <w:sz w:val="28"/>
              </w:rPr>
              <w:t>中标通知书发出之日起</w:t>
            </w:r>
            <w:r>
              <w:rPr>
                <w:rFonts w:ascii="仿宋_GB2312" w:hAnsi="仿宋_GB2312" w:cs="仿宋_GB2312" w:eastAsia="仿宋_GB2312"/>
                <w:sz w:val="28"/>
              </w:rPr>
              <w:t>30</w:t>
            </w:r>
            <w:r>
              <w:rPr>
                <w:rFonts w:ascii="仿宋_GB2312" w:hAnsi="仿宋_GB2312" w:cs="仿宋_GB2312" w:eastAsia="仿宋_GB2312"/>
                <w:sz w:val="28"/>
              </w:rPr>
              <w:t>个</w:t>
            </w:r>
            <w:r>
              <w:rPr>
                <w:rFonts w:ascii="仿宋_GB2312" w:hAnsi="仿宋_GB2312" w:cs="仿宋_GB2312" w:eastAsia="仿宋_GB2312"/>
                <w:sz w:val="28"/>
              </w:rPr>
              <w:t>日历日</w:t>
            </w:r>
            <w:r>
              <w:rPr>
                <w:rFonts w:ascii="仿宋_GB2312" w:hAnsi="仿宋_GB2312" w:cs="仿宋_GB2312" w:eastAsia="仿宋_GB2312"/>
                <w:sz w:val="28"/>
              </w:rPr>
              <w:t>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ind w:firstLine="562"/>
              <w:jc w:val="both"/>
            </w:pPr>
            <w:r>
              <w:rPr>
                <w:rFonts w:ascii="仿宋_GB2312" w:hAnsi="仿宋_GB2312" w:cs="仿宋_GB2312" w:eastAsia="仿宋_GB2312"/>
                <w:sz w:val="28"/>
              </w:rPr>
              <w:t>中标人负责设备的安装调试工作，确保系统正常运行。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售后服务及要求</w:t>
            </w:r>
          </w:p>
        </w:tc>
        <w:tc>
          <w:tcPr>
            <w:tcW w:type="dxa" w:w="5814"/>
          </w:tcPr>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有完善的售后服务体系，有在线应用服务中心，有专职服务人员在线对已安装的机器进行应用培训服务，实时解决机器的问题；设有维修服务网点，有专业的维修工程师团队，提供相关证明文件并列举姓名和电话。</w:t>
            </w:r>
            <w:r>
              <w:rPr>
                <w:rFonts w:ascii="仿宋_GB2312" w:hAnsi="仿宋_GB2312" w:cs="仿宋_GB2312" w:eastAsia="仿宋_GB2312"/>
                <w:sz w:val="28"/>
              </w:rPr>
              <w:t>接到报修后</w:t>
            </w:r>
            <w:r>
              <w:rPr>
                <w:rFonts w:ascii="仿宋_GB2312" w:hAnsi="仿宋_GB2312" w:cs="仿宋_GB2312" w:eastAsia="仿宋_GB2312"/>
                <w:sz w:val="28"/>
              </w:rPr>
              <w:t>4个小时内响应，12小时内工程师到达现场。</w:t>
            </w:r>
            <w:r>
              <w:rPr>
                <w:rFonts w:ascii="仿宋_GB2312" w:hAnsi="仿宋_GB2312" w:cs="仿宋_GB2312" w:eastAsia="仿宋_GB2312"/>
                <w:sz w:val="28"/>
                <w:color w:val="000000"/>
              </w:rPr>
              <w:t>确保产品正常工作并列出工程师名单、联系电话、通讯地址及备件库地址和备件的详细目录。保障设备完好率</w:t>
            </w:r>
            <w:r>
              <w:rPr>
                <w:rFonts w:ascii="仿宋_GB2312" w:hAnsi="仿宋_GB2312" w:cs="仿宋_GB2312" w:eastAsia="仿宋_GB2312"/>
                <w:sz w:val="28"/>
                <w:color w:val="000000"/>
              </w:rPr>
              <w:t>≥96%（按365天计算），耽误一天则质保期顺延5个工作日</w:t>
            </w:r>
            <w:r>
              <w:rPr>
                <w:rFonts w:ascii="仿宋_GB2312" w:hAnsi="仿宋_GB2312" w:cs="仿宋_GB2312" w:eastAsia="仿宋_GB2312"/>
                <w:sz w:val="28"/>
              </w:rPr>
              <w:t>。</w:t>
            </w:r>
            <w:r>
              <w:rPr>
                <w:rFonts w:ascii="仿宋_GB2312" w:hAnsi="仿宋_GB2312" w:cs="仿宋_GB2312" w:eastAsia="仿宋_GB2312"/>
                <w:sz w:val="28"/>
              </w:rPr>
              <w:t>3个日历日内不能修复则须在10个日历日立即提供备用机。</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3</w:t>
            </w:r>
            <w:r>
              <w:rPr>
                <w:rFonts w:ascii="仿宋_GB2312" w:hAnsi="仿宋_GB2312" w:cs="仿宋_GB2312" w:eastAsia="仿宋_GB2312"/>
                <w:sz w:val="28"/>
              </w:rPr>
              <w:t>.2产品运输、装卸、安装、调试由</w:t>
            </w:r>
            <w:r>
              <w:rPr>
                <w:rFonts w:ascii="仿宋_GB2312" w:hAnsi="仿宋_GB2312" w:cs="仿宋_GB2312" w:eastAsia="仿宋_GB2312"/>
                <w:sz w:val="28"/>
              </w:rPr>
              <w:t>中标人</w:t>
            </w:r>
            <w:r>
              <w:rPr>
                <w:rFonts w:ascii="仿宋_GB2312" w:hAnsi="仿宋_GB2312" w:cs="仿宋_GB2312" w:eastAsia="仿宋_GB2312"/>
                <w:sz w:val="28"/>
              </w:rPr>
              <w:t>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技术支持</w:t>
            </w:r>
          </w:p>
        </w:tc>
        <w:tc>
          <w:tcPr>
            <w:tcW w:type="dxa" w:w="5814"/>
          </w:tcPr>
          <w:p>
            <w:pPr>
              <w:pStyle w:val="null3"/>
              <w:ind w:firstLine="560"/>
              <w:jc w:val="left"/>
            </w:pPr>
            <w:r>
              <w:rPr>
                <w:rFonts w:ascii="仿宋_GB2312" w:hAnsi="仿宋_GB2312" w:cs="仿宋_GB2312" w:eastAsia="仿宋_GB2312"/>
                <w:sz w:val="28"/>
              </w:rPr>
              <w:t>提供</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24小时技术支持服务，快速响应并解决系统使用过程中出现的问题</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定期维护</w:t>
            </w:r>
          </w:p>
        </w:tc>
        <w:tc>
          <w:tcPr>
            <w:tcW w:type="dxa" w:w="5814"/>
          </w:tcPr>
          <w:p>
            <w:pPr>
              <w:pStyle w:val="null3"/>
              <w:ind w:firstLine="560"/>
              <w:jc w:val="left"/>
            </w:pPr>
            <w:r>
              <w:rPr>
                <w:rFonts w:ascii="仿宋_GB2312" w:hAnsi="仿宋_GB2312" w:cs="仿宋_GB2312" w:eastAsia="仿宋_GB2312"/>
                <w:sz w:val="28"/>
              </w:rPr>
              <w:t>定期进行系统检查与维护，确保系统长期稳定运行。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接到招标人通知之日起15个日历日完成安装调试。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自贡市第一人民医院。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1、合同签订之日起，达到付款条件起14日内，支付合同总金额的40.00%</w:t>
            </w:r>
          </w:p>
          <w:p>
            <w:pPr>
              <w:pStyle w:val="null3"/>
              <w:jc w:val="left"/>
            </w:pPr>
            <w:r>
              <w:rPr>
                <w:rFonts w:ascii="仿宋_GB2312" w:hAnsi="仿宋_GB2312" w:cs="仿宋_GB2312" w:eastAsia="仿宋_GB2312"/>
              </w:rPr>
              <w:t>2、货到验收合格后，招标人自收到中标人开具的合格发票之日起，达到付款条件起60日内，支付合同总金额的60.00%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5.1验收方式 5.1.1货物到达现场后，中标人应在使用单位人员在场情况下当面开箱，共同清点、检查外观，作出开箱记录，双方签字确认。 5.1.2中标人应保证货物到达招标人所在地完好无损，如有缺漏、损坏，由中标人负责调换、补齐或赔偿。 5.1.3中标人应提供完备的技术资料、装箱单和合格证等，并派遣专业技术人员进行现场安装调试。验收合格条件如下： 5.1.3.1设备技术参数与采购合同一致，性能指标达到规定的标准。 5.1.3.2货物技术资料、装箱单、合格证等资料齐全。 5.1.3.3在系统试运行期间所出现的问题得到解决，并运行正常。 5.1.3.4在规定时间内完成交货并验收，并经招标人确认。 5.1.3.5中标人应就设备的安装、调试、操作、维修、保养等对招标人维修技术人员进行培训。设备安装调试完毕后，中标人应对招标人操作人员进行现场培训，直至招标人的技术人员能独立操作，同时能完成一般常见故障的维修工作。 5.1.4产品在安装调试并试运行符合要求、培训合格后，才作为最终验收。 5.1.5招标人需要制造商对中标人交付的产品（包括质量、技术参数等）进行确认的，制造商应予以配合，并出具书面意见。 5.1.6产品包装材料归招标人所有。 5.2验收标准：按照政府采购相关法律法规以及《财政部关于进一步加强政府采购需求和履约验收管理的指导意见》(财库[2016]205号)、《自贡市政府采购履约验收管理办法》的规定、招标文件的质量要求和技术指标、投标人的投标文件及承诺、国家有关部门批准的技术标准、招标人与中标人签订的合同，共同现场验收。同时提供相关证明文件及操作手册，否则视为验收不合格，招标人有权单方面解除合同外，中标人立即返回支付的合同金额并按支付合同金额的20%支付违约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提供与本次响应产品同品牌的全保维保服务）为验收合格之日≥3年，质保期内提供包含但不限于所需设备的零配件的维修、更换、维护服务，若招标人在质保期外选择与本次投标产品同品牌的维保服务（全保），则质保期外提供与本次投标产品同品牌的维保服务（全保）的维保费用≤0.3万元/年/台（投标时须提供承诺函并加盖投标人鲜章，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1、合同双方如有一方不履行合同义务或者履行合同义务不符合合同约定的,除另有注明者外，均按合同总价的5%支付对方违约金，造成对方损失的还应赔偿损失。 2、中标人如违反本合同售后服务协议条款的内容，除应继续按照售后服务要求提供售后服务外还应按合同总金额的5%承担违约责任。 3、若中标人在质保期内超过4个日历日不能按售后服务要求提供产品和备件，招标人有权自行采购，因此产生的费用由乙方承担。 4、如负责履行《原厂维修维保协议》的制造商违反约定时，制造商和中标人均按前述约定承担违约责任。 解决争议的方法：中标人和招标人双方根据本合同原则，友好协商解决；协商无效的，可向自贡仲裁委员会申请仲裁。</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须对本项目的配置清单进行报价，并在投标时提供相关产品的品牌、规格、型号、报价等（格式自拟）。2.中标后签订合同前，中标人应当针对此项目提供原厂维修维保协议，与厂家无缝对接原厂维保相关事宜，并加盖厂家鲜章，如中标后中标人无法提供原厂维修维保协议，则属于虚假响应，招标人有权拒绝签订合同，并上报同级财政部门（投标时须提供承诺函并加盖投标人公章）。3.见附件采购项目“其他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投标产品若为医疗器械时投标人须符合《医疗器械监督管理条例》的要求</w:t>
            </w:r>
          </w:p>
        </w:tc>
        <w:tc>
          <w:tcPr>
            <w:tcW w:type="dxa" w:w="3322"/>
          </w:tcPr>
          <w:p>
            <w:pPr>
              <w:pStyle w:val="null3"/>
              <w:jc w:val="left"/>
            </w:pPr>
            <w:r>
              <w:rPr>
                <w:rFonts w:ascii="仿宋_GB2312" w:hAnsi="仿宋_GB2312" w:cs="仿宋_GB2312" w:eastAsia="仿宋_GB2312"/>
              </w:rPr>
              <w:t>投标产品若为医疗器械时： ①投标人非投标产品制造商时，三类医疗器械：提供投标人的《医疗器械经营许可证》影印件；二类医疗器械：提供投标人的医疗器械经营备案凭证影印件；一类医疗器械可不提供。②投标人为投标产品制造商时无需提供。 注：根据国办发〔2017〕41号政策要求“多证合一”的营业执照除外。</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投标产品若为医疗器械时须符合《医疗器械注册管理办法》的要求</w:t>
            </w:r>
          </w:p>
        </w:tc>
        <w:tc>
          <w:tcPr>
            <w:tcW w:type="dxa" w:w="3322"/>
          </w:tcPr>
          <w:p>
            <w:pPr>
              <w:pStyle w:val="null3"/>
              <w:jc w:val="left"/>
            </w:pPr>
            <w:r>
              <w:rPr>
                <w:rFonts w:ascii="仿宋_GB2312" w:hAnsi="仿宋_GB2312" w:cs="仿宋_GB2312" w:eastAsia="仿宋_GB2312"/>
              </w:rPr>
              <w:t>投标产品若为医疗器械时： ①二类、三类医疗器械：提供《医疗器械注册证》和《注册登记表》影印件或国家新颁发的《医疗器械注册证》影印件；一类医疗器械：提供医疗器械注册备案影印件。 ②二类、三类医疗器械：提供产品制造商的《医疗器械生产许可证》影印件；一类医疗器械：提供产品制造商的医疗器械生产备案凭证影印件并加盖投标人电子签章。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本项目投标人或者投标文件有下列情形之一的，作为无效响应处理：（1）投标文件组成明显不符合招标文件的规定要求，影响评标委员会评判的。（2）投标文件的格式、语言、计量单位、报价货币、知识产权、投标有效期等不符合招标文件的规定，影响评标委员会评判的。（3）投标报价不符合招标文件规定的采购预算或限价或其他报价规定的。（4）商务、技术、服务应答内容没有完全响应招标文件的实质性要求的。（5）未载明或者载明的招标项目履约时间、方式、数量及其他政府采购合同实质性内容与招标文件要求不一致，且招标采购单位无法接受的。</w:t>
            </w:r>
          </w:p>
        </w:tc>
        <w:tc>
          <w:tcPr>
            <w:tcW w:type="dxa" w:w="1661"/>
          </w:tcPr>
          <w:p>
            <w:pPr>
              <w:pStyle w:val="null3"/>
              <w:jc w:val="left"/>
            </w:pPr>
            <w:r>
              <w:rPr>
                <w:rFonts w:ascii="仿宋_GB2312" w:hAnsi="仿宋_GB2312" w:cs="仿宋_GB2312" w:eastAsia="仿宋_GB2312"/>
              </w:rPr>
              <w:t>其他内容(公开).docx,附件“其他要求”.docx,投标文件封面,投标（响应）函,技术、服务及其他要求应答表（通用）.docx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投标文件完全满足招标文件“技术参数要求”的得40分；投标人投标文件与招标文件“技术参数要求”有负偏离的，按以下方式计算得分： 1.一般条款得分=（投标人满足一般条款的数量÷一般条款的总数量）×5分； 2.“▲”条款得分=（投标人满足“▲”条款的数量÷“▲”条款的总数量）×35分； 3.投标人此项得分=一般条款得分＋“▲”条款得分。 注：本项所述的条款数量按以下原则计算：（1）无子项的条款：以每项条款为1项进行计算；（2）有子项的条款：以最末级的子项为1项进行计算。（一般条款：16条，“▲”条款5条）（1、“▲”条款参数中有明确要求的按要求提供相关证明材料，未作要求的，提供相对应产品宣传彩页或产品图册或国家认可的第三方检测机构出具的检测（验）报告，未按要求提供相关证明材料或虽提供但无法证明的，则视为负偏离。 2、非“▲”条款参数中有明确要求的按要求提供相关证明材料。 3、“★”条款不参与计分。）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技术、服务及其他要求应答表（通用）.docx</w:t>
            </w:r>
          </w:p>
          <w:p>
            <w:pPr>
              <w:pStyle w:val="null3"/>
              <w:jc w:val="left"/>
            </w:pPr>
            <w:r>
              <w:rPr>
                <w:rFonts w:ascii="仿宋_GB2312" w:hAnsi="仿宋_GB2312" w:cs="仿宋_GB2312" w:eastAsia="仿宋_GB2312"/>
              </w:rPr>
              <w:t>其他内容(公开).docx</w:t>
            </w:r>
          </w:p>
          <w:p>
            <w:pPr>
              <w:pStyle w:val="null3"/>
              <w:jc w:val="left"/>
            </w:pPr>
            <w:r>
              <w:rPr>
                <w:rFonts w:ascii="仿宋_GB2312" w:hAnsi="仿宋_GB2312" w:cs="仿宋_GB2312" w:eastAsia="仿宋_GB2312"/>
              </w:rPr>
              <w:t>附件“其他要求”.docx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进行综合评分，方案需包含（1）产品质量保证措施。（2）维护巡检方案。（3）产品培训方案。（4）应急响应方案。本项总分30分，提供4个子方案且每个子方案的内容完全满足本项目采购需求的不扣分，每有1个子方案的内容未完全满足本项目采购需求的扣5分，扣完为止，每缺少1个子方案扣7.5分（仅提供标题视为缺少该子方案）。本项要求投标人在投标文件中针对本项目“其他要求”编制“项目实施方案”。根据投标人提供的“项目实施方案”进行综合评审。本项评分因素以投标人提供的“项目实施方案”为准。未提供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技术、服务及其他要求应答表（通用）.docx</w:t>
            </w:r>
          </w:p>
          <w:p>
            <w:pPr>
              <w:pStyle w:val="null3"/>
              <w:jc w:val="left"/>
            </w:pPr>
            <w:r>
              <w:rPr>
                <w:rFonts w:ascii="仿宋_GB2312" w:hAnsi="仿宋_GB2312" w:cs="仿宋_GB2312" w:eastAsia="仿宋_GB2312"/>
              </w:rPr>
              <w:t>其他内容(公开).docx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详见附件：技术、服务及其他要求应答表（通用）.docx</w:t>
      </w:r>
    </w:p>
    <w:p>
      <w:pPr>
        <w:pStyle w:val="null3"/>
        <w:ind w:firstLine="960"/>
        <w:jc w:val="left"/>
      </w:pPr>
      <w:r>
        <w:rPr>
          <w:rFonts w:ascii="仿宋_GB2312" w:hAnsi="仿宋_GB2312" w:cs="仿宋_GB2312" w:eastAsia="仿宋_GB2312"/>
        </w:rPr>
        <w:t>详见附件：其他内容(公开).docx</w:t>
      </w:r>
    </w:p>
    <w:p>
      <w:pPr>
        <w:pStyle w:val="null3"/>
        <w:ind w:firstLine="960"/>
        <w:jc w:val="left"/>
      </w:pPr>
      <w:r>
        <w:rPr>
          <w:rFonts w:ascii="仿宋_GB2312" w:hAnsi="仿宋_GB2312" w:cs="仿宋_GB2312" w:eastAsia="仿宋_GB2312"/>
        </w:rPr>
        <w:t>详见附件：附件“其他要求”.docx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