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0F57B7">
      <w:pPr>
        <w:pStyle w:val="6"/>
        <w:jc w:val="center"/>
        <w:rPr>
          <w:rFonts w:hint="eastAsia" w:ascii="Arial" w:hAnsi="Arial" w:cs="Arial"/>
          <w:color w:val="auto"/>
        </w:rPr>
      </w:pPr>
      <w:r>
        <w:rPr>
          <w:rFonts w:hint="eastAsia" w:ascii="Arial" w:hAnsi="Arial" w:cs="Arial"/>
          <w:color w:val="auto"/>
        </w:rPr>
        <w:t>第四章 采购需求</w:t>
      </w:r>
    </w:p>
    <w:p w14:paraId="62930024">
      <w:pPr>
        <w:pStyle w:val="7"/>
        <w:adjustRightInd w:val="0"/>
        <w:snapToGrid w:val="0"/>
        <w:spacing w:before="158" w:beforeLines="50"/>
        <w:jc w:val="center"/>
        <w:rPr>
          <w:rFonts w:hint="eastAsia" w:ascii="黑体" w:hAnsi="黑体" w:eastAsia="黑体" w:cs="Times New Roman"/>
          <w:b/>
          <w:bCs/>
          <w:color w:val="auto"/>
          <w:sz w:val="28"/>
          <w:szCs w:val="28"/>
        </w:rPr>
      </w:pPr>
      <w:bookmarkStart w:id="0" w:name="_Toc3070"/>
      <w:r>
        <w:rPr>
          <w:rFonts w:hint="eastAsia" w:ascii="黑体" w:hAnsi="黑体" w:eastAsia="黑体" w:cs="Times New Roman"/>
          <w:b/>
          <w:bCs/>
          <w:color w:val="auto"/>
          <w:sz w:val="28"/>
          <w:szCs w:val="28"/>
        </w:rPr>
        <w:t>第一节 采购清单一览表</w:t>
      </w:r>
      <w:bookmarkEnd w:id="0"/>
    </w:p>
    <w:tbl>
      <w:tblPr>
        <w:tblStyle w:val="10"/>
        <w:tblW w:w="9127" w:type="dxa"/>
        <w:jc w:val="center"/>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640"/>
        <w:gridCol w:w="2041"/>
        <w:gridCol w:w="1200"/>
        <w:gridCol w:w="700"/>
        <w:gridCol w:w="713"/>
        <w:gridCol w:w="2037"/>
        <w:gridCol w:w="1072"/>
        <w:gridCol w:w="724"/>
      </w:tblGrid>
      <w:tr w14:paraId="52F1ED6B">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cantSplit/>
          <w:trHeight w:val="492" w:hRule="atLeast"/>
          <w:jc w:val="center"/>
        </w:trPr>
        <w:tc>
          <w:tcPr>
            <w:tcW w:w="640" w:type="dxa"/>
            <w:vMerge w:val="restart"/>
            <w:noWrap w:val="0"/>
            <w:vAlign w:val="center"/>
          </w:tcPr>
          <w:p w14:paraId="2191639D">
            <w:pPr>
              <w:pStyle w:val="9"/>
              <w:snapToGrid w:val="0"/>
              <w:jc w:val="center"/>
              <w:rPr>
                <w:b/>
                <w:bCs/>
                <w:color w:val="auto"/>
              </w:rPr>
            </w:pPr>
            <w:bookmarkStart w:id="1" w:name="_Toc401597759"/>
            <w:bookmarkStart w:id="2" w:name="_Toc303864957"/>
            <w:r>
              <w:rPr>
                <w:b/>
                <w:bCs/>
                <w:color w:val="auto"/>
              </w:rPr>
              <w:t>序号</w:t>
            </w:r>
          </w:p>
        </w:tc>
        <w:tc>
          <w:tcPr>
            <w:tcW w:w="2041" w:type="dxa"/>
            <w:vMerge w:val="restart"/>
            <w:noWrap w:val="0"/>
            <w:vAlign w:val="center"/>
          </w:tcPr>
          <w:p w14:paraId="11E30F71">
            <w:pPr>
              <w:pStyle w:val="9"/>
              <w:snapToGrid w:val="0"/>
              <w:jc w:val="center"/>
              <w:rPr>
                <w:b/>
                <w:bCs/>
                <w:color w:val="auto"/>
              </w:rPr>
            </w:pPr>
            <w:r>
              <w:rPr>
                <w:b/>
                <w:bCs/>
                <w:color w:val="auto"/>
              </w:rPr>
              <w:t>设备名称</w:t>
            </w:r>
          </w:p>
        </w:tc>
        <w:tc>
          <w:tcPr>
            <w:tcW w:w="1200" w:type="dxa"/>
            <w:vMerge w:val="restart"/>
            <w:noWrap w:val="0"/>
            <w:vAlign w:val="center"/>
          </w:tcPr>
          <w:p w14:paraId="45F7DF12">
            <w:pPr>
              <w:pStyle w:val="9"/>
              <w:snapToGrid w:val="0"/>
              <w:jc w:val="center"/>
              <w:rPr>
                <w:b/>
                <w:bCs/>
                <w:color w:val="auto"/>
              </w:rPr>
            </w:pPr>
            <w:r>
              <w:rPr>
                <w:b/>
                <w:bCs/>
                <w:color w:val="auto"/>
              </w:rPr>
              <w:t>是否接受进口设备</w:t>
            </w:r>
          </w:p>
        </w:tc>
        <w:tc>
          <w:tcPr>
            <w:tcW w:w="700" w:type="dxa"/>
            <w:vMerge w:val="restart"/>
            <w:noWrap w:val="0"/>
            <w:vAlign w:val="center"/>
          </w:tcPr>
          <w:p w14:paraId="351CBF7B">
            <w:pPr>
              <w:pStyle w:val="9"/>
              <w:snapToGrid w:val="0"/>
              <w:jc w:val="center"/>
              <w:rPr>
                <w:b/>
                <w:bCs/>
                <w:color w:val="auto"/>
              </w:rPr>
            </w:pPr>
            <w:r>
              <w:rPr>
                <w:b/>
                <w:bCs/>
                <w:color w:val="auto"/>
              </w:rPr>
              <w:t>数量</w:t>
            </w:r>
          </w:p>
        </w:tc>
        <w:tc>
          <w:tcPr>
            <w:tcW w:w="713" w:type="dxa"/>
            <w:vMerge w:val="restart"/>
            <w:noWrap w:val="0"/>
            <w:vAlign w:val="center"/>
          </w:tcPr>
          <w:p w14:paraId="1525FDEC">
            <w:pPr>
              <w:pStyle w:val="9"/>
              <w:snapToGrid w:val="0"/>
              <w:jc w:val="center"/>
              <w:rPr>
                <w:rFonts w:hint="eastAsia" w:eastAsia="宋体"/>
                <w:b/>
                <w:bCs/>
                <w:color w:val="auto"/>
                <w:lang w:eastAsia="zh-CN"/>
              </w:rPr>
            </w:pPr>
            <w:r>
              <w:rPr>
                <w:rFonts w:hint="eastAsia"/>
                <w:b/>
                <w:bCs/>
                <w:color w:val="auto"/>
                <w:lang w:eastAsia="zh-CN"/>
              </w:rPr>
              <w:t>单位</w:t>
            </w:r>
          </w:p>
        </w:tc>
        <w:tc>
          <w:tcPr>
            <w:tcW w:w="3109" w:type="dxa"/>
            <w:gridSpan w:val="2"/>
            <w:noWrap w:val="0"/>
            <w:vAlign w:val="center"/>
          </w:tcPr>
          <w:p w14:paraId="62A5A9F5">
            <w:pPr>
              <w:pStyle w:val="9"/>
              <w:snapToGrid w:val="0"/>
              <w:jc w:val="center"/>
              <w:rPr>
                <w:b/>
                <w:bCs/>
                <w:color w:val="auto"/>
              </w:rPr>
            </w:pPr>
            <w:r>
              <w:rPr>
                <w:b/>
                <w:bCs/>
                <w:color w:val="auto"/>
              </w:rPr>
              <w:t>交货要求</w:t>
            </w:r>
          </w:p>
        </w:tc>
        <w:tc>
          <w:tcPr>
            <w:tcW w:w="724" w:type="dxa"/>
            <w:vMerge w:val="restart"/>
            <w:noWrap w:val="0"/>
            <w:vAlign w:val="center"/>
          </w:tcPr>
          <w:p w14:paraId="0F1F67A3">
            <w:pPr>
              <w:pStyle w:val="9"/>
              <w:snapToGrid w:val="0"/>
              <w:jc w:val="center"/>
              <w:rPr>
                <w:color w:val="auto"/>
              </w:rPr>
            </w:pPr>
            <w:r>
              <w:rPr>
                <w:b/>
                <w:bCs/>
                <w:color w:val="auto"/>
              </w:rPr>
              <w:t>备注</w:t>
            </w:r>
          </w:p>
        </w:tc>
      </w:tr>
      <w:tr w14:paraId="0290C0EA">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cantSplit/>
          <w:trHeight w:val="768" w:hRule="atLeast"/>
          <w:jc w:val="center"/>
        </w:trPr>
        <w:tc>
          <w:tcPr>
            <w:tcW w:w="640" w:type="dxa"/>
            <w:vMerge w:val="continue"/>
            <w:noWrap w:val="0"/>
            <w:vAlign w:val="center"/>
          </w:tcPr>
          <w:p w14:paraId="13E7B49A">
            <w:pPr>
              <w:rPr>
                <w:b/>
                <w:bCs/>
                <w:color w:val="auto"/>
              </w:rPr>
            </w:pPr>
          </w:p>
        </w:tc>
        <w:tc>
          <w:tcPr>
            <w:tcW w:w="2041" w:type="dxa"/>
            <w:vMerge w:val="continue"/>
            <w:noWrap w:val="0"/>
            <w:vAlign w:val="center"/>
          </w:tcPr>
          <w:p w14:paraId="52D25B5F">
            <w:pPr>
              <w:rPr>
                <w:b/>
                <w:bCs/>
                <w:color w:val="auto"/>
              </w:rPr>
            </w:pPr>
          </w:p>
        </w:tc>
        <w:tc>
          <w:tcPr>
            <w:tcW w:w="1200" w:type="dxa"/>
            <w:vMerge w:val="continue"/>
            <w:noWrap w:val="0"/>
            <w:vAlign w:val="center"/>
          </w:tcPr>
          <w:p w14:paraId="0CB78A1B">
            <w:pPr>
              <w:rPr>
                <w:b/>
                <w:bCs/>
                <w:color w:val="auto"/>
              </w:rPr>
            </w:pPr>
          </w:p>
        </w:tc>
        <w:tc>
          <w:tcPr>
            <w:tcW w:w="700" w:type="dxa"/>
            <w:vMerge w:val="continue"/>
            <w:noWrap w:val="0"/>
            <w:vAlign w:val="center"/>
          </w:tcPr>
          <w:p w14:paraId="50D09153">
            <w:pPr>
              <w:rPr>
                <w:b/>
                <w:bCs/>
                <w:color w:val="auto"/>
              </w:rPr>
            </w:pPr>
          </w:p>
        </w:tc>
        <w:tc>
          <w:tcPr>
            <w:tcW w:w="713" w:type="dxa"/>
            <w:vMerge w:val="continue"/>
            <w:noWrap w:val="0"/>
            <w:vAlign w:val="center"/>
          </w:tcPr>
          <w:p w14:paraId="5D36D1B4">
            <w:pPr>
              <w:rPr>
                <w:b/>
                <w:bCs/>
                <w:color w:val="auto"/>
              </w:rPr>
            </w:pPr>
          </w:p>
        </w:tc>
        <w:tc>
          <w:tcPr>
            <w:tcW w:w="2037" w:type="dxa"/>
            <w:noWrap w:val="0"/>
            <w:vAlign w:val="center"/>
          </w:tcPr>
          <w:p w14:paraId="54AA8BF6">
            <w:pPr>
              <w:pStyle w:val="9"/>
              <w:snapToGrid w:val="0"/>
              <w:jc w:val="center"/>
              <w:rPr>
                <w:b/>
                <w:bCs/>
                <w:color w:val="auto"/>
              </w:rPr>
            </w:pPr>
            <w:r>
              <w:rPr>
                <w:b/>
                <w:bCs/>
                <w:color w:val="auto"/>
              </w:rPr>
              <w:t>时间</w:t>
            </w:r>
          </w:p>
        </w:tc>
        <w:tc>
          <w:tcPr>
            <w:tcW w:w="1072" w:type="dxa"/>
            <w:noWrap w:val="0"/>
            <w:vAlign w:val="center"/>
          </w:tcPr>
          <w:p w14:paraId="7A3EE168">
            <w:pPr>
              <w:pStyle w:val="9"/>
              <w:snapToGrid w:val="0"/>
              <w:jc w:val="center"/>
              <w:rPr>
                <w:b/>
                <w:bCs/>
                <w:color w:val="auto"/>
              </w:rPr>
            </w:pPr>
            <w:r>
              <w:rPr>
                <w:b/>
                <w:bCs/>
                <w:color w:val="auto"/>
              </w:rPr>
              <w:t>地点</w:t>
            </w:r>
          </w:p>
        </w:tc>
        <w:tc>
          <w:tcPr>
            <w:tcW w:w="724" w:type="dxa"/>
            <w:vMerge w:val="continue"/>
            <w:noWrap w:val="0"/>
            <w:vAlign w:val="center"/>
          </w:tcPr>
          <w:p w14:paraId="1524E91D">
            <w:pPr>
              <w:rPr>
                <w:color w:val="auto"/>
              </w:rPr>
            </w:pPr>
          </w:p>
        </w:tc>
      </w:tr>
      <w:tr w14:paraId="321DE61C">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cantSplit/>
          <w:trHeight w:val="805" w:hRule="atLeast"/>
          <w:jc w:val="center"/>
        </w:trPr>
        <w:tc>
          <w:tcPr>
            <w:tcW w:w="640" w:type="dxa"/>
            <w:noWrap w:val="0"/>
            <w:vAlign w:val="center"/>
          </w:tcPr>
          <w:p w14:paraId="033FDD36">
            <w:pPr>
              <w:pStyle w:val="9"/>
              <w:snapToGrid w:val="0"/>
              <w:jc w:val="center"/>
              <w:rPr>
                <w:rFonts w:hint="default" w:ascii="宋体" w:hAnsi="Courier New" w:eastAsia="宋体" w:cs="Times New Roman"/>
                <w:color w:val="auto"/>
                <w:lang w:val="en-US" w:eastAsia="zh-CN"/>
              </w:rPr>
            </w:pPr>
            <w:r>
              <w:rPr>
                <w:rFonts w:hint="eastAsia" w:ascii="宋体" w:hAnsi="Courier New" w:eastAsia="宋体" w:cs="Times New Roman"/>
                <w:color w:val="auto"/>
                <w:lang w:val="en-US" w:eastAsia="zh-CN"/>
              </w:rPr>
              <w:t>01</w:t>
            </w:r>
          </w:p>
        </w:tc>
        <w:tc>
          <w:tcPr>
            <w:tcW w:w="2041" w:type="dxa"/>
            <w:noWrap w:val="0"/>
            <w:vAlign w:val="center"/>
          </w:tcPr>
          <w:p w14:paraId="7FFC477E">
            <w:pPr>
              <w:pStyle w:val="9"/>
              <w:snapToGrid w:val="0"/>
              <w:jc w:val="center"/>
              <w:rPr>
                <w:rFonts w:hint="default" w:ascii="宋体" w:hAnsi="Courier New" w:eastAsia="宋体" w:cs="Times New Roman"/>
                <w:color w:val="auto"/>
                <w:lang w:val="en-US" w:eastAsia="zh-CN"/>
              </w:rPr>
            </w:pPr>
            <w:r>
              <w:rPr>
                <w:rFonts w:hint="eastAsia" w:ascii="宋体" w:hAnsi="宋体" w:cs="宋体"/>
                <w:color w:val="auto"/>
                <w:spacing w:val="-2"/>
                <w:szCs w:val="21"/>
                <w:lang w:eastAsia="zh-CN"/>
              </w:rPr>
              <w:t>视频监控设备</w:t>
            </w:r>
          </w:p>
        </w:tc>
        <w:tc>
          <w:tcPr>
            <w:tcW w:w="1200" w:type="dxa"/>
            <w:noWrap w:val="0"/>
            <w:vAlign w:val="center"/>
          </w:tcPr>
          <w:p w14:paraId="51DE8786">
            <w:pPr>
              <w:pStyle w:val="9"/>
              <w:snapToGrid w:val="0"/>
              <w:jc w:val="center"/>
              <w:rPr>
                <w:rFonts w:hint="eastAsia" w:ascii="宋体" w:hAnsi="Courier New" w:eastAsia="宋体" w:cs="Times New Roman"/>
                <w:color w:val="auto"/>
                <w:lang w:val="en-US" w:eastAsia="zh-CN"/>
              </w:rPr>
            </w:pPr>
            <w:r>
              <w:rPr>
                <w:rFonts w:hint="eastAsia" w:ascii="宋体" w:hAnsi="Courier New" w:eastAsia="宋体" w:cs="Times New Roman"/>
                <w:color w:val="auto"/>
                <w:lang w:val="en-US" w:eastAsia="zh-CN"/>
              </w:rPr>
              <w:t>否</w:t>
            </w:r>
          </w:p>
        </w:tc>
        <w:tc>
          <w:tcPr>
            <w:tcW w:w="700" w:type="dxa"/>
            <w:noWrap w:val="0"/>
            <w:vAlign w:val="center"/>
          </w:tcPr>
          <w:p w14:paraId="1B8D78E2">
            <w:pPr>
              <w:pStyle w:val="9"/>
              <w:snapToGrid w:val="0"/>
              <w:jc w:val="center"/>
              <w:rPr>
                <w:rFonts w:hint="default" w:eastAsia="宋体"/>
                <w:color w:val="auto"/>
                <w:lang w:val="en-US" w:eastAsia="zh-CN"/>
              </w:rPr>
            </w:pPr>
            <w:r>
              <w:rPr>
                <w:rFonts w:hint="eastAsia"/>
                <w:color w:val="auto"/>
                <w:lang w:val="en-US" w:eastAsia="zh-CN"/>
              </w:rPr>
              <w:t>1</w:t>
            </w:r>
          </w:p>
        </w:tc>
        <w:tc>
          <w:tcPr>
            <w:tcW w:w="713" w:type="dxa"/>
            <w:noWrap w:val="0"/>
            <w:vAlign w:val="center"/>
          </w:tcPr>
          <w:p w14:paraId="2E71174F">
            <w:pPr>
              <w:pStyle w:val="9"/>
              <w:snapToGrid w:val="0"/>
              <w:jc w:val="center"/>
              <w:rPr>
                <w:rFonts w:hint="default"/>
                <w:color w:val="auto"/>
                <w:lang w:val="en-US" w:eastAsia="zh-CN"/>
              </w:rPr>
            </w:pPr>
            <w:r>
              <w:rPr>
                <w:rFonts w:hint="eastAsia"/>
                <w:color w:val="auto"/>
                <w:lang w:val="en-US" w:eastAsia="zh-CN"/>
              </w:rPr>
              <w:t>批</w:t>
            </w:r>
          </w:p>
        </w:tc>
        <w:tc>
          <w:tcPr>
            <w:tcW w:w="2037" w:type="dxa"/>
            <w:noWrap w:val="0"/>
            <w:vAlign w:val="center"/>
          </w:tcPr>
          <w:p w14:paraId="43C0FBFB">
            <w:pPr>
              <w:pStyle w:val="9"/>
              <w:snapToGrid w:val="0"/>
              <w:jc w:val="both"/>
              <w:rPr>
                <w:rFonts w:hint="eastAsia"/>
                <w:color w:val="auto"/>
              </w:rPr>
            </w:pPr>
            <w:r>
              <w:rPr>
                <w:rFonts w:hint="eastAsia"/>
                <w:color w:val="auto"/>
              </w:rPr>
              <w:t>合同签订后</w:t>
            </w:r>
            <w:r>
              <w:rPr>
                <w:rFonts w:hint="eastAsia"/>
                <w:color w:val="auto"/>
                <w:lang w:val="en-US" w:eastAsia="zh-CN"/>
              </w:rPr>
              <w:t>30</w:t>
            </w:r>
            <w:r>
              <w:rPr>
                <w:rFonts w:hint="eastAsia"/>
                <w:color w:val="auto"/>
              </w:rPr>
              <w:t>天之内交货并安装完毕。</w:t>
            </w:r>
          </w:p>
        </w:tc>
        <w:tc>
          <w:tcPr>
            <w:tcW w:w="1072" w:type="dxa"/>
            <w:noWrap w:val="0"/>
            <w:vAlign w:val="center"/>
          </w:tcPr>
          <w:p w14:paraId="050B970D">
            <w:pPr>
              <w:pStyle w:val="9"/>
              <w:snapToGrid w:val="0"/>
              <w:jc w:val="center"/>
              <w:rPr>
                <w:rFonts w:hint="default" w:eastAsia="宋体"/>
                <w:color w:val="auto"/>
                <w:lang w:val="en-US" w:eastAsia="zh-CN"/>
              </w:rPr>
            </w:pPr>
            <w:r>
              <w:rPr>
                <w:rFonts w:hint="eastAsia" w:eastAsia="宋体"/>
                <w:color w:val="auto"/>
                <w:lang w:val="en-US" w:eastAsia="zh-CN"/>
              </w:rPr>
              <w:t>采购人指定地点</w:t>
            </w:r>
          </w:p>
        </w:tc>
        <w:tc>
          <w:tcPr>
            <w:tcW w:w="724" w:type="dxa"/>
            <w:noWrap w:val="0"/>
            <w:vAlign w:val="center"/>
          </w:tcPr>
          <w:p w14:paraId="640F3727">
            <w:pPr>
              <w:pStyle w:val="9"/>
              <w:snapToGrid w:val="0"/>
              <w:jc w:val="center"/>
              <w:rPr>
                <w:color w:val="auto"/>
              </w:rPr>
            </w:pPr>
          </w:p>
        </w:tc>
      </w:tr>
    </w:tbl>
    <w:p w14:paraId="200D3D52">
      <w:pPr>
        <w:snapToGrid w:val="0"/>
        <w:rPr>
          <w:rFonts w:hint="eastAsia" w:ascii="宋体" w:hAnsi="宋体" w:eastAsia="宋体" w:cs="宋体"/>
          <w:color w:val="auto"/>
          <w:kern w:val="0"/>
          <w:sz w:val="24"/>
          <w:lang w:eastAsia="zh-CN"/>
        </w:rPr>
      </w:pPr>
      <w:r>
        <w:rPr>
          <w:rFonts w:hint="eastAsia" w:ascii="宋体" w:hAnsi="宋体" w:eastAsia="宋体" w:cs="宋体"/>
          <w:color w:val="auto"/>
          <w:kern w:val="0"/>
          <w:sz w:val="24"/>
          <w:lang w:eastAsia="zh-CN"/>
        </w:rPr>
        <w:t xml:space="preserve">备注：1.“包”为最小合同单位（最小投标单位）。每“包”内容应细化到具体标的。 </w:t>
      </w:r>
    </w:p>
    <w:p w14:paraId="54DCA76A">
      <w:pPr>
        <w:snapToGrid w:val="0"/>
        <w:ind w:firstLine="720" w:firstLineChars="300"/>
        <w:rPr>
          <w:rFonts w:hint="eastAsia" w:ascii="宋体" w:hAnsi="宋体" w:eastAsia="宋体" w:cs="宋体"/>
          <w:color w:val="auto"/>
          <w:kern w:val="0"/>
          <w:sz w:val="24"/>
          <w:lang w:eastAsia="zh-CN"/>
        </w:rPr>
      </w:pPr>
      <w:r>
        <w:rPr>
          <w:rFonts w:hint="eastAsia" w:ascii="宋体" w:hAnsi="宋体" w:eastAsia="宋体" w:cs="宋体"/>
          <w:color w:val="auto"/>
          <w:kern w:val="0"/>
          <w:sz w:val="24"/>
          <w:lang w:eastAsia="zh-CN"/>
        </w:rPr>
        <w:t xml:space="preserve">2.投标人必须对一个完整、独立的包进行投标，不得仅对一个包中的部分标的投标，否则投标无效。 </w:t>
      </w:r>
    </w:p>
    <w:p w14:paraId="56BCDEC2">
      <w:pPr>
        <w:snapToGrid w:val="0"/>
        <w:ind w:firstLine="720" w:firstLineChars="300"/>
        <w:rPr>
          <w:rFonts w:hint="eastAsia" w:ascii="宋体" w:hAnsi="宋体" w:eastAsia="宋体" w:cs="宋体"/>
          <w:color w:val="auto"/>
          <w:kern w:val="0"/>
          <w:sz w:val="24"/>
          <w:lang w:eastAsia="zh-CN"/>
        </w:rPr>
      </w:pPr>
      <w:r>
        <w:rPr>
          <w:rFonts w:hint="eastAsia" w:ascii="宋体" w:hAnsi="宋体" w:eastAsia="宋体" w:cs="宋体"/>
          <w:color w:val="auto"/>
          <w:kern w:val="0"/>
          <w:sz w:val="24"/>
          <w:lang w:eastAsia="zh-CN"/>
        </w:rPr>
        <w:t xml:space="preserve">3.货物的主要技术参数或规格：详见“技术要求”中的具体技术参数。 </w:t>
      </w:r>
    </w:p>
    <w:p w14:paraId="16414F71">
      <w:pPr>
        <w:snapToGrid w:val="0"/>
        <w:ind w:firstLine="720" w:firstLineChars="300"/>
        <w:rPr>
          <w:rFonts w:hint="eastAsia" w:ascii="宋体" w:hAnsi="宋体" w:eastAsia="宋体" w:cs="宋体"/>
          <w:color w:val="auto"/>
          <w:kern w:val="0"/>
          <w:sz w:val="24"/>
          <w:lang w:eastAsia="zh-CN"/>
        </w:rPr>
      </w:pPr>
      <w:r>
        <w:rPr>
          <w:rFonts w:hint="eastAsia" w:ascii="宋体" w:hAnsi="宋体" w:eastAsia="宋体" w:cs="宋体"/>
          <w:color w:val="auto"/>
          <w:kern w:val="0"/>
          <w:sz w:val="24"/>
          <w:lang w:eastAsia="zh-CN"/>
        </w:rPr>
        <w:t>4.投标人应在投标文件《分项报价明细表》中按标的名称顺序逐项填写，且每个标的中的条目均需按</w:t>
      </w:r>
      <w:r>
        <w:rPr>
          <w:rFonts w:hint="eastAsia" w:ascii="宋体" w:hAnsi="宋体" w:eastAsia="宋体" w:cs="宋体"/>
          <w:color w:val="auto"/>
          <w:kern w:val="0"/>
          <w:sz w:val="24"/>
          <w:lang w:val="en-US" w:eastAsia="zh-CN"/>
        </w:rPr>
        <w:t>竞争性磋商</w:t>
      </w:r>
      <w:r>
        <w:rPr>
          <w:rFonts w:hint="eastAsia" w:ascii="宋体" w:hAnsi="宋体" w:eastAsia="宋体" w:cs="宋体"/>
          <w:color w:val="auto"/>
          <w:kern w:val="0"/>
          <w:sz w:val="24"/>
          <w:lang w:eastAsia="zh-CN"/>
        </w:rPr>
        <w:t xml:space="preserve">文件规定报价。如有缺项、漏项，其投标无效。 </w:t>
      </w:r>
      <w:bookmarkEnd w:id="1"/>
      <w:bookmarkEnd w:id="2"/>
    </w:p>
    <w:p w14:paraId="287931B9">
      <w:pPr>
        <w:adjustRightInd w:val="0"/>
        <w:snapToGrid w:val="0"/>
        <w:rPr>
          <w:rFonts w:hint="eastAsia" w:ascii="宋体" w:hAnsi="宋体" w:cs="宋体"/>
          <w:b/>
          <w:color w:val="auto"/>
          <w:sz w:val="24"/>
        </w:rPr>
      </w:pPr>
    </w:p>
    <w:p w14:paraId="46ED347B">
      <w:pPr>
        <w:snapToGrid w:val="0"/>
        <w:ind w:firstLine="482" w:firstLineChars="200"/>
        <w:rPr>
          <w:rFonts w:hint="eastAsia" w:ascii="宋体" w:hAnsi="宋体" w:eastAsia="宋体" w:cs="宋体"/>
          <w:b/>
          <w:bCs/>
          <w:color w:val="auto"/>
          <w:kern w:val="0"/>
          <w:sz w:val="24"/>
          <w:lang w:val="en-US" w:eastAsia="zh-CN"/>
        </w:rPr>
      </w:pPr>
    </w:p>
    <w:p w14:paraId="22D2A171">
      <w:pPr>
        <w:snapToGrid w:val="0"/>
        <w:ind w:firstLine="482" w:firstLineChars="200"/>
        <w:rPr>
          <w:rFonts w:hint="eastAsia" w:ascii="宋体" w:hAnsi="宋体" w:eastAsia="宋体" w:cs="宋体"/>
          <w:b/>
          <w:bCs/>
          <w:color w:val="auto"/>
          <w:kern w:val="0"/>
          <w:sz w:val="24"/>
          <w:lang w:val="en-US" w:eastAsia="zh-CN"/>
        </w:rPr>
      </w:pPr>
    </w:p>
    <w:p w14:paraId="6DD12950">
      <w:pPr>
        <w:snapToGrid w:val="0"/>
        <w:ind w:firstLine="482" w:firstLineChars="200"/>
        <w:rPr>
          <w:rFonts w:hint="eastAsia" w:ascii="宋体" w:hAnsi="宋体" w:eastAsia="宋体" w:cs="宋体"/>
          <w:b/>
          <w:bCs/>
          <w:color w:val="auto"/>
          <w:kern w:val="0"/>
          <w:sz w:val="24"/>
          <w:lang w:val="en-US" w:eastAsia="zh-CN"/>
        </w:rPr>
      </w:pPr>
    </w:p>
    <w:p w14:paraId="21EA6E5B">
      <w:pPr>
        <w:snapToGrid w:val="0"/>
        <w:ind w:firstLine="482" w:firstLineChars="200"/>
        <w:rPr>
          <w:rFonts w:hint="eastAsia" w:ascii="宋体" w:hAnsi="宋体" w:eastAsia="宋体" w:cs="宋体"/>
          <w:b/>
          <w:bCs/>
          <w:color w:val="auto"/>
          <w:kern w:val="0"/>
          <w:sz w:val="24"/>
          <w:lang w:val="en-US" w:eastAsia="zh-CN"/>
        </w:rPr>
      </w:pPr>
    </w:p>
    <w:p w14:paraId="6C0007EC">
      <w:pPr>
        <w:snapToGrid w:val="0"/>
        <w:ind w:firstLine="482" w:firstLineChars="200"/>
        <w:rPr>
          <w:rFonts w:hint="eastAsia" w:ascii="宋体" w:hAnsi="宋体" w:eastAsia="宋体" w:cs="宋体"/>
          <w:b/>
          <w:bCs/>
          <w:color w:val="auto"/>
          <w:kern w:val="0"/>
          <w:sz w:val="24"/>
          <w:lang w:val="en-US" w:eastAsia="zh-CN"/>
        </w:rPr>
      </w:pPr>
    </w:p>
    <w:p w14:paraId="1C813178">
      <w:pPr>
        <w:snapToGrid w:val="0"/>
        <w:ind w:firstLine="482" w:firstLineChars="200"/>
        <w:rPr>
          <w:rFonts w:hint="eastAsia" w:ascii="宋体" w:hAnsi="宋体" w:eastAsia="宋体" w:cs="宋体"/>
          <w:b/>
          <w:bCs/>
          <w:color w:val="auto"/>
          <w:kern w:val="0"/>
          <w:sz w:val="24"/>
          <w:lang w:val="en-US" w:eastAsia="zh-CN"/>
        </w:rPr>
      </w:pPr>
    </w:p>
    <w:p w14:paraId="612FB7C4">
      <w:pPr>
        <w:snapToGrid w:val="0"/>
        <w:ind w:firstLine="482" w:firstLineChars="200"/>
        <w:rPr>
          <w:rFonts w:hint="eastAsia" w:ascii="宋体" w:hAnsi="宋体" w:eastAsia="宋体" w:cs="宋体"/>
          <w:b/>
          <w:bCs/>
          <w:color w:val="auto"/>
          <w:kern w:val="0"/>
          <w:sz w:val="24"/>
          <w:lang w:val="en-US" w:eastAsia="zh-CN"/>
        </w:rPr>
      </w:pPr>
    </w:p>
    <w:p w14:paraId="2A7F6113">
      <w:pPr>
        <w:snapToGrid w:val="0"/>
        <w:ind w:firstLine="482" w:firstLineChars="200"/>
        <w:rPr>
          <w:rFonts w:hint="eastAsia" w:ascii="宋体" w:hAnsi="宋体" w:eastAsia="宋体" w:cs="宋体"/>
          <w:b/>
          <w:bCs/>
          <w:color w:val="auto"/>
          <w:kern w:val="0"/>
          <w:sz w:val="24"/>
          <w:lang w:val="en-US" w:eastAsia="zh-CN"/>
        </w:rPr>
      </w:pPr>
    </w:p>
    <w:p w14:paraId="5DD78236">
      <w:pPr>
        <w:snapToGrid w:val="0"/>
        <w:ind w:firstLine="482" w:firstLineChars="200"/>
        <w:rPr>
          <w:rFonts w:hint="eastAsia" w:ascii="宋体" w:hAnsi="宋体" w:eastAsia="宋体" w:cs="宋体"/>
          <w:b/>
          <w:bCs/>
          <w:color w:val="auto"/>
          <w:kern w:val="0"/>
          <w:sz w:val="24"/>
          <w:lang w:val="en-US" w:eastAsia="zh-CN"/>
        </w:rPr>
      </w:pPr>
    </w:p>
    <w:p w14:paraId="56B57B6F">
      <w:pPr>
        <w:snapToGrid w:val="0"/>
        <w:ind w:firstLine="482" w:firstLineChars="200"/>
        <w:rPr>
          <w:rFonts w:hint="eastAsia" w:ascii="宋体" w:hAnsi="宋体" w:eastAsia="宋体" w:cs="宋体"/>
          <w:b/>
          <w:bCs/>
          <w:color w:val="auto"/>
          <w:kern w:val="0"/>
          <w:sz w:val="24"/>
          <w:lang w:val="en-US" w:eastAsia="zh-CN"/>
        </w:rPr>
      </w:pPr>
    </w:p>
    <w:p w14:paraId="594281A2">
      <w:pPr>
        <w:snapToGrid w:val="0"/>
        <w:ind w:firstLine="482" w:firstLineChars="200"/>
        <w:rPr>
          <w:rFonts w:hint="eastAsia" w:ascii="宋体" w:hAnsi="宋体" w:eastAsia="宋体" w:cs="宋体"/>
          <w:b/>
          <w:bCs/>
          <w:color w:val="auto"/>
          <w:kern w:val="0"/>
          <w:sz w:val="24"/>
          <w:lang w:val="en-US" w:eastAsia="zh-CN"/>
        </w:rPr>
      </w:pPr>
    </w:p>
    <w:p w14:paraId="7B66161E">
      <w:pPr>
        <w:snapToGrid w:val="0"/>
        <w:ind w:firstLine="482" w:firstLineChars="200"/>
        <w:rPr>
          <w:rFonts w:hint="eastAsia" w:ascii="宋体" w:hAnsi="宋体" w:eastAsia="宋体" w:cs="宋体"/>
          <w:b/>
          <w:bCs/>
          <w:color w:val="auto"/>
          <w:kern w:val="0"/>
          <w:sz w:val="24"/>
          <w:lang w:val="en-US" w:eastAsia="zh-CN"/>
        </w:rPr>
      </w:pPr>
    </w:p>
    <w:p w14:paraId="3CDCB3A9">
      <w:pPr>
        <w:snapToGrid w:val="0"/>
        <w:ind w:firstLine="482" w:firstLineChars="200"/>
        <w:rPr>
          <w:rFonts w:hint="eastAsia" w:ascii="宋体" w:hAnsi="宋体" w:eastAsia="宋体" w:cs="宋体"/>
          <w:b/>
          <w:bCs/>
          <w:color w:val="auto"/>
          <w:kern w:val="0"/>
          <w:sz w:val="24"/>
          <w:lang w:val="en-US" w:eastAsia="zh-CN"/>
        </w:rPr>
      </w:pPr>
    </w:p>
    <w:p w14:paraId="5B449773">
      <w:pPr>
        <w:snapToGrid w:val="0"/>
        <w:ind w:firstLine="482" w:firstLineChars="200"/>
        <w:rPr>
          <w:rFonts w:hint="eastAsia" w:ascii="宋体" w:hAnsi="宋体" w:eastAsia="宋体" w:cs="宋体"/>
          <w:b/>
          <w:bCs/>
          <w:color w:val="auto"/>
          <w:kern w:val="0"/>
          <w:sz w:val="24"/>
          <w:lang w:val="en-US" w:eastAsia="zh-CN"/>
        </w:rPr>
      </w:pPr>
    </w:p>
    <w:p w14:paraId="26E64F62">
      <w:pPr>
        <w:pStyle w:val="7"/>
        <w:adjustRightInd w:val="0"/>
        <w:snapToGrid w:val="0"/>
        <w:spacing w:before="158" w:beforeLines="50"/>
        <w:jc w:val="center"/>
        <w:rPr>
          <w:rFonts w:hint="eastAsia" w:ascii="宋体" w:hAnsi="宋体" w:eastAsia="宋体" w:cs="宋体"/>
          <w:color w:val="auto"/>
          <w:sz w:val="24"/>
          <w:lang w:val="en-US" w:eastAsia="zh-CN"/>
        </w:rPr>
      </w:pPr>
      <w:r>
        <w:rPr>
          <w:rFonts w:hint="eastAsia" w:ascii="黑体" w:hAnsi="黑体" w:eastAsia="黑体"/>
          <w:color w:val="auto"/>
          <w:sz w:val="28"/>
          <w:szCs w:val="28"/>
        </w:rPr>
        <w:t xml:space="preserve">第二节 </w:t>
      </w:r>
      <w:r>
        <w:rPr>
          <w:rFonts w:ascii="黑体" w:hAnsi="黑体" w:eastAsia="黑体"/>
          <w:color w:val="auto"/>
          <w:sz w:val="28"/>
          <w:szCs w:val="28"/>
        </w:rPr>
        <w:t>技术要求</w:t>
      </w:r>
    </w:p>
    <w:tbl>
      <w:tblPr>
        <w:tblStyle w:val="10"/>
        <w:tblW w:w="896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30"/>
        <w:gridCol w:w="1335"/>
        <w:gridCol w:w="5835"/>
        <w:gridCol w:w="738"/>
        <w:gridCol w:w="630"/>
      </w:tblGrid>
      <w:tr w14:paraId="0AA1A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4"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2C49066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序号</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69B627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名称</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20B773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规格参数</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45E4F8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数量</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487ADC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单位</w:t>
            </w:r>
          </w:p>
        </w:tc>
      </w:tr>
      <w:tr w14:paraId="1476F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3"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71FF2C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3A4BDD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落地机柜</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49028A3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1、前后门均为网孔设计，通风效果好，有助有源设备散热；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2、高强度冷轧钢板制作，结构合理、牢固；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3、大面积玻璃或网孔前门，美观、大方；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4、全喷塑处理，防止碰伤、腐蚀；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5、符合GB/T 3047.8-1996、ANSI/EIA RS-310-D、DIN41491等相关规范；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6、快捷的拆装结构和合理线路通道。</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7A8DDD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06416D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1FA3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4"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1FC8600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366F23A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室外防雨机柜</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06E9897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600*600*1000、防水型、全不锈钢材质，带锁，监控专用。</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21EAE40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0563CE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FB7C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26B76D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4D6E19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室外防雨设备箱</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51F336A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400*500、防水型、全不锈钢材质，带锁，监控专用。</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4494CF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1D724E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37B0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9"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2AF6F9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1A87806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防雷PDU</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33FE964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最大通流容量10KA，1U面板，额定电流16A，工作电压220V，带开关，防雷，万用，电压保护水平≤1KV，8孔标准线长3m。</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006DE2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2BE603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C1C7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44"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530E25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3D571C9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理线器</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5F4BF10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1、适应于与数据配线架和语音配线架搭配。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2、深度55mm，并且间隔宽，方便跳线整理。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3、圆角工艺，不伤手。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4、可上下开启。</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7F1B5C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15F0CA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CE31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69580FD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40C565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漏电保护器</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2CCAA49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16A2P漏电保护器</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547FAF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02A91BA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68CC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6F7957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72E4D8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防雷器</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42E81B9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单相防雷浪涌保护器</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6EC94E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50DF79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4562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4"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1388262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21249C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7孔排插</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77A1636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七孔排插 </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1CCE370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3BE71B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1C74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6BBD54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70A84C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监控立杆</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73CF1A1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3.5米监控立杆（含地笼、防雷接地装置）</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245AAFE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63A8A1D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5449F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75DAAD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77CA93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12芯光缆</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37C1B58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12芯室外铠装光缆</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5A9D1B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1200</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135A71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65F19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3FF0D6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1B1AD7E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主干电源线</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655F27F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RVV3*2.5国标无氧铜主干电源线</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7B62BB4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1200</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5FE1B4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3AE74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577C05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7A79598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支线电源线</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3393215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RVV3*1.5国标无氧铜支线电源线</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7B8406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1250</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76C28C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58018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3"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630FB6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00AC06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六类水晶头</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762EF57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符合TIA/EIA-568-B.2-1的六类标准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针脚采用：100μ″镀镍，50μ〞镀金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三插式针脚并配有固定线芯架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耐拔插次数≧750次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运行温度：-30℃至60℃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存储温度： -40℃至70℃</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1218B8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30" w:type="dxa"/>
            <w:tcBorders>
              <w:top w:val="single" w:color="000000" w:sz="4" w:space="0"/>
              <w:left w:val="single" w:color="000000" w:sz="4" w:space="0"/>
              <w:bottom w:val="single" w:color="000000" w:sz="4" w:space="0"/>
              <w:right w:val="single" w:color="000000" w:sz="4" w:space="0"/>
            </w:tcBorders>
            <w:noWrap w:val="0"/>
            <w:vAlign w:val="center"/>
          </w:tcPr>
          <w:p w14:paraId="5EC4AC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盒</w:t>
            </w:r>
          </w:p>
        </w:tc>
      </w:tr>
      <w:tr w14:paraId="2D5E9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199B28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7F67ED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6芯光缆</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15B1D4D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6芯室外铠装光缆</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49549F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800</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7BA218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5B07D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519BD2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5D835E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光纤配线架</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29D29A0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12芯ODF配线架，含LC满配尾纤法兰</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3F7D75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79DB1A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144F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4"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66B700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5B02C98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光纤熔接盘</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54F1E33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6芯LC熔纤盘含LC满配尾纤法兰</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062DBA9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30E7745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59CE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4"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403C7A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644403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光纤熔接盘</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3D2C4A0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光纤机器热熔接</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0B2F5F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340</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18A183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芯</w:t>
            </w:r>
          </w:p>
        </w:tc>
      </w:tr>
      <w:tr w14:paraId="1C7FF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2"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56E93FC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240B01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超五类网线</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117E4CE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1.符合T568A和T568B线序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2.结构：两件式设计，8P8C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3.金片：三叉铜合金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4.塑胶壳材料：聚碳酸脂，符合UL-94V-2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5.镀金厚度：50u”</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6.适用芯线直径：0.98mm~1.05mm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7.插拔次数：≥1000次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8.拉力测试：≥20N</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9.介质耐电压：1000VAC/60S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10.工作环境温度：-10℃～+60℃</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09F2A0A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19775C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箱</w:t>
            </w:r>
          </w:p>
        </w:tc>
      </w:tr>
      <w:tr w14:paraId="5D762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7"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6EF363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3F5BB7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六类网线</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2D2BA74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1.符合T568A和T568B线序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2.结构：两件式设计，8P8C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3.金片：三叉铜合金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4.塑胶壳材料：聚碳酸脂，符合UL-94V-2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5.镀金厚度：50u”</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6.适用芯线直径：0.98mm~1.05mm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7.插拔次数：≥1000次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8.拉力测试：≥20N</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9.介质耐电压：1000VAC/60S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10.工作环境温度：-10℃～+60℃</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7B615C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22C2EA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箱</w:t>
            </w:r>
          </w:p>
        </w:tc>
      </w:tr>
      <w:tr w14:paraId="2D7A7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68AB9A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144EBF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20套管</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34C8C21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PVC20,含管配件</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2DA9980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2400</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729CF3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57AF9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4"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59BD23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4E91B3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25套管</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25E97AD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PVC25，含管配件</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7C06740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1800</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135153C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31C05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60"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0D76A55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77463BE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网络摄像机</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29509AF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1.主码流支持2560x1440@25fps，子码流支持1280x720@25fps，第三码流支持1280x720。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2.最低照度彩色0.0005lx，黑白0.0001lx。</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3.内置GPU芯片，麦克风，扬声器。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4.支持白光补光、红外补光，在开启白光灯进行补光时，可输出彩色视频图像。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5.同一静止场景相同图像质量下，设备在H.264、H.265编码方式时，开启智能编码功能和不开启智能编码相比，码率节约80%。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6.支持智能报警防干扰功能，智能分析行为类型为区域入侵、越界、进入区域、离开区域时，报警检测目标设置为人体或车辆时，光线明暗变化，篮球滚动，狗行走，树摇晃，不触发报警。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7.支持声音报警功能，报警声音类型不低于12种，并支持导入自定义语音，报警音量和重复次数可设置。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8.可对出现在监控场景内的两眼瞳距不小于19像素的人脸进行检验，并叠加目标提示框。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9.可对检测区域内不低于10个行人进行检测、框选跟踪、评分和抓拍，可筛选和抓拍最佳人脸图片存储及上报中心，抓拍数量及图片大小可设，可上传全景照。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10.支持像素显示功能，可通过浏览器显示监视画面中鼠标所选区域水平及垂直方向的像素数。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11.支持快捷配置功能，可在预览画面页开启/关闭“快捷配置”页面，支持配置场景参数、常用图像参数、OSD配置、音视频参数、智能资源分配参数等，并支持恢复默认操作。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12.支持DC12V或POE供电。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13.IP67防护等级。</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20A58E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130</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4628D4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A9A0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3"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7DFEE49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658AE2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筒机支架</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71ED22C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塑胶新材质坚固耐，最大承重量2Kg，使用环境温度-20~55℃；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底座葫芦口孔位；底座藏线设计，可将IPC尾部网线和电源线收入，并有导水口设计，美观防水</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5B4383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130</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4A3EBC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B601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8"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5C1A26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1AEFC2F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网络摄像机</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52C4579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400万像素1/3"红外海螺半球网络摄像机；4MP(2560×1440)@20FPS；0.01Lux (F2.0，AGC ON，彩色)，0lux(开启红外)；2.8/4.0mm定焦；双码流，最大码流6路；内置Mic； 10M/100M自适应网口；一颗红外灯补光30米；支持运动检测；供电方式：DC12V(±25%)、POE；工作温湿度：-30℃~60℃，≤95%RH；功耗：7W MAX；防护等级：IP67；支持4KV防雷</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4D5126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694A75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3392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61"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31555E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6DB2A4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存储服务器</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0B08CC5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1.调速风扇；支持热插拔1+1AC220V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2.标配≥4个千兆网口，支持4个PCI-E3.0，或可扩展 RS485 接口、eSATA 接口，可扩展至 15个千兆网口，或增配 12个 10Gb /25Gb光纤接口或增配 12 个 8Gb/16Gb/32Gb 光纤接口或增配 12个 HDMI 接口或增配 9 个Mini SAS HD接口，支持GPU智能卡，支持PCI-E X16和PCI-E X8，可支持12GB SAS扩展口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3.每个控制单元支持双系统应用，系统盘支持RAID1模式，当主系统出现故障时，备用系统可接管工作;支持系统盘为独立的2块HDD（SATA、SAS）或SSD盘，组成RAID1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4.可接2T/3T/4T/6T/8T/10T/12T/14T/16T/18T/20T/25T/26T SATA/SAS硬盘；支持NL-SAS 硬盘、HDD硬盘、SSD硬盘、氦气硬盘、空气硬盘；支持 CMR或SMR硬盘；支持硬盘交错/分时启动，节省功耗。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5.具有48块硬盘热插拔插槽；支持硬盘热插拔设备在读写数据时，热插拔设备内的任意块硬盘，设备正常运行不宕机，硬盘不损坏，数据不丢失，业务不中断。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6.支持SATA和SAS混插，支持不同品牌的硬盘混插；支持SATA和SAS的HDD硬盘与SATA和NVME的SSD混插；支持不同大小的硬盘混合使用，可显示硬盘的总容量（各个硬盘容量之和）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支持视音频、图片、智能数据流进行混合直存，无须存储服务器和图片服务器的参与，平台服务器宕机时，存储业务正常；支持国际GB/T 28181和Onvif视频流直存模式；支持iSCSI直存功能，前端网络摄像机和设备之间可直接通过iSCSI协议进行块存储；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 ONVIF、PSIA、TCP/IP、UDP、SIP、SIP2.0、RTSP、RTP、RTCP、iSCSI、CIFS(SMB)、NFS、FTP、HTTP、AFP、RSYNC、SNMP、IPV4、IPV6、HLS、S3、OSS等协议，支持IP组播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应能接入并存储4096Mbps视频图像，同时转发4096Mbps的视频图像，同时下载4096Mbps的视频图像；同时回放1400Mbps的视频图像；在转发模式下，可进行4096路2Mbps视频码流转发；在总带宽不变的情况下，接入、转发、回放间的性能值可自由调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9.支持不低于2048Mbps图片转发；支持不低于2048Mbps图片并发输入，同时不低于2048Mbps图片并发输出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网络RAID纠删码技术，多台存储设备组建网络RAID，设置为负载均衡；单台或多台存储设备组建网络RAID，允许每组RAID中任意1-18个磁盘发生故障，数据不丢失，存储服务不中断；允许每组RAID中任意20块硬盘发生故障，业务不中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查看硬盘体检报告、硬盘深度体检和磁盘档案；支持下载单个硬盘或批量硬盘的报告，支持按时间显示硬盘的坏扇区、温度、振动变化趋势的曲线图；可通过硬盘深度体检查看硬盘原始数据读取错误率、上电时间、上电时长计数、意外断电计数、重映射扇区数、磁盘振动等多种硬盘相关健康值；支持查看硬盘体检的历史记录、硬盘健康状态，并对硬盘健康状态进行分级分类，包括健康（良好、正常）、亚健康（警告、即将损坏）、故障（错误、损坏）等；支持硬盘体检报告打印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12.支持通过浏览器对样机进行操作；对单个或多个设备或设备内的磁盘进行定位，并可设置时间，支持存储硬盘出现故障，对应硬盘槽位有报警灯光提示；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支持磁盘故障重构，可根据业务需要配置重构速度，支持低速、中速、高速和全速四种重构速度配置，可通过客户端软件显示重构速度；可根据自身业务量自动调节重构速度，当设备空间资源达到预设值时，可自动提高重构速度，当空间资源低于预设值时，可自动降低重构速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14.支持≥6个容器，存储业务模块可存放在不同容器中，业务之间互相隔离，一个业务模块发生故障时，不影响其它业务模块。当一个业务模块异常，系统可自动重启业务模块并恢复原有业务；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支持容器镜像管理，包括容器镜像启动/暂停、业务升级/回退、上传/删除，支持添加新业务，支持修改容器镜像IP地址、业务参数，支持查看容器镜像中业务信息（包括：CPU使用率、内存使用量、网络流量、业务所在节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16.设备具有多个系统镜像，当主用系统出现故障时，备用系统可接替主用系统工作，且支持通过任一备用系统对原主用系统进行修复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17.设备支持版本回退功能，在当前版本出现故障或操作失误后，可进行回退到历史版本，回退后录像正常回放，且历史录像完整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18.支持硬盘灯提示功能。当系统检查到硬盘损坏、坏块太多、读写大量异常或者无法获取硬盘信息等问题，硬盘会被定义为坏盘，通过用户界面硬盘位标识为灰色，硬件上硬盘灯显示为红色长亮；当硬盘指示灯为蓝色时，硬盘状态正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19.Type-C接口支持为具有该接口外设设备供电和数据传输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硬盘的多级工作模式，包括性能模式、空闲模式（A\B\C，A：硬盘短时空闲，可以正常响应IO；B：较多空闲，磁头不再移动，硬盘满转；C:硬盘完全空闲，磁头不再移动，硬盘降速）、休眠模式（硬盘不再旋转，新下发IO需要唤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20.支持内存资源动态调节，根据业务进行自动分配，当业务压力增加时，内存自动分配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21.支持较小容量SMR硬盘失效后，可用大容量SMR硬盘替换，不影响业务运行；支持不同品牌、不同容量SMR硬盘混合使用，组成raid</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22.可对视音频、图片、结构化数据、对象等文件进行混合存储，并可通过http和https方式下载，支持划分多个对象池，支持对象池的独立循环覆盖，并支持多种操作方式，包括创建、查询、编辑、删除等；支持对象文件下载 ；支持断点续传下载；支持流式视频文件上传、存储，支持点播回放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23.支持配置多个录像卷、图片卷、文件卷，支持不同的卷，配置不同的覆盖策略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24.在web页面可以指定归档路径，支持实时流同时录像和归档，归档的数据可以使用通用播放器播放；归档路径在web页面可以灵活配置，支持多级目录管理模式，针对不同目录，可以配置不同权限；支持视频、图片、文件多种数据类型归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运维客户端监管存储设备状态，包括系统、硬盘、环控、报警、保养灯等模块，并同步实时展示；运维客户端可展示设备的在线和离线状态，并同步统计在线、离线设备的数量；针对在线设备，同步显示连接异常、警告等状态信息，并统计相关数量；运维客户端支持设备报告的管理和下载功能。支持手动下载及策略下载；可设置下载时间，下载数量，及周期性管理；可灵活配置下载周期，支持每天、每三天、每周、每月等模式的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25.支持页面向导型快速配置，在配置前期，对设备进行全面的检测，包括物理环境，域环境，平台环境进行全面扫描，针对发现的异常，给出对应的提示，会明确指出异常，包括硬盘数量异常、docker服务异常、镜像等情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26.支持http和https传输图片，对报文加密传输，到对端之后解密存储</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6B09DF0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105B912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2C3E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4511FED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3AF1162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监控管理授权扩容</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3A74F58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需与原管理平台匹配</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157C00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300</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1AF46F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路</w:t>
            </w:r>
          </w:p>
        </w:tc>
      </w:tr>
      <w:tr w14:paraId="77576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8"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3156C4A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7E7524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室外音柱</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10F6C41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1、外壳采用铝合金材，安装方便，专业的表面处理工艺，防水防锈；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2、2分频设计，防水扬声器，用在室内环境，也可以放置室外环境，声音通透亮丽、清晰、杂音小，外观精美；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3、适用于网球场、游泳池、花园、学校、集市等场所；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4、额定功率：≥80W；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5、喇叭单元：低音6.5"*5+号角高音*1;</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480BE8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206909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D0B2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20"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50C76F9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652DE30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IP功放360W</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2F6DC2E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1、六路信号输入（三路话筒输入、二路线路输入、一路网络信号输入）在无网络信号时实现本地音乐播放及广播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2、设有100V、70V定压输出和4-16Ω定阻输出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各输入通道音量独立调节（网络输入音频信号与线路AUX1为同一音量电位器控制）、高音、低音独立调节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4、具有电源自动节能功能，当有网络信号时能自动换醒设备电源具有优先权设计：MIC1为优先级， MIC2、3和线路AUX1、2为第二级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5、MIC1具有默音功能，自动默音设有调节开关，可调节范围：0到-30dB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6、具有5单元LED电平显示，便于观察输出电平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7、1路线路输出可外接纯后级功率放大器扩展系统功率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8、采用场效应管前级放大，传统的变压器三极管推挽线路，音色清秀、纯净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9、当有网络信号输入时自动打开设备电源功能                                                                                                     10、内置2级有源高通滤波和低通滤波器，自动消波还原信号；拥有完整的线路安全工作保证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11、网络通讯协议：TCP、UDP、ARP、ICMP、IGMP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12、网络芯片速率：10/100Mbps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13、音频编码：MP2/MP3/PCM/ADPCM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14、音频采样：8kHz～44.1kHz, 16位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15、传输位率：8kbps-320kbps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16、网络声音延迟：广播延迟≤100ms                                                                                                               17、机器异常工作保护警告功能：当输入信号过大、负载过重、线路短路时，对应的指示灯闪烁提示，有极高的可靠性                                                                                                                   18、完善的温度保护：大电流高速风扇，工作噪音低，散热效果佳；当机器温度升高时，温度保护电路会启动风扇；风扇的转速随温度的升高而自动提高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19、输出方式：70V/100V定压输出和4-16Ω定阻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20、额定输出功率：360W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22、话筒输入灵敏度：MIC1-3：5-8mV 不平衡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23、线路输入：AUX1-3：10KΩ 150-470mV 不平衡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24、线路输出：0.775V（0dB） 不平衡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25、信号噪声比S/N：LINE：85dB，MIC＞72dB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26、非线性失真THD：＜1% at 1000HZ，1/3的额定输出功率，满功率输出时的总谐波失真≤2%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27、频率响应：60-15KHz（±3dB）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28、电源：AC 220V ± 10% 50-60HZ。</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3373AD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79F6D83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6671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4E2B324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5EE09F5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广播线缆</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63A2A2F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RVVP2*1.5、国标。</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17CFD7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1000</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7EE37B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7B5D1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4"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4B679B1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02C5B1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8口POE交换机</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7A8CC0F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1、千兆电口≥8个，千兆光口≥2，POE输出功率≥120W，金属外壳，桌面型交换机；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2、交换容量≥20Gbps，包转发率≥14.88Mpps。</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444471C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169B9F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D9A2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4"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07384D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375E5A6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16口POE交换机</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017DD20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1、千兆POE电口≥16个，千兆SFP光口≥2个，金属外壳，标准1U设备；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2、交换容量≥36Gbps，包转发率≥27Mpps。</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4972F2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5DBE1D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C32E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4"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4C23D9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69FF3B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广播接入交换机</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07377DF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二层网管型交换机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1、千兆电口≥8个，千兆SFP光口≥2个，可上机架设备；2、内存≥128M，交换容量≥256Gbps，包转发率≥48Mpps。</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6ED599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463F7A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2224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8"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045302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37395F7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网络接入交换机</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5F342E9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1、千兆电口≥24个，千兆SFP光口≥4个，标准1U设备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2、内存≥128M，交换容量≥336Gbps，包转发率≥84Mpps。</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710735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68DA9E3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040C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91"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7F3BC1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34</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2ACBE5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智能安防汇聚交换机1</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27D9A1A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1、要求设备千兆SFP光口≥24个，万兆SFP+光口≥4个，双交流电源。USB配置接口≥1，Console配置口≥1，Reset键≥1。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2、交换容量≥598Gbps/5.98Tbps，包转发率≥216Mpps/2160Mpps。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3、支持≥8台横向虚拟化功能，实现多个物理设备虚拟为一个逻辑设备进行管理的虚拟化功能。同时支持纵向虚拟化功能，接入交换机作为核心交换机的端口扩展板卡进行配置统一管理, 支持≥128台设备虚拟成一台设备。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4、支持MAC绑定，ACL，风暴抑制，支持用户访问控制。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5、支持安全审计功能，安全日志功能，操作日志功能。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6、支持Console口登录管理、HTTP、Telnet（VTY）远程管理、WEB管理、SSH管理、SNMP V1/V2/V3、RMON 1/2/3/9、SYSLOG、DDMI、广播风暴显示。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7、支持远程运维平台管理，设备可通过运维平台实现远程访问设备WEB管理界面。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8、支持手机APP管理，可通过手机APP实现开局部署、监控设备关键性能指标（内存利用率、CPU利用率、端口协商速率、上联口速率等）、整网拓扑可视化、防环路/防私接/VALN配置等配置下发、端口管理等功能。</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3C575E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2D05DD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B920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47"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1C5A76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332424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智能安防汇聚交换机2</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586629E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1、要求设备千兆SFP光口≥24个，独立千兆电口≥8个，SFP+万兆光口≥4个，USB配置接口≥2，Console配置口≥1，冗余交流电源输入；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2、支持主备电源切换；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3、交换容量≥792Gbps/7.92Tbps，包转发率≥384Mpps/3840Mpps；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4、支持≥8台横向虚拟化功能，实现多个物理设备虚拟为一个逻辑设备进行管理的虚拟化功能。同时支持纵向虚拟化功能，接入交换机作为核心交换机的端口扩展板卡进行配置统一管理, 支持≥128台设备虚拟成一台设备。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5、支持Console口登录管理、HTTP、Telnet（VTY）远程管理、WEB管理、SSH管理、SNMP V1/V2/V3、RMON 1/2/3/9、SYSLOG、DDMI、广播风暴显示；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6、支持远程运维平台管理，设备可通过运维平台实现远程访问设备WEB管理界面。同时为保证远程访问设备WEB的安全性，要求远程访问隧道基于HTTPS，以上功能要求提供功能截图；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7、支持手机APP管理，可通过手机APP实现开局部署、监控设备关键性能指标（内存利用率、CPU利用率、端口协商速率、上联口速率等）、整网拓扑可视化、防环路/防私接/VALN配置等配置下发、端口管理等功能。</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395D32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73C1ED3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4BEE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2"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19942E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484161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智能化安防核心交换机</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78F7EAB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1、设备千兆电接口≥24个，万兆SFP+光接口≥18个，25G SFP28接口≥8个，非扩展，USB配置接口≥1，Console配置口≥1，DC0配置口≥1，电源槽位数≥2个，高度≤1U；</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2、要求设备电源等全部支持热插拔；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3、交换容量≥2.56Tbps/25.6Tbps，包转发率≥960Mpps/9600Mpps，MAC≥128K；</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4、支持安全审计功能，安全日志功能、操作日志功能；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8台横向虚拟化功能，实现多个物理设备虚拟为一个逻辑设备进行管理的虚拟化功能。同时支持纵向虚拟化功能，接入交换机作为核心交换机的端口扩展板卡进行配置统一管理,支持≥128台设备虚拟成一台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6、支持CPU 保护功能，如ICMP Flood拦截、SYN Flood攻击拦截等，CPU根据不同协议进行限速保护，支持MSTP协议国密算法加密，RIP、OSPF协议支持国密认证算法，支持配置文件国密算法加密，防护设备配置环境信息泄漏；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7、为了满足网络未来的发展趋势，要求设备支持SDN功能，需要支持Openflow1.3协议标，支持Netconf协议，支持SDN控制器的统一管理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8、支持并出厂实配二层TRILL、三层TRILL；VXLAN二层网关、三层网关等相关功能, ；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9、支持SHELL、SNMP V1/V2/V3、Telnet、Rlogin、FTP、TFTP等管理方式。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10、支持远程运维平台管理，设备可通过运维平台实现远程访问设备WEB管理界面。同时为保证远程访问设备WEB的安全性，要求远程访问隧道基于HTTPS；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11、支持手机APP管理，可通过手机APP实现开局部署、监控设备关键性能指标（内存利用率、CPU利用率、端口协商速率、上联口速率等）、整网拓扑可视化、防环路/防私接/VALN配置等配置下发、端口管理等功能。</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63B6499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69A453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EADC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01E3295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134A40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空调柜机</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726E84B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5匹、变频、冷暖柜机。</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6D23EC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0B7A21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58DE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798CDE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47BD09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千兆光模块</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7550E4D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千兆单模光模块，单模，1310nm，LC，传输20Km。</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5580BD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68</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32B872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9A2D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03ED09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39</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0300C9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万兆光模块</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3AD6B0C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万兆单模光模块，单模，1310nm，LC，传输10Km。</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7FDB6AA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0F14B1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503B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4"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6ABC62E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0FCC1D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尾纤条线</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6A6357D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LC-LC3米光纤跳线，电信级。</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699724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88</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35C6760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对</w:t>
            </w:r>
          </w:p>
        </w:tc>
      </w:tr>
      <w:tr w14:paraId="7B5EA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4"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68507A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41</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680C4F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管道敷设</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1278638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管道敷设。</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7FFFD2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300</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638575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221CF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7FCA16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42</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0297FD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挖沟槽土方</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2D18F32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挖沟槽土方、含垃圾清理。</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601229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45AFFE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立方</w:t>
            </w:r>
          </w:p>
        </w:tc>
      </w:tr>
      <w:tr w14:paraId="3A539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5" w:hRule="atLeast"/>
        </w:trPr>
        <w:tc>
          <w:tcPr>
            <w:tcW w:w="430" w:type="dxa"/>
            <w:tcBorders>
              <w:top w:val="single" w:color="000000" w:sz="4" w:space="0"/>
              <w:left w:val="single" w:color="000000" w:sz="4" w:space="0"/>
              <w:bottom w:val="single" w:color="000000" w:sz="4" w:space="0"/>
              <w:right w:val="single" w:color="000000" w:sz="4" w:space="0"/>
            </w:tcBorders>
            <w:noWrap/>
            <w:vAlign w:val="center"/>
          </w:tcPr>
          <w:p w14:paraId="2B20912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43</w:t>
            </w:r>
          </w:p>
        </w:tc>
        <w:tc>
          <w:tcPr>
            <w:tcW w:w="1335" w:type="dxa"/>
            <w:tcBorders>
              <w:top w:val="single" w:color="000000" w:sz="4" w:space="0"/>
              <w:left w:val="single" w:color="000000" w:sz="4" w:space="0"/>
              <w:bottom w:val="single" w:color="000000" w:sz="4" w:space="0"/>
              <w:right w:val="single" w:color="000000" w:sz="4" w:space="0"/>
            </w:tcBorders>
            <w:noWrap/>
            <w:vAlign w:val="center"/>
          </w:tcPr>
          <w:p w14:paraId="3F6012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混凝土路面拆除恢复</w:t>
            </w:r>
          </w:p>
        </w:tc>
        <w:tc>
          <w:tcPr>
            <w:tcW w:w="5835" w:type="dxa"/>
            <w:tcBorders>
              <w:top w:val="single" w:color="000000" w:sz="4" w:space="0"/>
              <w:left w:val="single" w:color="000000" w:sz="4" w:space="0"/>
              <w:bottom w:val="single" w:color="000000" w:sz="4" w:space="0"/>
              <w:right w:val="single" w:color="000000" w:sz="4" w:space="0"/>
            </w:tcBorders>
            <w:noWrap w:val="0"/>
            <w:vAlign w:val="center"/>
          </w:tcPr>
          <w:p w14:paraId="53B10A8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混凝土路面拆除恢复。</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0F1F28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1B030F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立方</w:t>
            </w:r>
          </w:p>
        </w:tc>
      </w:tr>
    </w:tbl>
    <w:p w14:paraId="1CDE7998">
      <w:pPr>
        <w:snapToGrid w:val="0"/>
        <w:rPr>
          <w:rFonts w:hint="eastAsia" w:ascii="宋体" w:hAnsi="宋体" w:eastAsia="宋体" w:cs="宋体"/>
          <w:b/>
          <w:bCs/>
          <w:color w:val="auto"/>
          <w:kern w:val="0"/>
          <w:sz w:val="24"/>
          <w:lang w:val="en-US" w:eastAsia="zh-CN"/>
        </w:rPr>
      </w:pPr>
    </w:p>
    <w:p w14:paraId="128AD394">
      <w:pPr>
        <w:snapToGrid w:val="0"/>
        <w:ind w:firstLine="482" w:firstLineChars="200"/>
        <w:rPr>
          <w:rFonts w:hint="eastAsia" w:ascii="宋体" w:hAnsi="宋体" w:eastAsia="宋体" w:cs="宋体"/>
          <w:b/>
          <w:bCs/>
          <w:color w:val="auto"/>
          <w:kern w:val="0"/>
          <w:sz w:val="24"/>
          <w:lang w:val="en-US" w:eastAsia="zh-CN"/>
        </w:rPr>
      </w:pPr>
      <w:r>
        <w:rPr>
          <w:rFonts w:hint="eastAsia" w:ascii="宋体" w:hAnsi="宋体" w:eastAsia="宋体" w:cs="宋体"/>
          <w:b/>
          <w:bCs/>
          <w:color w:val="auto"/>
          <w:kern w:val="0"/>
          <w:sz w:val="24"/>
          <w:lang w:val="en-US" w:eastAsia="zh-CN"/>
        </w:rPr>
        <w:t>二、项目建设要求及说明</w:t>
      </w:r>
    </w:p>
    <w:p w14:paraId="58AE5948">
      <w:pPr>
        <w:spacing w:line="360" w:lineRule="auto"/>
        <w:ind w:firstLine="482" w:firstLineChars="200"/>
        <w:jc w:val="left"/>
        <w:rPr>
          <w:rFonts w:hint="eastAsia" w:ascii="宋体" w:hAnsi="宋体" w:eastAsia="宋体" w:cs="宋体"/>
          <w:color w:val="auto"/>
          <w:sz w:val="24"/>
          <w:lang w:val="en-US" w:eastAsia="zh-CN"/>
        </w:rPr>
      </w:pPr>
      <w:r>
        <w:rPr>
          <w:rFonts w:hint="eastAsia" w:ascii="宋体" w:hAnsi="宋体" w:eastAsia="宋体" w:cs="宋体"/>
          <w:b/>
          <w:bCs/>
          <w:color w:val="auto"/>
          <w:sz w:val="24"/>
          <w:lang w:val="en-US" w:eastAsia="zh-CN"/>
        </w:rPr>
        <w:t>1、产品运输、保险及保管</w:t>
      </w:r>
    </w:p>
    <w:p w14:paraId="2AA3A175">
      <w:pPr>
        <w:tabs>
          <w:tab w:val="right" w:pos="8365"/>
        </w:tabs>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1.1</w:t>
      </w:r>
      <w:r>
        <w:rPr>
          <w:rFonts w:hint="eastAsia" w:ascii="宋体" w:hAnsi="宋体" w:eastAsia="宋体" w:cs="宋体"/>
          <w:color w:val="auto"/>
          <w:sz w:val="24"/>
          <w:lang w:val="en-US" w:eastAsia="zh-CN"/>
        </w:rPr>
        <w:t>投标人中标后</w:t>
      </w:r>
      <w:r>
        <w:rPr>
          <w:rFonts w:hint="eastAsia" w:ascii="宋体" w:hAnsi="宋体" w:eastAsia="宋体" w:cs="宋体"/>
          <w:color w:val="auto"/>
          <w:sz w:val="24"/>
        </w:rPr>
        <w:t>应在货物发运前对其进行满足运输距离、防潮、防震、防锈和防破损装卸等要求包装，以保证货物安全运达</w:t>
      </w:r>
      <w:r>
        <w:rPr>
          <w:rFonts w:hint="eastAsia" w:ascii="宋体" w:hAnsi="宋体" w:eastAsia="宋体" w:cs="宋体"/>
          <w:color w:val="auto"/>
          <w:sz w:val="24"/>
          <w:lang w:eastAsia="zh-CN"/>
        </w:rPr>
        <w:t>桃江县职业中专学校</w:t>
      </w:r>
      <w:r>
        <w:rPr>
          <w:rFonts w:hint="eastAsia" w:ascii="宋体" w:hAnsi="宋体" w:eastAsia="宋体" w:cs="宋体"/>
          <w:color w:val="auto"/>
          <w:sz w:val="24"/>
        </w:rPr>
        <w:t>。</w:t>
      </w:r>
    </w:p>
    <w:p w14:paraId="51627352">
      <w:pPr>
        <w:tabs>
          <w:tab w:val="right" w:pos="8365"/>
        </w:tabs>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1.2使用说明书、质量检验证明书、随配附件和工具以及清单</w:t>
      </w:r>
      <w:r>
        <w:rPr>
          <w:rFonts w:hint="eastAsia" w:ascii="宋体" w:hAnsi="宋体" w:eastAsia="宋体" w:cs="宋体"/>
          <w:color w:val="auto"/>
          <w:sz w:val="24"/>
          <w:lang w:val="en-US" w:eastAsia="zh-CN"/>
        </w:rPr>
        <w:t>等资料</w:t>
      </w:r>
      <w:r>
        <w:rPr>
          <w:rFonts w:hint="eastAsia" w:ascii="宋体" w:hAnsi="宋体" w:eastAsia="宋体" w:cs="宋体"/>
          <w:color w:val="auto"/>
          <w:sz w:val="24"/>
        </w:rPr>
        <w:t>一并附于货物内。</w:t>
      </w:r>
    </w:p>
    <w:p w14:paraId="3D4A20CE">
      <w:pPr>
        <w:tabs>
          <w:tab w:val="right" w:pos="8365"/>
        </w:tabs>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1.3</w:t>
      </w:r>
      <w:r>
        <w:rPr>
          <w:rFonts w:hint="eastAsia" w:ascii="宋体" w:hAnsi="宋体" w:eastAsia="宋体" w:cs="宋体"/>
          <w:color w:val="auto"/>
          <w:sz w:val="24"/>
          <w:lang w:val="en-US" w:eastAsia="zh-CN"/>
        </w:rPr>
        <w:t>投标人中标后</w:t>
      </w:r>
      <w:r>
        <w:rPr>
          <w:rFonts w:hint="eastAsia" w:ascii="宋体" w:hAnsi="宋体" w:eastAsia="宋体" w:cs="宋体"/>
          <w:color w:val="auto"/>
          <w:sz w:val="24"/>
        </w:rPr>
        <w:t>在货物发运手续办理完毕后24小时内通知采购人，以准备接货。</w:t>
      </w:r>
    </w:p>
    <w:p w14:paraId="2A261691">
      <w:pPr>
        <w:tabs>
          <w:tab w:val="right" w:pos="8365"/>
        </w:tabs>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1.4</w:t>
      </w:r>
      <w:r>
        <w:rPr>
          <w:rFonts w:hint="eastAsia" w:ascii="宋体" w:hAnsi="宋体" w:eastAsia="宋体" w:cs="宋体"/>
          <w:color w:val="auto"/>
          <w:sz w:val="24"/>
          <w:lang w:val="en-US" w:eastAsia="zh-CN"/>
        </w:rPr>
        <w:t>投标人中标后</w:t>
      </w:r>
      <w:r>
        <w:rPr>
          <w:rFonts w:hint="eastAsia" w:ascii="宋体" w:hAnsi="宋体" w:eastAsia="宋体" w:cs="宋体"/>
          <w:color w:val="auto"/>
          <w:sz w:val="24"/>
        </w:rPr>
        <w:t>负责其派出的实施人员的人身意外保险。</w:t>
      </w:r>
    </w:p>
    <w:p w14:paraId="17390A4E">
      <w:pPr>
        <w:spacing w:line="360" w:lineRule="auto"/>
        <w:ind w:firstLine="482" w:firstLineChars="200"/>
        <w:jc w:val="left"/>
        <w:rPr>
          <w:rFonts w:hint="eastAsia" w:ascii="宋体" w:hAnsi="宋体" w:eastAsia="宋体" w:cs="宋体"/>
          <w:b/>
          <w:bCs/>
          <w:color w:val="auto"/>
          <w:sz w:val="24"/>
        </w:rPr>
      </w:pPr>
      <w:r>
        <w:rPr>
          <w:rFonts w:hint="eastAsia" w:ascii="宋体" w:hAnsi="宋体" w:eastAsia="宋体" w:cs="宋体"/>
          <w:b/>
          <w:bCs/>
          <w:color w:val="auto"/>
          <w:sz w:val="24"/>
          <w:lang w:val="en-US" w:eastAsia="zh-CN"/>
        </w:rPr>
        <w:t>2、</w:t>
      </w:r>
      <w:r>
        <w:rPr>
          <w:rFonts w:hint="eastAsia" w:ascii="宋体" w:hAnsi="宋体" w:eastAsia="宋体" w:cs="宋体"/>
          <w:b/>
          <w:bCs/>
          <w:color w:val="auto"/>
          <w:sz w:val="24"/>
        </w:rPr>
        <w:t>产品安装、调试</w:t>
      </w:r>
    </w:p>
    <w:p w14:paraId="24788646">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2.1</w:t>
      </w:r>
      <w:r>
        <w:rPr>
          <w:rFonts w:hint="eastAsia" w:ascii="宋体" w:hAnsi="宋体" w:eastAsia="宋体" w:cs="宋体"/>
          <w:color w:val="auto"/>
          <w:sz w:val="24"/>
          <w:lang w:val="en-US" w:eastAsia="zh-CN"/>
        </w:rPr>
        <w:t>投标人中标后</w:t>
      </w:r>
      <w:r>
        <w:rPr>
          <w:rFonts w:hint="eastAsia" w:ascii="宋体" w:hAnsi="宋体" w:eastAsia="宋体" w:cs="宋体"/>
          <w:color w:val="auto"/>
          <w:sz w:val="24"/>
        </w:rPr>
        <w:t>在</w:t>
      </w:r>
      <w:r>
        <w:rPr>
          <w:rFonts w:hint="eastAsia" w:ascii="宋体" w:hAnsi="宋体" w:eastAsia="宋体" w:cs="宋体"/>
          <w:color w:val="auto"/>
          <w:sz w:val="24"/>
          <w:lang w:val="en-US" w:eastAsia="zh-CN"/>
        </w:rPr>
        <w:t>30日历天</w:t>
      </w:r>
      <w:r>
        <w:rPr>
          <w:rFonts w:hint="eastAsia" w:ascii="宋体" w:hAnsi="宋体" w:eastAsia="宋体" w:cs="宋体"/>
          <w:color w:val="auto"/>
          <w:sz w:val="24"/>
        </w:rPr>
        <w:t>内负责完成设备的安装调试、试运行以及测试等。</w:t>
      </w:r>
    </w:p>
    <w:p w14:paraId="30756DC1">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2.2项目完成后，</w:t>
      </w:r>
      <w:r>
        <w:rPr>
          <w:rFonts w:hint="eastAsia" w:ascii="宋体" w:hAnsi="宋体" w:eastAsia="宋体" w:cs="宋体"/>
          <w:color w:val="auto"/>
          <w:sz w:val="24"/>
          <w:lang w:eastAsia="zh-CN"/>
        </w:rPr>
        <w:t>成交供应商</w:t>
      </w:r>
      <w:r>
        <w:rPr>
          <w:rFonts w:hint="eastAsia" w:ascii="宋体" w:hAnsi="宋体" w:eastAsia="宋体" w:cs="宋体"/>
          <w:color w:val="auto"/>
          <w:sz w:val="24"/>
        </w:rPr>
        <w:t>应将项目有关的全部资料，包括产品资料、技术文档、实施图纸等，移交采购人。</w:t>
      </w:r>
    </w:p>
    <w:p w14:paraId="7984B138">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2.3本项目安装、调试人员为具有相应资质的</w:t>
      </w:r>
      <w:r>
        <w:rPr>
          <w:rFonts w:hint="eastAsia" w:ascii="宋体" w:hAnsi="宋体" w:eastAsia="宋体" w:cs="宋体"/>
          <w:color w:val="auto"/>
          <w:sz w:val="24"/>
          <w:lang w:eastAsia="zh-CN"/>
        </w:rPr>
        <w:t>人员</w:t>
      </w:r>
      <w:r>
        <w:rPr>
          <w:rFonts w:hint="eastAsia" w:ascii="宋体" w:hAnsi="宋体" w:eastAsia="宋体" w:cs="宋体"/>
          <w:color w:val="auto"/>
          <w:sz w:val="24"/>
        </w:rPr>
        <w:t>实施。</w:t>
      </w:r>
    </w:p>
    <w:p w14:paraId="75042485">
      <w:pPr>
        <w:spacing w:line="360" w:lineRule="auto"/>
        <w:ind w:firstLine="482" w:firstLineChars="200"/>
        <w:jc w:val="left"/>
        <w:rPr>
          <w:rFonts w:hint="eastAsia" w:ascii="宋体" w:hAnsi="宋体" w:eastAsia="宋体" w:cs="宋体"/>
          <w:b/>
          <w:bCs/>
          <w:color w:val="auto"/>
          <w:sz w:val="24"/>
        </w:rPr>
      </w:pP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rPr>
        <w:t>项目验收</w:t>
      </w:r>
    </w:p>
    <w:p w14:paraId="6C78FD42">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3.1采购人对</w:t>
      </w:r>
      <w:r>
        <w:rPr>
          <w:rFonts w:hint="eastAsia" w:ascii="宋体" w:hAnsi="宋体" w:eastAsia="宋体" w:cs="宋体"/>
          <w:color w:val="auto"/>
          <w:sz w:val="24"/>
          <w:lang w:eastAsia="zh-CN"/>
        </w:rPr>
        <w:t>成交供应商</w:t>
      </w:r>
      <w:r>
        <w:rPr>
          <w:rFonts w:hint="eastAsia" w:ascii="宋体" w:hAnsi="宋体" w:eastAsia="宋体" w:cs="宋体"/>
          <w:color w:val="auto"/>
          <w:sz w:val="24"/>
        </w:rPr>
        <w:t>提交的货物依据采购文件上的技术规格要求和国家有关质量标准进行现场初步验收，外观、说明书符合采购文件技术要求的，给予签收，初步验收不合格的不予签收。</w:t>
      </w:r>
    </w:p>
    <w:p w14:paraId="046E8C82">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3.2</w:t>
      </w:r>
      <w:r>
        <w:rPr>
          <w:rFonts w:hint="eastAsia" w:ascii="宋体" w:hAnsi="宋体" w:eastAsia="宋体" w:cs="宋体"/>
          <w:color w:val="auto"/>
          <w:sz w:val="24"/>
          <w:lang w:eastAsia="zh-CN"/>
        </w:rPr>
        <w:t>成交供应商</w:t>
      </w:r>
      <w:r>
        <w:rPr>
          <w:rFonts w:hint="eastAsia" w:ascii="宋体" w:hAnsi="宋体" w:eastAsia="宋体" w:cs="宋体"/>
          <w:color w:val="auto"/>
          <w:sz w:val="24"/>
        </w:rPr>
        <w:t>交货前应对产品作出全面检查和对验收文件进行整理，并列出清单，作为采购人收货验收和使用的技术条件依据，检验的结果应随货物交采购人。</w:t>
      </w:r>
    </w:p>
    <w:p w14:paraId="2A82FF95">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3.3设备各项技术性能、指标必须达到合同和技术文件规定的要求，设备安装后，采购人按国家标准及招标参数要求进行质量验收。不符合上述要求或者设备验收签字前如有任何质量问题，</w:t>
      </w:r>
      <w:r>
        <w:rPr>
          <w:rFonts w:hint="eastAsia" w:ascii="宋体" w:hAnsi="宋体" w:eastAsia="宋体" w:cs="宋体"/>
          <w:color w:val="auto"/>
          <w:sz w:val="24"/>
          <w:lang w:eastAsia="zh-CN"/>
        </w:rPr>
        <w:t>成交供应商</w:t>
      </w:r>
      <w:r>
        <w:rPr>
          <w:rFonts w:hint="eastAsia" w:ascii="宋体" w:hAnsi="宋体" w:eastAsia="宋体" w:cs="宋体"/>
          <w:color w:val="auto"/>
          <w:sz w:val="24"/>
        </w:rPr>
        <w:t>应重新更换设备，更换设备后还是不符合要求，视为验收不合格，采购人有权终止合同。所有损失均由</w:t>
      </w:r>
      <w:r>
        <w:rPr>
          <w:rFonts w:hint="eastAsia" w:ascii="宋体" w:hAnsi="宋体" w:eastAsia="宋体" w:cs="宋体"/>
          <w:color w:val="auto"/>
          <w:sz w:val="24"/>
          <w:lang w:eastAsia="zh-CN"/>
        </w:rPr>
        <w:t>成交供应商</w:t>
      </w:r>
      <w:r>
        <w:rPr>
          <w:rFonts w:hint="eastAsia" w:ascii="宋体" w:hAnsi="宋体" w:eastAsia="宋体" w:cs="宋体"/>
          <w:color w:val="auto"/>
          <w:sz w:val="24"/>
        </w:rPr>
        <w:t>自负。</w:t>
      </w:r>
    </w:p>
    <w:p w14:paraId="1432EB96">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3.4验收过程中产生产品质量纠纷，由质量技术监督部门认定的检测机构检测,如为</w:t>
      </w:r>
      <w:r>
        <w:rPr>
          <w:rFonts w:hint="eastAsia" w:ascii="宋体" w:hAnsi="宋体" w:eastAsia="宋体" w:cs="宋体"/>
          <w:color w:val="auto"/>
          <w:sz w:val="24"/>
          <w:lang w:eastAsia="zh-CN"/>
        </w:rPr>
        <w:t>成交供应商</w:t>
      </w:r>
      <w:r>
        <w:rPr>
          <w:rFonts w:hint="eastAsia" w:ascii="宋体" w:hAnsi="宋体" w:eastAsia="宋体" w:cs="宋体"/>
          <w:color w:val="auto"/>
          <w:sz w:val="24"/>
        </w:rPr>
        <w:t>原因造成的，由</w:t>
      </w:r>
      <w:r>
        <w:rPr>
          <w:rFonts w:hint="eastAsia" w:ascii="宋体" w:hAnsi="宋体" w:eastAsia="宋体" w:cs="宋体"/>
          <w:color w:val="auto"/>
          <w:sz w:val="24"/>
          <w:lang w:eastAsia="zh-CN"/>
        </w:rPr>
        <w:t>成交供应商</w:t>
      </w:r>
      <w:r>
        <w:rPr>
          <w:rFonts w:hint="eastAsia" w:ascii="宋体" w:hAnsi="宋体" w:eastAsia="宋体" w:cs="宋体"/>
          <w:color w:val="auto"/>
          <w:sz w:val="24"/>
        </w:rPr>
        <w:t>承担检测费用。</w:t>
      </w:r>
    </w:p>
    <w:p w14:paraId="58DFB245">
      <w:pPr>
        <w:spacing w:line="360" w:lineRule="auto"/>
        <w:ind w:firstLine="482" w:firstLineChars="200"/>
        <w:jc w:val="left"/>
        <w:rPr>
          <w:rFonts w:hint="eastAsia" w:ascii="宋体" w:hAnsi="宋体" w:eastAsia="宋体" w:cs="宋体"/>
          <w:b/>
          <w:bCs/>
          <w:color w:val="auto"/>
          <w:sz w:val="24"/>
        </w:rPr>
      </w:pPr>
      <w:r>
        <w:rPr>
          <w:rFonts w:hint="eastAsia" w:ascii="宋体" w:hAnsi="宋体" w:eastAsia="宋体" w:cs="宋体"/>
          <w:b/>
          <w:bCs/>
          <w:color w:val="auto"/>
          <w:sz w:val="24"/>
        </w:rPr>
        <w:t>4、质量保证</w:t>
      </w:r>
    </w:p>
    <w:p w14:paraId="134F11BB">
      <w:pPr>
        <w:spacing w:line="360" w:lineRule="auto"/>
        <w:ind w:firstLine="480" w:firstLineChars="200"/>
        <w:jc w:val="left"/>
        <w:rPr>
          <w:rFonts w:hint="eastAsia" w:ascii="宋体" w:hAnsi="宋体" w:eastAsia="宋体" w:cs="宋体"/>
          <w:color w:val="auto"/>
          <w:sz w:val="24"/>
          <w:lang w:eastAsia="zh-CN"/>
        </w:rPr>
      </w:pPr>
      <w:r>
        <w:rPr>
          <w:rFonts w:hint="eastAsia" w:ascii="宋体" w:hAnsi="宋体" w:eastAsia="宋体" w:cs="宋体"/>
          <w:color w:val="auto"/>
          <w:sz w:val="24"/>
          <w:lang w:eastAsia="zh-CN"/>
        </w:rPr>
        <w:t>4.1</w:t>
      </w:r>
      <w:r>
        <w:rPr>
          <w:rFonts w:hint="eastAsia" w:ascii="宋体" w:hAnsi="宋体" w:eastAsia="宋体" w:cs="宋体"/>
          <w:color w:val="auto"/>
          <w:sz w:val="24"/>
          <w:lang w:val="en-US" w:eastAsia="zh-CN"/>
        </w:rPr>
        <w:t>投标人中标后</w:t>
      </w:r>
      <w:r>
        <w:rPr>
          <w:rFonts w:hint="eastAsia" w:ascii="宋体" w:hAnsi="宋体" w:eastAsia="宋体" w:cs="宋体"/>
          <w:color w:val="auto"/>
          <w:sz w:val="24"/>
          <w:lang w:eastAsia="zh-CN"/>
        </w:rPr>
        <w:t>提供的产品应是原装正品</w:t>
      </w:r>
      <w:r>
        <w:rPr>
          <w:rFonts w:hint="eastAsia" w:ascii="宋体" w:hAnsi="宋体" w:eastAsia="宋体" w:cs="宋体"/>
          <w:color w:val="auto"/>
          <w:sz w:val="24"/>
          <w:lang w:val="en-US" w:eastAsia="zh-CN"/>
        </w:rPr>
        <w:t>，所提供的产品</w:t>
      </w:r>
      <w:r>
        <w:rPr>
          <w:rFonts w:hint="eastAsia" w:ascii="宋体" w:hAnsi="宋体" w:eastAsia="宋体" w:cs="宋体"/>
          <w:color w:val="auto"/>
          <w:sz w:val="24"/>
          <w:lang w:eastAsia="zh-CN"/>
        </w:rPr>
        <w:t>符合国家质量检测标准，具有出厂合格证或国家鉴定合格证。相关证书须在交接货物时一并提供给采购人。</w:t>
      </w:r>
    </w:p>
    <w:p w14:paraId="76B40DE3">
      <w:pPr>
        <w:spacing w:line="360" w:lineRule="auto"/>
        <w:ind w:firstLine="480" w:firstLineChars="200"/>
        <w:jc w:val="left"/>
        <w:rPr>
          <w:rFonts w:hint="eastAsia" w:ascii="宋体" w:hAnsi="宋体" w:eastAsia="宋体" w:cs="宋体"/>
          <w:color w:val="auto"/>
          <w:sz w:val="24"/>
          <w:lang w:eastAsia="zh-CN"/>
        </w:rPr>
      </w:pPr>
      <w:r>
        <w:rPr>
          <w:rFonts w:hint="eastAsia" w:ascii="宋体" w:hAnsi="宋体" w:eastAsia="宋体" w:cs="宋体"/>
          <w:color w:val="auto"/>
          <w:sz w:val="24"/>
          <w:lang w:eastAsia="zh-CN"/>
        </w:rPr>
        <w:t>4.2产品质量保证期：</w:t>
      </w:r>
      <w:r>
        <w:rPr>
          <w:rFonts w:hint="eastAsia" w:ascii="宋体" w:hAnsi="宋体" w:eastAsia="宋体" w:cs="宋体"/>
          <w:color w:val="auto"/>
          <w:sz w:val="24"/>
          <w:lang w:val="en-US" w:eastAsia="zh-CN"/>
        </w:rPr>
        <w:t>质保期3</w:t>
      </w:r>
      <w:r>
        <w:rPr>
          <w:rFonts w:hint="eastAsia" w:ascii="宋体" w:hAnsi="宋体" w:eastAsia="宋体" w:cs="宋体"/>
          <w:color w:val="auto"/>
          <w:sz w:val="24"/>
          <w:lang w:eastAsia="zh-CN"/>
        </w:rPr>
        <w:t>年</w:t>
      </w:r>
      <w:r>
        <w:rPr>
          <w:rFonts w:hint="eastAsia" w:ascii="宋体" w:hAnsi="宋体" w:eastAsia="宋体" w:cs="宋体"/>
          <w:color w:val="auto"/>
          <w:sz w:val="24"/>
          <w:lang w:val="en-US" w:eastAsia="zh-CN"/>
        </w:rPr>
        <w:t>。</w:t>
      </w:r>
      <w:r>
        <w:rPr>
          <w:rFonts w:hint="eastAsia" w:ascii="宋体" w:hAnsi="宋体" w:eastAsia="宋体" w:cs="宋体"/>
          <w:color w:val="auto"/>
          <w:sz w:val="24"/>
          <w:lang w:eastAsia="zh-CN"/>
        </w:rPr>
        <w:t>质保期从验收合格后开始计算。质保期内所有设备运行维护等要求免费上门服务，</w:t>
      </w:r>
      <w:r>
        <w:rPr>
          <w:rFonts w:hint="eastAsia" w:ascii="宋体" w:hAnsi="宋体" w:eastAsia="宋体" w:cs="宋体"/>
          <w:color w:val="auto"/>
          <w:sz w:val="24"/>
          <w:lang w:val="en-US" w:eastAsia="zh-CN"/>
        </w:rPr>
        <w:t>如出现故障</w:t>
      </w:r>
      <w:r>
        <w:rPr>
          <w:rFonts w:hint="eastAsia" w:ascii="宋体" w:hAnsi="宋体" w:eastAsia="宋体" w:cs="宋体"/>
          <w:color w:val="auto"/>
          <w:sz w:val="24"/>
          <w:lang w:eastAsia="zh-CN"/>
        </w:rPr>
        <w:t>未在投标报价表中单列其费用的，视为免费提供。成交供应商承诺的质保期限内，应对设备的质量负责，不能按照合同约定履行质保和售后服务的，采购人有权终止履行合同且一切损失均由成交供应商负责。</w:t>
      </w:r>
    </w:p>
    <w:p w14:paraId="5D246EB8">
      <w:pPr>
        <w:spacing w:line="360" w:lineRule="auto"/>
        <w:ind w:firstLine="482" w:firstLineChars="200"/>
        <w:jc w:val="left"/>
        <w:rPr>
          <w:rFonts w:hint="eastAsia" w:ascii="宋体" w:hAnsi="宋体" w:eastAsia="宋体" w:cs="宋体"/>
          <w:b/>
          <w:bCs/>
          <w:color w:val="auto"/>
          <w:sz w:val="24"/>
        </w:rPr>
      </w:pPr>
      <w:r>
        <w:rPr>
          <w:rFonts w:hint="eastAsia" w:ascii="宋体" w:hAnsi="宋体" w:eastAsia="宋体" w:cs="宋体"/>
          <w:b/>
          <w:bCs/>
          <w:color w:val="auto"/>
          <w:sz w:val="24"/>
        </w:rPr>
        <w:t>5、售后服务</w:t>
      </w:r>
    </w:p>
    <w:p w14:paraId="2C2AA977">
      <w:pPr>
        <w:spacing w:line="360" w:lineRule="auto"/>
        <w:ind w:firstLine="480" w:firstLineChars="200"/>
        <w:jc w:val="lef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5.1成交供应商应提交详细的售后服务方案及承诺，并明确列出每种故障的修复时效，要求如下（包含但不局限于）：</w:t>
      </w:r>
    </w:p>
    <w:p w14:paraId="324F9FD3">
      <w:pPr>
        <w:spacing w:line="360" w:lineRule="auto"/>
        <w:ind w:firstLine="480" w:firstLineChars="200"/>
        <w:jc w:val="lef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5.2响应时间：设备在保修期内出现质量问题，成交供应商接到通知2小时响应，48小时内到达现场完成维修或更换（特殊情况另行约定），并承担修理调换的费用；如货物经成交供应商3次维修仍不能达到本合同约定的质量标准，视作成交供应商未能按时交货，采购人有权退货并追究成交供应商的违约责任。货到现场后由于采购人保管不当造成的问题，成交供应商亦应负责修复，但费用由采购人负担。质保期后的设备维修：及时有效地提供维修服务，在接到报修通知2小时内响应，48小时内到达现场维修。</w:t>
      </w:r>
    </w:p>
    <w:p w14:paraId="0D710EE5">
      <w:pPr>
        <w:spacing w:line="360" w:lineRule="auto"/>
        <w:ind w:firstLine="480" w:firstLineChars="200"/>
        <w:jc w:val="lef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5.3在产品的设计使用寿命期内，应能保证采购人更换到原厂正宗的零部件，确保产品的正常使用。</w:t>
      </w:r>
    </w:p>
    <w:p w14:paraId="6EBF6A18">
      <w:pPr>
        <w:spacing w:line="360" w:lineRule="auto"/>
        <w:ind w:firstLine="480" w:firstLineChars="200"/>
        <w:jc w:val="lef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5.4保修期内因设备质量或安装调试原因引起的全部维修费用（包括更换零配件的费用）均由成交供应商承担，如因设备质量问题或技术缺陷问题，成交供应商应无条件提供“包修包换包退”服务。</w:t>
      </w:r>
    </w:p>
    <w:p w14:paraId="47A8EF72">
      <w:pPr>
        <w:spacing w:line="360" w:lineRule="auto"/>
        <w:ind w:firstLine="480" w:firstLineChars="200"/>
        <w:jc w:val="lef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5.5成交供应商应提供培训服务（含技术培训和技术支持），确保用户能了解、掌握、正常使用。</w:t>
      </w:r>
    </w:p>
    <w:p w14:paraId="21599F85">
      <w:pPr>
        <w:spacing w:line="360" w:lineRule="auto"/>
        <w:ind w:firstLine="480" w:firstLineChars="200"/>
        <w:jc w:val="lef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5.6所提供的货物开箱后，发现有任何问题（包括外观损伤），承诺必须以采购人能接受的方式加以解决。在质保期内，同一产品、同一质量问题连续两次维修仍无法正常使用的，须更换同品牌、同型号新设备，并对产品质量实行“包修包换包退”服务。</w:t>
      </w:r>
    </w:p>
    <w:p w14:paraId="477A9EBC">
      <w:pPr>
        <w:rPr>
          <w:rFonts w:hint="eastAsia" w:ascii="黑体" w:hAnsi="黑体" w:eastAsia="黑体" w:cs="Times New Roman"/>
          <w:b/>
          <w:bCs/>
          <w:color w:val="auto"/>
          <w:sz w:val="28"/>
          <w:szCs w:val="28"/>
          <w:lang w:eastAsia="zh-CN"/>
        </w:rPr>
      </w:pPr>
    </w:p>
    <w:p w14:paraId="71B8DA7F">
      <w:pPr>
        <w:pStyle w:val="7"/>
        <w:adjustRightInd w:val="0"/>
        <w:snapToGrid w:val="0"/>
        <w:spacing w:before="158" w:beforeLines="50"/>
        <w:jc w:val="center"/>
        <w:rPr>
          <w:rFonts w:hint="eastAsia" w:ascii="黑体" w:hAnsi="黑体" w:eastAsia="黑体" w:cs="Times New Roman"/>
          <w:b/>
          <w:bCs/>
          <w:color w:val="auto"/>
          <w:sz w:val="28"/>
          <w:szCs w:val="28"/>
          <w:lang w:eastAsia="zh-CN"/>
        </w:rPr>
      </w:pPr>
      <w:r>
        <w:rPr>
          <w:rFonts w:hint="eastAsia" w:ascii="黑体" w:hAnsi="黑体" w:eastAsia="黑体" w:cs="Times New Roman"/>
          <w:b/>
          <w:bCs/>
          <w:color w:val="auto"/>
          <w:sz w:val="28"/>
          <w:szCs w:val="28"/>
          <w:lang w:val="en-US" w:eastAsia="zh-CN"/>
        </w:rPr>
        <w:t xml:space="preserve">第三节 </w:t>
      </w:r>
      <w:r>
        <w:rPr>
          <w:rFonts w:hint="eastAsia" w:ascii="黑体" w:hAnsi="黑体" w:eastAsia="黑体" w:cs="Times New Roman"/>
          <w:b/>
          <w:bCs/>
          <w:color w:val="auto"/>
          <w:sz w:val="28"/>
          <w:szCs w:val="28"/>
          <w:lang w:eastAsia="zh-CN"/>
        </w:rPr>
        <w:t>商务要求</w:t>
      </w:r>
    </w:p>
    <w:p w14:paraId="4F86B7FE">
      <w:pPr>
        <w:pStyle w:val="13"/>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1、付款人及付款方式：</w:t>
      </w:r>
    </w:p>
    <w:p w14:paraId="3139B3BE">
      <w:pPr>
        <w:pStyle w:val="13"/>
        <w:spacing w:line="360" w:lineRule="auto"/>
        <w:ind w:firstLine="480" w:firstLineChars="200"/>
        <w:rPr>
          <w:rFonts w:hint="eastAsia" w:ascii="宋体" w:hAnsi="宋体" w:eastAsia="宋体" w:cs="宋体"/>
          <w:color w:val="auto"/>
          <w:sz w:val="24"/>
          <w:szCs w:val="24"/>
          <w:lang w:eastAsia="zh-CN"/>
        </w:rPr>
      </w:pPr>
      <w:r>
        <w:rPr>
          <w:rFonts w:hint="eastAsia" w:ascii="宋体" w:hAnsi="宋体" w:cs="宋体"/>
          <w:color w:val="auto"/>
          <w:sz w:val="24"/>
          <w:szCs w:val="24"/>
        </w:rPr>
        <w:t>1.1付款人：</w:t>
      </w:r>
      <w:r>
        <w:rPr>
          <w:rFonts w:hint="eastAsia" w:ascii="宋体" w:hAnsi="宋体" w:cs="宋体"/>
          <w:color w:val="auto"/>
          <w:sz w:val="24"/>
          <w:szCs w:val="24"/>
          <w:lang w:eastAsia="zh-CN"/>
        </w:rPr>
        <w:t>桃江县职业中专学校</w:t>
      </w:r>
    </w:p>
    <w:p w14:paraId="1279E025">
      <w:pPr>
        <w:pStyle w:val="13"/>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1.2付款方式：按合同约定。</w:t>
      </w:r>
    </w:p>
    <w:p w14:paraId="35C0933A">
      <w:pPr>
        <w:pStyle w:val="13"/>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2、交货时间及地点：</w:t>
      </w:r>
    </w:p>
    <w:p w14:paraId="3CF86231">
      <w:pPr>
        <w:pStyle w:val="13"/>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2.1交货时间：</w:t>
      </w:r>
      <w:r>
        <w:rPr>
          <w:rFonts w:hint="eastAsia" w:ascii="宋体" w:hAnsi="宋体" w:cs="宋体"/>
          <w:color w:val="auto"/>
          <w:sz w:val="24"/>
          <w:szCs w:val="24"/>
          <w:lang w:eastAsia="zh-CN"/>
        </w:rPr>
        <w:t>成交</w:t>
      </w:r>
      <w:r>
        <w:rPr>
          <w:rFonts w:hint="eastAsia" w:ascii="宋体" w:hAnsi="宋体" w:cs="宋体"/>
          <w:color w:val="auto"/>
          <w:sz w:val="24"/>
          <w:szCs w:val="24"/>
        </w:rPr>
        <w:t>通知书发出后</w:t>
      </w:r>
      <w:r>
        <w:rPr>
          <w:rFonts w:hint="eastAsia" w:ascii="宋体" w:hAnsi="宋体" w:cs="宋体"/>
          <w:color w:val="auto"/>
          <w:sz w:val="24"/>
          <w:szCs w:val="24"/>
          <w:lang w:val="en-US" w:eastAsia="zh-CN"/>
        </w:rPr>
        <w:t>30日历天</w:t>
      </w:r>
      <w:r>
        <w:rPr>
          <w:rFonts w:hint="eastAsia" w:ascii="宋体" w:hAnsi="宋体" w:cs="宋体"/>
          <w:color w:val="auto"/>
          <w:sz w:val="24"/>
          <w:szCs w:val="24"/>
        </w:rPr>
        <w:t>之内交货并安装完毕。</w:t>
      </w:r>
    </w:p>
    <w:p w14:paraId="53459CDB">
      <w:pPr>
        <w:pStyle w:val="13"/>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2.2交货地点：采购人指定相关地点。</w:t>
      </w:r>
    </w:p>
    <w:p w14:paraId="2A2A680C">
      <w:pPr>
        <w:pStyle w:val="13"/>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2.3交货方式：成交人免费运送至采购人指定地点安装调试完毕，并验收合格。</w:t>
      </w:r>
    </w:p>
    <w:p w14:paraId="27491B29">
      <w:pPr>
        <w:pStyle w:val="13"/>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3、本项目采用费用包干方式支付，供应商应根据项目要求和现场情况，详细列明项目所需的设备及材料购置</w:t>
      </w:r>
      <w:r>
        <w:rPr>
          <w:rFonts w:hint="eastAsia" w:ascii="宋体" w:hAnsi="宋体" w:cs="宋体"/>
          <w:color w:val="auto"/>
          <w:sz w:val="24"/>
          <w:szCs w:val="24"/>
          <w:lang w:eastAsia="zh-CN"/>
        </w:rPr>
        <w:t>、</w:t>
      </w:r>
      <w:r>
        <w:rPr>
          <w:rFonts w:hint="eastAsia" w:ascii="宋体" w:hAnsi="宋体" w:cs="宋体"/>
          <w:color w:val="auto"/>
          <w:sz w:val="24"/>
          <w:szCs w:val="24"/>
        </w:rPr>
        <w:t>货物运输保险保管、通过验收、质保期免费调换、售后等所有人工、管理、财务等所有费用，如一旦成交，在项目实施中出现任何遗漏，均由成交人免费提供，采购人不再支付任何费用。</w:t>
      </w:r>
    </w:p>
    <w:p w14:paraId="1AA7D247">
      <w:pPr>
        <w:pStyle w:val="13"/>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4、</w:t>
      </w:r>
      <w:r>
        <w:rPr>
          <w:rFonts w:hint="eastAsia" w:ascii="宋体" w:hAnsi="宋体" w:cs="宋体"/>
          <w:color w:val="auto"/>
          <w:sz w:val="24"/>
          <w:szCs w:val="24"/>
          <w:lang w:eastAsia="zh-CN"/>
        </w:rPr>
        <w:t>投标人</w:t>
      </w:r>
      <w:r>
        <w:rPr>
          <w:rFonts w:hint="eastAsia" w:ascii="宋体" w:hAnsi="宋体" w:cs="宋体"/>
          <w:color w:val="auto"/>
          <w:sz w:val="24"/>
          <w:szCs w:val="24"/>
        </w:rPr>
        <w:t>在投标前，如需踏勘现场，有关费用自理，踏勘期间发生的意外自负，采购人不另行组织。</w:t>
      </w:r>
    </w:p>
    <w:p w14:paraId="278138D8">
      <w:pPr>
        <w:pStyle w:val="13"/>
        <w:spacing w:line="360" w:lineRule="auto"/>
        <w:ind w:firstLine="480" w:firstLineChars="200"/>
        <w:rPr>
          <w:rFonts w:hint="eastAsia" w:ascii="宋体" w:hAnsi="宋体" w:cs="宋体"/>
          <w:b/>
          <w:bCs/>
          <w:color w:val="auto"/>
          <w:sz w:val="24"/>
          <w:szCs w:val="24"/>
        </w:rPr>
      </w:pPr>
      <w:r>
        <w:rPr>
          <w:rFonts w:hint="eastAsia" w:ascii="宋体" w:hAnsi="宋体" w:cs="宋体"/>
          <w:color w:val="auto"/>
          <w:sz w:val="24"/>
          <w:szCs w:val="24"/>
        </w:rPr>
        <w:t>5、其他未尽事宜，由采购人与</w:t>
      </w:r>
      <w:r>
        <w:rPr>
          <w:rFonts w:hint="eastAsia" w:ascii="宋体" w:hAnsi="宋体" w:cs="宋体"/>
          <w:color w:val="auto"/>
          <w:sz w:val="24"/>
          <w:lang w:eastAsia="zh-CN"/>
        </w:rPr>
        <w:t>成交供应商</w:t>
      </w:r>
      <w:r>
        <w:rPr>
          <w:rFonts w:hint="eastAsia" w:ascii="宋体" w:hAnsi="宋体" w:cs="宋体"/>
          <w:color w:val="auto"/>
          <w:sz w:val="24"/>
          <w:szCs w:val="24"/>
        </w:rPr>
        <w:t>双方协商在合同中约定。</w:t>
      </w:r>
    </w:p>
    <w:p w14:paraId="0F2EDA94">
      <w:pPr>
        <w:pStyle w:val="13"/>
        <w:spacing w:line="360" w:lineRule="auto"/>
        <w:ind w:firstLine="480" w:firstLineChars="200"/>
        <w:rPr>
          <w:rFonts w:hint="eastAsia" w:ascii="宋体" w:hAnsi="宋体" w:cs="宋体"/>
          <w:b/>
          <w:bCs/>
          <w:color w:val="auto"/>
          <w:kern w:val="0"/>
          <w:sz w:val="24"/>
          <w:lang w:bidi="ar"/>
        </w:rPr>
      </w:pPr>
      <w:r>
        <w:rPr>
          <w:rFonts w:hint="eastAsia" w:ascii="宋体" w:hAnsi="宋体" w:cs="宋体"/>
          <w:color w:val="auto"/>
          <w:sz w:val="24"/>
          <w:szCs w:val="24"/>
        </w:rPr>
        <w:t>6、</w:t>
      </w:r>
      <w:r>
        <w:rPr>
          <w:rFonts w:hint="eastAsia" w:ascii="宋体" w:hAnsi="宋体" w:cs="宋体"/>
          <w:color w:val="auto"/>
          <w:sz w:val="24"/>
          <w:lang w:eastAsia="zh-CN"/>
        </w:rPr>
        <w:t>成交供应商</w:t>
      </w:r>
      <w:r>
        <w:rPr>
          <w:rFonts w:hint="eastAsia" w:ascii="宋体" w:hAnsi="宋体" w:cs="宋体"/>
          <w:color w:val="auto"/>
          <w:sz w:val="24"/>
          <w:szCs w:val="24"/>
        </w:rPr>
        <w:t>在签订合同时，若坚持提出附加条件和不合理要求，中标资格将被取消，</w:t>
      </w:r>
      <w:r>
        <w:rPr>
          <w:rFonts w:hint="eastAsia" w:ascii="宋体" w:hAnsi="宋体" w:cs="宋体"/>
          <w:color w:val="auto"/>
          <w:sz w:val="24"/>
          <w:lang w:eastAsia="zh-CN"/>
        </w:rPr>
        <w:t>成交供应商</w:t>
      </w:r>
      <w:r>
        <w:rPr>
          <w:rFonts w:hint="eastAsia" w:ascii="宋体" w:hAnsi="宋体" w:cs="宋体"/>
          <w:color w:val="auto"/>
          <w:sz w:val="24"/>
          <w:szCs w:val="24"/>
        </w:rPr>
        <w:t>对由此产生的一切后果负责。</w:t>
      </w:r>
    </w:p>
    <w:p w14:paraId="34A1CD37">
      <w:pPr>
        <w:widowControl/>
        <w:jc w:val="left"/>
        <w:rPr>
          <w:rFonts w:hint="eastAsia" w:ascii="宋体" w:hAnsi="宋体" w:cs="宋体"/>
          <w:b/>
          <w:bCs/>
          <w:color w:val="auto"/>
          <w:kern w:val="0"/>
          <w:sz w:val="24"/>
          <w:lang w:bidi="ar"/>
        </w:rPr>
      </w:pPr>
      <w:r>
        <w:rPr>
          <w:rFonts w:hint="eastAsia" w:ascii="宋体" w:hAnsi="宋体" w:cs="宋体"/>
          <w:b/>
          <w:bCs/>
          <w:color w:val="auto"/>
          <w:kern w:val="0"/>
          <w:sz w:val="24"/>
          <w:lang w:bidi="ar"/>
        </w:rPr>
        <w:t>备注：1、各投标单位需要在益阳市公共资源交易监管（http://jyzx.yiyang.gov.cn/）注册，并按要求完善相关资料，否则无法获取保证金账户。</w:t>
      </w:r>
    </w:p>
    <w:p w14:paraId="015E8ADE">
      <w:pPr>
        <w:widowControl/>
        <w:ind w:firstLine="482" w:firstLineChars="200"/>
        <w:jc w:val="left"/>
        <w:rPr>
          <w:rFonts w:hint="eastAsia" w:ascii="宋体" w:hAnsi="宋体" w:cs="宋体"/>
          <w:b/>
          <w:bCs/>
          <w:color w:val="auto"/>
          <w:kern w:val="0"/>
          <w:sz w:val="24"/>
          <w:lang w:bidi="ar"/>
        </w:rPr>
      </w:pPr>
      <w:r>
        <w:rPr>
          <w:rFonts w:hint="eastAsia" w:ascii="宋体" w:hAnsi="宋体" w:cs="宋体"/>
          <w:b/>
          <w:bCs/>
          <w:color w:val="auto"/>
          <w:kern w:val="0"/>
          <w:sz w:val="24"/>
          <w:lang w:bidi="ar"/>
        </w:rPr>
        <w:t>2、各投标单位需要在湖南省政府采购网（http://www.ccgp-hunan.gov.cn）进行注册，否则无法进行中标</w:t>
      </w:r>
      <w:r>
        <w:rPr>
          <w:rFonts w:hint="eastAsia" w:ascii="宋体" w:hAnsi="宋体" w:cs="宋体"/>
          <w:b/>
          <w:bCs/>
          <w:color w:val="auto"/>
          <w:kern w:val="0"/>
          <w:sz w:val="24"/>
          <w:lang w:eastAsia="zh-CN" w:bidi="ar"/>
        </w:rPr>
        <w:t>候选人</w:t>
      </w:r>
      <w:r>
        <w:rPr>
          <w:rFonts w:hint="eastAsia" w:ascii="宋体" w:hAnsi="宋体" w:cs="宋体"/>
          <w:b/>
          <w:bCs/>
          <w:color w:val="auto"/>
          <w:kern w:val="0"/>
          <w:sz w:val="24"/>
          <w:lang w:bidi="ar"/>
        </w:rPr>
        <w:t>公示。</w:t>
      </w:r>
    </w:p>
    <w:p w14:paraId="49B5721A">
      <w:pPr>
        <w:widowControl/>
        <w:ind w:firstLine="482" w:firstLineChars="200"/>
        <w:jc w:val="left"/>
        <w:rPr>
          <w:rFonts w:hint="eastAsia" w:ascii="宋体" w:hAnsi="宋体" w:cs="宋体"/>
          <w:b/>
          <w:bCs/>
          <w:color w:val="auto"/>
          <w:kern w:val="0"/>
          <w:sz w:val="24"/>
          <w:lang w:bidi="ar"/>
        </w:rPr>
      </w:pPr>
      <w:r>
        <w:rPr>
          <w:rFonts w:hint="eastAsia" w:ascii="宋体" w:hAnsi="宋体" w:cs="宋体"/>
          <w:b/>
          <w:bCs/>
          <w:color w:val="auto"/>
          <w:kern w:val="0"/>
          <w:sz w:val="24"/>
          <w:lang w:bidi="ar"/>
        </w:rPr>
        <w:t>3、已注册成功的除外，因未注册导致的无法正常投标后果投标人自行负责。</w:t>
      </w:r>
    </w:p>
    <w:p w14:paraId="429AA64F">
      <w:r>
        <w:rPr>
          <w:rFonts w:hint="eastAsia" w:ascii="宋体" w:hAnsi="宋体" w:cs="宋体"/>
          <w:b/>
          <w:bCs/>
          <w:color w:val="auto"/>
          <w:kern w:val="0"/>
          <w:sz w:val="24"/>
          <w:lang w:bidi="ar"/>
        </w:rPr>
        <w:t>4、对于上述项目要求，投标人应在投标文件中进行回应，作出承诺及说明。</w:t>
      </w:r>
      <w:bookmarkStart w:id="3" w:name="_GoBack"/>
      <w:bookmarkEnd w:id="3"/>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7BE1880"/>
    <w:rsid w:val="3E6E4847"/>
    <w:rsid w:val="45594AC4"/>
    <w:rsid w:val="4EAE3C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imes New Roman"/>
      <w:kern w:val="2"/>
      <w:sz w:val="21"/>
      <w:szCs w:val="24"/>
      <w:lang w:val="en-US" w:eastAsia="zh-CN" w:bidi="ar-SA"/>
    </w:rPr>
  </w:style>
  <w:style w:type="paragraph" w:styleId="6">
    <w:name w:val="heading 1"/>
    <w:basedOn w:val="1"/>
    <w:next w:val="1"/>
    <w:qFormat/>
    <w:uiPriority w:val="0"/>
    <w:pPr>
      <w:keepNext/>
      <w:keepLines/>
      <w:spacing w:before="100" w:after="100" w:line="360" w:lineRule="auto"/>
      <w:outlineLvl w:val="0"/>
    </w:pPr>
    <w:rPr>
      <w:rFonts w:ascii="Times New Roman" w:hAnsi="Times New Roman" w:eastAsia="宋体" w:cs="Times New Roman"/>
      <w:b/>
      <w:bCs/>
      <w:kern w:val="44"/>
      <w:sz w:val="44"/>
      <w:szCs w:val="44"/>
    </w:rPr>
  </w:style>
  <w:style w:type="paragraph" w:styleId="7">
    <w:name w:val="heading 2"/>
    <w:basedOn w:val="1"/>
    <w:next w:val="1"/>
    <w:link w:val="12"/>
    <w:semiHidden/>
    <w:unhideWhenUsed/>
    <w:qFormat/>
    <w:uiPriority w:val="0"/>
    <w:pPr>
      <w:keepNext/>
      <w:keepLines/>
      <w:spacing w:before="260" w:after="260" w:line="416" w:lineRule="auto"/>
      <w:jc w:val="center"/>
      <w:outlineLvl w:val="1"/>
    </w:pPr>
    <w:rPr>
      <w:rFonts w:ascii="宋体" w:hAnsi="宋体" w:eastAsia="宋体" w:cs="Times New Roman"/>
      <w:b/>
      <w:bCs/>
      <w:sz w:val="30"/>
      <w:szCs w:val="24"/>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unhideWhenUsed/>
    <w:qFormat/>
    <w:uiPriority w:val="0"/>
    <w:pPr>
      <w:ind w:firstLine="420" w:firstLineChars="200"/>
    </w:pPr>
    <w:rPr>
      <w:kern w:val="0"/>
      <w:sz w:val="20"/>
    </w:rPr>
  </w:style>
  <w:style w:type="paragraph" w:styleId="3">
    <w:name w:val="Body Text Indent"/>
    <w:basedOn w:val="1"/>
    <w:next w:val="4"/>
    <w:qFormat/>
    <w:uiPriority w:val="0"/>
    <w:pPr>
      <w:spacing w:after="120"/>
      <w:ind w:left="420" w:leftChars="200"/>
    </w:pPr>
    <w:rPr>
      <w:kern w:val="0"/>
    </w:rPr>
  </w:style>
  <w:style w:type="paragraph" w:styleId="4">
    <w:name w:val="Body Text Indent 2"/>
    <w:basedOn w:val="1"/>
    <w:next w:val="5"/>
    <w:qFormat/>
    <w:uiPriority w:val="0"/>
    <w:pPr>
      <w:spacing w:after="120" w:line="480" w:lineRule="auto"/>
      <w:ind w:left="420" w:leftChars="200"/>
    </w:pPr>
    <w:rPr>
      <w:kern w:val="0"/>
    </w:rPr>
  </w:style>
  <w:style w:type="paragraph" w:customStyle="1" w:styleId="5">
    <w:name w:val="目录 91"/>
    <w:basedOn w:val="1"/>
    <w:next w:val="1"/>
    <w:qFormat/>
    <w:uiPriority w:val="0"/>
    <w:pPr>
      <w:widowControl w:val="0"/>
      <w:ind w:left="3360"/>
    </w:pPr>
    <w:rPr>
      <w:rFonts w:ascii="Calibri"/>
    </w:rPr>
  </w:style>
  <w:style w:type="paragraph" w:styleId="8">
    <w:name w:val="Normal Indent"/>
    <w:basedOn w:val="1"/>
    <w:qFormat/>
    <w:uiPriority w:val="0"/>
    <w:pPr>
      <w:ind w:firstLine="420" w:firstLineChars="200"/>
    </w:pPr>
  </w:style>
  <w:style w:type="paragraph" w:styleId="9">
    <w:name w:val="Plain Text"/>
    <w:basedOn w:val="1"/>
    <w:qFormat/>
    <w:uiPriority w:val="0"/>
    <w:rPr>
      <w:rFonts w:ascii="宋体" w:hAnsi="Courier New"/>
      <w:kern w:val="0"/>
      <w:szCs w:val="21"/>
    </w:rPr>
  </w:style>
  <w:style w:type="character" w:customStyle="1" w:styleId="12">
    <w:name w:val="标题 2 Char"/>
    <w:link w:val="7"/>
    <w:qFormat/>
    <w:uiPriority w:val="0"/>
    <w:rPr>
      <w:rFonts w:ascii="宋体" w:hAnsi="宋体" w:eastAsia="宋体" w:cs="Times New Roman"/>
      <w:b/>
      <w:bCs/>
      <w:sz w:val="30"/>
      <w:szCs w:val="24"/>
    </w:rPr>
  </w:style>
  <w:style w:type="paragraph" w:customStyle="1" w:styleId="13">
    <w:name w:val="正文_42"/>
    <w:next w:val="14"/>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
    <w:name w:val="列出段落1_42"/>
    <w:basedOn w:val="13"/>
    <w:qFormat/>
    <w:uiPriority w:val="99"/>
    <w:pPr>
      <w:ind w:firstLine="420" w:firstLineChars="200"/>
    </w:pPr>
    <w:rPr>
      <w:rFonts w:ascii="Courier New" w:hAnsi="Courier New" w:cs="Courier New"/>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0</Words>
  <Characters>0</Characters>
  <Lines>0</Lines>
  <Paragraphs>0</Paragraphs>
  <TotalTime>0</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2022-05-25T02:06:00Z</dcterms:created>
  <dc:creator>Administrator</dc:creator>
  <cp:lastModifiedBy>兆柯</cp:lastModifiedBy>
  <dcterms:modified xsi:type="dcterms:W3CDTF">2024-11-20T02:28:41Z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F35B7B1A9CA8450891331727709C4FC4</vt:lpwstr>
  </property>
</Properties>
</file>