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66F23E">
      <w:pPr>
        <w:pStyle w:val="5"/>
        <w:ind w:firstLine="480"/>
        <w:jc w:val="center"/>
        <w:rPr>
          <w:rFonts w:hint="eastAsia"/>
          <w:b/>
          <w:sz w:val="36"/>
          <w:lang w:val="en-US" w:eastAsia="zh-CN"/>
        </w:rPr>
      </w:pPr>
      <w:bookmarkStart w:id="0" w:name="_GoBack"/>
      <w:bookmarkEnd w:id="0"/>
      <w:r>
        <w:rPr>
          <w:rFonts w:hint="eastAsia"/>
          <w:b/>
          <w:sz w:val="36"/>
          <w:lang w:val="en-US" w:eastAsia="zh-CN"/>
        </w:rPr>
        <w:t>采购需求</w:t>
      </w:r>
    </w:p>
    <w:p w14:paraId="12714EDD">
      <w:pPr>
        <w:pStyle w:val="5"/>
        <w:ind w:firstLine="480"/>
        <w:jc w:val="left"/>
      </w:pPr>
      <w:r>
        <w:t>（注：本章的技术、服务及其他要求中，带“★”的要求为实质性要求。采购人、代理机构应当根据项目实际要求合理设定，并在第五章符合性审查中明确响应要求。）</w:t>
      </w:r>
    </w:p>
    <w:p w14:paraId="71590137">
      <w:pPr>
        <w:pStyle w:val="5"/>
        <w:jc w:val="left"/>
        <w:outlineLvl w:val="2"/>
      </w:pPr>
      <w:r>
        <w:rPr>
          <w:b/>
          <w:sz w:val="28"/>
        </w:rPr>
        <w:t>3.1.采购项目概况</w:t>
      </w:r>
    </w:p>
    <w:p w14:paraId="6D89105F">
      <w:pPr>
        <w:pStyle w:val="5"/>
        <w:ind w:firstLine="480"/>
        <w:jc w:val="left"/>
      </w:pPr>
      <w:r>
        <w:t>安岳县人民医院医疗废物及污泥处理服务，一项。服务内容包含“五类”医疗废物的转运处置、化粪池及污泥清掏处置等，医疗废物每两天转运处置1次；化粪池及污泥每年清掏一次。 “五类”医疗废物的转运处置服务采购预算为86万元/年，化粪池及污泥清掏处置服务采购预算为42.5万元。</w:t>
      </w:r>
    </w:p>
    <w:p w14:paraId="0A1115CB">
      <w:pPr>
        <w:pStyle w:val="5"/>
        <w:jc w:val="left"/>
        <w:outlineLvl w:val="2"/>
      </w:pPr>
      <w:r>
        <w:rPr>
          <w:b/>
          <w:sz w:val="28"/>
        </w:rPr>
        <w:t>3.2.采购内容</w:t>
      </w:r>
    </w:p>
    <w:p w14:paraId="327B9729">
      <w:pPr>
        <w:pStyle w:val="5"/>
        <w:jc w:val="left"/>
      </w:pPr>
      <w:r>
        <w:t>采购包1：</w:t>
      </w:r>
    </w:p>
    <w:p w14:paraId="5B6CBF71">
      <w:pPr>
        <w:pStyle w:val="5"/>
        <w:jc w:val="left"/>
      </w:pPr>
      <w:r>
        <w:t>采购包预算金额（元）: 1,285,000.00</w:t>
      </w:r>
    </w:p>
    <w:p w14:paraId="2CD00756">
      <w:pPr>
        <w:pStyle w:val="5"/>
        <w:jc w:val="left"/>
      </w:pPr>
      <w:r>
        <w:t>采购包最高限价（元）: 1,285,000.00</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56"/>
        <w:gridCol w:w="821"/>
        <w:gridCol w:w="821"/>
        <w:gridCol w:w="821"/>
        <w:gridCol w:w="1279"/>
        <w:gridCol w:w="821"/>
        <w:gridCol w:w="821"/>
        <w:gridCol w:w="821"/>
        <w:gridCol w:w="821"/>
        <w:gridCol w:w="639"/>
        <w:gridCol w:w="639"/>
      </w:tblGrid>
      <w:tr w14:paraId="35FCA9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E0D333D">
            <w:pPr>
              <w:pStyle w:val="5"/>
              <w:jc w:val="center"/>
            </w:pPr>
            <w:r>
              <w:t>序号</w:t>
            </w:r>
          </w:p>
        </w:tc>
        <w:tc>
          <w:tcPr>
            <w:tcW w:w="821" w:type="dxa"/>
          </w:tcPr>
          <w:p w14:paraId="5B61338D">
            <w:pPr>
              <w:pStyle w:val="5"/>
              <w:jc w:val="center"/>
            </w:pPr>
            <w:r>
              <w:t>采购品目名称</w:t>
            </w:r>
          </w:p>
        </w:tc>
        <w:tc>
          <w:tcPr>
            <w:tcW w:w="821" w:type="dxa"/>
          </w:tcPr>
          <w:p w14:paraId="41AEF300">
            <w:pPr>
              <w:pStyle w:val="5"/>
              <w:jc w:val="center"/>
            </w:pPr>
            <w:r>
              <w:t>标的名称</w:t>
            </w:r>
          </w:p>
        </w:tc>
        <w:tc>
          <w:tcPr>
            <w:tcW w:w="821" w:type="dxa"/>
          </w:tcPr>
          <w:p w14:paraId="18A8F786">
            <w:pPr>
              <w:pStyle w:val="5"/>
              <w:jc w:val="center"/>
            </w:pPr>
            <w:r>
              <w:t>数量</w:t>
            </w:r>
            <w:r>
              <w:br w:type="textWrapping"/>
            </w:r>
            <w:r>
              <w:t>(计量单位)</w:t>
            </w:r>
          </w:p>
        </w:tc>
        <w:tc>
          <w:tcPr>
            <w:tcW w:w="821" w:type="dxa"/>
          </w:tcPr>
          <w:p w14:paraId="12280C78">
            <w:pPr>
              <w:pStyle w:val="5"/>
              <w:jc w:val="center"/>
            </w:pPr>
            <w:r>
              <w:t>标的金额 （元）</w:t>
            </w:r>
          </w:p>
        </w:tc>
        <w:tc>
          <w:tcPr>
            <w:tcW w:w="821" w:type="dxa"/>
          </w:tcPr>
          <w:p w14:paraId="7BA9ECD6">
            <w:pPr>
              <w:pStyle w:val="5"/>
              <w:jc w:val="center"/>
            </w:pPr>
            <w:r>
              <w:t>所属行业</w:t>
            </w:r>
          </w:p>
        </w:tc>
        <w:tc>
          <w:tcPr>
            <w:tcW w:w="821" w:type="dxa"/>
          </w:tcPr>
          <w:p w14:paraId="73AFC825">
            <w:pPr>
              <w:pStyle w:val="5"/>
              <w:jc w:val="center"/>
            </w:pPr>
            <w:r>
              <w:t>是否涉及核心产品</w:t>
            </w:r>
          </w:p>
        </w:tc>
        <w:tc>
          <w:tcPr>
            <w:tcW w:w="821" w:type="dxa"/>
          </w:tcPr>
          <w:p w14:paraId="5AFD3115">
            <w:pPr>
              <w:pStyle w:val="5"/>
              <w:jc w:val="center"/>
            </w:pPr>
            <w:r>
              <w:t>是否涉及采购进口产品</w:t>
            </w:r>
          </w:p>
        </w:tc>
        <w:tc>
          <w:tcPr>
            <w:tcW w:w="821" w:type="dxa"/>
          </w:tcPr>
          <w:p w14:paraId="27D884EC">
            <w:pPr>
              <w:pStyle w:val="5"/>
              <w:jc w:val="center"/>
            </w:pPr>
            <w:r>
              <w:t>是否涉及强制采购节能产品</w:t>
            </w:r>
          </w:p>
        </w:tc>
        <w:tc>
          <w:tcPr>
            <w:tcW w:w="639" w:type="dxa"/>
          </w:tcPr>
          <w:p w14:paraId="20EB5A74">
            <w:pPr>
              <w:pStyle w:val="5"/>
              <w:jc w:val="center"/>
            </w:pPr>
            <w:r>
              <w:t>是否涉及优先采购节能产品</w:t>
            </w:r>
          </w:p>
        </w:tc>
        <w:tc>
          <w:tcPr>
            <w:tcW w:w="639" w:type="dxa"/>
          </w:tcPr>
          <w:p w14:paraId="011EA0C5">
            <w:pPr>
              <w:pStyle w:val="5"/>
              <w:jc w:val="center"/>
            </w:pPr>
            <w:r>
              <w:t>是否涉及优先采购环境标志产品</w:t>
            </w:r>
          </w:p>
        </w:tc>
      </w:tr>
      <w:tr w14:paraId="44735F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2B0427B">
            <w:pPr>
              <w:pStyle w:val="5"/>
              <w:jc w:val="left"/>
            </w:pPr>
            <w:r>
              <w:t>1</w:t>
            </w:r>
          </w:p>
        </w:tc>
        <w:tc>
          <w:tcPr>
            <w:tcW w:w="821" w:type="dxa"/>
          </w:tcPr>
          <w:p w14:paraId="68F81C80">
            <w:pPr>
              <w:pStyle w:val="5"/>
              <w:jc w:val="left"/>
            </w:pPr>
            <w:r>
              <w:t>其他服务</w:t>
            </w:r>
          </w:p>
        </w:tc>
        <w:tc>
          <w:tcPr>
            <w:tcW w:w="821" w:type="dxa"/>
          </w:tcPr>
          <w:p w14:paraId="5B6469DE">
            <w:pPr>
              <w:pStyle w:val="5"/>
              <w:jc w:val="left"/>
            </w:pPr>
            <w:r>
              <w:t>医疗废物及污泥处理服务</w:t>
            </w:r>
          </w:p>
        </w:tc>
        <w:tc>
          <w:tcPr>
            <w:tcW w:w="821" w:type="dxa"/>
          </w:tcPr>
          <w:p w14:paraId="244F063B">
            <w:pPr>
              <w:pStyle w:val="5"/>
              <w:jc w:val="right"/>
            </w:pPr>
            <w:r>
              <w:t>1.00（项）</w:t>
            </w:r>
          </w:p>
        </w:tc>
        <w:tc>
          <w:tcPr>
            <w:tcW w:w="821" w:type="dxa"/>
          </w:tcPr>
          <w:p w14:paraId="674EF9E9">
            <w:pPr>
              <w:pStyle w:val="5"/>
              <w:jc w:val="right"/>
            </w:pPr>
            <w:r>
              <w:t>1,285,000.00</w:t>
            </w:r>
          </w:p>
        </w:tc>
        <w:tc>
          <w:tcPr>
            <w:tcW w:w="821" w:type="dxa"/>
          </w:tcPr>
          <w:p w14:paraId="0ABD7822">
            <w:pPr>
              <w:pStyle w:val="5"/>
              <w:jc w:val="left"/>
            </w:pPr>
            <w:r>
              <w:t>其他未列明行业</w:t>
            </w:r>
          </w:p>
        </w:tc>
        <w:tc>
          <w:tcPr>
            <w:tcW w:w="821" w:type="dxa"/>
          </w:tcPr>
          <w:p w14:paraId="6E102C1E">
            <w:pPr>
              <w:pStyle w:val="5"/>
              <w:jc w:val="left"/>
            </w:pPr>
            <w:r>
              <w:t>否</w:t>
            </w:r>
          </w:p>
        </w:tc>
        <w:tc>
          <w:tcPr>
            <w:tcW w:w="821" w:type="dxa"/>
          </w:tcPr>
          <w:p w14:paraId="528780DA">
            <w:pPr>
              <w:pStyle w:val="5"/>
              <w:jc w:val="left"/>
            </w:pPr>
            <w:r>
              <w:t>否</w:t>
            </w:r>
          </w:p>
        </w:tc>
        <w:tc>
          <w:tcPr>
            <w:tcW w:w="821" w:type="dxa"/>
          </w:tcPr>
          <w:p w14:paraId="2F902FB2">
            <w:pPr>
              <w:pStyle w:val="5"/>
              <w:jc w:val="left"/>
            </w:pPr>
            <w:r>
              <w:t>否</w:t>
            </w:r>
          </w:p>
        </w:tc>
        <w:tc>
          <w:tcPr>
            <w:tcW w:w="639" w:type="dxa"/>
          </w:tcPr>
          <w:p w14:paraId="3053ED9B">
            <w:pPr>
              <w:pStyle w:val="5"/>
              <w:jc w:val="left"/>
            </w:pPr>
            <w:r>
              <w:t>否</w:t>
            </w:r>
          </w:p>
        </w:tc>
        <w:tc>
          <w:tcPr>
            <w:tcW w:w="639" w:type="dxa"/>
          </w:tcPr>
          <w:p w14:paraId="26D75029">
            <w:pPr>
              <w:pStyle w:val="5"/>
              <w:jc w:val="left"/>
            </w:pPr>
            <w:r>
              <w:t>否</w:t>
            </w:r>
          </w:p>
        </w:tc>
      </w:tr>
    </w:tbl>
    <w:p w14:paraId="299BD7DF">
      <w:pPr>
        <w:pStyle w:val="5"/>
        <w:ind w:firstLine="480"/>
        <w:jc w:val="left"/>
        <w:outlineLvl w:val="3"/>
      </w:pPr>
      <w:r>
        <w:rPr>
          <w:b/>
          <w:sz w:val="24"/>
        </w:rPr>
        <w:t>报价要求</w:t>
      </w:r>
    </w:p>
    <w:p w14:paraId="0C97C41C">
      <w:pPr>
        <w:pStyle w:val="5"/>
        <w:jc w:val="left"/>
      </w:pPr>
      <w:r>
        <w:t>采购包1：</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79"/>
        <w:gridCol w:w="1466"/>
        <w:gridCol w:w="977"/>
        <w:gridCol w:w="1279"/>
        <w:gridCol w:w="1279"/>
        <w:gridCol w:w="977"/>
        <w:gridCol w:w="1661"/>
      </w:tblGrid>
      <w:tr w14:paraId="0BC27DF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79" w:type="dxa"/>
          </w:tcPr>
          <w:p w14:paraId="11F88D0B">
            <w:pPr>
              <w:pStyle w:val="5"/>
              <w:jc w:val="center"/>
            </w:pPr>
            <w:r>
              <w:t>序号</w:t>
            </w:r>
          </w:p>
        </w:tc>
        <w:tc>
          <w:tcPr>
            <w:tcW w:w="1466" w:type="dxa"/>
          </w:tcPr>
          <w:p w14:paraId="38DB9083">
            <w:pPr>
              <w:pStyle w:val="5"/>
              <w:jc w:val="center"/>
            </w:pPr>
            <w:r>
              <w:t>报价内容</w:t>
            </w:r>
          </w:p>
        </w:tc>
        <w:tc>
          <w:tcPr>
            <w:tcW w:w="977" w:type="dxa"/>
          </w:tcPr>
          <w:p w14:paraId="27EA1797">
            <w:pPr>
              <w:pStyle w:val="5"/>
              <w:jc w:val="center"/>
            </w:pPr>
            <w:r>
              <w:t>数量</w:t>
            </w:r>
          </w:p>
        </w:tc>
        <w:tc>
          <w:tcPr>
            <w:tcW w:w="1173" w:type="dxa"/>
          </w:tcPr>
          <w:p w14:paraId="38724D82">
            <w:pPr>
              <w:pStyle w:val="5"/>
              <w:jc w:val="center"/>
            </w:pPr>
            <w:r>
              <w:t>单价</w:t>
            </w:r>
          </w:p>
        </w:tc>
        <w:tc>
          <w:tcPr>
            <w:tcW w:w="1173" w:type="dxa"/>
          </w:tcPr>
          <w:p w14:paraId="3A4029AC">
            <w:pPr>
              <w:pStyle w:val="5"/>
              <w:jc w:val="center"/>
            </w:pPr>
            <w:r>
              <w:t>最高限价</w:t>
            </w:r>
          </w:p>
        </w:tc>
        <w:tc>
          <w:tcPr>
            <w:tcW w:w="977" w:type="dxa"/>
          </w:tcPr>
          <w:p w14:paraId="4FF10DD1">
            <w:pPr>
              <w:pStyle w:val="5"/>
              <w:jc w:val="center"/>
            </w:pPr>
            <w:r>
              <w:t>价款形式</w:t>
            </w:r>
          </w:p>
        </w:tc>
        <w:tc>
          <w:tcPr>
            <w:tcW w:w="1661" w:type="dxa"/>
          </w:tcPr>
          <w:p w14:paraId="30B6255A">
            <w:pPr>
              <w:pStyle w:val="5"/>
              <w:jc w:val="center"/>
            </w:pPr>
            <w:r>
              <w:t>报价说明</w:t>
            </w:r>
          </w:p>
        </w:tc>
      </w:tr>
      <w:tr w14:paraId="75C099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79" w:type="dxa"/>
          </w:tcPr>
          <w:p w14:paraId="53B92EA4">
            <w:pPr>
              <w:pStyle w:val="5"/>
              <w:jc w:val="left"/>
            </w:pPr>
            <w:r>
              <w:t>1</w:t>
            </w:r>
          </w:p>
        </w:tc>
        <w:tc>
          <w:tcPr>
            <w:tcW w:w="1466" w:type="dxa"/>
          </w:tcPr>
          <w:p w14:paraId="21B4CBA6">
            <w:pPr>
              <w:pStyle w:val="5"/>
              <w:jc w:val="left"/>
            </w:pPr>
            <w:r>
              <w:t>医疗废物及污泥处理服务</w:t>
            </w:r>
          </w:p>
        </w:tc>
        <w:tc>
          <w:tcPr>
            <w:tcW w:w="977" w:type="dxa"/>
          </w:tcPr>
          <w:p w14:paraId="6157F034">
            <w:pPr>
              <w:pStyle w:val="5"/>
              <w:jc w:val="right"/>
            </w:pPr>
            <w:r>
              <w:t>1.00（项）</w:t>
            </w:r>
          </w:p>
        </w:tc>
        <w:tc>
          <w:tcPr>
            <w:tcW w:w="1173" w:type="dxa"/>
          </w:tcPr>
          <w:p w14:paraId="0421DB69">
            <w:pPr>
              <w:pStyle w:val="5"/>
              <w:jc w:val="right"/>
            </w:pPr>
            <w:r>
              <w:t>1,285,000.00（元）</w:t>
            </w:r>
          </w:p>
        </w:tc>
        <w:tc>
          <w:tcPr>
            <w:tcW w:w="1173" w:type="dxa"/>
          </w:tcPr>
          <w:p w14:paraId="24CD66F9">
            <w:pPr>
              <w:pStyle w:val="5"/>
              <w:jc w:val="right"/>
            </w:pPr>
            <w:r>
              <w:t>1,285,000.00</w:t>
            </w:r>
          </w:p>
        </w:tc>
        <w:tc>
          <w:tcPr>
            <w:tcW w:w="977" w:type="dxa"/>
          </w:tcPr>
          <w:p w14:paraId="7D8DB314">
            <w:pPr>
              <w:pStyle w:val="5"/>
              <w:jc w:val="left"/>
            </w:pPr>
            <w:r>
              <w:t>总价</w:t>
            </w:r>
          </w:p>
        </w:tc>
        <w:tc>
          <w:tcPr>
            <w:tcW w:w="1661" w:type="dxa"/>
          </w:tcPr>
          <w:p w14:paraId="4466C026">
            <w:pPr>
              <w:pStyle w:val="5"/>
              <w:jc w:val="left"/>
            </w:pPr>
            <w:r>
              <w:t>无</w:t>
            </w:r>
          </w:p>
        </w:tc>
      </w:tr>
    </w:tbl>
    <w:p w14:paraId="536CD076">
      <w:pPr>
        <w:pStyle w:val="5"/>
        <w:ind w:firstLine="480"/>
        <w:jc w:val="left"/>
      </w:pPr>
      <w:r>
        <w:t>★注：供应商响应产品应当明确品牌和规格型号并指向唯一产品，不能指向唯一产品的，应通过报价表备注栏补充说明。</w:t>
      </w:r>
    </w:p>
    <w:p w14:paraId="2EC6334F">
      <w:pPr>
        <w:pStyle w:val="5"/>
        <w:ind w:firstLine="480"/>
        <w:jc w:val="left"/>
        <w:outlineLvl w:val="3"/>
      </w:pPr>
      <w:r>
        <w:rPr>
          <w:b/>
          <w:sz w:val="24"/>
        </w:rPr>
        <w:t>本项目涉及采购进口产品：</w:t>
      </w:r>
    </w:p>
    <w:p w14:paraId="195F5428">
      <w:pPr>
        <w:pStyle w:val="5"/>
        <w:jc w:val="left"/>
      </w:pPr>
      <w:r>
        <w:t>采购包1：</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41F22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A04E647">
            <w:pPr>
              <w:pStyle w:val="5"/>
              <w:jc w:val="center"/>
            </w:pPr>
            <w:r>
              <w:t>序号</w:t>
            </w:r>
          </w:p>
        </w:tc>
        <w:tc>
          <w:tcPr>
            <w:tcW w:w="2492" w:type="dxa"/>
          </w:tcPr>
          <w:p w14:paraId="50E0C49D">
            <w:pPr>
              <w:pStyle w:val="5"/>
              <w:jc w:val="center"/>
            </w:pPr>
            <w:r>
              <w:t>采购品目名称</w:t>
            </w:r>
          </w:p>
        </w:tc>
        <w:tc>
          <w:tcPr>
            <w:tcW w:w="2492" w:type="dxa"/>
          </w:tcPr>
          <w:p w14:paraId="6AFB17B5">
            <w:pPr>
              <w:pStyle w:val="5"/>
              <w:jc w:val="center"/>
            </w:pPr>
            <w:r>
              <w:t>标的名称</w:t>
            </w:r>
          </w:p>
        </w:tc>
        <w:tc>
          <w:tcPr>
            <w:tcW w:w="2492" w:type="dxa"/>
          </w:tcPr>
          <w:p w14:paraId="28461E30">
            <w:pPr>
              <w:pStyle w:val="5"/>
              <w:jc w:val="center"/>
            </w:pPr>
            <w:r>
              <w:t>产品名称</w:t>
            </w:r>
          </w:p>
        </w:tc>
      </w:tr>
      <w:tr w14:paraId="61CC69A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2895E71">
            <w:pPr>
              <w:pStyle w:val="5"/>
              <w:jc w:val="center"/>
            </w:pPr>
            <w:r>
              <w:t>不涉及</w:t>
            </w:r>
          </w:p>
        </w:tc>
      </w:tr>
    </w:tbl>
    <w:p w14:paraId="436946B4">
      <w:pPr>
        <w:pStyle w:val="5"/>
        <w:ind w:firstLine="480"/>
        <w:jc w:val="left"/>
      </w:pPr>
      <w:r>
        <w:t>★注：不涉及采购进口产品时，供应商不得提供进口产品进行响应；涉及采购进口产品时，如国产产品满足采购需求，也可提供国产产品进行响应。</w:t>
      </w:r>
    </w:p>
    <w:p w14:paraId="0930C7DC">
      <w:pPr>
        <w:pStyle w:val="5"/>
        <w:ind w:firstLine="480"/>
        <w:jc w:val="left"/>
        <w:outlineLvl w:val="3"/>
      </w:pPr>
      <w:r>
        <w:rPr>
          <w:b/>
          <w:sz w:val="24"/>
        </w:rPr>
        <w:t>本项目涉及强制采购节能产品：</w:t>
      </w:r>
    </w:p>
    <w:p w14:paraId="4F1828A8">
      <w:pPr>
        <w:pStyle w:val="5"/>
        <w:jc w:val="left"/>
      </w:pPr>
      <w:r>
        <w:t>采购包1：</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F85DE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1AD9A1F">
            <w:pPr>
              <w:pStyle w:val="5"/>
              <w:jc w:val="center"/>
            </w:pPr>
            <w:r>
              <w:t>序号</w:t>
            </w:r>
          </w:p>
        </w:tc>
        <w:tc>
          <w:tcPr>
            <w:tcW w:w="2492" w:type="dxa"/>
          </w:tcPr>
          <w:p w14:paraId="2830CB91">
            <w:pPr>
              <w:pStyle w:val="5"/>
              <w:jc w:val="center"/>
            </w:pPr>
            <w:r>
              <w:t>采购品目名称</w:t>
            </w:r>
          </w:p>
        </w:tc>
        <w:tc>
          <w:tcPr>
            <w:tcW w:w="2492" w:type="dxa"/>
          </w:tcPr>
          <w:p w14:paraId="33DF7B63">
            <w:pPr>
              <w:pStyle w:val="5"/>
              <w:jc w:val="center"/>
            </w:pPr>
            <w:r>
              <w:t>标的名称</w:t>
            </w:r>
          </w:p>
        </w:tc>
        <w:tc>
          <w:tcPr>
            <w:tcW w:w="2492" w:type="dxa"/>
          </w:tcPr>
          <w:p w14:paraId="4DA5DABA">
            <w:pPr>
              <w:pStyle w:val="5"/>
              <w:jc w:val="center"/>
            </w:pPr>
            <w:r>
              <w:t>产品名称</w:t>
            </w:r>
          </w:p>
        </w:tc>
      </w:tr>
      <w:tr w14:paraId="338755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312E4B2">
            <w:pPr>
              <w:pStyle w:val="5"/>
              <w:jc w:val="center"/>
            </w:pPr>
            <w:r>
              <w:t>不涉及</w:t>
            </w:r>
          </w:p>
        </w:tc>
      </w:tr>
    </w:tbl>
    <w:p w14:paraId="6667505B">
      <w:pPr>
        <w:pStyle w:val="5"/>
        <w:ind w:firstLine="480"/>
        <w:jc w:val="left"/>
      </w:pPr>
      <w:r>
        <w:t>注：响应产品属于《节能产品政府采购品目清单》中政府强制采购的产品，供应商应当提供由国家确定的认证机构出具的、处于有效期之内的节能产品认证证书的原件扫描件，或“全国认证认可信息公共服务平台”（http://cx.cnca.cn）的认证信息截图，否则作无效响应处理。具体要求详见第五章符合性审查表。</w:t>
      </w:r>
    </w:p>
    <w:p w14:paraId="755D3F72">
      <w:pPr>
        <w:pStyle w:val="5"/>
        <w:ind w:firstLine="480"/>
        <w:jc w:val="left"/>
      </w:pPr>
      <w:r>
        <w:rPr>
          <w:b/>
        </w:rPr>
        <w:t>本项目涉及优先采购节能产品：</w:t>
      </w:r>
    </w:p>
    <w:p w14:paraId="114EFCD2">
      <w:pPr>
        <w:pStyle w:val="5"/>
        <w:jc w:val="left"/>
      </w:pPr>
      <w:r>
        <w:t>采购包1：</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3727B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F3E9C7A">
            <w:pPr>
              <w:pStyle w:val="5"/>
              <w:jc w:val="center"/>
            </w:pPr>
            <w:r>
              <w:t>序号</w:t>
            </w:r>
          </w:p>
        </w:tc>
        <w:tc>
          <w:tcPr>
            <w:tcW w:w="2492" w:type="dxa"/>
          </w:tcPr>
          <w:p w14:paraId="303083AF">
            <w:pPr>
              <w:pStyle w:val="5"/>
              <w:jc w:val="center"/>
            </w:pPr>
            <w:r>
              <w:t>采购品目名称</w:t>
            </w:r>
          </w:p>
        </w:tc>
        <w:tc>
          <w:tcPr>
            <w:tcW w:w="2492" w:type="dxa"/>
          </w:tcPr>
          <w:p w14:paraId="60960C3E">
            <w:pPr>
              <w:pStyle w:val="5"/>
              <w:jc w:val="center"/>
            </w:pPr>
            <w:r>
              <w:t>标的名称</w:t>
            </w:r>
          </w:p>
        </w:tc>
        <w:tc>
          <w:tcPr>
            <w:tcW w:w="2492" w:type="dxa"/>
          </w:tcPr>
          <w:p w14:paraId="51E82542">
            <w:pPr>
              <w:pStyle w:val="5"/>
              <w:jc w:val="center"/>
            </w:pPr>
            <w:r>
              <w:t>产品名称</w:t>
            </w:r>
          </w:p>
        </w:tc>
      </w:tr>
      <w:tr w14:paraId="0084D22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86A9F75">
            <w:pPr>
              <w:pStyle w:val="5"/>
              <w:jc w:val="center"/>
            </w:pPr>
            <w:r>
              <w:t>不涉及</w:t>
            </w:r>
          </w:p>
        </w:tc>
      </w:tr>
    </w:tbl>
    <w:p w14:paraId="04EE0E04">
      <w:pPr>
        <w:pStyle w:val="5"/>
        <w:ind w:firstLine="480"/>
        <w:jc w:val="left"/>
      </w:pPr>
      <w:r>
        <w:t>注：响应产品属于《节能产品政府采购品目清单》中优先采购的产品，供应商提供由国家确定的认证机构出具的、处于有效期之内的节能产品认证证书的原件扫描件，或“全国认证认可信息公共服务平台”（http://cx.cnca.cn）的认证信息截图，可以享受优先采购政策。具体要求详见第五章规定。</w:t>
      </w:r>
    </w:p>
    <w:p w14:paraId="19C88A70">
      <w:pPr>
        <w:pStyle w:val="5"/>
        <w:ind w:firstLine="480"/>
        <w:jc w:val="left"/>
        <w:outlineLvl w:val="3"/>
      </w:pPr>
      <w:r>
        <w:rPr>
          <w:b/>
          <w:sz w:val="24"/>
        </w:rPr>
        <w:t>本项目涉及优先采购环境标志产品：</w:t>
      </w:r>
    </w:p>
    <w:p w14:paraId="434242AA">
      <w:pPr>
        <w:pStyle w:val="5"/>
        <w:jc w:val="left"/>
      </w:pPr>
      <w:r>
        <w:t>采购包1：</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66B756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58D8133">
            <w:pPr>
              <w:pStyle w:val="5"/>
              <w:jc w:val="center"/>
            </w:pPr>
            <w:r>
              <w:t>序号</w:t>
            </w:r>
          </w:p>
        </w:tc>
        <w:tc>
          <w:tcPr>
            <w:tcW w:w="2492" w:type="dxa"/>
          </w:tcPr>
          <w:p w14:paraId="201EF984">
            <w:pPr>
              <w:pStyle w:val="5"/>
              <w:jc w:val="center"/>
            </w:pPr>
            <w:r>
              <w:t>采购品目名称</w:t>
            </w:r>
          </w:p>
        </w:tc>
        <w:tc>
          <w:tcPr>
            <w:tcW w:w="2492" w:type="dxa"/>
          </w:tcPr>
          <w:p w14:paraId="119B1C80">
            <w:pPr>
              <w:pStyle w:val="5"/>
              <w:jc w:val="center"/>
            </w:pPr>
            <w:r>
              <w:t>标的名称</w:t>
            </w:r>
          </w:p>
        </w:tc>
        <w:tc>
          <w:tcPr>
            <w:tcW w:w="2492" w:type="dxa"/>
          </w:tcPr>
          <w:p w14:paraId="2D4F85F4">
            <w:pPr>
              <w:pStyle w:val="5"/>
              <w:jc w:val="center"/>
            </w:pPr>
            <w:r>
              <w:t>产品名称</w:t>
            </w:r>
          </w:p>
        </w:tc>
      </w:tr>
      <w:tr w14:paraId="7CC3931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1609515">
            <w:pPr>
              <w:pStyle w:val="5"/>
              <w:jc w:val="center"/>
            </w:pPr>
            <w:r>
              <w:t>不涉及</w:t>
            </w:r>
          </w:p>
        </w:tc>
      </w:tr>
    </w:tbl>
    <w:p w14:paraId="07F298F9">
      <w:pPr>
        <w:pStyle w:val="5"/>
        <w:ind w:firstLine="480"/>
        <w:jc w:val="left"/>
      </w:pPr>
      <w:r>
        <w:t>注：响应产品属于《环境标志产品政府采购品目清单》中的产品，供应商提供由国家确定的认证机构出具的、处于有效期之内的环境标志产品认证证书的原件扫描件，或“全国认证认可信息公共服务平台”（http://cx.cnca.cn）的认证信息截图，可以享受优先采购政策。具体要求详见第五章规定。</w:t>
      </w:r>
    </w:p>
    <w:p w14:paraId="4101A0E4">
      <w:pPr>
        <w:pStyle w:val="5"/>
        <w:jc w:val="left"/>
        <w:outlineLvl w:val="2"/>
      </w:pPr>
      <w:r>
        <w:rPr>
          <w:b/>
          <w:sz w:val="28"/>
        </w:rPr>
        <w:t>3.3.技术要求</w:t>
      </w:r>
    </w:p>
    <w:p w14:paraId="2C7F48B9">
      <w:pPr>
        <w:pStyle w:val="5"/>
        <w:jc w:val="left"/>
      </w:pPr>
      <w:r>
        <w:t>采购包1：</w:t>
      </w:r>
    </w:p>
    <w:p w14:paraId="65057F5D">
      <w:pPr>
        <w:pStyle w:val="5"/>
        <w:jc w:val="left"/>
      </w:pPr>
      <w:r>
        <w:t>标的名称：医疗废物及污泥处理服务</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6BBFF3C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E4E8E5F">
            <w:pPr>
              <w:pStyle w:val="5"/>
              <w:jc w:val="left"/>
            </w:pPr>
            <w:r>
              <w:t>序号</w:t>
            </w:r>
          </w:p>
        </w:tc>
        <w:tc>
          <w:tcPr>
            <w:tcW w:w="2769" w:type="dxa"/>
          </w:tcPr>
          <w:p w14:paraId="63094969">
            <w:pPr>
              <w:pStyle w:val="5"/>
              <w:jc w:val="left"/>
            </w:pPr>
            <w:r>
              <w:t>符号标识</w:t>
            </w:r>
          </w:p>
        </w:tc>
        <w:tc>
          <w:tcPr>
            <w:tcW w:w="2769" w:type="dxa"/>
          </w:tcPr>
          <w:p w14:paraId="05619423">
            <w:pPr>
              <w:pStyle w:val="5"/>
              <w:jc w:val="left"/>
            </w:pPr>
            <w:r>
              <w:t>技术参数与性能指标</w:t>
            </w:r>
          </w:p>
        </w:tc>
      </w:tr>
      <w:tr w14:paraId="50AC021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DB38495">
            <w:pPr>
              <w:pStyle w:val="5"/>
              <w:jc w:val="left"/>
            </w:pPr>
            <w:r>
              <w:t>1</w:t>
            </w:r>
          </w:p>
        </w:tc>
        <w:tc>
          <w:tcPr>
            <w:tcW w:w="2769" w:type="dxa"/>
          </w:tcPr>
          <w:p w14:paraId="7231877F"/>
        </w:tc>
        <w:tc>
          <w:tcPr>
            <w:tcW w:w="2769" w:type="dxa"/>
          </w:tcPr>
          <w:p w14:paraId="510D5799">
            <w:pPr>
              <w:pStyle w:val="5"/>
              <w:jc w:val="both"/>
            </w:pPr>
            <w:r>
              <w:rPr>
                <w:rFonts w:ascii="宋体" w:hAnsi="宋体" w:eastAsia="宋体" w:cs="宋体"/>
                <w:sz w:val="21"/>
              </w:rPr>
              <w:t>（一）服务内容</w:t>
            </w:r>
          </w:p>
          <w:p w14:paraId="1F3E0E71">
            <w:pPr>
              <w:pStyle w:val="5"/>
              <w:jc w:val="both"/>
            </w:pPr>
            <w:r>
              <w:rPr>
                <w:rFonts w:ascii="Calibri" w:hAnsi="Calibri" w:eastAsia="Calibri" w:cs="Calibri"/>
                <w:sz w:val="21"/>
              </w:rPr>
              <w:t>1.</w:t>
            </w:r>
            <w:r>
              <w:rPr>
                <w:rFonts w:ascii="宋体" w:hAnsi="宋体" w:eastAsia="宋体" w:cs="宋体"/>
                <w:sz w:val="21"/>
              </w:rPr>
              <w:t>“五类”医疗废物的转运处置：</w:t>
            </w:r>
          </w:p>
          <w:p w14:paraId="2B96BFB1">
            <w:pPr>
              <w:pStyle w:val="5"/>
              <w:jc w:val="both"/>
            </w:pPr>
            <w:r>
              <w:rPr>
                <w:rFonts w:ascii="Calibri" w:hAnsi="Calibri" w:eastAsia="Calibri" w:cs="Calibri"/>
                <w:sz w:val="21"/>
              </w:rPr>
              <w:t>1.1</w:t>
            </w:r>
            <w:r>
              <w:rPr>
                <w:rFonts w:ascii="宋体" w:hAnsi="宋体" w:eastAsia="宋体" w:cs="宋体"/>
                <w:sz w:val="21"/>
              </w:rPr>
              <w:t>“五类”医疗废物转运处置是指对采购单位日常产出的感染性医疗废物、损伤性医疗废物、病理性医疗废物、药物性医疗废物、化学性医疗废物提供转运及处置服务。</w:t>
            </w:r>
          </w:p>
          <w:p w14:paraId="4D4C0DFE">
            <w:pPr>
              <w:pStyle w:val="5"/>
              <w:jc w:val="both"/>
            </w:pPr>
            <w:r>
              <w:rPr>
                <w:rFonts w:ascii="Calibri" w:hAnsi="Calibri" w:eastAsia="Calibri" w:cs="Calibri"/>
                <w:sz w:val="21"/>
              </w:rPr>
              <w:t>1.2</w:t>
            </w:r>
            <w:r>
              <w:rPr>
                <w:rFonts w:ascii="宋体" w:hAnsi="宋体" w:eastAsia="宋体" w:cs="宋体"/>
                <w:sz w:val="21"/>
              </w:rPr>
              <w:t>医疗废物每两天转运处置</w:t>
            </w:r>
            <w:r>
              <w:rPr>
                <w:rFonts w:ascii="Calibri" w:hAnsi="Calibri" w:eastAsia="Calibri" w:cs="Calibri"/>
                <w:sz w:val="21"/>
              </w:rPr>
              <w:t>1</w:t>
            </w:r>
            <w:r>
              <w:rPr>
                <w:rFonts w:ascii="宋体" w:hAnsi="宋体" w:eastAsia="宋体" w:cs="宋体"/>
                <w:sz w:val="21"/>
              </w:rPr>
              <w:t>次。</w:t>
            </w:r>
          </w:p>
          <w:p w14:paraId="4705E497">
            <w:pPr>
              <w:pStyle w:val="5"/>
              <w:jc w:val="both"/>
            </w:pPr>
            <w:r>
              <w:rPr>
                <w:rFonts w:ascii="Calibri" w:hAnsi="Calibri" w:eastAsia="Calibri" w:cs="Calibri"/>
                <w:sz w:val="21"/>
              </w:rPr>
              <w:t>2.</w:t>
            </w:r>
            <w:r>
              <w:rPr>
                <w:rFonts w:ascii="宋体" w:hAnsi="宋体" w:eastAsia="宋体" w:cs="宋体"/>
                <w:sz w:val="21"/>
              </w:rPr>
              <w:t>化粪池及污泥清掏处置：</w:t>
            </w:r>
          </w:p>
          <w:p w14:paraId="00FD43E4">
            <w:pPr>
              <w:pStyle w:val="5"/>
              <w:jc w:val="both"/>
            </w:pPr>
            <w:r>
              <w:rPr>
                <w:rFonts w:ascii="Calibri" w:hAnsi="Calibri" w:eastAsia="Calibri" w:cs="Calibri"/>
                <w:sz w:val="21"/>
              </w:rPr>
              <w:t>2.1</w:t>
            </w:r>
            <w:r>
              <w:rPr>
                <w:rFonts w:ascii="宋体" w:hAnsi="宋体" w:eastAsia="宋体" w:cs="宋体"/>
                <w:sz w:val="21"/>
              </w:rPr>
              <w:t>预估年清掏量</w:t>
            </w:r>
            <w:r>
              <w:rPr>
                <w:rFonts w:ascii="Calibri" w:hAnsi="Calibri" w:eastAsia="Calibri" w:cs="Calibri"/>
                <w:sz w:val="21"/>
              </w:rPr>
              <w:t>2.5</w:t>
            </w:r>
            <w:r>
              <w:rPr>
                <w:rFonts w:ascii="宋体" w:hAnsi="宋体" w:eastAsia="宋体" w:cs="宋体"/>
                <w:sz w:val="21"/>
              </w:rPr>
              <w:t>万公斤（</w:t>
            </w:r>
            <w:r>
              <w:rPr>
                <w:rFonts w:ascii="Calibri" w:hAnsi="Calibri" w:eastAsia="Calibri" w:cs="Calibri"/>
                <w:sz w:val="21"/>
              </w:rPr>
              <w:t>25</w:t>
            </w:r>
            <w:r>
              <w:rPr>
                <w:rFonts w:ascii="宋体" w:hAnsi="宋体" w:eastAsia="宋体" w:cs="宋体"/>
                <w:sz w:val="21"/>
              </w:rPr>
              <w:t>吨）。</w:t>
            </w:r>
          </w:p>
          <w:p w14:paraId="101AEFE9">
            <w:pPr>
              <w:pStyle w:val="5"/>
              <w:jc w:val="both"/>
            </w:pPr>
            <w:r>
              <w:rPr>
                <w:rFonts w:ascii="Calibri" w:hAnsi="Calibri" w:eastAsia="Calibri" w:cs="Calibri"/>
                <w:sz w:val="21"/>
              </w:rPr>
              <w:t>2.2</w:t>
            </w:r>
            <w:r>
              <w:rPr>
                <w:rFonts w:ascii="宋体" w:hAnsi="宋体" w:eastAsia="宋体" w:cs="宋体"/>
                <w:sz w:val="21"/>
              </w:rPr>
              <w:t>供应商需每年进行至少</w:t>
            </w:r>
            <w:r>
              <w:rPr>
                <w:rFonts w:ascii="Calibri" w:hAnsi="Calibri" w:eastAsia="Calibri" w:cs="Calibri"/>
                <w:sz w:val="21"/>
              </w:rPr>
              <w:t>1</w:t>
            </w:r>
            <w:r>
              <w:rPr>
                <w:rFonts w:ascii="宋体" w:hAnsi="宋体" w:eastAsia="宋体" w:cs="宋体"/>
                <w:sz w:val="21"/>
              </w:rPr>
              <w:t>次化粪池及污泥清掏工作（特殊情况除外），外运时进行称重交接，使用专用医废转移车辆交接转移。</w:t>
            </w:r>
          </w:p>
          <w:p w14:paraId="3D09CEAD">
            <w:pPr>
              <w:pStyle w:val="5"/>
              <w:jc w:val="both"/>
            </w:pPr>
            <w:r>
              <w:rPr>
                <w:rFonts w:ascii="宋体" w:hAnsi="宋体" w:eastAsia="宋体" w:cs="宋体"/>
                <w:sz w:val="21"/>
              </w:rPr>
              <w:t>3.本项目目前要求处置的“五类”医疗废物不含：①放射性废弃物、高压容器、废弃的细胞毒性药品、剧毒物品、易燃易爆品，重金属（如铅、镉、汞等）含量高的医疗废物；②手术或尸检后能辨认的人体组织，器官及死胎、医学实验大型动物尸体。</w:t>
            </w:r>
          </w:p>
          <w:p w14:paraId="00FB5CAC">
            <w:pPr>
              <w:pStyle w:val="5"/>
              <w:jc w:val="both"/>
            </w:pPr>
            <w:r>
              <w:rPr>
                <w:rFonts w:ascii="宋体" w:hAnsi="宋体" w:eastAsia="宋体" w:cs="宋体"/>
                <w:sz w:val="21"/>
              </w:rPr>
              <w:t>4.项目实施过程中，采购人需处置的“五类”医疗废物如涉及除外情形中的医疗废物时，供应商应具有相应废物处置资格范围或将相关废物专项分包给具有相关资格条件的分包供应商，所有费用均已包含在其最终报价中。</w:t>
            </w:r>
          </w:p>
        </w:tc>
      </w:tr>
      <w:tr w14:paraId="789511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70E537D">
            <w:pPr>
              <w:pStyle w:val="5"/>
              <w:jc w:val="left"/>
            </w:pPr>
            <w:r>
              <w:t>2</w:t>
            </w:r>
          </w:p>
        </w:tc>
        <w:tc>
          <w:tcPr>
            <w:tcW w:w="2769" w:type="dxa"/>
          </w:tcPr>
          <w:p w14:paraId="68795F9C">
            <w:pPr>
              <w:pStyle w:val="5"/>
              <w:jc w:val="left"/>
            </w:pPr>
            <w:r>
              <w:t>★</w:t>
            </w:r>
          </w:p>
        </w:tc>
        <w:tc>
          <w:tcPr>
            <w:tcW w:w="2769" w:type="dxa"/>
          </w:tcPr>
          <w:p w14:paraId="359E20A7">
            <w:pPr>
              <w:pStyle w:val="5"/>
              <w:jc w:val="left"/>
            </w:pPr>
            <w:r>
              <w:rPr>
                <w:rFonts w:ascii="宋体" w:hAnsi="宋体" w:eastAsia="宋体" w:cs="宋体"/>
                <w:b/>
                <w:sz w:val="21"/>
              </w:rPr>
              <w:t>（二）考核标准（供应商承诺成交后接受采购人按本考核标准进行考核（提供承诺函）。）</w:t>
            </w:r>
          </w:p>
          <w:tbl>
            <w:tblPr>
              <w:tblStyle w:val="3"/>
              <w:tblW w:w="0" w:type="auto"/>
              <w:tblInd w:w="12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20"/>
              <w:gridCol w:w="1108"/>
              <w:gridCol w:w="450"/>
              <w:gridCol w:w="450"/>
            </w:tblGrid>
            <w:tr w14:paraId="7D60FAB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7C18996">
                  <w:pPr>
                    <w:pStyle w:val="5"/>
                    <w:jc w:val="center"/>
                  </w:pPr>
                  <w:r>
                    <w:rPr>
                      <w:rFonts w:ascii="宋体" w:hAnsi="宋体" w:eastAsia="宋体" w:cs="宋体"/>
                      <w:sz w:val="21"/>
                    </w:rPr>
                    <w:t>考核项目</w:t>
                  </w:r>
                </w:p>
              </w:tc>
              <w:tc>
                <w:tcPr>
                  <w:tcW w:w="145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EEFF5E6">
                  <w:pPr>
                    <w:pStyle w:val="5"/>
                    <w:jc w:val="center"/>
                  </w:pPr>
                  <w:r>
                    <w:rPr>
                      <w:rFonts w:ascii="宋体" w:hAnsi="宋体" w:eastAsia="宋体" w:cs="宋体"/>
                      <w:sz w:val="21"/>
                    </w:rPr>
                    <w:t>考核标准</w:t>
                  </w:r>
                </w:p>
              </w:tc>
              <w:tc>
                <w:tcPr>
                  <w:tcW w:w="36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2986EBF">
                  <w:pPr>
                    <w:pStyle w:val="5"/>
                    <w:jc w:val="center"/>
                  </w:pPr>
                  <w:r>
                    <w:rPr>
                      <w:rFonts w:ascii="宋体" w:hAnsi="宋体" w:eastAsia="宋体" w:cs="宋体"/>
                      <w:sz w:val="24"/>
                    </w:rPr>
                    <w:t>考核结果</w:t>
                  </w:r>
                </w:p>
              </w:tc>
              <w:tc>
                <w:tcPr>
                  <w:tcW w:w="36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5EE296A">
                  <w:pPr>
                    <w:pStyle w:val="5"/>
                    <w:jc w:val="center"/>
                  </w:pPr>
                  <w:r>
                    <w:rPr>
                      <w:rFonts w:ascii="宋体" w:hAnsi="宋体" w:eastAsia="宋体" w:cs="宋体"/>
                      <w:sz w:val="24"/>
                    </w:rPr>
                    <w:t>处理措施</w:t>
                  </w:r>
                </w:p>
              </w:tc>
            </w:tr>
            <w:tr w14:paraId="630E9F7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E81C9C">
                  <w:pPr>
                    <w:pStyle w:val="5"/>
                    <w:jc w:val="center"/>
                  </w:pPr>
                  <w:r>
                    <w:rPr>
                      <w:rFonts w:ascii="宋体" w:hAnsi="宋体" w:eastAsia="宋体" w:cs="宋体"/>
                      <w:sz w:val="21"/>
                    </w:rPr>
                    <w:t>基础要求</w:t>
                  </w:r>
                </w:p>
              </w:tc>
              <w:tc>
                <w:tcPr>
                  <w:tcW w:w="145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54B0A3">
                  <w:pPr>
                    <w:pStyle w:val="5"/>
                    <w:jc w:val="both"/>
                  </w:pPr>
                  <w:r>
                    <w:rPr>
                      <w:rFonts w:ascii="宋体" w:hAnsi="宋体" w:eastAsia="宋体" w:cs="宋体"/>
                      <w:sz w:val="21"/>
                    </w:rPr>
                    <w:t>工作人员仪表不整洁，上班不着装，不佩戴工作牌，不文明语言、行为，在院内吸烟、喝酒等。（先予以提醒，拒不配合的每次扣</w:t>
                  </w:r>
                  <w:r>
                    <w:rPr>
                      <w:rFonts w:ascii="Calibri" w:hAnsi="Calibri" w:eastAsia="Calibri" w:cs="Calibri"/>
                      <w:sz w:val="21"/>
                    </w:rPr>
                    <w:t>20</w:t>
                  </w:r>
                  <w:r>
                    <w:rPr>
                      <w:rFonts w:ascii="宋体" w:hAnsi="宋体" w:eastAsia="宋体" w:cs="宋体"/>
                      <w:sz w:val="21"/>
                    </w:rPr>
                    <w:t>元）</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603426">
                  <w:pPr>
                    <w:pStyle w:val="5"/>
                    <w:jc w:val="center"/>
                  </w:pP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25ED43"/>
              </w:tc>
            </w:tr>
            <w:tr w14:paraId="6855276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vMerge w:val="continue"/>
                  <w:tcBorders>
                    <w:top w:val="nil"/>
                    <w:left w:val="single" w:color="000000" w:sz="4" w:space="0"/>
                    <w:bottom w:val="single" w:color="000000" w:sz="4" w:space="0"/>
                    <w:right w:val="single" w:color="000000" w:sz="4" w:space="0"/>
                  </w:tcBorders>
                </w:tcPr>
                <w:p w14:paraId="30098CD4"/>
              </w:tc>
              <w:tc>
                <w:tcPr>
                  <w:tcW w:w="145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A8767A">
                  <w:pPr>
                    <w:pStyle w:val="5"/>
                    <w:jc w:val="both"/>
                  </w:pPr>
                  <w:r>
                    <w:rPr>
                      <w:rFonts w:ascii="宋体" w:hAnsi="宋体" w:eastAsia="宋体" w:cs="宋体"/>
                      <w:sz w:val="21"/>
                    </w:rPr>
                    <w:t>出现与医护人员、患者纠纷。（先予以提醒，拒不配合的每次扣</w:t>
                  </w:r>
                  <w:r>
                    <w:rPr>
                      <w:rFonts w:ascii="Calibri" w:hAnsi="Calibri" w:eastAsia="Calibri" w:cs="Calibri"/>
                      <w:sz w:val="21"/>
                    </w:rPr>
                    <w:t>20</w:t>
                  </w:r>
                  <w:r>
                    <w:rPr>
                      <w:rFonts w:ascii="宋体" w:hAnsi="宋体" w:eastAsia="宋体" w:cs="宋体"/>
                      <w:sz w:val="21"/>
                    </w:rPr>
                    <w:t>元）</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3490A5">
                  <w:pPr>
                    <w:pStyle w:val="5"/>
                    <w:jc w:val="center"/>
                  </w:pP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042938"/>
              </w:tc>
            </w:tr>
            <w:tr w14:paraId="2636DC1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vMerge w:val="continue"/>
                  <w:tcBorders>
                    <w:top w:val="nil"/>
                    <w:left w:val="single" w:color="000000" w:sz="4" w:space="0"/>
                    <w:bottom w:val="single" w:color="000000" w:sz="4" w:space="0"/>
                    <w:right w:val="single" w:color="000000" w:sz="4" w:space="0"/>
                  </w:tcBorders>
                </w:tcPr>
                <w:p w14:paraId="63683C4D"/>
              </w:tc>
              <w:tc>
                <w:tcPr>
                  <w:tcW w:w="145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7C80BE">
                  <w:pPr>
                    <w:pStyle w:val="5"/>
                    <w:jc w:val="both"/>
                  </w:pPr>
                  <w:r>
                    <w:rPr>
                      <w:rFonts w:ascii="宋体" w:hAnsi="宋体" w:eastAsia="宋体" w:cs="宋体"/>
                      <w:sz w:val="21"/>
                    </w:rPr>
                    <w:t>不爱护公共设施。（先予以提醒，拒不配合的每次扣</w:t>
                  </w:r>
                  <w:r>
                    <w:rPr>
                      <w:rFonts w:ascii="Calibri" w:hAnsi="Calibri" w:eastAsia="Calibri" w:cs="Calibri"/>
                      <w:sz w:val="21"/>
                    </w:rPr>
                    <w:t>20</w:t>
                  </w:r>
                  <w:r>
                    <w:rPr>
                      <w:rFonts w:ascii="宋体" w:hAnsi="宋体" w:eastAsia="宋体" w:cs="宋体"/>
                      <w:sz w:val="21"/>
                    </w:rPr>
                    <w:t>元，若造成设施损坏的，照价赔偿）</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98C352">
                  <w:pPr>
                    <w:pStyle w:val="5"/>
                    <w:jc w:val="center"/>
                  </w:pP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E74ED7"/>
              </w:tc>
            </w:tr>
            <w:tr w14:paraId="55F517D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vMerge w:val="continue"/>
                  <w:tcBorders>
                    <w:top w:val="nil"/>
                    <w:left w:val="single" w:color="000000" w:sz="4" w:space="0"/>
                    <w:bottom w:val="single" w:color="000000" w:sz="4" w:space="0"/>
                    <w:right w:val="single" w:color="000000" w:sz="4" w:space="0"/>
                  </w:tcBorders>
                </w:tcPr>
                <w:p w14:paraId="651DC474"/>
              </w:tc>
              <w:tc>
                <w:tcPr>
                  <w:tcW w:w="145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05C1BD">
                  <w:pPr>
                    <w:pStyle w:val="5"/>
                    <w:jc w:val="both"/>
                  </w:pPr>
                  <w:r>
                    <w:rPr>
                      <w:rFonts w:ascii="宋体" w:hAnsi="宋体" w:eastAsia="宋体" w:cs="宋体"/>
                      <w:sz w:val="21"/>
                    </w:rPr>
                    <w:t>供应商应配备转运人员不少于</w:t>
                  </w:r>
                  <w:r>
                    <w:rPr>
                      <w:rFonts w:ascii="Calibri" w:hAnsi="Calibri" w:eastAsia="Calibri" w:cs="Calibri"/>
                      <w:sz w:val="21"/>
                    </w:rPr>
                    <w:t>2</w:t>
                  </w:r>
                  <w:r>
                    <w:rPr>
                      <w:rFonts w:ascii="宋体" w:hAnsi="宋体" w:eastAsia="宋体" w:cs="宋体"/>
                      <w:sz w:val="21"/>
                    </w:rPr>
                    <w:t xml:space="preserve">人，着装统一，佩戴防护手套和口罩。（先予以提醒，拒不配合的每次扣 </w:t>
                  </w:r>
                  <w:r>
                    <w:rPr>
                      <w:rFonts w:ascii="Calibri" w:hAnsi="Calibri" w:eastAsia="Calibri" w:cs="Calibri"/>
                      <w:sz w:val="21"/>
                    </w:rPr>
                    <w:t xml:space="preserve">20 </w:t>
                  </w:r>
                  <w:r>
                    <w:rPr>
                      <w:rFonts w:ascii="宋体" w:hAnsi="宋体" w:eastAsia="宋体" w:cs="宋体"/>
                      <w:sz w:val="21"/>
                    </w:rPr>
                    <w:t>元）</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62EE2B">
                  <w:pPr>
                    <w:pStyle w:val="5"/>
                    <w:jc w:val="center"/>
                  </w:pP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49054E"/>
              </w:tc>
            </w:tr>
            <w:tr w14:paraId="148E4E2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vMerge w:val="continue"/>
                  <w:tcBorders>
                    <w:top w:val="nil"/>
                    <w:left w:val="single" w:color="000000" w:sz="4" w:space="0"/>
                    <w:bottom w:val="single" w:color="000000" w:sz="4" w:space="0"/>
                    <w:right w:val="single" w:color="000000" w:sz="4" w:space="0"/>
                  </w:tcBorders>
                </w:tcPr>
                <w:p w14:paraId="31BE5E84"/>
              </w:tc>
              <w:tc>
                <w:tcPr>
                  <w:tcW w:w="145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AEA77F">
                  <w:pPr>
                    <w:pStyle w:val="5"/>
                    <w:jc w:val="both"/>
                  </w:pPr>
                  <w:r>
                    <w:rPr>
                      <w:rFonts w:ascii="宋体" w:hAnsi="宋体" w:eastAsia="宋体" w:cs="宋体"/>
                      <w:sz w:val="21"/>
                    </w:rPr>
                    <w:t>供应商应配备不少于</w:t>
                  </w:r>
                  <w:r>
                    <w:rPr>
                      <w:rFonts w:ascii="Calibri" w:hAnsi="Calibri" w:eastAsia="Calibri" w:cs="Calibri"/>
                      <w:sz w:val="21"/>
                    </w:rPr>
                    <w:t>2</w:t>
                  </w:r>
                  <w:r>
                    <w:rPr>
                      <w:rFonts w:ascii="宋体" w:hAnsi="宋体" w:eastAsia="宋体" w:cs="宋体"/>
                      <w:sz w:val="21"/>
                    </w:rPr>
                    <w:t>台院内转运工具，用于将周转箱运出暂存间。（先予以提醒，拒不配合的每次扣</w:t>
                  </w:r>
                  <w:r>
                    <w:rPr>
                      <w:rFonts w:ascii="Calibri" w:hAnsi="Calibri" w:eastAsia="Calibri" w:cs="Calibri"/>
                      <w:sz w:val="21"/>
                    </w:rPr>
                    <w:t>50</w:t>
                  </w:r>
                  <w:r>
                    <w:rPr>
                      <w:rFonts w:ascii="宋体" w:hAnsi="宋体" w:eastAsia="宋体" w:cs="宋体"/>
                      <w:sz w:val="21"/>
                    </w:rPr>
                    <w:t>元）</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FCD5B3">
                  <w:pPr>
                    <w:pStyle w:val="5"/>
                    <w:jc w:val="center"/>
                  </w:pP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FEEBCA"/>
              </w:tc>
            </w:tr>
            <w:tr w14:paraId="5649A00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F5C06C">
                  <w:pPr>
                    <w:pStyle w:val="5"/>
                    <w:jc w:val="center"/>
                  </w:pPr>
                  <w:r>
                    <w:rPr>
                      <w:rFonts w:ascii="宋体" w:hAnsi="宋体" w:eastAsia="宋体" w:cs="宋体"/>
                      <w:sz w:val="21"/>
                    </w:rPr>
                    <w:t>服务内容</w:t>
                  </w:r>
                </w:p>
              </w:tc>
              <w:tc>
                <w:tcPr>
                  <w:tcW w:w="145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4F941E">
                  <w:pPr>
                    <w:pStyle w:val="5"/>
                    <w:jc w:val="both"/>
                  </w:pPr>
                  <w:r>
                    <w:rPr>
                      <w:rFonts w:ascii="宋体" w:hAnsi="宋体" w:eastAsia="宋体" w:cs="宋体"/>
                      <w:sz w:val="21"/>
                    </w:rPr>
                    <w:t>对采购单位管辖院区内的医疗废物进行转运、处置（上级部门另有安排的如涉疫情医废不包含在内），并填写转移联单，资料保存</w:t>
                  </w:r>
                  <w:r>
                    <w:rPr>
                      <w:rFonts w:ascii="Calibri" w:hAnsi="Calibri" w:eastAsia="Calibri" w:cs="Calibri"/>
                      <w:sz w:val="21"/>
                    </w:rPr>
                    <w:t>3</w:t>
                  </w:r>
                  <w:r>
                    <w:rPr>
                      <w:rFonts w:ascii="宋体" w:hAnsi="宋体" w:eastAsia="宋体" w:cs="宋体"/>
                      <w:sz w:val="21"/>
                    </w:rPr>
                    <w:t>年。未按要求执行，先予以提醒，拒不配合的每次扣</w:t>
                  </w:r>
                  <w:r>
                    <w:rPr>
                      <w:rFonts w:ascii="Calibri" w:hAnsi="Calibri" w:eastAsia="Calibri" w:cs="Calibri"/>
                      <w:sz w:val="21"/>
                    </w:rPr>
                    <w:t>100</w:t>
                  </w:r>
                  <w:r>
                    <w:rPr>
                      <w:rFonts w:ascii="宋体" w:hAnsi="宋体" w:eastAsia="宋体" w:cs="宋体"/>
                      <w:sz w:val="21"/>
                    </w:rPr>
                    <w:t>元）</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E14315">
                  <w:pPr>
                    <w:pStyle w:val="5"/>
                    <w:jc w:val="center"/>
                  </w:pP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E030C5"/>
              </w:tc>
            </w:tr>
            <w:tr w14:paraId="6D2E8EA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vMerge w:val="continue"/>
                  <w:tcBorders>
                    <w:top w:val="nil"/>
                    <w:left w:val="single" w:color="000000" w:sz="4" w:space="0"/>
                    <w:bottom w:val="single" w:color="000000" w:sz="4" w:space="0"/>
                    <w:right w:val="single" w:color="000000" w:sz="4" w:space="0"/>
                  </w:tcBorders>
                </w:tcPr>
                <w:p w14:paraId="627AAEBF"/>
              </w:tc>
              <w:tc>
                <w:tcPr>
                  <w:tcW w:w="145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BF76D2">
                  <w:pPr>
                    <w:pStyle w:val="5"/>
                    <w:jc w:val="both"/>
                  </w:pPr>
                  <w:r>
                    <w:rPr>
                      <w:rFonts w:ascii="宋体" w:hAnsi="宋体" w:eastAsia="宋体" w:cs="宋体"/>
                      <w:sz w:val="21"/>
                    </w:rPr>
                    <w:t>供应商转运医废须沿采购人指定的污物通道转运（未按要求执行，先予以提醒，拒不配合的每次扣</w:t>
                  </w:r>
                  <w:r>
                    <w:rPr>
                      <w:rFonts w:ascii="Calibri" w:hAnsi="Calibri" w:eastAsia="Calibri" w:cs="Calibri"/>
                      <w:sz w:val="21"/>
                    </w:rPr>
                    <w:t xml:space="preserve">100 </w:t>
                  </w:r>
                  <w:r>
                    <w:rPr>
                      <w:rFonts w:ascii="宋体" w:hAnsi="宋体" w:eastAsia="宋体" w:cs="宋体"/>
                      <w:sz w:val="21"/>
                    </w:rPr>
                    <w:t>元）</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962DA4">
                  <w:pPr>
                    <w:pStyle w:val="5"/>
                    <w:jc w:val="center"/>
                  </w:pP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80E98A"/>
              </w:tc>
            </w:tr>
            <w:tr w14:paraId="41E72F4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vMerge w:val="continue"/>
                  <w:tcBorders>
                    <w:top w:val="nil"/>
                    <w:left w:val="single" w:color="000000" w:sz="4" w:space="0"/>
                    <w:bottom w:val="single" w:color="000000" w:sz="4" w:space="0"/>
                    <w:right w:val="single" w:color="000000" w:sz="4" w:space="0"/>
                  </w:tcBorders>
                </w:tcPr>
                <w:p w14:paraId="785BF8DA"/>
              </w:tc>
              <w:tc>
                <w:tcPr>
                  <w:tcW w:w="145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381884">
                  <w:pPr>
                    <w:pStyle w:val="5"/>
                    <w:jc w:val="both"/>
                  </w:pPr>
                  <w:r>
                    <w:rPr>
                      <w:rFonts w:ascii="宋体" w:hAnsi="宋体" w:eastAsia="宋体" w:cs="宋体"/>
                      <w:sz w:val="21"/>
                    </w:rPr>
                    <w:t>转运完成后的周转箱由供应商负责运回厂区进行清洁消毒。（未按要求执行，先予以提醒，拒不配合的每次扣</w:t>
                  </w:r>
                  <w:r>
                    <w:rPr>
                      <w:rFonts w:ascii="Calibri" w:hAnsi="Calibri" w:eastAsia="Calibri" w:cs="Calibri"/>
                      <w:sz w:val="21"/>
                    </w:rPr>
                    <w:t xml:space="preserve">100 </w:t>
                  </w:r>
                  <w:r>
                    <w:rPr>
                      <w:rFonts w:ascii="宋体" w:hAnsi="宋体" w:eastAsia="宋体" w:cs="宋体"/>
                      <w:sz w:val="21"/>
                    </w:rPr>
                    <w:t>元）</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C89E6D">
                  <w:pPr>
                    <w:pStyle w:val="5"/>
                    <w:jc w:val="center"/>
                  </w:pP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7B9F02"/>
              </w:tc>
            </w:tr>
            <w:tr w14:paraId="2734EBA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vMerge w:val="continue"/>
                  <w:tcBorders>
                    <w:top w:val="nil"/>
                    <w:left w:val="single" w:color="000000" w:sz="4" w:space="0"/>
                    <w:bottom w:val="single" w:color="000000" w:sz="4" w:space="0"/>
                    <w:right w:val="single" w:color="000000" w:sz="4" w:space="0"/>
                  </w:tcBorders>
                </w:tcPr>
                <w:p w14:paraId="02DCE9F5"/>
              </w:tc>
              <w:tc>
                <w:tcPr>
                  <w:tcW w:w="145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A60C50">
                  <w:pPr>
                    <w:pStyle w:val="5"/>
                    <w:jc w:val="both"/>
                  </w:pPr>
                  <w:r>
                    <w:rPr>
                      <w:rFonts w:ascii="宋体" w:hAnsi="宋体" w:eastAsia="宋体" w:cs="宋体"/>
                      <w:sz w:val="21"/>
                    </w:rPr>
                    <w:t>能保证医疗废物在周转箱中密封转运，医疗废物若洒落地面，必须及时清洁并进行重新封装。因泄露的医疗废物造成人员伤亡的，由供应商承担全部责任。（未按要求执行，先予以提醒，拒不配合的每次扣</w:t>
                  </w:r>
                  <w:r>
                    <w:rPr>
                      <w:rFonts w:ascii="Calibri" w:hAnsi="Calibri" w:eastAsia="Calibri" w:cs="Calibri"/>
                      <w:sz w:val="21"/>
                    </w:rPr>
                    <w:t xml:space="preserve">100 </w:t>
                  </w:r>
                  <w:r>
                    <w:rPr>
                      <w:rFonts w:ascii="宋体" w:hAnsi="宋体" w:eastAsia="宋体" w:cs="宋体"/>
                      <w:sz w:val="21"/>
                    </w:rPr>
                    <w:t>元，由此产生的经济损失和法律责任等一切责任，全部由供应商承担）</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4404E2">
                  <w:pPr>
                    <w:pStyle w:val="5"/>
                    <w:jc w:val="center"/>
                  </w:pP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88386B"/>
              </w:tc>
            </w:tr>
            <w:tr w14:paraId="257DC0D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vMerge w:val="continue"/>
                  <w:tcBorders>
                    <w:top w:val="nil"/>
                    <w:left w:val="single" w:color="000000" w:sz="4" w:space="0"/>
                    <w:bottom w:val="single" w:color="000000" w:sz="4" w:space="0"/>
                    <w:right w:val="single" w:color="000000" w:sz="4" w:space="0"/>
                  </w:tcBorders>
                </w:tcPr>
                <w:p w14:paraId="2C3F7400"/>
              </w:tc>
              <w:tc>
                <w:tcPr>
                  <w:tcW w:w="145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D03AF8">
                  <w:pPr>
                    <w:pStyle w:val="5"/>
                    <w:jc w:val="both"/>
                  </w:pPr>
                  <w:r>
                    <w:rPr>
                      <w:rFonts w:ascii="宋体" w:hAnsi="宋体" w:eastAsia="宋体" w:cs="宋体"/>
                      <w:sz w:val="21"/>
                    </w:rPr>
                    <w:t>转运出医院的医疗废物由处置公司按照符合国家环保要求的方式进行处置。（未按要求执行，先予以提醒，拒不配合的每次扣</w:t>
                  </w:r>
                  <w:r>
                    <w:rPr>
                      <w:rFonts w:ascii="Calibri" w:hAnsi="Calibri" w:eastAsia="Calibri" w:cs="Calibri"/>
                      <w:sz w:val="21"/>
                    </w:rPr>
                    <w:t xml:space="preserve">100 </w:t>
                  </w:r>
                  <w:r>
                    <w:rPr>
                      <w:rFonts w:ascii="宋体" w:hAnsi="宋体" w:eastAsia="宋体" w:cs="宋体"/>
                      <w:sz w:val="21"/>
                    </w:rPr>
                    <w:t>元）</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4946BB">
                  <w:pPr>
                    <w:pStyle w:val="5"/>
                    <w:jc w:val="center"/>
                  </w:pP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385DAF"/>
              </w:tc>
            </w:tr>
            <w:tr w14:paraId="6B5F65D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vMerge w:val="continue"/>
                  <w:tcBorders>
                    <w:top w:val="nil"/>
                    <w:left w:val="single" w:color="000000" w:sz="4" w:space="0"/>
                    <w:bottom w:val="single" w:color="000000" w:sz="4" w:space="0"/>
                    <w:right w:val="single" w:color="000000" w:sz="4" w:space="0"/>
                  </w:tcBorders>
                </w:tcPr>
                <w:p w14:paraId="0E5D4F60"/>
              </w:tc>
              <w:tc>
                <w:tcPr>
                  <w:tcW w:w="145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2B059F">
                  <w:pPr>
                    <w:pStyle w:val="5"/>
                    <w:jc w:val="both"/>
                  </w:pPr>
                  <w:r>
                    <w:rPr>
                      <w:rFonts w:ascii="宋体" w:hAnsi="宋体" w:eastAsia="宋体" w:cs="宋体"/>
                      <w:sz w:val="21"/>
                    </w:rPr>
                    <w:t>法定节假日能保证服务正常进行。（未按要求执行，先予以提醒，拒不配合的每次扣</w:t>
                  </w:r>
                  <w:r>
                    <w:rPr>
                      <w:rFonts w:ascii="Calibri" w:hAnsi="Calibri" w:eastAsia="Calibri" w:cs="Calibri"/>
                      <w:sz w:val="21"/>
                    </w:rPr>
                    <w:t xml:space="preserve">100 </w:t>
                  </w:r>
                  <w:r>
                    <w:rPr>
                      <w:rFonts w:ascii="宋体" w:hAnsi="宋体" w:eastAsia="宋体" w:cs="宋体"/>
                      <w:sz w:val="21"/>
                    </w:rPr>
                    <w:t>元）</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0D3817">
                  <w:pPr>
                    <w:pStyle w:val="5"/>
                    <w:jc w:val="center"/>
                  </w:pP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48D8CF"/>
              </w:tc>
            </w:tr>
            <w:tr w14:paraId="2D62E63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vMerge w:val="continue"/>
                  <w:tcBorders>
                    <w:top w:val="nil"/>
                    <w:left w:val="single" w:color="000000" w:sz="4" w:space="0"/>
                    <w:bottom w:val="single" w:color="000000" w:sz="4" w:space="0"/>
                    <w:right w:val="single" w:color="000000" w:sz="4" w:space="0"/>
                  </w:tcBorders>
                </w:tcPr>
                <w:p w14:paraId="6BDEE442"/>
              </w:tc>
              <w:tc>
                <w:tcPr>
                  <w:tcW w:w="145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5F15CF">
                  <w:pPr>
                    <w:pStyle w:val="5"/>
                    <w:jc w:val="both"/>
                  </w:pPr>
                  <w:r>
                    <w:rPr>
                      <w:rFonts w:ascii="宋体" w:hAnsi="宋体" w:eastAsia="宋体" w:cs="宋体"/>
                      <w:sz w:val="21"/>
                    </w:rPr>
                    <w:t>供应商需根据采购单位要求对被感染性医疗废物污染过的生活垃圾、办公用品等物品进行处置，不得推诿。（未按要求执行，先予以提醒，拒不配合的每次扣</w:t>
                  </w:r>
                  <w:r>
                    <w:rPr>
                      <w:rFonts w:ascii="Calibri" w:hAnsi="Calibri" w:eastAsia="Calibri" w:cs="Calibri"/>
                      <w:sz w:val="21"/>
                    </w:rPr>
                    <w:t xml:space="preserve">100 </w:t>
                  </w:r>
                  <w:r>
                    <w:rPr>
                      <w:rFonts w:ascii="宋体" w:hAnsi="宋体" w:eastAsia="宋体" w:cs="宋体"/>
                      <w:sz w:val="21"/>
                    </w:rPr>
                    <w:t>元）</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93ECD2">
                  <w:pPr>
                    <w:pStyle w:val="5"/>
                    <w:jc w:val="center"/>
                  </w:pP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42B27F"/>
              </w:tc>
            </w:tr>
            <w:tr w14:paraId="00E27CC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vMerge w:val="continue"/>
                  <w:tcBorders>
                    <w:top w:val="nil"/>
                    <w:left w:val="single" w:color="000000" w:sz="4" w:space="0"/>
                    <w:bottom w:val="single" w:color="000000" w:sz="4" w:space="0"/>
                    <w:right w:val="single" w:color="000000" w:sz="4" w:space="0"/>
                  </w:tcBorders>
                </w:tcPr>
                <w:p w14:paraId="3AB8A693"/>
              </w:tc>
              <w:tc>
                <w:tcPr>
                  <w:tcW w:w="145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1DD81A">
                  <w:pPr>
                    <w:pStyle w:val="5"/>
                    <w:jc w:val="both"/>
                  </w:pPr>
                  <w:r>
                    <w:rPr>
                      <w:rFonts w:ascii="宋体" w:hAnsi="宋体" w:eastAsia="宋体" w:cs="宋体"/>
                      <w:sz w:val="21"/>
                    </w:rPr>
                    <w:t>供应商配置的服务人员在院区内禁止吸烟，污物通道和暂存间内禁止饮食，禁止随地大小便，禁止挪用采购人的医废转运工具，禁止在转运过程中将医废包装袋从转运箱中取出，未经许可禁止从其他路线转运，禁止在暂存间内清洗周转箱。（未按要求执行，先予以提醒，拒不配合的每次扣</w:t>
                  </w:r>
                  <w:r>
                    <w:rPr>
                      <w:rFonts w:ascii="Calibri" w:hAnsi="Calibri" w:eastAsia="Calibri" w:cs="Calibri"/>
                      <w:sz w:val="21"/>
                    </w:rPr>
                    <w:t xml:space="preserve">100 </w:t>
                  </w:r>
                  <w:r>
                    <w:rPr>
                      <w:rFonts w:ascii="宋体" w:hAnsi="宋体" w:eastAsia="宋体" w:cs="宋体"/>
                      <w:sz w:val="21"/>
                    </w:rPr>
                    <w:t>元）</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E6ECC8">
                  <w:pPr>
                    <w:pStyle w:val="5"/>
                    <w:jc w:val="center"/>
                  </w:pP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D9D86B"/>
              </w:tc>
            </w:tr>
            <w:tr w14:paraId="3C6C35B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vMerge w:val="continue"/>
                  <w:tcBorders>
                    <w:top w:val="nil"/>
                    <w:left w:val="single" w:color="000000" w:sz="4" w:space="0"/>
                    <w:bottom w:val="single" w:color="000000" w:sz="4" w:space="0"/>
                    <w:right w:val="single" w:color="000000" w:sz="4" w:space="0"/>
                  </w:tcBorders>
                </w:tcPr>
                <w:p w14:paraId="73F57A82"/>
              </w:tc>
              <w:tc>
                <w:tcPr>
                  <w:tcW w:w="145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CF581B">
                  <w:pPr>
                    <w:pStyle w:val="5"/>
                    <w:jc w:val="both"/>
                  </w:pPr>
                  <w:r>
                    <w:rPr>
                      <w:rFonts w:ascii="宋体" w:hAnsi="宋体" w:eastAsia="宋体" w:cs="宋体"/>
                      <w:sz w:val="21"/>
                    </w:rPr>
                    <w:t>供应商未按采购文件要求提供医疗废物安全处置服务，而导致被相关部门问责的，全额赔偿监管部门的罚款，并承担相应法律责任。</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1EC15C">
                  <w:pPr>
                    <w:pStyle w:val="5"/>
                    <w:jc w:val="center"/>
                  </w:pP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DF333D"/>
              </w:tc>
            </w:tr>
          </w:tbl>
          <w:p w14:paraId="46CD9563"/>
        </w:tc>
      </w:tr>
      <w:tr w14:paraId="6233395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A0BD4D7">
            <w:pPr>
              <w:pStyle w:val="5"/>
              <w:jc w:val="left"/>
            </w:pPr>
            <w:r>
              <w:t>3</w:t>
            </w:r>
          </w:p>
        </w:tc>
        <w:tc>
          <w:tcPr>
            <w:tcW w:w="2769" w:type="dxa"/>
          </w:tcPr>
          <w:p w14:paraId="055DD872"/>
        </w:tc>
        <w:tc>
          <w:tcPr>
            <w:tcW w:w="2769" w:type="dxa"/>
          </w:tcPr>
          <w:p w14:paraId="74A52453">
            <w:pPr>
              <w:pStyle w:val="5"/>
              <w:jc w:val="left"/>
            </w:pPr>
            <w:r>
              <w:rPr>
                <w:rFonts w:ascii="宋体" w:hAnsi="宋体" w:eastAsia="宋体" w:cs="宋体"/>
                <w:sz w:val="21"/>
              </w:rPr>
              <w:t>（三）其他要求：（注:相关评审详见5.4.2评分标准要求）</w:t>
            </w:r>
          </w:p>
          <w:p w14:paraId="60F5E7F0">
            <w:pPr>
              <w:pStyle w:val="5"/>
              <w:jc w:val="left"/>
            </w:pPr>
            <w:r>
              <w:rPr>
                <w:rFonts w:ascii="宋体" w:hAnsi="宋体" w:eastAsia="宋体" w:cs="宋体"/>
                <w:color w:val="000000"/>
                <w:sz w:val="21"/>
                <w:shd w:val="clear" w:fill="FFFFFF"/>
              </w:rPr>
              <w:t>1.医疗废物处置工作流程：根据响应文件提供的医疗废物处置工作流程，内容包含①管理措施，②交接登记制度，③运输方案，④卫生安全防护措施，⑤消毒培训计划。</w:t>
            </w:r>
          </w:p>
          <w:p w14:paraId="3224A3B2">
            <w:pPr>
              <w:pStyle w:val="5"/>
              <w:jc w:val="left"/>
            </w:pPr>
            <w:r>
              <w:rPr>
                <w:rFonts w:ascii="宋体" w:hAnsi="宋体" w:eastAsia="宋体" w:cs="宋体"/>
                <w:color w:val="000000"/>
                <w:sz w:val="21"/>
                <w:shd w:val="clear" w:fill="FFFFFF"/>
              </w:rPr>
              <w:t>2.医疗废物处置应急预案：根据响应文件提供的医疗废物处置应急预案，内容包含①防医疗废物流失，②防医疗废物泄露，③防医疗废物扩散，④交通意外事故，⑤紧急事件处理流程和上报制度。</w:t>
            </w:r>
          </w:p>
          <w:p w14:paraId="4204CCE1">
            <w:pPr>
              <w:pStyle w:val="5"/>
              <w:jc w:val="left"/>
            </w:pPr>
            <w:r>
              <w:rPr>
                <w:rFonts w:ascii="宋体" w:hAnsi="宋体" w:eastAsia="宋体" w:cs="宋体"/>
                <w:color w:val="000000"/>
                <w:sz w:val="21"/>
                <w:shd w:val="clear" w:fill="FFFFFF"/>
              </w:rPr>
              <w:t>3.应急管理方案：供应商根据本项目的内容及要求提供应急管理方案，方案包含①应急管理制度；②应急人员安排；③突发事故处置应急预案。</w:t>
            </w:r>
          </w:p>
          <w:p w14:paraId="1D1AED58">
            <w:pPr>
              <w:pStyle w:val="5"/>
              <w:jc w:val="left"/>
            </w:pPr>
            <w:r>
              <w:rPr>
                <w:rFonts w:ascii="宋体" w:hAnsi="宋体" w:eastAsia="宋体" w:cs="宋体"/>
                <w:color w:val="000000"/>
                <w:sz w:val="21"/>
                <w:shd w:val="clear" w:fill="FFFFFF"/>
              </w:rPr>
              <w:t>4.培训方案：根据供应商针对本项目提供的培训方案进行评分，内容包括①理念性知识培训，②流程管理知识培训，③医疗废物运送培训，④院感知识培训，⑤应急演练。</w:t>
            </w:r>
          </w:p>
          <w:p w14:paraId="77AA864F">
            <w:pPr>
              <w:pStyle w:val="5"/>
              <w:jc w:val="left"/>
            </w:pPr>
            <w:r>
              <w:rPr>
                <w:rFonts w:ascii="宋体" w:hAnsi="宋体" w:eastAsia="宋体" w:cs="宋体"/>
                <w:color w:val="000000"/>
                <w:sz w:val="21"/>
                <w:shd w:val="clear" w:fill="FFFFFF"/>
              </w:rPr>
              <w:t>5.供应商实力：①供应商在满足本磋商文件第三章3.2.2服务要求“（二）服务要求第1项”人员基础上，增加专职转运人员 ②供应商在满足本磋商文件第三章3.2.2服务要求“（二）服务要求第1项”车辆基础上，增加一辆运输专用车辆。③供应商在基本处置生产线基础上对感染性和损伤性两类产生量较大的医疗废物的处置，建设有备用处置生产线。</w:t>
            </w:r>
          </w:p>
          <w:p w14:paraId="6DA5ECF4">
            <w:pPr>
              <w:pStyle w:val="5"/>
              <w:jc w:val="left"/>
            </w:pPr>
            <w:r>
              <w:rPr>
                <w:rFonts w:ascii="宋体" w:hAnsi="宋体" w:eastAsia="宋体" w:cs="宋体"/>
                <w:color w:val="000000"/>
                <w:sz w:val="21"/>
                <w:shd w:val="clear" w:fill="FFFFFF"/>
              </w:rPr>
              <w:t xml:space="preserve">6.履约经验：供应商2020年1月1日（含）至今具有与本项目类似的履约经验，供应商提供中标（成交）通知书或合同复印件并加盖鲜章。    </w:t>
            </w:r>
          </w:p>
        </w:tc>
      </w:tr>
      <w:tr w14:paraId="486150A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CAB4287">
            <w:pPr>
              <w:pStyle w:val="5"/>
              <w:jc w:val="left"/>
            </w:pPr>
            <w:r>
              <w:t>4</w:t>
            </w:r>
          </w:p>
        </w:tc>
        <w:tc>
          <w:tcPr>
            <w:tcW w:w="2769" w:type="dxa"/>
          </w:tcPr>
          <w:p w14:paraId="069FF795"/>
        </w:tc>
        <w:tc>
          <w:tcPr>
            <w:tcW w:w="2769" w:type="dxa"/>
          </w:tcPr>
          <w:p w14:paraId="6BFA2D78">
            <w:pPr>
              <w:pStyle w:val="5"/>
              <w:jc w:val="both"/>
            </w:pPr>
            <w:r>
              <w:rPr>
                <w:rFonts w:ascii="宋体" w:hAnsi="宋体" w:eastAsia="宋体" w:cs="宋体"/>
                <w:b/>
                <w:color w:val="000000"/>
                <w:sz w:val="21"/>
              </w:rPr>
              <w:t>注：1.标注“★”号条款为实质性要求，实质性条款负偏离将视为非实质性响应磋商文件要求，响应文件做无效处理。</w:t>
            </w:r>
          </w:p>
          <w:p w14:paraId="38797BBF">
            <w:pPr>
              <w:pStyle w:val="5"/>
              <w:jc w:val="both"/>
            </w:pPr>
            <w:r>
              <w:rPr>
                <w:rFonts w:ascii="宋体" w:hAnsi="宋体" w:eastAsia="宋体" w:cs="宋体"/>
                <w:b/>
                <w:color w:val="000000"/>
                <w:sz w:val="21"/>
              </w:rPr>
              <w:t>2.技术条款中，要求提供证明材料的，供应商应提供相关材料，否则相关条款视为负偏离的风险由供应商自行承担。（供应商应当根据本项目实际情况提供真实、客观的证明材料）</w:t>
            </w:r>
          </w:p>
        </w:tc>
      </w:tr>
    </w:tbl>
    <w:p w14:paraId="64A66356">
      <w:pPr>
        <w:pStyle w:val="5"/>
        <w:jc w:val="left"/>
        <w:outlineLvl w:val="2"/>
      </w:pPr>
      <w:r>
        <w:rPr>
          <w:b/>
          <w:sz w:val="28"/>
        </w:rPr>
        <w:t>3.4.服务要求</w:t>
      </w:r>
    </w:p>
    <w:p w14:paraId="724D9E2E">
      <w:pPr>
        <w:pStyle w:val="5"/>
        <w:jc w:val="left"/>
        <w:outlineLvl w:val="3"/>
      </w:pPr>
      <w:r>
        <w:rPr>
          <w:b/>
          <w:sz w:val="24"/>
        </w:rPr>
        <w:t>3.4.1服务内容要求</w:t>
      </w:r>
    </w:p>
    <w:p w14:paraId="1D2A0EE7">
      <w:pPr>
        <w:pStyle w:val="5"/>
        <w:ind w:firstLine="480"/>
        <w:jc w:val="left"/>
      </w:pPr>
      <w:r>
        <w:t>采购包1：</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7EFA86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0E59FC1">
            <w:pPr>
              <w:pStyle w:val="5"/>
              <w:jc w:val="left"/>
            </w:pPr>
            <w:r>
              <w:t xml:space="preserve"> 序号</w:t>
            </w:r>
          </w:p>
        </w:tc>
        <w:tc>
          <w:tcPr>
            <w:tcW w:w="2076" w:type="dxa"/>
          </w:tcPr>
          <w:p w14:paraId="1529FA8A">
            <w:pPr>
              <w:pStyle w:val="5"/>
              <w:jc w:val="left"/>
            </w:pPr>
            <w:r>
              <w:t xml:space="preserve"> 符号标识</w:t>
            </w:r>
          </w:p>
        </w:tc>
        <w:tc>
          <w:tcPr>
            <w:tcW w:w="2076" w:type="dxa"/>
          </w:tcPr>
          <w:p w14:paraId="1728E8EF">
            <w:pPr>
              <w:pStyle w:val="5"/>
              <w:jc w:val="left"/>
            </w:pPr>
            <w:r>
              <w:t xml:space="preserve"> 服务要求名称</w:t>
            </w:r>
          </w:p>
        </w:tc>
        <w:tc>
          <w:tcPr>
            <w:tcW w:w="2076" w:type="dxa"/>
          </w:tcPr>
          <w:p w14:paraId="526E5A3A">
            <w:pPr>
              <w:pStyle w:val="5"/>
              <w:jc w:val="left"/>
            </w:pPr>
            <w:r>
              <w:t xml:space="preserve"> 服务要求内容</w:t>
            </w:r>
          </w:p>
        </w:tc>
      </w:tr>
      <w:tr w14:paraId="765E66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380DB26">
            <w:pPr>
              <w:pStyle w:val="5"/>
              <w:jc w:val="left"/>
            </w:pPr>
            <w:r>
              <w:t>1</w:t>
            </w:r>
          </w:p>
        </w:tc>
        <w:tc>
          <w:tcPr>
            <w:tcW w:w="2076" w:type="dxa"/>
          </w:tcPr>
          <w:p w14:paraId="2B12B431"/>
        </w:tc>
        <w:tc>
          <w:tcPr>
            <w:tcW w:w="2076" w:type="dxa"/>
          </w:tcPr>
          <w:p w14:paraId="54C25D2C">
            <w:pPr>
              <w:pStyle w:val="5"/>
              <w:jc w:val="left"/>
            </w:pPr>
            <w:r>
              <w:t>服务要求</w:t>
            </w:r>
          </w:p>
        </w:tc>
        <w:tc>
          <w:tcPr>
            <w:tcW w:w="2076" w:type="dxa"/>
          </w:tcPr>
          <w:p w14:paraId="59468F93">
            <w:pPr>
              <w:pStyle w:val="5"/>
              <w:jc w:val="left"/>
            </w:pPr>
            <w:r>
              <w:rPr>
                <w:rFonts w:ascii="宋体" w:hAnsi="宋体" w:eastAsia="宋体" w:cs="宋体"/>
                <w:sz w:val="21"/>
              </w:rPr>
              <w:t>（一）服务要求</w:t>
            </w:r>
          </w:p>
          <w:p w14:paraId="2EF7ADF4">
            <w:pPr>
              <w:pStyle w:val="5"/>
              <w:jc w:val="left"/>
            </w:pPr>
            <w:r>
              <w:rPr>
                <w:rFonts w:ascii="Calibri" w:hAnsi="Calibri" w:eastAsia="Calibri" w:cs="Calibri"/>
                <w:sz w:val="21"/>
              </w:rPr>
              <w:t>1.</w:t>
            </w:r>
            <w:r>
              <w:rPr>
                <w:rFonts w:ascii="宋体" w:hAnsi="宋体" w:eastAsia="宋体" w:cs="宋体"/>
                <w:sz w:val="21"/>
              </w:rPr>
              <w:t>供应商具有专用的医废转运车辆，并配备</w:t>
            </w:r>
            <w:r>
              <w:rPr>
                <w:rFonts w:ascii="Calibri" w:hAnsi="Calibri" w:eastAsia="Calibri" w:cs="Calibri"/>
                <w:sz w:val="21"/>
              </w:rPr>
              <w:t>2</w:t>
            </w:r>
            <w:r>
              <w:rPr>
                <w:rFonts w:ascii="宋体" w:hAnsi="宋体" w:eastAsia="宋体" w:cs="宋体"/>
                <w:sz w:val="21"/>
              </w:rPr>
              <w:t>名专职转运人员，着装统一，佩戴防护手套和口罩。供应商需具备污泥池清掏及污泥无害化处置专用设备、装置和危险废物运输车辆，配置运输转用车辆</w:t>
            </w:r>
            <w:r>
              <w:rPr>
                <w:rFonts w:ascii="Calibri" w:hAnsi="Calibri" w:eastAsia="Calibri" w:cs="Calibri"/>
                <w:sz w:val="21"/>
              </w:rPr>
              <w:t>2</w:t>
            </w:r>
            <w:r>
              <w:rPr>
                <w:rFonts w:ascii="宋体" w:hAnsi="宋体" w:eastAsia="宋体" w:cs="宋体"/>
                <w:sz w:val="21"/>
              </w:rPr>
              <w:t>台。</w:t>
            </w:r>
          </w:p>
          <w:p w14:paraId="754EC018">
            <w:pPr>
              <w:pStyle w:val="5"/>
              <w:jc w:val="left"/>
            </w:pPr>
            <w:r>
              <w:rPr>
                <w:rFonts w:ascii="Calibri" w:hAnsi="Calibri" w:eastAsia="Calibri" w:cs="Calibri"/>
              </w:rPr>
              <w:t>2.</w:t>
            </w:r>
            <w:r>
              <w:rPr>
                <w:rFonts w:ascii="宋体" w:hAnsi="宋体" w:eastAsia="宋体" w:cs="宋体"/>
                <w:sz w:val="21"/>
              </w:rPr>
              <w:t>供应商应在接到采购人通知之日起</w:t>
            </w:r>
            <w:r>
              <w:rPr>
                <w:rFonts w:ascii="Calibri" w:hAnsi="Calibri" w:eastAsia="Calibri" w:cs="Calibri"/>
                <w:sz w:val="21"/>
              </w:rPr>
              <w:t>2</w:t>
            </w:r>
            <w:r>
              <w:rPr>
                <w:rFonts w:ascii="宋体" w:hAnsi="宋体" w:eastAsia="宋体" w:cs="宋体"/>
                <w:sz w:val="21"/>
              </w:rPr>
              <w:t>天内安排车辆将采购单位暂存的“五类”医疗废物转运出医院，医疗废物转运人员与医院医疗废物专职管理人员在转运联单上签字后才能将废弃物转运出医院。采购人将医疗废物移交给供应商后产生的环境污染事故及其他损害，由供应商承担相应责任。</w:t>
            </w:r>
          </w:p>
          <w:p w14:paraId="1CF53C63">
            <w:pPr>
              <w:pStyle w:val="5"/>
              <w:jc w:val="left"/>
            </w:pPr>
            <w:r>
              <w:rPr>
                <w:rFonts w:ascii="Calibri" w:hAnsi="Calibri" w:eastAsia="Calibri" w:cs="Calibri"/>
                <w:sz w:val="21"/>
              </w:rPr>
              <w:t>3.</w:t>
            </w:r>
            <w:r>
              <w:rPr>
                <w:rFonts w:ascii="宋体" w:hAnsi="宋体" w:eastAsia="宋体" w:cs="宋体"/>
                <w:sz w:val="21"/>
              </w:rPr>
              <w:t>供应商转运时需使用周转箱转运，保证医疗废物密封转运，不遗撒、不泄露、不中途取出、不倒卖。供应商在对医疗废物处置过程中禁止转让、买卖、泄露医疗废物，禁止在非处置地点堆放医疗废物，禁止将医疗废物混入其他废物和生活废物中。如发生医疗废物流失、泄露、扩散和意外事故时，供应商需即时报告管理部门，并由供应商承担相应责任。</w:t>
            </w:r>
          </w:p>
          <w:p w14:paraId="4B0E7759">
            <w:pPr>
              <w:pStyle w:val="5"/>
              <w:jc w:val="left"/>
            </w:pPr>
            <w:r>
              <w:rPr>
                <w:rFonts w:ascii="Calibri" w:hAnsi="Calibri" w:eastAsia="Calibri" w:cs="Calibri"/>
                <w:sz w:val="21"/>
              </w:rPr>
              <w:t>4.</w:t>
            </w:r>
            <w:r>
              <w:rPr>
                <w:rFonts w:ascii="宋体" w:hAnsi="宋体" w:eastAsia="宋体" w:cs="宋体"/>
                <w:sz w:val="21"/>
              </w:rPr>
              <w:t>供应商在医疗废物处置过程中，医疗废物交接记录需包含《院外医疗机构医疗废物转运到院登记本》、《医疗废物废物转移联单》，要求记录医疗废物来源、种类、重量或数量、交接时间、处置方法、最终去向、经办人签名等项目信息。《院外医疗机构医疗废物转运到院登记本》、《医疗废物废物转移联单》资料保存期限不少于</w:t>
            </w:r>
            <w:r>
              <w:rPr>
                <w:rFonts w:ascii="Calibri" w:hAnsi="Calibri" w:eastAsia="Calibri" w:cs="Calibri"/>
                <w:sz w:val="21"/>
              </w:rPr>
              <w:t>3</w:t>
            </w:r>
            <w:r>
              <w:rPr>
                <w:rFonts w:ascii="宋体" w:hAnsi="宋体" w:eastAsia="宋体" w:cs="宋体"/>
                <w:sz w:val="21"/>
              </w:rPr>
              <w:t>年。</w:t>
            </w:r>
          </w:p>
          <w:p w14:paraId="3598214A">
            <w:pPr>
              <w:pStyle w:val="5"/>
              <w:jc w:val="left"/>
            </w:pPr>
            <w:r>
              <w:rPr>
                <w:rFonts w:ascii="Calibri" w:hAnsi="Calibri" w:eastAsia="Calibri" w:cs="Calibri"/>
                <w:sz w:val="21"/>
              </w:rPr>
              <w:t>5.</w:t>
            </w:r>
            <w:r>
              <w:rPr>
                <w:rFonts w:ascii="宋体" w:hAnsi="宋体" w:eastAsia="宋体" w:cs="宋体"/>
                <w:sz w:val="21"/>
              </w:rPr>
              <w:t>供应商需提供医疗废物在转移过程中可能发生环境污染事件的应急预案。当发生重大突发应急事件时，供应商需按生态环境部门和卫生部门的相关文件要求对医疗废物及时处置，否则采购人有权终止合同，并追究供应商造成的一切法律责任和经济赔偿。</w:t>
            </w:r>
          </w:p>
          <w:p w14:paraId="3A95E89D">
            <w:pPr>
              <w:pStyle w:val="5"/>
              <w:jc w:val="left"/>
            </w:pPr>
            <w:r>
              <w:rPr>
                <w:rFonts w:ascii="Calibri" w:hAnsi="Calibri" w:eastAsia="Calibri" w:cs="Calibri"/>
                <w:sz w:val="21"/>
              </w:rPr>
              <w:t>6.</w:t>
            </w:r>
            <w:r>
              <w:rPr>
                <w:rFonts w:ascii="宋体" w:hAnsi="宋体" w:eastAsia="宋体" w:cs="宋体"/>
                <w:sz w:val="21"/>
              </w:rPr>
              <w:t>供应商需协助采购人完成履约期限内的危险废物年度报告、来年危险废物管理计划及日常“无废四川”系统的数据、报表等填报工作。</w:t>
            </w:r>
          </w:p>
          <w:p w14:paraId="4A9CC0D2">
            <w:pPr>
              <w:pStyle w:val="5"/>
              <w:jc w:val="left"/>
            </w:pPr>
            <w:r>
              <w:rPr>
                <w:rFonts w:ascii="Calibri" w:hAnsi="Calibri" w:eastAsia="Calibri" w:cs="Calibri"/>
                <w:sz w:val="21"/>
              </w:rPr>
              <w:t>7.</w:t>
            </w:r>
            <w:r>
              <w:rPr>
                <w:rFonts w:ascii="宋体" w:hAnsi="宋体" w:eastAsia="宋体" w:cs="宋体"/>
                <w:sz w:val="21"/>
              </w:rPr>
              <w:t>供应商履约期间，禁止在采购单位院区内吸烟，禁止在污物通道和暂存间内饮食，禁止随地大小便，禁止挪用院方的医废转运工具，禁止在转运过程中将医废包装袋从转运箱中取出，或未经许可从其他路线转运，禁止在暂存间内清洗周转箱。</w:t>
            </w:r>
          </w:p>
          <w:p w14:paraId="44C48CC8">
            <w:pPr>
              <w:pStyle w:val="5"/>
              <w:jc w:val="left"/>
            </w:pPr>
            <w:r>
              <w:rPr>
                <w:rFonts w:ascii="Calibri" w:hAnsi="Calibri" w:eastAsia="Calibri" w:cs="Calibri"/>
                <w:sz w:val="21"/>
              </w:rPr>
              <w:t>8.</w:t>
            </w:r>
            <w:r>
              <w:rPr>
                <w:rFonts w:ascii="宋体" w:hAnsi="宋体" w:eastAsia="宋体" w:cs="宋体"/>
                <w:sz w:val="21"/>
              </w:rPr>
              <w:t>污泥清掏期间应当注意安全，供应商需采取必要的安全保障措施，防止意外事故发生。供应商需承担在污泥清掏过程中发生的工伤事故、人身伤亡、财产损失、交通违法等技术、安全事故和责任。</w:t>
            </w:r>
          </w:p>
          <w:p w14:paraId="7FA3F5B9">
            <w:pPr>
              <w:pStyle w:val="5"/>
              <w:ind w:firstLine="480"/>
              <w:jc w:val="both"/>
            </w:pPr>
            <w:r>
              <w:rPr>
                <w:rFonts w:ascii="Calibri" w:hAnsi="Calibri" w:eastAsia="Calibri" w:cs="Calibri"/>
                <w:sz w:val="21"/>
              </w:rPr>
              <w:t>9.</w:t>
            </w:r>
            <w:r>
              <w:rPr>
                <w:rFonts w:ascii="宋体" w:hAnsi="宋体" w:eastAsia="宋体" w:cs="宋体"/>
                <w:sz w:val="21"/>
              </w:rPr>
              <w:t>法定节假日、突发环境事件及公共卫生事件期间，供应商需及时响应采购人服务需求，将采购单位的暂存医疗废物运出医院。</w:t>
            </w:r>
          </w:p>
        </w:tc>
      </w:tr>
      <w:tr w14:paraId="64A96F7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4D5D8C6">
            <w:pPr>
              <w:pStyle w:val="5"/>
              <w:jc w:val="left"/>
            </w:pPr>
            <w:r>
              <w:t>2</w:t>
            </w:r>
          </w:p>
        </w:tc>
        <w:tc>
          <w:tcPr>
            <w:tcW w:w="2076" w:type="dxa"/>
          </w:tcPr>
          <w:p w14:paraId="6A99A00F">
            <w:pPr>
              <w:pStyle w:val="5"/>
              <w:jc w:val="left"/>
            </w:pPr>
            <w:r>
              <w:t>★</w:t>
            </w:r>
          </w:p>
        </w:tc>
        <w:tc>
          <w:tcPr>
            <w:tcW w:w="2076" w:type="dxa"/>
          </w:tcPr>
          <w:p w14:paraId="49A1F290">
            <w:pPr>
              <w:pStyle w:val="5"/>
              <w:jc w:val="left"/>
            </w:pPr>
            <w:r>
              <w:t>服务要求</w:t>
            </w:r>
          </w:p>
        </w:tc>
        <w:tc>
          <w:tcPr>
            <w:tcW w:w="2076" w:type="dxa"/>
          </w:tcPr>
          <w:p w14:paraId="6A19CBD1">
            <w:pPr>
              <w:pStyle w:val="5"/>
              <w:jc w:val="left"/>
            </w:pPr>
            <w:r>
              <w:rPr>
                <w:rFonts w:ascii="宋体" w:hAnsi="宋体" w:eastAsia="宋体" w:cs="宋体"/>
                <w:sz w:val="21"/>
              </w:rPr>
              <w:t>（二）服务要求</w:t>
            </w:r>
          </w:p>
          <w:p w14:paraId="43F7A513">
            <w:pPr>
              <w:pStyle w:val="5"/>
              <w:jc w:val="left"/>
            </w:pPr>
            <w:r>
              <w:rPr>
                <w:rFonts w:ascii="Calibri" w:hAnsi="Calibri" w:eastAsia="Calibri" w:cs="Calibri"/>
                <w:sz w:val="21"/>
              </w:rPr>
              <w:t>1.</w:t>
            </w:r>
            <w:r>
              <w:rPr>
                <w:rFonts w:ascii="宋体" w:hAnsi="宋体" w:eastAsia="宋体" w:cs="宋体"/>
                <w:sz w:val="21"/>
              </w:rPr>
              <w:t>供应商配备的医疗废物运输车辆应当安装、悬挂符合《道路运输危险货物车辆标志》要求的警示标志，随车携带防护用品、应急救援器材和危险货物道路运输安全卡，严格遵守道路交通安全法律法规规定，保障道路运输安全。</w:t>
            </w:r>
          </w:p>
          <w:p w14:paraId="25C95706">
            <w:pPr>
              <w:pStyle w:val="5"/>
              <w:jc w:val="left"/>
            </w:pPr>
            <w:r>
              <w:rPr>
                <w:rFonts w:ascii="Calibri" w:hAnsi="Calibri" w:eastAsia="Calibri" w:cs="Calibri"/>
                <w:sz w:val="21"/>
              </w:rPr>
              <w:t>2.</w:t>
            </w:r>
            <w:r>
              <w:rPr>
                <w:rFonts w:ascii="宋体" w:hAnsi="宋体" w:eastAsia="宋体" w:cs="宋体"/>
                <w:sz w:val="21"/>
              </w:rPr>
              <w:t>供应商承诺成交后根据采购人要求提供参与危险货物运输的驾驶人员及押运人员的从业资格证书。（供应商需提供承诺函原件并加盖鲜章）</w:t>
            </w:r>
          </w:p>
          <w:p w14:paraId="31D97D24">
            <w:pPr>
              <w:pStyle w:val="5"/>
              <w:ind w:firstLine="480"/>
              <w:jc w:val="both"/>
            </w:pPr>
            <w:r>
              <w:rPr>
                <w:rFonts w:ascii="Calibri" w:hAnsi="Calibri" w:eastAsia="Calibri" w:cs="Calibri"/>
                <w:sz w:val="21"/>
              </w:rPr>
              <w:t>3.</w:t>
            </w:r>
            <w:r>
              <w:rPr>
                <w:rFonts w:ascii="宋体" w:hAnsi="宋体" w:eastAsia="宋体" w:cs="宋体"/>
                <w:sz w:val="21"/>
              </w:rPr>
              <w:t>供应商对医疗废物处置需遵守《中华人民共和国环境保护法》、《中华人民共和国固体废物污染环境防治法》、《医疗废物管理条例》、《四川省固体废物污染环境防治条例》、《四川省</w:t>
            </w:r>
            <w:r>
              <w:rPr>
                <w:rFonts w:ascii="Calibri" w:hAnsi="Calibri" w:eastAsia="Calibri" w:cs="Calibri"/>
                <w:sz w:val="21"/>
              </w:rPr>
              <w:t>“</w:t>
            </w:r>
            <w:r>
              <w:rPr>
                <w:rFonts w:ascii="宋体" w:hAnsi="宋体" w:eastAsia="宋体" w:cs="宋体"/>
                <w:sz w:val="21"/>
              </w:rPr>
              <w:t>互联网</w:t>
            </w:r>
            <w:r>
              <w:rPr>
                <w:rFonts w:ascii="Calibri" w:hAnsi="Calibri" w:eastAsia="Calibri" w:cs="Calibri"/>
                <w:sz w:val="21"/>
              </w:rPr>
              <w:t>+</w:t>
            </w:r>
            <w:r>
              <w:rPr>
                <w:rFonts w:ascii="宋体" w:hAnsi="宋体" w:eastAsia="宋体" w:cs="宋体"/>
                <w:sz w:val="21"/>
              </w:rPr>
              <w:t>医废监管</w:t>
            </w:r>
            <w:r>
              <w:rPr>
                <w:rFonts w:ascii="Calibri" w:hAnsi="Calibri" w:eastAsia="Calibri" w:cs="Calibri"/>
                <w:sz w:val="21"/>
              </w:rPr>
              <w:t>”</w:t>
            </w:r>
            <w:r>
              <w:rPr>
                <w:rFonts w:ascii="宋体" w:hAnsi="宋体" w:eastAsia="宋体" w:cs="宋体"/>
                <w:sz w:val="21"/>
              </w:rPr>
              <w:t>工作推进方案》、《医疗废物集中处置技术规范（试行）》等法律、法规。</w:t>
            </w:r>
          </w:p>
        </w:tc>
      </w:tr>
      <w:tr w14:paraId="3AB54C6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EAB189A">
            <w:pPr>
              <w:pStyle w:val="5"/>
              <w:jc w:val="left"/>
            </w:pPr>
            <w:r>
              <w:t>3</w:t>
            </w:r>
          </w:p>
        </w:tc>
        <w:tc>
          <w:tcPr>
            <w:tcW w:w="2076" w:type="dxa"/>
          </w:tcPr>
          <w:p w14:paraId="40E4699E"/>
        </w:tc>
        <w:tc>
          <w:tcPr>
            <w:tcW w:w="2076" w:type="dxa"/>
          </w:tcPr>
          <w:p w14:paraId="3C85C0EB">
            <w:pPr>
              <w:pStyle w:val="5"/>
              <w:jc w:val="left"/>
            </w:pPr>
            <w:r>
              <w:t>备注</w:t>
            </w:r>
          </w:p>
        </w:tc>
        <w:tc>
          <w:tcPr>
            <w:tcW w:w="2076" w:type="dxa"/>
          </w:tcPr>
          <w:p w14:paraId="31B4CF0D">
            <w:pPr>
              <w:pStyle w:val="5"/>
              <w:ind w:firstLine="480"/>
              <w:jc w:val="both"/>
            </w:pPr>
            <w:r>
              <w:rPr>
                <w:rFonts w:ascii="宋体" w:hAnsi="宋体" w:eastAsia="宋体" w:cs="宋体"/>
                <w:b/>
                <w:color w:val="000000"/>
                <w:sz w:val="21"/>
              </w:rPr>
              <w:t>注：1.标注“★”号条款为实质性要求，实质性条款负偏离将视为非实质性响应磋商文件要求，响应文件做无效处理。</w:t>
            </w:r>
          </w:p>
          <w:p w14:paraId="74DCED28">
            <w:pPr>
              <w:pStyle w:val="5"/>
              <w:ind w:firstLine="480"/>
              <w:jc w:val="both"/>
            </w:pPr>
            <w:r>
              <w:rPr>
                <w:rFonts w:ascii="宋体" w:hAnsi="宋体" w:eastAsia="宋体" w:cs="宋体"/>
                <w:b/>
                <w:color w:val="000000"/>
                <w:sz w:val="21"/>
              </w:rPr>
              <w:t>2.服务要求条款中，要求提供证明材料的，供应商应提供相关材料，否则相关条款视为负偏离的风险由供应商自行承担。（供应商应当根据本项目实际情况提供真实、客观的证明材料）</w:t>
            </w:r>
          </w:p>
        </w:tc>
      </w:tr>
    </w:tbl>
    <w:p w14:paraId="15779F5C">
      <w:pPr>
        <w:pStyle w:val="5"/>
        <w:jc w:val="left"/>
        <w:outlineLvl w:val="3"/>
      </w:pPr>
      <w:r>
        <w:rPr>
          <w:b/>
          <w:sz w:val="24"/>
        </w:rPr>
        <w:t>3.4.2.商务要求</w:t>
      </w:r>
    </w:p>
    <w:p w14:paraId="254A55AF">
      <w:pPr>
        <w:pStyle w:val="5"/>
        <w:jc w:val="left"/>
      </w:pPr>
      <w:r>
        <w:t>采购包1：</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0FBDB14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E16BC5B">
            <w:pPr>
              <w:pStyle w:val="5"/>
              <w:jc w:val="left"/>
            </w:pPr>
            <w:r>
              <w:t>序号</w:t>
            </w:r>
          </w:p>
        </w:tc>
        <w:tc>
          <w:tcPr>
            <w:tcW w:w="2076" w:type="dxa"/>
          </w:tcPr>
          <w:p w14:paraId="0C8B9A2A">
            <w:pPr>
              <w:pStyle w:val="5"/>
              <w:jc w:val="left"/>
            </w:pPr>
            <w:r>
              <w:t>符号标识</w:t>
            </w:r>
          </w:p>
        </w:tc>
        <w:tc>
          <w:tcPr>
            <w:tcW w:w="2076" w:type="dxa"/>
          </w:tcPr>
          <w:p w14:paraId="0108310D">
            <w:pPr>
              <w:pStyle w:val="5"/>
              <w:jc w:val="left"/>
            </w:pPr>
            <w:r>
              <w:t>商务要求名称</w:t>
            </w:r>
          </w:p>
        </w:tc>
        <w:tc>
          <w:tcPr>
            <w:tcW w:w="2076" w:type="dxa"/>
          </w:tcPr>
          <w:p w14:paraId="0CF58618">
            <w:pPr>
              <w:pStyle w:val="5"/>
              <w:jc w:val="left"/>
            </w:pPr>
            <w:r>
              <w:t>商务要求内容</w:t>
            </w:r>
          </w:p>
        </w:tc>
      </w:tr>
      <w:tr w14:paraId="56BE330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1510B93">
            <w:pPr>
              <w:pStyle w:val="5"/>
              <w:jc w:val="left"/>
            </w:pPr>
            <w:r>
              <w:t>1</w:t>
            </w:r>
          </w:p>
        </w:tc>
        <w:tc>
          <w:tcPr>
            <w:tcW w:w="2076" w:type="dxa"/>
          </w:tcPr>
          <w:p w14:paraId="5C18828E">
            <w:pPr>
              <w:pStyle w:val="5"/>
              <w:jc w:val="left"/>
            </w:pPr>
            <w:r>
              <w:t>★</w:t>
            </w:r>
          </w:p>
        </w:tc>
        <w:tc>
          <w:tcPr>
            <w:tcW w:w="2076" w:type="dxa"/>
          </w:tcPr>
          <w:p w14:paraId="7AD540EB">
            <w:pPr>
              <w:pStyle w:val="5"/>
              <w:jc w:val="left"/>
            </w:pPr>
            <w:r>
              <w:t>服务期限</w:t>
            </w:r>
          </w:p>
        </w:tc>
        <w:tc>
          <w:tcPr>
            <w:tcW w:w="2076" w:type="dxa"/>
          </w:tcPr>
          <w:p w14:paraId="461F1D4B">
            <w:pPr>
              <w:pStyle w:val="5"/>
              <w:jc w:val="left"/>
            </w:pPr>
            <w:r>
              <w:t>自合同签订之日起365日</w:t>
            </w:r>
          </w:p>
        </w:tc>
      </w:tr>
      <w:tr w14:paraId="4517B5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C91EDC2">
            <w:pPr>
              <w:pStyle w:val="5"/>
              <w:jc w:val="left"/>
            </w:pPr>
            <w:r>
              <w:t>2</w:t>
            </w:r>
          </w:p>
        </w:tc>
        <w:tc>
          <w:tcPr>
            <w:tcW w:w="2076" w:type="dxa"/>
          </w:tcPr>
          <w:p w14:paraId="3C7FDC00">
            <w:pPr>
              <w:pStyle w:val="5"/>
              <w:jc w:val="left"/>
            </w:pPr>
            <w:r>
              <w:t>★</w:t>
            </w:r>
          </w:p>
        </w:tc>
        <w:tc>
          <w:tcPr>
            <w:tcW w:w="2076" w:type="dxa"/>
          </w:tcPr>
          <w:p w14:paraId="4B0585CA">
            <w:pPr>
              <w:pStyle w:val="5"/>
              <w:jc w:val="left"/>
            </w:pPr>
            <w:r>
              <w:t>服务地点</w:t>
            </w:r>
          </w:p>
        </w:tc>
        <w:tc>
          <w:tcPr>
            <w:tcW w:w="2076" w:type="dxa"/>
          </w:tcPr>
          <w:p w14:paraId="38BBCB66">
            <w:pPr>
              <w:pStyle w:val="5"/>
              <w:jc w:val="left"/>
            </w:pPr>
            <w:r>
              <w:t>采购人指定地点</w:t>
            </w:r>
          </w:p>
        </w:tc>
      </w:tr>
      <w:tr w14:paraId="71EDEA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A9994C3">
            <w:pPr>
              <w:pStyle w:val="5"/>
              <w:jc w:val="left"/>
            </w:pPr>
            <w:r>
              <w:t>3</w:t>
            </w:r>
          </w:p>
        </w:tc>
        <w:tc>
          <w:tcPr>
            <w:tcW w:w="2076" w:type="dxa"/>
          </w:tcPr>
          <w:p w14:paraId="7336FA30">
            <w:pPr>
              <w:pStyle w:val="5"/>
              <w:jc w:val="left"/>
            </w:pPr>
            <w:r>
              <w:t>★</w:t>
            </w:r>
          </w:p>
        </w:tc>
        <w:tc>
          <w:tcPr>
            <w:tcW w:w="2076" w:type="dxa"/>
          </w:tcPr>
          <w:p w14:paraId="214A51C0">
            <w:pPr>
              <w:pStyle w:val="5"/>
              <w:jc w:val="left"/>
            </w:pPr>
            <w:r>
              <w:t>验收、交付标准和方法</w:t>
            </w:r>
          </w:p>
        </w:tc>
        <w:tc>
          <w:tcPr>
            <w:tcW w:w="2076" w:type="dxa"/>
          </w:tcPr>
          <w:p w14:paraId="0F886FC6">
            <w:pPr>
              <w:pStyle w:val="5"/>
              <w:jc w:val="left"/>
            </w:pPr>
            <w:r>
              <w:t>1.验收标准：根据《财政部关于进一步加强政府采购需求和履约验收管理的指导意见》（财库〔2016〕205 号）以及《政府采购需求管理办法》的规定，结合本项目磋商文件、响应文件及采购合同的要求进行验收，验收标准包括所有客观、量化指标，不能明确客观标准、涉及主观判断的，采购人、使用人可以通过开展问卷调查等方式，转化为客观、量化的验收标准。采购人组织验收人员组成验收小组，成交供应商予以配合，所有技术（服务）要求应满足本项目磋商文件、响应文件及采购合同的要求。 2.验收主体：安岳县人民医院。 3.验收方式：由采购人内部组织。4.验收时间：采购人根据实际工作需要每半年验收一次。5.验收程序:分期验收。 6.验收内容及标准：严格按照国家及行业的强制性标准，以及本项目磋商文件（或成交供应商响应文件的响应和承诺）进行验收，《财政部关于进一步加强政府采购需求和履约验收管理的指导意见》（财库〔2016〕205号）。 7.验收结果合格的，成交供应商凭验收报告办理相关手续；验收结果不合格的，采购人将报告本项目同级财政部门按照政府采购相关法律法规的规定给予行政处罚并以失信行为记入诚信档案。 8.考核标准：详见3.2.2服务要求。</w:t>
            </w:r>
          </w:p>
        </w:tc>
      </w:tr>
      <w:tr w14:paraId="209F37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4B8CCAC">
            <w:pPr>
              <w:pStyle w:val="5"/>
              <w:jc w:val="left"/>
            </w:pPr>
            <w:r>
              <w:t>4</w:t>
            </w:r>
          </w:p>
        </w:tc>
        <w:tc>
          <w:tcPr>
            <w:tcW w:w="2076" w:type="dxa"/>
          </w:tcPr>
          <w:p w14:paraId="15239BC1">
            <w:pPr>
              <w:pStyle w:val="5"/>
              <w:jc w:val="left"/>
            </w:pPr>
            <w:r>
              <w:t>★</w:t>
            </w:r>
          </w:p>
        </w:tc>
        <w:tc>
          <w:tcPr>
            <w:tcW w:w="2076" w:type="dxa"/>
          </w:tcPr>
          <w:p w14:paraId="1680F3AD">
            <w:pPr>
              <w:pStyle w:val="5"/>
              <w:jc w:val="left"/>
            </w:pPr>
            <w:r>
              <w:t>支付方式</w:t>
            </w:r>
          </w:p>
        </w:tc>
        <w:tc>
          <w:tcPr>
            <w:tcW w:w="2076" w:type="dxa"/>
          </w:tcPr>
          <w:p w14:paraId="04918BFB">
            <w:pPr>
              <w:pStyle w:val="5"/>
              <w:jc w:val="left"/>
            </w:pPr>
            <w:r>
              <w:t>分期付款</w:t>
            </w:r>
          </w:p>
        </w:tc>
      </w:tr>
      <w:tr w14:paraId="24743E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F8772B8">
            <w:pPr>
              <w:pStyle w:val="5"/>
              <w:jc w:val="left"/>
            </w:pPr>
            <w:r>
              <w:t>5</w:t>
            </w:r>
          </w:p>
        </w:tc>
        <w:tc>
          <w:tcPr>
            <w:tcW w:w="2076" w:type="dxa"/>
          </w:tcPr>
          <w:p w14:paraId="38B3C018">
            <w:pPr>
              <w:pStyle w:val="5"/>
              <w:jc w:val="left"/>
            </w:pPr>
            <w:r>
              <w:t>★</w:t>
            </w:r>
          </w:p>
        </w:tc>
        <w:tc>
          <w:tcPr>
            <w:tcW w:w="2076" w:type="dxa"/>
          </w:tcPr>
          <w:p w14:paraId="42FA7A59">
            <w:pPr>
              <w:pStyle w:val="5"/>
              <w:jc w:val="left"/>
            </w:pPr>
            <w:r>
              <w:t>支付约定</w:t>
            </w:r>
          </w:p>
        </w:tc>
        <w:tc>
          <w:tcPr>
            <w:tcW w:w="2076" w:type="dxa"/>
          </w:tcPr>
          <w:p w14:paraId="24CBBBF1">
            <w:pPr>
              <w:pStyle w:val="5"/>
              <w:jc w:val="left"/>
            </w:pPr>
            <w:r>
              <w:t>1、第一次付款：完成服务期三个月后的下个月初20日内支付相应服务费用。供应商在收款前应向采购开具相应票据，达到付款条件起20日内，支付合同总金额的25.00%</w:t>
            </w:r>
          </w:p>
          <w:p w14:paraId="269A788A">
            <w:pPr>
              <w:pStyle w:val="5"/>
              <w:jc w:val="left"/>
            </w:pPr>
            <w:r>
              <w:t>2、 第二次付款：完成服务期六个月后的下个月初20日内支付相应服务费用。供应商在收款前应向采购开具相应票据，达到付款条件起20日内，支付合同总金额的25.00%</w:t>
            </w:r>
          </w:p>
          <w:p w14:paraId="72FAA3C1">
            <w:pPr>
              <w:pStyle w:val="5"/>
              <w:jc w:val="left"/>
            </w:pPr>
            <w:r>
              <w:t>3、第三次付款：完成服务期九个月后的下个月初20日内支付相应服务费用。供应商在收款前应向采购开具相应票据，达到付款条件起20日内，支付合同总金额的25.00%</w:t>
            </w:r>
          </w:p>
          <w:p w14:paraId="21A321B2">
            <w:pPr>
              <w:pStyle w:val="5"/>
              <w:jc w:val="left"/>
            </w:pPr>
            <w:r>
              <w:t>4、第四次付款：完成服务期十二个月后的下个月初20日内支付相应服务费用。供应商在收款前应向采购开具相应票据，达到付款条件起20日内，支付合同总金额的25.00%</w:t>
            </w:r>
          </w:p>
        </w:tc>
      </w:tr>
      <w:tr w14:paraId="061CC96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FBC7996">
            <w:pPr>
              <w:pStyle w:val="5"/>
              <w:jc w:val="left"/>
            </w:pPr>
            <w:r>
              <w:t>6</w:t>
            </w:r>
          </w:p>
        </w:tc>
        <w:tc>
          <w:tcPr>
            <w:tcW w:w="2076" w:type="dxa"/>
          </w:tcPr>
          <w:p w14:paraId="6C3005AB">
            <w:pPr>
              <w:pStyle w:val="5"/>
              <w:jc w:val="left"/>
            </w:pPr>
            <w:r>
              <w:t>★</w:t>
            </w:r>
          </w:p>
        </w:tc>
        <w:tc>
          <w:tcPr>
            <w:tcW w:w="2076" w:type="dxa"/>
          </w:tcPr>
          <w:p w14:paraId="0DC7F41F">
            <w:pPr>
              <w:pStyle w:val="5"/>
              <w:jc w:val="left"/>
            </w:pPr>
            <w:r>
              <w:t>违约责任与解决争议的方法</w:t>
            </w:r>
          </w:p>
        </w:tc>
        <w:tc>
          <w:tcPr>
            <w:tcW w:w="2076" w:type="dxa"/>
          </w:tcPr>
          <w:p w14:paraId="640C167E">
            <w:pPr>
              <w:pStyle w:val="5"/>
              <w:jc w:val="left"/>
            </w:pPr>
            <w:r>
              <w:t>13.1违约责任（以下内容中“甲方”指采购人，“乙方”指供应商） 13.1.1甲乙双方必须遵守合同并执行合同中的各项规定，保证合同的正常履行。 13.1.2 甲方逾期支付服务费的，除应及时付足服务费外，应向乙方偿付欠款总额万分之五/天的违约金；逾期付款超过15天的，乙方有权终止合同。13.1.3 如因乙方工作人员在履行职务过程中的疏忽、失职、过错等故意或者过失原因给甲方造成损失或侵害，包括但不限于甲方本身的财产损失、由此而导致的甲方对任何第三方的法律责任等，乙方对此均应承担全部的赔偿责任。 13.2 解决争议的方法 13.2.1 在执行合同中发生的或与合同有关的争端，双方应通过友好协商解决，经协商在15天内不能达成协议时，应提交甲方所在地仲裁委员会仲裁。 13.2.2 仲裁裁决应为最终决定，并对双方具有约束力。 13.2.3 除另有裁决外，仲裁费应由败诉方负担。 13.2.4 在仲裁期间，除正在进行仲裁部分外，合同其他部分继续执行。</w:t>
            </w:r>
          </w:p>
        </w:tc>
      </w:tr>
    </w:tbl>
    <w:p w14:paraId="281B1CC1">
      <w:pPr>
        <w:pStyle w:val="5"/>
        <w:jc w:val="left"/>
        <w:outlineLvl w:val="2"/>
      </w:pPr>
      <w:r>
        <w:rPr>
          <w:b/>
          <w:sz w:val="28"/>
        </w:rPr>
        <w:t>3.5.其他要求</w:t>
      </w:r>
    </w:p>
    <w:p w14:paraId="45850056">
      <w:pPr>
        <w:pStyle w:val="5"/>
        <w:ind w:firstLine="480"/>
        <w:jc w:val="left"/>
      </w:pPr>
      <w:r>
        <w:t>采购包1：</w:t>
      </w:r>
    </w:p>
    <w:p w14:paraId="72E86106">
      <w:pPr>
        <w:pStyle w:val="5"/>
        <w:jc w:val="left"/>
      </w:pPr>
      <w:r>
        <w:t>无</w:t>
      </w:r>
    </w:p>
    <w:p w14:paraId="546C0315"/>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dhNTY2MWMxYTM0MTMzZmUxZDgxMTExM2MyZDg2N2MifQ=="/>
  </w:docVars>
  <w:rsids>
    <w:rsidRoot w:val="00000000"/>
    <w:rsid w:val="385D79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paragraph" w:customStyle="1" w:styleId="5">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17</Pages>
  <Words>0</Words>
  <Characters>0</Characters>
  <Lines>0</Lines>
  <Paragraphs>0</Paragraphs>
  <TotalTime>0</TotalTime>
  <ScaleCrop>false</ScaleCrop>
  <LinksUpToDate>false</LinksUpToDate>
  <CharactersWithSpaces>0</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2024-07-26T07:15:19Z</dcterms:created>
  <dc:creator>zxw</dc:creator>
  <cp:lastModifiedBy>Asche</cp:lastModifiedBy>
  <dcterms:modified xsi:type="dcterms:W3CDTF">2024-07-26T07:19:09Z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B6C688CFB56C4469B2990F7BACA3A527_12</vt:lpwstr>
  </property>
</Properties>
</file>