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6E863DC">
      <w:pPr>
        <w:pStyle w:val="102"/>
        <w:spacing w:before="240" w:beforeLines="100" w:line="240" w:lineRule="auto"/>
        <w:ind w:left="0" w:leftChars="0" w:firstLine="0" w:firstLineChars="0"/>
        <w:jc w:val="center"/>
        <w:rPr>
          <w:rFonts w:hint="eastAsia" w:ascii="方正黑体_GBK" w:eastAsia="方正黑体_GBK"/>
          <w:color w:val="auto"/>
          <w:sz w:val="13"/>
          <w:szCs w:val="13"/>
          <w:highlight w:val="none"/>
        </w:rPr>
      </w:pPr>
    </w:p>
    <w:p w14:paraId="519EE163">
      <w:pPr>
        <w:pStyle w:val="102"/>
        <w:spacing w:before="240" w:beforeLines="100" w:line="240" w:lineRule="auto"/>
        <w:ind w:left="0" w:leftChars="0" w:firstLine="0" w:firstLineChars="0"/>
        <w:jc w:val="center"/>
        <w:rPr>
          <w:rFonts w:ascii="方正黑体_GBK" w:eastAsia="方正黑体_GBK"/>
          <w:color w:val="auto"/>
          <w:sz w:val="13"/>
          <w:szCs w:val="13"/>
          <w:highlight w:val="none"/>
        </w:rPr>
      </w:pPr>
    </w:p>
    <w:p w14:paraId="47C66998">
      <w:pPr>
        <w:pStyle w:val="102"/>
        <w:spacing w:before="240" w:beforeLines="100" w:line="240" w:lineRule="auto"/>
        <w:ind w:left="0" w:leftChars="0" w:firstLine="0" w:firstLineChars="0"/>
        <w:jc w:val="center"/>
        <w:rPr>
          <w:rFonts w:ascii="方正黑体_GBK" w:eastAsia="方正黑体_GBK"/>
          <w:color w:val="auto"/>
          <w:sz w:val="100"/>
          <w:szCs w:val="100"/>
          <w:highlight w:val="none"/>
        </w:rPr>
      </w:pPr>
      <w:r>
        <w:rPr>
          <w:rFonts w:hint="eastAsia" w:ascii="方正黑体_GBK" w:eastAsia="方正黑体_GBK"/>
          <w:color w:val="auto"/>
          <w:sz w:val="100"/>
          <w:szCs w:val="100"/>
          <w:highlight w:val="none"/>
        </w:rPr>
        <w:t>政府采购</w:t>
      </w:r>
    </w:p>
    <w:p w14:paraId="10AD50B7">
      <w:pPr>
        <w:pStyle w:val="102"/>
        <w:spacing w:line="240" w:lineRule="auto"/>
        <w:ind w:left="0" w:leftChars="0" w:firstLine="0" w:firstLineChars="0"/>
        <w:jc w:val="center"/>
        <w:rPr>
          <w:rFonts w:ascii="方正黑体_GBK" w:hAnsi="宋体" w:eastAsia="方正黑体_GBK"/>
          <w:color w:val="auto"/>
          <w:sz w:val="130"/>
          <w:szCs w:val="130"/>
          <w:highlight w:val="none"/>
        </w:rPr>
      </w:pPr>
      <w:r>
        <w:rPr>
          <w:rFonts w:hint="eastAsia" w:ascii="方正黑体_GBK" w:hAnsi="宋体" w:eastAsia="方正黑体_GBK"/>
          <w:color w:val="auto"/>
          <w:sz w:val="130"/>
          <w:szCs w:val="130"/>
          <w:highlight w:val="none"/>
        </w:rPr>
        <w:t>招 标 文 件</w:t>
      </w:r>
    </w:p>
    <w:p w14:paraId="786D5DB0">
      <w:pPr>
        <w:pStyle w:val="102"/>
        <w:spacing w:line="240" w:lineRule="auto"/>
        <w:ind w:left="0" w:leftChars="0" w:firstLine="0" w:firstLineChars="0"/>
        <w:rPr>
          <w:color w:val="auto"/>
          <w:szCs w:val="16"/>
          <w:highlight w:val="none"/>
        </w:rPr>
      </w:pPr>
    </w:p>
    <w:p w14:paraId="3119A270">
      <w:pPr>
        <w:pStyle w:val="102"/>
        <w:spacing w:line="240" w:lineRule="auto"/>
        <w:ind w:left="0" w:leftChars="0" w:firstLine="480" w:firstLineChars="200"/>
        <w:rPr>
          <w:rFonts w:ascii="方正黑体_GBK" w:eastAsia="方正黑体_GBK"/>
          <w:color w:val="auto"/>
          <w:szCs w:val="16"/>
          <w:highlight w:val="none"/>
        </w:rPr>
      </w:pPr>
    </w:p>
    <w:p w14:paraId="54EC2D5B">
      <w:pPr>
        <w:pStyle w:val="102"/>
        <w:spacing w:line="240" w:lineRule="auto"/>
        <w:ind w:left="0" w:leftChars="0" w:firstLine="480" w:firstLineChars="200"/>
        <w:rPr>
          <w:rFonts w:ascii="方正黑体_GBK" w:eastAsia="方正黑体_GBK"/>
          <w:color w:val="auto"/>
          <w:szCs w:val="16"/>
          <w:highlight w:val="none"/>
        </w:rPr>
      </w:pPr>
    </w:p>
    <w:p w14:paraId="0AB0D185">
      <w:pPr>
        <w:pStyle w:val="102"/>
        <w:spacing w:line="240" w:lineRule="auto"/>
        <w:ind w:left="0" w:leftChars="0" w:firstLine="0" w:firstLineChars="0"/>
        <w:rPr>
          <w:color w:val="auto"/>
          <w:szCs w:val="16"/>
          <w:highlight w:val="none"/>
        </w:rPr>
      </w:pPr>
    </w:p>
    <w:p w14:paraId="78C034AC">
      <w:pPr>
        <w:pStyle w:val="102"/>
        <w:spacing w:line="240" w:lineRule="auto"/>
        <w:ind w:left="0" w:leftChars="0" w:firstLine="0" w:firstLineChars="0"/>
        <w:rPr>
          <w:rFonts w:ascii="方正小标宋_GBK" w:eastAsia="方正小标宋_GBK"/>
          <w:b/>
          <w:bCs/>
          <w:color w:val="auto"/>
          <w:szCs w:val="16"/>
          <w:highlight w:val="none"/>
        </w:rPr>
      </w:pPr>
    </w:p>
    <w:p w14:paraId="09874F28">
      <w:pPr>
        <w:pStyle w:val="102"/>
        <w:ind w:left="0" w:leftChars="0" w:firstLine="904" w:firstLineChars="250"/>
        <w:rPr>
          <w:rFonts w:hint="eastAsia" w:ascii="方正小标宋_GBK" w:hAnsi="宋体" w:eastAsia="方正小标宋_GBK"/>
          <w:b/>
          <w:bCs/>
          <w:color w:val="auto"/>
          <w:sz w:val="36"/>
          <w:szCs w:val="36"/>
          <w:highlight w:val="none"/>
          <w:lang w:eastAsia="zh-CN"/>
        </w:rPr>
      </w:pPr>
      <w:r>
        <w:rPr>
          <w:rFonts w:hint="eastAsia" w:ascii="方正小标宋_GBK" w:hAnsi="宋体" w:eastAsia="方正小标宋_GBK"/>
          <w:b/>
          <w:bCs/>
          <w:color w:val="auto"/>
          <w:sz w:val="36"/>
          <w:szCs w:val="36"/>
          <w:highlight w:val="none"/>
        </w:rPr>
        <w:t>项   目   号：CQS25A03779</w:t>
      </w:r>
    </w:p>
    <w:p w14:paraId="58E090C4">
      <w:pPr>
        <w:pStyle w:val="102"/>
        <w:ind w:left="0" w:leftChars="0" w:firstLine="904" w:firstLineChars="250"/>
        <w:rPr>
          <w:rFonts w:hint="eastAsia" w:ascii="方正小标宋_GBK" w:hAnsi="宋体" w:eastAsia="方正小标宋_GBK"/>
          <w:b/>
          <w:bCs/>
          <w:color w:val="auto"/>
          <w:sz w:val="36"/>
          <w:szCs w:val="36"/>
          <w:highlight w:val="none"/>
          <w:lang w:eastAsia="zh-CN"/>
        </w:rPr>
      </w:pPr>
      <w:r>
        <w:rPr>
          <w:rFonts w:hint="eastAsia" w:ascii="方正小标宋_GBK" w:hAnsi="宋体" w:eastAsia="方正小标宋_GBK"/>
          <w:b/>
          <w:bCs/>
          <w:color w:val="auto"/>
          <w:sz w:val="36"/>
          <w:szCs w:val="36"/>
          <w:highlight w:val="none"/>
        </w:rPr>
        <w:t>采购执行编号：</w:t>
      </w:r>
      <w:r>
        <w:rPr>
          <w:rFonts w:hint="eastAsia" w:ascii="方正小标宋_GBK" w:hAnsi="宋体" w:eastAsia="方正小标宋_GBK"/>
          <w:b/>
          <w:bCs/>
          <w:color w:val="auto"/>
          <w:sz w:val="36"/>
          <w:szCs w:val="36"/>
          <w:highlight w:val="none"/>
          <w:lang w:eastAsia="zh-CN"/>
        </w:rPr>
        <w:t>CQEM-ZB-2502033</w:t>
      </w:r>
    </w:p>
    <w:p w14:paraId="3B0EA5C5">
      <w:pPr>
        <w:pStyle w:val="102"/>
        <w:ind w:left="3364" w:leftChars="320" w:hanging="2468" w:hangingChars="683"/>
        <w:rPr>
          <w:rFonts w:hint="eastAsia" w:ascii="方正小标宋_GBK" w:hAnsi="宋体" w:eastAsia="方正小标宋_GBK"/>
          <w:b/>
          <w:bCs/>
          <w:color w:val="auto"/>
          <w:sz w:val="36"/>
          <w:szCs w:val="36"/>
          <w:highlight w:val="none"/>
          <w:lang w:eastAsia="zh-CN"/>
        </w:rPr>
      </w:pPr>
      <w:r>
        <w:rPr>
          <w:rFonts w:hint="eastAsia" w:ascii="方正小标宋_GBK" w:hAnsi="宋体" w:eastAsia="方正小标宋_GBK"/>
          <w:b/>
          <w:bCs/>
          <w:color w:val="auto"/>
          <w:sz w:val="36"/>
          <w:szCs w:val="36"/>
          <w:highlight w:val="none"/>
        </w:rPr>
        <w:t>招标项目名称：</w:t>
      </w:r>
      <w:r>
        <w:rPr>
          <w:rFonts w:hint="eastAsia" w:ascii="方正小标宋_GBK" w:hAnsi="宋体" w:eastAsia="方正小标宋_GBK"/>
          <w:b/>
          <w:bCs/>
          <w:color w:val="auto"/>
          <w:sz w:val="36"/>
          <w:szCs w:val="36"/>
          <w:highlight w:val="none"/>
          <w:lang w:eastAsia="zh-CN"/>
        </w:rPr>
        <w:t>洪涝及地质灾害抢险救援应急感知设备采购项目</w:t>
      </w:r>
    </w:p>
    <w:p w14:paraId="1AD10941">
      <w:pPr>
        <w:pStyle w:val="102"/>
        <w:spacing w:line="240" w:lineRule="auto"/>
        <w:ind w:left="0" w:leftChars="0" w:firstLine="0" w:firstLineChars="0"/>
        <w:rPr>
          <w:rFonts w:ascii="方正小标宋_GBK" w:eastAsia="方正小标宋_GBK"/>
          <w:color w:val="auto"/>
          <w:szCs w:val="16"/>
          <w:highlight w:val="none"/>
        </w:rPr>
      </w:pPr>
    </w:p>
    <w:p w14:paraId="2428E7FF">
      <w:pPr>
        <w:pStyle w:val="102"/>
        <w:spacing w:line="240" w:lineRule="auto"/>
        <w:ind w:left="0" w:leftChars="0" w:firstLine="0" w:firstLineChars="0"/>
        <w:rPr>
          <w:rFonts w:ascii="方正小标宋_GBK" w:eastAsia="方正小标宋_GBK"/>
          <w:color w:val="auto"/>
          <w:szCs w:val="16"/>
          <w:highlight w:val="none"/>
        </w:rPr>
      </w:pPr>
    </w:p>
    <w:p w14:paraId="5BB00D2B">
      <w:pPr>
        <w:pStyle w:val="102"/>
        <w:spacing w:line="240" w:lineRule="auto"/>
        <w:ind w:left="0" w:leftChars="0" w:firstLine="0" w:firstLineChars="0"/>
        <w:rPr>
          <w:rFonts w:ascii="方正小标宋_GBK" w:eastAsia="方正小标宋_GBK"/>
          <w:color w:val="auto"/>
          <w:szCs w:val="16"/>
          <w:highlight w:val="none"/>
        </w:rPr>
      </w:pPr>
    </w:p>
    <w:p w14:paraId="2CDC0002">
      <w:pPr>
        <w:pStyle w:val="102"/>
        <w:spacing w:line="240" w:lineRule="auto"/>
        <w:ind w:left="0" w:leftChars="0" w:firstLine="0" w:firstLineChars="0"/>
        <w:jc w:val="left"/>
        <w:rPr>
          <w:rFonts w:ascii="方正小标宋_GBK" w:eastAsia="方正小标宋_GBK"/>
          <w:color w:val="auto"/>
          <w:sz w:val="28"/>
          <w:szCs w:val="28"/>
          <w:highlight w:val="none"/>
        </w:rPr>
      </w:pPr>
    </w:p>
    <w:p w14:paraId="1EDE26DB">
      <w:pPr>
        <w:pStyle w:val="102"/>
        <w:ind w:left="0" w:leftChars="0" w:firstLine="1446" w:firstLineChars="400"/>
        <w:jc w:val="left"/>
        <w:rPr>
          <w:rFonts w:ascii="方正小标宋_GBK" w:eastAsia="方正小标宋_GBK"/>
          <w:b/>
          <w:bCs/>
          <w:color w:val="auto"/>
          <w:sz w:val="36"/>
          <w:szCs w:val="36"/>
          <w:highlight w:val="none"/>
        </w:rPr>
      </w:pPr>
      <w:r>
        <w:rPr>
          <w:rFonts w:hint="eastAsia" w:ascii="方正小标宋_GBK" w:eastAsia="方正小标宋_GBK"/>
          <w:b/>
          <w:bCs/>
          <w:color w:val="auto"/>
          <w:sz w:val="36"/>
          <w:szCs w:val="36"/>
          <w:highlight w:val="none"/>
        </w:rPr>
        <w:t>采   购   人：重庆市应急管理局</w:t>
      </w:r>
    </w:p>
    <w:p w14:paraId="2F084DCC">
      <w:pPr>
        <w:pStyle w:val="102"/>
        <w:ind w:left="0" w:leftChars="0" w:firstLine="1446" w:firstLineChars="400"/>
        <w:jc w:val="left"/>
        <w:rPr>
          <w:rFonts w:ascii="方正小标宋_GBK" w:eastAsia="方正小标宋_GBK"/>
          <w:b/>
          <w:bCs/>
          <w:color w:val="auto"/>
          <w:sz w:val="36"/>
          <w:szCs w:val="36"/>
          <w:highlight w:val="none"/>
        </w:rPr>
      </w:pPr>
      <w:r>
        <w:rPr>
          <w:rFonts w:hint="eastAsia" w:ascii="方正小标宋_GBK" w:eastAsia="方正小标宋_GBK"/>
          <w:b/>
          <w:bCs/>
          <w:color w:val="auto"/>
          <w:sz w:val="36"/>
          <w:szCs w:val="36"/>
          <w:highlight w:val="none"/>
        </w:rPr>
        <w:t>采购代理机构：重庆市工程管理有限公司</w:t>
      </w:r>
    </w:p>
    <w:p w14:paraId="02D2B1FB">
      <w:pPr>
        <w:pStyle w:val="102"/>
        <w:spacing w:line="240" w:lineRule="auto"/>
        <w:ind w:left="0" w:leftChars="0" w:firstLine="0" w:firstLineChars="0"/>
        <w:jc w:val="center"/>
        <w:rPr>
          <w:rFonts w:ascii="方正仿宋_GBK" w:eastAsia="方正仿宋_GBK"/>
          <w:b/>
          <w:bCs/>
          <w:color w:val="auto"/>
          <w:sz w:val="36"/>
          <w:szCs w:val="36"/>
          <w:highlight w:val="none"/>
        </w:rPr>
      </w:pPr>
      <w:r>
        <w:rPr>
          <w:rFonts w:hint="eastAsia" w:ascii="方正小标宋_GBK" w:eastAsia="方正小标宋_GBK"/>
          <w:b/>
          <w:bCs/>
          <w:color w:val="auto"/>
          <w:sz w:val="36"/>
          <w:szCs w:val="36"/>
          <w:highlight w:val="none"/>
        </w:rPr>
        <w:t>二</w:t>
      </w:r>
      <w:r>
        <w:rPr>
          <w:rFonts w:hint="eastAsia" w:ascii="方正小标宋_GBK" w:eastAsia="方正小标宋_GBK"/>
          <w:b/>
          <w:bCs/>
          <w:color w:val="auto"/>
          <w:sz w:val="36"/>
          <w:szCs w:val="36"/>
          <w:highlight w:val="none"/>
          <w:lang w:eastAsia="zh-CN"/>
        </w:rPr>
        <w:t>〇</w:t>
      </w:r>
      <w:r>
        <w:rPr>
          <w:rFonts w:hint="eastAsia" w:ascii="方正小标宋_GBK" w:eastAsia="方正小标宋_GBK"/>
          <w:b/>
          <w:bCs/>
          <w:color w:val="auto"/>
          <w:sz w:val="36"/>
          <w:szCs w:val="36"/>
          <w:highlight w:val="none"/>
        </w:rPr>
        <w:t>二五年</w:t>
      </w:r>
      <w:r>
        <w:rPr>
          <w:rFonts w:hint="eastAsia" w:ascii="方正小标宋_GBK" w:eastAsia="方正小标宋_GBK"/>
          <w:b/>
          <w:bCs/>
          <w:color w:val="auto"/>
          <w:sz w:val="36"/>
          <w:szCs w:val="36"/>
          <w:highlight w:val="none"/>
          <w:lang w:eastAsia="zh-CN"/>
        </w:rPr>
        <w:t>九</w:t>
      </w:r>
      <w:r>
        <w:rPr>
          <w:rFonts w:hint="eastAsia" w:ascii="方正小标宋_GBK" w:eastAsia="方正小标宋_GBK"/>
          <w:b/>
          <w:bCs/>
          <w:color w:val="auto"/>
          <w:sz w:val="36"/>
          <w:szCs w:val="36"/>
          <w:highlight w:val="none"/>
        </w:rPr>
        <w:t>月</w:t>
      </w:r>
    </w:p>
    <w:p w14:paraId="6022A6D1">
      <w:pPr>
        <w:snapToGrid w:val="0"/>
        <w:spacing w:line="500" w:lineRule="exact"/>
        <w:jc w:val="center"/>
        <w:rPr>
          <w:rFonts w:ascii="方正仿宋_GBK" w:eastAsia="方正仿宋_GBK"/>
          <w:color w:val="auto"/>
          <w:sz w:val="44"/>
          <w:highlight w:val="none"/>
        </w:rPr>
      </w:pPr>
    </w:p>
    <w:p w14:paraId="55129F82">
      <w:pPr>
        <w:pStyle w:val="2"/>
        <w:rPr>
          <w:color w:val="auto"/>
          <w:highlight w:val="none"/>
        </w:rPr>
        <w:sectPr>
          <w:headerReference r:id="rId4" w:type="first"/>
          <w:headerReference r:id="rId3" w:type="default"/>
          <w:footerReference r:id="rId5" w:type="even"/>
          <w:pgSz w:w="11907" w:h="16840"/>
          <w:pgMar w:top="1134" w:right="1191" w:bottom="1134" w:left="1304" w:header="964" w:footer="992" w:gutter="0"/>
          <w:pgNumType w:start="1"/>
          <w:cols w:space="720" w:num="1"/>
          <w:titlePg/>
          <w:docGrid w:linePitch="312" w:charSpace="0"/>
        </w:sectPr>
      </w:pPr>
    </w:p>
    <w:p w14:paraId="03E0BD33">
      <w:pPr>
        <w:snapToGrid w:val="0"/>
        <w:spacing w:before="120" w:beforeLines="50" w:after="120" w:afterLines="50" w:line="500" w:lineRule="exact"/>
        <w:jc w:val="center"/>
        <w:rPr>
          <w:rFonts w:ascii="方正仿宋_GBK" w:eastAsia="方正仿宋_GBK"/>
          <w:b/>
          <w:bCs/>
          <w:color w:val="auto"/>
          <w:sz w:val="44"/>
          <w:highlight w:val="none"/>
        </w:rPr>
      </w:pPr>
      <w:r>
        <w:rPr>
          <w:rFonts w:hint="eastAsia" w:ascii="方正仿宋_GBK" w:eastAsia="方正仿宋_GBK"/>
          <w:b/>
          <w:bCs/>
          <w:color w:val="auto"/>
          <w:sz w:val="44"/>
          <w:highlight w:val="none"/>
        </w:rPr>
        <w:t>目  录</w:t>
      </w:r>
    </w:p>
    <w:p w14:paraId="2C1BAE75">
      <w:pPr>
        <w:pStyle w:val="38"/>
        <w:tabs>
          <w:tab w:val="right" w:leader="dot" w:pos="9412"/>
          <w:tab w:val="clear" w:pos="1260"/>
          <w:tab w:val="clear" w:pos="1685"/>
          <w:tab w:val="clear" w:pos="8400"/>
        </w:tabs>
        <w:rPr>
          <w:color w:val="auto"/>
          <w:highlight w:val="none"/>
        </w:rPr>
      </w:pPr>
      <w:r>
        <w:rPr>
          <w:rFonts w:hint="eastAsia" w:ascii="方正仿宋_GBK" w:hAnsi="宋体" w:eastAsia="方正仿宋_GBK"/>
          <w:color w:val="auto"/>
          <w:sz w:val="24"/>
          <w:szCs w:val="24"/>
          <w:highlight w:val="none"/>
        </w:rPr>
        <w:fldChar w:fldCharType="begin"/>
      </w:r>
      <w:r>
        <w:rPr>
          <w:rFonts w:hint="eastAsia" w:ascii="方正仿宋_GBK" w:hAnsi="宋体" w:eastAsia="方正仿宋_GBK"/>
          <w:color w:val="auto"/>
          <w:sz w:val="24"/>
          <w:szCs w:val="24"/>
          <w:highlight w:val="none"/>
        </w:rPr>
        <w:instrText xml:space="preserve"> TOC \o "1-2" \h \z </w:instrText>
      </w:r>
      <w:r>
        <w:rPr>
          <w:rFonts w:hint="eastAsia" w:ascii="方正仿宋_GBK" w:hAnsi="宋体" w:eastAsia="方正仿宋_GBK"/>
          <w:color w:val="auto"/>
          <w:sz w:val="24"/>
          <w:szCs w:val="24"/>
          <w:highlight w:val="none"/>
        </w:rPr>
        <w:fldChar w:fldCharType="separate"/>
      </w: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_Toc22298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highlight w:val="none"/>
        </w:rPr>
        <w:t>第一篇  投标邀请书</w:t>
      </w:r>
      <w:r>
        <w:rPr>
          <w:color w:val="auto"/>
          <w:highlight w:val="none"/>
        </w:rPr>
        <w:tab/>
      </w:r>
      <w:r>
        <w:rPr>
          <w:color w:val="auto"/>
          <w:highlight w:val="none"/>
        </w:rPr>
        <w:fldChar w:fldCharType="begin"/>
      </w:r>
      <w:r>
        <w:rPr>
          <w:color w:val="auto"/>
          <w:highlight w:val="none"/>
        </w:rPr>
        <w:instrText xml:space="preserve"> PAGEREF _Toc22298 \h </w:instrText>
      </w:r>
      <w:r>
        <w:rPr>
          <w:color w:val="auto"/>
          <w:highlight w:val="none"/>
        </w:rPr>
        <w:fldChar w:fldCharType="separate"/>
      </w:r>
      <w:r>
        <w:rPr>
          <w:color w:val="auto"/>
          <w:highlight w:val="none"/>
        </w:rPr>
        <w:t>1</w:t>
      </w:r>
      <w:r>
        <w:rPr>
          <w:color w:val="auto"/>
          <w:highlight w:val="none"/>
        </w:rPr>
        <w:fldChar w:fldCharType="end"/>
      </w:r>
      <w:r>
        <w:rPr>
          <w:rFonts w:hint="eastAsia" w:ascii="方正仿宋_GBK" w:hAnsi="宋体" w:eastAsia="方正仿宋_GBK"/>
          <w:color w:val="auto"/>
          <w:szCs w:val="24"/>
          <w:highlight w:val="none"/>
        </w:rPr>
        <w:fldChar w:fldCharType="end"/>
      </w:r>
    </w:p>
    <w:p w14:paraId="1AF87A57">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_Toc1739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一、招标项目内容</w:t>
      </w:r>
      <w:r>
        <w:rPr>
          <w:color w:val="auto"/>
          <w:highlight w:val="none"/>
        </w:rPr>
        <w:tab/>
      </w:r>
      <w:r>
        <w:rPr>
          <w:color w:val="auto"/>
          <w:highlight w:val="none"/>
        </w:rPr>
        <w:fldChar w:fldCharType="begin"/>
      </w:r>
      <w:r>
        <w:rPr>
          <w:color w:val="auto"/>
          <w:highlight w:val="none"/>
        </w:rPr>
        <w:instrText xml:space="preserve"> PAGEREF _Toc1739 \h </w:instrText>
      </w:r>
      <w:r>
        <w:rPr>
          <w:color w:val="auto"/>
          <w:highlight w:val="none"/>
        </w:rPr>
        <w:fldChar w:fldCharType="separate"/>
      </w:r>
      <w:r>
        <w:rPr>
          <w:color w:val="auto"/>
          <w:highlight w:val="none"/>
        </w:rPr>
        <w:t>1</w:t>
      </w:r>
      <w:r>
        <w:rPr>
          <w:color w:val="auto"/>
          <w:highlight w:val="none"/>
        </w:rPr>
        <w:fldChar w:fldCharType="end"/>
      </w:r>
      <w:r>
        <w:rPr>
          <w:rFonts w:hint="eastAsia" w:ascii="方正仿宋_GBK" w:hAnsi="宋体" w:eastAsia="方正仿宋_GBK"/>
          <w:color w:val="auto"/>
          <w:szCs w:val="24"/>
          <w:highlight w:val="none"/>
        </w:rPr>
        <w:fldChar w:fldCharType="end"/>
      </w:r>
    </w:p>
    <w:p w14:paraId="6A08AC9A">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_Toc568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二、资金来源</w:t>
      </w:r>
      <w:r>
        <w:rPr>
          <w:color w:val="auto"/>
          <w:highlight w:val="none"/>
        </w:rPr>
        <w:tab/>
      </w:r>
      <w:r>
        <w:rPr>
          <w:color w:val="auto"/>
          <w:highlight w:val="none"/>
        </w:rPr>
        <w:fldChar w:fldCharType="begin"/>
      </w:r>
      <w:r>
        <w:rPr>
          <w:color w:val="auto"/>
          <w:highlight w:val="none"/>
        </w:rPr>
        <w:instrText xml:space="preserve"> PAGEREF _Toc568 \h </w:instrText>
      </w:r>
      <w:r>
        <w:rPr>
          <w:color w:val="auto"/>
          <w:highlight w:val="none"/>
        </w:rPr>
        <w:fldChar w:fldCharType="separate"/>
      </w:r>
      <w:r>
        <w:rPr>
          <w:color w:val="auto"/>
          <w:highlight w:val="none"/>
        </w:rPr>
        <w:t>1</w:t>
      </w:r>
      <w:r>
        <w:rPr>
          <w:color w:val="auto"/>
          <w:highlight w:val="none"/>
        </w:rPr>
        <w:fldChar w:fldCharType="end"/>
      </w:r>
      <w:r>
        <w:rPr>
          <w:rFonts w:hint="eastAsia" w:ascii="方正仿宋_GBK" w:hAnsi="宋体" w:eastAsia="方正仿宋_GBK"/>
          <w:color w:val="auto"/>
          <w:szCs w:val="24"/>
          <w:highlight w:val="none"/>
        </w:rPr>
        <w:fldChar w:fldCharType="end"/>
      </w:r>
    </w:p>
    <w:p w14:paraId="09EB8F2A">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_Toc27430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三、投标人资格要求</w:t>
      </w:r>
      <w:r>
        <w:rPr>
          <w:color w:val="auto"/>
          <w:highlight w:val="none"/>
        </w:rPr>
        <w:tab/>
      </w:r>
      <w:r>
        <w:rPr>
          <w:color w:val="auto"/>
          <w:highlight w:val="none"/>
        </w:rPr>
        <w:fldChar w:fldCharType="begin"/>
      </w:r>
      <w:r>
        <w:rPr>
          <w:color w:val="auto"/>
          <w:highlight w:val="none"/>
        </w:rPr>
        <w:instrText xml:space="preserve"> PAGEREF _Toc27430 \h </w:instrText>
      </w:r>
      <w:r>
        <w:rPr>
          <w:color w:val="auto"/>
          <w:highlight w:val="none"/>
        </w:rPr>
        <w:fldChar w:fldCharType="separate"/>
      </w:r>
      <w:r>
        <w:rPr>
          <w:color w:val="auto"/>
          <w:highlight w:val="none"/>
        </w:rPr>
        <w:t>1</w:t>
      </w:r>
      <w:r>
        <w:rPr>
          <w:color w:val="auto"/>
          <w:highlight w:val="none"/>
        </w:rPr>
        <w:fldChar w:fldCharType="end"/>
      </w:r>
      <w:r>
        <w:rPr>
          <w:rFonts w:hint="eastAsia" w:ascii="方正仿宋_GBK" w:hAnsi="宋体" w:eastAsia="方正仿宋_GBK"/>
          <w:color w:val="auto"/>
          <w:szCs w:val="24"/>
          <w:highlight w:val="none"/>
        </w:rPr>
        <w:fldChar w:fldCharType="end"/>
      </w:r>
    </w:p>
    <w:p w14:paraId="6D9747E0">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_Toc28337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四、投标、开标有关说明</w:t>
      </w:r>
      <w:r>
        <w:rPr>
          <w:color w:val="auto"/>
          <w:highlight w:val="none"/>
        </w:rPr>
        <w:tab/>
      </w:r>
      <w:r>
        <w:rPr>
          <w:color w:val="auto"/>
          <w:highlight w:val="none"/>
        </w:rPr>
        <w:fldChar w:fldCharType="begin"/>
      </w:r>
      <w:r>
        <w:rPr>
          <w:color w:val="auto"/>
          <w:highlight w:val="none"/>
        </w:rPr>
        <w:instrText xml:space="preserve"> PAGEREF _Toc28337 \h </w:instrText>
      </w:r>
      <w:r>
        <w:rPr>
          <w:color w:val="auto"/>
          <w:highlight w:val="none"/>
        </w:rPr>
        <w:fldChar w:fldCharType="separate"/>
      </w:r>
      <w:r>
        <w:rPr>
          <w:color w:val="auto"/>
          <w:highlight w:val="none"/>
        </w:rPr>
        <w:t>1</w:t>
      </w:r>
      <w:r>
        <w:rPr>
          <w:color w:val="auto"/>
          <w:highlight w:val="none"/>
        </w:rPr>
        <w:fldChar w:fldCharType="end"/>
      </w:r>
      <w:r>
        <w:rPr>
          <w:rFonts w:hint="eastAsia" w:ascii="方正仿宋_GBK" w:hAnsi="宋体" w:eastAsia="方正仿宋_GBK"/>
          <w:color w:val="auto"/>
          <w:szCs w:val="24"/>
          <w:highlight w:val="none"/>
        </w:rPr>
        <w:fldChar w:fldCharType="end"/>
      </w:r>
    </w:p>
    <w:p w14:paraId="40633614">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_Toc31035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五、投标保证金</w:t>
      </w:r>
      <w:r>
        <w:rPr>
          <w:color w:val="auto"/>
          <w:highlight w:val="none"/>
        </w:rPr>
        <w:tab/>
      </w:r>
      <w:r>
        <w:rPr>
          <w:color w:val="auto"/>
          <w:highlight w:val="none"/>
        </w:rPr>
        <w:fldChar w:fldCharType="begin"/>
      </w:r>
      <w:r>
        <w:rPr>
          <w:color w:val="auto"/>
          <w:highlight w:val="none"/>
        </w:rPr>
        <w:instrText xml:space="preserve"> PAGEREF _Toc31035 \h </w:instrText>
      </w:r>
      <w:r>
        <w:rPr>
          <w:color w:val="auto"/>
          <w:highlight w:val="none"/>
        </w:rPr>
        <w:fldChar w:fldCharType="separate"/>
      </w:r>
      <w:r>
        <w:rPr>
          <w:color w:val="auto"/>
          <w:highlight w:val="none"/>
        </w:rPr>
        <w:t>2</w:t>
      </w:r>
      <w:r>
        <w:rPr>
          <w:color w:val="auto"/>
          <w:highlight w:val="none"/>
        </w:rPr>
        <w:fldChar w:fldCharType="end"/>
      </w:r>
      <w:r>
        <w:rPr>
          <w:rFonts w:hint="eastAsia" w:ascii="方正仿宋_GBK" w:hAnsi="宋体" w:eastAsia="方正仿宋_GBK"/>
          <w:color w:val="auto"/>
          <w:szCs w:val="24"/>
          <w:highlight w:val="none"/>
        </w:rPr>
        <w:fldChar w:fldCharType="end"/>
      </w:r>
    </w:p>
    <w:p w14:paraId="54A6F951">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_Toc15002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六、采购项目需落实的政府采购政策</w:t>
      </w:r>
      <w:r>
        <w:rPr>
          <w:color w:val="auto"/>
          <w:highlight w:val="none"/>
        </w:rPr>
        <w:tab/>
      </w:r>
      <w:r>
        <w:rPr>
          <w:color w:val="auto"/>
          <w:highlight w:val="none"/>
        </w:rPr>
        <w:fldChar w:fldCharType="begin"/>
      </w:r>
      <w:r>
        <w:rPr>
          <w:color w:val="auto"/>
          <w:highlight w:val="none"/>
        </w:rPr>
        <w:instrText xml:space="preserve"> PAGEREF _Toc15002 \h </w:instrText>
      </w:r>
      <w:r>
        <w:rPr>
          <w:color w:val="auto"/>
          <w:highlight w:val="none"/>
        </w:rPr>
        <w:fldChar w:fldCharType="separate"/>
      </w:r>
      <w:r>
        <w:rPr>
          <w:color w:val="auto"/>
          <w:highlight w:val="none"/>
        </w:rPr>
        <w:t>3</w:t>
      </w:r>
      <w:r>
        <w:rPr>
          <w:color w:val="auto"/>
          <w:highlight w:val="none"/>
        </w:rPr>
        <w:fldChar w:fldCharType="end"/>
      </w:r>
      <w:r>
        <w:rPr>
          <w:rFonts w:hint="eastAsia" w:ascii="方正仿宋_GBK" w:hAnsi="宋体" w:eastAsia="方正仿宋_GBK"/>
          <w:color w:val="auto"/>
          <w:szCs w:val="24"/>
          <w:highlight w:val="none"/>
        </w:rPr>
        <w:fldChar w:fldCharType="end"/>
      </w:r>
    </w:p>
    <w:p w14:paraId="3F6630FB">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_Toc11375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七、投标有关规定</w:t>
      </w:r>
      <w:r>
        <w:rPr>
          <w:color w:val="auto"/>
          <w:highlight w:val="none"/>
        </w:rPr>
        <w:tab/>
      </w:r>
      <w:r>
        <w:rPr>
          <w:color w:val="auto"/>
          <w:highlight w:val="none"/>
        </w:rPr>
        <w:fldChar w:fldCharType="begin"/>
      </w:r>
      <w:r>
        <w:rPr>
          <w:color w:val="auto"/>
          <w:highlight w:val="none"/>
        </w:rPr>
        <w:instrText xml:space="preserve"> PAGEREF _Toc11375 \h </w:instrText>
      </w:r>
      <w:r>
        <w:rPr>
          <w:color w:val="auto"/>
          <w:highlight w:val="none"/>
        </w:rPr>
        <w:fldChar w:fldCharType="separate"/>
      </w:r>
      <w:r>
        <w:rPr>
          <w:color w:val="auto"/>
          <w:highlight w:val="none"/>
        </w:rPr>
        <w:t>3</w:t>
      </w:r>
      <w:r>
        <w:rPr>
          <w:color w:val="auto"/>
          <w:highlight w:val="none"/>
        </w:rPr>
        <w:fldChar w:fldCharType="end"/>
      </w:r>
      <w:r>
        <w:rPr>
          <w:rFonts w:hint="eastAsia" w:ascii="方正仿宋_GBK" w:hAnsi="宋体" w:eastAsia="方正仿宋_GBK"/>
          <w:color w:val="auto"/>
          <w:szCs w:val="24"/>
          <w:highlight w:val="none"/>
        </w:rPr>
        <w:fldChar w:fldCharType="end"/>
      </w:r>
    </w:p>
    <w:p w14:paraId="3729BBB9">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_Toc1781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八、联系方式</w:t>
      </w:r>
      <w:r>
        <w:rPr>
          <w:color w:val="auto"/>
          <w:highlight w:val="none"/>
        </w:rPr>
        <w:tab/>
      </w:r>
      <w:r>
        <w:rPr>
          <w:color w:val="auto"/>
          <w:highlight w:val="none"/>
        </w:rPr>
        <w:fldChar w:fldCharType="begin"/>
      </w:r>
      <w:r>
        <w:rPr>
          <w:color w:val="auto"/>
          <w:highlight w:val="none"/>
        </w:rPr>
        <w:instrText xml:space="preserve"> PAGEREF _Toc1781 \h </w:instrText>
      </w:r>
      <w:r>
        <w:rPr>
          <w:color w:val="auto"/>
          <w:highlight w:val="none"/>
        </w:rPr>
        <w:fldChar w:fldCharType="separate"/>
      </w:r>
      <w:r>
        <w:rPr>
          <w:color w:val="auto"/>
          <w:highlight w:val="none"/>
        </w:rPr>
        <w:t>4</w:t>
      </w:r>
      <w:r>
        <w:rPr>
          <w:color w:val="auto"/>
          <w:highlight w:val="none"/>
        </w:rPr>
        <w:fldChar w:fldCharType="end"/>
      </w:r>
      <w:r>
        <w:rPr>
          <w:rFonts w:hint="eastAsia" w:ascii="方正仿宋_GBK" w:hAnsi="宋体" w:eastAsia="方正仿宋_GBK"/>
          <w:color w:val="auto"/>
          <w:szCs w:val="24"/>
          <w:highlight w:val="none"/>
        </w:rPr>
        <w:fldChar w:fldCharType="end"/>
      </w:r>
    </w:p>
    <w:p w14:paraId="3E9D44CE">
      <w:pPr>
        <w:pStyle w:val="38"/>
        <w:tabs>
          <w:tab w:val="right" w:leader="dot" w:pos="9412"/>
          <w:tab w:val="clear" w:pos="1260"/>
          <w:tab w:val="clear" w:pos="1685"/>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_Toc2497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highlight w:val="none"/>
        </w:rPr>
        <w:t>第二篇  项目技术（质量）需求</w:t>
      </w:r>
      <w:r>
        <w:rPr>
          <w:color w:val="auto"/>
          <w:highlight w:val="none"/>
        </w:rPr>
        <w:tab/>
      </w:r>
      <w:r>
        <w:rPr>
          <w:color w:val="auto"/>
          <w:highlight w:val="none"/>
        </w:rPr>
        <w:fldChar w:fldCharType="begin"/>
      </w:r>
      <w:r>
        <w:rPr>
          <w:color w:val="auto"/>
          <w:highlight w:val="none"/>
        </w:rPr>
        <w:instrText xml:space="preserve"> PAGEREF _Toc2497 \h </w:instrText>
      </w:r>
      <w:r>
        <w:rPr>
          <w:color w:val="auto"/>
          <w:highlight w:val="none"/>
        </w:rPr>
        <w:fldChar w:fldCharType="separate"/>
      </w:r>
      <w:r>
        <w:rPr>
          <w:color w:val="auto"/>
          <w:highlight w:val="none"/>
        </w:rPr>
        <w:t>5</w:t>
      </w:r>
      <w:r>
        <w:rPr>
          <w:color w:val="auto"/>
          <w:highlight w:val="none"/>
        </w:rPr>
        <w:fldChar w:fldCharType="end"/>
      </w:r>
      <w:r>
        <w:rPr>
          <w:rFonts w:hint="eastAsia" w:ascii="方正仿宋_GBK" w:hAnsi="宋体" w:eastAsia="方正仿宋_GBK"/>
          <w:color w:val="auto"/>
          <w:szCs w:val="24"/>
          <w:highlight w:val="none"/>
        </w:rPr>
        <w:fldChar w:fldCharType="end"/>
      </w:r>
    </w:p>
    <w:p w14:paraId="53B0FC3F">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_Toc8947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一、招标项目一览表</w:t>
      </w:r>
      <w:r>
        <w:rPr>
          <w:color w:val="auto"/>
          <w:highlight w:val="none"/>
        </w:rPr>
        <w:tab/>
      </w:r>
      <w:r>
        <w:rPr>
          <w:color w:val="auto"/>
          <w:highlight w:val="none"/>
        </w:rPr>
        <w:fldChar w:fldCharType="begin"/>
      </w:r>
      <w:r>
        <w:rPr>
          <w:color w:val="auto"/>
          <w:highlight w:val="none"/>
        </w:rPr>
        <w:instrText xml:space="preserve"> PAGEREF _Toc8947 \h </w:instrText>
      </w:r>
      <w:r>
        <w:rPr>
          <w:color w:val="auto"/>
          <w:highlight w:val="none"/>
        </w:rPr>
        <w:fldChar w:fldCharType="separate"/>
      </w:r>
      <w:r>
        <w:rPr>
          <w:color w:val="auto"/>
          <w:highlight w:val="none"/>
        </w:rPr>
        <w:t>5</w:t>
      </w:r>
      <w:r>
        <w:rPr>
          <w:color w:val="auto"/>
          <w:highlight w:val="none"/>
        </w:rPr>
        <w:fldChar w:fldCharType="end"/>
      </w:r>
      <w:r>
        <w:rPr>
          <w:rFonts w:hint="eastAsia" w:ascii="方正仿宋_GBK" w:hAnsi="宋体" w:eastAsia="方正仿宋_GBK"/>
          <w:color w:val="auto"/>
          <w:szCs w:val="24"/>
          <w:highlight w:val="none"/>
        </w:rPr>
        <w:fldChar w:fldCharType="end"/>
      </w:r>
    </w:p>
    <w:p w14:paraId="1D15E3D4">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_Toc10382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二、招标项目技术需求</w:t>
      </w:r>
      <w:r>
        <w:rPr>
          <w:color w:val="auto"/>
          <w:highlight w:val="none"/>
        </w:rPr>
        <w:tab/>
      </w:r>
      <w:r>
        <w:rPr>
          <w:color w:val="auto"/>
          <w:highlight w:val="none"/>
        </w:rPr>
        <w:fldChar w:fldCharType="begin"/>
      </w:r>
      <w:r>
        <w:rPr>
          <w:color w:val="auto"/>
          <w:highlight w:val="none"/>
        </w:rPr>
        <w:instrText xml:space="preserve"> PAGEREF _Toc10382 \h </w:instrText>
      </w:r>
      <w:r>
        <w:rPr>
          <w:color w:val="auto"/>
          <w:highlight w:val="none"/>
        </w:rPr>
        <w:fldChar w:fldCharType="separate"/>
      </w:r>
      <w:r>
        <w:rPr>
          <w:color w:val="auto"/>
          <w:highlight w:val="none"/>
        </w:rPr>
        <w:t>5</w:t>
      </w:r>
      <w:r>
        <w:rPr>
          <w:color w:val="auto"/>
          <w:highlight w:val="none"/>
        </w:rPr>
        <w:fldChar w:fldCharType="end"/>
      </w:r>
      <w:r>
        <w:rPr>
          <w:rFonts w:hint="eastAsia" w:ascii="方正仿宋_GBK" w:hAnsi="宋体" w:eastAsia="方正仿宋_GBK"/>
          <w:color w:val="auto"/>
          <w:szCs w:val="24"/>
          <w:highlight w:val="none"/>
        </w:rPr>
        <w:fldChar w:fldCharType="end"/>
      </w:r>
    </w:p>
    <w:p w14:paraId="65428052">
      <w:pPr>
        <w:pStyle w:val="38"/>
        <w:tabs>
          <w:tab w:val="right" w:leader="dot" w:pos="9412"/>
          <w:tab w:val="clear" w:pos="1260"/>
          <w:tab w:val="clear" w:pos="1685"/>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_Toc16983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highlight w:val="none"/>
        </w:rPr>
        <w:t>第三篇  项目商务需求</w:t>
      </w:r>
      <w:r>
        <w:rPr>
          <w:color w:val="auto"/>
          <w:highlight w:val="none"/>
        </w:rPr>
        <w:tab/>
      </w:r>
      <w:r>
        <w:rPr>
          <w:color w:val="auto"/>
          <w:highlight w:val="none"/>
        </w:rPr>
        <w:fldChar w:fldCharType="begin"/>
      </w:r>
      <w:r>
        <w:rPr>
          <w:color w:val="auto"/>
          <w:highlight w:val="none"/>
        </w:rPr>
        <w:instrText xml:space="preserve"> PAGEREF _Toc16983 \h </w:instrText>
      </w:r>
      <w:r>
        <w:rPr>
          <w:color w:val="auto"/>
          <w:highlight w:val="none"/>
        </w:rPr>
        <w:fldChar w:fldCharType="separate"/>
      </w:r>
      <w:r>
        <w:rPr>
          <w:color w:val="auto"/>
          <w:highlight w:val="none"/>
        </w:rPr>
        <w:t>10</w:t>
      </w:r>
      <w:r>
        <w:rPr>
          <w:color w:val="auto"/>
          <w:highlight w:val="none"/>
        </w:rPr>
        <w:fldChar w:fldCharType="end"/>
      </w:r>
      <w:r>
        <w:rPr>
          <w:rFonts w:hint="eastAsia" w:ascii="方正仿宋_GBK" w:hAnsi="宋体" w:eastAsia="方正仿宋_GBK"/>
          <w:color w:val="auto"/>
          <w:szCs w:val="24"/>
          <w:highlight w:val="none"/>
        </w:rPr>
        <w:fldChar w:fldCharType="end"/>
      </w:r>
    </w:p>
    <w:p w14:paraId="6EE9E5CE">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_Toc23197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※一、交货期、交货地点及验收方式</w:t>
      </w:r>
      <w:r>
        <w:rPr>
          <w:color w:val="auto"/>
          <w:highlight w:val="none"/>
        </w:rPr>
        <w:tab/>
      </w:r>
      <w:r>
        <w:rPr>
          <w:color w:val="auto"/>
          <w:highlight w:val="none"/>
        </w:rPr>
        <w:fldChar w:fldCharType="begin"/>
      </w:r>
      <w:r>
        <w:rPr>
          <w:color w:val="auto"/>
          <w:highlight w:val="none"/>
        </w:rPr>
        <w:instrText xml:space="preserve"> PAGEREF _Toc23197 \h </w:instrText>
      </w:r>
      <w:r>
        <w:rPr>
          <w:color w:val="auto"/>
          <w:highlight w:val="none"/>
        </w:rPr>
        <w:fldChar w:fldCharType="separate"/>
      </w:r>
      <w:r>
        <w:rPr>
          <w:color w:val="auto"/>
          <w:highlight w:val="none"/>
        </w:rPr>
        <w:t>10</w:t>
      </w:r>
      <w:r>
        <w:rPr>
          <w:color w:val="auto"/>
          <w:highlight w:val="none"/>
        </w:rPr>
        <w:fldChar w:fldCharType="end"/>
      </w:r>
      <w:r>
        <w:rPr>
          <w:rFonts w:hint="eastAsia" w:ascii="方正仿宋_GBK" w:hAnsi="宋体" w:eastAsia="方正仿宋_GBK"/>
          <w:color w:val="auto"/>
          <w:szCs w:val="24"/>
          <w:highlight w:val="none"/>
        </w:rPr>
        <w:fldChar w:fldCharType="end"/>
      </w:r>
    </w:p>
    <w:p w14:paraId="3D6E30C2">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_Toc28826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※二、报价要求</w:t>
      </w:r>
      <w:r>
        <w:rPr>
          <w:color w:val="auto"/>
          <w:highlight w:val="none"/>
        </w:rPr>
        <w:tab/>
      </w:r>
      <w:r>
        <w:rPr>
          <w:color w:val="auto"/>
          <w:highlight w:val="none"/>
        </w:rPr>
        <w:fldChar w:fldCharType="begin"/>
      </w:r>
      <w:r>
        <w:rPr>
          <w:color w:val="auto"/>
          <w:highlight w:val="none"/>
        </w:rPr>
        <w:instrText xml:space="preserve"> PAGEREF _Toc28826 \h </w:instrText>
      </w:r>
      <w:r>
        <w:rPr>
          <w:color w:val="auto"/>
          <w:highlight w:val="none"/>
        </w:rPr>
        <w:fldChar w:fldCharType="separate"/>
      </w:r>
      <w:r>
        <w:rPr>
          <w:color w:val="auto"/>
          <w:highlight w:val="none"/>
        </w:rPr>
        <w:t>11</w:t>
      </w:r>
      <w:r>
        <w:rPr>
          <w:color w:val="auto"/>
          <w:highlight w:val="none"/>
        </w:rPr>
        <w:fldChar w:fldCharType="end"/>
      </w:r>
      <w:r>
        <w:rPr>
          <w:rFonts w:hint="eastAsia" w:ascii="方正仿宋_GBK" w:hAnsi="宋体" w:eastAsia="方正仿宋_GBK"/>
          <w:color w:val="auto"/>
          <w:szCs w:val="24"/>
          <w:highlight w:val="none"/>
        </w:rPr>
        <w:fldChar w:fldCharType="end"/>
      </w:r>
    </w:p>
    <w:p w14:paraId="4F40D6D0">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_Toc8996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※三、质量保证及售后服务</w:t>
      </w:r>
      <w:r>
        <w:rPr>
          <w:color w:val="auto"/>
          <w:highlight w:val="none"/>
        </w:rPr>
        <w:tab/>
      </w:r>
      <w:r>
        <w:rPr>
          <w:color w:val="auto"/>
          <w:highlight w:val="none"/>
        </w:rPr>
        <w:fldChar w:fldCharType="begin"/>
      </w:r>
      <w:r>
        <w:rPr>
          <w:color w:val="auto"/>
          <w:highlight w:val="none"/>
        </w:rPr>
        <w:instrText xml:space="preserve"> PAGEREF _Toc8996 \h </w:instrText>
      </w:r>
      <w:r>
        <w:rPr>
          <w:color w:val="auto"/>
          <w:highlight w:val="none"/>
        </w:rPr>
        <w:fldChar w:fldCharType="separate"/>
      </w:r>
      <w:r>
        <w:rPr>
          <w:color w:val="auto"/>
          <w:highlight w:val="none"/>
        </w:rPr>
        <w:t>12</w:t>
      </w:r>
      <w:r>
        <w:rPr>
          <w:color w:val="auto"/>
          <w:highlight w:val="none"/>
        </w:rPr>
        <w:fldChar w:fldCharType="end"/>
      </w:r>
      <w:r>
        <w:rPr>
          <w:rFonts w:hint="eastAsia" w:ascii="方正仿宋_GBK" w:hAnsi="宋体" w:eastAsia="方正仿宋_GBK"/>
          <w:color w:val="auto"/>
          <w:szCs w:val="24"/>
          <w:highlight w:val="none"/>
        </w:rPr>
        <w:fldChar w:fldCharType="end"/>
      </w:r>
    </w:p>
    <w:p w14:paraId="3A48057A">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_Toc15154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※四、付款方式</w:t>
      </w:r>
      <w:r>
        <w:rPr>
          <w:color w:val="auto"/>
          <w:highlight w:val="none"/>
        </w:rPr>
        <w:tab/>
      </w:r>
      <w:r>
        <w:rPr>
          <w:color w:val="auto"/>
          <w:highlight w:val="none"/>
        </w:rPr>
        <w:fldChar w:fldCharType="begin"/>
      </w:r>
      <w:r>
        <w:rPr>
          <w:color w:val="auto"/>
          <w:highlight w:val="none"/>
        </w:rPr>
        <w:instrText xml:space="preserve"> PAGEREF _Toc15154 \h </w:instrText>
      </w:r>
      <w:r>
        <w:rPr>
          <w:color w:val="auto"/>
          <w:highlight w:val="none"/>
        </w:rPr>
        <w:fldChar w:fldCharType="separate"/>
      </w:r>
      <w:r>
        <w:rPr>
          <w:color w:val="auto"/>
          <w:highlight w:val="none"/>
        </w:rPr>
        <w:t>13</w:t>
      </w:r>
      <w:r>
        <w:rPr>
          <w:color w:val="auto"/>
          <w:highlight w:val="none"/>
        </w:rPr>
        <w:fldChar w:fldCharType="end"/>
      </w:r>
      <w:r>
        <w:rPr>
          <w:rFonts w:hint="eastAsia" w:ascii="方正仿宋_GBK" w:hAnsi="宋体" w:eastAsia="方正仿宋_GBK"/>
          <w:color w:val="auto"/>
          <w:szCs w:val="24"/>
          <w:highlight w:val="none"/>
        </w:rPr>
        <w:fldChar w:fldCharType="end"/>
      </w:r>
    </w:p>
    <w:p w14:paraId="00414CBB">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_Toc31862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※五、知识产权</w:t>
      </w:r>
      <w:r>
        <w:rPr>
          <w:color w:val="auto"/>
          <w:highlight w:val="none"/>
        </w:rPr>
        <w:tab/>
      </w:r>
      <w:r>
        <w:rPr>
          <w:color w:val="auto"/>
          <w:highlight w:val="none"/>
        </w:rPr>
        <w:fldChar w:fldCharType="begin"/>
      </w:r>
      <w:r>
        <w:rPr>
          <w:color w:val="auto"/>
          <w:highlight w:val="none"/>
        </w:rPr>
        <w:instrText xml:space="preserve"> PAGEREF _Toc31862 \h </w:instrText>
      </w:r>
      <w:r>
        <w:rPr>
          <w:color w:val="auto"/>
          <w:highlight w:val="none"/>
        </w:rPr>
        <w:fldChar w:fldCharType="separate"/>
      </w:r>
      <w:r>
        <w:rPr>
          <w:color w:val="auto"/>
          <w:highlight w:val="none"/>
        </w:rPr>
        <w:t>14</w:t>
      </w:r>
      <w:r>
        <w:rPr>
          <w:color w:val="auto"/>
          <w:highlight w:val="none"/>
        </w:rPr>
        <w:fldChar w:fldCharType="end"/>
      </w:r>
      <w:r>
        <w:rPr>
          <w:rFonts w:hint="eastAsia" w:ascii="方正仿宋_GBK" w:hAnsi="宋体" w:eastAsia="方正仿宋_GBK"/>
          <w:color w:val="auto"/>
          <w:szCs w:val="24"/>
          <w:highlight w:val="none"/>
        </w:rPr>
        <w:fldChar w:fldCharType="end"/>
      </w:r>
    </w:p>
    <w:p w14:paraId="74A389A4">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_Toc4879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w:t>
      </w:r>
      <w:r>
        <w:rPr>
          <w:rFonts w:hint="eastAsia" w:ascii="方正仿宋_GBK" w:eastAsia="方正仿宋_GBK"/>
          <w:color w:val="auto"/>
          <w:szCs w:val="21"/>
          <w:highlight w:val="none"/>
          <w:lang w:eastAsia="zh-CN"/>
        </w:rPr>
        <w:t>六</w:t>
      </w:r>
      <w:r>
        <w:rPr>
          <w:rFonts w:hint="eastAsia" w:ascii="方正仿宋_GBK" w:eastAsia="方正仿宋_GBK"/>
          <w:color w:val="auto"/>
          <w:szCs w:val="21"/>
          <w:highlight w:val="none"/>
        </w:rPr>
        <w:t>、培训</w:t>
      </w:r>
      <w:r>
        <w:rPr>
          <w:color w:val="auto"/>
          <w:highlight w:val="none"/>
        </w:rPr>
        <w:tab/>
      </w:r>
      <w:r>
        <w:rPr>
          <w:color w:val="auto"/>
          <w:highlight w:val="none"/>
        </w:rPr>
        <w:fldChar w:fldCharType="begin"/>
      </w:r>
      <w:r>
        <w:rPr>
          <w:color w:val="auto"/>
          <w:highlight w:val="none"/>
        </w:rPr>
        <w:instrText xml:space="preserve"> PAGEREF _Toc4879 \h </w:instrText>
      </w:r>
      <w:r>
        <w:rPr>
          <w:color w:val="auto"/>
          <w:highlight w:val="none"/>
        </w:rPr>
        <w:fldChar w:fldCharType="separate"/>
      </w:r>
      <w:r>
        <w:rPr>
          <w:color w:val="auto"/>
          <w:highlight w:val="none"/>
        </w:rPr>
        <w:t>14</w:t>
      </w:r>
      <w:r>
        <w:rPr>
          <w:color w:val="auto"/>
          <w:highlight w:val="none"/>
        </w:rPr>
        <w:fldChar w:fldCharType="end"/>
      </w:r>
      <w:r>
        <w:rPr>
          <w:rFonts w:hint="eastAsia" w:ascii="方正仿宋_GBK" w:hAnsi="宋体" w:eastAsia="方正仿宋_GBK"/>
          <w:color w:val="auto"/>
          <w:szCs w:val="24"/>
          <w:highlight w:val="none"/>
        </w:rPr>
        <w:fldChar w:fldCharType="end"/>
      </w:r>
    </w:p>
    <w:p w14:paraId="19F32C9D">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_Toc7171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w:t>
      </w:r>
      <w:r>
        <w:rPr>
          <w:rFonts w:hint="eastAsia" w:ascii="方正仿宋_GBK" w:eastAsia="方正仿宋_GBK"/>
          <w:color w:val="auto"/>
          <w:szCs w:val="21"/>
          <w:highlight w:val="none"/>
          <w:lang w:eastAsia="zh-CN"/>
        </w:rPr>
        <w:t>七</w:t>
      </w:r>
      <w:r>
        <w:rPr>
          <w:rFonts w:hint="eastAsia" w:ascii="方正仿宋_GBK" w:eastAsia="方正仿宋_GBK"/>
          <w:color w:val="auto"/>
          <w:szCs w:val="21"/>
          <w:highlight w:val="none"/>
        </w:rPr>
        <w:t>、监理要求</w:t>
      </w:r>
      <w:r>
        <w:rPr>
          <w:color w:val="auto"/>
          <w:highlight w:val="none"/>
        </w:rPr>
        <w:tab/>
      </w:r>
      <w:r>
        <w:rPr>
          <w:color w:val="auto"/>
          <w:highlight w:val="none"/>
        </w:rPr>
        <w:fldChar w:fldCharType="begin"/>
      </w:r>
      <w:r>
        <w:rPr>
          <w:color w:val="auto"/>
          <w:highlight w:val="none"/>
        </w:rPr>
        <w:instrText xml:space="preserve"> PAGEREF _Toc7171 \h </w:instrText>
      </w:r>
      <w:r>
        <w:rPr>
          <w:color w:val="auto"/>
          <w:highlight w:val="none"/>
        </w:rPr>
        <w:fldChar w:fldCharType="separate"/>
      </w:r>
      <w:r>
        <w:rPr>
          <w:color w:val="auto"/>
          <w:highlight w:val="none"/>
        </w:rPr>
        <w:t>14</w:t>
      </w:r>
      <w:r>
        <w:rPr>
          <w:color w:val="auto"/>
          <w:highlight w:val="none"/>
        </w:rPr>
        <w:fldChar w:fldCharType="end"/>
      </w:r>
      <w:r>
        <w:rPr>
          <w:rFonts w:hint="eastAsia" w:ascii="方正仿宋_GBK" w:hAnsi="宋体" w:eastAsia="方正仿宋_GBK"/>
          <w:color w:val="auto"/>
          <w:szCs w:val="24"/>
          <w:highlight w:val="none"/>
        </w:rPr>
        <w:fldChar w:fldCharType="end"/>
      </w:r>
    </w:p>
    <w:p w14:paraId="48C34860">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_Toc18208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w:t>
      </w:r>
      <w:r>
        <w:rPr>
          <w:rFonts w:hint="eastAsia" w:ascii="方正仿宋_GBK" w:eastAsia="方正仿宋_GBK"/>
          <w:color w:val="auto"/>
          <w:szCs w:val="21"/>
          <w:highlight w:val="none"/>
          <w:lang w:eastAsia="zh-CN"/>
        </w:rPr>
        <w:t>八</w:t>
      </w:r>
      <w:r>
        <w:rPr>
          <w:rFonts w:hint="eastAsia" w:ascii="方正仿宋_GBK" w:eastAsia="方正仿宋_GBK"/>
          <w:color w:val="auto"/>
          <w:szCs w:val="21"/>
          <w:highlight w:val="none"/>
        </w:rPr>
        <w:t>、其他商务要求</w:t>
      </w:r>
      <w:r>
        <w:rPr>
          <w:color w:val="auto"/>
          <w:highlight w:val="none"/>
        </w:rPr>
        <w:tab/>
      </w:r>
      <w:r>
        <w:rPr>
          <w:color w:val="auto"/>
          <w:highlight w:val="none"/>
        </w:rPr>
        <w:fldChar w:fldCharType="begin"/>
      </w:r>
      <w:r>
        <w:rPr>
          <w:color w:val="auto"/>
          <w:highlight w:val="none"/>
        </w:rPr>
        <w:instrText xml:space="preserve"> PAGEREF _Toc18208 \h </w:instrText>
      </w:r>
      <w:r>
        <w:rPr>
          <w:color w:val="auto"/>
          <w:highlight w:val="none"/>
        </w:rPr>
        <w:fldChar w:fldCharType="separate"/>
      </w:r>
      <w:r>
        <w:rPr>
          <w:color w:val="auto"/>
          <w:highlight w:val="none"/>
        </w:rPr>
        <w:t>14</w:t>
      </w:r>
      <w:r>
        <w:rPr>
          <w:color w:val="auto"/>
          <w:highlight w:val="none"/>
        </w:rPr>
        <w:fldChar w:fldCharType="end"/>
      </w:r>
      <w:r>
        <w:rPr>
          <w:rFonts w:hint="eastAsia" w:ascii="方正仿宋_GBK" w:hAnsi="宋体" w:eastAsia="方正仿宋_GBK"/>
          <w:color w:val="auto"/>
          <w:szCs w:val="24"/>
          <w:highlight w:val="none"/>
        </w:rPr>
        <w:fldChar w:fldCharType="end"/>
      </w:r>
    </w:p>
    <w:p w14:paraId="008CCC3E">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_Toc12111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w:t>
      </w:r>
      <w:r>
        <w:rPr>
          <w:rFonts w:hint="eastAsia" w:ascii="方正仿宋_GBK" w:eastAsia="方正仿宋_GBK"/>
          <w:color w:val="auto"/>
          <w:szCs w:val="21"/>
          <w:highlight w:val="none"/>
          <w:lang w:eastAsia="zh-CN"/>
        </w:rPr>
        <w:t>九、违约责任</w:t>
      </w:r>
      <w:r>
        <w:rPr>
          <w:color w:val="auto"/>
          <w:highlight w:val="none"/>
        </w:rPr>
        <w:tab/>
      </w:r>
      <w:r>
        <w:rPr>
          <w:color w:val="auto"/>
          <w:highlight w:val="none"/>
        </w:rPr>
        <w:fldChar w:fldCharType="begin"/>
      </w:r>
      <w:r>
        <w:rPr>
          <w:color w:val="auto"/>
          <w:highlight w:val="none"/>
        </w:rPr>
        <w:instrText xml:space="preserve"> PAGEREF _Toc12111 \h </w:instrText>
      </w:r>
      <w:r>
        <w:rPr>
          <w:color w:val="auto"/>
          <w:highlight w:val="none"/>
        </w:rPr>
        <w:fldChar w:fldCharType="separate"/>
      </w:r>
      <w:r>
        <w:rPr>
          <w:color w:val="auto"/>
          <w:highlight w:val="none"/>
        </w:rPr>
        <w:t>16</w:t>
      </w:r>
      <w:r>
        <w:rPr>
          <w:color w:val="auto"/>
          <w:highlight w:val="none"/>
        </w:rPr>
        <w:fldChar w:fldCharType="end"/>
      </w:r>
      <w:r>
        <w:rPr>
          <w:rFonts w:hint="eastAsia" w:ascii="方正仿宋_GBK" w:hAnsi="宋体" w:eastAsia="方正仿宋_GBK"/>
          <w:color w:val="auto"/>
          <w:szCs w:val="24"/>
          <w:highlight w:val="none"/>
        </w:rPr>
        <w:fldChar w:fldCharType="end"/>
      </w:r>
    </w:p>
    <w:p w14:paraId="459B01C8">
      <w:pPr>
        <w:pStyle w:val="38"/>
        <w:tabs>
          <w:tab w:val="right" w:leader="dot" w:pos="9412"/>
          <w:tab w:val="clear" w:pos="1260"/>
          <w:tab w:val="clear" w:pos="1685"/>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_Toc18395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highlight w:val="none"/>
        </w:rPr>
        <w:t>第四篇  资格审查及评标办法</w:t>
      </w:r>
      <w:r>
        <w:rPr>
          <w:color w:val="auto"/>
          <w:highlight w:val="none"/>
        </w:rPr>
        <w:tab/>
      </w:r>
      <w:r>
        <w:rPr>
          <w:color w:val="auto"/>
          <w:highlight w:val="none"/>
        </w:rPr>
        <w:fldChar w:fldCharType="begin"/>
      </w:r>
      <w:r>
        <w:rPr>
          <w:color w:val="auto"/>
          <w:highlight w:val="none"/>
        </w:rPr>
        <w:instrText xml:space="preserve"> PAGEREF _Toc18395 \h </w:instrText>
      </w:r>
      <w:r>
        <w:rPr>
          <w:color w:val="auto"/>
          <w:highlight w:val="none"/>
        </w:rPr>
        <w:fldChar w:fldCharType="separate"/>
      </w:r>
      <w:r>
        <w:rPr>
          <w:color w:val="auto"/>
          <w:highlight w:val="none"/>
        </w:rPr>
        <w:t>18</w:t>
      </w:r>
      <w:r>
        <w:rPr>
          <w:color w:val="auto"/>
          <w:highlight w:val="none"/>
        </w:rPr>
        <w:fldChar w:fldCharType="end"/>
      </w:r>
      <w:r>
        <w:rPr>
          <w:rFonts w:hint="eastAsia" w:ascii="方正仿宋_GBK" w:hAnsi="宋体" w:eastAsia="方正仿宋_GBK"/>
          <w:color w:val="auto"/>
          <w:szCs w:val="24"/>
          <w:highlight w:val="none"/>
        </w:rPr>
        <w:fldChar w:fldCharType="end"/>
      </w:r>
    </w:p>
    <w:p w14:paraId="563F9E91">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_Toc8669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一、资格审查及符合性审查</w:t>
      </w:r>
      <w:r>
        <w:rPr>
          <w:color w:val="auto"/>
          <w:highlight w:val="none"/>
        </w:rPr>
        <w:tab/>
      </w:r>
      <w:r>
        <w:rPr>
          <w:color w:val="auto"/>
          <w:highlight w:val="none"/>
        </w:rPr>
        <w:fldChar w:fldCharType="begin"/>
      </w:r>
      <w:r>
        <w:rPr>
          <w:color w:val="auto"/>
          <w:highlight w:val="none"/>
        </w:rPr>
        <w:instrText xml:space="preserve"> PAGEREF _Toc8669 \h </w:instrText>
      </w:r>
      <w:r>
        <w:rPr>
          <w:color w:val="auto"/>
          <w:highlight w:val="none"/>
        </w:rPr>
        <w:fldChar w:fldCharType="separate"/>
      </w:r>
      <w:r>
        <w:rPr>
          <w:color w:val="auto"/>
          <w:highlight w:val="none"/>
        </w:rPr>
        <w:t>18</w:t>
      </w:r>
      <w:r>
        <w:rPr>
          <w:color w:val="auto"/>
          <w:highlight w:val="none"/>
        </w:rPr>
        <w:fldChar w:fldCharType="end"/>
      </w:r>
      <w:r>
        <w:rPr>
          <w:rFonts w:hint="eastAsia" w:ascii="方正仿宋_GBK" w:hAnsi="宋体" w:eastAsia="方正仿宋_GBK"/>
          <w:color w:val="auto"/>
          <w:szCs w:val="24"/>
          <w:highlight w:val="none"/>
        </w:rPr>
        <w:fldChar w:fldCharType="end"/>
      </w:r>
    </w:p>
    <w:p w14:paraId="4412439A">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_Toc9240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二、评标方法</w:t>
      </w:r>
      <w:r>
        <w:rPr>
          <w:color w:val="auto"/>
          <w:highlight w:val="none"/>
        </w:rPr>
        <w:tab/>
      </w:r>
      <w:r>
        <w:rPr>
          <w:color w:val="auto"/>
          <w:highlight w:val="none"/>
        </w:rPr>
        <w:fldChar w:fldCharType="begin"/>
      </w:r>
      <w:r>
        <w:rPr>
          <w:color w:val="auto"/>
          <w:highlight w:val="none"/>
        </w:rPr>
        <w:instrText xml:space="preserve"> PAGEREF _Toc9240 \h </w:instrText>
      </w:r>
      <w:r>
        <w:rPr>
          <w:color w:val="auto"/>
          <w:highlight w:val="none"/>
        </w:rPr>
        <w:fldChar w:fldCharType="separate"/>
      </w:r>
      <w:r>
        <w:rPr>
          <w:color w:val="auto"/>
          <w:highlight w:val="none"/>
        </w:rPr>
        <w:t>19</w:t>
      </w:r>
      <w:r>
        <w:rPr>
          <w:color w:val="auto"/>
          <w:highlight w:val="none"/>
        </w:rPr>
        <w:fldChar w:fldCharType="end"/>
      </w:r>
      <w:r>
        <w:rPr>
          <w:rFonts w:hint="eastAsia" w:ascii="方正仿宋_GBK" w:hAnsi="宋体" w:eastAsia="方正仿宋_GBK"/>
          <w:color w:val="auto"/>
          <w:szCs w:val="24"/>
          <w:highlight w:val="none"/>
        </w:rPr>
        <w:fldChar w:fldCharType="end"/>
      </w:r>
    </w:p>
    <w:p w14:paraId="0161B188">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_Toc15125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三、评标标准</w:t>
      </w:r>
      <w:r>
        <w:rPr>
          <w:color w:val="auto"/>
          <w:highlight w:val="none"/>
        </w:rPr>
        <w:tab/>
      </w:r>
      <w:r>
        <w:rPr>
          <w:color w:val="auto"/>
          <w:highlight w:val="none"/>
        </w:rPr>
        <w:fldChar w:fldCharType="begin"/>
      </w:r>
      <w:r>
        <w:rPr>
          <w:color w:val="auto"/>
          <w:highlight w:val="none"/>
        </w:rPr>
        <w:instrText xml:space="preserve"> PAGEREF _Toc15125 \h </w:instrText>
      </w:r>
      <w:r>
        <w:rPr>
          <w:color w:val="auto"/>
          <w:highlight w:val="none"/>
        </w:rPr>
        <w:fldChar w:fldCharType="separate"/>
      </w:r>
      <w:r>
        <w:rPr>
          <w:color w:val="auto"/>
          <w:highlight w:val="none"/>
        </w:rPr>
        <w:t>20</w:t>
      </w:r>
      <w:r>
        <w:rPr>
          <w:color w:val="auto"/>
          <w:highlight w:val="none"/>
        </w:rPr>
        <w:fldChar w:fldCharType="end"/>
      </w:r>
      <w:r>
        <w:rPr>
          <w:rFonts w:hint="eastAsia" w:ascii="方正仿宋_GBK" w:hAnsi="宋体" w:eastAsia="方正仿宋_GBK"/>
          <w:color w:val="auto"/>
          <w:szCs w:val="24"/>
          <w:highlight w:val="none"/>
        </w:rPr>
        <w:fldChar w:fldCharType="end"/>
      </w:r>
    </w:p>
    <w:p w14:paraId="18F23D18">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_Toc29126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四、无效投标条款</w:t>
      </w:r>
      <w:r>
        <w:rPr>
          <w:color w:val="auto"/>
          <w:highlight w:val="none"/>
        </w:rPr>
        <w:tab/>
      </w:r>
      <w:r>
        <w:rPr>
          <w:color w:val="auto"/>
          <w:highlight w:val="none"/>
        </w:rPr>
        <w:fldChar w:fldCharType="begin"/>
      </w:r>
      <w:r>
        <w:rPr>
          <w:color w:val="auto"/>
          <w:highlight w:val="none"/>
        </w:rPr>
        <w:instrText xml:space="preserve"> PAGEREF _Toc29126 \h </w:instrText>
      </w:r>
      <w:r>
        <w:rPr>
          <w:color w:val="auto"/>
          <w:highlight w:val="none"/>
        </w:rPr>
        <w:fldChar w:fldCharType="separate"/>
      </w:r>
      <w:r>
        <w:rPr>
          <w:color w:val="auto"/>
          <w:highlight w:val="none"/>
        </w:rPr>
        <w:t>24</w:t>
      </w:r>
      <w:r>
        <w:rPr>
          <w:color w:val="auto"/>
          <w:highlight w:val="none"/>
        </w:rPr>
        <w:fldChar w:fldCharType="end"/>
      </w:r>
      <w:r>
        <w:rPr>
          <w:rFonts w:hint="eastAsia" w:ascii="方正仿宋_GBK" w:hAnsi="宋体" w:eastAsia="方正仿宋_GBK"/>
          <w:color w:val="auto"/>
          <w:szCs w:val="24"/>
          <w:highlight w:val="none"/>
        </w:rPr>
        <w:fldChar w:fldCharType="end"/>
      </w:r>
    </w:p>
    <w:p w14:paraId="7CDA7792">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_Toc7340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五、废标条款</w:t>
      </w:r>
      <w:r>
        <w:rPr>
          <w:color w:val="auto"/>
          <w:highlight w:val="none"/>
        </w:rPr>
        <w:tab/>
      </w:r>
      <w:r>
        <w:rPr>
          <w:color w:val="auto"/>
          <w:highlight w:val="none"/>
        </w:rPr>
        <w:fldChar w:fldCharType="begin"/>
      </w:r>
      <w:r>
        <w:rPr>
          <w:color w:val="auto"/>
          <w:highlight w:val="none"/>
        </w:rPr>
        <w:instrText xml:space="preserve"> PAGEREF _Toc7340 \h </w:instrText>
      </w:r>
      <w:r>
        <w:rPr>
          <w:color w:val="auto"/>
          <w:highlight w:val="none"/>
        </w:rPr>
        <w:fldChar w:fldCharType="separate"/>
      </w:r>
      <w:r>
        <w:rPr>
          <w:color w:val="auto"/>
          <w:highlight w:val="none"/>
        </w:rPr>
        <w:t>24</w:t>
      </w:r>
      <w:r>
        <w:rPr>
          <w:color w:val="auto"/>
          <w:highlight w:val="none"/>
        </w:rPr>
        <w:fldChar w:fldCharType="end"/>
      </w:r>
      <w:r>
        <w:rPr>
          <w:rFonts w:hint="eastAsia" w:ascii="方正仿宋_GBK" w:hAnsi="宋体" w:eastAsia="方正仿宋_GBK"/>
          <w:color w:val="auto"/>
          <w:szCs w:val="24"/>
          <w:highlight w:val="none"/>
        </w:rPr>
        <w:fldChar w:fldCharType="end"/>
      </w:r>
    </w:p>
    <w:p w14:paraId="43038424">
      <w:pPr>
        <w:pStyle w:val="38"/>
        <w:tabs>
          <w:tab w:val="right" w:leader="dot" w:pos="9412"/>
          <w:tab w:val="clear" w:pos="1260"/>
          <w:tab w:val="clear" w:pos="1685"/>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_Toc10559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highlight w:val="none"/>
        </w:rPr>
        <w:t>第五篇  投标人须知</w:t>
      </w:r>
      <w:r>
        <w:rPr>
          <w:color w:val="auto"/>
          <w:highlight w:val="none"/>
        </w:rPr>
        <w:tab/>
      </w:r>
      <w:r>
        <w:rPr>
          <w:color w:val="auto"/>
          <w:highlight w:val="none"/>
        </w:rPr>
        <w:fldChar w:fldCharType="begin"/>
      </w:r>
      <w:r>
        <w:rPr>
          <w:color w:val="auto"/>
          <w:highlight w:val="none"/>
        </w:rPr>
        <w:instrText xml:space="preserve"> PAGEREF _Toc10559 \h </w:instrText>
      </w:r>
      <w:r>
        <w:rPr>
          <w:color w:val="auto"/>
          <w:highlight w:val="none"/>
        </w:rPr>
        <w:fldChar w:fldCharType="separate"/>
      </w:r>
      <w:r>
        <w:rPr>
          <w:color w:val="auto"/>
          <w:highlight w:val="none"/>
        </w:rPr>
        <w:t>25</w:t>
      </w:r>
      <w:r>
        <w:rPr>
          <w:color w:val="auto"/>
          <w:highlight w:val="none"/>
        </w:rPr>
        <w:fldChar w:fldCharType="end"/>
      </w:r>
      <w:r>
        <w:rPr>
          <w:rFonts w:hint="eastAsia" w:ascii="方正仿宋_GBK" w:hAnsi="宋体" w:eastAsia="方正仿宋_GBK"/>
          <w:color w:val="auto"/>
          <w:szCs w:val="24"/>
          <w:highlight w:val="none"/>
        </w:rPr>
        <w:fldChar w:fldCharType="end"/>
      </w:r>
    </w:p>
    <w:p w14:paraId="56A88E33">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_Toc11555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一、投标人</w:t>
      </w:r>
      <w:r>
        <w:rPr>
          <w:color w:val="auto"/>
          <w:highlight w:val="none"/>
        </w:rPr>
        <w:tab/>
      </w:r>
      <w:r>
        <w:rPr>
          <w:color w:val="auto"/>
          <w:highlight w:val="none"/>
        </w:rPr>
        <w:fldChar w:fldCharType="begin"/>
      </w:r>
      <w:r>
        <w:rPr>
          <w:color w:val="auto"/>
          <w:highlight w:val="none"/>
        </w:rPr>
        <w:instrText xml:space="preserve"> PAGEREF _Toc11555 \h </w:instrText>
      </w:r>
      <w:r>
        <w:rPr>
          <w:color w:val="auto"/>
          <w:highlight w:val="none"/>
        </w:rPr>
        <w:fldChar w:fldCharType="separate"/>
      </w:r>
      <w:r>
        <w:rPr>
          <w:color w:val="auto"/>
          <w:highlight w:val="none"/>
        </w:rPr>
        <w:t>25</w:t>
      </w:r>
      <w:r>
        <w:rPr>
          <w:color w:val="auto"/>
          <w:highlight w:val="none"/>
        </w:rPr>
        <w:fldChar w:fldCharType="end"/>
      </w:r>
      <w:r>
        <w:rPr>
          <w:rFonts w:hint="eastAsia" w:ascii="方正仿宋_GBK" w:hAnsi="宋体" w:eastAsia="方正仿宋_GBK"/>
          <w:color w:val="auto"/>
          <w:szCs w:val="24"/>
          <w:highlight w:val="none"/>
        </w:rPr>
        <w:fldChar w:fldCharType="end"/>
      </w:r>
    </w:p>
    <w:p w14:paraId="0FFEFAD6">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_Toc28745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二、招标文件</w:t>
      </w:r>
      <w:r>
        <w:rPr>
          <w:color w:val="auto"/>
          <w:highlight w:val="none"/>
        </w:rPr>
        <w:tab/>
      </w:r>
      <w:r>
        <w:rPr>
          <w:color w:val="auto"/>
          <w:highlight w:val="none"/>
        </w:rPr>
        <w:fldChar w:fldCharType="begin"/>
      </w:r>
      <w:r>
        <w:rPr>
          <w:color w:val="auto"/>
          <w:highlight w:val="none"/>
        </w:rPr>
        <w:instrText xml:space="preserve"> PAGEREF _Toc28745 \h </w:instrText>
      </w:r>
      <w:r>
        <w:rPr>
          <w:color w:val="auto"/>
          <w:highlight w:val="none"/>
        </w:rPr>
        <w:fldChar w:fldCharType="separate"/>
      </w:r>
      <w:r>
        <w:rPr>
          <w:color w:val="auto"/>
          <w:highlight w:val="none"/>
        </w:rPr>
        <w:t>25</w:t>
      </w:r>
      <w:r>
        <w:rPr>
          <w:color w:val="auto"/>
          <w:highlight w:val="none"/>
        </w:rPr>
        <w:fldChar w:fldCharType="end"/>
      </w:r>
      <w:r>
        <w:rPr>
          <w:rFonts w:hint="eastAsia" w:ascii="方正仿宋_GBK" w:hAnsi="宋体" w:eastAsia="方正仿宋_GBK"/>
          <w:color w:val="auto"/>
          <w:szCs w:val="24"/>
          <w:highlight w:val="none"/>
        </w:rPr>
        <w:fldChar w:fldCharType="end"/>
      </w:r>
    </w:p>
    <w:p w14:paraId="09BE07D2">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_Toc5968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三、投标文件</w:t>
      </w:r>
      <w:r>
        <w:rPr>
          <w:color w:val="auto"/>
          <w:highlight w:val="none"/>
        </w:rPr>
        <w:tab/>
      </w:r>
      <w:r>
        <w:rPr>
          <w:color w:val="auto"/>
          <w:highlight w:val="none"/>
        </w:rPr>
        <w:fldChar w:fldCharType="begin"/>
      </w:r>
      <w:r>
        <w:rPr>
          <w:color w:val="auto"/>
          <w:highlight w:val="none"/>
        </w:rPr>
        <w:instrText xml:space="preserve"> PAGEREF _Toc5968 \h </w:instrText>
      </w:r>
      <w:r>
        <w:rPr>
          <w:color w:val="auto"/>
          <w:highlight w:val="none"/>
        </w:rPr>
        <w:fldChar w:fldCharType="separate"/>
      </w:r>
      <w:r>
        <w:rPr>
          <w:color w:val="auto"/>
          <w:highlight w:val="none"/>
        </w:rPr>
        <w:t>25</w:t>
      </w:r>
      <w:r>
        <w:rPr>
          <w:color w:val="auto"/>
          <w:highlight w:val="none"/>
        </w:rPr>
        <w:fldChar w:fldCharType="end"/>
      </w:r>
      <w:r>
        <w:rPr>
          <w:rFonts w:hint="eastAsia" w:ascii="方正仿宋_GBK" w:hAnsi="宋体" w:eastAsia="方正仿宋_GBK"/>
          <w:color w:val="auto"/>
          <w:szCs w:val="24"/>
          <w:highlight w:val="none"/>
        </w:rPr>
        <w:fldChar w:fldCharType="end"/>
      </w:r>
    </w:p>
    <w:p w14:paraId="75DAF031">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_Toc31233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四、开标</w:t>
      </w:r>
      <w:r>
        <w:rPr>
          <w:color w:val="auto"/>
          <w:highlight w:val="none"/>
        </w:rPr>
        <w:tab/>
      </w:r>
      <w:r>
        <w:rPr>
          <w:color w:val="auto"/>
          <w:highlight w:val="none"/>
        </w:rPr>
        <w:fldChar w:fldCharType="begin"/>
      </w:r>
      <w:r>
        <w:rPr>
          <w:color w:val="auto"/>
          <w:highlight w:val="none"/>
        </w:rPr>
        <w:instrText xml:space="preserve"> PAGEREF _Toc31233 \h </w:instrText>
      </w:r>
      <w:r>
        <w:rPr>
          <w:color w:val="auto"/>
          <w:highlight w:val="none"/>
        </w:rPr>
        <w:fldChar w:fldCharType="separate"/>
      </w:r>
      <w:r>
        <w:rPr>
          <w:color w:val="auto"/>
          <w:highlight w:val="none"/>
        </w:rPr>
        <w:t>27</w:t>
      </w:r>
      <w:r>
        <w:rPr>
          <w:color w:val="auto"/>
          <w:highlight w:val="none"/>
        </w:rPr>
        <w:fldChar w:fldCharType="end"/>
      </w:r>
      <w:r>
        <w:rPr>
          <w:rFonts w:hint="eastAsia" w:ascii="方正仿宋_GBK" w:hAnsi="宋体" w:eastAsia="方正仿宋_GBK"/>
          <w:color w:val="auto"/>
          <w:szCs w:val="24"/>
          <w:highlight w:val="none"/>
        </w:rPr>
        <w:fldChar w:fldCharType="end"/>
      </w:r>
    </w:p>
    <w:p w14:paraId="67EB0E61">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_Toc3852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五、评标</w:t>
      </w:r>
      <w:r>
        <w:rPr>
          <w:color w:val="auto"/>
          <w:highlight w:val="none"/>
        </w:rPr>
        <w:tab/>
      </w:r>
      <w:r>
        <w:rPr>
          <w:color w:val="auto"/>
          <w:highlight w:val="none"/>
        </w:rPr>
        <w:fldChar w:fldCharType="begin"/>
      </w:r>
      <w:r>
        <w:rPr>
          <w:color w:val="auto"/>
          <w:highlight w:val="none"/>
        </w:rPr>
        <w:instrText xml:space="preserve"> PAGEREF _Toc3852 \h </w:instrText>
      </w:r>
      <w:r>
        <w:rPr>
          <w:color w:val="auto"/>
          <w:highlight w:val="none"/>
        </w:rPr>
        <w:fldChar w:fldCharType="separate"/>
      </w:r>
      <w:r>
        <w:rPr>
          <w:color w:val="auto"/>
          <w:highlight w:val="none"/>
        </w:rPr>
        <w:t>27</w:t>
      </w:r>
      <w:r>
        <w:rPr>
          <w:color w:val="auto"/>
          <w:highlight w:val="none"/>
        </w:rPr>
        <w:fldChar w:fldCharType="end"/>
      </w:r>
      <w:r>
        <w:rPr>
          <w:rFonts w:hint="eastAsia" w:ascii="方正仿宋_GBK" w:hAnsi="宋体" w:eastAsia="方正仿宋_GBK"/>
          <w:color w:val="auto"/>
          <w:szCs w:val="24"/>
          <w:highlight w:val="none"/>
        </w:rPr>
        <w:fldChar w:fldCharType="end"/>
      </w:r>
    </w:p>
    <w:p w14:paraId="0CE9D1DB">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_Toc2886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六、定标</w:t>
      </w:r>
      <w:r>
        <w:rPr>
          <w:color w:val="auto"/>
          <w:highlight w:val="none"/>
        </w:rPr>
        <w:tab/>
      </w:r>
      <w:r>
        <w:rPr>
          <w:color w:val="auto"/>
          <w:highlight w:val="none"/>
        </w:rPr>
        <w:fldChar w:fldCharType="begin"/>
      </w:r>
      <w:r>
        <w:rPr>
          <w:color w:val="auto"/>
          <w:highlight w:val="none"/>
        </w:rPr>
        <w:instrText xml:space="preserve"> PAGEREF _Toc2886 \h </w:instrText>
      </w:r>
      <w:r>
        <w:rPr>
          <w:color w:val="auto"/>
          <w:highlight w:val="none"/>
        </w:rPr>
        <w:fldChar w:fldCharType="separate"/>
      </w:r>
      <w:r>
        <w:rPr>
          <w:color w:val="auto"/>
          <w:highlight w:val="none"/>
        </w:rPr>
        <w:t>28</w:t>
      </w:r>
      <w:r>
        <w:rPr>
          <w:color w:val="auto"/>
          <w:highlight w:val="none"/>
        </w:rPr>
        <w:fldChar w:fldCharType="end"/>
      </w:r>
      <w:r>
        <w:rPr>
          <w:rFonts w:hint="eastAsia" w:ascii="方正仿宋_GBK" w:hAnsi="宋体" w:eastAsia="方正仿宋_GBK"/>
          <w:color w:val="auto"/>
          <w:szCs w:val="24"/>
          <w:highlight w:val="none"/>
        </w:rPr>
        <w:fldChar w:fldCharType="end"/>
      </w:r>
    </w:p>
    <w:p w14:paraId="021FDD7F">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_Toc19578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七、中标</w:t>
      </w:r>
      <w:r>
        <w:rPr>
          <w:color w:val="auto"/>
          <w:highlight w:val="none"/>
        </w:rPr>
        <w:tab/>
      </w:r>
      <w:r>
        <w:rPr>
          <w:color w:val="auto"/>
          <w:highlight w:val="none"/>
        </w:rPr>
        <w:fldChar w:fldCharType="begin"/>
      </w:r>
      <w:r>
        <w:rPr>
          <w:color w:val="auto"/>
          <w:highlight w:val="none"/>
        </w:rPr>
        <w:instrText xml:space="preserve"> PAGEREF _Toc19578 \h </w:instrText>
      </w:r>
      <w:r>
        <w:rPr>
          <w:color w:val="auto"/>
          <w:highlight w:val="none"/>
        </w:rPr>
        <w:fldChar w:fldCharType="separate"/>
      </w:r>
      <w:r>
        <w:rPr>
          <w:color w:val="auto"/>
          <w:highlight w:val="none"/>
        </w:rPr>
        <w:t>28</w:t>
      </w:r>
      <w:r>
        <w:rPr>
          <w:color w:val="auto"/>
          <w:highlight w:val="none"/>
        </w:rPr>
        <w:fldChar w:fldCharType="end"/>
      </w:r>
      <w:r>
        <w:rPr>
          <w:rFonts w:hint="eastAsia" w:ascii="方正仿宋_GBK" w:hAnsi="宋体" w:eastAsia="方正仿宋_GBK"/>
          <w:color w:val="auto"/>
          <w:szCs w:val="24"/>
          <w:highlight w:val="none"/>
        </w:rPr>
        <w:fldChar w:fldCharType="end"/>
      </w:r>
    </w:p>
    <w:p w14:paraId="29D19A43">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_Toc31380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八、询问、质疑和投诉</w:t>
      </w:r>
      <w:r>
        <w:rPr>
          <w:color w:val="auto"/>
          <w:highlight w:val="none"/>
        </w:rPr>
        <w:tab/>
      </w:r>
      <w:r>
        <w:rPr>
          <w:color w:val="auto"/>
          <w:highlight w:val="none"/>
        </w:rPr>
        <w:fldChar w:fldCharType="begin"/>
      </w:r>
      <w:r>
        <w:rPr>
          <w:color w:val="auto"/>
          <w:highlight w:val="none"/>
        </w:rPr>
        <w:instrText xml:space="preserve"> PAGEREF _Toc31380 \h </w:instrText>
      </w:r>
      <w:r>
        <w:rPr>
          <w:color w:val="auto"/>
          <w:highlight w:val="none"/>
        </w:rPr>
        <w:fldChar w:fldCharType="separate"/>
      </w:r>
      <w:r>
        <w:rPr>
          <w:color w:val="auto"/>
          <w:highlight w:val="none"/>
        </w:rPr>
        <w:t>28</w:t>
      </w:r>
      <w:r>
        <w:rPr>
          <w:color w:val="auto"/>
          <w:highlight w:val="none"/>
        </w:rPr>
        <w:fldChar w:fldCharType="end"/>
      </w:r>
      <w:r>
        <w:rPr>
          <w:rFonts w:hint="eastAsia" w:ascii="方正仿宋_GBK" w:hAnsi="宋体" w:eastAsia="方正仿宋_GBK"/>
          <w:color w:val="auto"/>
          <w:szCs w:val="24"/>
          <w:highlight w:val="none"/>
        </w:rPr>
        <w:fldChar w:fldCharType="end"/>
      </w:r>
    </w:p>
    <w:p w14:paraId="0EB070A3">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_Toc18167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九、采购代理服务费</w:t>
      </w:r>
      <w:r>
        <w:rPr>
          <w:color w:val="auto"/>
          <w:highlight w:val="none"/>
        </w:rPr>
        <w:tab/>
      </w:r>
      <w:r>
        <w:rPr>
          <w:color w:val="auto"/>
          <w:highlight w:val="none"/>
        </w:rPr>
        <w:fldChar w:fldCharType="begin"/>
      </w:r>
      <w:r>
        <w:rPr>
          <w:color w:val="auto"/>
          <w:highlight w:val="none"/>
        </w:rPr>
        <w:instrText xml:space="preserve"> PAGEREF _Toc18167 \h </w:instrText>
      </w:r>
      <w:r>
        <w:rPr>
          <w:color w:val="auto"/>
          <w:highlight w:val="none"/>
        </w:rPr>
        <w:fldChar w:fldCharType="separate"/>
      </w:r>
      <w:r>
        <w:rPr>
          <w:color w:val="auto"/>
          <w:highlight w:val="none"/>
        </w:rPr>
        <w:t>30</w:t>
      </w:r>
      <w:r>
        <w:rPr>
          <w:color w:val="auto"/>
          <w:highlight w:val="none"/>
        </w:rPr>
        <w:fldChar w:fldCharType="end"/>
      </w:r>
      <w:r>
        <w:rPr>
          <w:rFonts w:hint="eastAsia" w:ascii="方正仿宋_GBK" w:hAnsi="宋体" w:eastAsia="方正仿宋_GBK"/>
          <w:color w:val="auto"/>
          <w:szCs w:val="24"/>
          <w:highlight w:val="none"/>
        </w:rPr>
        <w:fldChar w:fldCharType="end"/>
      </w:r>
    </w:p>
    <w:p w14:paraId="37436C5F">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_Toc31434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十、交易服务费</w:t>
      </w:r>
      <w:r>
        <w:rPr>
          <w:color w:val="auto"/>
          <w:highlight w:val="none"/>
        </w:rPr>
        <w:tab/>
      </w:r>
      <w:r>
        <w:rPr>
          <w:color w:val="auto"/>
          <w:highlight w:val="none"/>
        </w:rPr>
        <w:fldChar w:fldCharType="begin"/>
      </w:r>
      <w:r>
        <w:rPr>
          <w:color w:val="auto"/>
          <w:highlight w:val="none"/>
        </w:rPr>
        <w:instrText xml:space="preserve"> PAGEREF _Toc31434 \h </w:instrText>
      </w:r>
      <w:r>
        <w:rPr>
          <w:color w:val="auto"/>
          <w:highlight w:val="none"/>
        </w:rPr>
        <w:fldChar w:fldCharType="separate"/>
      </w:r>
      <w:r>
        <w:rPr>
          <w:color w:val="auto"/>
          <w:highlight w:val="none"/>
        </w:rPr>
        <w:t>30</w:t>
      </w:r>
      <w:r>
        <w:rPr>
          <w:color w:val="auto"/>
          <w:highlight w:val="none"/>
        </w:rPr>
        <w:fldChar w:fldCharType="end"/>
      </w:r>
      <w:r>
        <w:rPr>
          <w:rFonts w:hint="eastAsia" w:ascii="方正仿宋_GBK" w:hAnsi="宋体" w:eastAsia="方正仿宋_GBK"/>
          <w:color w:val="auto"/>
          <w:szCs w:val="24"/>
          <w:highlight w:val="none"/>
        </w:rPr>
        <w:fldChar w:fldCharType="end"/>
      </w:r>
    </w:p>
    <w:p w14:paraId="77389AB6">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_Toc11149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十一、签订合同</w:t>
      </w:r>
      <w:r>
        <w:rPr>
          <w:color w:val="auto"/>
          <w:highlight w:val="none"/>
        </w:rPr>
        <w:tab/>
      </w:r>
      <w:r>
        <w:rPr>
          <w:color w:val="auto"/>
          <w:highlight w:val="none"/>
        </w:rPr>
        <w:fldChar w:fldCharType="begin"/>
      </w:r>
      <w:r>
        <w:rPr>
          <w:color w:val="auto"/>
          <w:highlight w:val="none"/>
        </w:rPr>
        <w:instrText xml:space="preserve"> PAGEREF _Toc11149 \h </w:instrText>
      </w:r>
      <w:r>
        <w:rPr>
          <w:color w:val="auto"/>
          <w:highlight w:val="none"/>
        </w:rPr>
        <w:fldChar w:fldCharType="separate"/>
      </w:r>
      <w:r>
        <w:rPr>
          <w:color w:val="auto"/>
          <w:highlight w:val="none"/>
        </w:rPr>
        <w:t>30</w:t>
      </w:r>
      <w:r>
        <w:rPr>
          <w:color w:val="auto"/>
          <w:highlight w:val="none"/>
        </w:rPr>
        <w:fldChar w:fldCharType="end"/>
      </w:r>
      <w:r>
        <w:rPr>
          <w:rFonts w:hint="eastAsia" w:ascii="方正仿宋_GBK" w:hAnsi="宋体" w:eastAsia="方正仿宋_GBK"/>
          <w:color w:val="auto"/>
          <w:szCs w:val="24"/>
          <w:highlight w:val="none"/>
        </w:rPr>
        <w:fldChar w:fldCharType="end"/>
      </w:r>
    </w:p>
    <w:p w14:paraId="01732A7A">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_Toc12031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十二、项目</w:t>
      </w:r>
      <w:r>
        <w:rPr>
          <w:rFonts w:hint="eastAsia" w:ascii="方正仿宋_GBK" w:eastAsia="方正仿宋_GBK"/>
          <w:color w:val="auto"/>
          <w:szCs w:val="21"/>
          <w:highlight w:val="none"/>
          <w:lang w:val="en-US" w:eastAsia="zh-CN"/>
        </w:rPr>
        <w:t>履约</w:t>
      </w:r>
      <w:r>
        <w:rPr>
          <w:rFonts w:hint="eastAsia" w:ascii="方正仿宋_GBK" w:eastAsia="方正仿宋_GBK"/>
          <w:color w:val="auto"/>
          <w:szCs w:val="21"/>
          <w:highlight w:val="none"/>
        </w:rPr>
        <w:t>验收</w:t>
      </w:r>
      <w:r>
        <w:rPr>
          <w:color w:val="auto"/>
          <w:highlight w:val="none"/>
        </w:rPr>
        <w:tab/>
      </w:r>
      <w:r>
        <w:rPr>
          <w:color w:val="auto"/>
          <w:highlight w:val="none"/>
        </w:rPr>
        <w:fldChar w:fldCharType="begin"/>
      </w:r>
      <w:r>
        <w:rPr>
          <w:color w:val="auto"/>
          <w:highlight w:val="none"/>
        </w:rPr>
        <w:instrText xml:space="preserve"> PAGEREF _Toc12031 \h </w:instrText>
      </w:r>
      <w:r>
        <w:rPr>
          <w:color w:val="auto"/>
          <w:highlight w:val="none"/>
        </w:rPr>
        <w:fldChar w:fldCharType="separate"/>
      </w:r>
      <w:r>
        <w:rPr>
          <w:color w:val="auto"/>
          <w:highlight w:val="none"/>
        </w:rPr>
        <w:t>31</w:t>
      </w:r>
      <w:r>
        <w:rPr>
          <w:color w:val="auto"/>
          <w:highlight w:val="none"/>
        </w:rPr>
        <w:fldChar w:fldCharType="end"/>
      </w:r>
      <w:r>
        <w:rPr>
          <w:rFonts w:hint="eastAsia" w:ascii="方正仿宋_GBK" w:hAnsi="宋体" w:eastAsia="方正仿宋_GBK"/>
          <w:color w:val="auto"/>
          <w:szCs w:val="24"/>
          <w:highlight w:val="none"/>
        </w:rPr>
        <w:fldChar w:fldCharType="end"/>
      </w:r>
    </w:p>
    <w:p w14:paraId="143277B1">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_Toc13349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十三、政府采购信用融资</w:t>
      </w:r>
      <w:r>
        <w:rPr>
          <w:color w:val="auto"/>
          <w:highlight w:val="none"/>
        </w:rPr>
        <w:tab/>
      </w:r>
      <w:r>
        <w:rPr>
          <w:color w:val="auto"/>
          <w:highlight w:val="none"/>
        </w:rPr>
        <w:fldChar w:fldCharType="begin"/>
      </w:r>
      <w:r>
        <w:rPr>
          <w:color w:val="auto"/>
          <w:highlight w:val="none"/>
        </w:rPr>
        <w:instrText xml:space="preserve"> PAGEREF _Toc13349 \h </w:instrText>
      </w:r>
      <w:r>
        <w:rPr>
          <w:color w:val="auto"/>
          <w:highlight w:val="none"/>
        </w:rPr>
        <w:fldChar w:fldCharType="separate"/>
      </w:r>
      <w:r>
        <w:rPr>
          <w:color w:val="auto"/>
          <w:highlight w:val="none"/>
        </w:rPr>
        <w:t>31</w:t>
      </w:r>
      <w:r>
        <w:rPr>
          <w:color w:val="auto"/>
          <w:highlight w:val="none"/>
        </w:rPr>
        <w:fldChar w:fldCharType="end"/>
      </w:r>
      <w:r>
        <w:rPr>
          <w:rFonts w:hint="eastAsia" w:ascii="方正仿宋_GBK" w:hAnsi="宋体" w:eastAsia="方正仿宋_GBK"/>
          <w:color w:val="auto"/>
          <w:szCs w:val="24"/>
          <w:highlight w:val="none"/>
        </w:rPr>
        <w:fldChar w:fldCharType="end"/>
      </w:r>
    </w:p>
    <w:p w14:paraId="25996F93">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_Toc17460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szCs w:val="21"/>
          <w:highlight w:val="none"/>
        </w:rPr>
        <w:t>十四、其他</w:t>
      </w:r>
      <w:r>
        <w:rPr>
          <w:color w:val="auto"/>
          <w:highlight w:val="none"/>
        </w:rPr>
        <w:tab/>
      </w:r>
      <w:r>
        <w:rPr>
          <w:color w:val="auto"/>
          <w:highlight w:val="none"/>
        </w:rPr>
        <w:fldChar w:fldCharType="begin"/>
      </w:r>
      <w:r>
        <w:rPr>
          <w:color w:val="auto"/>
          <w:highlight w:val="none"/>
        </w:rPr>
        <w:instrText xml:space="preserve"> PAGEREF _Toc17460 \h </w:instrText>
      </w:r>
      <w:r>
        <w:rPr>
          <w:color w:val="auto"/>
          <w:highlight w:val="none"/>
        </w:rPr>
        <w:fldChar w:fldCharType="separate"/>
      </w:r>
      <w:r>
        <w:rPr>
          <w:color w:val="auto"/>
          <w:highlight w:val="none"/>
        </w:rPr>
        <w:t>31</w:t>
      </w:r>
      <w:r>
        <w:rPr>
          <w:color w:val="auto"/>
          <w:highlight w:val="none"/>
        </w:rPr>
        <w:fldChar w:fldCharType="end"/>
      </w:r>
      <w:r>
        <w:rPr>
          <w:rFonts w:hint="eastAsia" w:ascii="方正仿宋_GBK" w:hAnsi="宋体" w:eastAsia="方正仿宋_GBK"/>
          <w:color w:val="auto"/>
          <w:szCs w:val="24"/>
          <w:highlight w:val="none"/>
        </w:rPr>
        <w:fldChar w:fldCharType="end"/>
      </w:r>
    </w:p>
    <w:p w14:paraId="5757EE38">
      <w:pPr>
        <w:pStyle w:val="38"/>
        <w:tabs>
          <w:tab w:val="right" w:leader="dot" w:pos="9412"/>
          <w:tab w:val="clear" w:pos="1260"/>
          <w:tab w:val="clear" w:pos="1685"/>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_Toc2998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highlight w:val="none"/>
        </w:rPr>
        <w:t>第六篇  合同主要条款和格式合同（样本）</w:t>
      </w:r>
      <w:r>
        <w:rPr>
          <w:color w:val="auto"/>
          <w:highlight w:val="none"/>
        </w:rPr>
        <w:tab/>
      </w:r>
      <w:r>
        <w:rPr>
          <w:color w:val="auto"/>
          <w:highlight w:val="none"/>
        </w:rPr>
        <w:fldChar w:fldCharType="begin"/>
      </w:r>
      <w:r>
        <w:rPr>
          <w:color w:val="auto"/>
          <w:highlight w:val="none"/>
        </w:rPr>
        <w:instrText xml:space="preserve"> PAGEREF _Toc2998 \h </w:instrText>
      </w:r>
      <w:r>
        <w:rPr>
          <w:color w:val="auto"/>
          <w:highlight w:val="none"/>
        </w:rPr>
        <w:fldChar w:fldCharType="separate"/>
      </w:r>
      <w:r>
        <w:rPr>
          <w:color w:val="auto"/>
          <w:highlight w:val="none"/>
        </w:rPr>
        <w:t>32</w:t>
      </w:r>
      <w:r>
        <w:rPr>
          <w:color w:val="auto"/>
          <w:highlight w:val="none"/>
        </w:rPr>
        <w:fldChar w:fldCharType="end"/>
      </w:r>
      <w:r>
        <w:rPr>
          <w:rFonts w:hint="eastAsia" w:ascii="方正仿宋_GBK" w:hAnsi="宋体" w:eastAsia="方正仿宋_GBK"/>
          <w:color w:val="auto"/>
          <w:szCs w:val="24"/>
          <w:highlight w:val="none"/>
        </w:rPr>
        <w:fldChar w:fldCharType="end"/>
      </w:r>
    </w:p>
    <w:p w14:paraId="5D6C703D">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_Toc2959 </w:instrText>
      </w:r>
      <w:r>
        <w:rPr>
          <w:rFonts w:hint="eastAsia" w:ascii="方正仿宋_GBK" w:hAnsi="宋体" w:eastAsia="方正仿宋_GBK"/>
          <w:color w:val="auto"/>
          <w:szCs w:val="24"/>
          <w:highlight w:val="none"/>
        </w:rPr>
        <w:fldChar w:fldCharType="separate"/>
      </w:r>
      <w:r>
        <w:rPr>
          <w:rFonts w:hint="eastAsia" w:ascii="方正仿宋_GBK" w:hAnsi="黑体" w:eastAsia="方正仿宋_GBK"/>
          <w:bCs/>
          <w:color w:val="auto"/>
          <w:szCs w:val="28"/>
          <w:highlight w:val="none"/>
        </w:rPr>
        <w:t xml:space="preserve">第一节 </w:t>
      </w:r>
      <w:r>
        <w:rPr>
          <w:rFonts w:hint="eastAsia" w:ascii="方正仿宋_GBK" w:eastAsia="方正仿宋_GBK"/>
          <w:bCs/>
          <w:color w:val="auto"/>
          <w:szCs w:val="28"/>
          <w:highlight w:val="none"/>
        </w:rPr>
        <w:t>政府采购合同协议书</w:t>
      </w:r>
      <w:r>
        <w:rPr>
          <w:color w:val="auto"/>
          <w:highlight w:val="none"/>
        </w:rPr>
        <w:tab/>
      </w:r>
      <w:r>
        <w:rPr>
          <w:color w:val="auto"/>
          <w:highlight w:val="none"/>
        </w:rPr>
        <w:fldChar w:fldCharType="begin"/>
      </w:r>
      <w:r>
        <w:rPr>
          <w:color w:val="auto"/>
          <w:highlight w:val="none"/>
        </w:rPr>
        <w:instrText xml:space="preserve"> PAGEREF _Toc2959 \h </w:instrText>
      </w:r>
      <w:r>
        <w:rPr>
          <w:color w:val="auto"/>
          <w:highlight w:val="none"/>
        </w:rPr>
        <w:fldChar w:fldCharType="separate"/>
      </w:r>
      <w:r>
        <w:rPr>
          <w:color w:val="auto"/>
          <w:highlight w:val="none"/>
        </w:rPr>
        <w:t>34</w:t>
      </w:r>
      <w:r>
        <w:rPr>
          <w:color w:val="auto"/>
          <w:highlight w:val="none"/>
        </w:rPr>
        <w:fldChar w:fldCharType="end"/>
      </w:r>
      <w:r>
        <w:rPr>
          <w:rFonts w:hint="eastAsia" w:ascii="方正仿宋_GBK" w:hAnsi="宋体" w:eastAsia="方正仿宋_GBK"/>
          <w:color w:val="auto"/>
          <w:szCs w:val="24"/>
          <w:highlight w:val="none"/>
        </w:rPr>
        <w:fldChar w:fldCharType="end"/>
      </w:r>
    </w:p>
    <w:p w14:paraId="794B9B2F">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_Toc4250 </w:instrText>
      </w:r>
      <w:r>
        <w:rPr>
          <w:rFonts w:hint="eastAsia" w:ascii="方正仿宋_GBK" w:hAnsi="宋体" w:eastAsia="方正仿宋_GBK"/>
          <w:color w:val="auto"/>
          <w:szCs w:val="24"/>
          <w:highlight w:val="none"/>
        </w:rPr>
        <w:fldChar w:fldCharType="separate"/>
      </w:r>
      <w:r>
        <w:rPr>
          <w:rFonts w:hint="eastAsia" w:ascii="方正仿宋_GBK" w:hAnsi="黑体" w:eastAsia="方正仿宋_GBK"/>
          <w:bCs/>
          <w:color w:val="auto"/>
          <w:szCs w:val="28"/>
          <w:highlight w:val="none"/>
        </w:rPr>
        <w:t>第二节 政府采购合同通用条款</w:t>
      </w:r>
      <w:r>
        <w:rPr>
          <w:color w:val="auto"/>
          <w:highlight w:val="none"/>
        </w:rPr>
        <w:tab/>
      </w:r>
      <w:r>
        <w:rPr>
          <w:color w:val="auto"/>
          <w:highlight w:val="none"/>
        </w:rPr>
        <w:fldChar w:fldCharType="begin"/>
      </w:r>
      <w:r>
        <w:rPr>
          <w:color w:val="auto"/>
          <w:highlight w:val="none"/>
        </w:rPr>
        <w:instrText xml:space="preserve"> PAGEREF _Toc4250 \h </w:instrText>
      </w:r>
      <w:r>
        <w:rPr>
          <w:color w:val="auto"/>
          <w:highlight w:val="none"/>
        </w:rPr>
        <w:fldChar w:fldCharType="separate"/>
      </w:r>
      <w:r>
        <w:rPr>
          <w:color w:val="auto"/>
          <w:highlight w:val="none"/>
        </w:rPr>
        <w:t>39</w:t>
      </w:r>
      <w:r>
        <w:rPr>
          <w:color w:val="auto"/>
          <w:highlight w:val="none"/>
        </w:rPr>
        <w:fldChar w:fldCharType="end"/>
      </w:r>
      <w:r>
        <w:rPr>
          <w:rFonts w:hint="eastAsia" w:ascii="方正仿宋_GBK" w:hAnsi="宋体" w:eastAsia="方正仿宋_GBK"/>
          <w:color w:val="auto"/>
          <w:szCs w:val="24"/>
          <w:highlight w:val="none"/>
        </w:rPr>
        <w:fldChar w:fldCharType="end"/>
      </w:r>
    </w:p>
    <w:p w14:paraId="15F6D990">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_Toc7336 </w:instrText>
      </w:r>
      <w:r>
        <w:rPr>
          <w:rFonts w:hint="eastAsia" w:ascii="方正仿宋_GBK" w:hAnsi="宋体" w:eastAsia="方正仿宋_GBK"/>
          <w:color w:val="auto"/>
          <w:szCs w:val="24"/>
          <w:highlight w:val="none"/>
        </w:rPr>
        <w:fldChar w:fldCharType="separate"/>
      </w:r>
      <w:r>
        <w:rPr>
          <w:rFonts w:hint="eastAsia" w:ascii="方正仿宋_GBK" w:hAnsi="黑体" w:eastAsia="方正仿宋_GBK"/>
          <w:bCs/>
          <w:color w:val="auto"/>
          <w:szCs w:val="28"/>
          <w:highlight w:val="none"/>
        </w:rPr>
        <w:t>第三节 政府采购合同专用条款</w:t>
      </w:r>
      <w:r>
        <w:rPr>
          <w:color w:val="auto"/>
          <w:highlight w:val="none"/>
        </w:rPr>
        <w:tab/>
      </w:r>
      <w:r>
        <w:rPr>
          <w:color w:val="auto"/>
          <w:highlight w:val="none"/>
        </w:rPr>
        <w:fldChar w:fldCharType="begin"/>
      </w:r>
      <w:r>
        <w:rPr>
          <w:color w:val="auto"/>
          <w:highlight w:val="none"/>
        </w:rPr>
        <w:instrText xml:space="preserve"> PAGEREF _Toc7336 \h </w:instrText>
      </w:r>
      <w:r>
        <w:rPr>
          <w:color w:val="auto"/>
          <w:highlight w:val="none"/>
        </w:rPr>
        <w:fldChar w:fldCharType="separate"/>
      </w:r>
      <w:r>
        <w:rPr>
          <w:color w:val="auto"/>
          <w:highlight w:val="none"/>
        </w:rPr>
        <w:t>46</w:t>
      </w:r>
      <w:r>
        <w:rPr>
          <w:color w:val="auto"/>
          <w:highlight w:val="none"/>
        </w:rPr>
        <w:fldChar w:fldCharType="end"/>
      </w:r>
      <w:r>
        <w:rPr>
          <w:rFonts w:hint="eastAsia" w:ascii="方正仿宋_GBK" w:hAnsi="宋体" w:eastAsia="方正仿宋_GBK"/>
          <w:color w:val="auto"/>
          <w:szCs w:val="24"/>
          <w:highlight w:val="none"/>
        </w:rPr>
        <w:fldChar w:fldCharType="end"/>
      </w:r>
    </w:p>
    <w:p w14:paraId="39F430C7">
      <w:pPr>
        <w:pStyle w:val="38"/>
        <w:tabs>
          <w:tab w:val="right" w:leader="dot" w:pos="9412"/>
          <w:tab w:val="clear" w:pos="1260"/>
          <w:tab w:val="clear" w:pos="1685"/>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_Toc27678 </w:instrText>
      </w:r>
      <w:r>
        <w:rPr>
          <w:rFonts w:hint="eastAsia" w:ascii="方正仿宋_GBK" w:hAnsi="宋体" w:eastAsia="方正仿宋_GBK"/>
          <w:color w:val="auto"/>
          <w:szCs w:val="24"/>
          <w:highlight w:val="none"/>
        </w:rPr>
        <w:fldChar w:fldCharType="separate"/>
      </w:r>
      <w:r>
        <w:rPr>
          <w:rFonts w:hint="eastAsia" w:ascii="方正仿宋_GBK" w:eastAsia="方正仿宋_GBK"/>
          <w:color w:val="auto"/>
          <w:highlight w:val="none"/>
        </w:rPr>
        <w:t>第七篇</w:t>
      </w:r>
      <w:r>
        <w:rPr>
          <w:rFonts w:ascii="方正仿宋_GBK" w:eastAsia="方正仿宋_GBK"/>
          <w:color w:val="auto"/>
          <w:highlight w:val="none"/>
        </w:rPr>
        <w:t xml:space="preserve">  </w:t>
      </w:r>
      <w:r>
        <w:rPr>
          <w:rFonts w:hint="eastAsia" w:ascii="方正仿宋_GBK" w:eastAsia="方正仿宋_GBK"/>
          <w:color w:val="auto"/>
          <w:highlight w:val="none"/>
        </w:rPr>
        <w:t>投标文件格式</w:t>
      </w:r>
      <w:r>
        <w:rPr>
          <w:color w:val="auto"/>
          <w:highlight w:val="none"/>
        </w:rPr>
        <w:tab/>
      </w:r>
      <w:r>
        <w:rPr>
          <w:color w:val="auto"/>
          <w:highlight w:val="none"/>
        </w:rPr>
        <w:fldChar w:fldCharType="begin"/>
      </w:r>
      <w:r>
        <w:rPr>
          <w:color w:val="auto"/>
          <w:highlight w:val="none"/>
        </w:rPr>
        <w:instrText xml:space="preserve"> PAGEREF _Toc27678 \h </w:instrText>
      </w:r>
      <w:r>
        <w:rPr>
          <w:color w:val="auto"/>
          <w:highlight w:val="none"/>
        </w:rPr>
        <w:fldChar w:fldCharType="separate"/>
      </w:r>
      <w:r>
        <w:rPr>
          <w:color w:val="auto"/>
          <w:highlight w:val="none"/>
        </w:rPr>
        <w:t>52</w:t>
      </w:r>
      <w:r>
        <w:rPr>
          <w:color w:val="auto"/>
          <w:highlight w:val="none"/>
        </w:rPr>
        <w:fldChar w:fldCharType="end"/>
      </w:r>
      <w:r>
        <w:rPr>
          <w:rFonts w:hint="eastAsia" w:ascii="方正仿宋_GBK" w:hAnsi="宋体" w:eastAsia="方正仿宋_GBK"/>
          <w:color w:val="auto"/>
          <w:szCs w:val="24"/>
          <w:highlight w:val="none"/>
        </w:rPr>
        <w:fldChar w:fldCharType="end"/>
      </w:r>
    </w:p>
    <w:p w14:paraId="08169410">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_Toc4936 </w:instrText>
      </w:r>
      <w:r>
        <w:rPr>
          <w:rFonts w:hint="eastAsia" w:ascii="方正仿宋_GBK" w:hAnsi="宋体" w:eastAsia="方正仿宋_GBK"/>
          <w:color w:val="auto"/>
          <w:szCs w:val="24"/>
          <w:highlight w:val="none"/>
        </w:rPr>
        <w:fldChar w:fldCharType="separate"/>
      </w:r>
      <w:r>
        <w:rPr>
          <w:rFonts w:hint="eastAsia" w:ascii="方正仿宋_GBK" w:hAnsi="仿宋" w:eastAsia="方正仿宋_GBK"/>
          <w:color w:val="auto"/>
          <w:szCs w:val="28"/>
          <w:highlight w:val="none"/>
        </w:rPr>
        <w:t>一、经济文件</w:t>
      </w:r>
      <w:r>
        <w:rPr>
          <w:color w:val="auto"/>
          <w:highlight w:val="none"/>
        </w:rPr>
        <w:tab/>
      </w:r>
      <w:r>
        <w:rPr>
          <w:color w:val="auto"/>
          <w:highlight w:val="none"/>
        </w:rPr>
        <w:fldChar w:fldCharType="begin"/>
      </w:r>
      <w:r>
        <w:rPr>
          <w:color w:val="auto"/>
          <w:highlight w:val="none"/>
        </w:rPr>
        <w:instrText xml:space="preserve"> PAGEREF _Toc4936 \h </w:instrText>
      </w:r>
      <w:r>
        <w:rPr>
          <w:color w:val="auto"/>
          <w:highlight w:val="none"/>
        </w:rPr>
        <w:fldChar w:fldCharType="separate"/>
      </w:r>
      <w:r>
        <w:rPr>
          <w:color w:val="auto"/>
          <w:highlight w:val="none"/>
        </w:rPr>
        <w:t>53</w:t>
      </w:r>
      <w:r>
        <w:rPr>
          <w:color w:val="auto"/>
          <w:highlight w:val="none"/>
        </w:rPr>
        <w:fldChar w:fldCharType="end"/>
      </w:r>
      <w:r>
        <w:rPr>
          <w:rFonts w:hint="eastAsia" w:ascii="方正仿宋_GBK" w:hAnsi="宋体" w:eastAsia="方正仿宋_GBK"/>
          <w:color w:val="auto"/>
          <w:szCs w:val="24"/>
          <w:highlight w:val="none"/>
        </w:rPr>
        <w:fldChar w:fldCharType="end"/>
      </w:r>
    </w:p>
    <w:p w14:paraId="6710371C">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_Toc19416 </w:instrText>
      </w:r>
      <w:r>
        <w:rPr>
          <w:rFonts w:hint="eastAsia" w:ascii="方正仿宋_GBK" w:hAnsi="宋体" w:eastAsia="方正仿宋_GBK"/>
          <w:color w:val="auto"/>
          <w:szCs w:val="24"/>
          <w:highlight w:val="none"/>
        </w:rPr>
        <w:fldChar w:fldCharType="separate"/>
      </w:r>
      <w:r>
        <w:rPr>
          <w:rFonts w:hint="eastAsia" w:ascii="方正仿宋_GBK" w:hAnsi="仿宋" w:eastAsia="方正仿宋_GBK"/>
          <w:color w:val="auto"/>
          <w:szCs w:val="28"/>
          <w:highlight w:val="none"/>
        </w:rPr>
        <w:t>二、技术（质量）文件</w:t>
      </w:r>
      <w:r>
        <w:rPr>
          <w:color w:val="auto"/>
          <w:highlight w:val="none"/>
        </w:rPr>
        <w:tab/>
      </w:r>
      <w:r>
        <w:rPr>
          <w:color w:val="auto"/>
          <w:highlight w:val="none"/>
        </w:rPr>
        <w:fldChar w:fldCharType="begin"/>
      </w:r>
      <w:r>
        <w:rPr>
          <w:color w:val="auto"/>
          <w:highlight w:val="none"/>
        </w:rPr>
        <w:instrText xml:space="preserve"> PAGEREF _Toc19416 \h </w:instrText>
      </w:r>
      <w:r>
        <w:rPr>
          <w:color w:val="auto"/>
          <w:highlight w:val="none"/>
        </w:rPr>
        <w:fldChar w:fldCharType="separate"/>
      </w:r>
      <w:r>
        <w:rPr>
          <w:color w:val="auto"/>
          <w:highlight w:val="none"/>
        </w:rPr>
        <w:t>57</w:t>
      </w:r>
      <w:r>
        <w:rPr>
          <w:color w:val="auto"/>
          <w:highlight w:val="none"/>
        </w:rPr>
        <w:fldChar w:fldCharType="end"/>
      </w:r>
      <w:r>
        <w:rPr>
          <w:rFonts w:hint="eastAsia" w:ascii="方正仿宋_GBK" w:hAnsi="宋体" w:eastAsia="方正仿宋_GBK"/>
          <w:color w:val="auto"/>
          <w:szCs w:val="24"/>
          <w:highlight w:val="none"/>
        </w:rPr>
        <w:fldChar w:fldCharType="end"/>
      </w:r>
    </w:p>
    <w:p w14:paraId="26D51D78">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_Toc3058 </w:instrText>
      </w:r>
      <w:r>
        <w:rPr>
          <w:rFonts w:hint="eastAsia" w:ascii="方正仿宋_GBK" w:hAnsi="宋体" w:eastAsia="方正仿宋_GBK"/>
          <w:color w:val="auto"/>
          <w:szCs w:val="24"/>
          <w:highlight w:val="none"/>
        </w:rPr>
        <w:fldChar w:fldCharType="separate"/>
      </w:r>
      <w:r>
        <w:rPr>
          <w:rFonts w:hint="eastAsia" w:ascii="方正仿宋_GBK" w:hAnsi="仿宋" w:eastAsia="方正仿宋_GBK"/>
          <w:color w:val="auto"/>
          <w:szCs w:val="28"/>
          <w:highlight w:val="none"/>
        </w:rPr>
        <w:t>三、商务文件</w:t>
      </w:r>
      <w:r>
        <w:rPr>
          <w:color w:val="auto"/>
          <w:highlight w:val="none"/>
        </w:rPr>
        <w:tab/>
      </w:r>
      <w:r>
        <w:rPr>
          <w:color w:val="auto"/>
          <w:highlight w:val="none"/>
        </w:rPr>
        <w:fldChar w:fldCharType="begin"/>
      </w:r>
      <w:r>
        <w:rPr>
          <w:color w:val="auto"/>
          <w:highlight w:val="none"/>
        </w:rPr>
        <w:instrText xml:space="preserve"> PAGEREF _Toc3058 \h </w:instrText>
      </w:r>
      <w:r>
        <w:rPr>
          <w:color w:val="auto"/>
          <w:highlight w:val="none"/>
        </w:rPr>
        <w:fldChar w:fldCharType="separate"/>
      </w:r>
      <w:r>
        <w:rPr>
          <w:color w:val="auto"/>
          <w:highlight w:val="none"/>
        </w:rPr>
        <w:t>59</w:t>
      </w:r>
      <w:r>
        <w:rPr>
          <w:color w:val="auto"/>
          <w:highlight w:val="none"/>
        </w:rPr>
        <w:fldChar w:fldCharType="end"/>
      </w:r>
      <w:r>
        <w:rPr>
          <w:rFonts w:hint="eastAsia" w:ascii="方正仿宋_GBK" w:hAnsi="宋体" w:eastAsia="方正仿宋_GBK"/>
          <w:color w:val="auto"/>
          <w:szCs w:val="24"/>
          <w:highlight w:val="none"/>
        </w:rPr>
        <w:fldChar w:fldCharType="end"/>
      </w:r>
    </w:p>
    <w:p w14:paraId="00F09519">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_Toc29299 </w:instrText>
      </w:r>
      <w:r>
        <w:rPr>
          <w:rFonts w:hint="eastAsia" w:ascii="方正仿宋_GBK" w:hAnsi="宋体" w:eastAsia="方正仿宋_GBK"/>
          <w:color w:val="auto"/>
          <w:szCs w:val="24"/>
          <w:highlight w:val="none"/>
        </w:rPr>
        <w:fldChar w:fldCharType="separate"/>
      </w:r>
      <w:r>
        <w:rPr>
          <w:rFonts w:hint="eastAsia" w:ascii="方正仿宋_GBK" w:hAnsi="仿宋" w:eastAsia="方正仿宋_GBK"/>
          <w:color w:val="auto"/>
          <w:szCs w:val="28"/>
          <w:highlight w:val="none"/>
        </w:rPr>
        <w:t>四、其他</w:t>
      </w:r>
      <w:r>
        <w:rPr>
          <w:color w:val="auto"/>
          <w:highlight w:val="none"/>
        </w:rPr>
        <w:tab/>
      </w:r>
      <w:r>
        <w:rPr>
          <w:color w:val="auto"/>
          <w:highlight w:val="none"/>
        </w:rPr>
        <w:fldChar w:fldCharType="begin"/>
      </w:r>
      <w:r>
        <w:rPr>
          <w:color w:val="auto"/>
          <w:highlight w:val="none"/>
        </w:rPr>
        <w:instrText xml:space="preserve"> PAGEREF _Toc29299 \h </w:instrText>
      </w:r>
      <w:r>
        <w:rPr>
          <w:color w:val="auto"/>
          <w:highlight w:val="none"/>
        </w:rPr>
        <w:fldChar w:fldCharType="separate"/>
      </w:r>
      <w:r>
        <w:rPr>
          <w:color w:val="auto"/>
          <w:highlight w:val="none"/>
        </w:rPr>
        <w:t>62</w:t>
      </w:r>
      <w:r>
        <w:rPr>
          <w:color w:val="auto"/>
          <w:highlight w:val="none"/>
        </w:rPr>
        <w:fldChar w:fldCharType="end"/>
      </w:r>
      <w:r>
        <w:rPr>
          <w:rFonts w:hint="eastAsia" w:ascii="方正仿宋_GBK" w:hAnsi="宋体" w:eastAsia="方正仿宋_GBK"/>
          <w:color w:val="auto"/>
          <w:szCs w:val="24"/>
          <w:highlight w:val="none"/>
        </w:rPr>
        <w:fldChar w:fldCharType="end"/>
      </w:r>
    </w:p>
    <w:p w14:paraId="31359424">
      <w:pPr>
        <w:pStyle w:val="46"/>
        <w:tabs>
          <w:tab w:val="right" w:leader="dot" w:pos="9412"/>
          <w:tab w:val="clear" w:pos="8400"/>
        </w:tabs>
        <w:rPr>
          <w:color w:val="auto"/>
          <w:highlight w:val="none"/>
        </w:rPr>
      </w:pPr>
      <w:r>
        <w:rPr>
          <w:rFonts w:hint="eastAsia" w:ascii="方正仿宋_GBK" w:hAnsi="宋体" w:eastAsia="方正仿宋_GBK"/>
          <w:color w:val="auto"/>
          <w:szCs w:val="24"/>
          <w:highlight w:val="none"/>
        </w:rPr>
        <w:fldChar w:fldCharType="begin"/>
      </w:r>
      <w:r>
        <w:rPr>
          <w:rFonts w:hint="eastAsia" w:ascii="方正仿宋_GBK" w:hAnsi="宋体" w:eastAsia="方正仿宋_GBK"/>
          <w:color w:val="auto"/>
          <w:szCs w:val="24"/>
          <w:highlight w:val="none"/>
        </w:rPr>
        <w:instrText xml:space="preserve"> HYPERLINK \l _Toc24054 </w:instrText>
      </w:r>
      <w:r>
        <w:rPr>
          <w:rFonts w:hint="eastAsia" w:ascii="方正仿宋_GBK" w:hAnsi="宋体" w:eastAsia="方正仿宋_GBK"/>
          <w:color w:val="auto"/>
          <w:szCs w:val="24"/>
          <w:highlight w:val="none"/>
        </w:rPr>
        <w:fldChar w:fldCharType="separate"/>
      </w:r>
      <w:r>
        <w:rPr>
          <w:rFonts w:hint="eastAsia" w:ascii="方正仿宋_GBK" w:hAnsi="仿宋" w:eastAsia="方正仿宋_GBK"/>
          <w:color w:val="auto"/>
          <w:szCs w:val="28"/>
          <w:highlight w:val="none"/>
        </w:rPr>
        <w:t>五、资格文件</w:t>
      </w:r>
      <w:r>
        <w:rPr>
          <w:color w:val="auto"/>
          <w:highlight w:val="none"/>
        </w:rPr>
        <w:tab/>
      </w:r>
      <w:r>
        <w:rPr>
          <w:color w:val="auto"/>
          <w:highlight w:val="none"/>
        </w:rPr>
        <w:fldChar w:fldCharType="begin"/>
      </w:r>
      <w:r>
        <w:rPr>
          <w:color w:val="auto"/>
          <w:highlight w:val="none"/>
        </w:rPr>
        <w:instrText xml:space="preserve"> PAGEREF _Toc24054 \h </w:instrText>
      </w:r>
      <w:r>
        <w:rPr>
          <w:color w:val="auto"/>
          <w:highlight w:val="none"/>
        </w:rPr>
        <w:fldChar w:fldCharType="separate"/>
      </w:r>
      <w:r>
        <w:rPr>
          <w:color w:val="auto"/>
          <w:highlight w:val="none"/>
        </w:rPr>
        <w:t>68</w:t>
      </w:r>
      <w:r>
        <w:rPr>
          <w:color w:val="auto"/>
          <w:highlight w:val="none"/>
        </w:rPr>
        <w:fldChar w:fldCharType="end"/>
      </w:r>
      <w:r>
        <w:rPr>
          <w:rFonts w:hint="eastAsia" w:ascii="方正仿宋_GBK" w:hAnsi="宋体" w:eastAsia="方正仿宋_GBK"/>
          <w:color w:val="auto"/>
          <w:szCs w:val="24"/>
          <w:highlight w:val="none"/>
        </w:rPr>
        <w:fldChar w:fldCharType="end"/>
      </w:r>
    </w:p>
    <w:p w14:paraId="47192F00">
      <w:pPr>
        <w:pStyle w:val="38"/>
        <w:spacing w:line="240" w:lineRule="auto"/>
        <w:ind w:firstLine="0" w:firstLineChars="0"/>
        <w:rPr>
          <w:rFonts w:ascii="方正仿宋_GBK" w:hAnsi="宋体" w:eastAsia="方正仿宋_GBK"/>
          <w:color w:val="auto"/>
          <w:sz w:val="24"/>
          <w:szCs w:val="24"/>
          <w:highlight w:val="none"/>
        </w:rPr>
      </w:pPr>
      <w:r>
        <w:rPr>
          <w:rFonts w:hint="eastAsia" w:ascii="方正仿宋_GBK" w:hAnsi="宋体" w:eastAsia="方正仿宋_GBK"/>
          <w:color w:val="auto"/>
          <w:szCs w:val="24"/>
          <w:highlight w:val="none"/>
        </w:rPr>
        <w:fldChar w:fldCharType="end"/>
      </w:r>
    </w:p>
    <w:p w14:paraId="36A48CAF">
      <w:pPr>
        <w:rPr>
          <w:rFonts w:ascii="方正仿宋_GBK" w:hAnsi="宋体" w:eastAsia="方正仿宋_GBK"/>
          <w:color w:val="auto"/>
          <w:sz w:val="24"/>
          <w:szCs w:val="24"/>
          <w:highlight w:val="none"/>
        </w:rPr>
      </w:pPr>
    </w:p>
    <w:p w14:paraId="2DD3522A">
      <w:pPr>
        <w:pStyle w:val="38"/>
        <w:ind w:firstLine="281"/>
        <w:rPr>
          <w:color w:val="auto"/>
          <w:highlight w:val="none"/>
        </w:rPr>
        <w:sectPr>
          <w:pgSz w:w="11907" w:h="16840"/>
          <w:pgMar w:top="1134" w:right="1191" w:bottom="1134" w:left="1304" w:header="964" w:footer="992" w:gutter="0"/>
          <w:pgNumType w:fmt="numberInDash" w:start="1"/>
          <w:cols w:space="720" w:num="1"/>
          <w:docGrid w:linePitch="312" w:charSpace="0"/>
        </w:sectPr>
      </w:pPr>
    </w:p>
    <w:p w14:paraId="261A683F">
      <w:pPr>
        <w:pStyle w:val="4"/>
        <w:spacing w:before="0" w:beforeLines="0" w:after="0" w:afterLines="0" w:line="360" w:lineRule="auto"/>
        <w:rPr>
          <w:rFonts w:ascii="方正仿宋_GBK" w:eastAsia="方正仿宋_GBK"/>
          <w:b/>
          <w:color w:val="auto"/>
          <w:highlight w:val="none"/>
        </w:rPr>
      </w:pPr>
      <w:bookmarkStart w:id="0" w:name="_Toc19468"/>
      <w:bookmarkStart w:id="1" w:name="_Toc5896"/>
      <w:bookmarkStart w:id="2" w:name="_Toc16178"/>
      <w:bookmarkStart w:id="3" w:name="_Toc1386"/>
      <w:bookmarkStart w:id="4" w:name="_Toc21631"/>
      <w:bookmarkStart w:id="5" w:name="_Toc4502"/>
      <w:bookmarkStart w:id="6" w:name="_Toc75793495"/>
      <w:bookmarkStart w:id="7" w:name="_Toc14366"/>
      <w:bookmarkStart w:id="8" w:name="_Toc25832"/>
      <w:bookmarkStart w:id="9" w:name="_Toc31300"/>
      <w:bookmarkStart w:id="10" w:name="_Toc21693"/>
      <w:bookmarkStart w:id="11" w:name="_Toc5284"/>
      <w:bookmarkStart w:id="12" w:name="_Toc22298"/>
      <w:bookmarkStart w:id="13" w:name="_Toc21468"/>
      <w:bookmarkStart w:id="14" w:name="_Toc2977"/>
      <w:bookmarkStart w:id="15" w:name="_Toc6967"/>
      <w:r>
        <w:rPr>
          <w:rFonts w:hint="eastAsia" w:ascii="方正仿宋_GBK" w:eastAsia="方正仿宋_GBK"/>
          <w:b/>
          <w:color w:val="auto"/>
          <w:highlight w:val="none"/>
        </w:rPr>
        <w:t>第一篇  投标邀请书</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3B99A7FA">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重庆市工程管理有限公司（以下简称：采购代理机构）受重庆市应急管理局（以下简称：采购人）的委托，对</w:t>
      </w:r>
      <w:r>
        <w:rPr>
          <w:rFonts w:hint="eastAsia" w:ascii="方正仿宋_GBK" w:hAnsi="宋体" w:eastAsia="方正仿宋_GBK"/>
          <w:color w:val="auto"/>
          <w:sz w:val="24"/>
          <w:szCs w:val="24"/>
          <w:highlight w:val="none"/>
          <w:lang w:eastAsia="zh-CN"/>
        </w:rPr>
        <w:t>洪涝及地质灾害抢险救援应急感知设备采购项目</w:t>
      </w:r>
      <w:r>
        <w:rPr>
          <w:rFonts w:hint="eastAsia" w:ascii="方正仿宋_GBK" w:hAnsi="宋体" w:eastAsia="方正仿宋_GBK"/>
          <w:color w:val="auto"/>
          <w:sz w:val="24"/>
          <w:szCs w:val="24"/>
          <w:highlight w:val="none"/>
        </w:rPr>
        <w:t>进行公开招标，欢迎有资格的投标人参加投标。</w:t>
      </w:r>
    </w:p>
    <w:p w14:paraId="7A65EFA0">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16" w:name="_Toc75793496"/>
      <w:bookmarkStart w:id="17" w:name="_Toc27035"/>
      <w:bookmarkStart w:id="18" w:name="_Toc8806"/>
      <w:bookmarkStart w:id="19" w:name="_Toc398"/>
      <w:bookmarkStart w:id="20" w:name="_Toc11858"/>
      <w:bookmarkStart w:id="21" w:name="_Toc2284"/>
      <w:bookmarkStart w:id="22" w:name="_Toc1739"/>
      <w:bookmarkStart w:id="23" w:name="_Toc19219"/>
      <w:bookmarkStart w:id="24" w:name="_Toc10092"/>
      <w:bookmarkStart w:id="25" w:name="_Toc19648"/>
      <w:bookmarkStart w:id="26" w:name="_Toc25391"/>
      <w:bookmarkStart w:id="27" w:name="_Toc9774"/>
      <w:bookmarkStart w:id="28" w:name="_Toc14081"/>
      <w:bookmarkStart w:id="29" w:name="_Toc16810"/>
      <w:bookmarkStart w:id="30" w:name="_Toc19082"/>
      <w:bookmarkStart w:id="31" w:name="_Toc9233"/>
      <w:r>
        <w:rPr>
          <w:rFonts w:hint="eastAsia" w:ascii="方正仿宋_GBK" w:eastAsia="方正仿宋_GBK"/>
          <w:b/>
          <w:color w:val="auto"/>
          <w:szCs w:val="21"/>
          <w:highlight w:val="none"/>
        </w:rPr>
        <w:t>一、招标项目内容</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tbl>
      <w:tblPr>
        <w:tblStyle w:val="58"/>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8"/>
        <w:gridCol w:w="1304"/>
        <w:gridCol w:w="1304"/>
        <w:gridCol w:w="1304"/>
        <w:gridCol w:w="2381"/>
      </w:tblGrid>
      <w:tr w14:paraId="511F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8" w:type="dxa"/>
            <w:vAlign w:val="center"/>
          </w:tcPr>
          <w:p w14:paraId="6CC075D7">
            <w:pPr>
              <w:pStyle w:val="24"/>
              <w:spacing w:line="240" w:lineRule="auto"/>
              <w:ind w:left="0"/>
              <w:jc w:val="center"/>
              <w:outlineLvl w:val="0"/>
              <w:rPr>
                <w:rFonts w:ascii="方正仿宋_GBK" w:hAnsi="宋体" w:eastAsia="方正仿宋_GBK"/>
                <w:b/>
                <w:color w:val="auto"/>
                <w:sz w:val="21"/>
                <w:szCs w:val="21"/>
                <w:highlight w:val="none"/>
              </w:rPr>
            </w:pPr>
            <w:r>
              <w:rPr>
                <w:rFonts w:hint="eastAsia" w:ascii="方正仿宋_GBK" w:hAnsi="宋体" w:eastAsia="方正仿宋_GBK"/>
                <w:b/>
                <w:color w:val="auto"/>
                <w:sz w:val="21"/>
                <w:szCs w:val="21"/>
                <w:highlight w:val="none"/>
              </w:rPr>
              <w:t>项目名称</w:t>
            </w:r>
          </w:p>
        </w:tc>
        <w:tc>
          <w:tcPr>
            <w:tcW w:w="1304" w:type="dxa"/>
            <w:vAlign w:val="center"/>
          </w:tcPr>
          <w:p w14:paraId="486760C7">
            <w:pPr>
              <w:pStyle w:val="24"/>
              <w:spacing w:line="240" w:lineRule="auto"/>
              <w:ind w:left="0"/>
              <w:jc w:val="center"/>
              <w:outlineLvl w:val="0"/>
              <w:rPr>
                <w:rFonts w:ascii="方正仿宋_GBK" w:hAnsi="宋体" w:eastAsia="方正仿宋_GBK"/>
                <w:b/>
                <w:color w:val="auto"/>
                <w:sz w:val="21"/>
                <w:szCs w:val="21"/>
                <w:highlight w:val="none"/>
              </w:rPr>
            </w:pPr>
            <w:r>
              <w:rPr>
                <w:rFonts w:hint="eastAsia" w:ascii="方正仿宋_GBK" w:hAnsi="宋体" w:eastAsia="方正仿宋_GBK"/>
                <w:b/>
                <w:color w:val="auto"/>
                <w:sz w:val="21"/>
                <w:szCs w:val="21"/>
                <w:highlight w:val="none"/>
              </w:rPr>
              <w:t>最高限价</w:t>
            </w:r>
          </w:p>
          <w:p w14:paraId="56E15A60">
            <w:pPr>
              <w:pStyle w:val="24"/>
              <w:spacing w:line="240" w:lineRule="auto"/>
              <w:ind w:left="0"/>
              <w:jc w:val="center"/>
              <w:outlineLvl w:val="0"/>
              <w:rPr>
                <w:rFonts w:ascii="方正仿宋_GBK" w:hAnsi="宋体" w:eastAsia="方正仿宋_GBK"/>
                <w:b/>
                <w:color w:val="auto"/>
                <w:sz w:val="21"/>
                <w:szCs w:val="21"/>
                <w:highlight w:val="none"/>
              </w:rPr>
            </w:pPr>
            <w:r>
              <w:rPr>
                <w:rFonts w:hint="eastAsia" w:ascii="方正仿宋_GBK" w:hAnsi="宋体" w:eastAsia="方正仿宋_GBK"/>
                <w:b/>
                <w:color w:val="auto"/>
                <w:sz w:val="21"/>
                <w:szCs w:val="21"/>
                <w:highlight w:val="none"/>
              </w:rPr>
              <w:t>（万元）</w:t>
            </w:r>
          </w:p>
        </w:tc>
        <w:tc>
          <w:tcPr>
            <w:tcW w:w="1304" w:type="dxa"/>
            <w:vAlign w:val="center"/>
          </w:tcPr>
          <w:p w14:paraId="407FBD8D">
            <w:pPr>
              <w:pStyle w:val="24"/>
              <w:spacing w:line="240" w:lineRule="auto"/>
              <w:ind w:left="0"/>
              <w:jc w:val="center"/>
              <w:outlineLvl w:val="0"/>
              <w:rPr>
                <w:rFonts w:ascii="方正仿宋_GBK" w:hAnsi="宋体" w:eastAsia="方正仿宋_GBK"/>
                <w:b/>
                <w:color w:val="auto"/>
                <w:sz w:val="21"/>
                <w:szCs w:val="21"/>
                <w:highlight w:val="none"/>
              </w:rPr>
            </w:pPr>
            <w:r>
              <w:rPr>
                <w:rFonts w:hint="eastAsia" w:ascii="方正仿宋_GBK" w:hAnsi="宋体" w:eastAsia="方正仿宋_GBK"/>
                <w:b/>
                <w:color w:val="auto"/>
                <w:sz w:val="21"/>
                <w:szCs w:val="21"/>
                <w:highlight w:val="none"/>
              </w:rPr>
              <w:t>投标保证金</w:t>
            </w:r>
          </w:p>
          <w:p w14:paraId="334ABE6D">
            <w:pPr>
              <w:pStyle w:val="24"/>
              <w:spacing w:line="240" w:lineRule="auto"/>
              <w:ind w:left="0"/>
              <w:jc w:val="center"/>
              <w:outlineLvl w:val="0"/>
              <w:rPr>
                <w:rFonts w:ascii="方正仿宋_GBK" w:hAnsi="宋体" w:eastAsia="方正仿宋_GBK"/>
                <w:b/>
                <w:color w:val="auto"/>
                <w:sz w:val="21"/>
                <w:szCs w:val="21"/>
                <w:highlight w:val="none"/>
              </w:rPr>
            </w:pPr>
            <w:r>
              <w:rPr>
                <w:rFonts w:hint="eastAsia" w:ascii="方正仿宋_GBK" w:hAnsi="宋体" w:eastAsia="方正仿宋_GBK"/>
                <w:b/>
                <w:color w:val="auto"/>
                <w:sz w:val="21"/>
                <w:szCs w:val="21"/>
                <w:highlight w:val="none"/>
              </w:rPr>
              <w:t>（万元）</w:t>
            </w:r>
          </w:p>
        </w:tc>
        <w:tc>
          <w:tcPr>
            <w:tcW w:w="1304" w:type="dxa"/>
            <w:vAlign w:val="center"/>
          </w:tcPr>
          <w:p w14:paraId="19FDD714">
            <w:pPr>
              <w:pStyle w:val="24"/>
              <w:spacing w:line="240" w:lineRule="auto"/>
              <w:ind w:left="0"/>
              <w:jc w:val="center"/>
              <w:outlineLvl w:val="0"/>
              <w:rPr>
                <w:rFonts w:ascii="方正仿宋_GBK" w:hAnsi="宋体" w:eastAsia="方正仿宋_GBK"/>
                <w:b/>
                <w:color w:val="auto"/>
                <w:sz w:val="21"/>
                <w:szCs w:val="21"/>
                <w:highlight w:val="none"/>
              </w:rPr>
            </w:pPr>
            <w:r>
              <w:rPr>
                <w:rFonts w:hint="eastAsia" w:ascii="方正仿宋_GBK" w:hAnsi="宋体" w:eastAsia="方正仿宋_GBK"/>
                <w:b/>
                <w:color w:val="auto"/>
                <w:sz w:val="21"/>
                <w:szCs w:val="21"/>
                <w:highlight w:val="none"/>
              </w:rPr>
              <w:t>中标人数量（名）</w:t>
            </w:r>
          </w:p>
        </w:tc>
        <w:tc>
          <w:tcPr>
            <w:tcW w:w="2381" w:type="dxa"/>
            <w:vAlign w:val="center"/>
          </w:tcPr>
          <w:p w14:paraId="21D8FF27">
            <w:pPr>
              <w:pStyle w:val="24"/>
              <w:spacing w:line="240" w:lineRule="auto"/>
              <w:ind w:left="0"/>
              <w:jc w:val="center"/>
              <w:outlineLvl w:val="0"/>
              <w:rPr>
                <w:rFonts w:ascii="方正仿宋_GBK" w:hAnsi="宋体" w:eastAsia="方正仿宋_GBK"/>
                <w:b/>
                <w:color w:val="auto"/>
                <w:sz w:val="21"/>
                <w:szCs w:val="21"/>
                <w:highlight w:val="none"/>
              </w:rPr>
            </w:pPr>
            <w:r>
              <w:rPr>
                <w:rFonts w:hint="eastAsia" w:ascii="方正仿宋_GBK" w:hAnsi="宋体" w:eastAsia="方正仿宋_GBK" w:cs="宋体"/>
                <w:b/>
                <w:bCs/>
                <w:color w:val="auto"/>
                <w:kern w:val="0"/>
                <w:sz w:val="21"/>
                <w:szCs w:val="24"/>
                <w:highlight w:val="none"/>
              </w:rPr>
              <w:t>采购标的对应的中小企业划分标准所属行业</w:t>
            </w:r>
          </w:p>
        </w:tc>
      </w:tr>
      <w:tr w14:paraId="1959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118" w:type="dxa"/>
            <w:vAlign w:val="center"/>
          </w:tcPr>
          <w:p w14:paraId="15AAC5CB">
            <w:pPr>
              <w:pStyle w:val="24"/>
              <w:spacing w:line="240" w:lineRule="auto"/>
              <w:ind w:left="0"/>
              <w:jc w:val="center"/>
              <w:outlineLvl w:val="0"/>
              <w:rPr>
                <w:rFonts w:hint="eastAsia" w:ascii="方正仿宋_GBK" w:hAnsi="宋体" w:eastAsia="方正仿宋_GBK"/>
                <w:color w:val="auto"/>
                <w:szCs w:val="24"/>
                <w:highlight w:val="none"/>
                <w:lang w:eastAsia="zh-CN"/>
              </w:rPr>
            </w:pPr>
            <w:r>
              <w:rPr>
                <w:rFonts w:hint="eastAsia" w:ascii="方正仿宋_GBK" w:hAnsi="宋体" w:eastAsia="方正仿宋_GBK"/>
                <w:color w:val="auto"/>
                <w:sz w:val="24"/>
                <w:szCs w:val="24"/>
                <w:highlight w:val="none"/>
              </w:rPr>
              <w:t>洪涝及地质灾害抢险救援应急感知设备采购项目</w:t>
            </w:r>
          </w:p>
        </w:tc>
        <w:tc>
          <w:tcPr>
            <w:tcW w:w="1304" w:type="dxa"/>
            <w:vAlign w:val="center"/>
          </w:tcPr>
          <w:p w14:paraId="44987F20">
            <w:pPr>
              <w:pStyle w:val="24"/>
              <w:spacing w:line="240" w:lineRule="auto"/>
              <w:ind w:left="0"/>
              <w:jc w:val="center"/>
              <w:outlineLvl w:val="0"/>
              <w:rPr>
                <w:rFonts w:hint="default" w:ascii="方正仿宋_GBK" w:hAnsi="宋体" w:eastAsia="方正仿宋_GBK"/>
                <w:color w:val="auto"/>
                <w:sz w:val="24"/>
                <w:szCs w:val="24"/>
                <w:highlight w:val="none"/>
                <w:lang w:val="en-US" w:eastAsia="zh-CN"/>
              </w:rPr>
            </w:pPr>
            <w:r>
              <w:rPr>
                <w:rFonts w:hint="eastAsia" w:ascii="方正仿宋_GBK" w:hAnsi="宋体" w:eastAsia="方正仿宋_GBK"/>
                <w:color w:val="auto"/>
                <w:sz w:val="24"/>
                <w:szCs w:val="24"/>
                <w:highlight w:val="none"/>
                <w:lang w:val="en-US" w:eastAsia="zh-CN"/>
              </w:rPr>
              <w:t>1800</w:t>
            </w:r>
          </w:p>
        </w:tc>
        <w:tc>
          <w:tcPr>
            <w:tcW w:w="1304" w:type="dxa"/>
            <w:vAlign w:val="center"/>
          </w:tcPr>
          <w:p w14:paraId="2EE3801B">
            <w:pPr>
              <w:pStyle w:val="17"/>
              <w:spacing w:line="240" w:lineRule="auto"/>
              <w:ind w:firstLine="0"/>
              <w:jc w:val="center"/>
              <w:outlineLvl w:val="0"/>
              <w:rPr>
                <w:rFonts w:hint="default" w:ascii="方正仿宋_GBK" w:hAnsi="宋体" w:eastAsia="方正仿宋_GBK"/>
                <w:color w:val="auto"/>
                <w:szCs w:val="24"/>
                <w:highlight w:val="none"/>
                <w:lang w:val="en-US" w:eastAsia="zh-CN"/>
              </w:rPr>
            </w:pPr>
            <w:r>
              <w:rPr>
                <w:rFonts w:hint="eastAsia" w:ascii="方正仿宋_GBK" w:hAnsi="宋体" w:eastAsia="方正仿宋_GBK"/>
                <w:color w:val="auto"/>
                <w:szCs w:val="24"/>
                <w:highlight w:val="none"/>
                <w:lang w:val="en-US" w:eastAsia="zh-CN"/>
              </w:rPr>
              <w:t>35</w:t>
            </w:r>
          </w:p>
        </w:tc>
        <w:tc>
          <w:tcPr>
            <w:tcW w:w="1304" w:type="dxa"/>
            <w:vAlign w:val="center"/>
          </w:tcPr>
          <w:p w14:paraId="3A200408">
            <w:pPr>
              <w:pStyle w:val="17"/>
              <w:spacing w:line="240" w:lineRule="auto"/>
              <w:ind w:firstLine="0"/>
              <w:jc w:val="center"/>
              <w:outlineLvl w:val="0"/>
              <w:rPr>
                <w:rFonts w:ascii="方正仿宋_GBK" w:hAnsi="宋体" w:eastAsia="方正仿宋_GBK"/>
                <w:color w:val="auto"/>
                <w:szCs w:val="24"/>
                <w:highlight w:val="none"/>
              </w:rPr>
            </w:pPr>
            <w:r>
              <w:rPr>
                <w:rFonts w:hint="eastAsia" w:ascii="方正仿宋_GBK" w:hAnsi="宋体" w:eastAsia="方正仿宋_GBK"/>
                <w:color w:val="auto"/>
                <w:szCs w:val="24"/>
                <w:highlight w:val="none"/>
              </w:rPr>
              <w:t>1</w:t>
            </w:r>
          </w:p>
        </w:tc>
        <w:tc>
          <w:tcPr>
            <w:tcW w:w="2381" w:type="dxa"/>
            <w:vAlign w:val="center"/>
          </w:tcPr>
          <w:p w14:paraId="07329BBC">
            <w:pPr>
              <w:pStyle w:val="17"/>
              <w:spacing w:line="240" w:lineRule="auto"/>
              <w:ind w:firstLine="0"/>
              <w:jc w:val="center"/>
              <w:outlineLvl w:val="0"/>
              <w:rPr>
                <w:rFonts w:ascii="方正仿宋_GBK" w:hAnsi="宋体" w:eastAsia="方正仿宋_GBK"/>
                <w:color w:val="auto"/>
                <w:szCs w:val="24"/>
                <w:highlight w:val="none"/>
              </w:rPr>
            </w:pPr>
            <w:r>
              <w:rPr>
                <w:rFonts w:hint="eastAsia" w:ascii="方正仿宋_GBK" w:hAnsi="宋体" w:eastAsia="方正仿宋_GBK"/>
                <w:color w:val="auto"/>
                <w:szCs w:val="24"/>
                <w:highlight w:val="none"/>
              </w:rPr>
              <w:t>工业</w:t>
            </w:r>
          </w:p>
        </w:tc>
      </w:tr>
    </w:tbl>
    <w:p w14:paraId="6A24B9F6">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32" w:name="_Toc22549"/>
      <w:bookmarkStart w:id="33" w:name="_Toc856"/>
      <w:bookmarkStart w:id="34" w:name="_Toc29240"/>
      <w:bookmarkStart w:id="35" w:name="_Toc26284"/>
      <w:bookmarkStart w:id="36" w:name="_Toc568"/>
      <w:bookmarkStart w:id="37" w:name="_Toc9736"/>
      <w:bookmarkStart w:id="38" w:name="_Toc7121"/>
      <w:bookmarkStart w:id="39" w:name="_Toc31390"/>
      <w:bookmarkStart w:id="40" w:name="_Toc15664"/>
      <w:bookmarkStart w:id="41" w:name="_Toc26540"/>
      <w:bookmarkStart w:id="42" w:name="_Toc26507"/>
      <w:bookmarkStart w:id="43" w:name="_Toc12298"/>
      <w:bookmarkStart w:id="44" w:name="_Toc15272"/>
      <w:bookmarkStart w:id="45" w:name="_Toc22327"/>
      <w:bookmarkStart w:id="46" w:name="_Toc75793497"/>
      <w:bookmarkStart w:id="47" w:name="_Toc31180"/>
      <w:r>
        <w:rPr>
          <w:rFonts w:hint="eastAsia" w:ascii="方正仿宋_GBK" w:eastAsia="方正仿宋_GBK"/>
          <w:b/>
          <w:color w:val="auto"/>
          <w:szCs w:val="21"/>
          <w:highlight w:val="none"/>
        </w:rPr>
        <w:t>二、资金来源</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4628A453">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财政预算资金，预算金额为</w:t>
      </w:r>
      <w:r>
        <w:rPr>
          <w:rFonts w:hint="eastAsia" w:ascii="方正仿宋_GBK" w:hAnsi="方正仿宋_GBK" w:eastAsia="方正仿宋_GBK" w:cs="方正仿宋_GBK"/>
          <w:color w:val="auto"/>
          <w:sz w:val="24"/>
          <w:szCs w:val="24"/>
          <w:highlight w:val="none"/>
          <w:lang w:val="en-US" w:eastAsia="zh-CN"/>
        </w:rPr>
        <w:t>1800</w:t>
      </w:r>
      <w:r>
        <w:rPr>
          <w:rFonts w:hint="eastAsia" w:ascii="方正仿宋_GBK" w:hAnsi="方正仿宋_GBK" w:eastAsia="方正仿宋_GBK" w:cs="方正仿宋_GBK"/>
          <w:color w:val="auto"/>
          <w:sz w:val="24"/>
          <w:szCs w:val="24"/>
          <w:highlight w:val="none"/>
        </w:rPr>
        <w:t>万元。</w:t>
      </w:r>
    </w:p>
    <w:p w14:paraId="28C57522">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8" w:name="_Toc75793498"/>
      <w:bookmarkStart w:id="49" w:name="_Toc23472"/>
      <w:bookmarkStart w:id="50" w:name="_Toc20698"/>
      <w:bookmarkStart w:id="51" w:name="_Toc11835"/>
      <w:bookmarkStart w:id="52" w:name="_Toc28070"/>
      <w:bookmarkStart w:id="53" w:name="_Toc12813"/>
      <w:bookmarkStart w:id="54" w:name="_Toc21210"/>
      <w:bookmarkStart w:id="55" w:name="_Toc4504"/>
      <w:bookmarkStart w:id="56" w:name="_Toc29468"/>
      <w:bookmarkStart w:id="57" w:name="_Toc682"/>
      <w:bookmarkStart w:id="58" w:name="_Toc20925"/>
      <w:bookmarkStart w:id="59" w:name="_Toc7983"/>
      <w:bookmarkStart w:id="60" w:name="_Toc2256"/>
      <w:bookmarkStart w:id="61" w:name="_Toc4356"/>
      <w:bookmarkStart w:id="62" w:name="_Toc27430"/>
      <w:bookmarkStart w:id="63" w:name="_Toc21668"/>
      <w:r>
        <w:rPr>
          <w:rFonts w:hint="eastAsia" w:ascii="方正仿宋_GBK" w:eastAsia="方正仿宋_GBK"/>
          <w:b/>
          <w:color w:val="auto"/>
          <w:szCs w:val="21"/>
          <w:highlight w:val="none"/>
        </w:rPr>
        <w:t>三、投标人资格要求</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Start w:id="616" w:name="_GoBack"/>
      <w:bookmarkEnd w:id="616"/>
    </w:p>
    <w:p w14:paraId="0650268F">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（一）满足《中华人民共和国政府采购法》第二十二条规定；</w:t>
      </w:r>
    </w:p>
    <w:p w14:paraId="3D1C2723">
      <w:pPr>
        <w:spacing w:line="400" w:lineRule="exact"/>
        <w:ind w:firstLine="480" w:firstLineChars="200"/>
        <w:rPr>
          <w:rFonts w:hint="eastAsia" w:ascii="方正仿宋_GBK" w:hAnsi="宋体" w:eastAsia="方正仿宋_GBK"/>
          <w:color w:val="auto"/>
          <w:sz w:val="24"/>
          <w:szCs w:val="24"/>
          <w:highlight w:val="none"/>
          <w:lang w:eastAsia="zh-CN"/>
        </w:rPr>
      </w:pPr>
      <w:r>
        <w:rPr>
          <w:rFonts w:hint="eastAsia" w:ascii="方正仿宋_GBK" w:hAnsi="宋体" w:eastAsia="方正仿宋_GBK"/>
          <w:color w:val="auto"/>
          <w:sz w:val="24"/>
          <w:szCs w:val="24"/>
          <w:highlight w:val="none"/>
        </w:rPr>
        <w:t>（二）落实政府采购政策需满足的资格要求：</w:t>
      </w:r>
      <w:r>
        <w:rPr>
          <w:rFonts w:hint="eastAsia" w:ascii="方正仿宋_GBK" w:hAnsi="宋体" w:eastAsia="方正仿宋_GBK"/>
          <w:color w:val="auto"/>
          <w:sz w:val="24"/>
          <w:szCs w:val="24"/>
          <w:highlight w:val="none"/>
          <w:lang w:eastAsia="zh-CN"/>
        </w:rPr>
        <w:t>无。</w:t>
      </w:r>
    </w:p>
    <w:p w14:paraId="3D0FC653">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本项目的特定资格要求：根据《&lt;中华人民共和国政府采购法实施条例&gt;释义》对投标人资格条件的解释，本项目涉及电信行业，允许其分公司参与本项目采购活动，但需提供总公司出具的投标授权函，授权后其投标文件中法定代表人相关事项可由分公司负责人代替。已由总公司授权的，总公司取得的相关资质证书对分公司有效。总公司仅能授权一家所属的分公司进行投标，且发出授权后总公司不得与分公司同时参与投标。</w:t>
      </w:r>
    </w:p>
    <w:p w14:paraId="08A2647A">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注：1.提供授权书原件，格式自拟。2.同时提供总公司和分公司营业执照复印件并加盖投标人公章。</w:t>
      </w:r>
    </w:p>
    <w:p w14:paraId="09B2BE1F">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64" w:name="_Toc22464"/>
      <w:bookmarkStart w:id="65" w:name="_Toc28337"/>
      <w:bookmarkStart w:id="66" w:name="_Toc15980"/>
      <w:bookmarkStart w:id="67" w:name="_Toc9335"/>
      <w:bookmarkStart w:id="68" w:name="_Toc12680"/>
      <w:bookmarkStart w:id="69" w:name="_Toc27442"/>
      <w:bookmarkStart w:id="70" w:name="_Toc27732"/>
      <w:bookmarkStart w:id="71" w:name="_Toc5414"/>
      <w:bookmarkStart w:id="72" w:name="_Toc75793499"/>
      <w:bookmarkStart w:id="73" w:name="_Toc28188"/>
      <w:bookmarkStart w:id="74" w:name="_Toc24618"/>
      <w:bookmarkStart w:id="75" w:name="_Toc1132"/>
      <w:bookmarkStart w:id="76" w:name="_Toc11987"/>
      <w:bookmarkStart w:id="77" w:name="_Toc11276"/>
      <w:bookmarkStart w:id="78" w:name="_Toc13076"/>
      <w:bookmarkStart w:id="79" w:name="_Toc8255"/>
      <w:r>
        <w:rPr>
          <w:rFonts w:hint="eastAsia" w:ascii="方正仿宋_GBK" w:eastAsia="方正仿宋_GBK"/>
          <w:b/>
          <w:color w:val="auto"/>
          <w:szCs w:val="21"/>
          <w:highlight w:val="none"/>
        </w:rPr>
        <w:t>四、投标、开标有关说明</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0772BB50">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（一）投标人应通过重庆市政府采购网（</w:t>
      </w:r>
      <w:r>
        <w:rPr>
          <w:color w:val="auto"/>
          <w:highlight w:val="none"/>
        </w:rPr>
        <w:fldChar w:fldCharType="begin"/>
      </w:r>
      <w:r>
        <w:rPr>
          <w:color w:val="auto"/>
          <w:highlight w:val="none"/>
        </w:rPr>
        <w:instrText xml:space="preserve"> HYPERLINK "http://www.cqgp.gov.cn" </w:instrText>
      </w:r>
      <w:r>
        <w:rPr>
          <w:color w:val="auto"/>
          <w:highlight w:val="none"/>
        </w:rPr>
        <w:fldChar w:fldCharType="separate"/>
      </w:r>
      <w:r>
        <w:rPr>
          <w:rStyle w:val="65"/>
          <w:rFonts w:hint="eastAsia" w:ascii="方正仿宋_GBK" w:hAnsi="方正仿宋_GBK" w:eastAsia="方正仿宋_GBK" w:cs="方正仿宋_GBK"/>
          <w:color w:val="auto"/>
          <w:sz w:val="24"/>
          <w:szCs w:val="24"/>
          <w:highlight w:val="none"/>
        </w:rPr>
        <w:t>www.ccgp-chongqing.gov.cn</w:t>
      </w:r>
      <w:r>
        <w:rPr>
          <w:rStyle w:val="65"/>
          <w:rFonts w:hint="eastAsia" w:ascii="方正仿宋_GBK" w:hAnsi="方正仿宋_GBK" w:eastAsia="方正仿宋_GBK" w:cs="方正仿宋_GBK"/>
          <w:color w:val="auto"/>
          <w:sz w:val="24"/>
          <w:szCs w:val="24"/>
          <w:highlight w:val="none"/>
        </w:rPr>
        <w:fldChar w:fldCharType="end"/>
      </w:r>
      <w:r>
        <w:rPr>
          <w:rFonts w:hint="eastAsia" w:ascii="方正仿宋_GBK" w:hAnsi="方正仿宋_GBK" w:eastAsia="方正仿宋_GBK" w:cs="方正仿宋_GBK"/>
          <w:color w:val="auto"/>
          <w:sz w:val="24"/>
          <w:szCs w:val="24"/>
          <w:highlight w:val="none"/>
        </w:rPr>
        <w:t>）登记加入“重庆市政府采购供应商库”。</w:t>
      </w:r>
    </w:p>
    <w:p w14:paraId="72577F1C">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二）凡有意参加投标的投标人，请到采购代理机构领取或在“重庆市政府采购网”网上下载本项目招标文件以及图纸、澄清等开标前公布的所有项目资料，无论投标人领取或下载与否，均视为已知晓所有招标内容。</w:t>
      </w:r>
    </w:p>
    <w:p w14:paraId="393B661E">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（三）招标文件公告期限：自采购公告发布之日起五个工作日。</w:t>
      </w:r>
    </w:p>
    <w:p w14:paraId="70010B6B">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（四）招标文件提供期限</w:t>
      </w:r>
    </w:p>
    <w:p w14:paraId="30F57C6A">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1.招标文件提供期限：同招标文件公告期限。</w:t>
      </w:r>
    </w:p>
    <w:p w14:paraId="0122491B">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2.报名方式：无需报名。</w:t>
      </w:r>
    </w:p>
    <w:p w14:paraId="6758F636">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3.招标文件售价：0元。</w:t>
      </w:r>
    </w:p>
    <w:p w14:paraId="5D7BBCB7">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（五）投标地点：重庆市公共资源交易中心开标厅（地址：重庆市渝北区青枫北路6号渝兴广场B10栋2层）</w:t>
      </w:r>
    </w:p>
    <w:p w14:paraId="2F03D073">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（六）投标截止时间：2025年</w:t>
      </w:r>
      <w:r>
        <w:rPr>
          <w:rFonts w:hint="eastAsia" w:ascii="方正仿宋_GBK" w:hAnsi="方正仿宋_GBK" w:eastAsia="方正仿宋_GBK" w:cs="方正仿宋_GBK"/>
          <w:color w:val="auto"/>
          <w:sz w:val="24"/>
          <w:szCs w:val="24"/>
          <w:highlight w:val="none"/>
          <w:lang w:val="en-US" w:eastAsia="zh-CN"/>
        </w:rPr>
        <w:t>10</w:t>
      </w:r>
      <w:r>
        <w:rPr>
          <w:rFonts w:hint="eastAsia" w:ascii="方正仿宋_GBK" w:hAnsi="方正仿宋_GBK" w:eastAsia="方正仿宋_GBK" w:cs="方正仿宋_GBK"/>
          <w:color w:val="auto"/>
          <w:sz w:val="24"/>
          <w:szCs w:val="24"/>
          <w:highlight w:val="none"/>
        </w:rPr>
        <w:t>月</w:t>
      </w:r>
      <w:r>
        <w:rPr>
          <w:rFonts w:hint="eastAsia" w:ascii="方正仿宋_GBK" w:hAnsi="方正仿宋_GBK" w:eastAsia="方正仿宋_GBK" w:cs="方正仿宋_GBK"/>
          <w:color w:val="auto"/>
          <w:sz w:val="24"/>
          <w:szCs w:val="24"/>
          <w:highlight w:val="none"/>
          <w:lang w:val="en-US" w:eastAsia="zh-CN"/>
        </w:rPr>
        <w:t>10</w:t>
      </w:r>
      <w:r>
        <w:rPr>
          <w:rFonts w:hint="eastAsia" w:ascii="方正仿宋_GBK" w:hAnsi="方正仿宋_GBK" w:eastAsia="方正仿宋_GBK" w:cs="方正仿宋_GBK"/>
          <w:color w:val="auto"/>
          <w:sz w:val="24"/>
          <w:szCs w:val="24"/>
          <w:highlight w:val="none"/>
        </w:rPr>
        <w:t>日北京时间10:00</w:t>
      </w:r>
    </w:p>
    <w:p w14:paraId="7811EF54">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（七）开标时间：2025年</w:t>
      </w:r>
      <w:r>
        <w:rPr>
          <w:rFonts w:hint="eastAsia" w:ascii="方正仿宋_GBK" w:hAnsi="方正仿宋_GBK" w:eastAsia="方正仿宋_GBK" w:cs="方正仿宋_GBK"/>
          <w:color w:val="auto"/>
          <w:sz w:val="24"/>
          <w:szCs w:val="24"/>
          <w:highlight w:val="none"/>
          <w:lang w:val="en-US" w:eastAsia="zh-CN"/>
        </w:rPr>
        <w:t>10</w:t>
      </w:r>
      <w:r>
        <w:rPr>
          <w:rFonts w:hint="eastAsia" w:ascii="方正仿宋_GBK" w:hAnsi="方正仿宋_GBK" w:eastAsia="方正仿宋_GBK" w:cs="方正仿宋_GBK"/>
          <w:color w:val="auto"/>
          <w:sz w:val="24"/>
          <w:szCs w:val="24"/>
          <w:highlight w:val="none"/>
        </w:rPr>
        <w:t>月</w:t>
      </w:r>
      <w:r>
        <w:rPr>
          <w:rFonts w:hint="eastAsia" w:ascii="方正仿宋_GBK" w:hAnsi="方正仿宋_GBK" w:eastAsia="方正仿宋_GBK" w:cs="方正仿宋_GBK"/>
          <w:color w:val="auto"/>
          <w:sz w:val="24"/>
          <w:szCs w:val="24"/>
          <w:highlight w:val="none"/>
          <w:lang w:val="en-US" w:eastAsia="zh-CN"/>
        </w:rPr>
        <w:t>10</w:t>
      </w:r>
      <w:r>
        <w:rPr>
          <w:rFonts w:hint="eastAsia" w:ascii="方正仿宋_GBK" w:hAnsi="方正仿宋_GBK" w:eastAsia="方正仿宋_GBK" w:cs="方正仿宋_GBK"/>
          <w:color w:val="auto"/>
          <w:sz w:val="24"/>
          <w:szCs w:val="24"/>
          <w:highlight w:val="none"/>
        </w:rPr>
        <w:t>日北京时间10:00</w:t>
      </w:r>
    </w:p>
    <w:p w14:paraId="49C329E8">
      <w:pPr>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（八）开标地点：同投标地点</w:t>
      </w:r>
    </w:p>
    <w:p w14:paraId="5E49D4AE">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80" w:name="_Toc24604"/>
      <w:bookmarkStart w:id="81" w:name="_Toc25854"/>
      <w:bookmarkStart w:id="82" w:name="_Toc18100"/>
      <w:bookmarkStart w:id="83" w:name="_Toc75793500"/>
      <w:bookmarkStart w:id="84" w:name="_Toc23960"/>
      <w:bookmarkStart w:id="85" w:name="_Toc30895"/>
      <w:bookmarkStart w:id="86" w:name="_Toc15717"/>
      <w:bookmarkStart w:id="87" w:name="_Toc7836"/>
      <w:bookmarkStart w:id="88" w:name="_Toc12090"/>
      <w:bookmarkStart w:id="89" w:name="_Toc9290"/>
      <w:bookmarkStart w:id="90" w:name="_Toc22111"/>
      <w:bookmarkStart w:id="91" w:name="_Toc3476"/>
      <w:bookmarkStart w:id="92" w:name="_Toc524"/>
      <w:bookmarkStart w:id="93" w:name="_Toc12663"/>
      <w:bookmarkStart w:id="94" w:name="_Toc11844"/>
      <w:bookmarkStart w:id="95" w:name="_Toc31035"/>
      <w:r>
        <w:rPr>
          <w:rFonts w:hint="eastAsia" w:ascii="方正仿宋_GBK" w:eastAsia="方正仿宋_GBK"/>
          <w:b/>
          <w:color w:val="auto"/>
          <w:szCs w:val="21"/>
          <w:highlight w:val="none"/>
        </w:rPr>
        <w:t>五、投标保证金</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64593CA0">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（一）投标保证金递交</w:t>
      </w:r>
    </w:p>
    <w:p w14:paraId="08389556">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1.转账方式</w:t>
      </w:r>
    </w:p>
    <w:p w14:paraId="0C7AA362">
      <w:pPr>
        <w:spacing w:line="400" w:lineRule="exact"/>
        <w:ind w:firstLine="480" w:firstLineChars="200"/>
        <w:rPr>
          <w:rFonts w:hint="eastAsia"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lang w:val="en-US" w:eastAsia="zh-CN"/>
        </w:rPr>
        <w:t>1.1投标人应足额交纳投标保证金（保证金金额详见本篇，一、招标项目内容），并汇至所投包对应的以下账户，投标保证金的到账截止时间同投标截止时间。</w:t>
      </w:r>
    </w:p>
    <w:p w14:paraId="709878F5">
      <w:pPr>
        <w:spacing w:line="400" w:lineRule="exact"/>
        <w:ind w:firstLine="482" w:firstLineChars="200"/>
        <w:rPr>
          <w:rFonts w:hint="eastAsia"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b/>
          <w:bCs/>
          <w:color w:val="auto"/>
          <w:sz w:val="24"/>
          <w:szCs w:val="24"/>
          <w:highlight w:val="none"/>
          <w:lang w:val="en-US" w:eastAsia="zh-CN"/>
        </w:rPr>
        <w:t>投标保证金账户：</w:t>
      </w:r>
    </w:p>
    <w:tbl>
      <w:tblPr>
        <w:tblStyle w:val="58"/>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697"/>
        <w:gridCol w:w="7378"/>
      </w:tblGrid>
      <w:tr w14:paraId="61847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9075" w:type="dxa"/>
            <w:gridSpan w:val="2"/>
            <w:tcBorders>
              <w:top w:val="nil"/>
              <w:left w:val="nil"/>
              <w:bottom w:val="nil"/>
              <w:right w:val="nil"/>
            </w:tcBorders>
            <w:tcMar>
              <w:top w:w="0" w:type="dxa"/>
              <w:left w:w="0" w:type="dxa"/>
              <w:bottom w:w="0" w:type="dxa"/>
              <w:right w:w="0" w:type="dxa"/>
            </w:tcMar>
            <w:vAlign w:val="center"/>
          </w:tcPr>
          <w:p w14:paraId="183A143B">
            <w:pPr>
              <w:keepNext w:val="0"/>
              <w:keepLines w:val="0"/>
              <w:pageBreakBefore w:val="0"/>
              <w:widowControl/>
              <w:suppressLineNumbers w:val="0"/>
              <w:kinsoku/>
              <w:wordWrap/>
              <w:overflowPunct/>
              <w:topLinePunct w:val="0"/>
              <w:autoSpaceDE/>
              <w:autoSpaceDN/>
              <w:bidi w:val="0"/>
              <w:adjustRightInd/>
              <w:snapToGrid/>
              <w:spacing w:line="375" w:lineRule="atLeast"/>
              <w:ind w:firstLine="480" w:firstLineChars="200"/>
              <w:jc w:val="left"/>
              <w:textAlignment w:val="auto"/>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项目名称：洪涝及地质灾害抢险救援应急感知设备采购项目</w:t>
            </w:r>
          </w:p>
        </w:tc>
      </w:tr>
      <w:tr w14:paraId="0EF15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2" w:hRule="atLeast"/>
          <w:jc w:val="center"/>
        </w:trPr>
        <w:tc>
          <w:tcPr>
            <w:tcW w:w="9075" w:type="dxa"/>
            <w:gridSpan w:val="2"/>
            <w:tcBorders>
              <w:top w:val="nil"/>
              <w:left w:val="nil"/>
              <w:bottom w:val="nil"/>
              <w:right w:val="nil"/>
            </w:tcBorders>
            <w:tcMar>
              <w:top w:w="0" w:type="dxa"/>
              <w:left w:w="0" w:type="dxa"/>
              <w:bottom w:w="0" w:type="dxa"/>
              <w:right w:w="0" w:type="dxa"/>
            </w:tcMar>
            <w:vAlign w:val="center"/>
          </w:tcPr>
          <w:p w14:paraId="12EE06D3">
            <w:pPr>
              <w:keepNext w:val="0"/>
              <w:keepLines w:val="0"/>
              <w:pageBreakBefore w:val="0"/>
              <w:widowControl/>
              <w:suppressLineNumbers w:val="0"/>
              <w:kinsoku/>
              <w:wordWrap/>
              <w:overflowPunct/>
              <w:topLinePunct w:val="0"/>
              <w:autoSpaceDE/>
              <w:autoSpaceDN/>
              <w:bidi w:val="0"/>
              <w:adjustRightInd/>
              <w:snapToGrid/>
              <w:spacing w:line="375" w:lineRule="atLeast"/>
              <w:ind w:firstLine="480" w:firstLineChars="200"/>
              <w:jc w:val="left"/>
              <w:textAlignment w:val="auto"/>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采购计划编号：CQS25A03779</w:t>
            </w:r>
          </w:p>
        </w:tc>
      </w:tr>
      <w:tr w14:paraId="5B503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9075" w:type="dxa"/>
            <w:gridSpan w:val="2"/>
            <w:tcBorders>
              <w:top w:val="nil"/>
              <w:left w:val="nil"/>
              <w:right w:val="nil"/>
            </w:tcBorders>
            <w:tcMar>
              <w:top w:w="0" w:type="dxa"/>
              <w:left w:w="0" w:type="dxa"/>
              <w:bottom w:w="0" w:type="dxa"/>
              <w:right w:w="0" w:type="dxa"/>
            </w:tcMar>
            <w:vAlign w:val="center"/>
          </w:tcPr>
          <w:p w14:paraId="60907610">
            <w:pPr>
              <w:keepNext w:val="0"/>
              <w:keepLines w:val="0"/>
              <w:pageBreakBefore w:val="0"/>
              <w:widowControl/>
              <w:suppressLineNumbers w:val="0"/>
              <w:kinsoku/>
              <w:wordWrap/>
              <w:overflowPunct/>
              <w:topLinePunct w:val="0"/>
              <w:autoSpaceDE/>
              <w:autoSpaceDN/>
              <w:bidi w:val="0"/>
              <w:adjustRightInd/>
              <w:snapToGrid/>
              <w:spacing w:line="375" w:lineRule="atLeast"/>
              <w:ind w:firstLine="480" w:firstLineChars="200"/>
              <w:jc w:val="left"/>
              <w:textAlignment w:val="auto"/>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项目编号：50000120250911030102001</w:t>
            </w:r>
          </w:p>
        </w:tc>
      </w:tr>
      <w:tr w14:paraId="20FA1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9075" w:type="dxa"/>
            <w:gridSpan w:val="2"/>
            <w:tcMar>
              <w:top w:w="0" w:type="dxa"/>
              <w:left w:w="0" w:type="dxa"/>
              <w:bottom w:w="0" w:type="dxa"/>
              <w:right w:w="0" w:type="dxa"/>
            </w:tcMar>
            <w:vAlign w:val="center"/>
          </w:tcPr>
          <w:p w14:paraId="5797F833">
            <w:pPr>
              <w:keepNext w:val="0"/>
              <w:keepLines w:val="0"/>
              <w:widowControl/>
              <w:suppressLineNumbers w:val="0"/>
              <w:spacing w:line="375" w:lineRule="atLeast"/>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w:t>
            </w:r>
            <w:r>
              <w:rPr>
                <w:rFonts w:hint="eastAsia" w:ascii="方正仿宋_GBK" w:hAnsi="方正仿宋_GBK" w:eastAsia="方正仿宋_GBK" w:cs="方正仿宋_GBK"/>
                <w:color w:val="auto"/>
                <w:sz w:val="24"/>
                <w:szCs w:val="24"/>
                <w:highlight w:val="none"/>
                <w:lang w:val="en-US" w:eastAsia="zh-CN"/>
              </w:rPr>
              <w:t xml:space="preserve">  </w:t>
            </w:r>
            <w:r>
              <w:rPr>
                <w:rFonts w:hint="eastAsia" w:ascii="方正仿宋_GBK" w:hAnsi="方正仿宋_GBK" w:eastAsia="方正仿宋_GBK" w:cs="方正仿宋_GBK"/>
                <w:color w:val="auto"/>
                <w:sz w:val="24"/>
                <w:szCs w:val="24"/>
                <w:highlight w:val="none"/>
              </w:rPr>
              <w:t>户名:重庆联合产权交易所集团股份有限公司</w:t>
            </w:r>
          </w:p>
        </w:tc>
      </w:tr>
      <w:tr w14:paraId="000E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jc w:val="center"/>
        </w:trPr>
        <w:tc>
          <w:tcPr>
            <w:tcW w:w="1697" w:type="dxa"/>
            <w:tcMar>
              <w:top w:w="0" w:type="dxa"/>
              <w:left w:w="0" w:type="dxa"/>
              <w:bottom w:w="0" w:type="dxa"/>
              <w:right w:w="0" w:type="dxa"/>
            </w:tcMar>
            <w:vAlign w:val="center"/>
          </w:tcPr>
          <w:p w14:paraId="5DA1A0E5">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分包</w:t>
            </w:r>
          </w:p>
        </w:tc>
        <w:tc>
          <w:tcPr>
            <w:tcW w:w="7378" w:type="dxa"/>
            <w:tcBorders>
              <w:bottom w:val="nil"/>
            </w:tcBorders>
            <w:tcMar>
              <w:top w:w="0" w:type="dxa"/>
              <w:left w:w="0" w:type="dxa"/>
              <w:bottom w:w="0" w:type="dxa"/>
              <w:right w:w="0" w:type="dxa"/>
            </w:tcMar>
            <w:vAlign w:val="center"/>
          </w:tcPr>
          <w:p w14:paraId="623CD9DB">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银行信息</w:t>
            </w:r>
          </w:p>
        </w:tc>
      </w:tr>
      <w:tr w14:paraId="51148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10" w:hRule="atLeast"/>
          <w:jc w:val="center"/>
        </w:trPr>
        <w:tc>
          <w:tcPr>
            <w:tcW w:w="1697" w:type="dxa"/>
            <w:tcMar>
              <w:top w:w="0" w:type="dxa"/>
              <w:left w:w="0" w:type="dxa"/>
              <w:bottom w:w="0" w:type="dxa"/>
              <w:right w:w="0" w:type="dxa"/>
            </w:tcMar>
            <w:vAlign w:val="center"/>
          </w:tcPr>
          <w:p w14:paraId="47E7EB55">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01</w:t>
            </w:r>
          </w:p>
        </w:tc>
        <w:tc>
          <w:tcPr>
            <w:tcW w:w="7378" w:type="dxa"/>
            <w:tcBorders>
              <w:top w:val="nil"/>
            </w:tcBorders>
            <w:tcMar>
              <w:top w:w="0" w:type="dxa"/>
              <w:left w:w="0" w:type="dxa"/>
              <w:bottom w:w="0" w:type="dxa"/>
              <w:right w:w="0" w:type="dxa"/>
            </w:tcMar>
            <w:vAlign w:val="center"/>
          </w:tcPr>
          <w:tbl>
            <w:tblPr>
              <w:tblStyle w:val="58"/>
              <w:tblW w:w="73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737"/>
              <w:gridCol w:w="1053"/>
              <w:gridCol w:w="5578"/>
            </w:tblGrid>
            <w:tr w14:paraId="08469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37"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318FA82">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账号1</w:t>
                  </w:r>
                </w:p>
              </w:tc>
              <w:tc>
                <w:tcPr>
                  <w:tcW w:w="105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C7B55D1">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开户行</w:t>
                  </w:r>
                </w:p>
              </w:tc>
              <w:tc>
                <w:tcPr>
                  <w:tcW w:w="557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541B162">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重庆银行七星岗支行</w:t>
                  </w:r>
                </w:p>
              </w:tc>
            </w:tr>
            <w:tr w14:paraId="5F264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37" w:type="dxa"/>
                  <w:vMerge w:val="continue"/>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5003957">
                  <w:pPr>
                    <w:jc w:val="center"/>
                    <w:rPr>
                      <w:rFonts w:hint="eastAsia" w:ascii="方正仿宋_GBK" w:hAnsi="方正仿宋_GBK" w:eastAsia="方正仿宋_GBK" w:cs="方正仿宋_GBK"/>
                      <w:color w:val="auto"/>
                      <w:sz w:val="24"/>
                      <w:szCs w:val="24"/>
                      <w:highlight w:val="none"/>
                    </w:rPr>
                  </w:pPr>
                </w:p>
              </w:tc>
              <w:tc>
                <w:tcPr>
                  <w:tcW w:w="105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8207577">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账号</w:t>
                  </w:r>
                </w:p>
              </w:tc>
              <w:tc>
                <w:tcPr>
                  <w:tcW w:w="557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7D43A6A">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150101040015061156862</w:t>
                  </w:r>
                </w:p>
              </w:tc>
            </w:tr>
            <w:tr w14:paraId="1034C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37"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8A16151">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账号2</w:t>
                  </w:r>
                </w:p>
              </w:tc>
              <w:tc>
                <w:tcPr>
                  <w:tcW w:w="105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02B5F6E">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开户行</w:t>
                  </w:r>
                </w:p>
              </w:tc>
              <w:tc>
                <w:tcPr>
                  <w:tcW w:w="557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B2A9080">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中国建设银行股份有限公司重庆渝中支行</w:t>
                  </w:r>
                </w:p>
              </w:tc>
            </w:tr>
            <w:tr w14:paraId="005D6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37" w:type="dxa"/>
                  <w:vMerge w:val="continue"/>
                  <w:tcBorders>
                    <w:top w:val="single" w:color="000000" w:sz="6" w:space="0"/>
                    <w:left w:val="single" w:color="000000" w:sz="6" w:space="0"/>
                    <w:bottom w:val="nil"/>
                    <w:right w:val="single" w:color="000000" w:sz="6" w:space="0"/>
                  </w:tcBorders>
                  <w:tcMar>
                    <w:top w:w="0" w:type="dxa"/>
                    <w:left w:w="0" w:type="dxa"/>
                    <w:bottom w:w="0" w:type="dxa"/>
                    <w:right w:w="0" w:type="dxa"/>
                  </w:tcMar>
                  <w:vAlign w:val="center"/>
                </w:tcPr>
                <w:p w14:paraId="115B7672">
                  <w:pPr>
                    <w:jc w:val="center"/>
                    <w:rPr>
                      <w:rFonts w:hint="eastAsia" w:ascii="方正仿宋_GBK" w:hAnsi="方正仿宋_GBK" w:eastAsia="方正仿宋_GBK" w:cs="方正仿宋_GBK"/>
                      <w:color w:val="auto"/>
                      <w:sz w:val="24"/>
                      <w:szCs w:val="24"/>
                      <w:highlight w:val="none"/>
                    </w:rPr>
                  </w:pPr>
                </w:p>
              </w:tc>
              <w:tc>
                <w:tcPr>
                  <w:tcW w:w="1053" w:type="dxa"/>
                  <w:tcBorders>
                    <w:top w:val="single" w:color="000000" w:sz="6" w:space="0"/>
                    <w:left w:val="single" w:color="000000" w:sz="6" w:space="0"/>
                    <w:bottom w:val="nil"/>
                    <w:right w:val="single" w:color="000000" w:sz="6" w:space="0"/>
                  </w:tcBorders>
                  <w:tcMar>
                    <w:top w:w="0" w:type="dxa"/>
                    <w:left w:w="0" w:type="dxa"/>
                    <w:bottom w:w="0" w:type="dxa"/>
                    <w:right w:w="0" w:type="dxa"/>
                  </w:tcMar>
                  <w:vAlign w:val="center"/>
                </w:tcPr>
                <w:p w14:paraId="541196B4">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账号</w:t>
                  </w:r>
                </w:p>
              </w:tc>
              <w:tc>
                <w:tcPr>
                  <w:tcW w:w="5578" w:type="dxa"/>
                  <w:tcBorders>
                    <w:top w:val="single" w:color="000000" w:sz="6" w:space="0"/>
                    <w:left w:val="single" w:color="000000" w:sz="6" w:space="0"/>
                    <w:bottom w:val="nil"/>
                    <w:right w:val="single" w:color="000000" w:sz="6" w:space="0"/>
                  </w:tcBorders>
                  <w:tcMar>
                    <w:top w:w="0" w:type="dxa"/>
                    <w:left w:w="0" w:type="dxa"/>
                    <w:bottom w:w="0" w:type="dxa"/>
                    <w:right w:w="0" w:type="dxa"/>
                  </w:tcMar>
                  <w:vAlign w:val="center"/>
                </w:tcPr>
                <w:p w14:paraId="4A50B682">
                  <w:pPr>
                    <w:keepNext w:val="0"/>
                    <w:keepLines w:val="0"/>
                    <w:widowControl/>
                    <w:suppressLineNumbers w:val="0"/>
                    <w:spacing w:line="375" w:lineRule="atLeas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6232813760001683167</w:t>
                  </w:r>
                </w:p>
              </w:tc>
            </w:tr>
          </w:tbl>
          <w:p w14:paraId="03C5547F">
            <w:pPr>
              <w:jc w:val="center"/>
              <w:rPr>
                <w:rFonts w:hint="eastAsia" w:ascii="方正仿宋_GBK" w:hAnsi="方正仿宋_GBK" w:eastAsia="方正仿宋_GBK" w:cs="方正仿宋_GBK"/>
                <w:color w:val="auto"/>
                <w:sz w:val="24"/>
                <w:szCs w:val="24"/>
                <w:highlight w:val="none"/>
              </w:rPr>
            </w:pPr>
          </w:p>
        </w:tc>
      </w:tr>
      <w:tr w14:paraId="7E85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9075" w:type="dxa"/>
            <w:gridSpan w:val="2"/>
            <w:tcMar>
              <w:top w:w="0" w:type="dxa"/>
              <w:left w:w="0" w:type="dxa"/>
              <w:bottom w:w="0" w:type="dxa"/>
              <w:right w:w="0" w:type="dxa"/>
            </w:tcMar>
            <w:vAlign w:val="center"/>
          </w:tcPr>
          <w:p w14:paraId="541203ED">
            <w:pPr>
              <w:keepNext w:val="0"/>
              <w:keepLines w:val="0"/>
              <w:widowControl/>
              <w:suppressLineNumbers w:val="0"/>
              <w:spacing w:line="375" w:lineRule="atLeast"/>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银行行号： </w:t>
            </w:r>
            <w:r>
              <w:rPr>
                <w:rFonts w:hint="eastAsia" w:ascii="方正仿宋_GBK" w:hAnsi="方正仿宋_GBK" w:eastAsia="方正仿宋_GBK" w:cs="方正仿宋_GBK"/>
                <w:color w:val="auto"/>
                <w:sz w:val="24"/>
                <w:szCs w:val="24"/>
                <w:highlight w:val="none"/>
              </w:rPr>
              <w:br w:type="textWrapping"/>
            </w:r>
            <w:r>
              <w:rPr>
                <w:rFonts w:hint="eastAsia" w:ascii="方正仿宋_GBK" w:hAnsi="方正仿宋_GBK" w:eastAsia="方正仿宋_GBK" w:cs="方正仿宋_GBK"/>
                <w:color w:val="auto"/>
                <w:sz w:val="24"/>
                <w:szCs w:val="24"/>
                <w:highlight w:val="none"/>
              </w:rPr>
              <w:t xml:space="preserve">请登录重庆市公共资源交易网（www.cqggzy.com）对应栏目查看。 </w:t>
            </w:r>
            <w:r>
              <w:rPr>
                <w:rFonts w:hint="eastAsia" w:ascii="方正仿宋_GBK" w:hAnsi="方正仿宋_GBK" w:eastAsia="方正仿宋_GBK" w:cs="方正仿宋_GBK"/>
                <w:color w:val="auto"/>
                <w:sz w:val="24"/>
                <w:szCs w:val="24"/>
                <w:highlight w:val="none"/>
              </w:rPr>
              <w:br w:type="textWrapping"/>
            </w:r>
            <w:r>
              <w:rPr>
                <w:rFonts w:hint="eastAsia" w:ascii="方正仿宋_GBK" w:hAnsi="方正仿宋_GBK" w:eastAsia="方正仿宋_GBK" w:cs="方正仿宋_GBK"/>
                <w:color w:val="auto"/>
                <w:sz w:val="24"/>
                <w:szCs w:val="24"/>
                <w:highlight w:val="none"/>
              </w:rPr>
              <w:t>路径：服务导航-政府采购-办事指引-重庆市公共资源交易中心政府采购项目保证金银行联行行号。</w:t>
            </w:r>
          </w:p>
        </w:tc>
      </w:tr>
    </w:tbl>
    <w:p w14:paraId="002C3075">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1.2各投标人在银行转账（电汇）时，须充分考虑银行转账（电汇）的时间差风险，如同城转账、异地转账或汇款、跨行转账或电汇的时间要求。</w:t>
      </w:r>
    </w:p>
    <w:p w14:paraId="0CD5A67A">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2.投标保证金保函方式</w:t>
      </w:r>
    </w:p>
    <w:p w14:paraId="68104D13">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2.1投标人应提供真实有效的投标保证金保函（电子保函提供复印件，纸质保函提供原件），投标保证金的保函担保金额应不低于投标保证金金额（保证金金额详见本篇，一、招标项目内容），担保方应为中华人民共和国境内注册的可开展非融资担保类业务的银行、保险公司、担保公司等金融机构，</w:t>
      </w:r>
      <w:r>
        <w:rPr>
          <w:rFonts w:hint="eastAsia" w:ascii="方正仿宋_GBK" w:hAnsi="宋体" w:eastAsia="方正仿宋_GBK"/>
          <w:b/>
          <w:bCs/>
          <w:color w:val="auto"/>
          <w:sz w:val="24"/>
          <w:szCs w:val="24"/>
          <w:highlight w:val="none"/>
        </w:rPr>
        <w:t>保函受益人须为本项目采购人</w:t>
      </w:r>
      <w:r>
        <w:rPr>
          <w:rFonts w:hint="eastAsia" w:ascii="方正仿宋_GBK" w:hAnsi="宋体" w:eastAsia="方正仿宋_GBK"/>
          <w:color w:val="auto"/>
          <w:sz w:val="24"/>
          <w:szCs w:val="24"/>
          <w:highlight w:val="none"/>
        </w:rPr>
        <w:t>。</w:t>
      </w:r>
    </w:p>
    <w:p w14:paraId="4AC1B3A3">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2.2投标保证金保函有效期与投标文件有效期保持一致。</w:t>
      </w:r>
    </w:p>
    <w:p w14:paraId="44E10A82">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2.3投标保证金保函单独密封，随投标文件一并递交，投标保证金保函递交截止时间同投标截止时间。</w:t>
      </w:r>
    </w:p>
    <w:p w14:paraId="3DD315F0">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（二）保证金退还方式</w:t>
      </w:r>
    </w:p>
    <w:p w14:paraId="78B02C4C">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1.未中标投标人的保证金，在中标通知书发放后，重庆市公共资源交易中心在五个工作日内按来款渠道直接退还。</w:t>
      </w:r>
    </w:p>
    <w:p w14:paraId="0014E4B2">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2.中标人的投标保证金，在中标人与采购人签订合同后，重庆市公共资源交易中心在五个工作日内按资金来款渠道直接退还。</w:t>
      </w:r>
    </w:p>
    <w:p w14:paraId="3C9D01CA">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重庆市公共资源交易中心咨询电话：023-63625633</w:t>
      </w:r>
    </w:p>
    <w:p w14:paraId="6255F380">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96" w:name="_Toc29945"/>
      <w:bookmarkStart w:id="97" w:name="_Toc75793501"/>
      <w:bookmarkStart w:id="98" w:name="_Toc9257"/>
      <w:bookmarkStart w:id="99" w:name="_Toc12760"/>
      <w:bookmarkStart w:id="100" w:name="_Toc3188"/>
      <w:bookmarkStart w:id="101" w:name="_Toc441"/>
      <w:bookmarkStart w:id="102" w:name="_Toc16198"/>
      <w:bookmarkStart w:id="103" w:name="_Toc18802"/>
      <w:bookmarkStart w:id="104" w:name="_Toc29744"/>
      <w:bookmarkStart w:id="105" w:name="_Toc21524"/>
      <w:bookmarkStart w:id="106" w:name="_Toc24689"/>
      <w:bookmarkStart w:id="107" w:name="_Toc24588"/>
      <w:bookmarkStart w:id="108" w:name="_Toc28799"/>
      <w:bookmarkStart w:id="109" w:name="_Toc5839"/>
      <w:bookmarkStart w:id="110" w:name="_Toc8081"/>
      <w:bookmarkStart w:id="111" w:name="_Toc15002"/>
      <w:r>
        <w:rPr>
          <w:rFonts w:hint="eastAsia" w:ascii="方正仿宋_GBK" w:eastAsia="方正仿宋_GBK"/>
          <w:b/>
          <w:color w:val="auto"/>
          <w:szCs w:val="21"/>
          <w:highlight w:val="none"/>
        </w:rPr>
        <w:t>六、采购项目需落实的政府采购政策</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4D5727A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68554D9D">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（二）按照财政部、工业和信息化部关于印发《政府采购促进中小企业发展管理办法》的通知（财库〔2020〕46号）的规定，落实促进中小企业发展政策。</w:t>
      </w:r>
    </w:p>
    <w:p w14:paraId="595E9432">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（三）按照《财政部、司法部关于政府采购支持监狱企业发展有关问题的通知》（财库〔2014〕68号）的规定，落实支持监狱企业发展政策。监狱企业视同小型、微型企业。</w:t>
      </w:r>
    </w:p>
    <w:p w14:paraId="74FC7115">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（四）按照《三部门联合发布关于促进残疾人就业政府采购政策的通知》（财库〔2017〕 141号）的规定，落实支持残疾人福利性单位发展政策。残疾人福利性单位视同小型、微型企业。</w:t>
      </w:r>
    </w:p>
    <w:p w14:paraId="06B0D2EC">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112" w:name="_Toc18921"/>
      <w:bookmarkStart w:id="113" w:name="_Toc3810"/>
      <w:bookmarkStart w:id="114" w:name="_Toc21799"/>
      <w:bookmarkStart w:id="115" w:name="_Toc13146"/>
      <w:bookmarkStart w:id="116" w:name="_Toc29169"/>
      <w:bookmarkStart w:id="117" w:name="_Toc4869"/>
      <w:bookmarkStart w:id="118" w:name="_Toc9931"/>
      <w:bookmarkStart w:id="119" w:name="_Toc19755"/>
      <w:bookmarkStart w:id="120" w:name="_Toc75793502"/>
      <w:bookmarkStart w:id="121" w:name="_Toc10747"/>
      <w:bookmarkStart w:id="122" w:name="_Toc13460"/>
      <w:bookmarkStart w:id="123" w:name="_Toc30916"/>
      <w:bookmarkStart w:id="124" w:name="_Toc16322"/>
      <w:bookmarkStart w:id="125" w:name="_Toc22428"/>
      <w:bookmarkStart w:id="126" w:name="_Toc1373"/>
      <w:bookmarkStart w:id="127" w:name="_Toc11375"/>
      <w:r>
        <w:rPr>
          <w:rFonts w:hint="eastAsia" w:ascii="方正仿宋_GBK" w:eastAsia="方正仿宋_GBK"/>
          <w:b/>
          <w:color w:val="auto"/>
          <w:szCs w:val="21"/>
          <w:highlight w:val="none"/>
        </w:rPr>
        <w:t>七、投标有关规定</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10718A75">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（一）单位负责人为同一人或者存在直接控股、管理关系的不同投标人，不得参加同一合同项（包）下的政府采购活动。</w:t>
      </w:r>
    </w:p>
    <w:p w14:paraId="7A79A4BF">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（二）为采购项目提供整体设计、规范编制或者项目管理、监理、检测等服务的投标人，不得再参加该采购项目的其他采购活动。</w:t>
      </w:r>
    </w:p>
    <w:p w14:paraId="7738AA35">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w:t>
      </w:r>
      <w:r>
        <w:rPr>
          <w:rFonts w:hint="eastAsia" w:ascii="方正仿宋_GBK" w:hAnsi="仿宋" w:eastAsia="方正仿宋_GBK"/>
          <w:color w:val="auto"/>
          <w:sz w:val="24"/>
          <w:szCs w:val="24"/>
          <w:highlight w:val="none"/>
        </w:rPr>
        <w:t>本项目若有澄清文件一律在重庆市政府采购网（www.ccgp-chongqing.gov.cn）上发布，请各投标人注意下载或到采购代理机构领取；无论投标人下载或领取与否，均视同投标人已知晓本项目澄清文件的内容。</w:t>
      </w:r>
    </w:p>
    <w:p w14:paraId="001E3A66">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（四）超过投标截止时间递交的投标文件，恕不接收。</w:t>
      </w:r>
    </w:p>
    <w:p w14:paraId="3C65AE33">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（五）投标费用：</w:t>
      </w:r>
      <w:r>
        <w:rPr>
          <w:rFonts w:hint="eastAsia" w:ascii="方正仿宋_GBK" w:eastAsia="方正仿宋_GBK"/>
          <w:color w:val="auto"/>
          <w:sz w:val="24"/>
          <w:szCs w:val="24"/>
          <w:highlight w:val="none"/>
        </w:rPr>
        <w:t>无论投标结果如何，投标人参与本项目投标的所有费用均应由投标人自行承担。</w:t>
      </w:r>
    </w:p>
    <w:p w14:paraId="6BC45049">
      <w:pPr>
        <w:snapToGrid w:val="0"/>
        <w:spacing w:line="400" w:lineRule="exact"/>
        <w:ind w:firstLine="482" w:firstLineChars="200"/>
        <w:rPr>
          <w:rFonts w:ascii="方正仿宋_GBK" w:hAnsi="仿宋" w:eastAsia="方正仿宋_GBK"/>
          <w:b/>
          <w:i/>
          <w:color w:val="auto"/>
          <w:sz w:val="24"/>
          <w:szCs w:val="24"/>
          <w:highlight w:val="none"/>
        </w:rPr>
      </w:pPr>
      <w:r>
        <w:rPr>
          <w:rFonts w:hint="eastAsia" w:ascii="方正仿宋_GBK" w:hAnsi="仿宋" w:eastAsia="方正仿宋_GBK"/>
          <w:b/>
          <w:color w:val="auto"/>
          <w:sz w:val="24"/>
          <w:szCs w:val="24"/>
          <w:highlight w:val="none"/>
        </w:rPr>
        <w:t>（六）本项目不接受联合体参与投标，否则按无效投标处理。</w:t>
      </w:r>
    </w:p>
    <w:p w14:paraId="08A299D4">
      <w:pPr>
        <w:snapToGrid w:val="0"/>
        <w:spacing w:line="400" w:lineRule="exact"/>
        <w:ind w:firstLine="482" w:firstLineChars="200"/>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（七）本项目不接受合同分包，否则按无效投标处理。</w:t>
      </w:r>
    </w:p>
    <w:p w14:paraId="6CC21128">
      <w:pPr>
        <w:snapToGrid w:val="0"/>
        <w:spacing w:line="400" w:lineRule="exact"/>
        <w:ind w:firstLine="480" w:firstLineChars="200"/>
        <w:rPr>
          <w:rFonts w:ascii="方正仿宋_GBK" w:eastAsia="方正仿宋_GBK"/>
          <w:color w:val="auto"/>
          <w:sz w:val="24"/>
          <w:szCs w:val="24"/>
          <w:highlight w:val="none"/>
        </w:rPr>
      </w:pPr>
      <w:r>
        <w:rPr>
          <w:rFonts w:hint="eastAsia" w:ascii="方正仿宋_GBK" w:hAnsi="宋体" w:eastAsia="方正仿宋_GBK"/>
          <w:color w:val="auto"/>
          <w:sz w:val="24"/>
          <w:szCs w:val="24"/>
          <w:highlight w:val="none"/>
        </w:rPr>
        <w:t>（八）</w:t>
      </w:r>
      <w:bookmarkStart w:id="128" w:name="OLE_LINK2"/>
      <w:bookmarkStart w:id="129" w:name="OLE_LINK1"/>
      <w:r>
        <w:rPr>
          <w:rFonts w:hint="eastAsia" w:ascii="方正仿宋_GBK" w:eastAsia="方正仿宋_GBK"/>
          <w:color w:val="auto"/>
          <w:sz w:val="24"/>
          <w:szCs w:val="24"/>
          <w:highlight w:val="none"/>
        </w:rPr>
        <w:t>按照</w:t>
      </w:r>
      <w:r>
        <w:rPr>
          <w:rFonts w:hint="eastAsia" w:ascii="方正仿宋_GBK" w:hAnsi="宋体" w:eastAsia="方正仿宋_GBK"/>
          <w:color w:val="auto"/>
          <w:sz w:val="24"/>
          <w:szCs w:val="24"/>
          <w:highlight w:val="none"/>
        </w:rPr>
        <w:t>《</w:t>
      </w:r>
      <w:r>
        <w:rPr>
          <w:rFonts w:hint="eastAsia" w:ascii="方正仿宋_GBK" w:eastAsia="方正仿宋_GBK"/>
          <w:color w:val="auto"/>
          <w:sz w:val="24"/>
          <w:szCs w:val="24"/>
          <w:highlight w:val="none"/>
        </w:rPr>
        <w:t>财政部关于在政府采购活动中查询及使用信用记录有关问题的通知</w:t>
      </w:r>
      <w:r>
        <w:rPr>
          <w:rFonts w:hint="eastAsia" w:ascii="方正仿宋_GBK" w:hAnsi="宋体" w:eastAsia="方正仿宋_GBK"/>
          <w:color w:val="auto"/>
          <w:sz w:val="24"/>
          <w:szCs w:val="24"/>
          <w:highlight w:val="none"/>
        </w:rPr>
        <w:t>》</w:t>
      </w:r>
      <w:r>
        <w:rPr>
          <w:rFonts w:hint="eastAsia" w:ascii="方正仿宋_GBK" w:eastAsia="方正仿宋_GBK"/>
          <w:color w:val="auto"/>
          <w:sz w:val="24"/>
          <w:szCs w:val="24"/>
          <w:highlight w:val="none"/>
        </w:rPr>
        <w:t>财库〔2016〕125号，投标人列入失信被执行人、重大税收违法案件当事人名单、政府采购严重违法失信行为记录名单及其他不符合《中华人民共和国政府采购法》第二十二条规定条件的</w:t>
      </w:r>
      <w:bookmarkEnd w:id="128"/>
      <w:bookmarkEnd w:id="129"/>
      <w:r>
        <w:rPr>
          <w:rFonts w:hint="eastAsia" w:ascii="方正仿宋_GBK" w:eastAsia="方正仿宋_GBK"/>
          <w:color w:val="auto"/>
          <w:sz w:val="24"/>
          <w:szCs w:val="24"/>
          <w:highlight w:val="none"/>
        </w:rPr>
        <w:t>投标人，将拒绝其参与政府采购活动。</w:t>
      </w:r>
    </w:p>
    <w:p w14:paraId="696CCE33">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130" w:name="_Toc11494"/>
      <w:bookmarkStart w:id="131" w:name="_Toc75793503"/>
      <w:bookmarkStart w:id="132" w:name="_Toc67"/>
      <w:bookmarkStart w:id="133" w:name="_Toc24181"/>
      <w:bookmarkStart w:id="134" w:name="_Toc20452"/>
      <w:bookmarkStart w:id="135" w:name="_Toc28772"/>
      <w:bookmarkStart w:id="136" w:name="_Toc9632"/>
      <w:bookmarkStart w:id="137" w:name="_Toc15522"/>
      <w:bookmarkStart w:id="138" w:name="_Toc13885"/>
      <w:bookmarkStart w:id="139" w:name="_Toc29351"/>
      <w:bookmarkStart w:id="140" w:name="_Toc5228"/>
      <w:bookmarkStart w:id="141" w:name="_Toc12717"/>
      <w:bookmarkStart w:id="142" w:name="_Toc30488"/>
      <w:bookmarkStart w:id="143" w:name="_Toc26782"/>
      <w:bookmarkStart w:id="144" w:name="_Toc19676"/>
      <w:bookmarkStart w:id="145" w:name="_Toc1781"/>
      <w:r>
        <w:rPr>
          <w:rFonts w:hint="eastAsia" w:ascii="方正仿宋_GBK" w:eastAsia="方正仿宋_GBK"/>
          <w:b/>
          <w:color w:val="auto"/>
          <w:szCs w:val="21"/>
          <w:highlight w:val="none"/>
        </w:rPr>
        <w:t>八、联系方式</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7155437E">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（一）采购人：重庆市应急管理局 </w:t>
      </w:r>
    </w:p>
    <w:p w14:paraId="57D7DC9D">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联系人：</w:t>
      </w:r>
      <w:r>
        <w:rPr>
          <w:rFonts w:hint="eastAsia" w:ascii="方正仿宋_GBK" w:hAnsi="宋体" w:eastAsia="方正仿宋_GBK"/>
          <w:color w:val="auto"/>
          <w:sz w:val="24"/>
          <w:szCs w:val="24"/>
          <w:highlight w:val="none"/>
          <w:lang w:eastAsia="zh-CN"/>
        </w:rPr>
        <w:t>余</w:t>
      </w:r>
      <w:r>
        <w:rPr>
          <w:rFonts w:hint="eastAsia" w:ascii="方正仿宋_GBK" w:hAnsi="宋体" w:eastAsia="方正仿宋_GBK"/>
          <w:color w:val="auto"/>
          <w:sz w:val="24"/>
          <w:szCs w:val="24"/>
          <w:highlight w:val="none"/>
        </w:rPr>
        <w:t>先生</w:t>
      </w:r>
    </w:p>
    <w:p w14:paraId="1888BFFA">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电  话：023-63053856</w:t>
      </w:r>
    </w:p>
    <w:p w14:paraId="266B1E0D">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地  址：重庆市渝北区青枫北路高科·双子座B座8楼</w:t>
      </w:r>
    </w:p>
    <w:p w14:paraId="06296834">
      <w:pPr>
        <w:snapToGrid w:val="0"/>
        <w:spacing w:before="120" w:beforeLines="50"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（二）采购代理机构：重庆市工程管理有限公司</w:t>
      </w:r>
    </w:p>
    <w:p w14:paraId="797DCC50">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联系人：刘先生  王女士</w:t>
      </w:r>
    </w:p>
    <w:p w14:paraId="66F8874E">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邮  编：400023</w:t>
      </w:r>
    </w:p>
    <w:p w14:paraId="043EF7BC">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电  话：023-67960950</w:t>
      </w:r>
    </w:p>
    <w:p w14:paraId="0BD7F0B2">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地  址：重庆市江北区五简路2号重庆咨询大厦A座</w:t>
      </w:r>
    </w:p>
    <w:p w14:paraId="4E47D751">
      <w:pPr>
        <w:spacing w:line="400" w:lineRule="exact"/>
        <w:ind w:firstLine="480" w:firstLineChars="200"/>
        <w:rPr>
          <w:rFonts w:ascii="方正仿宋_GBK" w:hAnsi="宋体" w:eastAsia="方正仿宋_GBK"/>
          <w:color w:val="auto"/>
          <w:sz w:val="24"/>
          <w:szCs w:val="28"/>
          <w:highlight w:val="none"/>
        </w:rPr>
      </w:pPr>
    </w:p>
    <w:p w14:paraId="5E7FDC76">
      <w:pPr>
        <w:snapToGrid w:val="0"/>
        <w:spacing w:line="400" w:lineRule="exact"/>
        <w:ind w:firstLine="480" w:firstLineChars="200"/>
        <w:rPr>
          <w:rFonts w:ascii="方正仿宋_GBK" w:hAnsi="宋体" w:eastAsia="方正仿宋_GBK"/>
          <w:color w:val="auto"/>
          <w:sz w:val="24"/>
          <w:szCs w:val="24"/>
          <w:highlight w:val="none"/>
        </w:rPr>
      </w:pPr>
    </w:p>
    <w:p w14:paraId="1633596E">
      <w:pPr>
        <w:pStyle w:val="4"/>
        <w:spacing w:before="0" w:beforeLines="0" w:after="0" w:afterLines="0" w:line="360" w:lineRule="auto"/>
        <w:rPr>
          <w:rFonts w:ascii="方正仿宋_GBK" w:eastAsia="方正仿宋_GBK"/>
          <w:b/>
          <w:color w:val="auto"/>
          <w:highlight w:val="none"/>
        </w:rPr>
      </w:pPr>
      <w:r>
        <w:rPr>
          <w:rFonts w:hint="eastAsia" w:ascii="方正仿宋_GBK" w:eastAsia="方正仿宋_GBK"/>
          <w:color w:val="auto"/>
          <w:highlight w:val="none"/>
        </w:rPr>
        <w:br w:type="page"/>
      </w:r>
      <w:bookmarkStart w:id="146" w:name="_Toc2070"/>
      <w:bookmarkStart w:id="147" w:name="_Toc725"/>
      <w:bookmarkStart w:id="148" w:name="_Toc5461"/>
      <w:bookmarkStart w:id="149" w:name="_Toc12959"/>
      <w:bookmarkStart w:id="150" w:name="_Toc1492"/>
      <w:bookmarkStart w:id="151" w:name="_Toc2422"/>
      <w:bookmarkStart w:id="152" w:name="_Toc1625"/>
      <w:bookmarkStart w:id="153" w:name="_Toc32686"/>
      <w:bookmarkStart w:id="154" w:name="_Toc8649"/>
      <w:bookmarkStart w:id="155" w:name="_Toc25639"/>
      <w:bookmarkStart w:id="156" w:name="_Toc19886"/>
      <w:bookmarkStart w:id="157" w:name="_Toc26176"/>
      <w:bookmarkStart w:id="158" w:name="_Toc23143"/>
      <w:bookmarkStart w:id="159" w:name="_Toc75793504"/>
      <w:bookmarkStart w:id="160" w:name="_Toc11017"/>
      <w:bookmarkStart w:id="161" w:name="_Toc2497"/>
      <w:r>
        <w:rPr>
          <w:rFonts w:hint="eastAsia" w:ascii="方正仿宋_GBK" w:eastAsia="方正仿宋_GBK"/>
          <w:b/>
          <w:color w:val="auto"/>
          <w:highlight w:val="none"/>
        </w:rPr>
        <w:t xml:space="preserve">第二篇  </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Pr>
          <w:rFonts w:hint="eastAsia" w:ascii="方正仿宋_GBK" w:eastAsia="方正仿宋_GBK"/>
          <w:b/>
          <w:color w:val="auto"/>
          <w:highlight w:val="none"/>
        </w:rPr>
        <w:t>项目技术（质量）需求</w:t>
      </w:r>
      <w:bookmarkEnd w:id="161"/>
    </w:p>
    <w:p w14:paraId="51153C8C">
      <w:pPr>
        <w:pStyle w:val="5"/>
        <w:spacing w:before="120" w:beforeLines="50" w:after="120" w:afterLines="50" w:line="240" w:lineRule="auto"/>
        <w:ind w:firstLine="562" w:firstLineChars="200"/>
        <w:rPr>
          <w:rFonts w:hint="eastAsia" w:ascii="方正仿宋_GBK" w:eastAsia="方正仿宋_GBK"/>
          <w:b/>
          <w:color w:val="auto"/>
          <w:szCs w:val="21"/>
          <w:highlight w:val="none"/>
        </w:rPr>
      </w:pPr>
      <w:bookmarkStart w:id="162" w:name="_Toc4519"/>
      <w:bookmarkStart w:id="163" w:name="_Toc4531"/>
      <w:bookmarkStart w:id="164" w:name="_Toc9261"/>
      <w:bookmarkStart w:id="165" w:name="_Toc23504"/>
      <w:bookmarkStart w:id="166" w:name="_Toc8370"/>
      <w:bookmarkStart w:id="167" w:name="_Toc7027"/>
      <w:bookmarkStart w:id="168" w:name="_Toc75793505"/>
      <w:bookmarkStart w:id="169" w:name="_Toc20979"/>
      <w:bookmarkStart w:id="170" w:name="_Toc19238"/>
      <w:bookmarkStart w:id="171" w:name="_Toc4913"/>
      <w:bookmarkStart w:id="172" w:name="_Toc11703"/>
      <w:bookmarkStart w:id="173" w:name="_Toc22910"/>
      <w:bookmarkStart w:id="174" w:name="_Toc29985"/>
      <w:bookmarkStart w:id="175" w:name="_Toc688"/>
      <w:bookmarkStart w:id="176" w:name="_Toc23656"/>
      <w:bookmarkStart w:id="177" w:name="_Toc8947"/>
      <w:r>
        <w:rPr>
          <w:rFonts w:hint="eastAsia" w:ascii="方正仿宋_GBK" w:eastAsia="方正仿宋_GBK"/>
          <w:b/>
          <w:color w:val="auto"/>
          <w:szCs w:val="21"/>
          <w:highlight w:val="none"/>
        </w:rPr>
        <w:t>一、招标项目一览表</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tbl>
      <w:tblPr>
        <w:tblStyle w:val="58"/>
        <w:tblW w:w="9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871"/>
        <w:gridCol w:w="1020"/>
        <w:gridCol w:w="1474"/>
        <w:gridCol w:w="1175"/>
        <w:gridCol w:w="3360"/>
      </w:tblGrid>
      <w:tr w14:paraId="6880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67" w:type="dxa"/>
            <w:vAlign w:val="center"/>
          </w:tcPr>
          <w:p w14:paraId="34992DD8">
            <w:pPr>
              <w:jc w:val="center"/>
              <w:rPr>
                <w:rFonts w:ascii="方正仿宋_GBK" w:hAnsi="宋体" w:eastAsia="方正仿宋_GBK"/>
                <w:b/>
                <w:color w:val="auto"/>
                <w:sz w:val="24"/>
                <w:szCs w:val="24"/>
                <w:highlight w:val="none"/>
              </w:rPr>
            </w:pPr>
            <w:r>
              <w:rPr>
                <w:rFonts w:hint="eastAsia" w:ascii="方正仿宋_GBK" w:hAnsi="宋体" w:eastAsia="方正仿宋_GBK"/>
                <w:b/>
                <w:color w:val="auto"/>
                <w:sz w:val="24"/>
                <w:szCs w:val="24"/>
                <w:highlight w:val="none"/>
              </w:rPr>
              <w:t>序号</w:t>
            </w:r>
          </w:p>
        </w:tc>
        <w:tc>
          <w:tcPr>
            <w:tcW w:w="1871" w:type="dxa"/>
            <w:vAlign w:val="center"/>
          </w:tcPr>
          <w:p w14:paraId="32010362">
            <w:pPr>
              <w:jc w:val="center"/>
              <w:rPr>
                <w:rFonts w:ascii="方正仿宋_GBK" w:hAnsi="宋体" w:eastAsia="方正仿宋_GBK"/>
                <w:b/>
                <w:color w:val="auto"/>
                <w:sz w:val="24"/>
                <w:szCs w:val="24"/>
                <w:highlight w:val="none"/>
              </w:rPr>
            </w:pPr>
            <w:r>
              <w:rPr>
                <w:rFonts w:hint="eastAsia" w:ascii="方正仿宋_GBK" w:hAnsi="宋体" w:eastAsia="方正仿宋_GBK"/>
                <w:b/>
                <w:color w:val="auto"/>
                <w:sz w:val="24"/>
                <w:szCs w:val="24"/>
                <w:highlight w:val="none"/>
              </w:rPr>
              <w:t>标的名称</w:t>
            </w:r>
          </w:p>
        </w:tc>
        <w:tc>
          <w:tcPr>
            <w:tcW w:w="1020" w:type="dxa"/>
            <w:shd w:val="clear" w:color="auto" w:fill="auto"/>
            <w:vAlign w:val="center"/>
          </w:tcPr>
          <w:p w14:paraId="49BD05D9">
            <w:pPr>
              <w:jc w:val="center"/>
              <w:rPr>
                <w:rFonts w:hint="eastAsia" w:ascii="方正仿宋_GBK" w:hAnsi="宋体" w:eastAsia="方正仿宋_GBK" w:cs="Times New Roman"/>
                <w:b/>
                <w:color w:val="auto"/>
                <w:kern w:val="2"/>
                <w:sz w:val="24"/>
                <w:szCs w:val="24"/>
                <w:highlight w:val="none"/>
                <w:lang w:val="en-US" w:eastAsia="zh-CN" w:bidi="ar-SA"/>
              </w:rPr>
            </w:pPr>
            <w:r>
              <w:rPr>
                <w:rFonts w:hint="eastAsia" w:ascii="方正仿宋_GBK" w:hAnsi="宋体" w:eastAsia="方正仿宋_GBK" w:cs="Times New Roman"/>
                <w:b/>
                <w:color w:val="auto"/>
                <w:kern w:val="2"/>
                <w:sz w:val="24"/>
                <w:szCs w:val="24"/>
                <w:highlight w:val="none"/>
                <w:lang w:val="en-US" w:eastAsia="zh-CN" w:bidi="ar-SA"/>
              </w:rPr>
              <w:t>数量</w:t>
            </w:r>
          </w:p>
          <w:p w14:paraId="2A090329">
            <w:pPr>
              <w:jc w:val="center"/>
              <w:rPr>
                <w:rFonts w:hint="eastAsia" w:ascii="方正仿宋_GBK" w:hAnsi="宋体" w:eastAsia="方正仿宋_GBK" w:cs="Times New Roman"/>
                <w:b/>
                <w:color w:val="auto"/>
                <w:kern w:val="2"/>
                <w:sz w:val="24"/>
                <w:szCs w:val="24"/>
                <w:highlight w:val="none"/>
                <w:lang w:val="en-US" w:eastAsia="zh-CN" w:bidi="ar-SA"/>
              </w:rPr>
            </w:pPr>
            <w:r>
              <w:rPr>
                <w:rFonts w:hint="eastAsia" w:ascii="方正仿宋_GBK" w:hAnsi="宋体" w:eastAsia="方正仿宋_GBK" w:cs="Times New Roman"/>
                <w:b/>
                <w:color w:val="auto"/>
                <w:kern w:val="2"/>
                <w:sz w:val="24"/>
                <w:szCs w:val="24"/>
                <w:highlight w:val="none"/>
                <w:lang w:val="en-US" w:eastAsia="zh-CN" w:bidi="ar-SA"/>
              </w:rPr>
              <w:t>（套）</w:t>
            </w:r>
          </w:p>
        </w:tc>
        <w:tc>
          <w:tcPr>
            <w:tcW w:w="1474" w:type="dxa"/>
            <w:vAlign w:val="center"/>
          </w:tcPr>
          <w:p w14:paraId="3AE0D65B">
            <w:pPr>
              <w:jc w:val="center"/>
              <w:rPr>
                <w:rFonts w:hint="eastAsia" w:ascii="方正仿宋_GBK" w:hAnsi="宋体" w:eastAsia="方正仿宋_GBK"/>
                <w:b/>
                <w:color w:val="auto"/>
                <w:sz w:val="24"/>
                <w:szCs w:val="24"/>
                <w:highlight w:val="none"/>
              </w:rPr>
            </w:pPr>
            <w:r>
              <w:rPr>
                <w:rFonts w:hint="eastAsia" w:ascii="方正仿宋_GBK" w:hAnsi="宋体" w:eastAsia="方正仿宋_GBK"/>
                <w:b/>
                <w:color w:val="auto"/>
                <w:sz w:val="24"/>
                <w:szCs w:val="24"/>
                <w:highlight w:val="none"/>
              </w:rPr>
              <w:t>单项最高限价（元</w:t>
            </w:r>
            <w:r>
              <w:rPr>
                <w:rFonts w:hint="eastAsia" w:ascii="方正仿宋_GBK" w:hAnsi="宋体" w:eastAsia="方正仿宋_GBK"/>
                <w:b/>
                <w:color w:val="auto"/>
                <w:sz w:val="24"/>
                <w:szCs w:val="24"/>
                <w:highlight w:val="none"/>
                <w:lang w:val="en-US" w:eastAsia="zh-CN"/>
              </w:rPr>
              <w:t>/套</w:t>
            </w:r>
            <w:r>
              <w:rPr>
                <w:rFonts w:hint="eastAsia" w:ascii="方正仿宋_GBK" w:hAnsi="宋体" w:eastAsia="方正仿宋_GBK"/>
                <w:b/>
                <w:color w:val="auto"/>
                <w:sz w:val="24"/>
                <w:szCs w:val="24"/>
                <w:highlight w:val="none"/>
              </w:rPr>
              <w:t>）</w:t>
            </w:r>
          </w:p>
        </w:tc>
        <w:tc>
          <w:tcPr>
            <w:tcW w:w="1175" w:type="dxa"/>
            <w:vAlign w:val="center"/>
          </w:tcPr>
          <w:p w14:paraId="65621662">
            <w:pPr>
              <w:jc w:val="center"/>
              <w:rPr>
                <w:rFonts w:hint="eastAsia" w:ascii="方正仿宋_GBK" w:hAnsi="宋体" w:eastAsia="方正仿宋_GBK"/>
                <w:b/>
                <w:color w:val="auto"/>
                <w:sz w:val="24"/>
                <w:szCs w:val="24"/>
                <w:highlight w:val="none"/>
              </w:rPr>
            </w:pPr>
            <w:r>
              <w:rPr>
                <w:rFonts w:hint="eastAsia" w:ascii="方正仿宋_GBK" w:hAnsi="宋体" w:eastAsia="方正仿宋_GBK"/>
                <w:b/>
                <w:color w:val="auto"/>
                <w:sz w:val="24"/>
                <w:szCs w:val="24"/>
                <w:highlight w:val="none"/>
              </w:rPr>
              <w:t>总限价</w:t>
            </w:r>
          </w:p>
          <w:p w14:paraId="0CF8BAF5">
            <w:pPr>
              <w:jc w:val="center"/>
              <w:rPr>
                <w:rFonts w:ascii="方正仿宋_GBK" w:hAnsi="宋体" w:eastAsia="方正仿宋_GBK"/>
                <w:b/>
                <w:color w:val="auto"/>
                <w:sz w:val="24"/>
                <w:szCs w:val="24"/>
                <w:highlight w:val="none"/>
              </w:rPr>
            </w:pPr>
            <w:r>
              <w:rPr>
                <w:rFonts w:hint="eastAsia" w:ascii="方正仿宋_GBK" w:hAnsi="宋体" w:eastAsia="方正仿宋_GBK"/>
                <w:b/>
                <w:color w:val="auto"/>
                <w:sz w:val="24"/>
                <w:szCs w:val="24"/>
                <w:highlight w:val="none"/>
              </w:rPr>
              <w:t>（</w:t>
            </w:r>
            <w:r>
              <w:rPr>
                <w:rFonts w:hint="eastAsia" w:ascii="方正仿宋_GBK" w:hAnsi="宋体" w:eastAsia="方正仿宋_GBK"/>
                <w:b/>
                <w:color w:val="auto"/>
                <w:sz w:val="24"/>
                <w:szCs w:val="24"/>
                <w:highlight w:val="none"/>
                <w:lang w:eastAsia="zh-CN"/>
              </w:rPr>
              <w:t>万</w:t>
            </w:r>
            <w:r>
              <w:rPr>
                <w:rFonts w:hint="eastAsia" w:ascii="方正仿宋_GBK" w:hAnsi="宋体" w:eastAsia="方正仿宋_GBK"/>
                <w:b/>
                <w:color w:val="auto"/>
                <w:sz w:val="24"/>
                <w:szCs w:val="24"/>
                <w:highlight w:val="none"/>
              </w:rPr>
              <w:t>元）</w:t>
            </w:r>
          </w:p>
        </w:tc>
        <w:tc>
          <w:tcPr>
            <w:tcW w:w="3360" w:type="dxa"/>
            <w:vAlign w:val="center"/>
          </w:tcPr>
          <w:p w14:paraId="07156BF5">
            <w:pPr>
              <w:jc w:val="center"/>
              <w:rPr>
                <w:rFonts w:ascii="方正仿宋_GBK" w:hAnsi="宋体" w:eastAsia="方正仿宋_GBK"/>
                <w:b/>
                <w:color w:val="auto"/>
                <w:sz w:val="24"/>
                <w:szCs w:val="24"/>
                <w:highlight w:val="none"/>
              </w:rPr>
            </w:pPr>
            <w:r>
              <w:rPr>
                <w:rFonts w:hint="eastAsia" w:ascii="方正仿宋_GBK" w:hAnsi="宋体" w:eastAsia="方正仿宋_GBK"/>
                <w:b/>
                <w:color w:val="auto"/>
                <w:sz w:val="24"/>
                <w:szCs w:val="24"/>
                <w:highlight w:val="none"/>
              </w:rPr>
              <w:t>备注</w:t>
            </w:r>
          </w:p>
        </w:tc>
      </w:tr>
      <w:tr w14:paraId="6547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567" w:type="dxa"/>
            <w:shd w:val="clear" w:color="auto" w:fill="auto"/>
            <w:vAlign w:val="center"/>
          </w:tcPr>
          <w:p w14:paraId="2CF2A73A">
            <w:pPr>
              <w:pStyle w:val="2"/>
              <w:jc w:val="center"/>
              <w:rPr>
                <w:rFonts w:hint="eastAsia"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rPr>
              <w:t>1</w:t>
            </w:r>
          </w:p>
        </w:tc>
        <w:tc>
          <w:tcPr>
            <w:tcW w:w="1871" w:type="dxa"/>
            <w:shd w:val="clear" w:color="auto" w:fill="auto"/>
            <w:vAlign w:val="center"/>
          </w:tcPr>
          <w:p w14:paraId="7DAE5169">
            <w:pPr>
              <w:pStyle w:val="2"/>
              <w:jc w:val="center"/>
              <w:rPr>
                <w:rFonts w:hint="eastAsia"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lang w:val="en-US" w:eastAsia="zh-CN"/>
              </w:rPr>
              <w:t>全景</w:t>
            </w:r>
            <w:r>
              <w:rPr>
                <w:rFonts w:hint="eastAsia" w:ascii="方正仿宋_GBK" w:hAnsi="宋体" w:eastAsia="方正仿宋_GBK" w:cs="Times New Roman"/>
                <w:color w:val="auto"/>
                <w:sz w:val="24"/>
                <w:szCs w:val="24"/>
                <w:highlight w:val="none"/>
              </w:rPr>
              <w:t>感知设备</w:t>
            </w:r>
          </w:p>
        </w:tc>
        <w:tc>
          <w:tcPr>
            <w:tcW w:w="1020" w:type="dxa"/>
            <w:shd w:val="clear" w:color="auto" w:fill="auto"/>
            <w:vAlign w:val="center"/>
          </w:tcPr>
          <w:p w14:paraId="5C20F3B4">
            <w:pPr>
              <w:pStyle w:val="2"/>
              <w:jc w:val="center"/>
              <w:rPr>
                <w:rFonts w:hint="default" w:ascii="方正仿宋_GBK" w:hAnsi="宋体" w:eastAsia="方正仿宋_GBK" w:cs="Times New Roman"/>
                <w:color w:val="auto"/>
                <w:sz w:val="24"/>
                <w:szCs w:val="24"/>
                <w:highlight w:val="none"/>
                <w:lang w:val="en-US" w:eastAsia="zh-CN"/>
              </w:rPr>
            </w:pPr>
            <w:r>
              <w:rPr>
                <w:rFonts w:hint="default" w:ascii="方正仿宋_GBK" w:hAnsi="宋体" w:eastAsia="方正仿宋_GBK" w:cs="Times New Roman"/>
                <w:color w:val="auto"/>
                <w:sz w:val="24"/>
                <w:szCs w:val="24"/>
                <w:highlight w:val="none"/>
                <w:lang w:val="en-US" w:eastAsia="zh-CN"/>
              </w:rPr>
              <w:t>300</w:t>
            </w:r>
          </w:p>
        </w:tc>
        <w:tc>
          <w:tcPr>
            <w:tcW w:w="1474" w:type="dxa"/>
            <w:shd w:val="clear" w:color="auto" w:fill="auto"/>
            <w:vAlign w:val="center"/>
          </w:tcPr>
          <w:p w14:paraId="4C11EED3">
            <w:pPr>
              <w:pStyle w:val="2"/>
              <w:jc w:val="center"/>
              <w:rPr>
                <w:rFonts w:hint="default"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lang w:val="en-US" w:eastAsia="zh-CN"/>
              </w:rPr>
              <w:t>35000</w:t>
            </w:r>
          </w:p>
        </w:tc>
        <w:tc>
          <w:tcPr>
            <w:tcW w:w="1175" w:type="dxa"/>
            <w:shd w:val="clear" w:color="auto" w:fill="auto"/>
            <w:vAlign w:val="center"/>
          </w:tcPr>
          <w:p w14:paraId="05167F81">
            <w:pPr>
              <w:pStyle w:val="2"/>
              <w:jc w:val="center"/>
              <w:rPr>
                <w:rFonts w:hint="eastAsia"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lang w:val="en-US" w:eastAsia="zh-CN"/>
              </w:rPr>
              <w:t>1050</w:t>
            </w:r>
          </w:p>
        </w:tc>
        <w:tc>
          <w:tcPr>
            <w:tcW w:w="3360" w:type="dxa"/>
            <w:vMerge w:val="restart"/>
            <w:vAlign w:val="center"/>
          </w:tcPr>
          <w:p w14:paraId="0091FD19">
            <w:pPr>
              <w:rPr>
                <w:rFonts w:hint="eastAsia" w:ascii="方正仿宋_GBK" w:hAnsi="宋体" w:eastAsia="方正仿宋_GBK"/>
                <w:color w:val="auto"/>
                <w:spacing w:val="-11"/>
                <w:kern w:val="0"/>
                <w:sz w:val="24"/>
                <w:szCs w:val="24"/>
                <w:highlight w:val="none"/>
                <w:lang w:val="en-US" w:eastAsia="zh-CN"/>
              </w:rPr>
            </w:pPr>
            <w:r>
              <w:rPr>
                <w:rFonts w:hint="eastAsia" w:ascii="方正仿宋_GBK" w:hAnsi="宋体" w:eastAsia="方正仿宋_GBK"/>
                <w:color w:val="auto"/>
                <w:spacing w:val="-11"/>
                <w:kern w:val="0"/>
                <w:sz w:val="24"/>
                <w:szCs w:val="24"/>
                <w:highlight w:val="none"/>
                <w:lang w:val="en-US" w:eastAsia="zh-CN"/>
              </w:rPr>
              <w:t>1.序号1的全景感知设备和序号2的特写感知设备为核心产品。</w:t>
            </w:r>
          </w:p>
          <w:p w14:paraId="19ADB0A4">
            <w:pPr>
              <w:rPr>
                <w:rFonts w:hint="eastAsia" w:ascii="方正仿宋_GBK" w:hAnsi="宋体" w:eastAsia="方正仿宋_GBK"/>
                <w:color w:val="auto"/>
                <w:spacing w:val="-11"/>
                <w:kern w:val="0"/>
                <w:sz w:val="24"/>
                <w:szCs w:val="24"/>
                <w:highlight w:val="none"/>
                <w:lang w:val="en-US" w:eastAsia="zh-CN"/>
              </w:rPr>
            </w:pPr>
            <w:r>
              <w:rPr>
                <w:rFonts w:hint="eastAsia" w:ascii="方正仿宋_GBK" w:hAnsi="宋体" w:eastAsia="方正仿宋_GBK"/>
                <w:color w:val="auto"/>
                <w:spacing w:val="-11"/>
                <w:kern w:val="0"/>
                <w:sz w:val="24"/>
                <w:szCs w:val="24"/>
                <w:highlight w:val="none"/>
                <w:lang w:val="en-US" w:eastAsia="zh-CN"/>
              </w:rPr>
              <w:t>2.投标产品必须为中国关境内生产，若为进口产品将按无效投标处理。</w:t>
            </w:r>
          </w:p>
          <w:p w14:paraId="77829C2D">
            <w:pPr>
              <w:rPr>
                <w:rFonts w:ascii="方正仿宋_GBK" w:hAnsi="宋体" w:eastAsia="方正仿宋_GBK"/>
                <w:color w:val="auto"/>
                <w:sz w:val="24"/>
                <w:szCs w:val="24"/>
                <w:highlight w:val="none"/>
              </w:rPr>
            </w:pPr>
            <w:r>
              <w:rPr>
                <w:rFonts w:hint="eastAsia" w:ascii="方正仿宋_GBK" w:hAnsi="宋体" w:eastAsia="方正仿宋_GBK"/>
                <w:color w:val="auto"/>
                <w:spacing w:val="-11"/>
                <w:kern w:val="0"/>
                <w:sz w:val="24"/>
                <w:szCs w:val="24"/>
                <w:highlight w:val="none"/>
                <w:lang w:val="en-US" w:eastAsia="zh-CN"/>
              </w:rPr>
              <w:t>3.“中小企业声明函”中所涉及的标的名称及其对应的所属行业需按照本表和第一篇第一条“招标项目内容”进行填写。</w:t>
            </w:r>
          </w:p>
        </w:tc>
      </w:tr>
      <w:tr w14:paraId="15A31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7" w:type="dxa"/>
            <w:shd w:val="clear" w:color="auto" w:fill="auto"/>
            <w:vAlign w:val="center"/>
          </w:tcPr>
          <w:p w14:paraId="4215C5DC">
            <w:pPr>
              <w:pStyle w:val="2"/>
              <w:jc w:val="center"/>
              <w:rPr>
                <w:rFonts w:hint="eastAsia"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rPr>
              <w:t>2</w:t>
            </w:r>
          </w:p>
        </w:tc>
        <w:tc>
          <w:tcPr>
            <w:tcW w:w="1871" w:type="dxa"/>
            <w:shd w:val="clear" w:color="auto" w:fill="auto"/>
            <w:vAlign w:val="center"/>
          </w:tcPr>
          <w:p w14:paraId="338E2966">
            <w:pPr>
              <w:pStyle w:val="2"/>
              <w:jc w:val="center"/>
              <w:rPr>
                <w:rFonts w:hint="eastAsia"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lang w:val="en-US" w:eastAsia="zh-CN"/>
              </w:rPr>
              <w:t>特写</w:t>
            </w:r>
            <w:r>
              <w:rPr>
                <w:rFonts w:hint="eastAsia" w:ascii="方正仿宋_GBK" w:hAnsi="宋体" w:eastAsia="方正仿宋_GBK" w:cs="Times New Roman"/>
                <w:color w:val="auto"/>
                <w:sz w:val="24"/>
                <w:szCs w:val="24"/>
                <w:highlight w:val="none"/>
              </w:rPr>
              <w:t>感知设备</w:t>
            </w:r>
          </w:p>
        </w:tc>
        <w:tc>
          <w:tcPr>
            <w:tcW w:w="1020" w:type="dxa"/>
            <w:shd w:val="clear" w:color="auto" w:fill="auto"/>
            <w:vAlign w:val="center"/>
          </w:tcPr>
          <w:p w14:paraId="5F22C5BE">
            <w:pPr>
              <w:pStyle w:val="2"/>
              <w:jc w:val="center"/>
              <w:rPr>
                <w:rFonts w:hint="default" w:ascii="方正仿宋_GBK" w:hAnsi="宋体" w:eastAsia="方正仿宋_GBK" w:cs="Times New Roman"/>
                <w:color w:val="auto"/>
                <w:sz w:val="24"/>
                <w:szCs w:val="24"/>
                <w:highlight w:val="none"/>
                <w:lang w:val="en-US" w:eastAsia="zh-CN"/>
              </w:rPr>
            </w:pPr>
            <w:r>
              <w:rPr>
                <w:rFonts w:hint="default" w:ascii="方正仿宋_GBK" w:hAnsi="宋体" w:eastAsia="方正仿宋_GBK" w:cs="Times New Roman"/>
                <w:color w:val="auto"/>
                <w:sz w:val="24"/>
                <w:szCs w:val="24"/>
                <w:highlight w:val="none"/>
                <w:lang w:val="en-US" w:eastAsia="zh-CN"/>
              </w:rPr>
              <w:t>300</w:t>
            </w:r>
          </w:p>
        </w:tc>
        <w:tc>
          <w:tcPr>
            <w:tcW w:w="1474" w:type="dxa"/>
            <w:shd w:val="clear" w:color="auto" w:fill="auto"/>
            <w:vAlign w:val="center"/>
          </w:tcPr>
          <w:p w14:paraId="09C95DE3">
            <w:pPr>
              <w:pStyle w:val="2"/>
              <w:jc w:val="center"/>
              <w:rPr>
                <w:rFonts w:hint="default"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lang w:val="en-US" w:eastAsia="zh-CN"/>
              </w:rPr>
              <w:t>25000</w:t>
            </w:r>
          </w:p>
        </w:tc>
        <w:tc>
          <w:tcPr>
            <w:tcW w:w="1175" w:type="dxa"/>
            <w:shd w:val="clear" w:color="auto" w:fill="auto"/>
            <w:vAlign w:val="center"/>
          </w:tcPr>
          <w:p w14:paraId="325F21E2">
            <w:pPr>
              <w:pStyle w:val="2"/>
              <w:jc w:val="center"/>
              <w:rPr>
                <w:rFonts w:hint="eastAsia"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lang w:val="en-US" w:eastAsia="zh-CN"/>
              </w:rPr>
              <w:t>750</w:t>
            </w:r>
          </w:p>
        </w:tc>
        <w:tc>
          <w:tcPr>
            <w:tcW w:w="3360" w:type="dxa"/>
            <w:vMerge w:val="continue"/>
            <w:vAlign w:val="center"/>
          </w:tcPr>
          <w:p w14:paraId="2A4DC07B">
            <w:pPr>
              <w:rPr>
                <w:rFonts w:ascii="方正仿宋_GBK" w:hAnsi="宋体" w:eastAsia="方正仿宋_GBK"/>
                <w:color w:val="auto"/>
                <w:sz w:val="24"/>
                <w:szCs w:val="24"/>
                <w:highlight w:val="none"/>
              </w:rPr>
            </w:pPr>
          </w:p>
        </w:tc>
      </w:tr>
    </w:tbl>
    <w:p w14:paraId="46853F24">
      <w:pPr>
        <w:spacing w:before="120" w:beforeLines="50" w:line="400" w:lineRule="exact"/>
        <w:ind w:firstLine="480" w:firstLineChars="200"/>
        <w:rPr>
          <w:rFonts w:ascii="方正仿宋_GBK" w:hAnsi="宋体" w:eastAsia="方正仿宋_GBK"/>
          <w:color w:val="auto"/>
          <w:sz w:val="24"/>
          <w:szCs w:val="24"/>
          <w:highlight w:val="none"/>
        </w:rPr>
      </w:pPr>
      <w:bookmarkStart w:id="178" w:name="_Toc28205"/>
      <w:bookmarkStart w:id="179" w:name="_Toc32262"/>
      <w:bookmarkStart w:id="180" w:name="_Toc7792"/>
      <w:bookmarkStart w:id="181" w:name="_Toc23975"/>
      <w:bookmarkStart w:id="182" w:name="_Toc15696"/>
      <w:bookmarkStart w:id="183" w:name="_Toc18800"/>
      <w:bookmarkStart w:id="184" w:name="_Toc75793506"/>
      <w:bookmarkStart w:id="185" w:name="_Toc5751"/>
      <w:bookmarkStart w:id="186" w:name="_Toc10143"/>
      <w:bookmarkStart w:id="187" w:name="_Toc18903"/>
      <w:bookmarkStart w:id="188" w:name="_Toc21817"/>
      <w:bookmarkStart w:id="189" w:name="_Toc26453"/>
      <w:bookmarkStart w:id="190" w:name="_Toc12568"/>
      <w:bookmarkStart w:id="191" w:name="_Toc27067"/>
      <w:bookmarkStart w:id="192" w:name="_Toc695"/>
      <w:r>
        <w:rPr>
          <w:rFonts w:hint="eastAsia" w:ascii="方正仿宋_GBK" w:hAnsi="宋体" w:eastAsia="方正仿宋_GBK"/>
          <w:color w:val="auto"/>
          <w:sz w:val="24"/>
          <w:szCs w:val="24"/>
          <w:highlight w:val="none"/>
        </w:rPr>
        <w:t>注：1.本表可不在《技术（质量）条款差异表》中进行填报。</w:t>
      </w:r>
    </w:p>
    <w:p w14:paraId="7D0A6982">
      <w:pPr>
        <w:spacing w:before="120" w:beforeLines="50" w:line="400" w:lineRule="exact"/>
        <w:ind w:firstLine="960" w:firstLineChars="4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2.中小企业制造的货物需在《中小企业声明函》进行填报。</w:t>
      </w:r>
    </w:p>
    <w:p w14:paraId="30999A6F">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193" w:name="_Toc10382"/>
      <w:r>
        <w:rPr>
          <w:rFonts w:hint="eastAsia" w:ascii="方正仿宋_GBK" w:eastAsia="方正仿宋_GBK"/>
          <w:b/>
          <w:color w:val="auto"/>
          <w:szCs w:val="21"/>
          <w:highlight w:val="none"/>
        </w:rPr>
        <w:t>二、招标项目技术需求</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584E8011">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6"/>
          <w:sz w:val="22"/>
          <w:szCs w:val="22"/>
          <w:highlight w:val="none"/>
          <w:u w:val="none"/>
        </w:rPr>
      </w:pPr>
      <w:r>
        <w:rPr>
          <w:rFonts w:hint="eastAsia" w:ascii="方正仿宋_GBK" w:hAnsi="宋体" w:eastAsia="方正仿宋_GBK"/>
          <w:color w:val="auto"/>
          <w:sz w:val="24"/>
          <w:szCs w:val="24"/>
          <w:highlight w:val="none"/>
        </w:rPr>
        <w:t>说明：</w:t>
      </w:r>
    </w:p>
    <w:p w14:paraId="41ACC5BF">
      <w:pPr>
        <w:spacing w:line="400" w:lineRule="exact"/>
        <w:ind w:firstLine="480" w:firstLineChars="200"/>
        <w:rPr>
          <w:rFonts w:ascii="方正仿宋_GBK" w:hAnsi="宋体" w:eastAsia="方正仿宋_GBK"/>
          <w:color w:val="auto"/>
          <w:sz w:val="24"/>
          <w:szCs w:val="28"/>
          <w:highlight w:val="none"/>
        </w:rPr>
      </w:pPr>
      <w:r>
        <w:rPr>
          <w:rFonts w:hint="eastAsia" w:ascii="方正仿宋_GBK" w:hAnsi="宋体" w:eastAsia="方正仿宋_GBK"/>
          <w:color w:val="auto"/>
          <w:sz w:val="24"/>
          <w:szCs w:val="24"/>
          <w:highlight w:val="none"/>
        </w:rPr>
        <w:t>1.“</w:t>
      </w: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w:t>
      </w:r>
      <w:r>
        <w:rPr>
          <w:rFonts w:hint="eastAsia" w:ascii="方正仿宋_GBK" w:hAnsi="宋体" w:eastAsia="方正仿宋_GBK"/>
          <w:color w:val="auto"/>
          <w:sz w:val="24"/>
          <w:szCs w:val="24"/>
          <w:highlight w:val="none"/>
        </w:rPr>
        <w:t>”标</w:t>
      </w:r>
      <w:r>
        <w:rPr>
          <w:rFonts w:hint="eastAsia" w:ascii="方正仿宋_GBK" w:hAnsi="宋体" w:eastAsia="方正仿宋_GBK"/>
          <w:color w:val="auto"/>
          <w:sz w:val="24"/>
          <w:szCs w:val="28"/>
          <w:highlight w:val="none"/>
        </w:rPr>
        <w:t>注的技术需求为符合性审查中的实质性要求，若不满足按无效投标处理。</w:t>
      </w:r>
    </w:p>
    <w:p w14:paraId="63B69C6A">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w:t>
      </w: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w:t>
      </w:r>
      <w:r>
        <w:rPr>
          <w:rFonts w:hint="eastAsia" w:ascii="方正仿宋_GBK" w:hAnsi="宋体" w:eastAsia="方正仿宋_GBK"/>
          <w:color w:val="auto"/>
          <w:sz w:val="24"/>
          <w:szCs w:val="24"/>
          <w:highlight w:val="none"/>
        </w:rPr>
        <w:t>”标注的技术需求为重要技术需求，若不满足将按照评标因素中相关规定处理。</w:t>
      </w:r>
    </w:p>
    <w:p w14:paraId="41D39442">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w:t>
      </w: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w:t>
      </w:r>
      <w:r>
        <w:rPr>
          <w:rFonts w:hint="eastAsia" w:ascii="方正仿宋_GBK" w:hAnsi="宋体" w:eastAsia="方正仿宋_GBK"/>
          <w:color w:val="auto"/>
          <w:sz w:val="24"/>
          <w:szCs w:val="24"/>
          <w:highlight w:val="none"/>
        </w:rPr>
        <w:t>”标注的技术需求为一般技术需求，若不满足将按照评标因素中相关规定处理。</w:t>
      </w:r>
    </w:p>
    <w:p w14:paraId="4AA01CE0">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以下产品的技术参数须提供：</w:t>
      </w:r>
    </w:p>
    <w:p w14:paraId="65634B8D">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（1）具有检验检测资质的第三方检验检测机构出具的合法检验检测（或测试）报告复印件；</w:t>
      </w:r>
    </w:p>
    <w:p w14:paraId="137373CC">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（2）附投标人公章的技术资料（包含但不限于产品技术白皮书、技术规格书、宣传样册资料、产品说明书等）；</w:t>
      </w:r>
    </w:p>
    <w:p w14:paraId="0AF31AEA">
      <w:pPr>
        <w:spacing w:line="400" w:lineRule="exact"/>
        <w:ind w:firstLine="480" w:firstLineChars="200"/>
        <w:rPr>
          <w:rFonts w:hint="eastAsia" w:ascii="方正仿宋_GBK" w:hAnsi="宋体" w:eastAsia="方正仿宋_GBK"/>
          <w:color w:val="auto"/>
          <w:sz w:val="24"/>
          <w:szCs w:val="24"/>
          <w:highlight w:val="none"/>
          <w:lang w:eastAsia="zh-CN"/>
        </w:rPr>
      </w:pPr>
      <w:r>
        <w:rPr>
          <w:rFonts w:hint="eastAsia" w:ascii="方正仿宋_GBK" w:hAnsi="宋体" w:eastAsia="方正仿宋_GBK"/>
          <w:color w:val="auto"/>
          <w:sz w:val="24"/>
          <w:szCs w:val="24"/>
          <w:highlight w:val="none"/>
        </w:rPr>
        <w:t>（3）制造商官方网站截图（附官方网站网址，并加盖投标人公章）</w:t>
      </w:r>
      <w:r>
        <w:rPr>
          <w:rFonts w:hint="eastAsia" w:ascii="方正仿宋_GBK" w:hAnsi="宋体" w:eastAsia="方正仿宋_GBK"/>
          <w:color w:val="auto"/>
          <w:sz w:val="24"/>
          <w:szCs w:val="24"/>
          <w:highlight w:val="none"/>
          <w:lang w:eastAsia="zh-CN"/>
        </w:rPr>
        <w:t>。</w:t>
      </w:r>
    </w:p>
    <w:p w14:paraId="0C449BFC">
      <w:pPr>
        <w:spacing w:line="400" w:lineRule="exact"/>
        <w:ind w:firstLine="482" w:firstLineChars="200"/>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注：</w:t>
      </w:r>
    </w:p>
    <w:p w14:paraId="0A3F30A7">
      <w:pPr>
        <w:spacing w:line="400" w:lineRule="exact"/>
        <w:ind w:firstLine="482" w:firstLineChars="200"/>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1.投标人可通过提供以上任意一项证明材料或组合多项证明材料的方式以证明其所提供产品满足对应的技术参数要求；未提供或提供的证明材料不全均视为不满足所对应条款要求。</w:t>
      </w:r>
    </w:p>
    <w:p w14:paraId="28ECB6F2">
      <w:pPr>
        <w:spacing w:line="400" w:lineRule="exact"/>
        <w:ind w:firstLine="482" w:firstLineChars="200"/>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2.国家或行业主管部门对采购货物的技术标准、质量标准和资格资质条件等有强制性规定的，必须符合其要求。如涉及3C认证货物的3C认证证书在投标文件中需向采购人提供加盖投标人公章的3C证书复印件。</w:t>
      </w:r>
    </w:p>
    <w:p w14:paraId="41474D82">
      <w:pPr>
        <w:spacing w:line="400" w:lineRule="exact"/>
        <w:ind w:firstLine="482" w:firstLineChars="200"/>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3.招标文件关于技术参数证明材料另有规定的除外，投标人须按照招标文件规定提供相应的证明材料。</w:t>
      </w:r>
    </w:p>
    <w:p w14:paraId="0B4004B6">
      <w:pPr>
        <w:spacing w:line="400" w:lineRule="exact"/>
        <w:ind w:firstLine="482" w:firstLineChars="200"/>
        <w:outlineLvl w:val="2"/>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w:t>
      </w:r>
      <w:r>
        <w:rPr>
          <w:rFonts w:hint="eastAsia" w:ascii="方正仿宋_GBK" w:hAnsi="宋体" w:eastAsia="方正仿宋_GBK"/>
          <w:b/>
          <w:bCs/>
          <w:color w:val="auto"/>
          <w:sz w:val="24"/>
          <w:szCs w:val="24"/>
          <w:highlight w:val="none"/>
          <w:lang w:eastAsia="zh-CN"/>
        </w:rPr>
        <w:t>一</w:t>
      </w:r>
      <w:r>
        <w:rPr>
          <w:rFonts w:hint="eastAsia" w:ascii="方正仿宋_GBK" w:hAnsi="宋体" w:eastAsia="方正仿宋_GBK"/>
          <w:b/>
          <w:bCs/>
          <w:color w:val="auto"/>
          <w:sz w:val="24"/>
          <w:szCs w:val="24"/>
          <w:highlight w:val="none"/>
        </w:rPr>
        <w:t>）全景感知设备</w:t>
      </w:r>
    </w:p>
    <w:p w14:paraId="28350E56">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（设备搭载270°全景采集组件与可转动云台组件，能同时实现大范围区域的全景画面捕捉和局部特写感知）</w:t>
      </w:r>
    </w:p>
    <w:tbl>
      <w:tblPr>
        <w:tblStyle w:val="58"/>
        <w:tblW w:w="50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85" w:type="dxa"/>
          <w:bottom w:w="0" w:type="dxa"/>
          <w:right w:w="85" w:type="dxa"/>
        </w:tblCellMar>
      </w:tblPr>
      <w:tblGrid>
        <w:gridCol w:w="728"/>
        <w:gridCol w:w="1919"/>
        <w:gridCol w:w="4627"/>
        <w:gridCol w:w="2346"/>
      </w:tblGrid>
      <w:tr w14:paraId="34FA0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601" w:hRule="atLeast"/>
          <w:tblHeader/>
        </w:trPr>
        <w:tc>
          <w:tcPr>
            <w:tcW w:w="378" w:type="pct"/>
            <w:tcBorders>
              <w:top w:val="single" w:color="auto" w:sz="4" w:space="0"/>
              <w:left w:val="single" w:color="auto" w:sz="4" w:space="0"/>
              <w:right w:val="single" w:color="auto" w:sz="4" w:space="0"/>
            </w:tcBorders>
            <w:vAlign w:val="center"/>
          </w:tcPr>
          <w:p w14:paraId="2EB0532E">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b/>
                <w:bCs/>
                <w:color w:val="auto"/>
                <w:kern w:val="0"/>
                <w:sz w:val="24"/>
                <w:szCs w:val="24"/>
                <w:highlight w:val="none"/>
              </w:rPr>
            </w:pPr>
            <w:bookmarkStart w:id="194" w:name="OLE_LINK9" w:colFirst="0" w:colLast="1"/>
            <w:bookmarkStart w:id="195" w:name="OLE_LINK6"/>
            <w:r>
              <w:rPr>
                <w:rFonts w:hint="eastAsia" w:ascii="方正仿宋_GBK" w:hAnsi="方正仿宋_GBK" w:eastAsia="方正仿宋_GBK" w:cs="方正仿宋_GBK"/>
                <w:b/>
                <w:bCs/>
                <w:color w:val="auto"/>
                <w:kern w:val="0"/>
                <w:sz w:val="24"/>
                <w:szCs w:val="24"/>
                <w:highlight w:val="none"/>
                <w:lang w:val="en-US" w:eastAsia="zh-CN"/>
              </w:rPr>
              <w:t>序号</w:t>
            </w:r>
          </w:p>
        </w:tc>
        <w:tc>
          <w:tcPr>
            <w:tcW w:w="997" w:type="pct"/>
            <w:tcBorders>
              <w:top w:val="single" w:color="auto" w:sz="4" w:space="0"/>
              <w:left w:val="single" w:color="auto" w:sz="4" w:space="0"/>
              <w:right w:val="single" w:color="auto" w:sz="4" w:space="0"/>
            </w:tcBorders>
            <w:vAlign w:val="center"/>
          </w:tcPr>
          <w:p w14:paraId="73393ACB">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color w:val="auto"/>
                <w:kern w:val="0"/>
                <w:sz w:val="24"/>
                <w:szCs w:val="24"/>
                <w:highlight w:val="none"/>
                <w:lang w:val="en-US" w:eastAsia="zh-CN"/>
              </w:rPr>
              <w:t>指标名称</w:t>
            </w:r>
          </w:p>
        </w:tc>
        <w:tc>
          <w:tcPr>
            <w:tcW w:w="2404" w:type="pct"/>
            <w:tcBorders>
              <w:top w:val="single" w:color="auto" w:sz="4" w:space="0"/>
              <w:left w:val="single" w:color="auto" w:sz="4" w:space="0"/>
              <w:bottom w:val="single" w:color="auto" w:sz="4" w:space="0"/>
              <w:right w:val="single" w:color="auto" w:sz="4" w:space="0"/>
            </w:tcBorders>
            <w:vAlign w:val="center"/>
          </w:tcPr>
          <w:p w14:paraId="001B0EAB">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b/>
                <w:bCs/>
                <w:color w:val="auto"/>
                <w:kern w:val="0"/>
                <w:sz w:val="24"/>
                <w:szCs w:val="24"/>
                <w:highlight w:val="none"/>
                <w:lang w:val="en-US" w:eastAsia="zh-CN"/>
              </w:rPr>
            </w:pPr>
            <w:r>
              <w:rPr>
                <w:rFonts w:hint="eastAsia" w:ascii="方正仿宋_GBK" w:hAnsi="方正仿宋_GBK" w:eastAsia="方正仿宋_GBK" w:cs="方正仿宋_GBK"/>
                <w:b/>
                <w:bCs/>
                <w:color w:val="auto"/>
                <w:kern w:val="0"/>
                <w:sz w:val="24"/>
                <w:szCs w:val="24"/>
                <w:highlight w:val="none"/>
                <w:lang w:val="en-US" w:eastAsia="zh-CN"/>
              </w:rPr>
              <w:t>指标要求</w:t>
            </w:r>
          </w:p>
        </w:tc>
        <w:tc>
          <w:tcPr>
            <w:tcW w:w="1219" w:type="pct"/>
            <w:tcBorders>
              <w:top w:val="single" w:color="auto" w:sz="4" w:space="0"/>
              <w:left w:val="single" w:color="auto" w:sz="4" w:space="0"/>
              <w:right w:val="single" w:color="auto" w:sz="4" w:space="0"/>
            </w:tcBorders>
            <w:vAlign w:val="center"/>
          </w:tcPr>
          <w:p w14:paraId="4493D12D">
            <w:pPr>
              <w:keepNext w:val="0"/>
              <w:keepLines w:val="0"/>
              <w:pageBreakBefore w:val="0"/>
              <w:widowControl/>
              <w:kinsoku/>
              <w:wordWrap/>
              <w:overflowPunct/>
              <w:topLinePunct w:val="0"/>
              <w:autoSpaceDE/>
              <w:autoSpaceDN/>
              <w:bidi w:val="0"/>
              <w:adjustRightInd/>
              <w:snapToGrid/>
              <w:spacing w:line="400" w:lineRule="exact"/>
              <w:jc w:val="center"/>
              <w:rPr>
                <w:rFonts w:hint="eastAsia" w:ascii="方正仿宋_GBK" w:hAnsi="方正仿宋_GBK" w:eastAsia="方正仿宋_GBK" w:cs="方正仿宋_GBK"/>
                <w:b/>
                <w:bCs/>
                <w:color w:val="auto"/>
                <w:kern w:val="0"/>
                <w:sz w:val="24"/>
                <w:szCs w:val="24"/>
                <w:highlight w:val="none"/>
                <w:lang w:val="en-US" w:eastAsia="zh-CN"/>
              </w:rPr>
            </w:pPr>
            <w:r>
              <w:rPr>
                <w:rFonts w:hint="eastAsia" w:ascii="方正仿宋_GBK" w:hAnsi="方正仿宋_GBK" w:eastAsia="方正仿宋_GBK" w:cs="方正仿宋_GBK"/>
                <w:b/>
                <w:bCs/>
                <w:color w:val="auto"/>
                <w:kern w:val="0"/>
                <w:sz w:val="24"/>
                <w:szCs w:val="24"/>
                <w:highlight w:val="none"/>
                <w:lang w:val="en-US" w:eastAsia="zh-CN"/>
              </w:rPr>
              <w:t>备注</w:t>
            </w:r>
          </w:p>
        </w:tc>
      </w:tr>
      <w:bookmarkEnd w:id="194"/>
      <w:tr w14:paraId="1BBE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2F04FC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w:t>
            </w:r>
          </w:p>
        </w:tc>
        <w:tc>
          <w:tcPr>
            <w:tcW w:w="997" w:type="pct"/>
            <w:tcBorders>
              <w:top w:val="single" w:color="auto" w:sz="4" w:space="0"/>
              <w:left w:val="single" w:color="auto" w:sz="4" w:space="0"/>
              <w:bottom w:val="single" w:color="auto" w:sz="4" w:space="0"/>
              <w:right w:val="single" w:color="auto" w:sz="4" w:space="0"/>
            </w:tcBorders>
            <w:vAlign w:val="center"/>
          </w:tcPr>
          <w:p w14:paraId="625F1E9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※图像传感器</w:t>
            </w:r>
          </w:p>
        </w:tc>
        <w:tc>
          <w:tcPr>
            <w:tcW w:w="2404" w:type="pct"/>
            <w:tcBorders>
              <w:top w:val="single" w:color="auto" w:sz="4" w:space="0"/>
              <w:left w:val="single" w:color="auto" w:sz="4" w:space="0"/>
              <w:bottom w:val="single" w:color="auto" w:sz="4" w:space="0"/>
              <w:right w:val="single" w:color="auto" w:sz="4" w:space="0"/>
            </w:tcBorders>
            <w:vAlign w:val="center"/>
          </w:tcPr>
          <w:p w14:paraId="3DE7164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Style w:val="224"/>
                <w:rFonts w:hint="eastAsia" w:ascii="方正仿宋_GBK" w:hAnsi="方正仿宋_GBK" w:eastAsia="方正仿宋_GBK" w:cs="方正仿宋_GBK"/>
                <w:color w:val="auto"/>
                <w:sz w:val="24"/>
                <w:szCs w:val="24"/>
                <w:highlight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全景通道：不少于</w:t>
            </w:r>
            <w:r>
              <w:rPr>
                <w:rStyle w:val="223"/>
                <w:rFonts w:hint="eastAsia" w:ascii="方正仿宋_GBK" w:hAnsi="方正仿宋_GBK" w:eastAsia="方正仿宋_GBK" w:cs="方正仿宋_GBK"/>
                <w:color w:val="auto"/>
                <w:sz w:val="24"/>
                <w:szCs w:val="24"/>
                <w:highlight w:val="none"/>
                <w:lang w:val="en-US" w:eastAsia="zh-CN" w:bidi="ar"/>
              </w:rPr>
              <w:t>6</w:t>
            </w:r>
            <w:r>
              <w:rPr>
                <w:rStyle w:val="224"/>
                <w:rFonts w:hint="eastAsia" w:ascii="方正仿宋_GBK" w:hAnsi="方正仿宋_GBK" w:eastAsia="方正仿宋_GBK" w:cs="方正仿宋_GBK"/>
                <w:color w:val="auto"/>
                <w:sz w:val="24"/>
                <w:szCs w:val="24"/>
                <w:highlight w:val="none"/>
                <w:lang w:val="en-US" w:eastAsia="zh-CN" w:bidi="ar"/>
              </w:rPr>
              <w:t>个</w:t>
            </w:r>
            <w:r>
              <w:rPr>
                <w:rStyle w:val="223"/>
                <w:rFonts w:hint="eastAsia" w:ascii="方正仿宋_GBK" w:hAnsi="方正仿宋_GBK" w:eastAsia="方正仿宋_GBK" w:cs="方正仿宋_GBK"/>
                <w:color w:val="auto"/>
                <w:sz w:val="24"/>
                <w:szCs w:val="24"/>
                <w:highlight w:val="none"/>
                <w:lang w:val="en-US" w:eastAsia="zh-CN" w:bidi="ar"/>
              </w:rPr>
              <w:t>CMOS</w:t>
            </w:r>
            <w:r>
              <w:rPr>
                <w:rStyle w:val="224"/>
                <w:rFonts w:hint="eastAsia" w:ascii="方正仿宋_GBK" w:hAnsi="方正仿宋_GBK" w:eastAsia="方正仿宋_GBK" w:cs="方正仿宋_GBK"/>
                <w:color w:val="auto"/>
                <w:sz w:val="24"/>
                <w:szCs w:val="24"/>
                <w:highlight w:val="none"/>
                <w:lang w:val="en-US" w:eastAsia="zh-CN" w:bidi="ar"/>
              </w:rPr>
              <w:t>图像传感器，传感器靶面尺寸均为</w:t>
            </w:r>
            <w:r>
              <w:rPr>
                <w:rStyle w:val="223"/>
                <w:rFonts w:hint="eastAsia" w:ascii="方正仿宋_GBK" w:hAnsi="方正仿宋_GBK" w:eastAsia="方正仿宋_GBK" w:cs="方正仿宋_GBK"/>
                <w:color w:val="auto"/>
                <w:sz w:val="24"/>
                <w:szCs w:val="24"/>
                <w:highlight w:val="none"/>
                <w:lang w:val="en-US" w:eastAsia="zh-CN" w:bidi="ar"/>
              </w:rPr>
              <w:t>1/1.8"</w:t>
            </w:r>
          </w:p>
          <w:p w14:paraId="60CBE83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Style w:val="224"/>
                <w:rFonts w:hint="eastAsia" w:ascii="方正仿宋_GBK" w:hAnsi="方正仿宋_GBK" w:eastAsia="方正仿宋_GBK" w:cs="方正仿宋_GBK"/>
                <w:color w:val="auto"/>
                <w:sz w:val="24"/>
                <w:szCs w:val="24"/>
                <w:highlight w:val="none"/>
                <w:lang w:val="en-US" w:eastAsia="zh-CN" w:bidi="ar"/>
              </w:rPr>
              <w:t>细节通道：CMOS图像传感器，传感器靶面尺寸均为1/1.8"</w:t>
            </w:r>
          </w:p>
        </w:tc>
        <w:tc>
          <w:tcPr>
            <w:tcW w:w="1219" w:type="pct"/>
            <w:tcBorders>
              <w:top w:val="single" w:color="auto" w:sz="4" w:space="0"/>
              <w:left w:val="single" w:color="auto" w:sz="4" w:space="0"/>
              <w:bottom w:val="single" w:color="auto" w:sz="4" w:space="0"/>
              <w:right w:val="single" w:color="auto" w:sz="4" w:space="0"/>
            </w:tcBorders>
            <w:vAlign w:val="center"/>
          </w:tcPr>
          <w:p w14:paraId="61758CB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6762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777817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w:t>
            </w:r>
          </w:p>
        </w:tc>
        <w:tc>
          <w:tcPr>
            <w:tcW w:w="997" w:type="pct"/>
            <w:tcBorders>
              <w:top w:val="single" w:color="auto" w:sz="4" w:space="0"/>
              <w:left w:val="single" w:color="auto" w:sz="4" w:space="0"/>
              <w:bottom w:val="single" w:color="auto" w:sz="4" w:space="0"/>
              <w:right w:val="single" w:color="auto" w:sz="4" w:space="0"/>
            </w:tcBorders>
            <w:vAlign w:val="center"/>
          </w:tcPr>
          <w:p w14:paraId="281884F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※GPU芯片</w:t>
            </w:r>
          </w:p>
        </w:tc>
        <w:tc>
          <w:tcPr>
            <w:tcW w:w="2404" w:type="pct"/>
            <w:tcBorders>
              <w:top w:val="single" w:color="auto" w:sz="4" w:space="0"/>
              <w:left w:val="single" w:color="auto" w:sz="4" w:space="0"/>
              <w:bottom w:val="single" w:color="auto" w:sz="4" w:space="0"/>
              <w:right w:val="single" w:color="auto" w:sz="4" w:space="0"/>
            </w:tcBorders>
            <w:vAlign w:val="center"/>
          </w:tcPr>
          <w:p w14:paraId="007FF85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内置</w:t>
            </w:r>
            <w:r>
              <w:rPr>
                <w:rStyle w:val="223"/>
                <w:rFonts w:hint="eastAsia" w:ascii="方正仿宋_GBK" w:hAnsi="方正仿宋_GBK" w:eastAsia="方正仿宋_GBK" w:cs="方正仿宋_GBK"/>
                <w:color w:val="auto"/>
                <w:sz w:val="24"/>
                <w:szCs w:val="24"/>
                <w:highlight w:val="none"/>
                <w:lang w:val="en-US" w:eastAsia="zh-CN" w:bidi="ar"/>
              </w:rPr>
              <w:t>GPU</w:t>
            </w:r>
            <w:r>
              <w:rPr>
                <w:rStyle w:val="224"/>
                <w:rFonts w:hint="eastAsia" w:ascii="方正仿宋_GBK" w:hAnsi="方正仿宋_GBK" w:eastAsia="方正仿宋_GBK" w:cs="方正仿宋_GBK"/>
                <w:color w:val="auto"/>
                <w:sz w:val="24"/>
                <w:szCs w:val="24"/>
                <w:highlight w:val="none"/>
                <w:lang w:val="en-US" w:eastAsia="zh-CN" w:bidi="ar"/>
              </w:rPr>
              <w:t>芯片</w:t>
            </w:r>
          </w:p>
        </w:tc>
        <w:tc>
          <w:tcPr>
            <w:tcW w:w="1219" w:type="pct"/>
            <w:tcBorders>
              <w:top w:val="single" w:color="auto" w:sz="4" w:space="0"/>
              <w:left w:val="single" w:color="auto" w:sz="4" w:space="0"/>
              <w:bottom w:val="single" w:color="auto" w:sz="4" w:space="0"/>
              <w:right w:val="single" w:color="auto" w:sz="4" w:space="0"/>
            </w:tcBorders>
            <w:vAlign w:val="center"/>
          </w:tcPr>
          <w:p w14:paraId="221C756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42134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7B48B0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3</w:t>
            </w:r>
          </w:p>
        </w:tc>
        <w:tc>
          <w:tcPr>
            <w:tcW w:w="997" w:type="pct"/>
            <w:tcBorders>
              <w:top w:val="single" w:color="auto" w:sz="4" w:space="0"/>
              <w:left w:val="single" w:color="auto" w:sz="4" w:space="0"/>
              <w:bottom w:val="single" w:color="auto" w:sz="4" w:space="0"/>
              <w:right w:val="single" w:color="auto" w:sz="4" w:space="0"/>
            </w:tcBorders>
            <w:vAlign w:val="center"/>
          </w:tcPr>
          <w:p w14:paraId="6ECC25A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※光学变焦</w:t>
            </w:r>
          </w:p>
        </w:tc>
        <w:tc>
          <w:tcPr>
            <w:tcW w:w="2404" w:type="pct"/>
            <w:tcBorders>
              <w:top w:val="single" w:color="auto" w:sz="4" w:space="0"/>
              <w:left w:val="single" w:color="auto" w:sz="4" w:space="0"/>
              <w:bottom w:val="single" w:color="auto" w:sz="4" w:space="0"/>
              <w:right w:val="single" w:color="auto" w:sz="4" w:space="0"/>
            </w:tcBorders>
            <w:vAlign w:val="center"/>
          </w:tcPr>
          <w:p w14:paraId="60522D6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细节通道：最大焦距≥220mm（最大焦距与最小焦距的比值≥40）</w:t>
            </w:r>
          </w:p>
        </w:tc>
        <w:tc>
          <w:tcPr>
            <w:tcW w:w="1219" w:type="pct"/>
            <w:tcBorders>
              <w:top w:val="single" w:color="auto" w:sz="4" w:space="0"/>
              <w:left w:val="single" w:color="auto" w:sz="4" w:space="0"/>
              <w:bottom w:val="single" w:color="auto" w:sz="4" w:space="0"/>
              <w:right w:val="single" w:color="auto" w:sz="4" w:space="0"/>
            </w:tcBorders>
            <w:vAlign w:val="center"/>
          </w:tcPr>
          <w:p w14:paraId="21BAB5C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5B81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427C0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4</w:t>
            </w:r>
          </w:p>
        </w:tc>
        <w:tc>
          <w:tcPr>
            <w:tcW w:w="997" w:type="pct"/>
            <w:tcBorders>
              <w:top w:val="single" w:color="auto" w:sz="4" w:space="0"/>
              <w:left w:val="single" w:color="auto" w:sz="4" w:space="0"/>
              <w:bottom w:val="single" w:color="auto" w:sz="4" w:space="0"/>
              <w:right w:val="single" w:color="auto" w:sz="4" w:space="0"/>
            </w:tcBorders>
            <w:vAlign w:val="center"/>
          </w:tcPr>
          <w:p w14:paraId="2859CF6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※全景视场角</w:t>
            </w:r>
          </w:p>
        </w:tc>
        <w:tc>
          <w:tcPr>
            <w:tcW w:w="2404" w:type="pct"/>
            <w:tcBorders>
              <w:top w:val="single" w:color="auto" w:sz="4" w:space="0"/>
              <w:left w:val="single" w:color="auto" w:sz="4" w:space="0"/>
              <w:bottom w:val="single" w:color="auto" w:sz="4" w:space="0"/>
              <w:right w:val="single" w:color="auto" w:sz="4" w:space="0"/>
            </w:tcBorders>
            <w:vAlign w:val="center"/>
          </w:tcPr>
          <w:p w14:paraId="18D2BFA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水平视场角：</w:t>
            </w:r>
            <w:r>
              <w:rPr>
                <w:rStyle w:val="223"/>
                <w:rFonts w:hint="eastAsia" w:ascii="方正仿宋_GBK" w:hAnsi="方正仿宋_GBK" w:eastAsia="方正仿宋_GBK" w:cs="方正仿宋_GBK"/>
                <w:color w:val="auto"/>
                <w:sz w:val="24"/>
                <w:szCs w:val="24"/>
                <w:highlight w:val="none"/>
                <w:lang w:val="en-US" w:eastAsia="zh-CN" w:bidi="ar"/>
              </w:rPr>
              <w:t xml:space="preserve">≥270° </w:t>
            </w:r>
            <w:r>
              <w:rPr>
                <w:rStyle w:val="224"/>
                <w:rFonts w:hint="eastAsia" w:ascii="方正仿宋_GBK" w:hAnsi="方正仿宋_GBK" w:eastAsia="方正仿宋_GBK" w:cs="方正仿宋_GBK"/>
                <w:color w:val="auto"/>
                <w:sz w:val="24"/>
                <w:szCs w:val="24"/>
                <w:highlight w:val="none"/>
                <w:lang w:val="en-US" w:eastAsia="zh-CN" w:bidi="ar"/>
              </w:rPr>
              <w:t>垂直视场角：</w:t>
            </w:r>
            <w:r>
              <w:rPr>
                <w:rStyle w:val="223"/>
                <w:rFonts w:hint="eastAsia" w:ascii="方正仿宋_GBK" w:hAnsi="方正仿宋_GBK" w:eastAsia="方正仿宋_GBK" w:cs="方正仿宋_GBK"/>
                <w:color w:val="auto"/>
                <w:sz w:val="24"/>
                <w:szCs w:val="24"/>
                <w:highlight w:val="none"/>
                <w:lang w:val="en-US" w:eastAsia="zh-CN" w:bidi="ar"/>
              </w:rPr>
              <w:t>≥90°</w:t>
            </w:r>
          </w:p>
        </w:tc>
        <w:tc>
          <w:tcPr>
            <w:tcW w:w="1219" w:type="pct"/>
            <w:tcBorders>
              <w:top w:val="single" w:color="auto" w:sz="4" w:space="0"/>
              <w:left w:val="single" w:color="auto" w:sz="4" w:space="0"/>
              <w:bottom w:val="single" w:color="auto" w:sz="4" w:space="0"/>
              <w:right w:val="single" w:color="auto" w:sz="4" w:space="0"/>
            </w:tcBorders>
            <w:vAlign w:val="center"/>
          </w:tcPr>
          <w:p w14:paraId="11C57C43">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302D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042B142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5</w:t>
            </w:r>
          </w:p>
        </w:tc>
        <w:tc>
          <w:tcPr>
            <w:tcW w:w="997" w:type="pct"/>
            <w:tcBorders>
              <w:top w:val="single" w:color="auto" w:sz="4" w:space="0"/>
              <w:left w:val="single" w:color="auto" w:sz="4" w:space="0"/>
              <w:bottom w:val="single" w:color="auto" w:sz="4" w:space="0"/>
              <w:right w:val="single" w:color="auto" w:sz="4" w:space="0"/>
            </w:tcBorders>
            <w:vAlign w:val="center"/>
          </w:tcPr>
          <w:p w14:paraId="42D94EE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※工作温度</w:t>
            </w:r>
          </w:p>
        </w:tc>
        <w:tc>
          <w:tcPr>
            <w:tcW w:w="2404" w:type="pct"/>
            <w:tcBorders>
              <w:top w:val="single" w:color="auto" w:sz="4" w:space="0"/>
              <w:left w:val="single" w:color="auto" w:sz="4" w:space="0"/>
              <w:bottom w:val="single" w:color="auto" w:sz="4" w:space="0"/>
              <w:right w:val="single" w:color="auto" w:sz="4" w:space="0"/>
            </w:tcBorders>
            <w:vAlign w:val="center"/>
          </w:tcPr>
          <w:p w14:paraId="448BF60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-40 ℃~70 ℃</w:t>
            </w:r>
            <w:r>
              <w:rPr>
                <w:rStyle w:val="224"/>
                <w:rFonts w:hint="eastAsia" w:ascii="方正仿宋_GBK" w:hAnsi="方正仿宋_GBK" w:eastAsia="方正仿宋_GBK" w:cs="方正仿宋_GBK"/>
                <w:color w:val="auto"/>
                <w:sz w:val="24"/>
                <w:szCs w:val="24"/>
                <w:highlight w:val="none"/>
                <w:lang w:val="en-US" w:eastAsia="zh-CN" w:bidi="ar"/>
              </w:rPr>
              <w:t>；</w:t>
            </w:r>
          </w:p>
        </w:tc>
        <w:tc>
          <w:tcPr>
            <w:tcW w:w="1219" w:type="pct"/>
            <w:tcBorders>
              <w:top w:val="single" w:color="auto" w:sz="4" w:space="0"/>
              <w:left w:val="single" w:color="auto" w:sz="4" w:space="0"/>
              <w:bottom w:val="single" w:color="auto" w:sz="4" w:space="0"/>
              <w:right w:val="single" w:color="auto" w:sz="4" w:space="0"/>
            </w:tcBorders>
            <w:vAlign w:val="center"/>
          </w:tcPr>
          <w:p w14:paraId="2D993D4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4F212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65F22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6</w:t>
            </w:r>
          </w:p>
        </w:tc>
        <w:tc>
          <w:tcPr>
            <w:tcW w:w="997" w:type="pct"/>
            <w:tcBorders>
              <w:top w:val="single" w:color="auto" w:sz="4" w:space="0"/>
              <w:left w:val="single" w:color="auto" w:sz="4" w:space="0"/>
              <w:bottom w:val="single" w:color="auto" w:sz="4" w:space="0"/>
              <w:right w:val="single" w:color="auto" w:sz="4" w:space="0"/>
            </w:tcBorders>
            <w:vAlign w:val="center"/>
          </w:tcPr>
          <w:p w14:paraId="3B4BFD6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*畸变矫正</w:t>
            </w:r>
          </w:p>
        </w:tc>
        <w:tc>
          <w:tcPr>
            <w:tcW w:w="2404" w:type="pct"/>
            <w:tcBorders>
              <w:top w:val="single" w:color="auto" w:sz="4" w:space="0"/>
              <w:left w:val="single" w:color="auto" w:sz="4" w:space="0"/>
              <w:bottom w:val="single" w:color="auto" w:sz="4" w:space="0"/>
              <w:right w:val="single" w:color="auto" w:sz="4" w:space="0"/>
            </w:tcBorders>
            <w:vAlign w:val="center"/>
          </w:tcPr>
          <w:p w14:paraId="18AC0A0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全景通道支持拼接畸变矫正</w:t>
            </w:r>
          </w:p>
        </w:tc>
        <w:tc>
          <w:tcPr>
            <w:tcW w:w="1219" w:type="pct"/>
            <w:tcBorders>
              <w:top w:val="single" w:color="auto" w:sz="4" w:space="0"/>
              <w:left w:val="single" w:color="auto" w:sz="4" w:space="0"/>
              <w:bottom w:val="single" w:color="auto" w:sz="4" w:space="0"/>
              <w:right w:val="single" w:color="auto" w:sz="4" w:space="0"/>
            </w:tcBorders>
            <w:vAlign w:val="center"/>
          </w:tcPr>
          <w:p w14:paraId="5B82C34C">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3802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794474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7</w:t>
            </w:r>
          </w:p>
        </w:tc>
        <w:tc>
          <w:tcPr>
            <w:tcW w:w="997" w:type="pct"/>
            <w:tcBorders>
              <w:top w:val="single" w:color="auto" w:sz="4" w:space="0"/>
              <w:left w:val="single" w:color="auto" w:sz="4" w:space="0"/>
              <w:bottom w:val="single" w:color="auto" w:sz="4" w:space="0"/>
              <w:right w:val="single" w:color="auto" w:sz="4" w:space="0"/>
            </w:tcBorders>
            <w:vAlign w:val="center"/>
          </w:tcPr>
          <w:p w14:paraId="0CCC5FF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*最大像素值</w:t>
            </w:r>
          </w:p>
        </w:tc>
        <w:tc>
          <w:tcPr>
            <w:tcW w:w="2404" w:type="pct"/>
            <w:tcBorders>
              <w:top w:val="single" w:color="auto" w:sz="4" w:space="0"/>
              <w:left w:val="single" w:color="auto" w:sz="4" w:space="0"/>
              <w:bottom w:val="single" w:color="auto" w:sz="4" w:space="0"/>
              <w:right w:val="single" w:color="auto" w:sz="4" w:space="0"/>
            </w:tcBorders>
            <w:vAlign w:val="center"/>
          </w:tcPr>
          <w:p w14:paraId="559F9A2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全景通道：</w:t>
            </w:r>
            <w:r>
              <w:rPr>
                <w:rStyle w:val="223"/>
                <w:rFonts w:hint="eastAsia" w:ascii="方正仿宋_GBK" w:hAnsi="方正仿宋_GBK" w:eastAsia="方正仿宋_GBK" w:cs="方正仿宋_GBK"/>
                <w:color w:val="auto"/>
                <w:sz w:val="24"/>
                <w:szCs w:val="24"/>
                <w:highlight w:val="none"/>
                <w:lang w:val="en-US" w:eastAsia="zh-CN" w:bidi="ar"/>
              </w:rPr>
              <w:t>≥2400</w:t>
            </w:r>
            <w:r>
              <w:rPr>
                <w:rStyle w:val="224"/>
                <w:rFonts w:hint="eastAsia" w:ascii="方正仿宋_GBK" w:hAnsi="方正仿宋_GBK" w:eastAsia="方正仿宋_GBK" w:cs="方正仿宋_GBK"/>
                <w:color w:val="auto"/>
                <w:sz w:val="24"/>
                <w:szCs w:val="24"/>
                <w:highlight w:val="none"/>
                <w:lang w:val="en-US" w:eastAsia="zh-CN" w:bidi="ar"/>
              </w:rPr>
              <w:t>万像素；细节通道：</w:t>
            </w:r>
            <w:r>
              <w:rPr>
                <w:rStyle w:val="223"/>
                <w:rFonts w:hint="eastAsia" w:ascii="方正仿宋_GBK" w:hAnsi="方正仿宋_GBK" w:eastAsia="方正仿宋_GBK" w:cs="方正仿宋_GBK"/>
                <w:color w:val="auto"/>
                <w:sz w:val="24"/>
                <w:szCs w:val="24"/>
                <w:highlight w:val="none"/>
                <w:lang w:val="en-US" w:eastAsia="zh-CN" w:bidi="ar"/>
              </w:rPr>
              <w:t>≥400</w:t>
            </w:r>
            <w:r>
              <w:rPr>
                <w:rStyle w:val="224"/>
                <w:rFonts w:hint="eastAsia" w:ascii="方正仿宋_GBK" w:hAnsi="方正仿宋_GBK" w:eastAsia="方正仿宋_GBK" w:cs="方正仿宋_GBK"/>
                <w:color w:val="auto"/>
                <w:sz w:val="24"/>
                <w:szCs w:val="24"/>
                <w:highlight w:val="none"/>
                <w:lang w:val="en-US" w:eastAsia="zh-CN" w:bidi="ar"/>
              </w:rPr>
              <w:t>万像素</w:t>
            </w:r>
          </w:p>
        </w:tc>
        <w:tc>
          <w:tcPr>
            <w:tcW w:w="1219" w:type="pct"/>
            <w:tcBorders>
              <w:top w:val="single" w:color="auto" w:sz="4" w:space="0"/>
              <w:left w:val="single" w:color="auto" w:sz="4" w:space="0"/>
              <w:bottom w:val="single" w:color="auto" w:sz="4" w:space="0"/>
              <w:right w:val="single" w:color="auto" w:sz="4" w:space="0"/>
            </w:tcBorders>
            <w:vAlign w:val="center"/>
          </w:tcPr>
          <w:p w14:paraId="0AFE3E6F">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3C29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0D06DE9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8</w:t>
            </w:r>
          </w:p>
        </w:tc>
        <w:tc>
          <w:tcPr>
            <w:tcW w:w="997" w:type="pct"/>
            <w:tcBorders>
              <w:top w:val="single" w:color="auto" w:sz="4" w:space="0"/>
              <w:left w:val="single" w:color="auto" w:sz="4" w:space="0"/>
              <w:bottom w:val="single" w:color="auto" w:sz="4" w:space="0"/>
              <w:right w:val="single" w:color="auto" w:sz="4" w:space="0"/>
            </w:tcBorders>
            <w:vAlign w:val="center"/>
          </w:tcPr>
          <w:p w14:paraId="728C3EA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*帧率</w:t>
            </w:r>
          </w:p>
        </w:tc>
        <w:tc>
          <w:tcPr>
            <w:tcW w:w="2404" w:type="pct"/>
            <w:tcBorders>
              <w:top w:val="single" w:color="auto" w:sz="4" w:space="0"/>
              <w:left w:val="single" w:color="auto" w:sz="4" w:space="0"/>
              <w:bottom w:val="single" w:color="auto" w:sz="4" w:space="0"/>
              <w:right w:val="single" w:color="auto" w:sz="4" w:space="0"/>
            </w:tcBorders>
            <w:vAlign w:val="center"/>
          </w:tcPr>
          <w:p w14:paraId="5E08588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lang w:val="en-US"/>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≥30fps</w:t>
            </w:r>
          </w:p>
        </w:tc>
        <w:tc>
          <w:tcPr>
            <w:tcW w:w="1219" w:type="pct"/>
            <w:tcBorders>
              <w:top w:val="single" w:color="auto" w:sz="4" w:space="0"/>
              <w:left w:val="single" w:color="auto" w:sz="4" w:space="0"/>
              <w:bottom w:val="single" w:color="auto" w:sz="4" w:space="0"/>
              <w:right w:val="single" w:color="auto" w:sz="4" w:space="0"/>
            </w:tcBorders>
            <w:vAlign w:val="center"/>
          </w:tcPr>
          <w:p w14:paraId="4F56C12E">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2C1F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30AA2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9</w:t>
            </w:r>
          </w:p>
        </w:tc>
        <w:tc>
          <w:tcPr>
            <w:tcW w:w="997" w:type="pct"/>
            <w:tcBorders>
              <w:top w:val="single" w:color="auto" w:sz="4" w:space="0"/>
              <w:left w:val="single" w:color="auto" w:sz="4" w:space="0"/>
              <w:bottom w:val="single" w:color="auto" w:sz="4" w:space="0"/>
              <w:right w:val="single" w:color="auto" w:sz="4" w:space="0"/>
            </w:tcBorders>
            <w:vAlign w:val="center"/>
          </w:tcPr>
          <w:p w14:paraId="47FA0C1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*全景焦距</w:t>
            </w:r>
          </w:p>
        </w:tc>
        <w:tc>
          <w:tcPr>
            <w:tcW w:w="2404" w:type="pct"/>
            <w:tcBorders>
              <w:top w:val="single" w:color="auto" w:sz="4" w:space="0"/>
              <w:left w:val="single" w:color="auto" w:sz="4" w:space="0"/>
              <w:bottom w:val="single" w:color="auto" w:sz="4" w:space="0"/>
              <w:right w:val="single" w:color="auto" w:sz="4" w:space="0"/>
            </w:tcBorders>
            <w:vAlign w:val="center"/>
          </w:tcPr>
          <w:p w14:paraId="2BA7074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w:t>
            </w:r>
            <w:r>
              <w:rPr>
                <w:rStyle w:val="223"/>
                <w:rFonts w:hint="eastAsia" w:ascii="方正仿宋_GBK" w:hAnsi="方正仿宋_GBK" w:eastAsia="方正仿宋_GBK" w:cs="方正仿宋_GBK"/>
                <w:color w:val="auto"/>
                <w:sz w:val="24"/>
                <w:szCs w:val="24"/>
                <w:highlight w:val="none"/>
                <w:lang w:val="en-US" w:eastAsia="zh-CN" w:bidi="ar"/>
              </w:rPr>
              <w:t>2.8mm</w:t>
            </w:r>
          </w:p>
        </w:tc>
        <w:tc>
          <w:tcPr>
            <w:tcW w:w="1219" w:type="pct"/>
            <w:tcBorders>
              <w:top w:val="single" w:color="auto" w:sz="4" w:space="0"/>
              <w:left w:val="single" w:color="auto" w:sz="4" w:space="0"/>
              <w:bottom w:val="single" w:color="auto" w:sz="4" w:space="0"/>
              <w:right w:val="single" w:color="auto" w:sz="4" w:space="0"/>
            </w:tcBorders>
            <w:vAlign w:val="center"/>
          </w:tcPr>
          <w:p w14:paraId="2CF48980">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14D8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2FD963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10</w:t>
            </w:r>
          </w:p>
        </w:tc>
        <w:tc>
          <w:tcPr>
            <w:tcW w:w="997" w:type="pct"/>
            <w:tcBorders>
              <w:top w:val="single" w:color="auto" w:sz="4" w:space="0"/>
              <w:left w:val="single" w:color="auto" w:sz="4" w:space="0"/>
              <w:bottom w:val="single" w:color="auto" w:sz="4" w:space="0"/>
              <w:right w:val="single" w:color="auto" w:sz="4" w:space="0"/>
            </w:tcBorders>
            <w:vAlign w:val="center"/>
          </w:tcPr>
          <w:p w14:paraId="0487F0F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*调节范围</w:t>
            </w:r>
          </w:p>
        </w:tc>
        <w:tc>
          <w:tcPr>
            <w:tcW w:w="2404" w:type="pct"/>
            <w:tcBorders>
              <w:top w:val="single" w:color="auto" w:sz="4" w:space="0"/>
              <w:left w:val="single" w:color="auto" w:sz="4" w:space="0"/>
              <w:bottom w:val="single" w:color="auto" w:sz="4" w:space="0"/>
              <w:right w:val="single" w:color="auto" w:sz="4" w:space="0"/>
            </w:tcBorders>
            <w:vAlign w:val="center"/>
          </w:tcPr>
          <w:p w14:paraId="2356C9E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细节通道：垂直方向</w:t>
            </w:r>
            <w:r>
              <w:rPr>
                <w:rStyle w:val="223"/>
                <w:rFonts w:hint="eastAsia" w:ascii="方正仿宋_GBK" w:hAnsi="方正仿宋_GBK" w:eastAsia="方正仿宋_GBK" w:cs="方正仿宋_GBK"/>
                <w:color w:val="auto"/>
                <w:sz w:val="24"/>
                <w:szCs w:val="24"/>
                <w:highlight w:val="none"/>
                <w:lang w:val="en-US" w:eastAsia="zh-CN" w:bidi="ar"/>
              </w:rPr>
              <w:t>-15°~90°</w:t>
            </w:r>
            <w:r>
              <w:rPr>
                <w:rStyle w:val="224"/>
                <w:rFonts w:hint="eastAsia" w:ascii="方正仿宋_GBK" w:hAnsi="方正仿宋_GBK" w:eastAsia="方正仿宋_GBK" w:cs="方正仿宋_GBK"/>
                <w:color w:val="auto"/>
                <w:sz w:val="24"/>
                <w:szCs w:val="24"/>
                <w:highlight w:val="none"/>
                <w:lang w:val="en-US" w:eastAsia="zh-CN" w:bidi="ar"/>
              </w:rPr>
              <w:t>，水平方向</w:t>
            </w:r>
            <w:r>
              <w:rPr>
                <w:rStyle w:val="223"/>
                <w:rFonts w:hint="eastAsia" w:ascii="方正仿宋_GBK" w:hAnsi="方正仿宋_GBK" w:eastAsia="方正仿宋_GBK" w:cs="方正仿宋_GBK"/>
                <w:color w:val="auto"/>
                <w:sz w:val="24"/>
                <w:szCs w:val="24"/>
                <w:highlight w:val="none"/>
                <w:lang w:val="en-US" w:eastAsia="zh-CN" w:bidi="ar"/>
              </w:rPr>
              <w:t>360°</w:t>
            </w:r>
          </w:p>
        </w:tc>
        <w:tc>
          <w:tcPr>
            <w:tcW w:w="1219" w:type="pct"/>
            <w:tcBorders>
              <w:top w:val="single" w:color="auto" w:sz="4" w:space="0"/>
              <w:left w:val="single" w:color="auto" w:sz="4" w:space="0"/>
              <w:bottom w:val="single" w:color="auto" w:sz="4" w:space="0"/>
              <w:right w:val="single" w:color="auto" w:sz="4" w:space="0"/>
            </w:tcBorders>
            <w:vAlign w:val="center"/>
          </w:tcPr>
          <w:p w14:paraId="44402341">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4AA45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D940F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11</w:t>
            </w:r>
          </w:p>
        </w:tc>
        <w:tc>
          <w:tcPr>
            <w:tcW w:w="997" w:type="pct"/>
            <w:tcBorders>
              <w:top w:val="single" w:color="auto" w:sz="4" w:space="0"/>
              <w:left w:val="single" w:color="auto" w:sz="4" w:space="0"/>
              <w:bottom w:val="single" w:color="auto" w:sz="4" w:space="0"/>
              <w:right w:val="single" w:color="auto" w:sz="4" w:space="0"/>
            </w:tcBorders>
            <w:vAlign w:val="center"/>
          </w:tcPr>
          <w:p w14:paraId="595F28A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*云台速度</w:t>
            </w:r>
          </w:p>
        </w:tc>
        <w:tc>
          <w:tcPr>
            <w:tcW w:w="2404" w:type="pct"/>
            <w:tcBorders>
              <w:top w:val="single" w:color="auto" w:sz="4" w:space="0"/>
              <w:left w:val="single" w:color="auto" w:sz="4" w:space="0"/>
              <w:bottom w:val="single" w:color="auto" w:sz="4" w:space="0"/>
              <w:right w:val="single" w:color="auto" w:sz="4" w:space="0"/>
            </w:tcBorders>
            <w:vAlign w:val="center"/>
          </w:tcPr>
          <w:p w14:paraId="1F92D43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Style w:val="224"/>
                <w:rFonts w:hint="eastAsia" w:ascii="方正仿宋_GBK" w:hAnsi="方正仿宋_GBK" w:eastAsia="方正仿宋_GBK" w:cs="方正仿宋_GBK"/>
                <w:color w:val="auto"/>
                <w:sz w:val="24"/>
                <w:szCs w:val="24"/>
                <w:highlight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垂直键控：</w:t>
            </w:r>
            <w:r>
              <w:rPr>
                <w:rStyle w:val="223"/>
                <w:rFonts w:hint="eastAsia" w:ascii="方正仿宋_GBK" w:hAnsi="方正仿宋_GBK" w:eastAsia="方正仿宋_GBK" w:cs="方正仿宋_GBK"/>
                <w:color w:val="auto"/>
                <w:sz w:val="24"/>
                <w:szCs w:val="24"/>
                <w:highlight w:val="none"/>
                <w:lang w:val="en-US" w:eastAsia="zh-CN" w:bidi="ar"/>
              </w:rPr>
              <w:t>0.1°/s~180°/s</w:t>
            </w:r>
            <w:r>
              <w:rPr>
                <w:rStyle w:val="224"/>
                <w:rFonts w:hint="eastAsia" w:ascii="方正仿宋_GBK" w:hAnsi="方正仿宋_GBK" w:eastAsia="方正仿宋_GBK" w:cs="方正仿宋_GBK"/>
                <w:color w:val="auto"/>
                <w:sz w:val="24"/>
                <w:szCs w:val="24"/>
                <w:highlight w:val="none"/>
                <w:lang w:val="en-US" w:eastAsia="zh-CN" w:bidi="ar"/>
              </w:rPr>
              <w:t>，垂直预置点速度：</w:t>
            </w:r>
            <w:r>
              <w:rPr>
                <w:rStyle w:val="223"/>
                <w:rFonts w:hint="eastAsia" w:ascii="方正仿宋_GBK" w:hAnsi="方正仿宋_GBK" w:eastAsia="方正仿宋_GBK" w:cs="方正仿宋_GBK"/>
                <w:color w:val="auto"/>
                <w:sz w:val="24"/>
                <w:szCs w:val="24"/>
                <w:highlight w:val="none"/>
                <w:lang w:val="en-US" w:eastAsia="zh-CN" w:bidi="ar"/>
              </w:rPr>
              <w:t>200°/s</w:t>
            </w:r>
          </w:p>
          <w:p w14:paraId="305F78A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Style w:val="224"/>
                <w:rFonts w:hint="eastAsia" w:ascii="方正仿宋_GBK" w:hAnsi="方正仿宋_GBK" w:eastAsia="方正仿宋_GBK" w:cs="方正仿宋_GBK"/>
                <w:color w:val="auto"/>
                <w:sz w:val="24"/>
                <w:szCs w:val="24"/>
                <w:highlight w:val="none"/>
                <w:lang w:val="en-US" w:eastAsia="zh-CN" w:bidi="ar"/>
              </w:rPr>
              <w:t>水平键控：0.1°/s~180°/s，水平预置点速度：240°/s</w:t>
            </w:r>
          </w:p>
        </w:tc>
        <w:tc>
          <w:tcPr>
            <w:tcW w:w="1219" w:type="pct"/>
            <w:tcBorders>
              <w:top w:val="single" w:color="auto" w:sz="4" w:space="0"/>
              <w:left w:val="single" w:color="auto" w:sz="4" w:space="0"/>
              <w:bottom w:val="single" w:color="auto" w:sz="4" w:space="0"/>
              <w:right w:val="single" w:color="auto" w:sz="4" w:space="0"/>
            </w:tcBorders>
            <w:vAlign w:val="center"/>
          </w:tcPr>
          <w:p w14:paraId="76586D5F">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7B9BA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154"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2D7BA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12</w:t>
            </w:r>
          </w:p>
        </w:tc>
        <w:tc>
          <w:tcPr>
            <w:tcW w:w="997" w:type="pct"/>
            <w:tcBorders>
              <w:top w:val="single" w:color="auto" w:sz="4" w:space="0"/>
              <w:left w:val="single" w:color="auto" w:sz="4" w:space="0"/>
              <w:bottom w:val="single" w:color="auto" w:sz="4" w:space="0"/>
              <w:right w:val="single" w:color="auto" w:sz="4" w:space="0"/>
            </w:tcBorders>
            <w:vAlign w:val="center"/>
          </w:tcPr>
          <w:p w14:paraId="0CA8DB4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*最低照度</w:t>
            </w:r>
          </w:p>
        </w:tc>
        <w:tc>
          <w:tcPr>
            <w:tcW w:w="2404" w:type="pct"/>
            <w:tcBorders>
              <w:top w:val="single" w:color="auto" w:sz="4" w:space="0"/>
              <w:left w:val="single" w:color="auto" w:sz="4" w:space="0"/>
              <w:bottom w:val="single" w:color="auto" w:sz="4" w:space="0"/>
              <w:right w:val="single" w:color="auto" w:sz="4" w:space="0"/>
            </w:tcBorders>
            <w:vAlign w:val="center"/>
          </w:tcPr>
          <w:p w14:paraId="40DDC3A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Style w:val="224"/>
                <w:rFonts w:hint="eastAsia" w:ascii="方正仿宋_GBK" w:hAnsi="方正仿宋_GBK" w:eastAsia="方正仿宋_GBK" w:cs="方正仿宋_GBK"/>
                <w:color w:val="auto"/>
                <w:sz w:val="24"/>
                <w:szCs w:val="24"/>
                <w:highlight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全景通道：</w:t>
            </w:r>
            <w:r>
              <w:rPr>
                <w:rStyle w:val="223"/>
                <w:rFonts w:hint="eastAsia" w:ascii="方正仿宋_GBK" w:hAnsi="方正仿宋_GBK" w:eastAsia="方正仿宋_GBK" w:cs="方正仿宋_GBK"/>
                <w:color w:val="auto"/>
                <w:sz w:val="24"/>
                <w:szCs w:val="24"/>
                <w:highlight w:val="none"/>
                <w:lang w:val="en-US" w:eastAsia="zh-CN" w:bidi="ar"/>
              </w:rPr>
              <w:t>0.0005lux</w:t>
            </w:r>
            <w:r>
              <w:rPr>
                <w:rStyle w:val="224"/>
                <w:rFonts w:hint="eastAsia" w:ascii="方正仿宋_GBK" w:hAnsi="方正仿宋_GBK" w:eastAsia="方正仿宋_GBK" w:cs="方正仿宋_GBK"/>
                <w:color w:val="auto"/>
                <w:sz w:val="24"/>
                <w:szCs w:val="24"/>
                <w:highlight w:val="none"/>
                <w:lang w:val="en-US" w:eastAsia="zh-CN" w:bidi="ar"/>
              </w:rPr>
              <w:t>（彩色模式）；</w:t>
            </w:r>
            <w:r>
              <w:rPr>
                <w:rStyle w:val="223"/>
                <w:rFonts w:hint="eastAsia" w:ascii="方正仿宋_GBK" w:hAnsi="方正仿宋_GBK" w:eastAsia="方正仿宋_GBK" w:cs="方正仿宋_GBK"/>
                <w:color w:val="auto"/>
                <w:sz w:val="24"/>
                <w:szCs w:val="24"/>
                <w:highlight w:val="none"/>
                <w:lang w:val="en-US" w:eastAsia="zh-CN" w:bidi="ar"/>
              </w:rPr>
              <w:t>0.0001lux</w:t>
            </w:r>
            <w:r>
              <w:rPr>
                <w:rStyle w:val="224"/>
                <w:rFonts w:hint="eastAsia" w:ascii="方正仿宋_GBK" w:hAnsi="方正仿宋_GBK" w:eastAsia="方正仿宋_GBK" w:cs="方正仿宋_GBK"/>
                <w:color w:val="auto"/>
                <w:sz w:val="24"/>
                <w:szCs w:val="24"/>
                <w:highlight w:val="none"/>
                <w:lang w:val="en-US" w:eastAsia="zh-CN" w:bidi="ar"/>
              </w:rPr>
              <w:t>（黑白模式）</w:t>
            </w:r>
          </w:p>
          <w:p w14:paraId="2D2D918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Style w:val="224"/>
                <w:rFonts w:hint="eastAsia" w:ascii="方正仿宋_GBK" w:hAnsi="方正仿宋_GBK" w:eastAsia="方正仿宋_GBK" w:cs="方正仿宋_GBK"/>
                <w:color w:val="auto"/>
                <w:sz w:val="24"/>
                <w:szCs w:val="24"/>
                <w:highlight w:val="none"/>
                <w:lang w:val="en-US" w:eastAsia="zh-CN" w:bidi="ar"/>
              </w:rPr>
            </w:pPr>
            <w:r>
              <w:rPr>
                <w:rStyle w:val="224"/>
                <w:rFonts w:hint="eastAsia" w:ascii="方正仿宋_GBK" w:hAnsi="方正仿宋_GBK" w:eastAsia="方正仿宋_GBK" w:cs="方正仿宋_GBK"/>
                <w:color w:val="auto"/>
                <w:sz w:val="24"/>
                <w:szCs w:val="24"/>
                <w:highlight w:val="none"/>
                <w:lang w:val="en-US" w:eastAsia="zh-CN" w:bidi="ar"/>
              </w:rPr>
              <w:t>细节通道：0.001lux（彩色模式）；0.0005lux（黑白模式）</w:t>
            </w:r>
          </w:p>
          <w:p w14:paraId="625F3F0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Style w:val="224"/>
                <w:rFonts w:hint="eastAsia" w:ascii="方正仿宋_GBK" w:hAnsi="方正仿宋_GBK" w:eastAsia="方正仿宋_GBK" w:cs="方正仿宋_GBK"/>
                <w:color w:val="auto"/>
                <w:sz w:val="24"/>
                <w:szCs w:val="24"/>
                <w:highlight w:val="none"/>
                <w:lang w:val="en-US" w:eastAsia="zh-CN" w:bidi="ar"/>
              </w:rPr>
              <w:t>支持AI-ISP（图像质量提升）</w:t>
            </w:r>
          </w:p>
        </w:tc>
        <w:tc>
          <w:tcPr>
            <w:tcW w:w="1219" w:type="pct"/>
            <w:tcBorders>
              <w:top w:val="single" w:color="auto" w:sz="4" w:space="0"/>
              <w:left w:val="single" w:color="auto" w:sz="4" w:space="0"/>
              <w:bottom w:val="single" w:color="auto" w:sz="4" w:space="0"/>
              <w:right w:val="single" w:color="auto" w:sz="4" w:space="0"/>
            </w:tcBorders>
            <w:vAlign w:val="center"/>
          </w:tcPr>
          <w:p w14:paraId="118C8C23">
            <w:pPr>
              <w:keepNext w:val="0"/>
              <w:keepLines w:val="0"/>
              <w:pageBreakBefore w:val="0"/>
              <w:widowControl/>
              <w:kinsoku/>
              <w:wordWrap/>
              <w:overflowPunct/>
              <w:topLinePunct w:val="0"/>
              <w:autoSpaceDE/>
              <w:autoSpaceDN/>
              <w:bidi w:val="0"/>
              <w:adjustRightInd/>
              <w:snapToGrid/>
              <w:spacing w:line="400" w:lineRule="exact"/>
              <w:jc w:val="left"/>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6C6D6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057917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13</w:t>
            </w:r>
          </w:p>
        </w:tc>
        <w:tc>
          <w:tcPr>
            <w:tcW w:w="997" w:type="pct"/>
            <w:tcBorders>
              <w:top w:val="single" w:color="auto" w:sz="4" w:space="0"/>
              <w:left w:val="single" w:color="auto" w:sz="4" w:space="0"/>
              <w:bottom w:val="single" w:color="auto" w:sz="4" w:space="0"/>
              <w:right w:val="single" w:color="auto" w:sz="4" w:space="0"/>
            </w:tcBorders>
            <w:vAlign w:val="center"/>
          </w:tcPr>
          <w:p w14:paraId="07C53ED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*宽动态</w:t>
            </w:r>
          </w:p>
        </w:tc>
        <w:tc>
          <w:tcPr>
            <w:tcW w:w="2404" w:type="pct"/>
            <w:tcBorders>
              <w:top w:val="single" w:color="auto" w:sz="4" w:space="0"/>
              <w:left w:val="single" w:color="auto" w:sz="4" w:space="0"/>
              <w:bottom w:val="single" w:color="auto" w:sz="4" w:space="0"/>
              <w:right w:val="single" w:color="auto" w:sz="4" w:space="0"/>
            </w:tcBorders>
            <w:vAlign w:val="center"/>
          </w:tcPr>
          <w:p w14:paraId="04EB141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≥120dB</w:t>
            </w:r>
          </w:p>
        </w:tc>
        <w:tc>
          <w:tcPr>
            <w:tcW w:w="1219" w:type="pct"/>
            <w:tcBorders>
              <w:top w:val="single" w:color="auto" w:sz="4" w:space="0"/>
              <w:left w:val="single" w:color="auto" w:sz="4" w:space="0"/>
              <w:bottom w:val="single" w:color="auto" w:sz="4" w:space="0"/>
              <w:right w:val="single" w:color="auto" w:sz="4" w:space="0"/>
            </w:tcBorders>
            <w:vAlign w:val="center"/>
          </w:tcPr>
          <w:p w14:paraId="7B42E469">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08BA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26FF4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14</w:t>
            </w:r>
          </w:p>
        </w:tc>
        <w:tc>
          <w:tcPr>
            <w:tcW w:w="997" w:type="pct"/>
            <w:tcBorders>
              <w:top w:val="single" w:color="auto" w:sz="4" w:space="0"/>
              <w:left w:val="single" w:color="auto" w:sz="4" w:space="0"/>
              <w:bottom w:val="single" w:color="auto" w:sz="4" w:space="0"/>
              <w:right w:val="single" w:color="auto" w:sz="4" w:space="0"/>
            </w:tcBorders>
            <w:vAlign w:val="center"/>
          </w:tcPr>
          <w:p w14:paraId="5332836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*防水防尘等级</w:t>
            </w:r>
          </w:p>
        </w:tc>
        <w:tc>
          <w:tcPr>
            <w:tcW w:w="2404" w:type="pct"/>
            <w:tcBorders>
              <w:top w:val="single" w:color="auto" w:sz="4" w:space="0"/>
              <w:left w:val="single" w:color="auto" w:sz="4" w:space="0"/>
              <w:bottom w:val="single" w:color="auto" w:sz="4" w:space="0"/>
              <w:right w:val="single" w:color="auto" w:sz="4" w:space="0"/>
            </w:tcBorders>
            <w:vAlign w:val="center"/>
          </w:tcPr>
          <w:p w14:paraId="2D52709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≥IP66</w:t>
            </w:r>
          </w:p>
        </w:tc>
        <w:tc>
          <w:tcPr>
            <w:tcW w:w="1219" w:type="pct"/>
            <w:tcBorders>
              <w:top w:val="single" w:color="auto" w:sz="4" w:space="0"/>
              <w:left w:val="single" w:color="auto" w:sz="4" w:space="0"/>
              <w:bottom w:val="single" w:color="auto" w:sz="4" w:space="0"/>
              <w:right w:val="single" w:color="auto" w:sz="4" w:space="0"/>
            </w:tcBorders>
            <w:vAlign w:val="center"/>
          </w:tcPr>
          <w:p w14:paraId="1CEB38E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0567F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7456C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15</w:t>
            </w:r>
          </w:p>
        </w:tc>
        <w:tc>
          <w:tcPr>
            <w:tcW w:w="997" w:type="pct"/>
            <w:tcBorders>
              <w:top w:val="single" w:color="auto" w:sz="4" w:space="0"/>
              <w:left w:val="single" w:color="auto" w:sz="4" w:space="0"/>
              <w:bottom w:val="single" w:color="auto" w:sz="4" w:space="0"/>
              <w:right w:val="single" w:color="auto" w:sz="4" w:space="0"/>
            </w:tcBorders>
            <w:vAlign w:val="center"/>
          </w:tcPr>
          <w:p w14:paraId="138CBDA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*电源防护</w:t>
            </w:r>
          </w:p>
        </w:tc>
        <w:tc>
          <w:tcPr>
            <w:tcW w:w="2404" w:type="pct"/>
            <w:tcBorders>
              <w:top w:val="single" w:color="auto" w:sz="4" w:space="0"/>
              <w:left w:val="single" w:color="auto" w:sz="4" w:space="0"/>
              <w:bottom w:val="single" w:color="auto" w:sz="4" w:space="0"/>
              <w:right w:val="single" w:color="auto" w:sz="4" w:space="0"/>
            </w:tcBorders>
            <w:vAlign w:val="center"/>
          </w:tcPr>
          <w:p w14:paraId="6DB4D75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6000V</w:t>
            </w:r>
            <w:r>
              <w:rPr>
                <w:rStyle w:val="224"/>
                <w:rFonts w:hint="eastAsia" w:ascii="方正仿宋_GBK" w:hAnsi="方正仿宋_GBK" w:eastAsia="方正仿宋_GBK" w:cs="方正仿宋_GBK"/>
                <w:color w:val="auto"/>
                <w:sz w:val="24"/>
                <w:szCs w:val="24"/>
                <w:highlight w:val="none"/>
                <w:lang w:val="en-US" w:eastAsia="zh-CN" w:bidi="ar"/>
              </w:rPr>
              <w:t>防雷、防浪涌，过压过流保护</w:t>
            </w:r>
          </w:p>
        </w:tc>
        <w:tc>
          <w:tcPr>
            <w:tcW w:w="1219" w:type="pct"/>
            <w:tcBorders>
              <w:top w:val="single" w:color="auto" w:sz="4" w:space="0"/>
              <w:left w:val="single" w:color="auto" w:sz="4" w:space="0"/>
              <w:bottom w:val="single" w:color="auto" w:sz="4" w:space="0"/>
              <w:right w:val="single" w:color="auto" w:sz="4" w:space="0"/>
            </w:tcBorders>
            <w:vAlign w:val="center"/>
          </w:tcPr>
          <w:p w14:paraId="7E9CFEEF">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24E84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8EE4C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16</w:t>
            </w:r>
          </w:p>
        </w:tc>
        <w:tc>
          <w:tcPr>
            <w:tcW w:w="997" w:type="pct"/>
            <w:tcBorders>
              <w:top w:val="single" w:color="auto" w:sz="4" w:space="0"/>
              <w:left w:val="single" w:color="auto" w:sz="4" w:space="0"/>
              <w:bottom w:val="single" w:color="auto" w:sz="4" w:space="0"/>
              <w:right w:val="single" w:color="auto" w:sz="4" w:space="0"/>
            </w:tcBorders>
            <w:vAlign w:val="center"/>
          </w:tcPr>
          <w:p w14:paraId="56B5C8E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*最大工作湿度</w:t>
            </w:r>
          </w:p>
        </w:tc>
        <w:tc>
          <w:tcPr>
            <w:tcW w:w="2404" w:type="pct"/>
            <w:tcBorders>
              <w:top w:val="single" w:color="auto" w:sz="4" w:space="0"/>
              <w:left w:val="single" w:color="auto" w:sz="4" w:space="0"/>
              <w:bottom w:val="single" w:color="auto" w:sz="4" w:space="0"/>
              <w:right w:val="single" w:color="auto" w:sz="4" w:space="0"/>
            </w:tcBorders>
            <w:vAlign w:val="center"/>
          </w:tcPr>
          <w:p w14:paraId="791250B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≥90%</w:t>
            </w:r>
          </w:p>
        </w:tc>
        <w:tc>
          <w:tcPr>
            <w:tcW w:w="1219" w:type="pct"/>
            <w:tcBorders>
              <w:top w:val="single" w:color="auto" w:sz="4" w:space="0"/>
              <w:left w:val="single" w:color="auto" w:sz="4" w:space="0"/>
              <w:bottom w:val="single" w:color="auto" w:sz="4" w:space="0"/>
              <w:right w:val="single" w:color="auto" w:sz="4" w:space="0"/>
            </w:tcBorders>
            <w:vAlign w:val="center"/>
          </w:tcPr>
          <w:p w14:paraId="5BFBBDD7">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68C8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DAF62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17</w:t>
            </w:r>
          </w:p>
        </w:tc>
        <w:tc>
          <w:tcPr>
            <w:tcW w:w="997" w:type="pct"/>
            <w:tcBorders>
              <w:top w:val="single" w:color="auto" w:sz="4" w:space="0"/>
              <w:left w:val="single" w:color="auto" w:sz="4" w:space="0"/>
              <w:bottom w:val="single" w:color="auto" w:sz="4" w:space="0"/>
              <w:right w:val="single" w:color="auto" w:sz="4" w:space="0"/>
            </w:tcBorders>
            <w:vAlign w:val="center"/>
          </w:tcPr>
          <w:p w14:paraId="4561BC2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*最大功耗</w:t>
            </w:r>
          </w:p>
        </w:tc>
        <w:tc>
          <w:tcPr>
            <w:tcW w:w="2404" w:type="pct"/>
            <w:tcBorders>
              <w:top w:val="single" w:color="auto" w:sz="4" w:space="0"/>
              <w:left w:val="single" w:color="auto" w:sz="4" w:space="0"/>
              <w:bottom w:val="single" w:color="auto" w:sz="4" w:space="0"/>
              <w:right w:val="single" w:color="auto" w:sz="4" w:space="0"/>
            </w:tcBorders>
            <w:vAlign w:val="center"/>
          </w:tcPr>
          <w:p w14:paraId="6F0E3DB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≤90W</w:t>
            </w:r>
          </w:p>
        </w:tc>
        <w:tc>
          <w:tcPr>
            <w:tcW w:w="1219" w:type="pct"/>
            <w:tcBorders>
              <w:top w:val="single" w:color="auto" w:sz="4" w:space="0"/>
              <w:left w:val="single" w:color="auto" w:sz="4" w:space="0"/>
              <w:bottom w:val="single" w:color="auto" w:sz="4" w:space="0"/>
              <w:right w:val="single" w:color="auto" w:sz="4" w:space="0"/>
            </w:tcBorders>
            <w:vAlign w:val="center"/>
          </w:tcPr>
          <w:p w14:paraId="2D2F197F">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7F88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7AD3C91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18</w:t>
            </w:r>
          </w:p>
        </w:tc>
        <w:tc>
          <w:tcPr>
            <w:tcW w:w="997" w:type="pct"/>
            <w:tcBorders>
              <w:top w:val="single" w:color="auto" w:sz="4" w:space="0"/>
              <w:left w:val="single" w:color="auto" w:sz="4" w:space="0"/>
              <w:bottom w:val="single" w:color="auto" w:sz="4" w:space="0"/>
              <w:right w:val="single" w:color="auto" w:sz="4" w:space="0"/>
            </w:tcBorders>
            <w:vAlign w:val="center"/>
          </w:tcPr>
          <w:p w14:paraId="677F4AC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*重量</w:t>
            </w:r>
          </w:p>
        </w:tc>
        <w:tc>
          <w:tcPr>
            <w:tcW w:w="2404" w:type="pct"/>
            <w:tcBorders>
              <w:top w:val="single" w:color="auto" w:sz="4" w:space="0"/>
              <w:left w:val="single" w:color="auto" w:sz="4" w:space="0"/>
              <w:bottom w:val="single" w:color="auto" w:sz="4" w:space="0"/>
              <w:right w:val="single" w:color="auto" w:sz="4" w:space="0"/>
            </w:tcBorders>
            <w:vAlign w:val="center"/>
          </w:tcPr>
          <w:p w14:paraId="322E814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净重</w:t>
            </w:r>
            <w:r>
              <w:rPr>
                <w:rStyle w:val="223"/>
                <w:rFonts w:hint="eastAsia" w:ascii="方正仿宋_GBK" w:hAnsi="方正仿宋_GBK" w:eastAsia="方正仿宋_GBK" w:cs="方正仿宋_GBK"/>
                <w:color w:val="auto"/>
                <w:sz w:val="24"/>
                <w:szCs w:val="24"/>
                <w:highlight w:val="none"/>
                <w:lang w:val="en-US" w:eastAsia="zh-CN" w:bidi="ar"/>
              </w:rPr>
              <w:t>≤15kg</w:t>
            </w:r>
          </w:p>
        </w:tc>
        <w:tc>
          <w:tcPr>
            <w:tcW w:w="1219" w:type="pct"/>
            <w:tcBorders>
              <w:top w:val="single" w:color="auto" w:sz="4" w:space="0"/>
              <w:left w:val="single" w:color="auto" w:sz="4" w:space="0"/>
              <w:bottom w:val="single" w:color="auto" w:sz="4" w:space="0"/>
              <w:right w:val="single" w:color="auto" w:sz="4" w:space="0"/>
            </w:tcBorders>
            <w:vAlign w:val="center"/>
          </w:tcPr>
          <w:p w14:paraId="2F4F9C7A">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2A58D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551"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29F57A4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19</w:t>
            </w:r>
          </w:p>
        </w:tc>
        <w:tc>
          <w:tcPr>
            <w:tcW w:w="997" w:type="pct"/>
            <w:tcBorders>
              <w:top w:val="single" w:color="auto" w:sz="4" w:space="0"/>
              <w:left w:val="single" w:color="auto" w:sz="4" w:space="0"/>
              <w:bottom w:val="single" w:color="auto" w:sz="4" w:space="0"/>
              <w:right w:val="single" w:color="auto" w:sz="4" w:space="0"/>
            </w:tcBorders>
            <w:vAlign w:val="center"/>
          </w:tcPr>
          <w:p w14:paraId="461547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*其他功能</w:t>
            </w:r>
          </w:p>
        </w:tc>
        <w:tc>
          <w:tcPr>
            <w:tcW w:w="2404" w:type="pct"/>
            <w:tcBorders>
              <w:top w:val="single" w:color="auto" w:sz="4" w:space="0"/>
              <w:left w:val="single" w:color="auto" w:sz="4" w:space="0"/>
              <w:bottom w:val="single" w:color="auto" w:sz="4" w:space="0"/>
              <w:right w:val="single" w:color="auto" w:sz="4" w:space="0"/>
            </w:tcBorders>
            <w:vAlign w:val="center"/>
          </w:tcPr>
          <w:p w14:paraId="1D3B455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具备</w:t>
            </w:r>
            <w:r>
              <w:rPr>
                <w:rStyle w:val="224"/>
                <w:rFonts w:hint="eastAsia" w:ascii="方正仿宋_GBK" w:hAnsi="方正仿宋_GBK" w:eastAsia="方正仿宋_GBK" w:cs="方正仿宋_GBK"/>
                <w:color w:val="auto"/>
                <w:sz w:val="24"/>
                <w:szCs w:val="24"/>
                <w:highlight w:val="none"/>
                <w:lang w:val="en-US" w:eastAsia="zh-CN" w:bidi="ar"/>
              </w:rPr>
              <w:t>镜头除雾、镜头防抖、光学透雾、防雨水设计功能；支持全景与细节联动跟踪功能，支持视频加密功能；具备</w:t>
            </w:r>
            <w:r>
              <w:rPr>
                <w:rStyle w:val="223"/>
                <w:rFonts w:hint="eastAsia" w:ascii="方正仿宋_GBK" w:hAnsi="方正仿宋_GBK" w:eastAsia="方正仿宋_GBK" w:cs="方正仿宋_GBK"/>
                <w:color w:val="auto"/>
                <w:sz w:val="24"/>
                <w:szCs w:val="24"/>
                <w:highlight w:val="none"/>
                <w:lang w:val="en-US" w:eastAsia="zh-CN" w:bidi="ar"/>
              </w:rPr>
              <w:t>Micro SD</w:t>
            </w:r>
            <w:r>
              <w:rPr>
                <w:rStyle w:val="224"/>
                <w:rFonts w:hint="eastAsia" w:ascii="方正仿宋_GBK" w:hAnsi="方正仿宋_GBK" w:eastAsia="方正仿宋_GBK" w:cs="方正仿宋_GBK"/>
                <w:color w:val="auto"/>
                <w:sz w:val="24"/>
                <w:szCs w:val="24"/>
                <w:highlight w:val="none"/>
                <w:lang w:val="en-US" w:eastAsia="zh-CN" w:bidi="ar"/>
              </w:rPr>
              <w:t>插槽</w:t>
            </w:r>
            <w:r>
              <w:rPr>
                <w:rStyle w:val="223"/>
                <w:rFonts w:hint="eastAsia" w:ascii="方正仿宋_GBK" w:hAnsi="方正仿宋_GBK" w:eastAsia="方正仿宋_GBK" w:cs="方正仿宋_GBK"/>
                <w:color w:val="auto"/>
                <w:sz w:val="24"/>
                <w:szCs w:val="24"/>
                <w:highlight w:val="none"/>
                <w:lang w:val="en-US" w:eastAsia="zh-CN" w:bidi="ar"/>
              </w:rPr>
              <w:t>*1,</w:t>
            </w:r>
            <w:r>
              <w:rPr>
                <w:rStyle w:val="224"/>
                <w:rFonts w:hint="eastAsia" w:ascii="方正仿宋_GBK" w:hAnsi="方正仿宋_GBK" w:eastAsia="方正仿宋_GBK" w:cs="方正仿宋_GBK"/>
                <w:color w:val="auto"/>
                <w:sz w:val="24"/>
                <w:szCs w:val="24"/>
                <w:highlight w:val="none"/>
                <w:lang w:val="en-US" w:eastAsia="zh-CN" w:bidi="ar"/>
              </w:rPr>
              <w:t>最大支持</w:t>
            </w:r>
            <w:r>
              <w:rPr>
                <w:rStyle w:val="223"/>
                <w:rFonts w:hint="eastAsia" w:ascii="方正仿宋_GBK" w:hAnsi="方正仿宋_GBK" w:eastAsia="方正仿宋_GBK" w:cs="方正仿宋_GBK"/>
                <w:color w:val="auto"/>
                <w:sz w:val="24"/>
                <w:szCs w:val="24"/>
                <w:highlight w:val="none"/>
                <w:lang w:val="en-US" w:eastAsia="zh-CN" w:bidi="ar"/>
              </w:rPr>
              <w:t>512GB</w:t>
            </w:r>
            <w:r>
              <w:rPr>
                <w:rStyle w:val="224"/>
                <w:rFonts w:hint="eastAsia" w:ascii="方正仿宋_GBK" w:hAnsi="方正仿宋_GBK" w:eastAsia="方正仿宋_GBK" w:cs="方正仿宋_GBK"/>
                <w:color w:val="auto"/>
                <w:sz w:val="24"/>
                <w:szCs w:val="24"/>
                <w:highlight w:val="none"/>
                <w:lang w:val="en-US" w:eastAsia="zh-CN" w:bidi="ar"/>
              </w:rPr>
              <w:t>，应配置耐高温、高速</w:t>
            </w:r>
            <w:r>
              <w:rPr>
                <w:rStyle w:val="223"/>
                <w:rFonts w:hint="eastAsia" w:ascii="方正仿宋_GBK" w:hAnsi="方正仿宋_GBK" w:eastAsia="方正仿宋_GBK" w:cs="方正仿宋_GBK"/>
                <w:color w:val="auto"/>
                <w:sz w:val="24"/>
                <w:szCs w:val="24"/>
                <w:highlight w:val="none"/>
                <w:lang w:val="en-US" w:eastAsia="zh-CN" w:bidi="ar"/>
              </w:rPr>
              <w:t>Micro SD</w:t>
            </w:r>
            <w:r>
              <w:rPr>
                <w:rStyle w:val="224"/>
                <w:rFonts w:hint="eastAsia" w:ascii="方正仿宋_GBK" w:hAnsi="方正仿宋_GBK" w:eastAsia="方正仿宋_GBK" w:cs="方正仿宋_GBK"/>
                <w:color w:val="auto"/>
                <w:sz w:val="24"/>
                <w:szCs w:val="24"/>
                <w:highlight w:val="none"/>
                <w:lang w:val="en-US" w:eastAsia="zh-CN" w:bidi="ar"/>
              </w:rPr>
              <w:t>卡的容量满足不低于</w:t>
            </w:r>
            <w:r>
              <w:rPr>
                <w:rStyle w:val="223"/>
                <w:rFonts w:hint="eastAsia" w:ascii="方正仿宋_GBK" w:hAnsi="方正仿宋_GBK" w:eastAsia="方正仿宋_GBK" w:cs="方正仿宋_GBK"/>
                <w:color w:val="auto"/>
                <w:sz w:val="24"/>
                <w:szCs w:val="24"/>
                <w:highlight w:val="none"/>
                <w:lang w:val="en-US" w:eastAsia="zh-CN" w:bidi="ar"/>
              </w:rPr>
              <w:t>1</w:t>
            </w:r>
            <w:r>
              <w:rPr>
                <w:rStyle w:val="224"/>
                <w:rFonts w:hint="eastAsia" w:ascii="方正仿宋_GBK" w:hAnsi="方正仿宋_GBK" w:eastAsia="方正仿宋_GBK" w:cs="方正仿宋_GBK"/>
                <w:color w:val="auto"/>
                <w:sz w:val="24"/>
                <w:szCs w:val="24"/>
                <w:highlight w:val="none"/>
                <w:lang w:val="en-US" w:eastAsia="zh-CN" w:bidi="ar"/>
              </w:rPr>
              <w:t>天的存储需求。</w:t>
            </w:r>
          </w:p>
        </w:tc>
        <w:tc>
          <w:tcPr>
            <w:tcW w:w="1219" w:type="pct"/>
            <w:tcBorders>
              <w:top w:val="single" w:color="auto" w:sz="4" w:space="0"/>
              <w:left w:val="single" w:color="auto" w:sz="4" w:space="0"/>
              <w:bottom w:val="single" w:color="auto" w:sz="4" w:space="0"/>
              <w:right w:val="single" w:color="auto" w:sz="4" w:space="0"/>
            </w:tcBorders>
            <w:vAlign w:val="center"/>
          </w:tcPr>
          <w:p w14:paraId="73E79D8B">
            <w:pPr>
              <w:keepNext w:val="0"/>
              <w:keepLines w:val="0"/>
              <w:pageBreakBefore w:val="0"/>
              <w:widowControl/>
              <w:kinsoku/>
              <w:wordWrap/>
              <w:overflowPunct/>
              <w:topLinePunct w:val="0"/>
              <w:autoSpaceDE/>
              <w:autoSpaceDN/>
              <w:bidi w:val="0"/>
              <w:adjustRightInd/>
              <w:snapToGrid/>
              <w:spacing w:line="400" w:lineRule="exact"/>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20F3C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19FD29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20</w:t>
            </w:r>
          </w:p>
        </w:tc>
        <w:tc>
          <w:tcPr>
            <w:tcW w:w="997" w:type="pct"/>
            <w:tcBorders>
              <w:top w:val="single" w:color="auto" w:sz="4" w:space="0"/>
              <w:left w:val="single" w:color="auto" w:sz="4" w:space="0"/>
              <w:bottom w:val="single" w:color="auto" w:sz="4" w:space="0"/>
              <w:right w:val="single" w:color="auto" w:sz="4" w:space="0"/>
            </w:tcBorders>
            <w:vAlign w:val="center"/>
          </w:tcPr>
          <w:p w14:paraId="3EEBB3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○补光距离</w:t>
            </w:r>
          </w:p>
        </w:tc>
        <w:tc>
          <w:tcPr>
            <w:tcW w:w="2404" w:type="pct"/>
            <w:tcBorders>
              <w:top w:val="single" w:color="auto" w:sz="4" w:space="0"/>
              <w:left w:val="single" w:color="auto" w:sz="4" w:space="0"/>
              <w:bottom w:val="single" w:color="auto" w:sz="4" w:space="0"/>
              <w:right w:val="single" w:color="auto" w:sz="4" w:space="0"/>
            </w:tcBorders>
            <w:vAlign w:val="center"/>
          </w:tcPr>
          <w:p w14:paraId="2536D21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≥250m</w:t>
            </w:r>
          </w:p>
        </w:tc>
        <w:tc>
          <w:tcPr>
            <w:tcW w:w="1219" w:type="pct"/>
            <w:tcBorders>
              <w:top w:val="single" w:color="auto" w:sz="4" w:space="0"/>
              <w:left w:val="single" w:color="auto" w:sz="4" w:space="0"/>
              <w:bottom w:val="single" w:color="auto" w:sz="4" w:space="0"/>
              <w:right w:val="single" w:color="auto" w:sz="4" w:space="0"/>
            </w:tcBorders>
            <w:vAlign w:val="center"/>
          </w:tcPr>
          <w:p w14:paraId="745BEC23">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4BD3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2181C8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21</w:t>
            </w:r>
          </w:p>
        </w:tc>
        <w:tc>
          <w:tcPr>
            <w:tcW w:w="997" w:type="pct"/>
            <w:tcBorders>
              <w:top w:val="single" w:color="auto" w:sz="4" w:space="0"/>
              <w:left w:val="single" w:color="auto" w:sz="4" w:space="0"/>
              <w:bottom w:val="single" w:color="auto" w:sz="4" w:space="0"/>
              <w:right w:val="single" w:color="auto" w:sz="4" w:space="0"/>
            </w:tcBorders>
            <w:vAlign w:val="center"/>
          </w:tcPr>
          <w:p w14:paraId="0DFD52B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○视频编码格式</w:t>
            </w:r>
          </w:p>
        </w:tc>
        <w:tc>
          <w:tcPr>
            <w:tcW w:w="2404" w:type="pct"/>
            <w:tcBorders>
              <w:top w:val="single" w:color="auto" w:sz="4" w:space="0"/>
              <w:left w:val="single" w:color="auto" w:sz="4" w:space="0"/>
              <w:bottom w:val="single" w:color="auto" w:sz="4" w:space="0"/>
              <w:right w:val="single" w:color="auto" w:sz="4" w:space="0"/>
            </w:tcBorders>
            <w:vAlign w:val="center"/>
          </w:tcPr>
          <w:p w14:paraId="50E4F8B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H.265/H.264/MJPEG</w:t>
            </w:r>
          </w:p>
        </w:tc>
        <w:tc>
          <w:tcPr>
            <w:tcW w:w="1219" w:type="pct"/>
            <w:tcBorders>
              <w:top w:val="single" w:color="auto" w:sz="4" w:space="0"/>
              <w:left w:val="single" w:color="auto" w:sz="4" w:space="0"/>
              <w:bottom w:val="single" w:color="auto" w:sz="4" w:space="0"/>
              <w:right w:val="single" w:color="auto" w:sz="4" w:space="0"/>
            </w:tcBorders>
            <w:vAlign w:val="center"/>
          </w:tcPr>
          <w:p w14:paraId="18F0A373">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5ADD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144DAA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22</w:t>
            </w:r>
          </w:p>
        </w:tc>
        <w:tc>
          <w:tcPr>
            <w:tcW w:w="997" w:type="pct"/>
            <w:tcBorders>
              <w:top w:val="single" w:color="auto" w:sz="4" w:space="0"/>
              <w:left w:val="single" w:color="auto" w:sz="4" w:space="0"/>
              <w:bottom w:val="single" w:color="auto" w:sz="4" w:space="0"/>
              <w:right w:val="single" w:color="auto" w:sz="4" w:space="0"/>
            </w:tcBorders>
            <w:vAlign w:val="center"/>
          </w:tcPr>
          <w:p w14:paraId="0DA5CC4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○网络接口</w:t>
            </w:r>
          </w:p>
        </w:tc>
        <w:tc>
          <w:tcPr>
            <w:tcW w:w="2404" w:type="pct"/>
            <w:tcBorders>
              <w:top w:val="single" w:color="auto" w:sz="4" w:space="0"/>
              <w:left w:val="single" w:color="auto" w:sz="4" w:space="0"/>
              <w:bottom w:val="single" w:color="auto" w:sz="4" w:space="0"/>
              <w:right w:val="single" w:color="auto" w:sz="4" w:space="0"/>
            </w:tcBorders>
            <w:vAlign w:val="center"/>
          </w:tcPr>
          <w:p w14:paraId="37D4F42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不少于</w:t>
            </w:r>
            <w:r>
              <w:rPr>
                <w:rStyle w:val="223"/>
                <w:rFonts w:hint="eastAsia" w:ascii="方正仿宋_GBK" w:hAnsi="方正仿宋_GBK" w:eastAsia="方正仿宋_GBK" w:cs="方正仿宋_GBK"/>
                <w:color w:val="auto"/>
                <w:sz w:val="24"/>
                <w:szCs w:val="24"/>
                <w:highlight w:val="none"/>
                <w:lang w:val="en-US" w:eastAsia="zh-CN" w:bidi="ar"/>
              </w:rPr>
              <w:t>1</w:t>
            </w:r>
            <w:r>
              <w:rPr>
                <w:rStyle w:val="224"/>
                <w:rFonts w:hint="eastAsia" w:ascii="方正仿宋_GBK" w:hAnsi="方正仿宋_GBK" w:eastAsia="方正仿宋_GBK" w:cs="方正仿宋_GBK"/>
                <w:color w:val="auto"/>
                <w:sz w:val="24"/>
                <w:szCs w:val="24"/>
                <w:highlight w:val="none"/>
                <w:lang w:val="en-US" w:eastAsia="zh-CN" w:bidi="ar"/>
              </w:rPr>
              <w:t>个</w:t>
            </w:r>
            <w:r>
              <w:rPr>
                <w:rStyle w:val="223"/>
                <w:rFonts w:hint="eastAsia" w:ascii="方正仿宋_GBK" w:hAnsi="方正仿宋_GBK" w:eastAsia="方正仿宋_GBK" w:cs="方正仿宋_GBK"/>
                <w:color w:val="auto"/>
                <w:sz w:val="24"/>
                <w:szCs w:val="24"/>
                <w:highlight w:val="none"/>
                <w:lang w:val="en-US" w:eastAsia="zh-CN" w:bidi="ar"/>
              </w:rPr>
              <w:t>10M/100M/1000M</w:t>
            </w:r>
            <w:r>
              <w:rPr>
                <w:rStyle w:val="224"/>
                <w:rFonts w:hint="eastAsia" w:ascii="方正仿宋_GBK" w:hAnsi="方正仿宋_GBK" w:eastAsia="方正仿宋_GBK" w:cs="方正仿宋_GBK"/>
                <w:color w:val="auto"/>
                <w:sz w:val="24"/>
                <w:szCs w:val="24"/>
                <w:highlight w:val="none"/>
                <w:lang w:val="en-US" w:eastAsia="zh-CN" w:bidi="ar"/>
              </w:rPr>
              <w:t>自适应</w:t>
            </w:r>
            <w:r>
              <w:rPr>
                <w:rStyle w:val="223"/>
                <w:rFonts w:hint="eastAsia" w:ascii="方正仿宋_GBK" w:hAnsi="方正仿宋_GBK" w:eastAsia="方正仿宋_GBK" w:cs="方正仿宋_GBK"/>
                <w:color w:val="auto"/>
                <w:sz w:val="24"/>
                <w:szCs w:val="24"/>
                <w:highlight w:val="none"/>
                <w:lang w:val="en-US" w:eastAsia="zh-CN" w:bidi="ar"/>
              </w:rPr>
              <w:t>RJ45</w:t>
            </w:r>
            <w:r>
              <w:rPr>
                <w:rStyle w:val="224"/>
                <w:rFonts w:hint="eastAsia" w:ascii="方正仿宋_GBK" w:hAnsi="方正仿宋_GBK" w:eastAsia="方正仿宋_GBK" w:cs="方正仿宋_GBK"/>
                <w:color w:val="auto"/>
                <w:sz w:val="24"/>
                <w:szCs w:val="24"/>
                <w:highlight w:val="none"/>
                <w:lang w:val="en-US" w:eastAsia="zh-CN" w:bidi="ar"/>
              </w:rPr>
              <w:t>网口，不少于</w:t>
            </w:r>
            <w:r>
              <w:rPr>
                <w:rStyle w:val="223"/>
                <w:rFonts w:hint="eastAsia" w:ascii="方正仿宋_GBK" w:hAnsi="方正仿宋_GBK" w:eastAsia="方正仿宋_GBK" w:cs="方正仿宋_GBK"/>
                <w:color w:val="auto"/>
                <w:sz w:val="24"/>
                <w:szCs w:val="24"/>
                <w:highlight w:val="none"/>
                <w:lang w:val="en-US" w:eastAsia="zh-CN" w:bidi="ar"/>
              </w:rPr>
              <w:t>1</w:t>
            </w:r>
            <w:r>
              <w:rPr>
                <w:rStyle w:val="224"/>
                <w:rFonts w:hint="eastAsia" w:ascii="方正仿宋_GBK" w:hAnsi="方正仿宋_GBK" w:eastAsia="方正仿宋_GBK" w:cs="方正仿宋_GBK"/>
                <w:color w:val="auto"/>
                <w:sz w:val="24"/>
                <w:szCs w:val="24"/>
                <w:highlight w:val="none"/>
                <w:lang w:val="en-US" w:eastAsia="zh-CN" w:bidi="ar"/>
              </w:rPr>
              <w:t>个光纤接口</w:t>
            </w:r>
          </w:p>
        </w:tc>
        <w:tc>
          <w:tcPr>
            <w:tcW w:w="1219" w:type="pct"/>
            <w:tcBorders>
              <w:top w:val="single" w:color="auto" w:sz="4" w:space="0"/>
              <w:left w:val="single" w:color="auto" w:sz="4" w:space="0"/>
              <w:bottom w:val="single" w:color="auto" w:sz="4" w:space="0"/>
              <w:right w:val="single" w:color="auto" w:sz="4" w:space="0"/>
            </w:tcBorders>
            <w:vAlign w:val="center"/>
          </w:tcPr>
          <w:p w14:paraId="78E35047">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66C0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9BCD0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23</w:t>
            </w:r>
          </w:p>
        </w:tc>
        <w:tc>
          <w:tcPr>
            <w:tcW w:w="997" w:type="pct"/>
            <w:tcBorders>
              <w:top w:val="single" w:color="auto" w:sz="4" w:space="0"/>
              <w:left w:val="single" w:color="auto" w:sz="4" w:space="0"/>
              <w:bottom w:val="single" w:color="auto" w:sz="4" w:space="0"/>
              <w:right w:val="single" w:color="auto" w:sz="4" w:space="0"/>
            </w:tcBorders>
            <w:vAlign w:val="center"/>
          </w:tcPr>
          <w:p w14:paraId="667529B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○输入输出</w:t>
            </w:r>
          </w:p>
        </w:tc>
        <w:tc>
          <w:tcPr>
            <w:tcW w:w="2404" w:type="pct"/>
            <w:tcBorders>
              <w:top w:val="single" w:color="auto" w:sz="4" w:space="0"/>
              <w:left w:val="single" w:color="auto" w:sz="4" w:space="0"/>
              <w:bottom w:val="single" w:color="auto" w:sz="4" w:space="0"/>
              <w:right w:val="single" w:color="auto" w:sz="4" w:space="0"/>
            </w:tcBorders>
            <w:vAlign w:val="center"/>
          </w:tcPr>
          <w:p w14:paraId="6C245F0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7</w:t>
            </w:r>
            <w:r>
              <w:rPr>
                <w:rStyle w:val="224"/>
                <w:rFonts w:hint="eastAsia" w:ascii="方正仿宋_GBK" w:hAnsi="方正仿宋_GBK" w:eastAsia="方正仿宋_GBK" w:cs="方正仿宋_GBK"/>
                <w:color w:val="auto"/>
                <w:sz w:val="24"/>
                <w:szCs w:val="24"/>
                <w:highlight w:val="none"/>
                <w:lang w:val="en-US" w:eastAsia="zh-CN" w:bidi="ar"/>
              </w:rPr>
              <w:t>路报警输入，</w:t>
            </w:r>
            <w:r>
              <w:rPr>
                <w:rStyle w:val="223"/>
                <w:rFonts w:hint="eastAsia" w:ascii="方正仿宋_GBK" w:hAnsi="方正仿宋_GBK" w:eastAsia="方正仿宋_GBK" w:cs="方正仿宋_GBK"/>
                <w:color w:val="auto"/>
                <w:sz w:val="24"/>
                <w:szCs w:val="24"/>
                <w:highlight w:val="none"/>
                <w:lang w:val="en-US" w:eastAsia="zh-CN" w:bidi="ar"/>
              </w:rPr>
              <w:t>2</w:t>
            </w:r>
            <w:r>
              <w:rPr>
                <w:rStyle w:val="224"/>
                <w:rFonts w:hint="eastAsia" w:ascii="方正仿宋_GBK" w:hAnsi="方正仿宋_GBK" w:eastAsia="方正仿宋_GBK" w:cs="方正仿宋_GBK"/>
                <w:color w:val="auto"/>
                <w:sz w:val="24"/>
                <w:szCs w:val="24"/>
                <w:highlight w:val="none"/>
                <w:lang w:val="en-US" w:eastAsia="zh-CN" w:bidi="ar"/>
              </w:rPr>
              <w:t>路报警输出，</w:t>
            </w:r>
            <w:r>
              <w:rPr>
                <w:rStyle w:val="223"/>
                <w:rFonts w:hint="eastAsia" w:ascii="方正仿宋_GBK" w:hAnsi="方正仿宋_GBK" w:eastAsia="方正仿宋_GBK" w:cs="方正仿宋_GBK"/>
                <w:color w:val="auto"/>
                <w:sz w:val="24"/>
                <w:szCs w:val="24"/>
                <w:highlight w:val="none"/>
                <w:lang w:val="en-US" w:eastAsia="zh-CN" w:bidi="ar"/>
              </w:rPr>
              <w:t>1</w:t>
            </w:r>
            <w:r>
              <w:rPr>
                <w:rStyle w:val="224"/>
                <w:rFonts w:hint="eastAsia" w:ascii="方正仿宋_GBK" w:hAnsi="方正仿宋_GBK" w:eastAsia="方正仿宋_GBK" w:cs="方正仿宋_GBK"/>
                <w:color w:val="auto"/>
                <w:sz w:val="24"/>
                <w:szCs w:val="24"/>
                <w:highlight w:val="none"/>
                <w:lang w:val="en-US" w:eastAsia="zh-CN" w:bidi="ar"/>
              </w:rPr>
              <w:t>路音频输入，</w:t>
            </w:r>
            <w:r>
              <w:rPr>
                <w:rStyle w:val="223"/>
                <w:rFonts w:hint="eastAsia" w:ascii="方正仿宋_GBK" w:hAnsi="方正仿宋_GBK" w:eastAsia="方正仿宋_GBK" w:cs="方正仿宋_GBK"/>
                <w:color w:val="auto"/>
                <w:sz w:val="24"/>
                <w:szCs w:val="24"/>
                <w:highlight w:val="none"/>
                <w:lang w:val="en-US" w:eastAsia="zh-CN" w:bidi="ar"/>
              </w:rPr>
              <w:t>1</w:t>
            </w:r>
            <w:r>
              <w:rPr>
                <w:rStyle w:val="224"/>
                <w:rFonts w:hint="eastAsia" w:ascii="方正仿宋_GBK" w:hAnsi="方正仿宋_GBK" w:eastAsia="方正仿宋_GBK" w:cs="方正仿宋_GBK"/>
                <w:color w:val="auto"/>
                <w:sz w:val="24"/>
                <w:szCs w:val="24"/>
                <w:highlight w:val="none"/>
                <w:lang w:val="en-US" w:eastAsia="zh-CN" w:bidi="ar"/>
              </w:rPr>
              <w:t>路音频输出</w:t>
            </w:r>
          </w:p>
        </w:tc>
        <w:tc>
          <w:tcPr>
            <w:tcW w:w="1219" w:type="pct"/>
            <w:tcBorders>
              <w:top w:val="single" w:color="auto" w:sz="4" w:space="0"/>
              <w:left w:val="single" w:color="auto" w:sz="4" w:space="0"/>
              <w:bottom w:val="single" w:color="auto" w:sz="4" w:space="0"/>
              <w:right w:val="single" w:color="auto" w:sz="4" w:space="0"/>
            </w:tcBorders>
            <w:vAlign w:val="center"/>
          </w:tcPr>
          <w:p w14:paraId="2D934D52">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bookmarkEnd w:id="195"/>
      <w:tr w14:paraId="46A76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181D49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24</w:t>
            </w:r>
          </w:p>
        </w:tc>
        <w:tc>
          <w:tcPr>
            <w:tcW w:w="997" w:type="pct"/>
            <w:tcBorders>
              <w:top w:val="single" w:color="auto" w:sz="4" w:space="0"/>
              <w:left w:val="single" w:color="auto" w:sz="4" w:space="0"/>
              <w:bottom w:val="single" w:color="auto" w:sz="4" w:space="0"/>
              <w:right w:val="single" w:color="auto" w:sz="4" w:space="0"/>
            </w:tcBorders>
            <w:vAlign w:val="center"/>
          </w:tcPr>
          <w:p w14:paraId="172FCE9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○电源</w:t>
            </w:r>
          </w:p>
        </w:tc>
        <w:tc>
          <w:tcPr>
            <w:tcW w:w="2404" w:type="pct"/>
            <w:tcBorders>
              <w:top w:val="single" w:color="auto" w:sz="4" w:space="0"/>
              <w:left w:val="single" w:color="auto" w:sz="4" w:space="0"/>
              <w:bottom w:val="single" w:color="auto" w:sz="4" w:space="0"/>
              <w:right w:val="single" w:color="auto" w:sz="4" w:space="0"/>
            </w:tcBorders>
            <w:vAlign w:val="center"/>
          </w:tcPr>
          <w:p w14:paraId="67F6D19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DC 24V</w:t>
            </w:r>
            <w:r>
              <w:rPr>
                <w:rStyle w:val="224"/>
                <w:rFonts w:hint="eastAsia" w:ascii="方正仿宋_GBK" w:hAnsi="方正仿宋_GBK" w:eastAsia="方正仿宋_GBK" w:cs="方正仿宋_GBK"/>
                <w:color w:val="auto"/>
                <w:sz w:val="24"/>
                <w:szCs w:val="24"/>
                <w:highlight w:val="none"/>
                <w:lang w:val="en-US" w:eastAsia="zh-CN" w:bidi="ar"/>
              </w:rPr>
              <w:t>或</w:t>
            </w:r>
            <w:r>
              <w:rPr>
                <w:rStyle w:val="223"/>
                <w:rFonts w:hint="eastAsia" w:ascii="方正仿宋_GBK" w:hAnsi="方正仿宋_GBK" w:eastAsia="方正仿宋_GBK" w:cs="方正仿宋_GBK"/>
                <w:color w:val="auto"/>
                <w:sz w:val="24"/>
                <w:szCs w:val="24"/>
                <w:highlight w:val="none"/>
                <w:lang w:val="en-US" w:eastAsia="zh-CN" w:bidi="ar"/>
              </w:rPr>
              <w:t>36V,</w:t>
            </w:r>
            <w:r>
              <w:rPr>
                <w:rStyle w:val="224"/>
                <w:rFonts w:hint="eastAsia" w:ascii="方正仿宋_GBK" w:hAnsi="方正仿宋_GBK" w:eastAsia="方正仿宋_GBK" w:cs="方正仿宋_GBK"/>
                <w:color w:val="auto"/>
                <w:sz w:val="24"/>
                <w:szCs w:val="24"/>
                <w:highlight w:val="none"/>
                <w:lang w:val="en-US" w:eastAsia="zh-CN" w:bidi="ar"/>
              </w:rPr>
              <w:t>自带适配器</w:t>
            </w:r>
          </w:p>
        </w:tc>
        <w:tc>
          <w:tcPr>
            <w:tcW w:w="1219" w:type="pct"/>
            <w:tcBorders>
              <w:top w:val="single" w:color="auto" w:sz="4" w:space="0"/>
              <w:left w:val="single" w:color="auto" w:sz="4" w:space="0"/>
              <w:bottom w:val="single" w:color="auto" w:sz="4" w:space="0"/>
              <w:right w:val="single" w:color="auto" w:sz="4" w:space="0"/>
            </w:tcBorders>
            <w:vAlign w:val="center"/>
          </w:tcPr>
          <w:p w14:paraId="27A1AF60">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66BD6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02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710E7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25</w:t>
            </w:r>
          </w:p>
        </w:tc>
        <w:tc>
          <w:tcPr>
            <w:tcW w:w="997" w:type="pct"/>
            <w:tcBorders>
              <w:top w:val="single" w:color="auto" w:sz="4" w:space="0"/>
              <w:left w:val="single" w:color="auto" w:sz="4" w:space="0"/>
              <w:bottom w:val="single" w:color="auto" w:sz="4" w:space="0"/>
              <w:right w:val="single" w:color="auto" w:sz="4" w:space="0"/>
            </w:tcBorders>
            <w:vAlign w:val="center"/>
          </w:tcPr>
          <w:p w14:paraId="592B635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○功能特性</w:t>
            </w:r>
          </w:p>
        </w:tc>
        <w:tc>
          <w:tcPr>
            <w:tcW w:w="2404" w:type="pct"/>
            <w:tcBorders>
              <w:top w:val="single" w:color="auto" w:sz="4" w:space="0"/>
              <w:left w:val="single" w:color="auto" w:sz="4" w:space="0"/>
              <w:bottom w:val="single" w:color="auto" w:sz="4" w:space="0"/>
              <w:right w:val="single" w:color="auto" w:sz="4" w:space="0"/>
            </w:tcBorders>
            <w:vAlign w:val="center"/>
          </w:tcPr>
          <w:p w14:paraId="64CE315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具备</w:t>
            </w:r>
            <w:r>
              <w:rPr>
                <w:rStyle w:val="224"/>
                <w:rFonts w:hint="eastAsia" w:ascii="方正仿宋_GBK" w:hAnsi="方正仿宋_GBK" w:eastAsia="方正仿宋_GBK" w:cs="方正仿宋_GBK"/>
                <w:color w:val="auto"/>
                <w:sz w:val="24"/>
                <w:szCs w:val="24"/>
                <w:highlight w:val="none"/>
                <w:lang w:val="en-US" w:eastAsia="zh-CN" w:bidi="ar"/>
              </w:rPr>
              <w:t>人员密度检测，人、车、非机动车检测，支持数据结构化</w:t>
            </w:r>
          </w:p>
        </w:tc>
        <w:tc>
          <w:tcPr>
            <w:tcW w:w="1219" w:type="pct"/>
            <w:tcBorders>
              <w:top w:val="single" w:color="auto" w:sz="4" w:space="0"/>
              <w:left w:val="single" w:color="auto" w:sz="4" w:space="0"/>
              <w:bottom w:val="single" w:color="auto" w:sz="4" w:space="0"/>
              <w:right w:val="single" w:color="auto" w:sz="4" w:space="0"/>
            </w:tcBorders>
            <w:vAlign w:val="center"/>
          </w:tcPr>
          <w:p w14:paraId="6797517C">
            <w:pPr>
              <w:keepNext w:val="0"/>
              <w:keepLines w:val="0"/>
              <w:pageBreakBefore w:val="0"/>
              <w:widowControl/>
              <w:kinsoku/>
              <w:wordWrap/>
              <w:overflowPunct/>
              <w:topLinePunct w:val="0"/>
              <w:autoSpaceDE/>
              <w:autoSpaceDN/>
              <w:bidi w:val="0"/>
              <w:adjustRightInd/>
              <w:snapToGrid/>
              <w:spacing w:line="400" w:lineRule="exact"/>
              <w:jc w:val="both"/>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bl>
    <w:p w14:paraId="203A904F">
      <w:pPr>
        <w:rPr>
          <w:rFonts w:hint="eastAsia"/>
          <w:color w:val="auto"/>
          <w:highlight w:val="none"/>
        </w:rPr>
      </w:pPr>
    </w:p>
    <w:p w14:paraId="72F2FE8B">
      <w:pPr>
        <w:spacing w:line="400" w:lineRule="exact"/>
        <w:ind w:firstLine="482" w:firstLineChars="200"/>
        <w:outlineLvl w:val="2"/>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w:t>
      </w:r>
      <w:r>
        <w:rPr>
          <w:rFonts w:hint="eastAsia" w:ascii="方正仿宋_GBK" w:hAnsi="宋体" w:eastAsia="方正仿宋_GBK"/>
          <w:b/>
          <w:bCs/>
          <w:color w:val="auto"/>
          <w:sz w:val="24"/>
          <w:szCs w:val="24"/>
          <w:highlight w:val="none"/>
          <w:lang w:eastAsia="zh-CN"/>
        </w:rPr>
        <w:t>二</w:t>
      </w:r>
      <w:r>
        <w:rPr>
          <w:rFonts w:hint="eastAsia" w:ascii="方正仿宋_GBK" w:hAnsi="宋体" w:eastAsia="方正仿宋_GBK"/>
          <w:b/>
          <w:bCs/>
          <w:color w:val="auto"/>
          <w:sz w:val="24"/>
          <w:szCs w:val="24"/>
          <w:highlight w:val="none"/>
        </w:rPr>
        <w:t>）特写感知设备</w:t>
      </w:r>
    </w:p>
    <w:p w14:paraId="6F1C1E24">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（设备具备固定视角感知组件和自由转动感知组件，实现远距离大范围画面捕捉的同时，能灵活调整角度并聚焦近距离细节）</w:t>
      </w:r>
    </w:p>
    <w:tbl>
      <w:tblPr>
        <w:tblStyle w:val="58"/>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85" w:type="dxa"/>
          <w:bottom w:w="0" w:type="dxa"/>
          <w:right w:w="85" w:type="dxa"/>
        </w:tblCellMar>
      </w:tblPr>
      <w:tblGrid>
        <w:gridCol w:w="719"/>
        <w:gridCol w:w="1907"/>
        <w:gridCol w:w="4606"/>
        <w:gridCol w:w="2335"/>
      </w:tblGrid>
      <w:tr w14:paraId="47006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601" w:hRule="atLeast"/>
          <w:tblHeader/>
        </w:trPr>
        <w:tc>
          <w:tcPr>
            <w:tcW w:w="376" w:type="pct"/>
            <w:tcBorders>
              <w:top w:val="single" w:color="auto" w:sz="4" w:space="0"/>
              <w:left w:val="single" w:color="auto" w:sz="4" w:space="0"/>
              <w:right w:val="single" w:color="auto" w:sz="4" w:space="0"/>
            </w:tcBorders>
            <w:vAlign w:val="center"/>
          </w:tcPr>
          <w:p w14:paraId="139A11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序号</w:t>
            </w:r>
          </w:p>
        </w:tc>
        <w:tc>
          <w:tcPr>
            <w:tcW w:w="996" w:type="pct"/>
            <w:tcBorders>
              <w:top w:val="single" w:color="auto" w:sz="4" w:space="0"/>
              <w:left w:val="single" w:color="auto" w:sz="4" w:space="0"/>
              <w:right w:val="single" w:color="auto" w:sz="4" w:space="0"/>
            </w:tcBorders>
            <w:vAlign w:val="center"/>
          </w:tcPr>
          <w:p w14:paraId="6AB905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指标名称</w:t>
            </w:r>
          </w:p>
        </w:tc>
        <w:tc>
          <w:tcPr>
            <w:tcW w:w="2406" w:type="pct"/>
            <w:tcBorders>
              <w:top w:val="single" w:color="auto" w:sz="4" w:space="0"/>
              <w:left w:val="single" w:color="auto" w:sz="4" w:space="0"/>
              <w:bottom w:val="single" w:color="auto" w:sz="4" w:space="0"/>
              <w:right w:val="single" w:color="auto" w:sz="4" w:space="0"/>
            </w:tcBorders>
            <w:vAlign w:val="center"/>
          </w:tcPr>
          <w:p w14:paraId="72D5F9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指标值</w:t>
            </w:r>
          </w:p>
        </w:tc>
        <w:tc>
          <w:tcPr>
            <w:tcW w:w="1220" w:type="pct"/>
            <w:tcBorders>
              <w:top w:val="single" w:color="auto" w:sz="4" w:space="0"/>
              <w:left w:val="single" w:color="auto" w:sz="4" w:space="0"/>
              <w:right w:val="single" w:color="auto" w:sz="4" w:space="0"/>
            </w:tcBorders>
            <w:vAlign w:val="center"/>
          </w:tcPr>
          <w:p w14:paraId="72EBD8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备注</w:t>
            </w:r>
          </w:p>
        </w:tc>
      </w:tr>
      <w:tr w14:paraId="09A90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46A740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w:t>
            </w:r>
          </w:p>
        </w:tc>
        <w:tc>
          <w:tcPr>
            <w:tcW w:w="996" w:type="pct"/>
            <w:tcBorders>
              <w:top w:val="single" w:color="auto" w:sz="4" w:space="0"/>
              <w:left w:val="single" w:color="auto" w:sz="4" w:space="0"/>
              <w:bottom w:val="single" w:color="auto" w:sz="4" w:space="0"/>
              <w:right w:val="single" w:color="auto" w:sz="4" w:space="0"/>
            </w:tcBorders>
            <w:vAlign w:val="center"/>
          </w:tcPr>
          <w:p w14:paraId="23035F4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※图像传感器</w:t>
            </w:r>
          </w:p>
        </w:tc>
        <w:tc>
          <w:tcPr>
            <w:tcW w:w="2406" w:type="pct"/>
            <w:tcBorders>
              <w:top w:val="single" w:color="auto" w:sz="4" w:space="0"/>
              <w:left w:val="single" w:color="auto" w:sz="4" w:space="0"/>
              <w:bottom w:val="single" w:color="auto" w:sz="4" w:space="0"/>
              <w:right w:val="single" w:color="auto" w:sz="4" w:space="0"/>
            </w:tcBorders>
            <w:vAlign w:val="center"/>
          </w:tcPr>
          <w:p w14:paraId="2B18421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全景通道：不少于2个CMOS图像传感器，传感器靶面尺寸均为1/1.8"</w:t>
            </w:r>
          </w:p>
          <w:p w14:paraId="44A3BF3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细节通道：CMOS图像传感器，传感器靶面尺寸均为1/1.8"</w:t>
            </w:r>
          </w:p>
        </w:tc>
        <w:tc>
          <w:tcPr>
            <w:tcW w:w="1220" w:type="pct"/>
            <w:tcBorders>
              <w:top w:val="single" w:color="auto" w:sz="4" w:space="0"/>
              <w:left w:val="single" w:color="auto" w:sz="4" w:space="0"/>
              <w:bottom w:val="single" w:color="auto" w:sz="4" w:space="0"/>
              <w:right w:val="single" w:color="auto" w:sz="4" w:space="0"/>
            </w:tcBorders>
            <w:vAlign w:val="center"/>
          </w:tcPr>
          <w:p w14:paraId="68D286F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6F2F5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41103F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w:t>
            </w:r>
          </w:p>
        </w:tc>
        <w:tc>
          <w:tcPr>
            <w:tcW w:w="996" w:type="pct"/>
            <w:tcBorders>
              <w:top w:val="single" w:color="auto" w:sz="4" w:space="0"/>
              <w:left w:val="single" w:color="auto" w:sz="4" w:space="0"/>
              <w:bottom w:val="single" w:color="auto" w:sz="4" w:space="0"/>
              <w:right w:val="single" w:color="auto" w:sz="4" w:space="0"/>
            </w:tcBorders>
            <w:vAlign w:val="center"/>
          </w:tcPr>
          <w:p w14:paraId="742D35E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※GPU芯片</w:t>
            </w:r>
          </w:p>
        </w:tc>
        <w:tc>
          <w:tcPr>
            <w:tcW w:w="2406" w:type="pct"/>
            <w:tcBorders>
              <w:top w:val="single" w:color="auto" w:sz="4" w:space="0"/>
              <w:left w:val="single" w:color="auto" w:sz="4" w:space="0"/>
              <w:bottom w:val="single" w:color="auto" w:sz="4" w:space="0"/>
              <w:right w:val="single" w:color="auto" w:sz="4" w:space="0"/>
            </w:tcBorders>
            <w:vAlign w:val="center"/>
          </w:tcPr>
          <w:p w14:paraId="458AF5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内置GPU芯片</w:t>
            </w:r>
          </w:p>
        </w:tc>
        <w:tc>
          <w:tcPr>
            <w:tcW w:w="1220" w:type="pct"/>
            <w:tcBorders>
              <w:top w:val="single" w:color="auto" w:sz="4" w:space="0"/>
              <w:left w:val="single" w:color="auto" w:sz="4" w:space="0"/>
              <w:bottom w:val="single" w:color="auto" w:sz="4" w:space="0"/>
              <w:right w:val="single" w:color="auto" w:sz="4" w:space="0"/>
            </w:tcBorders>
            <w:vAlign w:val="center"/>
          </w:tcPr>
          <w:p w14:paraId="3B2B8EF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11FE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22A897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3</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6C60AC7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※光学变焦</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79A4D3F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细节通道：最大焦距≥220mm（最大焦距与最小焦距的比值≥40）</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46C3EB7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3EBCE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1545B2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4</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7FCF1CE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※全景视场角</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3C22B0C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水平视场角：≥180°，垂直视场角：≥80°</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5C9F70F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338A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5C9DBF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5</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04A4181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※工作温度</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7E2BD38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-40 ℃~70 ℃；</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2941C66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7DF1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6DA4F7B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6</w:t>
            </w:r>
          </w:p>
        </w:tc>
        <w:tc>
          <w:tcPr>
            <w:tcW w:w="996" w:type="pct"/>
            <w:tcBorders>
              <w:top w:val="single" w:color="auto" w:sz="4" w:space="0"/>
              <w:left w:val="single" w:color="auto" w:sz="4" w:space="0"/>
              <w:bottom w:val="single" w:color="auto" w:sz="4" w:space="0"/>
              <w:right w:val="single" w:color="auto" w:sz="4" w:space="0"/>
            </w:tcBorders>
            <w:vAlign w:val="center"/>
          </w:tcPr>
          <w:p w14:paraId="16C33F0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*畸变矫正</w:t>
            </w:r>
          </w:p>
        </w:tc>
        <w:tc>
          <w:tcPr>
            <w:tcW w:w="2406" w:type="pct"/>
            <w:tcBorders>
              <w:top w:val="single" w:color="auto" w:sz="4" w:space="0"/>
              <w:left w:val="single" w:color="auto" w:sz="4" w:space="0"/>
              <w:bottom w:val="single" w:color="auto" w:sz="4" w:space="0"/>
              <w:right w:val="single" w:color="auto" w:sz="4" w:space="0"/>
            </w:tcBorders>
            <w:vAlign w:val="center"/>
          </w:tcPr>
          <w:p w14:paraId="32EA8A1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全景通道支持拼接畸变矫正</w:t>
            </w:r>
          </w:p>
        </w:tc>
        <w:tc>
          <w:tcPr>
            <w:tcW w:w="1220" w:type="pct"/>
            <w:tcBorders>
              <w:top w:val="single" w:color="auto" w:sz="4" w:space="0"/>
              <w:left w:val="single" w:color="auto" w:sz="4" w:space="0"/>
              <w:bottom w:val="single" w:color="auto" w:sz="4" w:space="0"/>
              <w:right w:val="single" w:color="auto" w:sz="4" w:space="0"/>
            </w:tcBorders>
            <w:vAlign w:val="center"/>
          </w:tcPr>
          <w:p w14:paraId="48FAF44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6D2AF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08EBDC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7</w:t>
            </w:r>
          </w:p>
        </w:tc>
        <w:tc>
          <w:tcPr>
            <w:tcW w:w="996" w:type="pct"/>
            <w:tcBorders>
              <w:top w:val="single" w:color="auto" w:sz="4" w:space="0"/>
              <w:left w:val="single" w:color="auto" w:sz="4" w:space="0"/>
              <w:bottom w:val="single" w:color="auto" w:sz="4" w:space="0"/>
              <w:right w:val="single" w:color="auto" w:sz="4" w:space="0"/>
            </w:tcBorders>
            <w:vAlign w:val="center"/>
          </w:tcPr>
          <w:p w14:paraId="7CBFF51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*最大像素值</w:t>
            </w:r>
          </w:p>
        </w:tc>
        <w:tc>
          <w:tcPr>
            <w:tcW w:w="2406" w:type="pct"/>
            <w:tcBorders>
              <w:top w:val="single" w:color="auto" w:sz="4" w:space="0"/>
              <w:left w:val="single" w:color="auto" w:sz="4" w:space="0"/>
              <w:bottom w:val="single" w:color="auto" w:sz="4" w:space="0"/>
              <w:right w:val="single" w:color="auto" w:sz="4" w:space="0"/>
            </w:tcBorders>
            <w:vAlign w:val="center"/>
          </w:tcPr>
          <w:p w14:paraId="7E14211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全景通道：≥600万像素；细节通道：≥400万像素。</w:t>
            </w:r>
          </w:p>
        </w:tc>
        <w:tc>
          <w:tcPr>
            <w:tcW w:w="1220" w:type="pct"/>
            <w:tcBorders>
              <w:top w:val="single" w:color="auto" w:sz="4" w:space="0"/>
              <w:left w:val="single" w:color="auto" w:sz="4" w:space="0"/>
              <w:bottom w:val="single" w:color="auto" w:sz="4" w:space="0"/>
              <w:right w:val="single" w:color="auto" w:sz="4" w:space="0"/>
            </w:tcBorders>
            <w:vAlign w:val="center"/>
          </w:tcPr>
          <w:p w14:paraId="56D2A5C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788E8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06226B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8</w:t>
            </w:r>
          </w:p>
        </w:tc>
        <w:tc>
          <w:tcPr>
            <w:tcW w:w="996" w:type="pct"/>
            <w:tcBorders>
              <w:top w:val="single" w:color="auto" w:sz="4" w:space="0"/>
              <w:left w:val="single" w:color="auto" w:sz="4" w:space="0"/>
              <w:bottom w:val="single" w:color="auto" w:sz="4" w:space="0"/>
              <w:right w:val="single" w:color="auto" w:sz="4" w:space="0"/>
            </w:tcBorders>
            <w:vAlign w:val="center"/>
          </w:tcPr>
          <w:p w14:paraId="43324CB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*帧率</w:t>
            </w:r>
          </w:p>
        </w:tc>
        <w:tc>
          <w:tcPr>
            <w:tcW w:w="2406" w:type="pct"/>
            <w:tcBorders>
              <w:top w:val="single" w:color="auto" w:sz="4" w:space="0"/>
              <w:left w:val="single" w:color="auto" w:sz="4" w:space="0"/>
              <w:bottom w:val="single" w:color="auto" w:sz="4" w:space="0"/>
              <w:right w:val="single" w:color="auto" w:sz="4" w:space="0"/>
            </w:tcBorders>
            <w:vAlign w:val="center"/>
          </w:tcPr>
          <w:p w14:paraId="3E50E03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≥30fps</w:t>
            </w:r>
          </w:p>
        </w:tc>
        <w:tc>
          <w:tcPr>
            <w:tcW w:w="1220" w:type="pct"/>
            <w:tcBorders>
              <w:top w:val="single" w:color="auto" w:sz="4" w:space="0"/>
              <w:left w:val="single" w:color="auto" w:sz="4" w:space="0"/>
              <w:bottom w:val="single" w:color="auto" w:sz="4" w:space="0"/>
              <w:right w:val="single" w:color="auto" w:sz="4" w:space="0"/>
            </w:tcBorders>
            <w:vAlign w:val="center"/>
          </w:tcPr>
          <w:p w14:paraId="365A85B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22F5D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6537D9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9</w:t>
            </w:r>
          </w:p>
        </w:tc>
        <w:tc>
          <w:tcPr>
            <w:tcW w:w="996" w:type="pct"/>
            <w:tcBorders>
              <w:top w:val="single" w:color="auto" w:sz="4" w:space="0"/>
              <w:left w:val="single" w:color="auto" w:sz="4" w:space="0"/>
              <w:bottom w:val="single" w:color="auto" w:sz="4" w:space="0"/>
              <w:right w:val="single" w:color="auto" w:sz="4" w:space="0"/>
            </w:tcBorders>
            <w:vAlign w:val="center"/>
          </w:tcPr>
          <w:p w14:paraId="4370B12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*全景焦距</w:t>
            </w:r>
          </w:p>
        </w:tc>
        <w:tc>
          <w:tcPr>
            <w:tcW w:w="2406" w:type="pct"/>
            <w:tcBorders>
              <w:top w:val="single" w:color="auto" w:sz="4" w:space="0"/>
              <w:left w:val="single" w:color="auto" w:sz="4" w:space="0"/>
              <w:bottom w:val="single" w:color="auto" w:sz="4" w:space="0"/>
              <w:right w:val="single" w:color="auto" w:sz="4" w:space="0"/>
            </w:tcBorders>
            <w:vAlign w:val="center"/>
          </w:tcPr>
          <w:p w14:paraId="05A41EB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不大于2.8mm</w:t>
            </w:r>
          </w:p>
        </w:tc>
        <w:tc>
          <w:tcPr>
            <w:tcW w:w="1220" w:type="pct"/>
            <w:tcBorders>
              <w:top w:val="single" w:color="auto" w:sz="4" w:space="0"/>
              <w:left w:val="single" w:color="auto" w:sz="4" w:space="0"/>
              <w:bottom w:val="single" w:color="auto" w:sz="4" w:space="0"/>
              <w:right w:val="single" w:color="auto" w:sz="4" w:space="0"/>
            </w:tcBorders>
            <w:vAlign w:val="center"/>
          </w:tcPr>
          <w:p w14:paraId="3C01D22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47DA5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6B47E4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10</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108B9B9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*调节范围</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48AD141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全景通道：垂直方向12°~24°；</w:t>
            </w:r>
          </w:p>
          <w:p w14:paraId="6023763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细节通道：垂直方向-15°~90°，水平方向360°</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7352F30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5FD4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195F3A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11</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713162D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*云台速度</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4544F6C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垂直键控：0.1°/s~120°/s，垂直预置点速度：200°/s；</w:t>
            </w:r>
          </w:p>
          <w:p w14:paraId="0901EC1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水平键控：0.1°/s~160°/s，水平预置点速度：240°/s</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44B98F0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0DE6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6C7DF9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12</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30AECBE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*最低照度</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41AECD2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全景镜头：0.0005lux（彩色模式）；0.0001lux（黑白模式）；</w:t>
            </w:r>
          </w:p>
          <w:p w14:paraId="7442C16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细节镜头：0.001lux（彩色模式）；0.0001lux（黑白模式）；</w:t>
            </w:r>
          </w:p>
          <w:p w14:paraId="3B30452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支持AI-ISP（图像质量提升）。</w:t>
            </w:r>
          </w:p>
        </w:tc>
        <w:tc>
          <w:tcPr>
            <w:tcW w:w="1220" w:type="pct"/>
            <w:tcBorders>
              <w:top w:val="single" w:color="auto" w:sz="4" w:space="0"/>
              <w:left w:val="single" w:color="auto" w:sz="4" w:space="0"/>
              <w:bottom w:val="single" w:color="auto" w:sz="4" w:space="0"/>
              <w:right w:val="single" w:color="auto" w:sz="4" w:space="0"/>
            </w:tcBorders>
            <w:vAlign w:val="center"/>
          </w:tcPr>
          <w:p w14:paraId="0674CB6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5432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00FD74C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13</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5062198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*宽动态</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03350CA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≥120dB</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485D78F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5DDE4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62F3D0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14</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4E6B23E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*防水防尘等级</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465A363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≥IP67</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64D413C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提供由国家认可的认证检测机构出具合法有效的认证证书或检测报告复印件</w:t>
            </w:r>
          </w:p>
        </w:tc>
      </w:tr>
      <w:tr w14:paraId="76939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21748D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15</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1C6F20A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*电源防护</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02B9800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6000V防雷、防浪涌，过压过流保护</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723920F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6E6D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3F5DBB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16</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0185D40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*最大工作湿度</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04838E6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≥90%</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29C6530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7DCC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3AC2B7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17</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7BB48F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*最大功耗</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73E5863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≤85W</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658D831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41295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476A3AB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18</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4728058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*重量</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5332AC1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净重≤8kg</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17E8637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6007F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26040B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19</w:t>
            </w:r>
          </w:p>
        </w:tc>
        <w:tc>
          <w:tcPr>
            <w:tcW w:w="996" w:type="pct"/>
            <w:tcBorders>
              <w:top w:val="single" w:color="auto" w:sz="4" w:space="0"/>
              <w:left w:val="single" w:color="auto" w:sz="4" w:space="0"/>
              <w:bottom w:val="single" w:color="auto" w:sz="4" w:space="0"/>
              <w:right w:val="single" w:color="auto" w:sz="4" w:space="0"/>
            </w:tcBorders>
            <w:vAlign w:val="center"/>
          </w:tcPr>
          <w:p w14:paraId="32F1AE1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*其他功能</w:t>
            </w:r>
          </w:p>
        </w:tc>
        <w:tc>
          <w:tcPr>
            <w:tcW w:w="2406" w:type="pct"/>
            <w:tcBorders>
              <w:top w:val="single" w:color="auto" w:sz="4" w:space="0"/>
              <w:left w:val="single" w:color="auto" w:sz="4" w:space="0"/>
              <w:bottom w:val="single" w:color="auto" w:sz="4" w:space="0"/>
              <w:right w:val="single" w:color="auto" w:sz="4" w:space="0"/>
            </w:tcBorders>
            <w:vAlign w:val="center"/>
          </w:tcPr>
          <w:p w14:paraId="255503B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支持雨刷，镜头除雾，镜头防抖；具备Micro SD插槽*1，最大支持512GB，</w:t>
            </w:r>
            <w:r>
              <w:rPr>
                <w:rStyle w:val="224"/>
                <w:rFonts w:hint="eastAsia" w:ascii="方正仿宋_GBK" w:hAnsi="方正仿宋_GBK" w:eastAsia="方正仿宋_GBK" w:cs="方正仿宋_GBK"/>
                <w:color w:val="auto"/>
                <w:sz w:val="24"/>
                <w:szCs w:val="24"/>
                <w:highlight w:val="none"/>
                <w:lang w:val="en-US" w:eastAsia="zh-CN" w:bidi="ar"/>
              </w:rPr>
              <w:t>应配置耐高温、高速</w:t>
            </w:r>
            <w:r>
              <w:rPr>
                <w:rStyle w:val="223"/>
                <w:rFonts w:hint="eastAsia" w:ascii="方正仿宋_GBK" w:hAnsi="方正仿宋_GBK" w:eastAsia="方正仿宋_GBK" w:cs="方正仿宋_GBK"/>
                <w:color w:val="auto"/>
                <w:sz w:val="24"/>
                <w:szCs w:val="24"/>
                <w:highlight w:val="none"/>
                <w:lang w:val="en-US" w:eastAsia="zh-CN" w:bidi="ar"/>
              </w:rPr>
              <w:t>Micro SD</w:t>
            </w:r>
            <w:r>
              <w:rPr>
                <w:rStyle w:val="224"/>
                <w:rFonts w:hint="eastAsia" w:ascii="方正仿宋_GBK" w:hAnsi="方正仿宋_GBK" w:eastAsia="方正仿宋_GBK" w:cs="方正仿宋_GBK"/>
                <w:color w:val="auto"/>
                <w:sz w:val="24"/>
                <w:szCs w:val="24"/>
                <w:highlight w:val="none"/>
                <w:lang w:val="en-US" w:eastAsia="zh-CN" w:bidi="ar"/>
              </w:rPr>
              <w:t>卡的容量满足不低于</w:t>
            </w:r>
            <w:r>
              <w:rPr>
                <w:rStyle w:val="223"/>
                <w:rFonts w:hint="eastAsia" w:ascii="方正仿宋_GBK" w:hAnsi="方正仿宋_GBK" w:eastAsia="方正仿宋_GBK" w:cs="方正仿宋_GBK"/>
                <w:color w:val="auto"/>
                <w:sz w:val="24"/>
                <w:szCs w:val="24"/>
                <w:highlight w:val="none"/>
                <w:lang w:val="en-US" w:eastAsia="zh-CN" w:bidi="ar"/>
              </w:rPr>
              <w:t>1</w:t>
            </w:r>
            <w:r>
              <w:rPr>
                <w:rStyle w:val="224"/>
                <w:rFonts w:hint="eastAsia" w:ascii="方正仿宋_GBK" w:hAnsi="方正仿宋_GBK" w:eastAsia="方正仿宋_GBK" w:cs="方正仿宋_GBK"/>
                <w:color w:val="auto"/>
                <w:sz w:val="24"/>
                <w:szCs w:val="24"/>
                <w:highlight w:val="none"/>
                <w:lang w:val="en-US" w:eastAsia="zh-CN" w:bidi="ar"/>
              </w:rPr>
              <w:t>天的存储需求</w:t>
            </w:r>
          </w:p>
        </w:tc>
        <w:tc>
          <w:tcPr>
            <w:tcW w:w="1220" w:type="pct"/>
            <w:tcBorders>
              <w:top w:val="single" w:color="auto" w:sz="4" w:space="0"/>
              <w:left w:val="single" w:color="auto" w:sz="4" w:space="0"/>
              <w:bottom w:val="single" w:color="auto" w:sz="4" w:space="0"/>
              <w:right w:val="single" w:color="auto" w:sz="4" w:space="0"/>
            </w:tcBorders>
            <w:vAlign w:val="center"/>
          </w:tcPr>
          <w:p w14:paraId="6B30F58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358A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59181E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20</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1B4F63B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○补光距离</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458BA7F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全景镜头：≥30m；细节镜头：≥200m</w:t>
            </w:r>
          </w:p>
        </w:tc>
        <w:tc>
          <w:tcPr>
            <w:tcW w:w="1220" w:type="pct"/>
            <w:tcBorders>
              <w:top w:val="single" w:color="auto" w:sz="4" w:space="0"/>
              <w:left w:val="single" w:color="auto" w:sz="4" w:space="0"/>
              <w:bottom w:val="single" w:color="auto" w:sz="4" w:space="0"/>
              <w:right w:val="single" w:color="auto" w:sz="4" w:space="0"/>
            </w:tcBorders>
            <w:shd w:val="clear" w:color="auto" w:fill="auto"/>
            <w:vAlign w:val="center"/>
          </w:tcPr>
          <w:p w14:paraId="3CC56C2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2B8FE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1A5528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21</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5E5BAC1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○视频编码格式</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72024D6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H.265/H.264/MJPEG</w:t>
            </w:r>
          </w:p>
        </w:tc>
        <w:tc>
          <w:tcPr>
            <w:tcW w:w="1220" w:type="pct"/>
            <w:tcBorders>
              <w:top w:val="single" w:color="auto" w:sz="4" w:space="0"/>
              <w:left w:val="single" w:color="auto" w:sz="4" w:space="0"/>
              <w:bottom w:val="single" w:color="auto" w:sz="4" w:space="0"/>
              <w:right w:val="single" w:color="auto" w:sz="4" w:space="0"/>
            </w:tcBorders>
            <w:vAlign w:val="center"/>
          </w:tcPr>
          <w:p w14:paraId="62C4AA7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305AF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3F1F64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22</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0C375D6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○网络接口</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1ECDEF6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100M自适应RJ45网口</w:t>
            </w:r>
          </w:p>
        </w:tc>
        <w:tc>
          <w:tcPr>
            <w:tcW w:w="1220" w:type="pct"/>
            <w:tcBorders>
              <w:top w:val="single" w:color="auto" w:sz="4" w:space="0"/>
              <w:left w:val="single" w:color="auto" w:sz="4" w:space="0"/>
              <w:bottom w:val="single" w:color="auto" w:sz="4" w:space="0"/>
              <w:right w:val="single" w:color="auto" w:sz="4" w:space="0"/>
            </w:tcBorders>
            <w:vAlign w:val="center"/>
          </w:tcPr>
          <w:p w14:paraId="29E71D8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68087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5BF0F01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23</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736F23F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○输入输出</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00444BD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7路报警输入，2路报警输出；1路音频输入，1路音频输出</w:t>
            </w:r>
          </w:p>
        </w:tc>
        <w:tc>
          <w:tcPr>
            <w:tcW w:w="1220" w:type="pct"/>
            <w:tcBorders>
              <w:top w:val="single" w:color="auto" w:sz="4" w:space="0"/>
              <w:left w:val="single" w:color="auto" w:sz="4" w:space="0"/>
              <w:bottom w:val="single" w:color="auto" w:sz="4" w:space="0"/>
              <w:right w:val="single" w:color="auto" w:sz="4" w:space="0"/>
            </w:tcBorders>
            <w:vAlign w:val="center"/>
          </w:tcPr>
          <w:p w14:paraId="514D535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7D21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67" w:hRule="atLeast"/>
        </w:trPr>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71B391F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24</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691AC6B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i w:val="0"/>
                <w:iCs w:val="0"/>
                <w:color w:val="auto"/>
                <w:kern w:val="0"/>
                <w:sz w:val="24"/>
                <w:szCs w:val="24"/>
                <w:highlight w:val="none"/>
                <w:u w:val="none"/>
                <w:lang w:val="en-US" w:eastAsia="zh-CN" w:bidi="ar"/>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○电源</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719A9ED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DC 24V或36V,自带适配器</w:t>
            </w:r>
          </w:p>
        </w:tc>
        <w:tc>
          <w:tcPr>
            <w:tcW w:w="1220" w:type="pct"/>
            <w:tcBorders>
              <w:top w:val="single" w:color="auto" w:sz="4" w:space="0"/>
              <w:left w:val="single" w:color="auto" w:sz="4" w:space="0"/>
              <w:bottom w:val="single" w:color="auto" w:sz="4" w:space="0"/>
              <w:right w:val="single" w:color="auto" w:sz="4" w:space="0"/>
            </w:tcBorders>
            <w:vAlign w:val="center"/>
          </w:tcPr>
          <w:p w14:paraId="7BA1B48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r w14:paraId="18788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c>
          <w:tcPr>
            <w:tcW w:w="376" w:type="pct"/>
            <w:tcBorders>
              <w:top w:val="single" w:color="auto" w:sz="4" w:space="0"/>
              <w:left w:val="single" w:color="auto" w:sz="4" w:space="0"/>
              <w:bottom w:val="single" w:color="auto" w:sz="4" w:space="0"/>
              <w:right w:val="single" w:color="auto" w:sz="4" w:space="0"/>
            </w:tcBorders>
            <w:shd w:val="clear" w:color="auto" w:fill="auto"/>
            <w:vAlign w:val="center"/>
          </w:tcPr>
          <w:p w14:paraId="5B5706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方正仿宋_GBK" w:hAnsi="方正仿宋_GBK" w:eastAsia="方正仿宋_GBK" w:cs="方正仿宋_GBK"/>
                <w:color w:val="auto"/>
                <w:kern w:val="0"/>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25</w:t>
            </w:r>
          </w:p>
        </w:tc>
        <w:tc>
          <w:tcPr>
            <w:tcW w:w="996" w:type="pct"/>
            <w:tcBorders>
              <w:top w:val="single" w:color="auto" w:sz="4" w:space="0"/>
              <w:left w:val="single" w:color="auto" w:sz="4" w:space="0"/>
              <w:bottom w:val="single" w:color="auto" w:sz="4" w:space="0"/>
              <w:right w:val="single" w:color="auto" w:sz="4" w:space="0"/>
            </w:tcBorders>
            <w:shd w:val="clear" w:color="auto" w:fill="auto"/>
            <w:vAlign w:val="center"/>
          </w:tcPr>
          <w:p w14:paraId="4F3BB8D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b/>
                <w:bCs/>
                <w:color w:val="auto"/>
                <w:kern w:val="2"/>
                <w:sz w:val="24"/>
                <w:szCs w:val="24"/>
                <w:highlight w:val="none"/>
                <w:lang w:val="en-US" w:eastAsia="zh-CN" w:bidi="ar-SA"/>
              </w:rPr>
            </w:pPr>
            <w:r>
              <w:rPr>
                <w:rFonts w:hint="eastAsia" w:ascii="方正仿宋_GBK" w:hAnsi="方正仿宋_GBK" w:eastAsia="方正仿宋_GBK" w:cs="方正仿宋_GBK"/>
                <w:b/>
                <w:bCs/>
                <w:i w:val="0"/>
                <w:iCs w:val="0"/>
                <w:color w:val="auto"/>
                <w:kern w:val="0"/>
                <w:sz w:val="24"/>
                <w:szCs w:val="24"/>
                <w:highlight w:val="none"/>
                <w:u w:val="none"/>
                <w:lang w:val="en-US" w:eastAsia="zh-CN" w:bidi="ar"/>
              </w:rPr>
              <w:t>○功能特性</w:t>
            </w:r>
          </w:p>
        </w:tc>
        <w:tc>
          <w:tcPr>
            <w:tcW w:w="2406" w:type="pct"/>
            <w:tcBorders>
              <w:top w:val="single" w:color="auto" w:sz="4" w:space="0"/>
              <w:left w:val="single" w:color="auto" w:sz="4" w:space="0"/>
              <w:bottom w:val="single" w:color="auto" w:sz="4" w:space="0"/>
              <w:right w:val="single" w:color="auto" w:sz="4" w:space="0"/>
            </w:tcBorders>
            <w:shd w:val="clear" w:color="auto" w:fill="auto"/>
            <w:vAlign w:val="center"/>
          </w:tcPr>
          <w:p w14:paraId="1F9D0DE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具备人员密度检测，人、车、非机动车检测，支持数据结构化</w:t>
            </w:r>
          </w:p>
        </w:tc>
        <w:tc>
          <w:tcPr>
            <w:tcW w:w="1220" w:type="pct"/>
            <w:tcBorders>
              <w:top w:val="single" w:color="auto" w:sz="4" w:space="0"/>
              <w:left w:val="single" w:color="auto" w:sz="4" w:space="0"/>
              <w:bottom w:val="single" w:color="auto" w:sz="4" w:space="0"/>
              <w:right w:val="single" w:color="auto" w:sz="4" w:space="0"/>
            </w:tcBorders>
            <w:vAlign w:val="center"/>
          </w:tcPr>
          <w:p w14:paraId="0354D18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p>
        </w:tc>
      </w:tr>
    </w:tbl>
    <w:p w14:paraId="323487FF">
      <w:pPr>
        <w:rPr>
          <w:rFonts w:hint="eastAsia"/>
          <w:color w:val="auto"/>
          <w:highlight w:val="none"/>
        </w:rPr>
      </w:pPr>
    </w:p>
    <w:p w14:paraId="734C5349">
      <w:pPr>
        <w:rPr>
          <w:color w:val="auto"/>
          <w:highlight w:val="none"/>
        </w:rPr>
      </w:pPr>
      <w:r>
        <w:rPr>
          <w:color w:val="auto"/>
          <w:highlight w:val="none"/>
        </w:rPr>
        <w:br w:type="page"/>
      </w:r>
    </w:p>
    <w:p w14:paraId="31E37E46">
      <w:pPr>
        <w:pStyle w:val="4"/>
        <w:spacing w:before="0" w:beforeLines="0" w:after="0" w:afterLines="0" w:line="360" w:lineRule="auto"/>
        <w:rPr>
          <w:rFonts w:ascii="方正仿宋_GBK" w:eastAsia="方正仿宋_GBK"/>
          <w:b/>
          <w:color w:val="auto"/>
          <w:highlight w:val="none"/>
        </w:rPr>
      </w:pPr>
      <w:bookmarkStart w:id="196" w:name="_Toc31584"/>
      <w:bookmarkStart w:id="197" w:name="_Toc21557"/>
      <w:bookmarkStart w:id="198" w:name="_Toc1363"/>
      <w:bookmarkStart w:id="199" w:name="_Toc28164"/>
      <w:bookmarkStart w:id="200" w:name="_Toc26363"/>
      <w:bookmarkStart w:id="201" w:name="_Toc20842"/>
      <w:bookmarkStart w:id="202" w:name="_Toc9920"/>
      <w:bookmarkStart w:id="203" w:name="_Toc19536"/>
      <w:bookmarkStart w:id="204" w:name="_Toc15467"/>
      <w:bookmarkStart w:id="205" w:name="_Toc75793508"/>
      <w:bookmarkStart w:id="206" w:name="_Toc13990"/>
      <w:bookmarkStart w:id="207" w:name="_Toc18187"/>
      <w:bookmarkStart w:id="208" w:name="_Toc2095"/>
      <w:bookmarkStart w:id="209" w:name="_Toc9326"/>
      <w:bookmarkStart w:id="210" w:name="_Toc8633"/>
      <w:bookmarkStart w:id="211" w:name="_Toc16983"/>
      <w:r>
        <w:rPr>
          <w:rFonts w:hint="eastAsia" w:ascii="方正仿宋_GBK" w:eastAsia="方正仿宋_GBK"/>
          <w:b/>
          <w:color w:val="auto"/>
          <w:highlight w:val="none"/>
        </w:rPr>
        <w:t xml:space="preserve">第三篇  </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Fonts w:hint="eastAsia" w:ascii="方正仿宋_GBK" w:eastAsia="方正仿宋_GBK"/>
          <w:b/>
          <w:color w:val="auto"/>
          <w:highlight w:val="none"/>
        </w:rPr>
        <w:t>项目商务需求</w:t>
      </w:r>
      <w:bookmarkEnd w:id="211"/>
    </w:p>
    <w:p w14:paraId="5F3A53A0">
      <w:pPr>
        <w:snapToGrid w:val="0"/>
        <w:spacing w:line="400" w:lineRule="exact"/>
        <w:ind w:firstLine="480" w:firstLineChars="200"/>
        <w:rPr>
          <w:rFonts w:ascii="方正仿宋_GBK" w:hAnsi="宋体" w:eastAsia="方正仿宋_GBK" w:cs="宋体"/>
          <w:color w:val="auto"/>
          <w:kern w:val="0"/>
          <w:sz w:val="24"/>
          <w:szCs w:val="24"/>
          <w:highlight w:val="none"/>
        </w:rPr>
      </w:pPr>
      <w:bookmarkStart w:id="212" w:name="_Toc267320049"/>
      <w:r>
        <w:rPr>
          <w:rFonts w:hint="eastAsia" w:ascii="方正仿宋_GBK" w:hAnsi="宋体" w:eastAsia="方正仿宋_GBK"/>
          <w:color w:val="auto"/>
          <w:sz w:val="24"/>
          <w:szCs w:val="24"/>
          <w:highlight w:val="none"/>
        </w:rPr>
        <w:t>“</w:t>
      </w:r>
      <w:r>
        <w:rPr>
          <w:rFonts w:hint="eastAsia" w:ascii="方正仿宋_GBK" w:hAnsi="宋体" w:eastAsia="方正仿宋_GBK" w:cs="宋体"/>
          <w:b/>
          <w:bCs/>
          <w:color w:val="auto"/>
          <w:kern w:val="0"/>
          <w:sz w:val="24"/>
          <w:szCs w:val="24"/>
          <w:highlight w:val="none"/>
        </w:rPr>
        <w:t>※</w:t>
      </w:r>
      <w:r>
        <w:rPr>
          <w:rFonts w:hint="eastAsia" w:ascii="方正仿宋_GBK" w:hAnsi="宋体" w:eastAsia="方正仿宋_GBK"/>
          <w:color w:val="auto"/>
          <w:sz w:val="24"/>
          <w:szCs w:val="24"/>
          <w:highlight w:val="none"/>
        </w:rPr>
        <w:t>”标注的商务要求为符合性审查中的实质性要求，若不满足按无效投标处理。</w:t>
      </w:r>
    </w:p>
    <w:bookmarkEnd w:id="212"/>
    <w:p w14:paraId="0FBAE1BF">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213" w:name="_Toc23197"/>
      <w:bookmarkStart w:id="214" w:name="_Toc23501"/>
      <w:bookmarkStart w:id="215" w:name="_Toc8752"/>
      <w:bookmarkStart w:id="216" w:name="_Toc21429"/>
      <w:bookmarkStart w:id="217" w:name="_Toc13728"/>
      <w:bookmarkStart w:id="218" w:name="_Toc12768"/>
      <w:bookmarkStart w:id="219" w:name="_Toc28521"/>
      <w:bookmarkStart w:id="220" w:name="_Toc30118"/>
      <w:bookmarkStart w:id="221" w:name="_Toc6595"/>
      <w:bookmarkStart w:id="222" w:name="_Toc13389"/>
      <w:bookmarkStart w:id="223" w:name="_Toc11380"/>
      <w:bookmarkStart w:id="224" w:name="_Toc22944"/>
      <w:bookmarkStart w:id="225" w:name="_Toc75793509"/>
      <w:bookmarkStart w:id="226" w:name="_Toc9676"/>
      <w:bookmarkStart w:id="227" w:name="_Toc14029"/>
      <w:bookmarkStart w:id="228" w:name="_Toc10039"/>
      <w:bookmarkStart w:id="229" w:name="_Toc75793510"/>
      <w:bookmarkStart w:id="230" w:name="_Toc1484"/>
      <w:bookmarkStart w:id="231" w:name="_Toc29436"/>
      <w:bookmarkStart w:id="232" w:name="_Toc21022"/>
      <w:bookmarkStart w:id="233" w:name="_Toc22158"/>
      <w:bookmarkStart w:id="234" w:name="_Toc22142"/>
      <w:bookmarkStart w:id="235" w:name="_Toc28679"/>
      <w:bookmarkStart w:id="236" w:name="_Toc4036"/>
      <w:bookmarkStart w:id="237" w:name="_Toc13418"/>
      <w:bookmarkStart w:id="238" w:name="_Toc18152"/>
      <w:bookmarkStart w:id="239" w:name="_Toc8592"/>
      <w:bookmarkStart w:id="240" w:name="_Toc29144"/>
      <w:bookmarkStart w:id="241" w:name="_Toc20367"/>
      <w:bookmarkStart w:id="242" w:name="_Toc30781"/>
      <w:bookmarkStart w:id="243" w:name="_Toc7746"/>
      <w:bookmarkStart w:id="244" w:name="_Toc267320050"/>
      <w:r>
        <w:rPr>
          <w:rFonts w:hint="eastAsia" w:ascii="方正仿宋_GBK" w:eastAsia="方正仿宋_GBK"/>
          <w:b/>
          <w:color w:val="auto"/>
          <w:szCs w:val="21"/>
          <w:highlight w:val="none"/>
        </w:rPr>
        <w:t>※一、交货期、交货地点及验收方式</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6394130D">
      <w:pPr>
        <w:snapToGrid w:val="0"/>
        <w:spacing w:line="400" w:lineRule="exact"/>
        <w:ind w:firstLine="482" w:firstLineChars="200"/>
        <w:rPr>
          <w:rFonts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color w:val="auto"/>
          <w:kern w:val="0"/>
          <w:sz w:val="24"/>
          <w:szCs w:val="24"/>
          <w:highlight w:val="none"/>
        </w:rPr>
        <w:t>（一）交货期</w:t>
      </w:r>
    </w:p>
    <w:p w14:paraId="2AAD172B">
      <w:pPr>
        <w:widowControl/>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中标人</w:t>
      </w:r>
      <w:r>
        <w:rPr>
          <w:rFonts w:hint="eastAsia" w:ascii="方正仿宋_GBK" w:hAnsi="方正仿宋_GBK" w:eastAsia="方正仿宋_GBK" w:cs="方正仿宋_GBK"/>
          <w:color w:val="auto"/>
          <w:kern w:val="0"/>
          <w:sz w:val="24"/>
          <w:szCs w:val="24"/>
          <w:highlight w:val="none"/>
        </w:rPr>
        <w:t>应在采购合同签订之日起150个日历日内完成设施设备及配套功能联调联试、备齐到货验收资料、达到到货验收标准、提交到货验收申请并经采购人和监理审核通过、书面确认。</w:t>
      </w:r>
    </w:p>
    <w:p w14:paraId="6CC185CF">
      <w:pPr>
        <w:widowControl/>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到货验收通过之日次日起算试运行期（试运行期限为</w:t>
      </w:r>
      <w:r>
        <w:rPr>
          <w:rFonts w:hint="eastAsia" w:ascii="方正仿宋_GBK" w:hAnsi="方正仿宋_GBK" w:eastAsia="方正仿宋_GBK" w:cs="方正仿宋_GBK"/>
          <w:color w:val="auto"/>
          <w:kern w:val="0"/>
          <w:sz w:val="24"/>
          <w:szCs w:val="24"/>
          <w:highlight w:val="none"/>
          <w:lang w:val="en-US" w:eastAsia="zh-CN"/>
        </w:rPr>
        <w:t>3</w:t>
      </w:r>
      <w:r>
        <w:rPr>
          <w:rFonts w:hint="eastAsia" w:ascii="方正仿宋_GBK" w:hAnsi="方正仿宋_GBK" w:eastAsia="方正仿宋_GBK" w:cs="方正仿宋_GBK"/>
          <w:color w:val="auto"/>
          <w:kern w:val="0"/>
          <w:sz w:val="24"/>
          <w:szCs w:val="24"/>
          <w:highlight w:val="none"/>
        </w:rPr>
        <w:t>0个日历日）。货物设施设备试运行期结束后，按照相关要求进行初步验收。货物质量保证期或免费运维期结束后，</w:t>
      </w:r>
      <w:r>
        <w:rPr>
          <w:rFonts w:hint="eastAsia" w:ascii="方正仿宋_GBK" w:hAnsi="方正仿宋_GBK" w:eastAsia="方正仿宋_GBK" w:cs="方正仿宋_GBK"/>
          <w:color w:val="auto"/>
          <w:kern w:val="0"/>
          <w:sz w:val="24"/>
          <w:szCs w:val="24"/>
          <w:highlight w:val="none"/>
          <w:lang w:eastAsia="zh-CN"/>
        </w:rPr>
        <w:t>采购人</w:t>
      </w:r>
      <w:r>
        <w:rPr>
          <w:rFonts w:hint="eastAsia" w:ascii="方正仿宋_GBK" w:hAnsi="方正仿宋_GBK" w:eastAsia="方正仿宋_GBK" w:cs="方正仿宋_GBK"/>
          <w:color w:val="auto"/>
          <w:kern w:val="0"/>
          <w:sz w:val="24"/>
          <w:szCs w:val="24"/>
          <w:highlight w:val="none"/>
        </w:rPr>
        <w:t>对</w:t>
      </w:r>
      <w:r>
        <w:rPr>
          <w:rFonts w:hint="eastAsia" w:ascii="方正仿宋_GBK" w:hAnsi="方正仿宋_GBK" w:eastAsia="方正仿宋_GBK" w:cs="方正仿宋_GBK"/>
          <w:color w:val="auto"/>
          <w:kern w:val="0"/>
          <w:sz w:val="24"/>
          <w:szCs w:val="24"/>
          <w:highlight w:val="none"/>
          <w:lang w:eastAsia="zh-CN"/>
        </w:rPr>
        <w:t>中标人</w:t>
      </w:r>
      <w:r>
        <w:rPr>
          <w:rFonts w:hint="eastAsia" w:ascii="方正仿宋_GBK" w:hAnsi="方正仿宋_GBK" w:eastAsia="方正仿宋_GBK" w:cs="方正仿宋_GBK"/>
          <w:color w:val="auto"/>
          <w:kern w:val="0"/>
          <w:sz w:val="24"/>
          <w:szCs w:val="24"/>
          <w:highlight w:val="none"/>
        </w:rPr>
        <w:t>履行合同约定义务情况进行最终验收。</w:t>
      </w:r>
    </w:p>
    <w:p w14:paraId="56FBCCF0">
      <w:pPr>
        <w:snapToGrid w:val="0"/>
        <w:spacing w:line="400" w:lineRule="exact"/>
        <w:ind w:firstLine="482" w:firstLineChars="200"/>
        <w:rPr>
          <w:rFonts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color w:val="auto"/>
          <w:kern w:val="0"/>
          <w:sz w:val="24"/>
          <w:szCs w:val="24"/>
          <w:highlight w:val="none"/>
        </w:rPr>
        <w:t>（二）交货地点</w:t>
      </w:r>
    </w:p>
    <w:p w14:paraId="3C924C73">
      <w:pPr>
        <w:snapToGrid w:val="0"/>
        <w:spacing w:line="400" w:lineRule="exact"/>
        <w:ind w:firstLine="480" w:firstLineChars="200"/>
        <w:rPr>
          <w:rFonts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交货地点：重庆市行政区域内采购人指定地点。</w:t>
      </w:r>
    </w:p>
    <w:p w14:paraId="69251CD4">
      <w:pPr>
        <w:snapToGrid w:val="0"/>
        <w:spacing w:line="400" w:lineRule="exact"/>
        <w:ind w:firstLine="482" w:firstLineChars="200"/>
        <w:rPr>
          <w:rFonts w:ascii="方正仿宋_GBK" w:hAnsi="方正仿宋_GBK" w:eastAsia="方正仿宋_GBK" w:cs="方正仿宋_GBK"/>
          <w:b/>
          <w:bCs/>
          <w:color w:val="auto"/>
          <w:kern w:val="0"/>
          <w:sz w:val="24"/>
          <w:szCs w:val="24"/>
          <w:highlight w:val="none"/>
        </w:rPr>
      </w:pPr>
      <w:r>
        <w:rPr>
          <w:rFonts w:hint="eastAsia" w:ascii="方正仿宋_GBK" w:hAnsi="方正仿宋_GBK" w:eastAsia="方正仿宋_GBK" w:cs="方正仿宋_GBK"/>
          <w:b/>
          <w:bCs/>
          <w:color w:val="auto"/>
          <w:kern w:val="0"/>
          <w:sz w:val="24"/>
          <w:szCs w:val="24"/>
          <w:highlight w:val="none"/>
        </w:rPr>
        <w:t>（三）</w:t>
      </w:r>
      <w:r>
        <w:rPr>
          <w:rFonts w:hint="eastAsia" w:ascii="方正仿宋_GBK" w:hAnsi="方正仿宋_GBK" w:eastAsia="方正仿宋_GBK" w:cs="方正仿宋_GBK"/>
          <w:b/>
          <w:bCs/>
          <w:color w:val="auto"/>
          <w:kern w:val="0"/>
          <w:sz w:val="24"/>
          <w:szCs w:val="24"/>
          <w:highlight w:val="none"/>
          <w:lang w:eastAsia="zh-CN"/>
        </w:rPr>
        <w:t>货物和相关服务</w:t>
      </w:r>
      <w:r>
        <w:rPr>
          <w:rFonts w:hint="eastAsia" w:ascii="方正仿宋_GBK" w:hAnsi="方正仿宋_GBK" w:eastAsia="方正仿宋_GBK" w:cs="方正仿宋_GBK"/>
          <w:b/>
          <w:bCs/>
          <w:color w:val="auto"/>
          <w:kern w:val="0"/>
          <w:sz w:val="24"/>
          <w:szCs w:val="24"/>
          <w:highlight w:val="none"/>
        </w:rPr>
        <w:t>验收</w:t>
      </w:r>
    </w:p>
    <w:p w14:paraId="3EA87375">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1.履约验收方式</w:t>
      </w:r>
    </w:p>
    <w:p w14:paraId="0C421497">
      <w:pPr>
        <w:snapToGrid w:val="0"/>
        <w:spacing w:line="400" w:lineRule="exact"/>
        <w:ind w:firstLine="480"/>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履约验收包括到货验收、初步验收、最终验收等验收有关工作。全部货物到齐、验收有关材料准备齐备，经采购人审核通过后，才能提交验收申请，货物和相关服务只能提交1次验收申请；验收未通过的，仅有1次整改（包括但不限于修理、重做、更换）机会，整改全部完成后，同时一次性备齐有关材料，经采购人审核通过后，提交整改后验收申请。</w:t>
      </w:r>
    </w:p>
    <w:p w14:paraId="5B3AA248">
      <w:pPr>
        <w:snapToGrid w:val="0"/>
        <w:spacing w:line="400" w:lineRule="exact"/>
        <w:ind w:firstLine="480" w:firstLineChars="200"/>
        <w:rPr>
          <w:rFonts w:hint="default"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（1）</w:t>
      </w:r>
      <w:r>
        <w:rPr>
          <w:rFonts w:hint="default" w:ascii="方正仿宋_GBK" w:hAnsi="方正仿宋_GBK" w:eastAsia="方正仿宋_GBK" w:cs="方正仿宋_GBK"/>
          <w:color w:val="auto"/>
          <w:kern w:val="0"/>
          <w:sz w:val="24"/>
          <w:szCs w:val="24"/>
          <w:highlight w:val="none"/>
        </w:rPr>
        <w:t>到货验收：</w:t>
      </w:r>
    </w:p>
    <w:p w14:paraId="73EA03CF">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default" w:ascii="方正仿宋_GBK" w:hAnsi="方正仿宋_GBK" w:eastAsia="方正仿宋_GBK" w:cs="方正仿宋_GBK"/>
          <w:color w:val="auto"/>
          <w:kern w:val="0"/>
          <w:sz w:val="24"/>
          <w:szCs w:val="24"/>
          <w:highlight w:val="none"/>
        </w:rPr>
        <w:t>①</w:t>
      </w:r>
      <w:r>
        <w:rPr>
          <w:rFonts w:hint="eastAsia" w:ascii="方正仿宋_GBK" w:hAnsi="方正仿宋_GBK" w:eastAsia="方正仿宋_GBK" w:cs="方正仿宋_GBK"/>
          <w:color w:val="auto"/>
          <w:kern w:val="0"/>
          <w:sz w:val="24"/>
          <w:szCs w:val="24"/>
          <w:highlight w:val="none"/>
        </w:rPr>
        <w:t>提交到货验收申请材料，清点数量。中标人将合同约定的所有货物送达采购人指定地点，并将所有设施设备及配套安装调试完成后，中标人提交到货验收申请及验收有关材料，由采购人、监理单位审核通过后，采购人、监理单位和中标人共同清点安装完成的货物设施设备及配套数量，各方共同签字确认。</w:t>
      </w:r>
    </w:p>
    <w:p w14:paraId="2269432A">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中标人提交到货验收申请及验收有关材料须按照采购人规定的验收方案执行。</w:t>
      </w:r>
    </w:p>
    <w:p w14:paraId="18C1A3CF">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②验收货物质量、设施设备及配套功能联调联试运行情况：由采购人组织有关单位、专家等对货物和相关服务质量、设施设备及配套功能、联调联试运行情况、系统运行情况、软件使用等进行验收，验收费用由中标人承担。</w:t>
      </w:r>
    </w:p>
    <w:p w14:paraId="6733DFA5">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③送检：在采购人和监理单位共同见证下确定具体送检的设施设备及配套后，中标人按照采购人的要求将安装完成的设施设备及配套根据送检需要拆除后送国家认可的第三方检验检测机构出具检测报告，送检所有费用由中标人承担。</w:t>
      </w:r>
    </w:p>
    <w:p w14:paraId="5B543B66">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到货验收通过后，采购人和中标人共同签字确认。</w:t>
      </w:r>
    </w:p>
    <w:p w14:paraId="2408AA4A">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2</w:t>
      </w: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rPr>
        <w:t>初步验收：到货验收通过之日次日起算试运行期。货物设施设备和相关服务及配套试运行期（试运行期限为30个日历日）结束后5个工作日内，中标人提交初步验收申请及相关资料，按照相关要求进行初步验收。由采购人、监理、中标人汇总使用单位试运行评价情况。使用单位试运行评价情况合格率≥95%以上的，初步验收合格。初步验收通过后，采购人和中标人共同签字确认。</w:t>
      </w:r>
    </w:p>
    <w:p w14:paraId="74B1806A">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3</w:t>
      </w: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rPr>
        <w:t>最终验收：货物和相关服务质量保证期或免费运维期结束后，采购人对中标人履行合同约定义务情况进行最终验收。最终验收通过后，采购人和中标人共同签字确认。</w:t>
      </w:r>
    </w:p>
    <w:p w14:paraId="76F07070">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val="en-US" w:eastAsia="zh-CN"/>
        </w:rPr>
        <w:t>2.</w:t>
      </w:r>
      <w:r>
        <w:rPr>
          <w:rFonts w:hint="eastAsia" w:ascii="方正仿宋_GBK" w:hAnsi="方正仿宋_GBK" w:eastAsia="方正仿宋_GBK" w:cs="方正仿宋_GBK"/>
          <w:color w:val="auto"/>
          <w:kern w:val="0"/>
          <w:sz w:val="24"/>
          <w:szCs w:val="24"/>
          <w:highlight w:val="none"/>
        </w:rPr>
        <w:t>履约验收程序</w:t>
      </w:r>
    </w:p>
    <w:p w14:paraId="1DEAA6C9">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由中标人向采购人提出验收申请，采购人同意后启动验收程序，组织验收。</w:t>
      </w:r>
    </w:p>
    <w:p w14:paraId="5735B9A7">
      <w:pPr>
        <w:snapToGrid w:val="0"/>
        <w:spacing w:line="400" w:lineRule="exact"/>
        <w:ind w:firstLine="480" w:firstLineChars="200"/>
        <w:rPr>
          <w:rFonts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val="en-US" w:eastAsia="zh-CN"/>
        </w:rPr>
        <w:t>3</w:t>
      </w:r>
      <w:r>
        <w:rPr>
          <w:rFonts w:hint="eastAsia" w:ascii="方正仿宋_GBK" w:hAnsi="方正仿宋_GBK" w:eastAsia="方正仿宋_GBK" w:cs="方正仿宋_GBK"/>
          <w:color w:val="auto"/>
          <w:kern w:val="0"/>
          <w:sz w:val="24"/>
          <w:szCs w:val="24"/>
          <w:highlight w:val="none"/>
        </w:rPr>
        <w:t>.验收内容</w:t>
      </w:r>
    </w:p>
    <w:p w14:paraId="306E6394">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1</w:t>
      </w: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rPr>
        <w:t>采购人将按照采购合同的约定和现行国家标准、行业标准、企业标准、招标文件、投标文件对每一项技术、服务、安全标准的履约情况进行验收确认。</w:t>
      </w:r>
    </w:p>
    <w:p w14:paraId="3758D4E4">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2</w:t>
      </w: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rPr>
        <w:t>必要时，采购人有权邀请参加本项目的其他投标人参与验收。</w:t>
      </w:r>
    </w:p>
    <w:p w14:paraId="66B19F36">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lang w:eastAsia="zh-CN"/>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3</w:t>
      </w:r>
      <w:r>
        <w:rPr>
          <w:rFonts w:hint="eastAsia" w:ascii="方正仿宋_GBK" w:hAnsi="方正仿宋_GBK" w:eastAsia="方正仿宋_GBK" w:cs="方正仿宋_GBK"/>
          <w:color w:val="auto"/>
          <w:kern w:val="0"/>
          <w:sz w:val="24"/>
          <w:szCs w:val="24"/>
          <w:highlight w:val="none"/>
          <w:lang w:eastAsia="zh-CN"/>
        </w:rPr>
        <w:t>）货物技术参数与采购合同一致，性能指标达到采购合同要求及国家相关规定的标准（两者不一致的以标准高者为准）。</w:t>
      </w:r>
    </w:p>
    <w:p w14:paraId="27FDDC69">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4</w:t>
      </w: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rPr>
        <w:t>货物技术资料、装箱单、合格证等资料齐全。</w:t>
      </w:r>
    </w:p>
    <w:p w14:paraId="464F6CEA">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5</w:t>
      </w: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rPr>
        <w:t>采购人有权委托第三方检测机构对中标人所交付的货物进行检验检测，第三方检测机构由采购人和中标人共同确定。若中标人在采购人发出书面函3个工作日后不配合确定第三方检验检测机构的，采购人有权自行确定，中标人无条件承认第三方检验检测机构检验检测结果合法有效。</w:t>
      </w:r>
    </w:p>
    <w:p w14:paraId="3217D157">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6</w:t>
      </w: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rPr>
        <w:t>交付货物的检测方式包括但不限于全面检测、抽检、复检、性能测试、试运行、专家评估等。</w:t>
      </w:r>
    </w:p>
    <w:p w14:paraId="34860AA3">
      <w:pPr>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val="en-US" w:eastAsia="zh-CN"/>
        </w:rPr>
        <w:t>4.</w:t>
      </w:r>
      <w:r>
        <w:rPr>
          <w:rFonts w:hint="eastAsia" w:ascii="方正仿宋_GBK" w:hAnsi="方正仿宋_GBK" w:eastAsia="方正仿宋_GBK" w:cs="方正仿宋_GBK"/>
          <w:color w:val="auto"/>
          <w:kern w:val="0"/>
          <w:sz w:val="24"/>
          <w:szCs w:val="24"/>
          <w:highlight w:val="none"/>
        </w:rPr>
        <w:t>履约验收标准</w:t>
      </w:r>
    </w:p>
    <w:p w14:paraId="17A2909B">
      <w:pPr>
        <w:snapToGrid w:val="0"/>
        <w:spacing w:line="400" w:lineRule="exact"/>
        <w:ind w:firstLine="480" w:firstLineChars="200"/>
        <w:rPr>
          <w:rFonts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按照国家法律法规及相关标准的要求和规范、采购合同（招标文件、投标文件）的约定进行验收。</w:t>
      </w:r>
    </w:p>
    <w:p w14:paraId="2D86128F">
      <w:pPr>
        <w:snapToGrid w:val="0"/>
        <w:spacing w:line="400" w:lineRule="exact"/>
        <w:ind w:firstLine="480" w:firstLineChars="200"/>
        <w:rPr>
          <w:rFonts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val="en-US" w:eastAsia="zh-CN"/>
        </w:rPr>
        <w:t>5</w:t>
      </w:r>
      <w:r>
        <w:rPr>
          <w:rFonts w:hint="eastAsia" w:ascii="方正仿宋_GBK" w:hAnsi="方正仿宋_GBK" w:eastAsia="方正仿宋_GBK" w:cs="方正仿宋_GBK"/>
          <w:color w:val="auto"/>
          <w:kern w:val="0"/>
          <w:sz w:val="24"/>
          <w:szCs w:val="24"/>
          <w:highlight w:val="none"/>
        </w:rPr>
        <w:t>.验收费用</w:t>
      </w:r>
    </w:p>
    <w:p w14:paraId="31A3A85E">
      <w:pPr>
        <w:snapToGrid w:val="0"/>
        <w:spacing w:line="400" w:lineRule="exact"/>
        <w:ind w:firstLine="480" w:firstLineChars="200"/>
        <w:rPr>
          <w:rFonts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本项目所有验收环节验收相关所有费用均由中标人承担。</w:t>
      </w:r>
    </w:p>
    <w:p w14:paraId="76CB6619">
      <w:pPr>
        <w:snapToGrid w:val="0"/>
        <w:spacing w:line="400" w:lineRule="exact"/>
        <w:ind w:firstLine="480" w:firstLineChars="200"/>
        <w:rPr>
          <w:rFonts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val="en-US" w:eastAsia="zh-CN"/>
        </w:rPr>
        <w:t>6</w:t>
      </w:r>
      <w:r>
        <w:rPr>
          <w:rFonts w:hint="eastAsia" w:ascii="方正仿宋_GBK" w:hAnsi="方正仿宋_GBK" w:eastAsia="方正仿宋_GBK" w:cs="方正仿宋_GBK"/>
          <w:color w:val="auto"/>
          <w:kern w:val="0"/>
          <w:sz w:val="24"/>
          <w:szCs w:val="24"/>
          <w:highlight w:val="none"/>
        </w:rPr>
        <w:t>.其他</w:t>
      </w:r>
    </w:p>
    <w:p w14:paraId="091BA911">
      <w:pPr>
        <w:snapToGrid w:val="0"/>
        <w:spacing w:line="400" w:lineRule="exact"/>
        <w:ind w:firstLine="480" w:firstLineChars="200"/>
        <w:rPr>
          <w:rFonts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1</w:t>
      </w:r>
      <w:r>
        <w:rPr>
          <w:rFonts w:hint="eastAsia" w:ascii="方正仿宋_GBK" w:hAnsi="方正仿宋_GBK" w:eastAsia="方正仿宋_GBK" w:cs="方正仿宋_GBK"/>
          <w:color w:val="auto"/>
          <w:kern w:val="0"/>
          <w:sz w:val="24"/>
          <w:szCs w:val="24"/>
          <w:highlight w:val="none"/>
          <w:lang w:eastAsia="zh-CN"/>
        </w:rPr>
        <w:t>）中标人提供的货物未达到招标文件要求及国家相关规定标准的，且对采购人造成损失的，由中标人承担一切责任，并赔偿所造成的损失。</w:t>
      </w:r>
    </w:p>
    <w:p w14:paraId="2ED2B8B4">
      <w:pPr>
        <w:snapToGrid w:val="0"/>
        <w:spacing w:line="400" w:lineRule="exact"/>
        <w:ind w:firstLine="480" w:firstLineChars="200"/>
        <w:rPr>
          <w:rFonts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2</w:t>
      </w:r>
      <w:r>
        <w:rPr>
          <w:rFonts w:hint="eastAsia" w:ascii="方正仿宋_GBK" w:hAnsi="方正仿宋_GBK" w:eastAsia="方正仿宋_GBK" w:cs="方正仿宋_GBK"/>
          <w:color w:val="auto"/>
          <w:kern w:val="0"/>
          <w:sz w:val="24"/>
          <w:szCs w:val="24"/>
          <w:highlight w:val="none"/>
          <w:lang w:eastAsia="zh-CN"/>
        </w:rPr>
        <w:t>）采购人需要制造商对中标人交付的货物（包括质量、技术参数等）和相关服务进行确认的，制造商应予以配合，并出具书面意见。</w:t>
      </w:r>
    </w:p>
    <w:p w14:paraId="4B841822">
      <w:pPr>
        <w:snapToGrid w:val="0"/>
        <w:spacing w:line="400" w:lineRule="exact"/>
        <w:ind w:firstLine="480" w:firstLineChars="200"/>
        <w:rPr>
          <w:rFonts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eastAsia="zh-CN"/>
        </w:rPr>
        <w:t>（</w:t>
      </w:r>
      <w:r>
        <w:rPr>
          <w:rFonts w:hint="eastAsia" w:ascii="方正仿宋_GBK" w:hAnsi="方正仿宋_GBK" w:eastAsia="方正仿宋_GBK" w:cs="方正仿宋_GBK"/>
          <w:color w:val="auto"/>
          <w:kern w:val="0"/>
          <w:sz w:val="24"/>
          <w:szCs w:val="24"/>
          <w:highlight w:val="none"/>
          <w:lang w:val="en-US" w:eastAsia="zh-CN"/>
        </w:rPr>
        <w:t>3</w:t>
      </w:r>
      <w:r>
        <w:rPr>
          <w:rFonts w:hint="eastAsia" w:ascii="方正仿宋_GBK" w:hAnsi="方正仿宋_GBK" w:eastAsia="方正仿宋_GBK" w:cs="方正仿宋_GBK"/>
          <w:color w:val="auto"/>
          <w:kern w:val="0"/>
          <w:sz w:val="24"/>
          <w:szCs w:val="24"/>
          <w:highlight w:val="none"/>
          <w:lang w:eastAsia="zh-CN"/>
        </w:rPr>
        <w:t>）货物包装材料归采购人所有</w:t>
      </w:r>
      <w:r>
        <w:rPr>
          <w:rFonts w:hint="eastAsia" w:ascii="方正仿宋_GBK" w:hAnsi="方正仿宋_GBK" w:eastAsia="方正仿宋_GBK" w:cs="方正仿宋_GBK"/>
          <w:color w:val="auto"/>
          <w:kern w:val="0"/>
          <w:sz w:val="24"/>
          <w:szCs w:val="24"/>
          <w:highlight w:val="none"/>
        </w:rPr>
        <w:t>。</w:t>
      </w:r>
    </w:p>
    <w:p w14:paraId="0531B13B">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245" w:name="_Toc28826"/>
      <w:r>
        <w:rPr>
          <w:rFonts w:hint="eastAsia" w:ascii="方正仿宋_GBK" w:eastAsia="方正仿宋_GBK"/>
          <w:b/>
          <w:color w:val="auto"/>
          <w:szCs w:val="21"/>
          <w:highlight w:val="none"/>
        </w:rPr>
        <w:t>※二、报价要求</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5"/>
    </w:p>
    <w:p w14:paraId="46170D86">
      <w:pPr>
        <w:snapToGrid w:val="0"/>
        <w:spacing w:line="400" w:lineRule="exact"/>
        <w:ind w:firstLine="480" w:firstLineChars="200"/>
        <w:rPr>
          <w:rFonts w:ascii="方正仿宋_GBK" w:hAnsi="宋体" w:eastAsia="方正仿宋_GBK" w:cs="宋体"/>
          <w:color w:val="auto"/>
          <w:kern w:val="0"/>
          <w:sz w:val="24"/>
          <w:szCs w:val="24"/>
          <w:highlight w:val="none"/>
        </w:rPr>
      </w:pPr>
      <w:bookmarkStart w:id="246" w:name="_Toc4252"/>
      <w:bookmarkStart w:id="247" w:name="_Toc2821"/>
      <w:bookmarkStart w:id="248" w:name="_Toc15677"/>
      <w:bookmarkStart w:id="249" w:name="_Toc23903"/>
      <w:bookmarkStart w:id="250" w:name="_Toc20887"/>
      <w:bookmarkStart w:id="251" w:name="_Toc32313"/>
      <w:bookmarkStart w:id="252" w:name="_Toc75793511"/>
      <w:bookmarkStart w:id="253" w:name="_Toc3465"/>
      <w:bookmarkStart w:id="254" w:name="_Toc2244"/>
      <w:bookmarkStart w:id="255" w:name="_Toc14177"/>
      <w:bookmarkStart w:id="256" w:name="_Toc1450"/>
      <w:bookmarkStart w:id="257" w:name="_Toc4774"/>
      <w:bookmarkStart w:id="258" w:name="_Toc16693"/>
      <w:bookmarkStart w:id="259" w:name="_Toc27382"/>
      <w:bookmarkStart w:id="260" w:name="_Toc15096"/>
      <w:r>
        <w:rPr>
          <w:rFonts w:hint="eastAsia" w:ascii="方正仿宋_GBK" w:hAnsi="宋体" w:eastAsia="方正仿宋_GBK" w:cs="宋体"/>
          <w:color w:val="auto"/>
          <w:kern w:val="0"/>
          <w:sz w:val="24"/>
          <w:szCs w:val="24"/>
          <w:highlight w:val="none"/>
        </w:rPr>
        <w:t>本次报价须为人民币报价，单价及总价均为包干报价，包括但不限于：货物价、运输费（含上下车搬运费）、安装调试费、利润、检测费、验收相关费用、管理费、税金、质保期内的备品备件及易损件费、培训费用、质保期内的服务费用等交付到采购人指定地点并履约完本项目所涉及的全部费用。因投标人原因少报漏报的，均被视为投标人已经在其投标总报价中考虑。</w:t>
      </w:r>
    </w:p>
    <w:p w14:paraId="12BD8346">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261" w:name="_Toc8996"/>
      <w:r>
        <w:rPr>
          <w:rFonts w:hint="eastAsia" w:ascii="方正仿宋_GBK" w:eastAsia="方正仿宋_GBK"/>
          <w:b/>
          <w:color w:val="auto"/>
          <w:szCs w:val="21"/>
          <w:highlight w:val="none"/>
        </w:rPr>
        <w:t>※三、质量保证及售后服务</w:t>
      </w:r>
      <w:bookmarkEnd w:id="244"/>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0B951470">
      <w:pPr>
        <w:snapToGrid w:val="0"/>
        <w:spacing w:line="400" w:lineRule="exact"/>
        <w:ind w:firstLine="482" w:firstLineChars="200"/>
        <w:rPr>
          <w:rFonts w:ascii="方正仿宋_GBK" w:hAnsi="宋体" w:eastAsia="方正仿宋_GBK" w:cs="宋体"/>
          <w:color w:val="auto"/>
          <w:kern w:val="0"/>
          <w:sz w:val="24"/>
          <w:szCs w:val="24"/>
          <w:highlight w:val="none"/>
        </w:rPr>
      </w:pPr>
      <w:r>
        <w:rPr>
          <w:rFonts w:hint="eastAsia" w:ascii="方正仿宋_GBK" w:hAnsi="宋体" w:eastAsia="方正仿宋_GBK" w:cs="宋体"/>
          <w:b/>
          <w:bCs/>
          <w:color w:val="auto"/>
          <w:kern w:val="0"/>
          <w:sz w:val="24"/>
          <w:szCs w:val="24"/>
          <w:highlight w:val="none"/>
        </w:rPr>
        <w:t>（一）货物质量保证期（免费运维期）</w:t>
      </w:r>
      <w:r>
        <w:rPr>
          <w:rFonts w:hint="eastAsia" w:ascii="方正仿宋_GBK" w:hAnsi="宋体" w:eastAsia="方正仿宋_GBK" w:cs="宋体"/>
          <w:color w:val="auto"/>
          <w:kern w:val="0"/>
          <w:sz w:val="24"/>
          <w:szCs w:val="24"/>
          <w:highlight w:val="none"/>
        </w:rPr>
        <w:t>：自项目初步验收合格之日起，相关设施设备及配套软硬件等提供4年产品质量保证期（免费运维期）。设施设备、易损件因故障需进行更换所产生的费用，均包含在投标报价内。</w:t>
      </w:r>
    </w:p>
    <w:p w14:paraId="47096BC6">
      <w:pPr>
        <w:snapToGrid w:val="0"/>
        <w:spacing w:line="400" w:lineRule="exact"/>
        <w:ind w:firstLine="482" w:firstLineChars="200"/>
        <w:rPr>
          <w:rFonts w:ascii="方正仿宋_GBK" w:hAnsi="宋体" w:eastAsia="方正仿宋_GBK" w:cs="宋体"/>
          <w:b/>
          <w:bCs/>
          <w:color w:val="auto"/>
          <w:kern w:val="0"/>
          <w:sz w:val="24"/>
          <w:szCs w:val="24"/>
          <w:highlight w:val="none"/>
        </w:rPr>
      </w:pPr>
      <w:r>
        <w:rPr>
          <w:rFonts w:hint="eastAsia" w:ascii="方正仿宋_GBK" w:hAnsi="宋体" w:eastAsia="方正仿宋_GBK" w:cs="宋体"/>
          <w:b/>
          <w:bCs/>
          <w:color w:val="auto"/>
          <w:kern w:val="0"/>
          <w:sz w:val="24"/>
          <w:szCs w:val="24"/>
          <w:highlight w:val="none"/>
        </w:rPr>
        <w:t>（二）售后服务内容</w:t>
      </w:r>
    </w:p>
    <w:p w14:paraId="556B7472">
      <w:pPr>
        <w:snapToGrid w:val="0"/>
        <w:spacing w:line="400" w:lineRule="exact"/>
        <w:ind w:firstLine="480" w:firstLineChars="200"/>
        <w:rPr>
          <w:rFonts w:hint="eastAsia" w:ascii="方正仿宋_GBK" w:hAnsi="宋体" w:eastAsia="方正仿宋_GBK" w:cs="宋体"/>
          <w:color w:val="auto"/>
          <w:kern w:val="0"/>
          <w:sz w:val="24"/>
          <w:szCs w:val="24"/>
          <w:highlight w:val="none"/>
        </w:rPr>
      </w:pPr>
      <w:bookmarkStart w:id="262" w:name="_Toc18007"/>
      <w:bookmarkStart w:id="263" w:name="_Toc1008"/>
      <w:bookmarkStart w:id="264" w:name="_Toc5174"/>
      <w:bookmarkStart w:id="265" w:name="_Toc25745"/>
      <w:bookmarkStart w:id="266" w:name="_Toc21888"/>
      <w:bookmarkStart w:id="267" w:name="_Toc8955"/>
      <w:bookmarkStart w:id="268" w:name="_Toc22695"/>
      <w:bookmarkStart w:id="269" w:name="_Toc32722"/>
      <w:bookmarkStart w:id="270" w:name="_Toc25552"/>
      <w:bookmarkStart w:id="271" w:name="_Toc19350"/>
      <w:bookmarkStart w:id="272" w:name="_Toc12285"/>
      <w:bookmarkStart w:id="273" w:name="_Toc29286"/>
      <w:bookmarkStart w:id="274" w:name="_Toc25932"/>
      <w:bookmarkStart w:id="275" w:name="_Toc30442"/>
      <w:bookmarkStart w:id="276" w:name="_Toc75793512"/>
      <w:bookmarkStart w:id="277" w:name="_Toc267320051"/>
      <w:r>
        <w:rPr>
          <w:rFonts w:hint="eastAsia" w:ascii="方正仿宋_GBK" w:hAnsi="宋体" w:eastAsia="方正仿宋_GBK" w:cs="宋体"/>
          <w:color w:val="auto"/>
          <w:kern w:val="0"/>
          <w:sz w:val="24"/>
          <w:szCs w:val="24"/>
          <w:highlight w:val="none"/>
          <w:lang w:val="en-US" w:eastAsia="zh-CN"/>
        </w:rPr>
        <w:t>1.中标人在货物质量保证期内应当为采购人提供以下技术支持和服务：</w:t>
      </w:r>
    </w:p>
    <w:p w14:paraId="3946034D">
      <w:pPr>
        <w:snapToGrid w:val="0"/>
        <w:spacing w:line="400" w:lineRule="exact"/>
        <w:ind w:firstLine="480" w:firstLineChars="200"/>
        <w:rPr>
          <w:rFonts w:hint="eastAsia"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lang w:eastAsia="zh-CN"/>
        </w:rPr>
        <w:t>（</w:t>
      </w:r>
      <w:r>
        <w:rPr>
          <w:rFonts w:hint="eastAsia" w:ascii="方正仿宋_GBK" w:hAnsi="宋体" w:eastAsia="方正仿宋_GBK" w:cs="宋体"/>
          <w:color w:val="auto"/>
          <w:kern w:val="0"/>
          <w:sz w:val="24"/>
          <w:szCs w:val="24"/>
          <w:highlight w:val="none"/>
          <w:lang w:val="en-US" w:eastAsia="zh-CN"/>
        </w:rPr>
        <w:t>1</w:t>
      </w:r>
      <w:r>
        <w:rPr>
          <w:rFonts w:hint="eastAsia" w:ascii="方正仿宋_GBK" w:hAnsi="宋体" w:eastAsia="方正仿宋_GBK" w:cs="宋体"/>
          <w:color w:val="auto"/>
          <w:kern w:val="0"/>
          <w:sz w:val="24"/>
          <w:szCs w:val="24"/>
          <w:highlight w:val="none"/>
          <w:lang w:eastAsia="zh-CN"/>
        </w:rPr>
        <w:t>）备品备件：在采购人指定区域提供本次采购所有设施设备3%应急备品配件和1%整机（≥1台），设备无法使用时提供免费更换、维修服务。</w:t>
      </w:r>
    </w:p>
    <w:p w14:paraId="329DE8D3">
      <w:pPr>
        <w:snapToGrid w:val="0"/>
        <w:spacing w:line="400" w:lineRule="exact"/>
        <w:ind w:firstLine="480" w:firstLineChars="200"/>
        <w:rPr>
          <w:rFonts w:hint="eastAsia"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lang w:eastAsia="zh-CN"/>
        </w:rPr>
        <w:t>（</w:t>
      </w:r>
      <w:r>
        <w:rPr>
          <w:rFonts w:hint="eastAsia" w:ascii="方正仿宋_GBK" w:hAnsi="宋体" w:eastAsia="方正仿宋_GBK" w:cs="宋体"/>
          <w:color w:val="auto"/>
          <w:kern w:val="0"/>
          <w:sz w:val="24"/>
          <w:szCs w:val="24"/>
          <w:highlight w:val="none"/>
          <w:lang w:val="en-US" w:eastAsia="zh-CN"/>
        </w:rPr>
        <w:t>2</w:t>
      </w:r>
      <w:r>
        <w:rPr>
          <w:rFonts w:hint="eastAsia" w:ascii="方正仿宋_GBK" w:hAnsi="宋体" w:eastAsia="方正仿宋_GBK" w:cs="宋体"/>
          <w:color w:val="auto"/>
          <w:kern w:val="0"/>
          <w:sz w:val="24"/>
          <w:szCs w:val="24"/>
          <w:highlight w:val="none"/>
          <w:lang w:eastAsia="zh-CN"/>
        </w:rPr>
        <w:t>）集成及优化：中标人须无条件服从采购人对应用功能集成、异厂家设施设备兼容及与现有系统平台互联互通的要求，所产生的费用及知识产权由中标人承担。</w:t>
      </w:r>
    </w:p>
    <w:p w14:paraId="5B38BF24">
      <w:pPr>
        <w:snapToGrid w:val="0"/>
        <w:spacing w:line="400" w:lineRule="exact"/>
        <w:ind w:firstLine="480" w:firstLineChars="200"/>
        <w:rPr>
          <w:rFonts w:hint="eastAsia" w:ascii="方正仿宋_GBK" w:hAnsi="宋体" w:eastAsia="方正仿宋_GBK" w:cs="宋体"/>
          <w:color w:val="auto"/>
          <w:kern w:val="0"/>
          <w:sz w:val="24"/>
          <w:szCs w:val="24"/>
          <w:highlight w:val="none"/>
          <w:lang w:eastAsia="zh-CN"/>
        </w:rPr>
      </w:pPr>
      <w:r>
        <w:rPr>
          <w:rFonts w:hint="eastAsia" w:ascii="方正仿宋_GBK" w:hAnsi="宋体" w:eastAsia="方正仿宋_GBK" w:cs="宋体"/>
          <w:color w:val="auto"/>
          <w:kern w:val="0"/>
          <w:sz w:val="24"/>
          <w:szCs w:val="24"/>
          <w:highlight w:val="none"/>
          <w:lang w:eastAsia="zh-CN"/>
        </w:rPr>
        <w:t>（</w:t>
      </w:r>
      <w:r>
        <w:rPr>
          <w:rFonts w:hint="eastAsia" w:ascii="方正仿宋_GBK" w:hAnsi="宋体" w:eastAsia="方正仿宋_GBK" w:cs="宋体"/>
          <w:color w:val="auto"/>
          <w:kern w:val="0"/>
          <w:sz w:val="24"/>
          <w:szCs w:val="24"/>
          <w:highlight w:val="none"/>
          <w:lang w:val="en-US" w:eastAsia="zh-CN"/>
        </w:rPr>
        <w:t>3</w:t>
      </w:r>
      <w:r>
        <w:rPr>
          <w:rFonts w:hint="eastAsia" w:ascii="方正仿宋_GBK" w:hAnsi="宋体" w:eastAsia="方正仿宋_GBK" w:cs="宋体"/>
          <w:color w:val="auto"/>
          <w:kern w:val="0"/>
          <w:sz w:val="24"/>
          <w:szCs w:val="24"/>
          <w:highlight w:val="none"/>
          <w:lang w:eastAsia="zh-CN"/>
        </w:rPr>
        <w:t>）现场响应：中标人须注意，该项目涉及应急工作（事故救援、灾害救援、指挥调度等），中标人应提高本项目服务质量和效率，包括但不限于对所投标产品进行巡检，紧急任务支持等。采购人遇到使用及技术问题，电话咨询不能解决的，投标人应到达现场（近郊1小时内，远郊区2小时到达现场）进行处理，确保产品正常工作。当设施设备出现故障须4小时内恢复正常使用。因中标人未在规定时间内提供货物和相关服务导致重大财产损失、人员伤亡、不良社会影响，采购人有权单方解除合同。中标人还应赔偿由此产生的损失并承担违约责任。</w:t>
      </w:r>
    </w:p>
    <w:p w14:paraId="1634BE87">
      <w:pPr>
        <w:snapToGrid w:val="0"/>
        <w:spacing w:line="400" w:lineRule="exact"/>
        <w:ind w:firstLine="480" w:firstLineChars="200"/>
        <w:rPr>
          <w:rFonts w:hint="eastAsia" w:ascii="方正仿宋_GBK" w:hAnsi="宋体" w:eastAsia="方正仿宋_GBK" w:cs="宋体"/>
          <w:color w:val="auto"/>
          <w:kern w:val="0"/>
          <w:sz w:val="24"/>
          <w:szCs w:val="24"/>
          <w:highlight w:val="none"/>
          <w:lang w:eastAsia="zh-CN"/>
        </w:rPr>
      </w:pPr>
      <w:r>
        <w:rPr>
          <w:rFonts w:hint="eastAsia" w:ascii="方正仿宋_GBK" w:hAnsi="宋体" w:eastAsia="方正仿宋_GBK" w:cs="宋体"/>
          <w:color w:val="auto"/>
          <w:kern w:val="0"/>
          <w:sz w:val="24"/>
          <w:szCs w:val="24"/>
          <w:highlight w:val="none"/>
          <w:lang w:eastAsia="zh-CN"/>
        </w:rPr>
        <w:t>（</w:t>
      </w:r>
      <w:r>
        <w:rPr>
          <w:rFonts w:hint="eastAsia" w:ascii="方正仿宋_GBK" w:hAnsi="宋体" w:eastAsia="方正仿宋_GBK" w:cs="宋体"/>
          <w:color w:val="auto"/>
          <w:kern w:val="0"/>
          <w:sz w:val="24"/>
          <w:szCs w:val="24"/>
          <w:highlight w:val="none"/>
          <w:lang w:val="en-US" w:eastAsia="zh-CN"/>
        </w:rPr>
        <w:t>4</w:t>
      </w:r>
      <w:r>
        <w:rPr>
          <w:rFonts w:hint="eastAsia" w:ascii="方正仿宋_GBK" w:hAnsi="宋体" w:eastAsia="方正仿宋_GBK" w:cs="宋体"/>
          <w:color w:val="auto"/>
          <w:kern w:val="0"/>
          <w:sz w:val="24"/>
          <w:szCs w:val="24"/>
          <w:highlight w:val="none"/>
          <w:lang w:eastAsia="zh-CN"/>
        </w:rPr>
        <w:t>）电话咨询：中标人应当为采购人提供7*24小时技术热线电话，解答采购人在使用中遇到的问题，及时为采购人提出解决问题的建议。</w:t>
      </w:r>
    </w:p>
    <w:p w14:paraId="7F594D35">
      <w:pPr>
        <w:snapToGrid w:val="0"/>
        <w:spacing w:line="400" w:lineRule="exact"/>
        <w:ind w:firstLine="480" w:firstLineChars="200"/>
        <w:rPr>
          <w:rFonts w:hint="eastAsia"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lang w:eastAsia="zh-CN"/>
        </w:rPr>
        <w:t>（</w:t>
      </w:r>
      <w:r>
        <w:rPr>
          <w:rFonts w:hint="eastAsia" w:ascii="方正仿宋_GBK" w:hAnsi="宋体" w:eastAsia="方正仿宋_GBK" w:cs="宋体"/>
          <w:color w:val="auto"/>
          <w:kern w:val="0"/>
          <w:sz w:val="24"/>
          <w:szCs w:val="24"/>
          <w:highlight w:val="none"/>
          <w:lang w:val="en-US" w:eastAsia="zh-CN"/>
        </w:rPr>
        <w:t>5</w:t>
      </w:r>
      <w:r>
        <w:rPr>
          <w:rFonts w:hint="eastAsia" w:ascii="方正仿宋_GBK" w:hAnsi="宋体" w:eastAsia="方正仿宋_GBK" w:cs="宋体"/>
          <w:color w:val="auto"/>
          <w:kern w:val="0"/>
          <w:sz w:val="24"/>
          <w:szCs w:val="24"/>
          <w:highlight w:val="none"/>
          <w:lang w:eastAsia="zh-CN"/>
        </w:rPr>
        <w:t>）技术升级：在质保期内，如果中标人的产品技术升级，中标人应及时通知采购人，如采购人有相应要求，中标人应对采购人购买的产品进行升级服务（所需费用包含在投标报价内）。</w:t>
      </w:r>
    </w:p>
    <w:p w14:paraId="5FD3CC60">
      <w:pPr>
        <w:snapToGrid w:val="0"/>
        <w:spacing w:line="400" w:lineRule="exact"/>
        <w:ind w:firstLine="480" w:firstLineChars="200"/>
        <w:rPr>
          <w:rFonts w:ascii="方正仿宋_GBK" w:hAnsi="宋体" w:eastAsia="方正仿宋_GBK" w:cs="宋体"/>
          <w:color w:val="auto"/>
          <w:kern w:val="0"/>
          <w:sz w:val="24"/>
          <w:szCs w:val="24"/>
          <w:highlight w:val="none"/>
          <w:lang w:val="en"/>
        </w:rPr>
      </w:pPr>
      <w:r>
        <w:rPr>
          <w:rFonts w:hint="eastAsia" w:ascii="方正仿宋_GBK" w:hAnsi="宋体" w:eastAsia="方正仿宋_GBK" w:cs="宋体"/>
          <w:color w:val="auto"/>
          <w:kern w:val="0"/>
          <w:sz w:val="24"/>
          <w:szCs w:val="24"/>
          <w:highlight w:val="none"/>
        </w:rPr>
        <w:t>2.</w:t>
      </w:r>
      <w:r>
        <w:rPr>
          <w:rFonts w:hint="eastAsia" w:ascii="方正仿宋_GBK" w:hAnsi="宋体" w:eastAsia="方正仿宋_GBK" w:cs="宋体"/>
          <w:color w:val="auto"/>
          <w:kern w:val="0"/>
          <w:sz w:val="24"/>
          <w:szCs w:val="24"/>
          <w:highlight w:val="none"/>
          <w:lang w:val="en-US" w:eastAsia="zh-CN"/>
        </w:rPr>
        <w:t>货物</w:t>
      </w:r>
      <w:r>
        <w:rPr>
          <w:rFonts w:hint="eastAsia" w:ascii="方正仿宋_GBK" w:hAnsi="宋体" w:eastAsia="方正仿宋_GBK" w:cs="宋体"/>
          <w:color w:val="auto"/>
          <w:kern w:val="0"/>
          <w:sz w:val="24"/>
          <w:szCs w:val="24"/>
          <w:highlight w:val="none"/>
        </w:rPr>
        <w:t>质量保证期（免费运维期）外服务要求</w:t>
      </w:r>
    </w:p>
    <w:p w14:paraId="37645F63">
      <w:pPr>
        <w:snapToGrid w:val="0"/>
        <w:spacing w:line="400" w:lineRule="exact"/>
        <w:ind w:firstLine="480" w:firstLineChars="200"/>
        <w:rPr>
          <w:rFonts w:hint="eastAsia" w:ascii="方正仿宋_GBK" w:hAnsi="宋体" w:eastAsia="方正仿宋_GBK" w:cs="宋体"/>
          <w:color w:val="auto"/>
          <w:kern w:val="0"/>
          <w:sz w:val="24"/>
          <w:szCs w:val="24"/>
          <w:highlight w:val="none"/>
          <w:lang w:val="en"/>
        </w:rPr>
      </w:pPr>
      <w:r>
        <w:rPr>
          <w:rFonts w:hint="eastAsia" w:ascii="方正仿宋_GBK" w:hAnsi="宋体" w:eastAsia="方正仿宋_GBK" w:cs="宋体"/>
          <w:color w:val="auto"/>
          <w:kern w:val="0"/>
          <w:sz w:val="24"/>
          <w:szCs w:val="24"/>
          <w:highlight w:val="none"/>
          <w:lang w:val="en" w:eastAsia="zh-CN"/>
        </w:rPr>
        <w:t>（</w:t>
      </w:r>
      <w:r>
        <w:rPr>
          <w:rFonts w:hint="eastAsia" w:ascii="方正仿宋_GBK" w:hAnsi="宋体" w:eastAsia="方正仿宋_GBK" w:cs="宋体"/>
          <w:color w:val="auto"/>
          <w:kern w:val="0"/>
          <w:sz w:val="24"/>
          <w:szCs w:val="24"/>
          <w:highlight w:val="none"/>
          <w:lang w:val="en-US" w:eastAsia="zh-CN"/>
        </w:rPr>
        <w:t>1</w:t>
      </w:r>
      <w:r>
        <w:rPr>
          <w:rFonts w:hint="eastAsia" w:ascii="方正仿宋_GBK" w:hAnsi="宋体" w:eastAsia="方正仿宋_GBK" w:cs="宋体"/>
          <w:color w:val="auto"/>
          <w:kern w:val="0"/>
          <w:sz w:val="24"/>
          <w:szCs w:val="24"/>
          <w:highlight w:val="none"/>
          <w:lang w:val="en" w:eastAsia="zh-CN"/>
        </w:rPr>
        <w:t>）</w:t>
      </w:r>
      <w:r>
        <w:rPr>
          <w:rFonts w:hint="eastAsia" w:ascii="方正仿宋_GBK" w:hAnsi="宋体" w:eastAsia="方正仿宋_GBK" w:cs="宋体"/>
          <w:color w:val="auto"/>
          <w:kern w:val="0"/>
          <w:sz w:val="24"/>
          <w:szCs w:val="24"/>
          <w:highlight w:val="none"/>
          <w:lang w:val="en-US" w:eastAsia="zh-CN"/>
        </w:rPr>
        <w:t>货物</w:t>
      </w:r>
      <w:r>
        <w:rPr>
          <w:rFonts w:hint="eastAsia" w:ascii="方正仿宋_GBK" w:hAnsi="宋体" w:eastAsia="方正仿宋_GBK" w:cs="宋体"/>
          <w:color w:val="auto"/>
          <w:kern w:val="0"/>
          <w:sz w:val="24"/>
          <w:szCs w:val="24"/>
          <w:highlight w:val="none"/>
          <w:lang w:val="en"/>
        </w:rPr>
        <w:t>质量保证期过后，中标人应同样提供免费电话咨询服务，并应承诺提供产品上门维护服务。</w:t>
      </w:r>
    </w:p>
    <w:p w14:paraId="10404D39">
      <w:pPr>
        <w:snapToGrid w:val="0"/>
        <w:spacing w:line="400" w:lineRule="exact"/>
        <w:ind w:firstLine="480" w:firstLineChars="200"/>
        <w:rPr>
          <w:rFonts w:hint="eastAsia" w:ascii="方正仿宋_GBK" w:hAnsi="宋体" w:eastAsia="方正仿宋_GBK" w:cs="宋体"/>
          <w:color w:val="auto"/>
          <w:kern w:val="0"/>
          <w:sz w:val="24"/>
          <w:szCs w:val="24"/>
          <w:highlight w:val="none"/>
          <w:lang w:val="en"/>
        </w:rPr>
      </w:pPr>
      <w:r>
        <w:rPr>
          <w:rFonts w:hint="eastAsia" w:ascii="方正仿宋_GBK" w:hAnsi="宋体" w:eastAsia="方正仿宋_GBK" w:cs="宋体"/>
          <w:color w:val="auto"/>
          <w:kern w:val="0"/>
          <w:sz w:val="24"/>
          <w:szCs w:val="24"/>
          <w:highlight w:val="none"/>
          <w:lang w:val="en" w:eastAsia="zh-CN"/>
        </w:rPr>
        <w:t>（</w:t>
      </w:r>
      <w:r>
        <w:rPr>
          <w:rFonts w:hint="eastAsia" w:ascii="方正仿宋_GBK" w:hAnsi="宋体" w:eastAsia="方正仿宋_GBK" w:cs="宋体"/>
          <w:color w:val="auto"/>
          <w:kern w:val="0"/>
          <w:sz w:val="24"/>
          <w:szCs w:val="24"/>
          <w:highlight w:val="none"/>
          <w:lang w:val="en-US" w:eastAsia="zh-CN"/>
        </w:rPr>
        <w:t>2</w:t>
      </w:r>
      <w:r>
        <w:rPr>
          <w:rFonts w:hint="eastAsia" w:ascii="方正仿宋_GBK" w:hAnsi="宋体" w:eastAsia="方正仿宋_GBK" w:cs="宋体"/>
          <w:color w:val="auto"/>
          <w:kern w:val="0"/>
          <w:sz w:val="24"/>
          <w:szCs w:val="24"/>
          <w:highlight w:val="none"/>
          <w:lang w:val="en" w:eastAsia="zh-CN"/>
        </w:rPr>
        <w:t>）</w:t>
      </w:r>
      <w:r>
        <w:rPr>
          <w:rFonts w:hint="eastAsia" w:ascii="方正仿宋_GBK" w:hAnsi="宋体" w:eastAsia="方正仿宋_GBK" w:cs="宋体"/>
          <w:color w:val="auto"/>
          <w:kern w:val="0"/>
          <w:sz w:val="24"/>
          <w:szCs w:val="24"/>
          <w:highlight w:val="none"/>
          <w:lang w:val="en-US" w:eastAsia="zh-CN"/>
        </w:rPr>
        <w:t>货物</w:t>
      </w:r>
      <w:r>
        <w:rPr>
          <w:rFonts w:hint="eastAsia" w:ascii="方正仿宋_GBK" w:hAnsi="宋体" w:eastAsia="方正仿宋_GBK" w:cs="宋体"/>
          <w:color w:val="auto"/>
          <w:kern w:val="0"/>
          <w:sz w:val="24"/>
          <w:szCs w:val="24"/>
          <w:highlight w:val="none"/>
          <w:lang w:val="en"/>
        </w:rPr>
        <w:t>质量保证期过后，采购人需要继续由原中标人提供售后或运维服务的，中标人应以≤95%的优惠价格提供服务。</w:t>
      </w:r>
    </w:p>
    <w:p w14:paraId="2C18B569">
      <w:pPr>
        <w:snapToGrid w:val="0"/>
        <w:spacing w:line="400" w:lineRule="exact"/>
        <w:ind w:firstLine="480" w:firstLineChars="200"/>
        <w:rPr>
          <w:rFonts w:hint="eastAsia" w:ascii="方正仿宋_GBK" w:hAnsi="宋体" w:eastAsia="方正仿宋_GBK" w:cs="宋体"/>
          <w:color w:val="auto"/>
          <w:kern w:val="0"/>
          <w:sz w:val="24"/>
          <w:szCs w:val="24"/>
          <w:highlight w:val="none"/>
          <w:lang w:val="en"/>
        </w:rPr>
      </w:pPr>
      <w:r>
        <w:rPr>
          <w:rFonts w:hint="eastAsia" w:ascii="方正仿宋_GBK" w:hAnsi="宋体" w:eastAsia="方正仿宋_GBK" w:cs="宋体"/>
          <w:color w:val="auto"/>
          <w:kern w:val="0"/>
          <w:sz w:val="24"/>
          <w:szCs w:val="24"/>
          <w:highlight w:val="none"/>
          <w:lang w:val="en" w:eastAsia="zh-CN"/>
        </w:rPr>
        <w:t>（</w:t>
      </w:r>
      <w:r>
        <w:rPr>
          <w:rFonts w:hint="eastAsia" w:ascii="方正仿宋_GBK" w:hAnsi="宋体" w:eastAsia="方正仿宋_GBK" w:cs="宋体"/>
          <w:color w:val="auto"/>
          <w:kern w:val="0"/>
          <w:sz w:val="24"/>
          <w:szCs w:val="24"/>
          <w:highlight w:val="none"/>
          <w:lang w:val="en-US" w:eastAsia="zh-CN"/>
        </w:rPr>
        <w:t>3</w:t>
      </w:r>
      <w:r>
        <w:rPr>
          <w:rFonts w:hint="eastAsia" w:ascii="方正仿宋_GBK" w:hAnsi="宋体" w:eastAsia="方正仿宋_GBK" w:cs="宋体"/>
          <w:color w:val="auto"/>
          <w:kern w:val="0"/>
          <w:sz w:val="24"/>
          <w:szCs w:val="24"/>
          <w:highlight w:val="none"/>
          <w:lang w:val="en" w:eastAsia="zh-CN"/>
        </w:rPr>
        <w:t>）</w:t>
      </w:r>
      <w:r>
        <w:rPr>
          <w:rFonts w:hint="eastAsia" w:ascii="方正仿宋_GBK" w:hAnsi="宋体" w:eastAsia="方正仿宋_GBK" w:cs="宋体"/>
          <w:color w:val="auto"/>
          <w:kern w:val="0"/>
          <w:sz w:val="24"/>
          <w:szCs w:val="24"/>
          <w:highlight w:val="none"/>
          <w:lang w:val="en"/>
        </w:rPr>
        <w:t>中标人售后服务中，维修使用的备品备件及易损件应为原厂配件，未经采购人同意不得使用非原厂配件，常用的、容易损坏的备品备件及易损件的价格清单须在投标文件中列出，采购人可按照单价不高于采购时可比价格进行采购。</w:t>
      </w:r>
    </w:p>
    <w:p w14:paraId="4EF859FB">
      <w:pPr>
        <w:spacing w:line="400" w:lineRule="exact"/>
        <w:ind w:firstLine="482" w:firstLineChars="200"/>
        <w:rPr>
          <w:rFonts w:ascii="方正仿宋_GBK" w:hAnsi="宋体" w:eastAsia="方正仿宋_GBK" w:cs="宋体"/>
          <w:b/>
          <w:bCs/>
          <w:color w:val="auto"/>
          <w:kern w:val="0"/>
          <w:sz w:val="24"/>
          <w:szCs w:val="24"/>
          <w:highlight w:val="none"/>
        </w:rPr>
      </w:pPr>
      <w:r>
        <w:rPr>
          <w:rFonts w:hint="eastAsia" w:ascii="方正仿宋_GBK" w:hAnsi="宋体" w:eastAsia="方正仿宋_GBK" w:cs="宋体"/>
          <w:b/>
          <w:bCs/>
          <w:color w:val="auto"/>
          <w:kern w:val="0"/>
          <w:sz w:val="24"/>
          <w:szCs w:val="24"/>
          <w:highlight w:val="none"/>
        </w:rPr>
        <w:t>（三）特别约定</w:t>
      </w:r>
    </w:p>
    <w:p w14:paraId="3738FF11">
      <w:pPr>
        <w:snapToGrid w:val="0"/>
        <w:spacing w:line="400" w:lineRule="exact"/>
        <w:ind w:firstLine="480" w:firstLineChars="200"/>
        <w:rPr>
          <w:rFonts w:hint="eastAsia" w:ascii="方正仿宋_GBK" w:hAnsi="宋体" w:eastAsia="方正仿宋_GBK" w:cs="宋体"/>
          <w:color w:val="auto"/>
          <w:kern w:val="0"/>
          <w:sz w:val="24"/>
          <w:szCs w:val="24"/>
          <w:highlight w:val="none"/>
          <w:lang w:val="en"/>
        </w:rPr>
      </w:pPr>
      <w:r>
        <w:rPr>
          <w:rFonts w:hint="eastAsia" w:ascii="方正仿宋_GBK" w:hAnsi="宋体" w:eastAsia="方正仿宋_GBK" w:cs="宋体"/>
          <w:color w:val="auto"/>
          <w:kern w:val="0"/>
          <w:sz w:val="24"/>
          <w:szCs w:val="24"/>
          <w:highlight w:val="none"/>
          <w:lang w:val="en"/>
        </w:rPr>
        <w:t>①若采购人需要继续由原中标人提供产品、备品备件、易损件、配套服务（包括但不限于站址租赁、市电、备电、网络专线和运维等）及售后服务的（含合同到期后），中标人应承诺优于投标所列价格提供（若购买时市场价低于投标价格的，以最近成交的最低价格提供）。若中标人拒不按前述约定履行义务，则采购人有权要求中标人履行，并有权要求按本合同约定的违约责任条款追究其违约责任。</w:t>
      </w:r>
    </w:p>
    <w:p w14:paraId="64E5A0E1">
      <w:pPr>
        <w:snapToGrid w:val="0"/>
        <w:spacing w:line="400" w:lineRule="exact"/>
        <w:ind w:firstLine="480" w:firstLineChars="200"/>
        <w:rPr>
          <w:rFonts w:hint="eastAsia" w:ascii="方正仿宋_GBK" w:hAnsi="宋体" w:eastAsia="方正仿宋_GBK" w:cs="宋体"/>
          <w:color w:val="auto"/>
          <w:kern w:val="0"/>
          <w:sz w:val="24"/>
          <w:szCs w:val="24"/>
          <w:highlight w:val="none"/>
          <w:lang w:val="en"/>
        </w:rPr>
      </w:pPr>
      <w:r>
        <w:rPr>
          <w:rFonts w:hint="eastAsia" w:ascii="方正仿宋_GBK" w:hAnsi="宋体" w:eastAsia="方正仿宋_GBK" w:cs="宋体"/>
          <w:color w:val="auto"/>
          <w:kern w:val="0"/>
          <w:sz w:val="24"/>
          <w:szCs w:val="24"/>
          <w:highlight w:val="none"/>
          <w:lang w:val="en"/>
        </w:rPr>
        <w:t>②在政府采购限额标准以内，技术升级：如果中标人的产品技术升级，中标人应及时通知采购人，如采购人有相应需求，中标人应对采购人购买的产品进行升级（在质保期内免费；在质保期外，若购买时市场价低于投标价格的，以最近成交的最低价格提供）；中标人的产品使用新技术、产品更新等情况时，如采购人有相应需求，中标人应以最近成交的最低价格优先供给采购人。</w:t>
      </w:r>
    </w:p>
    <w:p w14:paraId="307F9FE3">
      <w:pPr>
        <w:snapToGrid w:val="0"/>
        <w:spacing w:line="400" w:lineRule="exact"/>
        <w:ind w:firstLine="480" w:firstLineChars="200"/>
        <w:rPr>
          <w:rFonts w:hint="eastAsia" w:ascii="方正仿宋_GBK" w:hAnsi="宋体" w:eastAsia="方正仿宋_GBK" w:cs="宋体"/>
          <w:color w:val="auto"/>
          <w:kern w:val="0"/>
          <w:sz w:val="24"/>
          <w:szCs w:val="24"/>
          <w:highlight w:val="none"/>
          <w:lang w:val="en"/>
        </w:rPr>
      </w:pPr>
      <w:r>
        <w:rPr>
          <w:rFonts w:hint="eastAsia" w:ascii="方正仿宋_GBK" w:hAnsi="宋体" w:eastAsia="方正仿宋_GBK" w:cs="宋体"/>
          <w:color w:val="auto"/>
          <w:kern w:val="0"/>
          <w:sz w:val="24"/>
          <w:szCs w:val="24"/>
          <w:highlight w:val="none"/>
          <w:lang w:val="en"/>
        </w:rPr>
        <w:t>③上述①②约定在本合同期满、解除或终止后依然有效。</w:t>
      </w:r>
    </w:p>
    <w:p w14:paraId="7524691F">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278" w:name="_Toc15154"/>
      <w:r>
        <w:rPr>
          <w:rFonts w:hint="eastAsia" w:ascii="方正仿宋_GBK" w:eastAsia="方正仿宋_GBK"/>
          <w:b/>
          <w:color w:val="auto"/>
          <w:szCs w:val="21"/>
          <w:highlight w:val="none"/>
        </w:rPr>
        <w:t>※四、付款方式</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7112D992">
      <w:pPr>
        <w:snapToGrid w:val="0"/>
        <w:spacing w:line="400" w:lineRule="exact"/>
        <w:ind w:firstLine="482" w:firstLineChars="200"/>
        <w:rPr>
          <w:rFonts w:ascii="方正仿宋_GBK" w:hAnsi="宋体" w:eastAsia="方正仿宋_GBK"/>
          <w:b/>
          <w:bCs/>
          <w:color w:val="auto"/>
          <w:sz w:val="24"/>
          <w:szCs w:val="24"/>
          <w:highlight w:val="none"/>
        </w:rPr>
      </w:pPr>
      <w:bookmarkStart w:id="279" w:name="_Toc20369"/>
      <w:bookmarkStart w:id="280" w:name="_Toc75793513"/>
      <w:bookmarkStart w:id="281" w:name="_Toc267320052"/>
      <w:bookmarkStart w:id="282" w:name="_Toc25410"/>
      <w:bookmarkStart w:id="283" w:name="_Toc28056"/>
      <w:bookmarkStart w:id="284" w:name="_Toc18959"/>
      <w:bookmarkStart w:id="285" w:name="_Toc11060"/>
      <w:bookmarkStart w:id="286" w:name="_Toc4897"/>
      <w:bookmarkStart w:id="287" w:name="_Toc3565"/>
      <w:bookmarkStart w:id="288" w:name="_Toc11399"/>
      <w:bookmarkStart w:id="289" w:name="_Toc9213"/>
      <w:bookmarkStart w:id="290" w:name="_Toc27144"/>
      <w:bookmarkStart w:id="291" w:name="_Toc3311"/>
      <w:bookmarkStart w:id="292" w:name="_Toc4339"/>
      <w:bookmarkStart w:id="293" w:name="_Toc10105"/>
      <w:bookmarkStart w:id="294" w:name="_Toc22431"/>
      <w:r>
        <w:rPr>
          <w:rFonts w:hint="eastAsia" w:ascii="方正仿宋_GBK" w:hAnsi="宋体" w:eastAsia="方正仿宋_GBK"/>
          <w:b/>
          <w:bCs/>
          <w:color w:val="auto"/>
          <w:sz w:val="24"/>
          <w:szCs w:val="24"/>
          <w:highlight w:val="none"/>
        </w:rPr>
        <w:t>（一）履约保证金的约定：</w:t>
      </w:r>
    </w:p>
    <w:p w14:paraId="54E05482">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1.中标人应在中标通知书发出后，合同签订前以银行转账或者金融机构、</w:t>
      </w:r>
      <w:r>
        <w:rPr>
          <w:rFonts w:hint="eastAsia" w:ascii="方正仿宋_GBK" w:hAnsi="宋体" w:eastAsia="方正仿宋_GBK"/>
          <w:color w:val="auto"/>
          <w:sz w:val="24"/>
          <w:szCs w:val="24"/>
          <w:highlight w:val="none"/>
          <w:lang w:val="en-US" w:eastAsia="zh-CN"/>
        </w:rPr>
        <w:t>融资性担保机构</w:t>
      </w:r>
      <w:r>
        <w:rPr>
          <w:rFonts w:hint="eastAsia" w:ascii="方正仿宋_GBK" w:hAnsi="宋体" w:eastAsia="方正仿宋_GBK"/>
          <w:color w:val="auto"/>
          <w:sz w:val="24"/>
          <w:szCs w:val="24"/>
          <w:highlight w:val="none"/>
        </w:rPr>
        <w:t>出具不可撤销见索即付的</w:t>
      </w:r>
      <w:r>
        <w:rPr>
          <w:rFonts w:hint="eastAsia" w:ascii="方正仿宋_GBK" w:hAnsi="宋体" w:eastAsia="方正仿宋_GBK"/>
          <w:color w:val="auto"/>
          <w:sz w:val="24"/>
          <w:szCs w:val="24"/>
          <w:highlight w:val="none"/>
          <w:lang w:val="en-US" w:eastAsia="zh-CN"/>
        </w:rPr>
        <w:t>独立</w:t>
      </w:r>
      <w:r>
        <w:rPr>
          <w:rFonts w:hint="eastAsia" w:ascii="方正仿宋_GBK" w:hAnsi="宋体" w:eastAsia="方正仿宋_GBK"/>
          <w:color w:val="auto"/>
          <w:sz w:val="24"/>
          <w:szCs w:val="24"/>
          <w:highlight w:val="none"/>
        </w:rPr>
        <w:t>保函等非现金形式向采购人缴纳中标金额的 10% 作为履约保证金。</w:t>
      </w:r>
    </w:p>
    <w:p w14:paraId="5E65538E">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w:t>
      </w:r>
      <w:r>
        <w:rPr>
          <w:rFonts w:hint="eastAsia" w:ascii="方正仿宋_GBK" w:hAnsi="宋体" w:eastAsia="方正仿宋_GBK" w:cs="Times New Roman"/>
          <w:color w:val="auto"/>
          <w:kern w:val="2"/>
          <w:sz w:val="24"/>
          <w:szCs w:val="24"/>
          <w:highlight w:val="none"/>
          <w:lang w:val="en-US" w:eastAsia="zh-CN" w:bidi="ar-SA"/>
        </w:rPr>
        <w:t>若中标人未按合同约定履行义务（注意：合同约定义务完成包括但不限于完成货物交付、货物质量保证期、免费运维期内提供服务等所有合同约定的义务），采购人有权从履约保证金中扣除损失赔偿费、违约金、为维护权利所产生的所有费用，若履约保证金不足以抵扣，中标人还应当对超过部分予以赔偿。</w:t>
      </w:r>
    </w:p>
    <w:p w14:paraId="3CE36CD5">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w:t>
      </w:r>
      <w:r>
        <w:rPr>
          <w:rFonts w:hint="eastAsia" w:ascii="方正仿宋_GBK" w:hAnsi="宋体" w:eastAsia="方正仿宋_GBK" w:cs="Times New Roman"/>
          <w:color w:val="auto"/>
          <w:kern w:val="2"/>
          <w:sz w:val="24"/>
          <w:szCs w:val="24"/>
          <w:highlight w:val="none"/>
          <w:lang w:val="en-US" w:eastAsia="zh-CN" w:bidi="ar-SA"/>
        </w:rPr>
        <w:t>项目初步验收后，原则上采购人按照中标人承诺的货物质量保证期（免费运维期）逐年等比例退还，中标人应逐年向采购人提交退还当年对应部分履约保证金的书面申请。当年合同义务履行完毕，中标人提出申请，经采购人确认中标人当年未发生违约情形，在收到中标人退还履约保证金的申请后，根据中标人承诺的免费运维期逐年等比例退还。</w:t>
      </w:r>
    </w:p>
    <w:p w14:paraId="34353D6D">
      <w:pPr>
        <w:snapToGrid w:val="0"/>
        <w:spacing w:line="400" w:lineRule="exact"/>
        <w:ind w:firstLine="480"/>
        <w:rPr>
          <w:rFonts w:hint="default" w:ascii="方正仿宋_GBK" w:hAnsi="宋体" w:eastAsia="方正仿宋_GBK"/>
          <w:color w:val="auto"/>
          <w:sz w:val="24"/>
          <w:szCs w:val="24"/>
          <w:highlight w:val="none"/>
          <w:lang w:val="en-US" w:eastAsia="zh-CN"/>
        </w:rPr>
      </w:pPr>
      <w:r>
        <w:rPr>
          <w:rFonts w:hint="eastAsia" w:ascii="方正仿宋_GBK" w:hAnsi="宋体" w:eastAsia="方正仿宋_GBK"/>
          <w:color w:val="auto"/>
          <w:sz w:val="24"/>
          <w:szCs w:val="24"/>
          <w:highlight w:val="none"/>
          <w:lang w:val="en-US" w:eastAsia="zh-CN"/>
        </w:rPr>
        <w:t>4.中标人采用</w:t>
      </w:r>
      <w:r>
        <w:rPr>
          <w:rFonts w:hint="eastAsia" w:ascii="方正仿宋_GBK" w:hAnsi="宋体" w:eastAsia="方正仿宋_GBK"/>
          <w:color w:val="auto"/>
          <w:sz w:val="24"/>
          <w:szCs w:val="24"/>
          <w:highlight w:val="none"/>
        </w:rPr>
        <w:t>保函形式</w:t>
      </w:r>
      <w:r>
        <w:rPr>
          <w:rFonts w:hint="eastAsia" w:ascii="方正仿宋_GBK" w:hAnsi="宋体" w:eastAsia="方正仿宋_GBK"/>
          <w:color w:val="auto"/>
          <w:sz w:val="24"/>
          <w:szCs w:val="24"/>
          <w:highlight w:val="none"/>
          <w:lang w:val="en-US" w:eastAsia="zh-CN"/>
        </w:rPr>
        <w:t>提供履约担保的，应保证所提交的履约保函在</w:t>
      </w:r>
      <w:r>
        <w:rPr>
          <w:rFonts w:hint="eastAsia" w:ascii="方正仿宋_GBK" w:hAnsi="宋体" w:eastAsia="方正仿宋_GBK"/>
          <w:color w:val="auto"/>
          <w:sz w:val="24"/>
          <w:szCs w:val="24"/>
          <w:highlight w:val="none"/>
        </w:rPr>
        <w:t>合同义务履行完毕</w:t>
      </w:r>
      <w:r>
        <w:rPr>
          <w:rFonts w:hint="eastAsia" w:ascii="方正仿宋_GBK" w:hAnsi="宋体" w:eastAsia="方正仿宋_GBK"/>
          <w:color w:val="auto"/>
          <w:sz w:val="24"/>
          <w:szCs w:val="24"/>
          <w:highlight w:val="none"/>
          <w:lang w:eastAsia="zh-CN"/>
        </w:rPr>
        <w:t>之前均在有效期内；若提交的履约保函有效期届满前</w:t>
      </w:r>
      <w:r>
        <w:rPr>
          <w:rFonts w:hint="eastAsia" w:ascii="方正仿宋_GBK" w:hAnsi="宋体" w:eastAsia="方正仿宋_GBK"/>
          <w:color w:val="auto"/>
          <w:sz w:val="24"/>
          <w:szCs w:val="24"/>
          <w:highlight w:val="none"/>
          <w:lang w:val="en-US" w:eastAsia="zh-CN"/>
        </w:rPr>
        <w:t>15日</w:t>
      </w:r>
      <w:r>
        <w:rPr>
          <w:rFonts w:hint="eastAsia" w:ascii="方正仿宋_GBK" w:hAnsi="宋体" w:eastAsia="方正仿宋_GBK"/>
          <w:color w:val="auto"/>
          <w:sz w:val="24"/>
          <w:szCs w:val="24"/>
          <w:highlight w:val="none"/>
          <w:lang w:eastAsia="zh-CN"/>
        </w:rPr>
        <w:t>中标人</w:t>
      </w:r>
      <w:r>
        <w:rPr>
          <w:rFonts w:hint="eastAsia" w:ascii="方正仿宋_GBK" w:hAnsi="宋体" w:eastAsia="方正仿宋_GBK"/>
          <w:color w:val="auto"/>
          <w:sz w:val="24"/>
          <w:szCs w:val="24"/>
          <w:highlight w:val="none"/>
        </w:rPr>
        <w:t>合同义务</w:t>
      </w:r>
      <w:r>
        <w:rPr>
          <w:rFonts w:hint="eastAsia" w:ascii="方正仿宋_GBK" w:hAnsi="宋体" w:eastAsia="方正仿宋_GBK"/>
          <w:color w:val="auto"/>
          <w:sz w:val="24"/>
          <w:szCs w:val="24"/>
          <w:highlight w:val="none"/>
          <w:lang w:eastAsia="zh-CN"/>
        </w:rPr>
        <w:t>未</w:t>
      </w:r>
      <w:r>
        <w:rPr>
          <w:rFonts w:hint="eastAsia" w:ascii="方正仿宋_GBK" w:hAnsi="宋体" w:eastAsia="方正仿宋_GBK"/>
          <w:color w:val="auto"/>
          <w:sz w:val="24"/>
          <w:szCs w:val="24"/>
          <w:highlight w:val="none"/>
        </w:rPr>
        <w:t>履行</w:t>
      </w:r>
      <w:r>
        <w:rPr>
          <w:rFonts w:hint="eastAsia" w:ascii="方正仿宋_GBK" w:hAnsi="宋体" w:eastAsia="方正仿宋_GBK"/>
          <w:color w:val="auto"/>
          <w:sz w:val="24"/>
          <w:szCs w:val="24"/>
          <w:highlight w:val="none"/>
          <w:lang w:eastAsia="zh-CN"/>
        </w:rPr>
        <w:t>完毕，中标人应在履约保函有效期届满前</w:t>
      </w:r>
      <w:r>
        <w:rPr>
          <w:rFonts w:hint="eastAsia" w:ascii="方正仿宋_GBK" w:hAnsi="宋体" w:eastAsia="方正仿宋_GBK"/>
          <w:color w:val="auto"/>
          <w:sz w:val="24"/>
          <w:szCs w:val="24"/>
          <w:highlight w:val="none"/>
          <w:lang w:val="en-US" w:eastAsia="zh-CN"/>
        </w:rPr>
        <w:t>10日提交新的履约保函（有效期应满足合同履行期限要求），否则采购人有权终止合同，并要求中标人对采购人造成的损失予以赔偿。</w:t>
      </w:r>
    </w:p>
    <w:p w14:paraId="40C43702">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lang w:val="en-US" w:eastAsia="zh-CN"/>
        </w:rPr>
        <w:t>5</w:t>
      </w:r>
      <w:r>
        <w:rPr>
          <w:rFonts w:hint="eastAsia" w:ascii="方正仿宋_GBK" w:hAnsi="宋体" w:eastAsia="方正仿宋_GBK"/>
          <w:color w:val="auto"/>
          <w:sz w:val="24"/>
          <w:szCs w:val="24"/>
          <w:highlight w:val="none"/>
        </w:rPr>
        <w:t>.中标人支付履约保证金时，应在“付款备注”中写明“（合同编号）XX买卖合同履约保证金”。中标人不得与其他合同、其他缴费项目一起支付履约保证金，若因混合支付造成无法确认为本合同款项到账的，视为逾期未支付。</w:t>
      </w:r>
    </w:p>
    <w:p w14:paraId="3CDA96DF">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lang w:val="en-US" w:eastAsia="zh-CN"/>
        </w:rPr>
        <w:t>6</w:t>
      </w:r>
      <w:r>
        <w:rPr>
          <w:rFonts w:hint="eastAsia" w:ascii="方正仿宋_GBK" w:hAnsi="宋体" w:eastAsia="方正仿宋_GBK"/>
          <w:color w:val="auto"/>
          <w:sz w:val="24"/>
          <w:szCs w:val="24"/>
          <w:highlight w:val="none"/>
        </w:rPr>
        <w:t>.履约保证金退还不计利息，按合同条款约定的违约扣除部分不予退还。</w:t>
      </w:r>
    </w:p>
    <w:p w14:paraId="56D4B8E8">
      <w:pPr>
        <w:snapToGrid w:val="0"/>
        <w:spacing w:line="400" w:lineRule="exact"/>
        <w:ind w:firstLine="482" w:firstLineChars="20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（二）付款方式的约定：</w:t>
      </w:r>
    </w:p>
    <w:p w14:paraId="487FBAFA">
      <w:pPr>
        <w:snapToGrid w:val="0"/>
        <w:spacing w:line="400" w:lineRule="exact"/>
        <w:ind w:firstLine="480" w:firstLineChars="200"/>
        <w:rPr>
          <w:rFonts w:hint="default" w:ascii="方正仿宋_GBK" w:hAnsi="宋体" w:eastAsia="方正仿宋_GBK"/>
          <w:color w:val="auto"/>
          <w:sz w:val="24"/>
          <w:szCs w:val="24"/>
          <w:highlight w:val="none"/>
          <w:lang w:val="en-US" w:eastAsia="zh-CN"/>
        </w:rPr>
      </w:pPr>
      <w:r>
        <w:rPr>
          <w:rFonts w:hint="eastAsia" w:ascii="方正仿宋_GBK" w:hAnsi="宋体" w:eastAsia="方正仿宋_GBK"/>
          <w:color w:val="auto"/>
          <w:sz w:val="24"/>
          <w:szCs w:val="24"/>
          <w:highlight w:val="none"/>
          <w:lang w:val="en-US" w:eastAsia="zh-CN"/>
        </w:rPr>
        <w:t>1.合同签订后，中标人向采购人提交合同金额50%金融机构、融资性担保机构出具的不可撤销见索即付独立预付款保函，并同时开具合同金额50%的发票，经采购人确认后向中标人支付合同金额50%的预付款。</w:t>
      </w:r>
    </w:p>
    <w:p w14:paraId="73D8B0CA">
      <w:pPr>
        <w:pStyle w:val="57"/>
        <w:spacing w:after="0" w:line="400" w:lineRule="exact"/>
        <w:ind w:left="0" w:leftChars="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中标人应保证上述要求提交的保函在设备初步验收合格之前均在有效期内；若提交的保函有效期届满前15日未完成设备初步验收并达到合格标准，中标人应在保函有效期届满前10日提交新的保函（有效期应满足合同履行期限要求），否则采购人有权终止合同，并要求中标人对采购人造成的损失予以赔偿。</w:t>
      </w:r>
    </w:p>
    <w:p w14:paraId="1FDB141F">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lang w:val="en-US" w:eastAsia="zh-CN"/>
        </w:rPr>
        <w:t>2.设备初步验收合格后，中标人提出付款申请，同时开具合同金额50%的发票，经采购人确认后向中标人支付合同金额50%的合同金额，同时退还其提交的合同金额50%的保函。</w:t>
      </w:r>
    </w:p>
    <w:p w14:paraId="316C4EFD">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295" w:name="_Toc31862"/>
      <w:r>
        <w:rPr>
          <w:rFonts w:hint="eastAsia" w:ascii="方正仿宋_GBK" w:eastAsia="方正仿宋_GBK"/>
          <w:b/>
          <w:color w:val="auto"/>
          <w:szCs w:val="21"/>
          <w:highlight w:val="none"/>
        </w:rPr>
        <w:t>※五、知识产权</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1C918F6D">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采购人在中华人民共和国境内使用投标人提供的货物</w:t>
      </w:r>
      <w:r>
        <w:rPr>
          <w:rFonts w:hint="eastAsia" w:ascii="方正仿宋_GBK" w:hAnsi="宋体" w:eastAsia="方正仿宋_GBK"/>
          <w:color w:val="auto"/>
          <w:sz w:val="24"/>
          <w:szCs w:val="24"/>
          <w:highlight w:val="none"/>
          <w:lang w:val="en-US" w:eastAsia="zh-CN"/>
        </w:rPr>
        <w:t>和相关</w:t>
      </w:r>
      <w:r>
        <w:rPr>
          <w:rFonts w:hint="eastAsia" w:ascii="方正仿宋_GBK" w:hAnsi="宋体" w:eastAsia="方正仿宋_GBK"/>
          <w:color w:val="auto"/>
          <w:sz w:val="24"/>
          <w:szCs w:val="24"/>
          <w:highlight w:val="none"/>
        </w:rPr>
        <w:t>服务时免受第三方提出的侵犯其专利权或其它知识产权的起诉。如果第三方提出侵权指控，中标人应承担由此而引起的一切法律责任和费用。</w:t>
      </w:r>
    </w:p>
    <w:p w14:paraId="6B90FC18">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296" w:name="_Toc1026"/>
      <w:bookmarkStart w:id="297" w:name="_Toc15548"/>
      <w:bookmarkStart w:id="298" w:name="_Toc27637"/>
      <w:bookmarkStart w:id="299" w:name="_Toc7629"/>
      <w:bookmarkStart w:id="300" w:name="_Toc3404"/>
      <w:bookmarkStart w:id="301" w:name="_Toc267320053"/>
      <w:bookmarkStart w:id="302" w:name="_Toc14096"/>
      <w:bookmarkStart w:id="303" w:name="_Toc26926"/>
      <w:bookmarkStart w:id="304" w:name="_Toc4784"/>
      <w:bookmarkStart w:id="305" w:name="_Toc75793514"/>
      <w:bookmarkStart w:id="306" w:name="_Toc31803"/>
      <w:bookmarkStart w:id="307" w:name="_Toc25464"/>
      <w:bookmarkStart w:id="308" w:name="_Toc29615"/>
      <w:bookmarkStart w:id="309" w:name="_Toc15159"/>
      <w:bookmarkStart w:id="310" w:name="_Toc1949"/>
      <w:bookmarkStart w:id="311" w:name="_Toc15109"/>
      <w:bookmarkStart w:id="312" w:name="_Toc4879"/>
      <w:r>
        <w:rPr>
          <w:rFonts w:hint="eastAsia" w:ascii="方正仿宋_GBK" w:eastAsia="方正仿宋_GBK"/>
          <w:b/>
          <w:color w:val="auto"/>
          <w:szCs w:val="21"/>
          <w:highlight w:val="none"/>
        </w:rPr>
        <w:t>※</w:t>
      </w:r>
      <w:r>
        <w:rPr>
          <w:rFonts w:hint="eastAsia" w:ascii="方正仿宋_GBK" w:eastAsia="方正仿宋_GBK"/>
          <w:b/>
          <w:color w:val="auto"/>
          <w:szCs w:val="21"/>
          <w:highlight w:val="none"/>
          <w:lang w:eastAsia="zh-CN"/>
        </w:rPr>
        <w:t>六</w:t>
      </w:r>
      <w:r>
        <w:rPr>
          <w:rFonts w:hint="eastAsia" w:ascii="方正仿宋_GBK" w:eastAsia="方正仿宋_GBK"/>
          <w:b/>
          <w:color w:val="auto"/>
          <w:szCs w:val="21"/>
          <w:highlight w:val="none"/>
        </w:rPr>
        <w:t>、培训</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F723204">
      <w:pPr>
        <w:snapToGrid w:val="0"/>
        <w:spacing w:line="400" w:lineRule="exact"/>
        <w:ind w:firstLine="480" w:firstLineChars="200"/>
        <w:rPr>
          <w:rFonts w:hint="eastAsia"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货物质量保证期（免费运维期）内，中标人应针对本项目制订详细的技术培训方案，培训计划应包括培训方法、培训内容、培训课时安排等，培训内容包括但不限于技术原理、结果应用、端到端产品使用及互联方案、检修和维护、理论和实操考核等知识和技能培训。培训对象为全市应急救援队伍、管理人员、使用人员及维护人员。每年至少安排1次培训。培训的所有费用由中标人承担。培训费用包括但不限于交通费、食宿费、场地费、教材费、讲师费、考证费等所有费用。培训结束后，中标人需提供必要后续的技术指导和支持。</w:t>
      </w:r>
    </w:p>
    <w:p w14:paraId="48496794">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313" w:name="_Toc7171"/>
      <w:r>
        <w:rPr>
          <w:rFonts w:hint="eastAsia" w:ascii="方正仿宋_GBK" w:eastAsia="方正仿宋_GBK"/>
          <w:b/>
          <w:color w:val="auto"/>
          <w:szCs w:val="21"/>
          <w:highlight w:val="none"/>
        </w:rPr>
        <w:t>※</w:t>
      </w:r>
      <w:r>
        <w:rPr>
          <w:rFonts w:hint="eastAsia" w:ascii="方正仿宋_GBK" w:eastAsia="方正仿宋_GBK"/>
          <w:b/>
          <w:color w:val="auto"/>
          <w:szCs w:val="21"/>
          <w:highlight w:val="none"/>
          <w:lang w:eastAsia="zh-CN"/>
        </w:rPr>
        <w:t>七</w:t>
      </w:r>
      <w:r>
        <w:rPr>
          <w:rFonts w:hint="eastAsia" w:ascii="方正仿宋_GBK" w:eastAsia="方正仿宋_GBK"/>
          <w:b/>
          <w:color w:val="auto"/>
          <w:szCs w:val="21"/>
          <w:highlight w:val="none"/>
        </w:rPr>
        <w:t>、监理要求</w:t>
      </w:r>
      <w:bookmarkEnd w:id="313"/>
    </w:p>
    <w:p w14:paraId="78F5565B">
      <w:pPr>
        <w:snapToGrid w:val="0"/>
        <w:spacing w:line="400" w:lineRule="exact"/>
        <w:ind w:firstLine="480" w:firstLineChars="200"/>
        <w:rPr>
          <w:rFonts w:hint="eastAsia"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（一）采购人有权委托监理单位对本项目实施进度、质量要求等方面进行全过程监理服务，中标人应当无条件配合监理单位工作。</w:t>
      </w:r>
    </w:p>
    <w:p w14:paraId="17AC43C1">
      <w:pPr>
        <w:snapToGrid w:val="0"/>
        <w:spacing w:line="400" w:lineRule="exact"/>
        <w:ind w:firstLine="480" w:firstLineChars="200"/>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（二）监理单位在检验中如发现货物和相关服务不符合合同约定的标准，则有权提出异议。中标人应采取必要措施进行整改，由此增加的费用和（或）造成的延误由中标人负责。</w:t>
      </w:r>
    </w:p>
    <w:p w14:paraId="4B939702">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314" w:name="_Toc10406"/>
      <w:bookmarkStart w:id="315" w:name="_Toc17569"/>
      <w:bookmarkStart w:id="316" w:name="_Toc75793516"/>
      <w:bookmarkStart w:id="317" w:name="_Toc28513"/>
      <w:bookmarkStart w:id="318" w:name="_Toc14923"/>
      <w:bookmarkStart w:id="319" w:name="_Toc6385"/>
      <w:bookmarkStart w:id="320" w:name="_Toc32308"/>
      <w:bookmarkStart w:id="321" w:name="_Toc30515"/>
      <w:bookmarkStart w:id="322" w:name="_Toc529"/>
      <w:bookmarkStart w:id="323" w:name="_Toc23858"/>
      <w:bookmarkStart w:id="324" w:name="_Toc6099"/>
      <w:bookmarkStart w:id="325" w:name="_Toc267320054"/>
      <w:bookmarkStart w:id="326" w:name="_Toc27175"/>
      <w:bookmarkStart w:id="327" w:name="_Toc1138"/>
      <w:bookmarkStart w:id="328" w:name="_Toc13936"/>
      <w:bookmarkStart w:id="329" w:name="_Toc4353"/>
      <w:bookmarkStart w:id="330" w:name="_Toc18208"/>
      <w:r>
        <w:rPr>
          <w:rFonts w:hint="eastAsia" w:ascii="方正仿宋_GBK" w:eastAsia="方正仿宋_GBK"/>
          <w:b/>
          <w:color w:val="auto"/>
          <w:szCs w:val="21"/>
          <w:highlight w:val="none"/>
        </w:rPr>
        <w:t>※</w:t>
      </w:r>
      <w:r>
        <w:rPr>
          <w:rFonts w:hint="eastAsia" w:ascii="方正仿宋_GBK" w:eastAsia="方正仿宋_GBK"/>
          <w:b/>
          <w:color w:val="auto"/>
          <w:szCs w:val="21"/>
          <w:highlight w:val="none"/>
          <w:lang w:eastAsia="zh-CN"/>
        </w:rPr>
        <w:t>八</w:t>
      </w:r>
      <w:r>
        <w:rPr>
          <w:rFonts w:hint="eastAsia" w:ascii="方正仿宋_GBK" w:eastAsia="方正仿宋_GBK"/>
          <w:b/>
          <w:color w:val="auto"/>
          <w:szCs w:val="21"/>
          <w:highlight w:val="none"/>
        </w:rPr>
        <w:t>、</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rFonts w:hint="eastAsia" w:ascii="方正仿宋_GBK" w:eastAsia="方正仿宋_GBK"/>
          <w:b/>
          <w:color w:val="auto"/>
          <w:szCs w:val="21"/>
          <w:highlight w:val="none"/>
        </w:rPr>
        <w:t>其他商务要求</w:t>
      </w:r>
      <w:bookmarkEnd w:id="330"/>
    </w:p>
    <w:p w14:paraId="794D04B9">
      <w:pPr>
        <w:spacing w:line="400" w:lineRule="exact"/>
        <w:ind w:firstLine="480" w:firstLineChars="200"/>
        <w:rPr>
          <w:rFonts w:hint="eastAsia" w:ascii="方正仿宋_GBK" w:hAnsi="宋体" w:eastAsia="方正仿宋_GBK"/>
          <w:color w:val="auto"/>
          <w:sz w:val="24"/>
          <w:szCs w:val="28"/>
          <w:highlight w:val="none"/>
          <w:lang w:eastAsia="zh-CN"/>
        </w:rPr>
      </w:pPr>
      <w:bookmarkStart w:id="331" w:name="_Toc32453"/>
      <w:r>
        <w:rPr>
          <w:rFonts w:hint="eastAsia" w:ascii="方正仿宋_GBK" w:hAnsi="宋体" w:eastAsia="方正仿宋_GBK"/>
          <w:color w:val="auto"/>
          <w:sz w:val="24"/>
          <w:szCs w:val="28"/>
          <w:highlight w:val="none"/>
          <w:lang w:eastAsia="zh-CN"/>
        </w:rPr>
        <w:t>（一）勘察设计服务</w:t>
      </w:r>
    </w:p>
    <w:p w14:paraId="21E80A22">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1</w:t>
      </w:r>
      <w:r>
        <w:rPr>
          <w:rFonts w:hint="eastAsia" w:ascii="方正仿宋_GBK" w:hAnsi="宋体" w:eastAsia="方正仿宋_GBK"/>
          <w:color w:val="auto"/>
          <w:sz w:val="24"/>
          <w:szCs w:val="28"/>
          <w:highlight w:val="none"/>
          <w:lang w:eastAsia="zh-CN"/>
        </w:rPr>
        <w:t>.服务要求。采购人提供不少于600个洪涝及地质灾害风险、潜在救援场景等感知目标区域，中标人应根据目标区域覆盖需求进行现场勘察设计，根据现场勘察情况选取合适的安装点位制作勘察报告[须包含设备安装位置照片、周边环境照片（照片均带时间、经纬度）]、优化后的选址点位分布图等，绘制施工图（须准确反应设备的安装位置，施工工艺要求，设备材料选型及使用量等）。</w:t>
      </w:r>
    </w:p>
    <w:p w14:paraId="7C7E5ED3">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2</w:t>
      </w:r>
      <w:r>
        <w:rPr>
          <w:rFonts w:hint="eastAsia" w:ascii="方正仿宋_GBK" w:hAnsi="宋体" w:eastAsia="方正仿宋_GBK"/>
          <w:color w:val="auto"/>
          <w:sz w:val="24"/>
          <w:szCs w:val="28"/>
          <w:highlight w:val="none"/>
          <w:lang w:eastAsia="zh-CN"/>
        </w:rPr>
        <w:t>.其他事项。若中标人选取的设备安装点位不能满足采购人提供的洪涝及地质灾害风险、潜在救援场景感知目标区域的覆盖需求，采购人有权要求中标人对安装位置进行更换，更换点位所产生的一切费用由中标人承担。</w:t>
      </w:r>
    </w:p>
    <w:p w14:paraId="0EAC2056">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eastAsia="zh-CN"/>
        </w:rPr>
        <w:t>（二）安装集成。本项目属于交钥匙工程，中标人应完成项目集成，提供安装涉及的所有设备、材料及配件满足采购人使用需求，投标人的报价应包含完成本项目所有工作产生的一切费用。</w:t>
      </w:r>
      <w:r>
        <w:rPr>
          <w:rFonts w:hint="eastAsia" w:ascii="方正仿宋_GBK" w:hAnsi="宋体" w:eastAsia="方正仿宋_GBK"/>
          <w:b/>
          <w:bCs/>
          <w:color w:val="auto"/>
          <w:sz w:val="24"/>
          <w:szCs w:val="28"/>
          <w:highlight w:val="none"/>
          <w:lang w:eastAsia="zh-CN"/>
        </w:rPr>
        <w:t>（提供承诺函，并加盖投标人单位公章）</w:t>
      </w:r>
    </w:p>
    <w:p w14:paraId="527AE3DE">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eastAsia="zh-CN"/>
        </w:rPr>
        <w:t>（三）配套应用功能。中标人应按照采购人要求部署AR实景应用，实现感知设备的AR全景和AR标签等功能，包含但不限于以下功能：</w:t>
      </w:r>
    </w:p>
    <w:p w14:paraId="7844004D">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1</w:t>
      </w:r>
      <w:r>
        <w:rPr>
          <w:rFonts w:hint="eastAsia" w:ascii="方正仿宋_GBK" w:hAnsi="宋体" w:eastAsia="方正仿宋_GBK"/>
          <w:color w:val="auto"/>
          <w:sz w:val="24"/>
          <w:szCs w:val="28"/>
          <w:highlight w:val="none"/>
          <w:lang w:eastAsia="zh-CN"/>
        </w:rPr>
        <w:t>.AR实景地图。支持增强现实效果的地图展示，以全景画面为底图，叠加各类型标签,同时可根据标签类型对标签进行过滤显示。</w:t>
      </w:r>
    </w:p>
    <w:p w14:paraId="5A632AFE">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2</w:t>
      </w:r>
      <w:r>
        <w:rPr>
          <w:rFonts w:hint="eastAsia" w:ascii="方正仿宋_GBK" w:hAnsi="宋体" w:eastAsia="方正仿宋_GBK"/>
          <w:color w:val="auto"/>
          <w:sz w:val="24"/>
          <w:szCs w:val="28"/>
          <w:highlight w:val="none"/>
          <w:lang w:eastAsia="zh-CN"/>
        </w:rPr>
        <w:t>.全景联动。支持展示全景感知设备的AR实景，可通过点击实景中的设备AR标签，进行画面切换。</w:t>
      </w:r>
    </w:p>
    <w:p w14:paraId="7545A110">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3</w:t>
      </w:r>
      <w:r>
        <w:rPr>
          <w:rFonts w:hint="eastAsia" w:ascii="方正仿宋_GBK" w:hAnsi="宋体" w:eastAsia="方正仿宋_GBK"/>
          <w:color w:val="auto"/>
          <w:sz w:val="24"/>
          <w:szCs w:val="28"/>
          <w:highlight w:val="none"/>
          <w:lang w:eastAsia="zh-CN"/>
        </w:rPr>
        <w:t>.细节联动。可在AR实景画面中打开其他感知设备（包括但不限于特写感知设备、布控球、单兵感知设备等）的实况画面，实现画中画效果。</w:t>
      </w:r>
    </w:p>
    <w:p w14:paraId="08240079">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4</w:t>
      </w:r>
      <w:r>
        <w:rPr>
          <w:rFonts w:hint="eastAsia" w:ascii="方正仿宋_GBK" w:hAnsi="宋体" w:eastAsia="方正仿宋_GBK"/>
          <w:color w:val="auto"/>
          <w:sz w:val="24"/>
          <w:szCs w:val="28"/>
          <w:highlight w:val="none"/>
          <w:lang w:eastAsia="zh-CN"/>
        </w:rPr>
        <w:t>.报警联动。支持各类告警信息AR实况显示，当告警产生时，可直接锁定到告警位置。</w:t>
      </w:r>
    </w:p>
    <w:p w14:paraId="2177E29C">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5</w:t>
      </w:r>
      <w:r>
        <w:rPr>
          <w:rFonts w:hint="eastAsia" w:ascii="方正仿宋_GBK" w:hAnsi="宋体" w:eastAsia="方正仿宋_GBK"/>
          <w:color w:val="auto"/>
          <w:sz w:val="24"/>
          <w:szCs w:val="28"/>
          <w:highlight w:val="none"/>
          <w:lang w:eastAsia="zh-CN"/>
        </w:rPr>
        <w:t>.标签添加。支持添加固定标签、矢量标签、临时区域标签、动态标签、个性化标签等。</w:t>
      </w:r>
    </w:p>
    <w:p w14:paraId="6C1C0D52">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6</w:t>
      </w:r>
      <w:r>
        <w:rPr>
          <w:rFonts w:hint="eastAsia" w:ascii="方正仿宋_GBK" w:hAnsi="宋体" w:eastAsia="方正仿宋_GBK"/>
          <w:color w:val="auto"/>
          <w:sz w:val="24"/>
          <w:szCs w:val="28"/>
          <w:highlight w:val="none"/>
          <w:lang w:eastAsia="zh-CN"/>
        </w:rPr>
        <w:t>.标签管理。支持编辑、查看标签，支持标签收藏、分类、筛选、检索。</w:t>
      </w:r>
    </w:p>
    <w:p w14:paraId="7F7D9200">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7</w:t>
      </w:r>
      <w:r>
        <w:rPr>
          <w:rFonts w:hint="eastAsia" w:ascii="方正仿宋_GBK" w:hAnsi="宋体" w:eastAsia="方正仿宋_GBK"/>
          <w:color w:val="auto"/>
          <w:sz w:val="24"/>
          <w:szCs w:val="28"/>
          <w:highlight w:val="none"/>
          <w:lang w:eastAsia="zh-CN"/>
        </w:rPr>
        <w:t>.AR巡逻。支持配置巡逻任务。</w:t>
      </w:r>
    </w:p>
    <w:p w14:paraId="57FCA0D4">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8</w:t>
      </w:r>
      <w:r>
        <w:rPr>
          <w:rFonts w:hint="eastAsia" w:ascii="方正仿宋_GBK" w:hAnsi="宋体" w:eastAsia="方正仿宋_GBK"/>
          <w:color w:val="auto"/>
          <w:sz w:val="24"/>
          <w:szCs w:val="28"/>
          <w:highlight w:val="none"/>
          <w:lang w:eastAsia="zh-CN"/>
        </w:rPr>
        <w:t>.云台控制。支持云台转到控制，拉框缩放；在AR实景播放画面中点击任意处，细节画面便转动到以该位置为中心点。</w:t>
      </w:r>
    </w:p>
    <w:p w14:paraId="63DAE054">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9</w:t>
      </w:r>
      <w:r>
        <w:rPr>
          <w:rFonts w:hint="eastAsia" w:ascii="方正仿宋_GBK" w:hAnsi="宋体" w:eastAsia="方正仿宋_GBK"/>
          <w:color w:val="auto"/>
          <w:sz w:val="24"/>
          <w:szCs w:val="28"/>
          <w:highlight w:val="none"/>
          <w:lang w:eastAsia="zh-CN"/>
        </w:rPr>
        <w:t>.目标跟踪。选中全景画面内移动的人或车辆，细节画面会随着移动轨迹持续稳定跟踪。</w:t>
      </w:r>
    </w:p>
    <w:p w14:paraId="50922E80">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10</w:t>
      </w:r>
      <w:r>
        <w:rPr>
          <w:rFonts w:hint="eastAsia" w:ascii="方正仿宋_GBK" w:hAnsi="宋体" w:eastAsia="方正仿宋_GBK"/>
          <w:color w:val="auto"/>
          <w:sz w:val="24"/>
          <w:szCs w:val="28"/>
          <w:highlight w:val="none"/>
          <w:lang w:eastAsia="zh-CN"/>
        </w:rPr>
        <w:t>.地图操作。支持地图展示AR设备及其可视域，主界面支持地图和实景切换，并通过地图进行视频快速切换。</w:t>
      </w:r>
    </w:p>
    <w:p w14:paraId="00114307">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val="en-US" w:eastAsia="zh-CN"/>
        </w:rPr>
        <w:t>11</w:t>
      </w:r>
      <w:r>
        <w:rPr>
          <w:rFonts w:hint="eastAsia" w:ascii="方正仿宋_GBK" w:hAnsi="宋体" w:eastAsia="方正仿宋_GBK"/>
          <w:color w:val="auto"/>
          <w:sz w:val="24"/>
          <w:szCs w:val="28"/>
          <w:highlight w:val="none"/>
          <w:lang w:eastAsia="zh-CN"/>
        </w:rPr>
        <w:t>.感知回溯。支持按照特定时间还原AR场景，支持回溯联动。</w:t>
      </w:r>
    </w:p>
    <w:p w14:paraId="5B829703">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eastAsia="zh-CN"/>
        </w:rPr>
        <w:t>（四）本项目相关设备应按采购人要求加装管理芯片，采取激光或者钢印的形式在装备显著位置赋予二维码，便于后期管理。</w:t>
      </w:r>
      <w:r>
        <w:rPr>
          <w:rFonts w:hint="eastAsia" w:ascii="方正仿宋_GBK" w:hAnsi="宋体" w:eastAsia="方正仿宋_GBK"/>
          <w:b/>
          <w:bCs/>
          <w:color w:val="auto"/>
          <w:sz w:val="24"/>
          <w:szCs w:val="28"/>
          <w:highlight w:val="none"/>
          <w:lang w:eastAsia="zh-CN"/>
        </w:rPr>
        <w:t>（提供承诺函，并加盖投标人单位公章）</w:t>
      </w:r>
    </w:p>
    <w:p w14:paraId="6C74BC3F">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eastAsia="zh-CN"/>
        </w:rPr>
        <w:t>（五）接入要求。投标人承诺中标后应免费开放本项目中的全部设备接口及协议，可将设备运行状态数据与业务数据无缝、无障碍接入采购人指定的数字化平台，且本项目中涉及的功能须在采购人指定的数字化平台上实现，免费运维期内，产生的设备、云资源费用（包括但不限于云计算资源、云存储资源、云安全资源、国产化操作系统、国产化数据库、国产中间件等）由投标人承担。</w:t>
      </w:r>
      <w:r>
        <w:rPr>
          <w:rFonts w:hint="eastAsia" w:ascii="方正仿宋_GBK" w:hAnsi="宋体" w:eastAsia="方正仿宋_GBK"/>
          <w:b/>
          <w:bCs/>
          <w:color w:val="auto"/>
          <w:sz w:val="24"/>
          <w:szCs w:val="28"/>
          <w:highlight w:val="none"/>
          <w:lang w:eastAsia="zh-CN"/>
        </w:rPr>
        <w:t>（提供承诺函，并加盖投标人单位公章）</w:t>
      </w:r>
    </w:p>
    <w:p w14:paraId="098AFC14">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eastAsia="zh-CN"/>
        </w:rPr>
        <w:t>（六）运行维护。免费运维期间产生的包含但不限于站址租赁、供电、备电、网络专线、人工、差旅、工器具等一切费用均由投标人承担。</w:t>
      </w:r>
      <w:r>
        <w:rPr>
          <w:rFonts w:hint="eastAsia" w:ascii="方正仿宋_GBK" w:hAnsi="宋体" w:eastAsia="方正仿宋_GBK"/>
          <w:b/>
          <w:bCs/>
          <w:color w:val="auto"/>
          <w:sz w:val="24"/>
          <w:szCs w:val="28"/>
          <w:highlight w:val="none"/>
          <w:lang w:eastAsia="zh-CN"/>
        </w:rPr>
        <w:t>（提供承诺函，并加盖投标人单位公章）</w:t>
      </w:r>
    </w:p>
    <w:p w14:paraId="6552C6AC">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eastAsia="zh-CN"/>
        </w:rPr>
        <w:t>（七）投标人所提供的所有全景感知设备和特写感知设备必须为同一品牌，且为品牌方自主生产并符合国家质量标准，禁止采用任何形式的委托代工、贴牌生产方式。</w:t>
      </w:r>
      <w:r>
        <w:rPr>
          <w:rFonts w:hint="eastAsia" w:ascii="方正仿宋_GBK" w:hAnsi="宋体" w:eastAsia="方正仿宋_GBK"/>
          <w:b/>
          <w:bCs/>
          <w:color w:val="auto"/>
          <w:sz w:val="24"/>
          <w:szCs w:val="28"/>
          <w:highlight w:val="none"/>
          <w:lang w:eastAsia="zh-CN"/>
        </w:rPr>
        <w:t>（提供承诺函，并加盖投标人单位公章）</w:t>
      </w:r>
    </w:p>
    <w:p w14:paraId="339C4F25">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eastAsia="zh-CN"/>
        </w:rPr>
        <w:t>（八）中标人所提供的网络专线连接的上下行带宽、网络时延、网络抖动、丢包率、包误差率等指标必须满足感知设备正常工作的要求。</w:t>
      </w:r>
      <w:r>
        <w:rPr>
          <w:rFonts w:hint="eastAsia" w:ascii="方正仿宋_GBK" w:hAnsi="宋体" w:eastAsia="方正仿宋_GBK"/>
          <w:b/>
          <w:bCs/>
          <w:color w:val="auto"/>
          <w:sz w:val="24"/>
          <w:szCs w:val="28"/>
          <w:highlight w:val="none"/>
          <w:lang w:eastAsia="zh-CN"/>
        </w:rPr>
        <w:t>（提供承诺函，并加盖投标人单位公章）</w:t>
      </w:r>
    </w:p>
    <w:p w14:paraId="18F7DFA5">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eastAsia="zh-CN"/>
        </w:rPr>
        <w:t>（九）对采购人指定的特别重要点位，中标人应为其提供双路由网络专线、后备电源等灾备服务，特别重要点位数量不超过总采购数量的10%。</w:t>
      </w:r>
      <w:r>
        <w:rPr>
          <w:rFonts w:hint="eastAsia" w:ascii="方正仿宋_GBK" w:hAnsi="宋体" w:eastAsia="方正仿宋_GBK"/>
          <w:b/>
          <w:bCs/>
          <w:color w:val="auto"/>
          <w:sz w:val="24"/>
          <w:szCs w:val="28"/>
          <w:highlight w:val="none"/>
          <w:lang w:eastAsia="zh-CN"/>
        </w:rPr>
        <w:t>（提供承诺函，并加盖投标人单位公章）</w:t>
      </w:r>
    </w:p>
    <w:p w14:paraId="5D63C7ED">
      <w:pPr>
        <w:spacing w:line="400" w:lineRule="exact"/>
        <w:ind w:firstLine="480" w:firstLineChars="200"/>
        <w:rPr>
          <w:rFonts w:hint="eastAsia" w:ascii="方正仿宋_GBK" w:hAnsi="宋体" w:eastAsia="方正仿宋_GBK"/>
          <w:color w:val="auto"/>
          <w:sz w:val="24"/>
          <w:szCs w:val="28"/>
          <w:highlight w:val="none"/>
          <w:lang w:eastAsia="zh-CN"/>
        </w:rPr>
      </w:pPr>
      <w:r>
        <w:rPr>
          <w:rFonts w:hint="eastAsia" w:ascii="方正仿宋_GBK" w:hAnsi="宋体" w:eastAsia="方正仿宋_GBK"/>
          <w:color w:val="auto"/>
          <w:sz w:val="24"/>
          <w:szCs w:val="28"/>
          <w:highlight w:val="none"/>
          <w:lang w:eastAsia="zh-CN"/>
        </w:rPr>
        <w:t>（</w:t>
      </w:r>
      <w:r>
        <w:rPr>
          <w:rFonts w:hint="eastAsia" w:ascii="方正仿宋_GBK" w:hAnsi="宋体" w:eastAsia="方正仿宋_GBK"/>
          <w:color w:val="auto"/>
          <w:sz w:val="24"/>
          <w:szCs w:val="28"/>
          <w:highlight w:val="none"/>
          <w:lang w:val="en-US" w:eastAsia="zh-CN"/>
        </w:rPr>
        <w:t>十</w:t>
      </w:r>
      <w:r>
        <w:rPr>
          <w:rFonts w:hint="eastAsia" w:ascii="方正仿宋_GBK" w:hAnsi="宋体" w:eastAsia="方正仿宋_GBK"/>
          <w:color w:val="auto"/>
          <w:sz w:val="24"/>
          <w:szCs w:val="28"/>
          <w:highlight w:val="none"/>
          <w:lang w:eastAsia="zh-CN"/>
        </w:rPr>
        <w:t>）所有感知设备的放大至最大倍率后，画面不应有明显抖动，存在明显抖动的点位必须按时完成整改。</w:t>
      </w:r>
      <w:r>
        <w:rPr>
          <w:rFonts w:hint="eastAsia" w:ascii="方正仿宋_GBK" w:hAnsi="宋体" w:eastAsia="方正仿宋_GBK"/>
          <w:b/>
          <w:bCs/>
          <w:color w:val="auto"/>
          <w:sz w:val="24"/>
          <w:szCs w:val="28"/>
          <w:highlight w:val="none"/>
          <w:lang w:eastAsia="zh-CN"/>
        </w:rPr>
        <w:t>（提供承诺函，并加盖投标人单位公章）</w:t>
      </w:r>
    </w:p>
    <w:p w14:paraId="30EED571">
      <w:pPr>
        <w:spacing w:line="400" w:lineRule="exact"/>
        <w:ind w:firstLine="480" w:firstLineChars="200"/>
        <w:rPr>
          <w:rFonts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lang w:eastAsia="zh-CN"/>
        </w:rPr>
        <w:t>（十一）试运行阶段和正式运行阶段的感知设备动态在线率不得低于99%。</w:t>
      </w:r>
      <w:r>
        <w:rPr>
          <w:rFonts w:hint="eastAsia" w:ascii="方正仿宋_GBK" w:hAnsi="宋体" w:eastAsia="方正仿宋_GBK"/>
          <w:b/>
          <w:bCs/>
          <w:color w:val="auto"/>
          <w:sz w:val="24"/>
          <w:szCs w:val="28"/>
          <w:highlight w:val="none"/>
          <w:lang w:eastAsia="zh-CN"/>
        </w:rPr>
        <w:t>（提供承诺函，并加盖投标人单位公章）</w:t>
      </w:r>
    </w:p>
    <w:p w14:paraId="74C37A70">
      <w:pPr>
        <w:pStyle w:val="5"/>
        <w:spacing w:before="120" w:beforeLines="50" w:after="120" w:afterLines="50" w:line="240" w:lineRule="auto"/>
        <w:ind w:firstLine="562" w:firstLineChars="200"/>
        <w:rPr>
          <w:rFonts w:hint="eastAsia" w:ascii="方正仿宋_GBK" w:eastAsia="方正仿宋_GBK"/>
          <w:b/>
          <w:color w:val="auto"/>
          <w:szCs w:val="21"/>
          <w:highlight w:val="none"/>
          <w:lang w:eastAsia="zh-CN"/>
        </w:rPr>
      </w:pPr>
      <w:bookmarkStart w:id="332" w:name="_Toc12111"/>
      <w:r>
        <w:rPr>
          <w:rFonts w:hint="eastAsia" w:ascii="方正仿宋_GBK" w:eastAsia="方正仿宋_GBK"/>
          <w:b/>
          <w:color w:val="auto"/>
          <w:szCs w:val="21"/>
          <w:highlight w:val="none"/>
        </w:rPr>
        <w:t>※</w:t>
      </w:r>
      <w:r>
        <w:rPr>
          <w:rFonts w:hint="eastAsia" w:ascii="方正仿宋_GBK" w:eastAsia="方正仿宋_GBK"/>
          <w:b/>
          <w:color w:val="auto"/>
          <w:szCs w:val="21"/>
          <w:highlight w:val="none"/>
          <w:lang w:eastAsia="zh-CN"/>
        </w:rPr>
        <w:t>九、违约责任</w:t>
      </w:r>
      <w:bookmarkEnd w:id="332"/>
    </w:p>
    <w:p w14:paraId="24198BBB">
      <w:pPr>
        <w:wordWrap/>
        <w:adjustRightInd/>
        <w:snapToGrid/>
        <w:spacing w:line="400" w:lineRule="exact"/>
        <w:ind w:firstLine="482" w:firstLineChars="200"/>
        <w:jc w:val="left"/>
        <w:rPr>
          <w:rFonts w:hint="eastAsia" w:ascii="方正仿宋_GBK" w:hAnsi="宋体" w:eastAsia="方正仿宋_GBK" w:cs="Times New Roman"/>
          <w:b/>
          <w:bCs/>
          <w:color w:val="auto"/>
          <w:sz w:val="24"/>
          <w:szCs w:val="28"/>
          <w:highlight w:val="none"/>
          <w:lang w:eastAsia="zh-CN"/>
        </w:rPr>
      </w:pPr>
      <w:r>
        <w:rPr>
          <w:rFonts w:hint="eastAsia" w:ascii="方正仿宋_GBK" w:hAnsi="宋体" w:eastAsia="方正仿宋_GBK" w:cs="Times New Roman"/>
          <w:b/>
          <w:bCs/>
          <w:color w:val="auto"/>
          <w:sz w:val="24"/>
          <w:szCs w:val="28"/>
          <w:highlight w:val="none"/>
          <w:lang w:eastAsia="zh-CN"/>
        </w:rPr>
        <w:t>（一）整改时限和延迟整改违约责任</w:t>
      </w:r>
    </w:p>
    <w:p w14:paraId="6C872856">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1.中标人提供的合同约定的成果经到货验收、初步验收、最终验收三个阶段，每个阶段第一次验收不合格，须在30个日历日内完成整改（修理、重作、更换），达到合同约定的参数、使用性能、服务质量等要求。</w:t>
      </w:r>
    </w:p>
    <w:p w14:paraId="79BC2248">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未在30个日历日内完成整改的，每迟延一天扣除货物和相关服务合同总金额的0.5‰。累计迟延30个日历日的，采购人有权单方面解除合同，无需赔偿中标人损失，有权不退还履约保证金并要求中标人退还全部已付款项。</w:t>
      </w:r>
    </w:p>
    <w:p w14:paraId="559C8998">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2.经1次整改（修理、重作、更换）后，仍无法达到合同约定的参数、使用性能、服务质量等要求的，导致采购人合同目的无法实现的，采购人有权单方面解除合同，无需赔偿中标人损失，有权不退还履约保证金并要求中标人退还全部已付款项，且有权依法追究中标人合同总金额20%的违约金。若违约金不足以弥补损失，中标人还应赔偿采购人超出部分的损失。</w:t>
      </w:r>
    </w:p>
    <w:p w14:paraId="70FA9229">
      <w:pPr>
        <w:wordWrap/>
        <w:adjustRightInd/>
        <w:snapToGrid/>
        <w:spacing w:line="400" w:lineRule="exact"/>
        <w:ind w:firstLine="482" w:firstLineChars="200"/>
        <w:jc w:val="left"/>
        <w:rPr>
          <w:rFonts w:hint="eastAsia" w:ascii="方正仿宋_GBK" w:hAnsi="宋体" w:eastAsia="方正仿宋_GBK" w:cs="Times New Roman"/>
          <w:b/>
          <w:bCs/>
          <w:color w:val="auto"/>
          <w:sz w:val="24"/>
          <w:szCs w:val="28"/>
          <w:highlight w:val="none"/>
          <w:lang w:eastAsia="zh-CN"/>
        </w:rPr>
      </w:pPr>
      <w:r>
        <w:rPr>
          <w:rFonts w:hint="eastAsia" w:ascii="方正仿宋_GBK" w:hAnsi="宋体" w:eastAsia="方正仿宋_GBK" w:cs="Times New Roman"/>
          <w:b/>
          <w:bCs/>
          <w:color w:val="auto"/>
          <w:sz w:val="24"/>
          <w:szCs w:val="28"/>
          <w:highlight w:val="none"/>
          <w:lang w:eastAsia="zh-CN"/>
        </w:rPr>
        <w:t>（二）到货验收、初步验收迟延违约金</w:t>
      </w:r>
    </w:p>
    <w:p w14:paraId="6F8C0867">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1.到货验收迟延违约金。因中标人原因迟延的，每迟延一天扣除合同总金额的0.5‰，累计迟延30个日历日的，采购人有权单方面解除合同，无需赔偿中标人损失，有权不退还履约保证金并要求中标人退还全部已付款项。</w:t>
      </w:r>
    </w:p>
    <w:p w14:paraId="292D1891">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2.初步验收迟延违约金。因中标人原因迟延的，每迟延一天扣除合同总金额的0.5‰，累计迟延30个日历日的，采购人有权单方面解除合同，无需赔偿中标人损失，有权不退还履约保证金并要求中标人退还全部已付款项。</w:t>
      </w:r>
    </w:p>
    <w:p w14:paraId="76811DAE">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注：1.到货验收、初步验收日期以中标人备齐验收资料、达到验收标准，提交验收申请并经采购人审核通过、书面确认之日起为准。</w:t>
      </w:r>
    </w:p>
    <w:p w14:paraId="20C0BEFE">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2.到货验收、初步验收均存在迟延违约的，违约金金额分别计算，合并相加。</w:t>
      </w:r>
    </w:p>
    <w:p w14:paraId="615F3DAD">
      <w:pPr>
        <w:wordWrap/>
        <w:adjustRightInd/>
        <w:snapToGrid/>
        <w:spacing w:line="400" w:lineRule="exact"/>
        <w:ind w:firstLine="482" w:firstLineChars="200"/>
        <w:jc w:val="left"/>
        <w:rPr>
          <w:rFonts w:hint="eastAsia" w:ascii="方正仿宋_GBK" w:hAnsi="宋体" w:eastAsia="方正仿宋_GBK" w:cs="Times New Roman"/>
          <w:b/>
          <w:bCs/>
          <w:color w:val="auto"/>
          <w:sz w:val="24"/>
          <w:szCs w:val="28"/>
          <w:highlight w:val="none"/>
          <w:lang w:eastAsia="zh-CN"/>
        </w:rPr>
      </w:pPr>
      <w:r>
        <w:rPr>
          <w:rFonts w:hint="eastAsia" w:ascii="方正仿宋_GBK" w:hAnsi="宋体" w:eastAsia="方正仿宋_GBK" w:cs="Times New Roman"/>
          <w:b/>
          <w:bCs/>
          <w:color w:val="auto"/>
          <w:sz w:val="24"/>
          <w:szCs w:val="28"/>
          <w:highlight w:val="none"/>
          <w:lang w:eastAsia="zh-CN"/>
        </w:rPr>
        <w:t>（三）货物设施设备服务到货验收未通过违约金</w:t>
      </w:r>
    </w:p>
    <w:p w14:paraId="00B859BC">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中标人提供的货物设施设备和相关服务经到货验收不合格，中标人应向采购人支付违约金，违约金按合同总金额的10%计算。</w:t>
      </w:r>
    </w:p>
    <w:p w14:paraId="1E8CAB44">
      <w:pPr>
        <w:wordWrap/>
        <w:adjustRightInd/>
        <w:snapToGrid/>
        <w:spacing w:line="400" w:lineRule="exact"/>
        <w:ind w:firstLine="482" w:firstLineChars="200"/>
        <w:jc w:val="left"/>
        <w:rPr>
          <w:rFonts w:hint="eastAsia" w:ascii="方正仿宋_GBK" w:hAnsi="宋体" w:eastAsia="方正仿宋_GBK" w:cs="Times New Roman"/>
          <w:b/>
          <w:bCs/>
          <w:color w:val="auto"/>
          <w:sz w:val="24"/>
          <w:szCs w:val="28"/>
          <w:highlight w:val="none"/>
          <w:lang w:eastAsia="zh-CN"/>
        </w:rPr>
      </w:pPr>
      <w:r>
        <w:rPr>
          <w:rFonts w:hint="eastAsia" w:ascii="方正仿宋_GBK" w:hAnsi="宋体" w:eastAsia="方正仿宋_GBK" w:cs="Times New Roman"/>
          <w:b/>
          <w:bCs/>
          <w:color w:val="auto"/>
          <w:sz w:val="24"/>
          <w:szCs w:val="28"/>
          <w:highlight w:val="none"/>
          <w:lang w:eastAsia="zh-CN"/>
        </w:rPr>
        <w:t>（四）初步验收未通过违约金</w:t>
      </w:r>
    </w:p>
    <w:p w14:paraId="09D731BB">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中标人提供的货物设施设备和相关服务经初步验收不合格，中标人应向采购人支付违约金，违约金按合同总金额的10%计算。</w:t>
      </w:r>
    </w:p>
    <w:p w14:paraId="1EAA7805">
      <w:pPr>
        <w:wordWrap/>
        <w:adjustRightInd/>
        <w:snapToGrid/>
        <w:spacing w:line="400" w:lineRule="exact"/>
        <w:ind w:firstLine="482" w:firstLineChars="200"/>
        <w:jc w:val="left"/>
        <w:rPr>
          <w:rFonts w:hint="eastAsia" w:ascii="方正仿宋_GBK" w:hAnsi="宋体" w:eastAsia="方正仿宋_GBK" w:cs="Times New Roman"/>
          <w:b/>
          <w:bCs/>
          <w:color w:val="auto"/>
          <w:sz w:val="24"/>
          <w:szCs w:val="28"/>
          <w:highlight w:val="none"/>
          <w:lang w:eastAsia="zh-CN"/>
        </w:rPr>
      </w:pPr>
      <w:r>
        <w:rPr>
          <w:rFonts w:hint="eastAsia" w:ascii="方正仿宋_GBK" w:hAnsi="宋体" w:eastAsia="方正仿宋_GBK" w:cs="Times New Roman"/>
          <w:b/>
          <w:bCs/>
          <w:color w:val="auto"/>
          <w:sz w:val="24"/>
          <w:szCs w:val="28"/>
          <w:highlight w:val="none"/>
          <w:lang w:eastAsia="zh-CN"/>
        </w:rPr>
        <w:t>（五）最终验收未通过违约金</w:t>
      </w:r>
    </w:p>
    <w:p w14:paraId="7F2DC07A">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中标人提供的货物设施设备和相关服务经最终验收不合格，中标人应向采购人支付违约金，违约金按合同总金额的10%计算。</w:t>
      </w:r>
    </w:p>
    <w:p w14:paraId="4374E7A1">
      <w:pPr>
        <w:wordWrap/>
        <w:adjustRightInd/>
        <w:snapToGrid/>
        <w:spacing w:line="400" w:lineRule="exact"/>
        <w:ind w:firstLine="482" w:firstLineChars="200"/>
        <w:jc w:val="left"/>
        <w:rPr>
          <w:rFonts w:hint="eastAsia" w:ascii="方正仿宋_GBK" w:hAnsi="宋体" w:eastAsia="方正仿宋_GBK" w:cs="Times New Roman"/>
          <w:b/>
          <w:bCs/>
          <w:color w:val="auto"/>
          <w:sz w:val="24"/>
          <w:szCs w:val="28"/>
          <w:highlight w:val="none"/>
          <w:lang w:eastAsia="zh-CN"/>
        </w:rPr>
      </w:pPr>
      <w:r>
        <w:rPr>
          <w:rFonts w:hint="eastAsia" w:ascii="方正仿宋_GBK" w:hAnsi="宋体" w:eastAsia="方正仿宋_GBK" w:cs="Times New Roman"/>
          <w:b/>
          <w:bCs/>
          <w:color w:val="auto"/>
          <w:sz w:val="24"/>
          <w:szCs w:val="28"/>
          <w:highlight w:val="none"/>
          <w:lang w:eastAsia="zh-CN"/>
        </w:rPr>
        <w:t>（六）根据项目需要设定的违约责任</w:t>
      </w:r>
    </w:p>
    <w:p w14:paraId="33B0F8D1">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中标人售后服务未按采购人要求及时现场响应，超过相应时间的，采购人有权按每小时1000元扣除其履约保证金。中标人超过应响应时间后12小时及以上仍未现场响应的视为未响应，如达3次以上未现场响应的，采购人有权不退还其剩余的履约保证金，并有权依法追究中标人合同总金额20%的违约金。若违约金不足以弥补损失，中标人还应赔偿采购人超出部分的损失。因本项目系应急救援装备，若因中标人原因（售后不及时，产品质量缺陷等）导致人员伤亡或财产损失的，采购人除依据本合同追究赔偿责任外，还将依法依规追究相关法律责任。</w:t>
      </w:r>
    </w:p>
    <w:p w14:paraId="2439F850">
      <w:pPr>
        <w:wordWrap/>
        <w:adjustRightInd/>
        <w:snapToGrid/>
        <w:spacing w:line="400" w:lineRule="exact"/>
        <w:ind w:firstLine="482" w:firstLineChars="200"/>
        <w:jc w:val="left"/>
        <w:rPr>
          <w:rFonts w:hint="eastAsia" w:ascii="方正仿宋_GBK" w:hAnsi="宋体" w:eastAsia="方正仿宋_GBK" w:cs="Times New Roman"/>
          <w:b/>
          <w:bCs/>
          <w:color w:val="auto"/>
          <w:sz w:val="24"/>
          <w:szCs w:val="28"/>
          <w:highlight w:val="none"/>
          <w:lang w:eastAsia="zh-CN"/>
        </w:rPr>
      </w:pPr>
      <w:r>
        <w:rPr>
          <w:rFonts w:hint="eastAsia" w:ascii="方正仿宋_GBK" w:hAnsi="宋体" w:eastAsia="方正仿宋_GBK" w:cs="Times New Roman"/>
          <w:b/>
          <w:bCs/>
          <w:color w:val="auto"/>
          <w:sz w:val="24"/>
          <w:szCs w:val="28"/>
          <w:highlight w:val="none"/>
          <w:lang w:eastAsia="zh-CN"/>
        </w:rPr>
        <w:t>（七）根本违约责任</w:t>
      </w:r>
    </w:p>
    <w:p w14:paraId="4D307051">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中标人存在根本违约行为导致采购人合同目的无法实现的，采购人有权单方解除合同，并有权依法追究中标人合同总金额20%的违约金。若违约金不足以弥补损失，中标人还应赔偿采购人超出部分的损失。</w:t>
      </w:r>
    </w:p>
    <w:p w14:paraId="70C7444A">
      <w:pPr>
        <w:wordWrap/>
        <w:adjustRightInd/>
        <w:snapToGrid/>
        <w:spacing w:line="400" w:lineRule="exact"/>
        <w:ind w:firstLine="482" w:firstLineChars="200"/>
        <w:jc w:val="left"/>
        <w:rPr>
          <w:rFonts w:hint="eastAsia" w:ascii="方正仿宋_GBK" w:hAnsi="宋体" w:eastAsia="方正仿宋_GBK" w:cs="Times New Roman"/>
          <w:b/>
          <w:bCs/>
          <w:color w:val="auto"/>
          <w:sz w:val="24"/>
          <w:szCs w:val="28"/>
          <w:highlight w:val="none"/>
          <w:lang w:eastAsia="zh-CN"/>
        </w:rPr>
      </w:pPr>
      <w:r>
        <w:rPr>
          <w:rFonts w:hint="eastAsia" w:ascii="方正仿宋_GBK" w:hAnsi="宋体" w:eastAsia="方正仿宋_GBK" w:cs="Times New Roman"/>
          <w:b/>
          <w:bCs/>
          <w:color w:val="auto"/>
          <w:sz w:val="24"/>
          <w:szCs w:val="28"/>
          <w:highlight w:val="none"/>
          <w:lang w:eastAsia="zh-CN"/>
        </w:rPr>
        <w:t>（八）其他违约责任（前述违约责任未包含的其他违约情形）</w:t>
      </w:r>
    </w:p>
    <w:p w14:paraId="06A58BD3">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1.合同生效以后，各方应全面履行本合同约定，一方不履行或者不完全履行本合同约定，应当承担相应的违约责任，违约方应向对方支付违约金，违约金按合同总金额的20%计算。若违约金不足以弥补损失，则违约方还应赔偿对方损失。</w:t>
      </w:r>
    </w:p>
    <w:p w14:paraId="1660272D">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2.因本合同履行导致争议的，为解决争议而发生的所有费用（包括但不限于律师法律服务费、诉讼费、鉴定费、保全费、保全保险费等全部费用），由违约方支付。</w:t>
      </w:r>
    </w:p>
    <w:p w14:paraId="2667DA98">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p>
    <w:p w14:paraId="5B471E0F">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违约金计算规则：本项目出现两种及以上违约情形，违约金相加合并计算。</w:t>
      </w:r>
    </w:p>
    <w:p w14:paraId="68C886DA">
      <w:pPr>
        <w:wordWrap/>
        <w:adjustRightInd/>
        <w:snapToGrid/>
        <w:spacing w:line="400" w:lineRule="exact"/>
        <w:ind w:firstLine="480" w:firstLineChars="200"/>
        <w:jc w:val="left"/>
        <w:rPr>
          <w:rFonts w:hint="eastAsia" w:ascii="方正仿宋_GBK" w:hAnsi="宋体" w:eastAsia="方正仿宋_GBK" w:cs="Times New Roman"/>
          <w:color w:val="auto"/>
          <w:sz w:val="24"/>
          <w:szCs w:val="28"/>
          <w:highlight w:val="none"/>
          <w:lang w:eastAsia="zh-CN"/>
        </w:rPr>
      </w:pPr>
    </w:p>
    <w:p w14:paraId="3330F1F6">
      <w:pPr>
        <w:pStyle w:val="4"/>
        <w:spacing w:before="0" w:beforeLines="0" w:after="0" w:afterLines="0" w:line="360" w:lineRule="auto"/>
        <w:rPr>
          <w:rFonts w:ascii="方正仿宋_GBK" w:eastAsia="方正仿宋_GBK"/>
          <w:b/>
          <w:color w:val="auto"/>
          <w:highlight w:val="none"/>
        </w:rPr>
      </w:pPr>
      <w:r>
        <w:rPr>
          <w:rFonts w:hint="eastAsia" w:ascii="方正仿宋_GBK" w:hAnsi="宋体" w:eastAsia="方正仿宋_GBK"/>
          <w:color w:val="auto"/>
          <w:sz w:val="24"/>
          <w:szCs w:val="28"/>
          <w:highlight w:val="none"/>
        </w:rPr>
        <w:br w:type="page"/>
      </w:r>
      <w:bookmarkStart w:id="333" w:name="_Toc22763"/>
      <w:bookmarkStart w:id="334" w:name="_Toc3339"/>
      <w:bookmarkStart w:id="335" w:name="_Toc23377"/>
      <w:bookmarkStart w:id="336" w:name="_Toc25903"/>
      <w:bookmarkStart w:id="337" w:name="_Toc2406"/>
      <w:bookmarkStart w:id="338" w:name="_Toc15693"/>
      <w:bookmarkStart w:id="339" w:name="_Toc25165"/>
      <w:bookmarkStart w:id="340" w:name="_Toc8133"/>
      <w:bookmarkStart w:id="341" w:name="_Toc30067"/>
      <w:bookmarkStart w:id="342" w:name="_Toc25911"/>
      <w:bookmarkStart w:id="343" w:name="_Toc75793517"/>
      <w:bookmarkStart w:id="344" w:name="_Toc24966"/>
      <w:bookmarkStart w:id="345" w:name="_Toc11875"/>
      <w:bookmarkStart w:id="346" w:name="_Toc2487"/>
      <w:bookmarkStart w:id="347" w:name="_Toc18395"/>
      <w:r>
        <w:rPr>
          <w:rFonts w:hint="eastAsia" w:ascii="方正仿宋_GBK" w:eastAsia="方正仿宋_GBK"/>
          <w:b/>
          <w:color w:val="auto"/>
          <w:highlight w:val="none"/>
        </w:rPr>
        <w:t>第四篇  资格审查及评标办法</w:t>
      </w:r>
      <w:bookmarkEnd w:id="331"/>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41B92DF4">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348" w:name="_Toc25971"/>
      <w:bookmarkStart w:id="349" w:name="_Toc21859"/>
      <w:bookmarkStart w:id="350" w:name="_Toc8983"/>
      <w:bookmarkStart w:id="351" w:name="_Toc26309"/>
      <w:bookmarkStart w:id="352" w:name="_Toc1497"/>
      <w:bookmarkStart w:id="353" w:name="_Toc23973"/>
      <w:bookmarkStart w:id="354" w:name="_Toc28360"/>
      <w:bookmarkStart w:id="355" w:name="_Toc29755"/>
      <w:bookmarkStart w:id="356" w:name="_Toc75793518"/>
      <w:bookmarkStart w:id="357" w:name="_Toc28903"/>
      <w:bookmarkStart w:id="358" w:name="_Toc4071"/>
      <w:bookmarkStart w:id="359" w:name="_Toc27081"/>
      <w:bookmarkStart w:id="360" w:name="_Toc14564"/>
      <w:bookmarkStart w:id="361" w:name="_Toc20541"/>
      <w:bookmarkStart w:id="362" w:name="_Toc12641"/>
      <w:bookmarkStart w:id="363" w:name="_Toc8669"/>
      <w:r>
        <w:rPr>
          <w:rFonts w:hint="eastAsia" w:ascii="方正仿宋_GBK" w:eastAsia="方正仿宋_GBK"/>
          <w:b/>
          <w:color w:val="auto"/>
          <w:szCs w:val="21"/>
          <w:highlight w:val="none"/>
        </w:rPr>
        <w:t>一、资格审查</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rPr>
          <w:rFonts w:hint="eastAsia" w:ascii="方正仿宋_GBK" w:eastAsia="方正仿宋_GBK"/>
          <w:b/>
          <w:color w:val="auto"/>
          <w:szCs w:val="21"/>
          <w:highlight w:val="none"/>
        </w:rPr>
        <w:t>及符合性审查</w:t>
      </w:r>
      <w:bookmarkEnd w:id="363"/>
    </w:p>
    <w:p w14:paraId="49DE0F7A">
      <w:pPr>
        <w:snapToGrid w:val="0"/>
        <w:spacing w:line="400" w:lineRule="exact"/>
        <w:ind w:firstLine="482" w:firstLineChars="200"/>
        <w:rPr>
          <w:rFonts w:ascii="方正仿宋_GBK" w:eastAsia="方正仿宋_GBK"/>
          <w:b/>
          <w:color w:val="auto"/>
          <w:sz w:val="24"/>
          <w:szCs w:val="24"/>
          <w:highlight w:val="none"/>
        </w:rPr>
      </w:pPr>
      <w:r>
        <w:rPr>
          <w:rFonts w:hint="eastAsia" w:ascii="方正仿宋_GBK" w:eastAsia="方正仿宋_GBK"/>
          <w:b/>
          <w:color w:val="auto"/>
          <w:sz w:val="24"/>
          <w:szCs w:val="24"/>
          <w:highlight w:val="none"/>
        </w:rPr>
        <w:t>若未</w:t>
      </w:r>
      <w:r>
        <w:rPr>
          <w:rFonts w:ascii="方正仿宋_GBK" w:eastAsia="方正仿宋_GBK"/>
          <w:b/>
          <w:color w:val="auto"/>
          <w:sz w:val="24"/>
          <w:szCs w:val="24"/>
          <w:highlight w:val="none"/>
        </w:rPr>
        <w:t>通过</w:t>
      </w:r>
      <w:r>
        <w:rPr>
          <w:rFonts w:hint="eastAsia" w:ascii="方正仿宋_GBK" w:eastAsia="方正仿宋_GBK"/>
          <w:b/>
          <w:color w:val="auto"/>
          <w:sz w:val="24"/>
          <w:szCs w:val="24"/>
          <w:highlight w:val="none"/>
        </w:rPr>
        <w:t>资格审查</w:t>
      </w:r>
      <w:r>
        <w:rPr>
          <w:rFonts w:ascii="方正仿宋_GBK" w:eastAsia="方正仿宋_GBK"/>
          <w:b/>
          <w:color w:val="auto"/>
          <w:sz w:val="24"/>
          <w:szCs w:val="24"/>
          <w:highlight w:val="none"/>
        </w:rPr>
        <w:t>及符合性审查的投标文件，</w:t>
      </w:r>
      <w:r>
        <w:rPr>
          <w:rFonts w:hint="eastAsia" w:ascii="方正仿宋_GBK" w:eastAsia="方正仿宋_GBK"/>
          <w:b/>
          <w:color w:val="auto"/>
          <w:sz w:val="24"/>
          <w:szCs w:val="24"/>
          <w:highlight w:val="none"/>
        </w:rPr>
        <w:t>不进入</w:t>
      </w:r>
      <w:r>
        <w:rPr>
          <w:rFonts w:ascii="方正仿宋_GBK" w:eastAsia="方正仿宋_GBK"/>
          <w:b/>
          <w:color w:val="auto"/>
          <w:sz w:val="24"/>
          <w:szCs w:val="24"/>
          <w:highlight w:val="none"/>
        </w:rPr>
        <w:t>评审</w:t>
      </w:r>
      <w:r>
        <w:rPr>
          <w:rFonts w:hint="eastAsia" w:ascii="方正仿宋_GBK" w:eastAsia="方正仿宋_GBK"/>
          <w:b/>
          <w:color w:val="auto"/>
          <w:sz w:val="24"/>
          <w:szCs w:val="24"/>
          <w:highlight w:val="none"/>
        </w:rPr>
        <w:t>环节</w:t>
      </w:r>
      <w:r>
        <w:rPr>
          <w:rFonts w:ascii="方正仿宋_GBK" w:eastAsia="方正仿宋_GBK"/>
          <w:b/>
          <w:color w:val="auto"/>
          <w:sz w:val="24"/>
          <w:szCs w:val="24"/>
          <w:highlight w:val="none"/>
        </w:rPr>
        <w:t>。</w:t>
      </w:r>
    </w:p>
    <w:p w14:paraId="10F6CCA5">
      <w:pPr>
        <w:snapToGrid w:val="0"/>
        <w:spacing w:line="400" w:lineRule="exact"/>
        <w:ind w:firstLine="482" w:firstLineChars="200"/>
        <w:rPr>
          <w:rFonts w:ascii="方正仿宋_GBK" w:hAnsi="宋体" w:eastAsia="方正仿宋_GBK" w:cs="宋体"/>
          <w:color w:val="auto"/>
          <w:kern w:val="0"/>
          <w:sz w:val="24"/>
          <w:szCs w:val="24"/>
          <w:highlight w:val="none"/>
        </w:rPr>
      </w:pPr>
      <w:r>
        <w:rPr>
          <w:rFonts w:hint="eastAsia" w:ascii="方正仿宋_GBK" w:eastAsia="方正仿宋_GBK"/>
          <w:b/>
          <w:color w:val="auto"/>
          <w:sz w:val="24"/>
          <w:szCs w:val="24"/>
          <w:highlight w:val="none"/>
        </w:rPr>
        <w:t>（一）资格审查</w:t>
      </w:r>
    </w:p>
    <w:p w14:paraId="6B551201">
      <w:pPr>
        <w:snapToGrid w:val="0"/>
        <w:spacing w:line="400" w:lineRule="exact"/>
        <w:ind w:firstLine="480" w:firstLineChars="200"/>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依据政府采购相关法律法规规定，由采购人或采购代理机构对投标文件中的资格证明文件进行审查。资格审查资料表如下：</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6303A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4F4F5BB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s="宋体"/>
                <w:b/>
                <w:color w:val="auto"/>
                <w:kern w:val="0"/>
                <w:sz w:val="22"/>
                <w:szCs w:val="22"/>
                <w:highlight w:val="none"/>
              </w:rPr>
            </w:pPr>
            <w:r>
              <w:rPr>
                <w:rFonts w:hint="eastAsia" w:ascii="方正仿宋_GBK" w:hAnsi="仿宋" w:eastAsia="方正仿宋_GBK" w:cs="宋体"/>
                <w:b/>
                <w:color w:val="auto"/>
                <w:kern w:val="0"/>
                <w:sz w:val="22"/>
                <w:szCs w:val="22"/>
                <w:highlight w:val="none"/>
              </w:rPr>
              <w:t>序号</w:t>
            </w:r>
          </w:p>
        </w:tc>
        <w:tc>
          <w:tcPr>
            <w:tcW w:w="3827" w:type="dxa"/>
            <w:gridSpan w:val="2"/>
            <w:vAlign w:val="center"/>
          </w:tcPr>
          <w:p w14:paraId="6C5071B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s="宋体"/>
                <w:b/>
                <w:color w:val="auto"/>
                <w:kern w:val="0"/>
                <w:sz w:val="22"/>
                <w:szCs w:val="22"/>
                <w:highlight w:val="none"/>
              </w:rPr>
            </w:pPr>
            <w:r>
              <w:rPr>
                <w:rFonts w:hint="eastAsia" w:ascii="方正仿宋_GBK" w:hAnsi="仿宋" w:eastAsia="方正仿宋_GBK" w:cs="宋体"/>
                <w:b/>
                <w:color w:val="auto"/>
                <w:kern w:val="0"/>
                <w:sz w:val="22"/>
                <w:szCs w:val="22"/>
                <w:highlight w:val="none"/>
              </w:rPr>
              <w:t>检查因素</w:t>
            </w:r>
          </w:p>
        </w:tc>
        <w:tc>
          <w:tcPr>
            <w:tcW w:w="4984" w:type="dxa"/>
            <w:vAlign w:val="center"/>
          </w:tcPr>
          <w:p w14:paraId="14DC42B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s="宋体"/>
                <w:b/>
                <w:color w:val="auto"/>
                <w:kern w:val="0"/>
                <w:sz w:val="22"/>
                <w:szCs w:val="22"/>
                <w:highlight w:val="none"/>
              </w:rPr>
            </w:pPr>
            <w:r>
              <w:rPr>
                <w:rFonts w:hint="eastAsia" w:ascii="方正仿宋_GBK" w:hAnsi="仿宋" w:eastAsia="方正仿宋_GBK" w:cs="宋体"/>
                <w:b/>
                <w:color w:val="auto"/>
                <w:kern w:val="0"/>
                <w:sz w:val="22"/>
                <w:szCs w:val="22"/>
                <w:highlight w:val="none"/>
              </w:rPr>
              <w:t>检查内容</w:t>
            </w:r>
          </w:p>
        </w:tc>
      </w:tr>
      <w:tr w14:paraId="6D8C5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restart"/>
            <w:vAlign w:val="center"/>
          </w:tcPr>
          <w:p w14:paraId="74BD08E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（一）</w:t>
            </w:r>
          </w:p>
        </w:tc>
        <w:tc>
          <w:tcPr>
            <w:tcW w:w="709" w:type="dxa"/>
            <w:vMerge w:val="restart"/>
            <w:vAlign w:val="center"/>
          </w:tcPr>
          <w:p w14:paraId="785D8A12">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lang w:val="zh-CN"/>
              </w:rPr>
            </w:pPr>
            <w:r>
              <w:rPr>
                <w:rFonts w:hint="eastAsia" w:ascii="方正仿宋_GBK" w:hAnsi="仿宋" w:eastAsia="方正仿宋_GBK" w:cs="仿宋_GB2312"/>
                <w:color w:val="auto"/>
                <w:sz w:val="22"/>
                <w:szCs w:val="22"/>
                <w:highlight w:val="none"/>
                <w:lang w:val="zh-CN"/>
              </w:rPr>
              <w:t>《中华人民共和国政府采购法》第二十二条规定</w:t>
            </w:r>
          </w:p>
        </w:tc>
        <w:tc>
          <w:tcPr>
            <w:tcW w:w="3118" w:type="dxa"/>
            <w:vAlign w:val="center"/>
          </w:tcPr>
          <w:p w14:paraId="16DDA708">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1.具有独立承担民事责任的能力</w:t>
            </w:r>
          </w:p>
        </w:tc>
        <w:tc>
          <w:tcPr>
            <w:tcW w:w="4984" w:type="dxa"/>
            <w:vAlign w:val="center"/>
          </w:tcPr>
          <w:p w14:paraId="1CDE191E">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 xml:space="preserve">1.投标人法人营业执照（副本）或事业单位法人证书（副本）或个体工商户营业执照或有效的自然人身份证明或社会团体法人登记证书（提供复印件）。 </w:t>
            </w:r>
          </w:p>
          <w:p w14:paraId="1A8C3D44">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2.投标人法定代表人身份证明和法定代表人授权代表委托书。</w:t>
            </w:r>
          </w:p>
          <w:p w14:paraId="33C60277">
            <w:pPr>
              <w:pStyle w:val="56"/>
              <w:keepNext w:val="0"/>
              <w:keepLines w:val="0"/>
              <w:pageBreakBefore w:val="0"/>
              <w:widowControl w:val="0"/>
              <w:kinsoku/>
              <w:wordWrap/>
              <w:overflowPunct/>
              <w:topLinePunct w:val="0"/>
              <w:autoSpaceDE/>
              <w:autoSpaceDN/>
              <w:bidi w:val="0"/>
              <w:adjustRightInd/>
              <w:snapToGrid/>
              <w:spacing w:line="360" w:lineRule="exact"/>
              <w:ind w:firstLine="0"/>
              <w:textAlignment w:val="auto"/>
              <w:rPr>
                <w:color w:val="auto"/>
                <w:highlight w:val="none"/>
              </w:rPr>
            </w:pPr>
            <w:r>
              <w:rPr>
                <w:rFonts w:hint="eastAsia" w:ascii="方正仿宋_GBK" w:hAnsi="仿宋" w:eastAsia="方正仿宋_GBK"/>
                <w:color w:val="auto"/>
                <w:sz w:val="22"/>
                <w:szCs w:val="22"/>
                <w:highlight w:val="none"/>
              </w:rPr>
              <w:t>注：若投标人为分支机构的，须同时提供总公司和分支机构的营业执照（副本）（提供复印件并加盖投标人公章）。</w:t>
            </w:r>
          </w:p>
        </w:tc>
      </w:tr>
      <w:tr w14:paraId="6F38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continue"/>
            <w:vAlign w:val="center"/>
          </w:tcPr>
          <w:p w14:paraId="1DE1F8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olor w:val="auto"/>
                <w:sz w:val="22"/>
                <w:szCs w:val="22"/>
                <w:highlight w:val="none"/>
              </w:rPr>
            </w:pPr>
          </w:p>
        </w:tc>
        <w:tc>
          <w:tcPr>
            <w:tcW w:w="709" w:type="dxa"/>
            <w:vMerge w:val="continue"/>
            <w:vAlign w:val="center"/>
          </w:tcPr>
          <w:p w14:paraId="27AAEAF2">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lang w:val="zh-CN"/>
              </w:rPr>
            </w:pPr>
          </w:p>
        </w:tc>
        <w:tc>
          <w:tcPr>
            <w:tcW w:w="3118" w:type="dxa"/>
            <w:vAlign w:val="center"/>
          </w:tcPr>
          <w:p w14:paraId="0FDB18AA">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s="仿宋_GB2312"/>
                <w:color w:val="auto"/>
                <w:sz w:val="22"/>
                <w:szCs w:val="22"/>
                <w:highlight w:val="none"/>
                <w:lang w:val="zh-CN"/>
              </w:rPr>
              <w:t>2.</w:t>
            </w:r>
            <w:r>
              <w:rPr>
                <w:rFonts w:hint="eastAsia" w:ascii="方正仿宋_GBK" w:hAnsi="仿宋" w:eastAsia="方正仿宋_GBK"/>
                <w:color w:val="auto"/>
                <w:sz w:val="22"/>
                <w:szCs w:val="22"/>
                <w:highlight w:val="none"/>
              </w:rPr>
              <w:t>具有良好的商业信誉和健全的财务会计制度</w:t>
            </w:r>
          </w:p>
        </w:tc>
        <w:tc>
          <w:tcPr>
            <w:tcW w:w="4984" w:type="dxa"/>
            <w:vMerge w:val="restart"/>
            <w:vAlign w:val="center"/>
          </w:tcPr>
          <w:p w14:paraId="69B290AE">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b/>
                <w:color w:val="auto"/>
                <w:sz w:val="22"/>
                <w:szCs w:val="22"/>
                <w:highlight w:val="none"/>
              </w:rPr>
            </w:pPr>
            <w:r>
              <w:rPr>
                <w:rFonts w:hint="eastAsia" w:ascii="方正仿宋_GBK" w:hAnsi="仿宋" w:eastAsia="方正仿宋_GBK"/>
                <w:color w:val="auto"/>
                <w:sz w:val="22"/>
                <w:szCs w:val="22"/>
                <w:highlight w:val="none"/>
              </w:rPr>
              <w:t>投标人提供“基本资格条件承诺函”（格式详见第七篇）</w:t>
            </w:r>
          </w:p>
        </w:tc>
      </w:tr>
      <w:tr w14:paraId="10AD5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continue"/>
            <w:vAlign w:val="center"/>
          </w:tcPr>
          <w:p w14:paraId="4640A5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olor w:val="auto"/>
                <w:sz w:val="22"/>
                <w:szCs w:val="22"/>
                <w:highlight w:val="none"/>
              </w:rPr>
            </w:pPr>
          </w:p>
        </w:tc>
        <w:tc>
          <w:tcPr>
            <w:tcW w:w="709" w:type="dxa"/>
            <w:vMerge w:val="continue"/>
            <w:vAlign w:val="center"/>
          </w:tcPr>
          <w:p w14:paraId="77F51D3F">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lang w:val="zh-CN"/>
              </w:rPr>
            </w:pPr>
          </w:p>
        </w:tc>
        <w:tc>
          <w:tcPr>
            <w:tcW w:w="3118" w:type="dxa"/>
            <w:vAlign w:val="center"/>
          </w:tcPr>
          <w:p w14:paraId="352D1FD0">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lang w:val="zh-CN"/>
              </w:rPr>
            </w:pPr>
            <w:r>
              <w:rPr>
                <w:rFonts w:hint="eastAsia" w:ascii="方正仿宋_GBK" w:hAnsi="仿宋" w:eastAsia="方正仿宋_GBK" w:cs="仿宋_GB2312"/>
                <w:color w:val="auto"/>
                <w:sz w:val="22"/>
                <w:szCs w:val="22"/>
                <w:highlight w:val="none"/>
                <w:lang w:val="zh-CN"/>
              </w:rPr>
              <w:t>3.具有履行合同所必需的设备和专业技术能力</w:t>
            </w:r>
          </w:p>
        </w:tc>
        <w:tc>
          <w:tcPr>
            <w:tcW w:w="4984" w:type="dxa"/>
            <w:vMerge w:val="continue"/>
            <w:vAlign w:val="center"/>
          </w:tcPr>
          <w:p w14:paraId="7F8B4234">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p>
        </w:tc>
      </w:tr>
      <w:tr w14:paraId="68E4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continue"/>
            <w:vAlign w:val="center"/>
          </w:tcPr>
          <w:p w14:paraId="7BB3A4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olor w:val="auto"/>
                <w:sz w:val="22"/>
                <w:szCs w:val="22"/>
                <w:highlight w:val="none"/>
              </w:rPr>
            </w:pPr>
          </w:p>
        </w:tc>
        <w:tc>
          <w:tcPr>
            <w:tcW w:w="709" w:type="dxa"/>
            <w:vMerge w:val="continue"/>
            <w:vAlign w:val="center"/>
          </w:tcPr>
          <w:p w14:paraId="11E35D17">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lang w:val="zh-CN"/>
              </w:rPr>
            </w:pPr>
          </w:p>
        </w:tc>
        <w:tc>
          <w:tcPr>
            <w:tcW w:w="3118" w:type="dxa"/>
            <w:vAlign w:val="center"/>
          </w:tcPr>
          <w:p w14:paraId="452AB1EA">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lang w:val="zh-CN"/>
              </w:rPr>
            </w:pPr>
            <w:r>
              <w:rPr>
                <w:rFonts w:hint="eastAsia" w:ascii="方正仿宋_GBK" w:hAnsi="仿宋" w:eastAsia="方正仿宋_GBK" w:cs="仿宋_GB2312"/>
                <w:color w:val="auto"/>
                <w:sz w:val="22"/>
                <w:szCs w:val="22"/>
                <w:highlight w:val="none"/>
                <w:lang w:val="zh-CN"/>
              </w:rPr>
              <w:t>4.有依法缴纳税收和社会保障金的良好记录</w:t>
            </w:r>
          </w:p>
        </w:tc>
        <w:tc>
          <w:tcPr>
            <w:tcW w:w="4984" w:type="dxa"/>
            <w:vMerge w:val="continue"/>
            <w:vAlign w:val="center"/>
          </w:tcPr>
          <w:p w14:paraId="1590E2B2">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p>
        </w:tc>
      </w:tr>
      <w:tr w14:paraId="3BD31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Merge w:val="continue"/>
            <w:vAlign w:val="center"/>
          </w:tcPr>
          <w:p w14:paraId="636F8E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olor w:val="auto"/>
                <w:sz w:val="22"/>
                <w:szCs w:val="22"/>
                <w:highlight w:val="none"/>
              </w:rPr>
            </w:pPr>
          </w:p>
        </w:tc>
        <w:tc>
          <w:tcPr>
            <w:tcW w:w="709" w:type="dxa"/>
            <w:vMerge w:val="continue"/>
            <w:vAlign w:val="center"/>
          </w:tcPr>
          <w:p w14:paraId="0A809406">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lang w:val="zh-CN"/>
              </w:rPr>
            </w:pPr>
          </w:p>
        </w:tc>
        <w:tc>
          <w:tcPr>
            <w:tcW w:w="3118" w:type="dxa"/>
            <w:vAlign w:val="center"/>
          </w:tcPr>
          <w:p w14:paraId="3B4D29B7">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lang w:val="zh-CN"/>
              </w:rPr>
            </w:pPr>
            <w:r>
              <w:rPr>
                <w:rFonts w:hint="eastAsia" w:ascii="方正仿宋_GBK" w:hAnsi="仿宋" w:eastAsia="方正仿宋_GBK"/>
                <w:color w:val="auto"/>
                <w:sz w:val="22"/>
                <w:szCs w:val="22"/>
                <w:highlight w:val="none"/>
              </w:rPr>
              <w:t>5.参加政府采购活动前三年内，在经营活动中没有重大违法记录（注</w:t>
            </w:r>
            <w:r>
              <w:rPr>
                <w:rFonts w:hint="eastAsia" w:ascii="方正仿宋_GBK" w:hAnsi="仿宋" w:eastAsia="方正仿宋_GBK"/>
                <w:color w:val="auto"/>
                <w:sz w:val="22"/>
                <w:szCs w:val="22"/>
                <w:highlight w:val="none"/>
              </w:rPr>
              <w:fldChar w:fldCharType="begin"/>
            </w:r>
            <w:r>
              <w:rPr>
                <w:rFonts w:hint="eastAsia" w:ascii="方正仿宋_GBK" w:hAnsi="仿宋" w:eastAsia="方正仿宋_GBK"/>
                <w:color w:val="auto"/>
                <w:sz w:val="22"/>
                <w:szCs w:val="22"/>
                <w:highlight w:val="none"/>
              </w:rPr>
              <w:instrText xml:space="preserve"> EQ \o\ac(</w:instrText>
            </w:r>
            <w:r>
              <w:rPr>
                <w:rFonts w:hint="eastAsia" w:ascii="方正仿宋_GBK" w:hAnsi="仿宋" w:eastAsia="方正仿宋_GBK"/>
                <w:color w:val="auto"/>
                <w:position w:val="-4"/>
                <w:sz w:val="33"/>
                <w:szCs w:val="22"/>
                <w:highlight w:val="none"/>
              </w:rPr>
              <w:instrText xml:space="preserve">○</w:instrText>
            </w:r>
            <w:r>
              <w:rPr>
                <w:rFonts w:hint="eastAsia" w:ascii="方正仿宋_GBK" w:hAnsi="仿宋" w:eastAsia="方正仿宋_GBK"/>
                <w:color w:val="auto"/>
                <w:sz w:val="22"/>
                <w:szCs w:val="22"/>
                <w:highlight w:val="none"/>
              </w:rPr>
              <w:instrText xml:space="preserve">,1)</w:instrText>
            </w:r>
            <w:r>
              <w:rPr>
                <w:rFonts w:hint="eastAsia" w:ascii="方正仿宋_GBK" w:hAnsi="仿宋" w:eastAsia="方正仿宋_GBK"/>
                <w:color w:val="auto"/>
                <w:sz w:val="22"/>
                <w:szCs w:val="22"/>
                <w:highlight w:val="none"/>
              </w:rPr>
              <w:fldChar w:fldCharType="end"/>
            </w:r>
            <w:r>
              <w:rPr>
                <w:rFonts w:hint="eastAsia" w:ascii="方正仿宋_GBK" w:hAnsi="仿宋" w:eastAsia="方正仿宋_GBK"/>
                <w:color w:val="auto"/>
                <w:sz w:val="22"/>
                <w:szCs w:val="22"/>
                <w:highlight w:val="none"/>
              </w:rPr>
              <w:t>）</w:t>
            </w:r>
          </w:p>
        </w:tc>
        <w:tc>
          <w:tcPr>
            <w:tcW w:w="4984" w:type="dxa"/>
            <w:vMerge w:val="continue"/>
            <w:vAlign w:val="center"/>
          </w:tcPr>
          <w:p w14:paraId="0D006120">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b/>
                <w:color w:val="auto"/>
                <w:sz w:val="22"/>
                <w:szCs w:val="22"/>
                <w:highlight w:val="none"/>
              </w:rPr>
            </w:pPr>
          </w:p>
        </w:tc>
      </w:tr>
      <w:tr w14:paraId="5F23B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17" w:type="dxa"/>
            <w:vMerge w:val="continue"/>
            <w:vAlign w:val="center"/>
          </w:tcPr>
          <w:p w14:paraId="0CEC00D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olor w:val="auto"/>
                <w:sz w:val="22"/>
                <w:szCs w:val="22"/>
                <w:highlight w:val="none"/>
              </w:rPr>
            </w:pPr>
          </w:p>
        </w:tc>
        <w:tc>
          <w:tcPr>
            <w:tcW w:w="709" w:type="dxa"/>
            <w:vMerge w:val="continue"/>
            <w:vAlign w:val="center"/>
          </w:tcPr>
          <w:p w14:paraId="054C2C22">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rPr>
            </w:pPr>
          </w:p>
        </w:tc>
        <w:tc>
          <w:tcPr>
            <w:tcW w:w="3118" w:type="dxa"/>
            <w:vAlign w:val="center"/>
          </w:tcPr>
          <w:p w14:paraId="00F91023">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6.法律、行政法规规定的其他条件</w:t>
            </w:r>
          </w:p>
        </w:tc>
        <w:tc>
          <w:tcPr>
            <w:tcW w:w="4984" w:type="dxa"/>
            <w:vAlign w:val="center"/>
          </w:tcPr>
          <w:p w14:paraId="261B11B0">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p>
        </w:tc>
      </w:tr>
      <w:tr w14:paraId="4F6B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17" w:type="dxa"/>
            <w:vMerge w:val="continue"/>
            <w:vAlign w:val="center"/>
          </w:tcPr>
          <w:p w14:paraId="0C80CAD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olor w:val="auto"/>
                <w:sz w:val="22"/>
                <w:szCs w:val="22"/>
                <w:highlight w:val="none"/>
              </w:rPr>
            </w:pPr>
          </w:p>
        </w:tc>
        <w:tc>
          <w:tcPr>
            <w:tcW w:w="709" w:type="dxa"/>
            <w:vMerge w:val="continue"/>
            <w:vAlign w:val="center"/>
          </w:tcPr>
          <w:p w14:paraId="0E16B8AF">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s="仿宋_GB2312"/>
                <w:color w:val="auto"/>
                <w:sz w:val="22"/>
                <w:szCs w:val="22"/>
                <w:highlight w:val="none"/>
              </w:rPr>
            </w:pPr>
          </w:p>
        </w:tc>
        <w:tc>
          <w:tcPr>
            <w:tcW w:w="3118" w:type="dxa"/>
            <w:vAlign w:val="center"/>
          </w:tcPr>
          <w:p w14:paraId="59449647">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7.本项目的特定资格要求</w:t>
            </w:r>
          </w:p>
        </w:tc>
        <w:tc>
          <w:tcPr>
            <w:tcW w:w="4984" w:type="dxa"/>
            <w:vAlign w:val="center"/>
          </w:tcPr>
          <w:p w14:paraId="4428190E">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按第一篇“三、投标人资格要求（三）本项目的特定资格要求”的要求提交</w:t>
            </w:r>
            <w:r>
              <w:rPr>
                <w:rFonts w:hint="eastAsia" w:ascii="方正仿宋_GBK" w:hAnsi="宋体" w:eastAsia="方正仿宋_GBK"/>
                <w:color w:val="auto"/>
                <w:sz w:val="22"/>
                <w:szCs w:val="22"/>
                <w:highlight w:val="none"/>
              </w:rPr>
              <w:t>（如果有）</w:t>
            </w:r>
            <w:r>
              <w:rPr>
                <w:rFonts w:hint="eastAsia" w:ascii="方正仿宋_GBK" w:hAnsi="仿宋" w:eastAsia="方正仿宋_GBK"/>
                <w:color w:val="auto"/>
                <w:sz w:val="22"/>
                <w:szCs w:val="22"/>
                <w:highlight w:val="none"/>
              </w:rPr>
              <w:t>。</w:t>
            </w:r>
          </w:p>
        </w:tc>
      </w:tr>
      <w:tr w14:paraId="370F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39744A4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（二）</w:t>
            </w:r>
          </w:p>
        </w:tc>
        <w:tc>
          <w:tcPr>
            <w:tcW w:w="3827" w:type="dxa"/>
            <w:gridSpan w:val="2"/>
            <w:vAlign w:val="center"/>
          </w:tcPr>
          <w:p w14:paraId="4709D287">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落实政府采购政策需满足的资格要求</w:t>
            </w:r>
          </w:p>
        </w:tc>
        <w:tc>
          <w:tcPr>
            <w:tcW w:w="4984" w:type="dxa"/>
            <w:vAlign w:val="center"/>
          </w:tcPr>
          <w:p w14:paraId="0E6EB7DE">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按第一篇“三、投标人资格要求（二）落实政府采购政策需满足的资格要求”的要求提交</w:t>
            </w:r>
            <w:r>
              <w:rPr>
                <w:rFonts w:hint="eastAsia" w:ascii="方正仿宋_GBK" w:hAnsi="宋体" w:eastAsia="方正仿宋_GBK"/>
                <w:color w:val="auto"/>
                <w:sz w:val="22"/>
                <w:szCs w:val="22"/>
                <w:highlight w:val="none"/>
              </w:rPr>
              <w:t>（如果有）</w:t>
            </w:r>
            <w:r>
              <w:rPr>
                <w:rFonts w:hint="eastAsia" w:ascii="方正仿宋_GBK" w:hAnsi="仿宋" w:eastAsia="方正仿宋_GBK"/>
                <w:color w:val="auto"/>
                <w:sz w:val="22"/>
                <w:szCs w:val="22"/>
                <w:highlight w:val="none"/>
              </w:rPr>
              <w:t>。</w:t>
            </w:r>
          </w:p>
        </w:tc>
      </w:tr>
      <w:tr w14:paraId="7ACA9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17" w:type="dxa"/>
            <w:vAlign w:val="center"/>
          </w:tcPr>
          <w:p w14:paraId="67F87D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（三）</w:t>
            </w:r>
          </w:p>
        </w:tc>
        <w:tc>
          <w:tcPr>
            <w:tcW w:w="3827" w:type="dxa"/>
            <w:gridSpan w:val="2"/>
            <w:vAlign w:val="center"/>
          </w:tcPr>
          <w:p w14:paraId="646DFF8F">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投标保证金</w:t>
            </w:r>
          </w:p>
        </w:tc>
        <w:tc>
          <w:tcPr>
            <w:tcW w:w="4984" w:type="dxa"/>
            <w:vAlign w:val="center"/>
          </w:tcPr>
          <w:p w14:paraId="5FFF0A50">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仿宋" w:eastAsia="方正仿宋_GBK"/>
                <w:color w:val="auto"/>
                <w:sz w:val="22"/>
                <w:szCs w:val="22"/>
                <w:highlight w:val="none"/>
              </w:rPr>
            </w:pPr>
            <w:r>
              <w:rPr>
                <w:rFonts w:hint="eastAsia" w:ascii="方正仿宋_GBK" w:hAnsi="仿宋" w:eastAsia="方正仿宋_GBK"/>
                <w:color w:val="auto"/>
                <w:sz w:val="22"/>
                <w:szCs w:val="22"/>
                <w:highlight w:val="none"/>
              </w:rPr>
              <w:t>按照招标文件要求足额交纳所投包的投标保证金。</w:t>
            </w:r>
          </w:p>
        </w:tc>
      </w:tr>
    </w:tbl>
    <w:p w14:paraId="1A445438">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注：</w:t>
      </w:r>
    </w:p>
    <w:p w14:paraId="358633A3">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fldChar w:fldCharType="begin"/>
      </w:r>
      <w:r>
        <w:rPr>
          <w:rFonts w:hint="eastAsia" w:ascii="方正仿宋_GBK" w:hAnsi="宋体" w:eastAsia="方正仿宋_GBK" w:cs="宋体"/>
          <w:color w:val="auto"/>
          <w:kern w:val="0"/>
          <w:sz w:val="24"/>
          <w:szCs w:val="24"/>
          <w:highlight w:val="none"/>
        </w:rPr>
        <w:instrText xml:space="preserve"> eq \o\ac(</w:instrText>
      </w:r>
      <w:r>
        <w:rPr>
          <w:rFonts w:hint="eastAsia" w:ascii="方正仿宋_GBK" w:hAnsi="宋体" w:eastAsia="方正仿宋_GBK" w:cs="宋体"/>
          <w:color w:val="auto"/>
          <w:kern w:val="0"/>
          <w:position w:val="-4"/>
          <w:sz w:val="36"/>
          <w:szCs w:val="24"/>
          <w:highlight w:val="none"/>
        </w:rPr>
        <w:instrText xml:space="preserve">○</w:instrText>
      </w:r>
      <w:r>
        <w:rPr>
          <w:rFonts w:hint="eastAsia" w:ascii="方正仿宋_GBK" w:hAnsi="宋体" w:eastAsia="方正仿宋_GBK" w:cs="宋体"/>
          <w:color w:val="auto"/>
          <w:kern w:val="0"/>
          <w:sz w:val="24"/>
          <w:szCs w:val="24"/>
          <w:highlight w:val="none"/>
        </w:rPr>
        <w:instrText xml:space="preserve">,1)</w:instrText>
      </w:r>
      <w:r>
        <w:rPr>
          <w:rFonts w:hint="eastAsia" w:ascii="方正仿宋_GBK" w:hAnsi="宋体" w:eastAsia="方正仿宋_GBK" w:cs="宋体"/>
          <w:color w:val="auto"/>
          <w:kern w:val="0"/>
          <w:sz w:val="24"/>
          <w:szCs w:val="24"/>
          <w:highlight w:val="none"/>
        </w:rPr>
        <w:fldChar w:fldCharType="end"/>
      </w:r>
      <w:r>
        <w:rPr>
          <w:rFonts w:hint="eastAsia" w:ascii="方正仿宋_GBK" w:hAnsi="宋体" w:eastAsia="方正仿宋_GBK" w:cs="宋体"/>
          <w:color w:val="auto"/>
          <w:kern w:val="0"/>
          <w:sz w:val="24"/>
          <w:szCs w:val="24"/>
          <w:highlight w:val="none"/>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w:t>
      </w:r>
      <w:r>
        <w:rPr>
          <w:rFonts w:ascii="方正仿宋_GBK" w:hAnsi="宋体" w:eastAsia="方正仿宋_GBK" w:cs="宋体"/>
          <w:color w:val="auto"/>
          <w:kern w:val="0"/>
          <w:sz w:val="24"/>
          <w:szCs w:val="24"/>
          <w:highlight w:val="none"/>
        </w:rPr>
        <w:t>财政部关于</w:t>
      </w:r>
      <w:r>
        <w:rPr>
          <w:rFonts w:hint="eastAsia" w:ascii="方正仿宋_GBK" w:hAnsi="宋体" w:eastAsia="方正仿宋_GBK" w:cs="宋体"/>
          <w:color w:val="auto"/>
          <w:kern w:val="0"/>
          <w:sz w:val="24"/>
          <w:szCs w:val="24"/>
          <w:highlight w:val="none"/>
        </w:rPr>
        <w:t>&lt;</w:t>
      </w:r>
      <w:r>
        <w:rPr>
          <w:rFonts w:ascii="方正仿宋_GBK" w:hAnsi="宋体" w:eastAsia="方正仿宋_GBK" w:cs="宋体"/>
          <w:color w:val="auto"/>
          <w:kern w:val="0"/>
          <w:sz w:val="24"/>
          <w:szCs w:val="24"/>
          <w:highlight w:val="none"/>
        </w:rPr>
        <w:t>中华人民共和国政府采购法实施条例</w:t>
      </w:r>
      <w:r>
        <w:rPr>
          <w:rFonts w:hint="eastAsia" w:ascii="方正仿宋_GBK" w:hAnsi="宋体" w:eastAsia="方正仿宋_GBK" w:cs="宋体"/>
          <w:color w:val="auto"/>
          <w:kern w:val="0"/>
          <w:sz w:val="24"/>
          <w:szCs w:val="24"/>
          <w:highlight w:val="none"/>
        </w:rPr>
        <w:t>&gt;</w:t>
      </w:r>
      <w:r>
        <w:rPr>
          <w:rFonts w:ascii="方正仿宋_GBK" w:hAnsi="宋体" w:eastAsia="方正仿宋_GBK" w:cs="宋体"/>
          <w:color w:val="auto"/>
          <w:kern w:val="0"/>
          <w:sz w:val="24"/>
          <w:szCs w:val="24"/>
          <w:highlight w:val="none"/>
        </w:rPr>
        <w:t>第十九条第一款</w:t>
      </w:r>
      <w:r>
        <w:rPr>
          <w:rFonts w:hint="eastAsia" w:ascii="方正仿宋_GBK" w:hAnsi="宋体" w:eastAsia="方正仿宋_GBK" w:cs="宋体"/>
          <w:color w:val="auto"/>
          <w:kern w:val="0"/>
          <w:sz w:val="24"/>
          <w:szCs w:val="24"/>
          <w:highlight w:val="none"/>
        </w:rPr>
        <w:t>“较大</w:t>
      </w:r>
      <w:r>
        <w:rPr>
          <w:rFonts w:ascii="方正仿宋_GBK" w:hAnsi="宋体" w:eastAsia="方正仿宋_GBK" w:cs="宋体"/>
          <w:color w:val="auto"/>
          <w:kern w:val="0"/>
          <w:sz w:val="24"/>
          <w:szCs w:val="24"/>
          <w:highlight w:val="none"/>
        </w:rPr>
        <w:t>数额罚款</w:t>
      </w:r>
      <w:r>
        <w:rPr>
          <w:rFonts w:hint="eastAsia" w:ascii="方正仿宋_GBK" w:hAnsi="宋体" w:eastAsia="方正仿宋_GBK" w:cs="宋体"/>
          <w:color w:val="auto"/>
          <w:kern w:val="0"/>
          <w:sz w:val="24"/>
          <w:szCs w:val="24"/>
          <w:highlight w:val="none"/>
        </w:rPr>
        <w:t>”</w:t>
      </w:r>
      <w:r>
        <w:rPr>
          <w:rFonts w:ascii="方正仿宋_GBK" w:hAnsi="宋体" w:eastAsia="方正仿宋_GBK" w:cs="宋体"/>
          <w:color w:val="auto"/>
          <w:kern w:val="0"/>
          <w:sz w:val="24"/>
          <w:szCs w:val="24"/>
          <w:highlight w:val="none"/>
        </w:rPr>
        <w:t>具体适用问题的意见</w:t>
      </w:r>
      <w:r>
        <w:rPr>
          <w:rFonts w:hint="eastAsia" w:ascii="方正仿宋_GBK" w:hAnsi="宋体" w:eastAsia="方正仿宋_GBK" w:cs="宋体"/>
          <w:color w:val="auto"/>
          <w:kern w:val="0"/>
          <w:sz w:val="24"/>
          <w:szCs w:val="24"/>
          <w:highlight w:val="none"/>
        </w:rPr>
        <w:t>》</w:t>
      </w:r>
      <w:r>
        <w:rPr>
          <w:rFonts w:ascii="方正仿宋_GBK" w:hAnsi="宋体" w:eastAsia="方正仿宋_GBK" w:cs="宋体"/>
          <w:color w:val="auto"/>
          <w:kern w:val="0"/>
          <w:sz w:val="24"/>
          <w:szCs w:val="24"/>
          <w:highlight w:val="none"/>
        </w:rPr>
        <w:t>（财库〔</w:t>
      </w:r>
      <w:r>
        <w:rPr>
          <w:rFonts w:hint="eastAsia" w:ascii="方正仿宋_GBK" w:hAnsi="宋体" w:eastAsia="方正仿宋_GBK" w:cs="宋体"/>
          <w:color w:val="auto"/>
          <w:kern w:val="0"/>
          <w:sz w:val="24"/>
          <w:szCs w:val="24"/>
          <w:highlight w:val="none"/>
        </w:rPr>
        <w:t>2022</w:t>
      </w:r>
      <w:r>
        <w:rPr>
          <w:rFonts w:ascii="方正仿宋_GBK" w:hAnsi="宋体" w:eastAsia="方正仿宋_GBK" w:cs="宋体"/>
          <w:color w:val="auto"/>
          <w:kern w:val="0"/>
          <w:sz w:val="24"/>
          <w:szCs w:val="24"/>
          <w:highlight w:val="none"/>
        </w:rPr>
        <w:t>〕</w:t>
      </w:r>
      <w:r>
        <w:rPr>
          <w:rFonts w:hint="eastAsia" w:ascii="方正仿宋_GBK" w:hAnsi="宋体" w:eastAsia="方正仿宋_GBK" w:cs="宋体"/>
          <w:color w:val="auto"/>
          <w:kern w:val="0"/>
          <w:sz w:val="24"/>
          <w:szCs w:val="24"/>
          <w:highlight w:val="none"/>
        </w:rPr>
        <w:t>3号</w:t>
      </w:r>
      <w:r>
        <w:rPr>
          <w:rFonts w:ascii="方正仿宋_GBK" w:hAnsi="宋体" w:eastAsia="方正仿宋_GBK" w:cs="宋体"/>
          <w:color w:val="auto"/>
          <w:kern w:val="0"/>
          <w:sz w:val="24"/>
          <w:szCs w:val="24"/>
          <w:highlight w:val="none"/>
        </w:rPr>
        <w:t>）</w:t>
      </w:r>
      <w:r>
        <w:rPr>
          <w:rFonts w:hint="eastAsia" w:ascii="方正仿宋_GBK" w:hAnsi="宋体" w:eastAsia="方正仿宋_GBK" w:cs="宋体"/>
          <w:color w:val="auto"/>
          <w:kern w:val="0"/>
          <w:sz w:val="24"/>
          <w:szCs w:val="24"/>
          <w:highlight w:val="none"/>
        </w:rPr>
        <w:t>执行。投标人可于投标截止日期前通过“信用中国”网站(www.creditchina.gov.cn)、"中国政府采购网"(www.ccgp.gov.cn)等渠道查询信用记录。</w:t>
      </w:r>
    </w:p>
    <w:p w14:paraId="530E8CA7">
      <w:pPr>
        <w:keepNext w:val="0"/>
        <w:keepLines w:val="0"/>
        <w:pageBreakBefore w:val="0"/>
        <w:widowControl w:val="0"/>
        <w:kinsoku/>
        <w:wordWrap/>
        <w:overflowPunct/>
        <w:topLinePunct w:val="0"/>
        <w:autoSpaceDE/>
        <w:autoSpaceDN/>
        <w:bidi w:val="0"/>
        <w:adjustRightInd/>
        <w:snapToGrid w:val="0"/>
        <w:spacing w:line="380" w:lineRule="exact"/>
        <w:ind w:firstLine="482" w:firstLineChars="200"/>
        <w:textAlignment w:val="auto"/>
        <w:rPr>
          <w:rFonts w:ascii="方正仿宋_GBK" w:eastAsia="方正仿宋_GBK"/>
          <w:b/>
          <w:color w:val="auto"/>
          <w:sz w:val="24"/>
          <w:szCs w:val="24"/>
          <w:highlight w:val="none"/>
        </w:rPr>
      </w:pPr>
      <w:r>
        <w:rPr>
          <w:rFonts w:hint="eastAsia" w:ascii="方正仿宋_GBK" w:eastAsia="方正仿宋_GBK"/>
          <w:b/>
          <w:color w:val="auto"/>
          <w:sz w:val="24"/>
          <w:szCs w:val="24"/>
          <w:highlight w:val="none"/>
        </w:rPr>
        <w:t>（二）符合性审查</w:t>
      </w:r>
    </w:p>
    <w:p w14:paraId="21259808">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eastAsia="方正仿宋_GBK"/>
          <w:color w:val="auto"/>
          <w:kern w:val="0"/>
          <w:sz w:val="24"/>
          <w:szCs w:val="24"/>
          <w:highlight w:val="none"/>
        </w:rPr>
      </w:pPr>
      <w:r>
        <w:rPr>
          <w:rFonts w:hint="eastAsia" w:ascii="方正仿宋_GBK" w:hAnsi="宋体" w:eastAsia="方正仿宋_GBK" w:cs="宋体"/>
          <w:color w:val="auto"/>
          <w:kern w:val="0"/>
          <w:sz w:val="24"/>
          <w:szCs w:val="24"/>
          <w:highlight w:val="none"/>
        </w:rPr>
        <w:t>评标委员会应当对符合资格的投标人的投标文件进行符合性审查，以确定其是否满足招标文件的实质性要求。符合性审查资料表如下：</w:t>
      </w:r>
    </w:p>
    <w:tbl>
      <w:tblPr>
        <w:tblStyle w:val="58"/>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14:paraId="081DA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1B03946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b/>
                <w:color w:val="auto"/>
                <w:kern w:val="0"/>
                <w:sz w:val="21"/>
                <w:szCs w:val="21"/>
                <w:highlight w:val="none"/>
              </w:rPr>
            </w:pPr>
            <w:r>
              <w:rPr>
                <w:rFonts w:hint="eastAsia" w:ascii="方正仿宋_GBK" w:hAnsi="宋体" w:eastAsia="方正仿宋_GBK" w:cs="宋体"/>
                <w:b/>
                <w:color w:val="auto"/>
                <w:kern w:val="0"/>
                <w:sz w:val="21"/>
                <w:szCs w:val="21"/>
                <w:highlight w:val="none"/>
              </w:rPr>
              <w:t>序号</w:t>
            </w:r>
          </w:p>
        </w:tc>
        <w:tc>
          <w:tcPr>
            <w:tcW w:w="3119" w:type="dxa"/>
            <w:gridSpan w:val="2"/>
            <w:vAlign w:val="center"/>
          </w:tcPr>
          <w:p w14:paraId="3A0FC1A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b/>
                <w:color w:val="auto"/>
                <w:kern w:val="0"/>
                <w:sz w:val="21"/>
                <w:szCs w:val="21"/>
                <w:highlight w:val="none"/>
              </w:rPr>
            </w:pPr>
            <w:r>
              <w:rPr>
                <w:rFonts w:hint="eastAsia" w:ascii="方正仿宋_GBK" w:hAnsi="宋体" w:eastAsia="方正仿宋_GBK" w:cs="宋体"/>
                <w:b/>
                <w:color w:val="auto"/>
                <w:kern w:val="0"/>
                <w:sz w:val="21"/>
                <w:szCs w:val="21"/>
                <w:highlight w:val="none"/>
              </w:rPr>
              <w:t>评审因素</w:t>
            </w:r>
          </w:p>
        </w:tc>
        <w:tc>
          <w:tcPr>
            <w:tcW w:w="5836" w:type="dxa"/>
            <w:vAlign w:val="center"/>
          </w:tcPr>
          <w:p w14:paraId="1C058B6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b/>
                <w:color w:val="auto"/>
                <w:kern w:val="0"/>
                <w:sz w:val="21"/>
                <w:szCs w:val="21"/>
                <w:highlight w:val="none"/>
              </w:rPr>
            </w:pPr>
            <w:r>
              <w:rPr>
                <w:rFonts w:hint="eastAsia" w:ascii="方正仿宋_GBK" w:hAnsi="宋体" w:eastAsia="方正仿宋_GBK" w:cs="宋体"/>
                <w:b/>
                <w:color w:val="auto"/>
                <w:kern w:val="0"/>
                <w:sz w:val="21"/>
                <w:szCs w:val="21"/>
                <w:highlight w:val="none"/>
              </w:rPr>
              <w:t>评审标准</w:t>
            </w:r>
          </w:p>
        </w:tc>
      </w:tr>
      <w:tr w14:paraId="0680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vAlign w:val="center"/>
          </w:tcPr>
          <w:p w14:paraId="03800F4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1</w:t>
            </w:r>
          </w:p>
        </w:tc>
        <w:tc>
          <w:tcPr>
            <w:tcW w:w="1562" w:type="dxa"/>
            <w:vMerge w:val="restart"/>
            <w:vAlign w:val="center"/>
          </w:tcPr>
          <w:p w14:paraId="29238DC9">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有效性审查</w:t>
            </w:r>
          </w:p>
        </w:tc>
        <w:tc>
          <w:tcPr>
            <w:tcW w:w="1557" w:type="dxa"/>
            <w:vAlign w:val="center"/>
          </w:tcPr>
          <w:p w14:paraId="7B724617">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olor w:val="auto"/>
                <w:sz w:val="21"/>
                <w:szCs w:val="21"/>
                <w:highlight w:val="none"/>
              </w:rPr>
              <w:t>投标文件签署或盖章</w:t>
            </w:r>
          </w:p>
        </w:tc>
        <w:tc>
          <w:tcPr>
            <w:tcW w:w="5836" w:type="dxa"/>
            <w:vAlign w:val="center"/>
          </w:tcPr>
          <w:p w14:paraId="5ACD33FD">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olor w:val="auto"/>
                <w:sz w:val="21"/>
                <w:szCs w:val="21"/>
                <w:highlight w:val="none"/>
              </w:rPr>
              <w:t>投标文件上法定代表人（或其授权代表）或自然人（投标人为自然人）的签署或盖章齐全。</w:t>
            </w:r>
          </w:p>
        </w:tc>
      </w:tr>
      <w:tr w14:paraId="0C922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Merge w:val="continue"/>
            <w:vAlign w:val="center"/>
          </w:tcPr>
          <w:p w14:paraId="2A49EC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color w:val="auto"/>
                <w:kern w:val="0"/>
                <w:sz w:val="21"/>
                <w:szCs w:val="21"/>
                <w:highlight w:val="none"/>
              </w:rPr>
            </w:pPr>
          </w:p>
        </w:tc>
        <w:tc>
          <w:tcPr>
            <w:tcW w:w="1562" w:type="dxa"/>
            <w:vMerge w:val="continue"/>
            <w:vAlign w:val="center"/>
          </w:tcPr>
          <w:p w14:paraId="0C74A457">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p>
        </w:tc>
        <w:tc>
          <w:tcPr>
            <w:tcW w:w="1557" w:type="dxa"/>
            <w:vAlign w:val="center"/>
          </w:tcPr>
          <w:p w14:paraId="53E474BB">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仿宋_GB2312"/>
                <w:color w:val="auto"/>
                <w:sz w:val="21"/>
                <w:szCs w:val="21"/>
                <w:highlight w:val="none"/>
                <w:lang w:val="zh-CN"/>
              </w:rPr>
            </w:pPr>
            <w:r>
              <w:rPr>
                <w:rFonts w:hint="eastAsia" w:ascii="方正仿宋_GBK" w:hAnsi="宋体" w:eastAsia="方正仿宋_GBK" w:cs="仿宋_GB2312"/>
                <w:color w:val="auto"/>
                <w:sz w:val="21"/>
                <w:szCs w:val="21"/>
                <w:highlight w:val="none"/>
                <w:lang w:val="zh-CN"/>
              </w:rPr>
              <w:t>投标方案</w:t>
            </w:r>
          </w:p>
        </w:tc>
        <w:tc>
          <w:tcPr>
            <w:tcW w:w="5836" w:type="dxa"/>
            <w:vAlign w:val="center"/>
          </w:tcPr>
          <w:p w14:paraId="7CDBEC0F">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仿宋_GB2312"/>
                <w:color w:val="auto"/>
                <w:sz w:val="21"/>
                <w:szCs w:val="21"/>
                <w:highlight w:val="none"/>
                <w:lang w:val="zh-CN"/>
              </w:rPr>
              <w:t>每个包只能有一个方案投标。</w:t>
            </w:r>
          </w:p>
        </w:tc>
      </w:tr>
      <w:tr w14:paraId="307E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14:paraId="341C75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color w:val="auto"/>
                <w:kern w:val="0"/>
                <w:sz w:val="21"/>
                <w:szCs w:val="21"/>
                <w:highlight w:val="none"/>
              </w:rPr>
            </w:pPr>
          </w:p>
        </w:tc>
        <w:tc>
          <w:tcPr>
            <w:tcW w:w="1562" w:type="dxa"/>
            <w:vMerge w:val="continue"/>
            <w:vAlign w:val="center"/>
          </w:tcPr>
          <w:p w14:paraId="0019EE04">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p>
        </w:tc>
        <w:tc>
          <w:tcPr>
            <w:tcW w:w="1557" w:type="dxa"/>
            <w:vAlign w:val="center"/>
          </w:tcPr>
          <w:p w14:paraId="10C41221">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仿宋_GB2312"/>
                <w:color w:val="auto"/>
                <w:sz w:val="21"/>
                <w:szCs w:val="21"/>
                <w:highlight w:val="none"/>
                <w:lang w:val="zh-CN"/>
              </w:rPr>
            </w:pPr>
            <w:r>
              <w:rPr>
                <w:rFonts w:hint="eastAsia" w:ascii="方正仿宋_GBK" w:hAnsi="宋体" w:eastAsia="方正仿宋_GBK"/>
                <w:color w:val="auto"/>
                <w:sz w:val="21"/>
                <w:szCs w:val="21"/>
                <w:highlight w:val="none"/>
              </w:rPr>
              <w:t>报价唯一</w:t>
            </w:r>
          </w:p>
        </w:tc>
        <w:tc>
          <w:tcPr>
            <w:tcW w:w="5836" w:type="dxa"/>
            <w:vAlign w:val="center"/>
          </w:tcPr>
          <w:p w14:paraId="552A7796">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仿宋" w:eastAsia="方正仿宋_GBK" w:cs="仿宋_GB2312"/>
                <w:color w:val="auto"/>
                <w:sz w:val="21"/>
                <w:szCs w:val="21"/>
                <w:highlight w:val="none"/>
                <w:lang w:val="zh-CN"/>
              </w:rPr>
              <w:t>只能在预算金额和最高限价内报价，</w:t>
            </w:r>
            <w:r>
              <w:rPr>
                <w:rFonts w:hint="eastAsia" w:ascii="方正仿宋_GBK" w:hAnsi="仿宋" w:eastAsia="方正仿宋_GBK"/>
                <w:color w:val="auto"/>
                <w:sz w:val="21"/>
                <w:szCs w:val="21"/>
                <w:highlight w:val="none"/>
              </w:rPr>
              <w:t>只能有一个有效报价，不得提交选择性报价。</w:t>
            </w:r>
          </w:p>
        </w:tc>
      </w:tr>
      <w:tr w14:paraId="0B49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14:paraId="3DCFAD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2</w:t>
            </w:r>
          </w:p>
        </w:tc>
        <w:tc>
          <w:tcPr>
            <w:tcW w:w="1562" w:type="dxa"/>
            <w:vAlign w:val="center"/>
          </w:tcPr>
          <w:p w14:paraId="3CE00618">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完整性审查</w:t>
            </w:r>
          </w:p>
        </w:tc>
        <w:tc>
          <w:tcPr>
            <w:tcW w:w="1557" w:type="dxa"/>
            <w:vAlign w:val="center"/>
          </w:tcPr>
          <w:p w14:paraId="0F4BA8B2">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仿宋_GB2312"/>
                <w:color w:val="auto"/>
                <w:sz w:val="21"/>
                <w:szCs w:val="21"/>
                <w:highlight w:val="none"/>
                <w:lang w:val="zh-CN"/>
              </w:rPr>
              <w:t>投标文件份数</w:t>
            </w:r>
          </w:p>
        </w:tc>
        <w:tc>
          <w:tcPr>
            <w:tcW w:w="5836" w:type="dxa"/>
            <w:vAlign w:val="center"/>
          </w:tcPr>
          <w:p w14:paraId="71C875D6">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仿宋_GB2312"/>
                <w:color w:val="auto"/>
                <w:sz w:val="21"/>
                <w:szCs w:val="21"/>
                <w:highlight w:val="none"/>
                <w:lang w:val="zh-CN"/>
              </w:rPr>
              <w:t>投标文件正、副本数量（含电子文档）符合招标文件要求。</w:t>
            </w:r>
          </w:p>
        </w:tc>
      </w:tr>
      <w:tr w14:paraId="03CAC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14:paraId="60F2B72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3</w:t>
            </w:r>
          </w:p>
        </w:tc>
        <w:tc>
          <w:tcPr>
            <w:tcW w:w="1562" w:type="dxa"/>
            <w:vAlign w:val="center"/>
          </w:tcPr>
          <w:p w14:paraId="37E36997">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技术部分</w:t>
            </w:r>
          </w:p>
        </w:tc>
        <w:tc>
          <w:tcPr>
            <w:tcW w:w="1557" w:type="dxa"/>
            <w:vAlign w:val="center"/>
          </w:tcPr>
          <w:p w14:paraId="66A6A73A">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投标文件内容</w:t>
            </w:r>
          </w:p>
        </w:tc>
        <w:tc>
          <w:tcPr>
            <w:tcW w:w="5836" w:type="dxa"/>
            <w:vAlign w:val="center"/>
          </w:tcPr>
          <w:p w14:paraId="773BD4E1">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本招标文件第二篇中（※）号标注的部分。</w:t>
            </w:r>
          </w:p>
        </w:tc>
      </w:tr>
      <w:tr w14:paraId="08887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14:paraId="5CCFD2D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4</w:t>
            </w:r>
          </w:p>
        </w:tc>
        <w:tc>
          <w:tcPr>
            <w:tcW w:w="1562" w:type="dxa"/>
            <w:vAlign w:val="center"/>
          </w:tcPr>
          <w:p w14:paraId="24525255">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商务部分</w:t>
            </w:r>
          </w:p>
        </w:tc>
        <w:tc>
          <w:tcPr>
            <w:tcW w:w="1557" w:type="dxa"/>
            <w:vAlign w:val="center"/>
          </w:tcPr>
          <w:p w14:paraId="5B21440B">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投标文件内容</w:t>
            </w:r>
          </w:p>
        </w:tc>
        <w:tc>
          <w:tcPr>
            <w:tcW w:w="5836" w:type="dxa"/>
            <w:vAlign w:val="center"/>
          </w:tcPr>
          <w:p w14:paraId="4F838B5E">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本招标文件第三篇中（※）号标注的部分。</w:t>
            </w:r>
          </w:p>
        </w:tc>
      </w:tr>
      <w:tr w14:paraId="58847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5" w:type="dxa"/>
            <w:vAlign w:val="center"/>
          </w:tcPr>
          <w:p w14:paraId="0B2BD41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5</w:t>
            </w:r>
          </w:p>
        </w:tc>
        <w:tc>
          <w:tcPr>
            <w:tcW w:w="1562" w:type="dxa"/>
            <w:vAlign w:val="center"/>
          </w:tcPr>
          <w:p w14:paraId="6D65F036">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投标有效期</w:t>
            </w:r>
          </w:p>
        </w:tc>
        <w:tc>
          <w:tcPr>
            <w:tcW w:w="1557" w:type="dxa"/>
            <w:vAlign w:val="center"/>
          </w:tcPr>
          <w:p w14:paraId="1A8AC3C8">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投标文件内容</w:t>
            </w:r>
          </w:p>
        </w:tc>
        <w:tc>
          <w:tcPr>
            <w:tcW w:w="5836" w:type="dxa"/>
            <w:vAlign w:val="center"/>
          </w:tcPr>
          <w:p w14:paraId="02A26605">
            <w:pPr>
              <w:keepNext w:val="0"/>
              <w:keepLines w:val="0"/>
              <w:pageBreakBefore w:val="0"/>
              <w:widowControl w:val="0"/>
              <w:kinsoku/>
              <w:wordWrap/>
              <w:overflowPunct/>
              <w:topLinePunct w:val="0"/>
              <w:autoSpaceDE/>
              <w:autoSpaceDN/>
              <w:bidi w:val="0"/>
              <w:adjustRightInd/>
              <w:snapToGrid/>
              <w:spacing w:line="360" w:lineRule="exact"/>
              <w:textAlignment w:val="auto"/>
              <w:rPr>
                <w:rFonts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投标有效期为投标截止时间起90天。</w:t>
            </w:r>
          </w:p>
        </w:tc>
      </w:tr>
    </w:tbl>
    <w:p w14:paraId="12877B2E">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364" w:name="_Toc28549"/>
      <w:bookmarkStart w:id="365" w:name="_Toc14824"/>
      <w:bookmarkStart w:id="366" w:name="_Toc29140"/>
      <w:bookmarkStart w:id="367" w:name="_Toc20171"/>
      <w:bookmarkStart w:id="368" w:name="_Toc26796"/>
      <w:bookmarkStart w:id="369" w:name="_Toc9094"/>
      <w:bookmarkStart w:id="370" w:name="_Toc27015"/>
      <w:bookmarkStart w:id="371" w:name="_Toc75793519"/>
      <w:bookmarkStart w:id="372" w:name="_Toc31997"/>
      <w:bookmarkStart w:id="373" w:name="_Toc21650"/>
      <w:bookmarkStart w:id="374" w:name="_Toc27633"/>
      <w:bookmarkStart w:id="375" w:name="_Toc30011"/>
      <w:bookmarkStart w:id="376" w:name="_Toc30717"/>
      <w:bookmarkStart w:id="377" w:name="_Toc25341"/>
      <w:bookmarkStart w:id="378" w:name="_Toc5620"/>
      <w:bookmarkStart w:id="379" w:name="_Toc9240"/>
      <w:r>
        <w:rPr>
          <w:rFonts w:hint="eastAsia" w:ascii="方正仿宋_GBK" w:eastAsia="方正仿宋_GBK"/>
          <w:b/>
          <w:color w:val="auto"/>
          <w:szCs w:val="21"/>
          <w:highlight w:val="none"/>
        </w:rPr>
        <w:t>二、评标方法</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37879B31">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本项目采用综合评分法进行评标。</w:t>
      </w:r>
    </w:p>
    <w:p w14:paraId="7895A4DE">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另有4分为政策性加分。</w:t>
      </w:r>
    </w:p>
    <w:p w14:paraId="324EFD2E">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或自然人（投标人为自然人）签字，其澄清的内容不得超出投标文件的范围或者改变投标文件的实质性内容。</w:t>
      </w:r>
    </w:p>
    <w:p w14:paraId="6A9339D0">
      <w:pPr>
        <w:keepNext w:val="0"/>
        <w:keepLines w:val="0"/>
        <w:pageBreakBefore w:val="0"/>
        <w:widowControl w:val="0"/>
        <w:kinsoku/>
        <w:wordWrap/>
        <w:overflowPunct/>
        <w:topLinePunct w:val="0"/>
        <w:autoSpaceDE/>
        <w:autoSpaceDN/>
        <w:bidi w:val="0"/>
        <w:adjustRightInd/>
        <w:snapToGrid w:val="0"/>
        <w:spacing w:line="380" w:lineRule="exact"/>
        <w:ind w:firstLine="482" w:firstLineChars="200"/>
        <w:textAlignment w:val="auto"/>
        <w:rPr>
          <w:rFonts w:ascii="方正仿宋_GBK" w:hAnsi="宋体" w:eastAsia="方正仿宋_GBK"/>
          <w:b/>
          <w:color w:val="auto"/>
          <w:sz w:val="24"/>
          <w:szCs w:val="24"/>
          <w:highlight w:val="none"/>
        </w:rPr>
      </w:pPr>
      <w:r>
        <w:rPr>
          <w:rFonts w:hint="eastAsia" w:ascii="方正仿宋_GBK" w:hAnsi="宋体" w:eastAsia="方正仿宋_GBK"/>
          <w:b/>
          <w:color w:val="auto"/>
          <w:sz w:val="24"/>
          <w:szCs w:val="24"/>
          <w:highlight w:val="none"/>
        </w:rPr>
        <w:t>综合评分法：</w:t>
      </w:r>
    </w:p>
    <w:p w14:paraId="3B66197B">
      <w:pPr>
        <w:keepNext w:val="0"/>
        <w:keepLines w:val="0"/>
        <w:pageBreakBefore w:val="0"/>
        <w:widowControl w:val="0"/>
        <w:kinsoku/>
        <w:wordWrap/>
        <w:overflowPunct/>
        <w:topLinePunct w:val="0"/>
        <w:autoSpaceDE/>
        <w:autoSpaceDN/>
        <w:bidi w:val="0"/>
        <w:adjustRightInd/>
        <w:snapToGrid w:val="0"/>
        <w:spacing w:line="380" w:lineRule="exact"/>
        <w:ind w:firstLine="482" w:firstLineChars="200"/>
        <w:textAlignment w:val="auto"/>
        <w:rPr>
          <w:rFonts w:ascii="方正仿宋_GBK" w:hAnsi="宋体" w:eastAsia="方正仿宋_GBK"/>
          <w:color w:val="auto"/>
          <w:sz w:val="24"/>
          <w:szCs w:val="24"/>
          <w:highlight w:val="none"/>
        </w:rPr>
      </w:pPr>
      <w:r>
        <w:rPr>
          <w:rFonts w:hint="eastAsia" w:ascii="方正仿宋_GBK" w:hAnsi="宋体" w:eastAsia="方正仿宋_GBK"/>
          <w:b/>
          <w:bCs/>
          <w:color w:val="auto"/>
          <w:sz w:val="24"/>
          <w:szCs w:val="24"/>
          <w:highlight w:val="none"/>
        </w:rPr>
        <w:t>（一）比较与评价。</w:t>
      </w:r>
      <w:r>
        <w:rPr>
          <w:rFonts w:hint="eastAsia" w:ascii="方正仿宋_GBK" w:hAnsi="宋体" w:eastAsia="方正仿宋_GBK"/>
          <w:color w:val="auto"/>
          <w:sz w:val="24"/>
          <w:szCs w:val="24"/>
          <w:highlight w:val="none"/>
        </w:rPr>
        <w:t>按招标文件中规定的评标方法和标准，对资格审查和符合性审查合格的投标文件进行商务和技术评估。</w:t>
      </w:r>
    </w:p>
    <w:p w14:paraId="6444E6B7">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2187C0A0">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4BC9D0A5">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复核后，评标委员会汇总每个投标人每项评分因素的得分。</w:t>
      </w:r>
    </w:p>
    <w:p w14:paraId="111F5FD0">
      <w:pPr>
        <w:keepNext w:val="0"/>
        <w:keepLines w:val="0"/>
        <w:pageBreakBefore w:val="0"/>
        <w:widowControl w:val="0"/>
        <w:kinsoku/>
        <w:wordWrap/>
        <w:overflowPunct/>
        <w:topLinePunct w:val="0"/>
        <w:autoSpaceDE/>
        <w:autoSpaceDN/>
        <w:bidi w:val="0"/>
        <w:adjustRightInd/>
        <w:snapToGrid w:val="0"/>
        <w:spacing w:line="380" w:lineRule="exact"/>
        <w:ind w:firstLine="482" w:firstLineChars="200"/>
        <w:textAlignment w:val="auto"/>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（二）推荐中标候选人名单。</w:t>
      </w:r>
    </w:p>
    <w:p w14:paraId="637BC5C0">
      <w:pPr>
        <w:keepNext w:val="0"/>
        <w:keepLines w:val="0"/>
        <w:pageBreakBefore w:val="0"/>
        <w:widowControl w:val="0"/>
        <w:kinsoku/>
        <w:wordWrap/>
        <w:overflowPunct/>
        <w:topLinePunct w:val="0"/>
        <w:autoSpaceDE/>
        <w:autoSpaceDN/>
        <w:bidi w:val="0"/>
        <w:adjustRightInd/>
        <w:snapToGrid w:val="0"/>
        <w:spacing w:line="380" w:lineRule="exact"/>
        <w:ind w:firstLine="480" w:firstLineChars="200"/>
        <w:textAlignment w:val="auto"/>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按评审后得分由高到低的排列顺序推荐综合得分排名前三的投标人为本包（项目）中标候选人，排名第一的为第一中标候选人。得分相同的，按投标报价由低到高顺序排列。得分且投标报价相同的并列。技术（质量）部分得分为0分的投标人，将失去成为中标候选人的资格。</w:t>
      </w:r>
    </w:p>
    <w:p w14:paraId="0CBF15A0">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380" w:name="_Toc19924"/>
      <w:bookmarkStart w:id="381" w:name="_Toc17116"/>
      <w:bookmarkStart w:id="382" w:name="_Toc15716"/>
      <w:bookmarkStart w:id="383" w:name="_Toc22772"/>
      <w:bookmarkStart w:id="384" w:name="_Toc17311"/>
      <w:bookmarkStart w:id="385" w:name="_Toc267320057"/>
      <w:bookmarkStart w:id="386" w:name="_Toc20800"/>
      <w:bookmarkStart w:id="387" w:name="_Toc5799"/>
      <w:bookmarkStart w:id="388" w:name="_Toc25814"/>
      <w:bookmarkStart w:id="389" w:name="_Toc75793520"/>
      <w:bookmarkStart w:id="390" w:name="_Toc20699"/>
      <w:bookmarkStart w:id="391" w:name="_Toc6342"/>
      <w:bookmarkStart w:id="392" w:name="_Toc1055"/>
      <w:bookmarkStart w:id="393" w:name="_Toc4511"/>
      <w:bookmarkStart w:id="394" w:name="_Toc20354"/>
      <w:bookmarkStart w:id="395" w:name="_Toc20875"/>
      <w:bookmarkStart w:id="396" w:name="_Toc15125"/>
      <w:r>
        <w:rPr>
          <w:rFonts w:hint="eastAsia" w:ascii="方正仿宋_GBK" w:eastAsia="方正仿宋_GBK"/>
          <w:b/>
          <w:color w:val="auto"/>
          <w:szCs w:val="21"/>
          <w:highlight w:val="none"/>
        </w:rPr>
        <w:t>三、评标标准</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00755070">
      <w:pPr>
        <w:snapToGrid w:val="0"/>
        <w:spacing w:line="400" w:lineRule="exact"/>
        <w:ind w:firstLine="482" w:firstLineChars="200"/>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（一）评审因素</w:t>
      </w:r>
    </w:p>
    <w:tbl>
      <w:tblPr>
        <w:tblStyle w:val="58"/>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12"/>
        <w:gridCol w:w="1235"/>
        <w:gridCol w:w="4819"/>
        <w:gridCol w:w="2324"/>
      </w:tblGrid>
      <w:tr w14:paraId="2AE8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vAlign w:val="center"/>
          </w:tcPr>
          <w:p w14:paraId="130F41C9">
            <w:pPr>
              <w:keepNext w:val="0"/>
              <w:keepLines w:val="0"/>
              <w:pageBreakBefore w:val="0"/>
              <w:widowControl/>
              <w:kinsoku/>
              <w:wordWrap/>
              <w:overflowPunct/>
              <w:topLinePunct w:val="0"/>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kern w:val="0"/>
                <w:sz w:val="22"/>
                <w:szCs w:val="22"/>
                <w:highlight w:val="none"/>
              </w:rPr>
              <w:t>序号</w:t>
            </w:r>
          </w:p>
        </w:tc>
        <w:tc>
          <w:tcPr>
            <w:tcW w:w="1012" w:type="dxa"/>
            <w:noWrap w:val="0"/>
            <w:vAlign w:val="center"/>
          </w:tcPr>
          <w:p w14:paraId="58923C06">
            <w:pPr>
              <w:keepNext w:val="0"/>
              <w:keepLines w:val="0"/>
              <w:pageBreakBefore w:val="0"/>
              <w:widowControl/>
              <w:kinsoku/>
              <w:wordWrap/>
              <w:overflowPunct/>
              <w:topLinePunct w:val="0"/>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spacing w:val="-11"/>
                <w:kern w:val="0"/>
                <w:sz w:val="22"/>
                <w:szCs w:val="22"/>
                <w:highlight w:val="none"/>
              </w:rPr>
              <w:t>评分因素及权重</w:t>
            </w:r>
          </w:p>
        </w:tc>
        <w:tc>
          <w:tcPr>
            <w:tcW w:w="1235" w:type="dxa"/>
            <w:noWrap w:val="0"/>
            <w:vAlign w:val="center"/>
          </w:tcPr>
          <w:p w14:paraId="070DA697">
            <w:pPr>
              <w:keepNext w:val="0"/>
              <w:keepLines w:val="0"/>
              <w:pageBreakBefore w:val="0"/>
              <w:widowControl/>
              <w:kinsoku/>
              <w:wordWrap/>
              <w:overflowPunct/>
              <w:topLinePunct w:val="0"/>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kern w:val="0"/>
                <w:sz w:val="22"/>
                <w:szCs w:val="22"/>
                <w:highlight w:val="none"/>
              </w:rPr>
              <w:t>分值</w:t>
            </w:r>
          </w:p>
        </w:tc>
        <w:tc>
          <w:tcPr>
            <w:tcW w:w="4819" w:type="dxa"/>
            <w:noWrap w:val="0"/>
            <w:vAlign w:val="center"/>
          </w:tcPr>
          <w:p w14:paraId="305BB102">
            <w:pPr>
              <w:keepNext w:val="0"/>
              <w:keepLines w:val="0"/>
              <w:pageBreakBefore w:val="0"/>
              <w:widowControl/>
              <w:kinsoku/>
              <w:wordWrap/>
              <w:overflowPunct/>
              <w:topLinePunct w:val="0"/>
              <w:autoSpaceDE/>
              <w:autoSpaceDN/>
              <w:bidi w:val="0"/>
              <w:spacing w:line="320" w:lineRule="exact"/>
              <w:jc w:val="center"/>
              <w:textAlignment w:val="auto"/>
              <w:rPr>
                <w:rFonts w:hint="eastAsia" w:ascii="方正仿宋_GBK" w:hAnsi="方正仿宋_GBK" w:eastAsia="方正仿宋_GBK" w:cs="方正仿宋_GBK"/>
                <w:b/>
                <w:color w:val="auto"/>
                <w:sz w:val="22"/>
                <w:szCs w:val="22"/>
                <w:highlight w:val="none"/>
              </w:rPr>
            </w:pPr>
            <w:r>
              <w:rPr>
                <w:rFonts w:hint="eastAsia" w:ascii="方正仿宋_GBK" w:hAnsi="方正仿宋_GBK" w:eastAsia="方正仿宋_GBK" w:cs="方正仿宋_GBK"/>
                <w:b/>
                <w:bCs/>
                <w:color w:val="auto"/>
                <w:kern w:val="0"/>
                <w:sz w:val="22"/>
                <w:szCs w:val="22"/>
                <w:highlight w:val="none"/>
              </w:rPr>
              <w:t>评分标准</w:t>
            </w:r>
          </w:p>
        </w:tc>
        <w:tc>
          <w:tcPr>
            <w:tcW w:w="2324" w:type="dxa"/>
            <w:noWrap w:val="0"/>
            <w:vAlign w:val="center"/>
          </w:tcPr>
          <w:p w14:paraId="72E6ADE7">
            <w:pPr>
              <w:keepNext w:val="0"/>
              <w:keepLines w:val="0"/>
              <w:pageBreakBefore w:val="0"/>
              <w:widowControl/>
              <w:kinsoku/>
              <w:wordWrap/>
              <w:overflowPunct/>
              <w:topLinePunct w:val="0"/>
              <w:autoSpaceDE/>
              <w:autoSpaceDN/>
              <w:bidi w:val="0"/>
              <w:spacing w:line="320" w:lineRule="exact"/>
              <w:jc w:val="center"/>
              <w:textAlignment w:val="auto"/>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b/>
                <w:bCs/>
                <w:color w:val="auto"/>
                <w:kern w:val="0"/>
                <w:sz w:val="22"/>
                <w:szCs w:val="22"/>
                <w:highlight w:val="none"/>
              </w:rPr>
              <w:t>说明</w:t>
            </w:r>
          </w:p>
        </w:tc>
      </w:tr>
      <w:tr w14:paraId="708E8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vAlign w:val="center"/>
          </w:tcPr>
          <w:p w14:paraId="559F9348">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color w:val="auto"/>
                <w:kern w:val="0"/>
                <w:sz w:val="22"/>
                <w:szCs w:val="22"/>
                <w:highlight w:val="none"/>
              </w:rPr>
              <w:t>1</w:t>
            </w:r>
          </w:p>
        </w:tc>
        <w:tc>
          <w:tcPr>
            <w:tcW w:w="1012" w:type="dxa"/>
            <w:noWrap w:val="0"/>
            <w:vAlign w:val="center"/>
          </w:tcPr>
          <w:p w14:paraId="4624F6B9">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kern w:val="0"/>
                <w:sz w:val="22"/>
                <w:szCs w:val="22"/>
                <w:highlight w:val="none"/>
              </w:rPr>
            </w:pPr>
            <w:r>
              <w:rPr>
                <w:rFonts w:hint="eastAsia" w:ascii="方正仿宋_GBK" w:hAnsi="方正仿宋_GBK" w:eastAsia="方正仿宋_GBK" w:cs="方正仿宋_GBK"/>
                <w:b/>
                <w:bCs/>
                <w:color w:val="auto"/>
                <w:spacing w:val="-11"/>
                <w:kern w:val="0"/>
                <w:sz w:val="22"/>
                <w:szCs w:val="22"/>
                <w:highlight w:val="none"/>
              </w:rPr>
              <w:t>投标报价（3</w:t>
            </w:r>
            <w:r>
              <w:rPr>
                <w:rFonts w:hint="eastAsia" w:ascii="方正仿宋_GBK" w:hAnsi="方正仿宋_GBK" w:eastAsia="方正仿宋_GBK" w:cs="方正仿宋_GBK"/>
                <w:b/>
                <w:bCs/>
                <w:color w:val="auto"/>
                <w:spacing w:val="-11"/>
                <w:kern w:val="0"/>
                <w:sz w:val="22"/>
                <w:szCs w:val="22"/>
                <w:highlight w:val="none"/>
                <w:lang w:val="en-US" w:eastAsia="zh-CN"/>
              </w:rPr>
              <w:t>5</w:t>
            </w:r>
            <w:r>
              <w:rPr>
                <w:rFonts w:hint="eastAsia" w:ascii="方正仿宋_GBK" w:hAnsi="方正仿宋_GBK" w:eastAsia="方正仿宋_GBK" w:cs="方正仿宋_GBK"/>
                <w:b/>
                <w:bCs/>
                <w:color w:val="auto"/>
                <w:spacing w:val="-11"/>
                <w:kern w:val="0"/>
                <w:sz w:val="22"/>
                <w:szCs w:val="22"/>
                <w:highlight w:val="none"/>
              </w:rPr>
              <w:t>%）</w:t>
            </w:r>
          </w:p>
        </w:tc>
        <w:tc>
          <w:tcPr>
            <w:tcW w:w="1235" w:type="dxa"/>
            <w:noWrap w:val="0"/>
            <w:vAlign w:val="center"/>
          </w:tcPr>
          <w:p w14:paraId="57F819EC">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kern w:val="0"/>
                <w:sz w:val="22"/>
                <w:szCs w:val="22"/>
                <w:highlight w:val="none"/>
              </w:rPr>
            </w:pPr>
            <w:r>
              <w:rPr>
                <w:rFonts w:hint="eastAsia" w:ascii="方正仿宋_GBK" w:hAnsi="方正仿宋_GBK" w:eastAsia="方正仿宋_GBK" w:cs="方正仿宋_GBK"/>
                <w:b/>
                <w:bCs/>
                <w:color w:val="auto"/>
                <w:kern w:val="0"/>
                <w:sz w:val="22"/>
                <w:szCs w:val="22"/>
                <w:highlight w:val="none"/>
              </w:rPr>
              <w:t>3</w:t>
            </w:r>
            <w:r>
              <w:rPr>
                <w:rFonts w:hint="eastAsia" w:ascii="方正仿宋_GBK" w:hAnsi="方正仿宋_GBK" w:eastAsia="方正仿宋_GBK" w:cs="方正仿宋_GBK"/>
                <w:b/>
                <w:bCs/>
                <w:color w:val="auto"/>
                <w:kern w:val="0"/>
                <w:sz w:val="22"/>
                <w:szCs w:val="22"/>
                <w:highlight w:val="none"/>
                <w:lang w:val="en-US" w:eastAsia="zh-CN"/>
              </w:rPr>
              <w:t>5</w:t>
            </w:r>
            <w:r>
              <w:rPr>
                <w:rFonts w:hint="eastAsia" w:ascii="方正仿宋_GBK" w:hAnsi="方正仿宋_GBK" w:eastAsia="方正仿宋_GBK" w:cs="方正仿宋_GBK"/>
                <w:b/>
                <w:bCs/>
                <w:color w:val="auto"/>
                <w:kern w:val="0"/>
                <w:sz w:val="22"/>
                <w:szCs w:val="22"/>
                <w:highlight w:val="none"/>
              </w:rPr>
              <w:t>分</w:t>
            </w:r>
          </w:p>
        </w:tc>
        <w:tc>
          <w:tcPr>
            <w:tcW w:w="4819" w:type="dxa"/>
            <w:noWrap w:val="0"/>
            <w:vAlign w:val="center"/>
          </w:tcPr>
          <w:p w14:paraId="7BC145A4">
            <w:pPr>
              <w:keepNext w:val="0"/>
              <w:keepLines w:val="0"/>
              <w:pageBreakBefore w:val="0"/>
              <w:widowControl w:val="0"/>
              <w:kinsoku/>
              <w:wordWrap/>
              <w:overflowPunct/>
              <w:topLinePunct w:val="0"/>
              <w:autoSpaceDE/>
              <w:autoSpaceDN/>
              <w:bidi w:val="0"/>
              <w:spacing w:line="320" w:lineRule="exact"/>
              <w:ind w:firstLine="416" w:firstLineChars="200"/>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有效的投标报价中的最低价为评标基准价，其价格分为满分。其他投标人的价格分统一按照下列公式计算：</w:t>
            </w:r>
          </w:p>
          <w:p w14:paraId="3A50E3C6">
            <w:pPr>
              <w:keepNext w:val="0"/>
              <w:keepLines w:val="0"/>
              <w:pageBreakBefore w:val="0"/>
              <w:widowControl w:val="0"/>
              <w:kinsoku/>
              <w:wordWrap/>
              <w:overflowPunct/>
              <w:topLinePunct w:val="0"/>
              <w:autoSpaceDE/>
              <w:autoSpaceDN/>
              <w:bidi w:val="0"/>
              <w:spacing w:line="320" w:lineRule="exact"/>
              <w:ind w:firstLine="416" w:firstLineChars="200"/>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投标报价得分＝（评标基准价/投标报价）×价格权重×100。</w:t>
            </w:r>
          </w:p>
        </w:tc>
        <w:tc>
          <w:tcPr>
            <w:tcW w:w="2324" w:type="dxa"/>
            <w:noWrap w:val="0"/>
            <w:vAlign w:val="center"/>
          </w:tcPr>
          <w:p w14:paraId="6B4674FA">
            <w:pPr>
              <w:keepNext w:val="0"/>
              <w:keepLines w:val="0"/>
              <w:pageBreakBefore w:val="0"/>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z w:val="22"/>
                <w:szCs w:val="22"/>
                <w:highlight w:val="none"/>
                <w:lang w:eastAsia="zh-CN"/>
              </w:rPr>
            </w:pPr>
            <w:r>
              <w:rPr>
                <w:rFonts w:hint="eastAsia" w:ascii="方正仿宋_GBK" w:hAnsi="方正仿宋_GBK" w:eastAsia="方正仿宋_GBK" w:cs="方正仿宋_GBK"/>
                <w:color w:val="auto"/>
                <w:sz w:val="22"/>
                <w:szCs w:val="22"/>
                <w:highlight w:val="none"/>
              </w:rPr>
              <w:t>对小微企业的价格用扣除后的价格参与评审，详见“（二）关于小微企业报价扣除比例说明</w:t>
            </w:r>
            <w:r>
              <w:rPr>
                <w:rFonts w:hint="eastAsia" w:ascii="方正仿宋_GBK" w:hAnsi="方正仿宋_GBK" w:eastAsia="方正仿宋_GBK" w:cs="方正仿宋_GBK"/>
                <w:color w:val="auto"/>
                <w:sz w:val="22"/>
                <w:szCs w:val="22"/>
                <w:highlight w:val="none"/>
                <w:lang w:eastAsia="zh-CN"/>
              </w:rPr>
              <w:t>”</w:t>
            </w:r>
          </w:p>
        </w:tc>
      </w:tr>
      <w:tr w14:paraId="270B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vMerge w:val="restart"/>
            <w:noWrap w:val="0"/>
            <w:vAlign w:val="center"/>
          </w:tcPr>
          <w:p w14:paraId="195F452B">
            <w:pPr>
              <w:keepNext w:val="0"/>
              <w:keepLines w:val="0"/>
              <w:pageBreakBefore w:val="0"/>
              <w:widowControl/>
              <w:kinsoku/>
              <w:wordWrap/>
              <w:overflowPunct/>
              <w:topLinePunct w:val="0"/>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kern w:val="0"/>
                <w:sz w:val="22"/>
                <w:szCs w:val="22"/>
                <w:highlight w:val="none"/>
              </w:rPr>
              <w:t>2</w:t>
            </w:r>
          </w:p>
        </w:tc>
        <w:tc>
          <w:tcPr>
            <w:tcW w:w="1012" w:type="dxa"/>
            <w:vMerge w:val="restart"/>
            <w:noWrap w:val="0"/>
            <w:vAlign w:val="center"/>
          </w:tcPr>
          <w:p w14:paraId="0F9626AB">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spacing w:val="-11"/>
                <w:kern w:val="0"/>
                <w:sz w:val="22"/>
                <w:szCs w:val="22"/>
                <w:highlight w:val="none"/>
              </w:rPr>
              <w:t>技术（质量）部分（</w:t>
            </w:r>
            <w:r>
              <w:rPr>
                <w:rFonts w:hint="eastAsia" w:ascii="方正仿宋_GBK" w:hAnsi="方正仿宋_GBK" w:eastAsia="方正仿宋_GBK" w:cs="方正仿宋_GBK"/>
                <w:b/>
                <w:bCs/>
                <w:color w:val="auto"/>
                <w:spacing w:val="-11"/>
                <w:kern w:val="0"/>
                <w:sz w:val="22"/>
                <w:szCs w:val="22"/>
                <w:highlight w:val="none"/>
                <w:lang w:val="en-US" w:eastAsia="zh-CN"/>
              </w:rPr>
              <w:t>50</w:t>
            </w:r>
            <w:r>
              <w:rPr>
                <w:rFonts w:hint="eastAsia" w:ascii="方正仿宋_GBK" w:hAnsi="方正仿宋_GBK" w:eastAsia="方正仿宋_GBK" w:cs="方正仿宋_GBK"/>
                <w:b/>
                <w:bCs/>
                <w:color w:val="auto"/>
                <w:spacing w:val="-11"/>
                <w:kern w:val="0"/>
                <w:sz w:val="22"/>
                <w:szCs w:val="22"/>
                <w:highlight w:val="none"/>
              </w:rPr>
              <w:t>%）</w:t>
            </w:r>
          </w:p>
        </w:tc>
        <w:tc>
          <w:tcPr>
            <w:tcW w:w="1235" w:type="dxa"/>
            <w:noWrap w:val="0"/>
            <w:vAlign w:val="center"/>
          </w:tcPr>
          <w:p w14:paraId="72292EC9">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pacing w:val="-11"/>
                <w:kern w:val="0"/>
                <w:sz w:val="22"/>
                <w:szCs w:val="22"/>
                <w:highlight w:val="none"/>
              </w:rPr>
            </w:pPr>
            <w:r>
              <w:rPr>
                <w:rFonts w:hint="eastAsia" w:ascii="方正仿宋_GBK" w:hAnsi="方正仿宋_GBK" w:eastAsia="方正仿宋_GBK" w:cs="方正仿宋_GBK"/>
                <w:b/>
                <w:bCs/>
                <w:color w:val="auto"/>
                <w:spacing w:val="-11"/>
                <w:kern w:val="0"/>
                <w:sz w:val="22"/>
                <w:szCs w:val="22"/>
                <w:highlight w:val="none"/>
              </w:rPr>
              <w:t>技术参数</w:t>
            </w:r>
          </w:p>
          <w:p w14:paraId="56F9E4E8">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spacing w:val="-11"/>
                <w:kern w:val="0"/>
                <w:sz w:val="22"/>
                <w:szCs w:val="22"/>
                <w:highlight w:val="none"/>
              </w:rPr>
              <w:t>（</w:t>
            </w:r>
            <w:r>
              <w:rPr>
                <w:rFonts w:hint="eastAsia" w:ascii="方正仿宋_GBK" w:hAnsi="方正仿宋_GBK" w:eastAsia="方正仿宋_GBK" w:cs="方正仿宋_GBK"/>
                <w:b/>
                <w:bCs/>
                <w:color w:val="auto"/>
                <w:spacing w:val="-11"/>
                <w:kern w:val="0"/>
                <w:sz w:val="22"/>
                <w:szCs w:val="22"/>
                <w:highlight w:val="none"/>
                <w:lang w:val="en-US" w:eastAsia="zh-CN"/>
              </w:rPr>
              <w:t>17</w:t>
            </w:r>
            <w:r>
              <w:rPr>
                <w:rFonts w:hint="eastAsia" w:ascii="方正仿宋_GBK" w:hAnsi="方正仿宋_GBK" w:eastAsia="方正仿宋_GBK" w:cs="方正仿宋_GBK"/>
                <w:b/>
                <w:bCs/>
                <w:color w:val="auto"/>
                <w:spacing w:val="-11"/>
                <w:kern w:val="0"/>
                <w:sz w:val="22"/>
                <w:szCs w:val="22"/>
                <w:highlight w:val="none"/>
              </w:rPr>
              <w:t>分）</w:t>
            </w:r>
          </w:p>
        </w:tc>
        <w:tc>
          <w:tcPr>
            <w:tcW w:w="4819" w:type="dxa"/>
            <w:tcBorders>
              <w:bottom w:val="single" w:color="auto" w:sz="4" w:space="0"/>
            </w:tcBorders>
            <w:noWrap w:val="0"/>
            <w:vAlign w:val="center"/>
          </w:tcPr>
          <w:p w14:paraId="3DCD0806">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1.起评分：</w:t>
            </w:r>
          </w:p>
          <w:p w14:paraId="5D14736D">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有效投标人的起评分为</w:t>
            </w:r>
            <w:r>
              <w:rPr>
                <w:rFonts w:hint="eastAsia" w:ascii="方正仿宋_GBK" w:hAnsi="方正仿宋_GBK" w:eastAsia="方正仿宋_GBK" w:cs="方正仿宋_GBK"/>
                <w:color w:val="auto"/>
                <w:spacing w:val="-6"/>
                <w:sz w:val="22"/>
                <w:szCs w:val="22"/>
                <w:highlight w:val="none"/>
                <w:lang w:val="en-US" w:eastAsia="zh-CN"/>
              </w:rPr>
              <w:t>17</w:t>
            </w:r>
            <w:r>
              <w:rPr>
                <w:rFonts w:hint="eastAsia" w:ascii="方正仿宋_GBK" w:hAnsi="方正仿宋_GBK" w:eastAsia="方正仿宋_GBK" w:cs="方正仿宋_GBK"/>
                <w:color w:val="auto"/>
                <w:spacing w:val="-6"/>
                <w:sz w:val="22"/>
                <w:szCs w:val="22"/>
                <w:highlight w:val="none"/>
              </w:rPr>
              <w:t>分。</w:t>
            </w:r>
          </w:p>
          <w:p w14:paraId="549054BF">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2.扣分条款：</w:t>
            </w:r>
          </w:p>
          <w:p w14:paraId="11E827A9">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2.1“</w:t>
            </w:r>
            <w:r>
              <w:rPr>
                <w:rFonts w:hint="eastAsia" w:ascii="方正仿宋_GBK" w:hAnsi="方正仿宋_GBK" w:eastAsia="方正仿宋_GBK" w:cs="方正仿宋_GBK"/>
                <w:b/>
                <w:bCs/>
                <w:color w:val="auto"/>
                <w:spacing w:val="-6"/>
                <w:sz w:val="22"/>
                <w:szCs w:val="22"/>
                <w:highlight w:val="none"/>
              </w:rPr>
              <w:t>※</w:t>
            </w:r>
            <w:r>
              <w:rPr>
                <w:rFonts w:hint="eastAsia" w:ascii="方正仿宋_GBK" w:hAnsi="方正仿宋_GBK" w:eastAsia="方正仿宋_GBK" w:cs="方正仿宋_GBK"/>
                <w:color w:val="auto"/>
                <w:spacing w:val="-6"/>
                <w:sz w:val="22"/>
                <w:szCs w:val="22"/>
                <w:highlight w:val="none"/>
              </w:rPr>
              <w:t>”号项是本招标文件的核心指标参数，必须逐条响应、全部满足，不允许有缺项或者负偏离，若有一项不满足视为非实质性响应招标文件，按无效投标处理。</w:t>
            </w:r>
          </w:p>
          <w:p w14:paraId="49F81117">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2.2技术参数不满足招标文件重要技术需求的【本招标文件第二篇中带（</w:t>
            </w:r>
            <w:r>
              <w:rPr>
                <w:rFonts w:hint="eastAsia" w:ascii="方正仿宋_GBK" w:hAnsi="方正仿宋_GBK" w:eastAsia="方正仿宋_GBK" w:cs="方正仿宋_GBK"/>
                <w:b/>
                <w:bCs/>
                <w:color w:val="auto"/>
                <w:spacing w:val="-6"/>
                <w:sz w:val="22"/>
                <w:szCs w:val="22"/>
                <w:highlight w:val="none"/>
              </w:rPr>
              <w:t>*</w:t>
            </w:r>
            <w:r>
              <w:rPr>
                <w:rFonts w:hint="eastAsia" w:ascii="方正仿宋_GBK" w:hAnsi="方正仿宋_GBK" w:eastAsia="方正仿宋_GBK" w:cs="方正仿宋_GBK"/>
                <w:color w:val="auto"/>
                <w:spacing w:val="-6"/>
                <w:sz w:val="22"/>
                <w:szCs w:val="22"/>
                <w:highlight w:val="none"/>
              </w:rPr>
              <w:t>）号标注的部分，共计28条】，每负偏离1条，从起评分中扣除0.5分。</w:t>
            </w:r>
          </w:p>
          <w:p w14:paraId="5400393E">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2.3技术参数不满足招标文件一般性技术需求的【本招标文件第二篇中（</w:t>
            </w:r>
            <w:r>
              <w:rPr>
                <w:rFonts w:hint="eastAsia" w:ascii="方正仿宋_GBK" w:hAnsi="方正仿宋_GBK" w:eastAsia="方正仿宋_GBK" w:cs="方正仿宋_GBK"/>
                <w:b/>
                <w:bCs/>
                <w:color w:val="auto"/>
                <w:spacing w:val="-6"/>
                <w:sz w:val="22"/>
                <w:szCs w:val="22"/>
                <w:highlight w:val="none"/>
              </w:rPr>
              <w:t>○</w:t>
            </w:r>
            <w:r>
              <w:rPr>
                <w:rFonts w:hint="eastAsia" w:ascii="方正仿宋_GBK" w:hAnsi="方正仿宋_GBK" w:eastAsia="方正仿宋_GBK" w:cs="方正仿宋_GBK"/>
                <w:color w:val="auto"/>
                <w:spacing w:val="-6"/>
                <w:sz w:val="22"/>
                <w:szCs w:val="22"/>
                <w:highlight w:val="none"/>
              </w:rPr>
              <w:t>）号标注的部分，共计12条】，每负偏离一条从起评分中扣除0.25分。</w:t>
            </w:r>
          </w:p>
        </w:tc>
        <w:tc>
          <w:tcPr>
            <w:tcW w:w="2324" w:type="dxa"/>
            <w:noWrap w:val="0"/>
            <w:vAlign w:val="center"/>
          </w:tcPr>
          <w:p w14:paraId="4F1A02F9">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z w:val="22"/>
                <w:szCs w:val="22"/>
                <w:highlight w:val="none"/>
              </w:rPr>
            </w:pPr>
          </w:p>
        </w:tc>
      </w:tr>
      <w:tr w14:paraId="08454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vMerge w:val="continue"/>
            <w:noWrap w:val="0"/>
            <w:vAlign w:val="center"/>
          </w:tcPr>
          <w:p w14:paraId="4C2A2485">
            <w:pPr>
              <w:keepNext w:val="0"/>
              <w:keepLines w:val="0"/>
              <w:pageBreakBefore w:val="0"/>
              <w:kinsoku/>
              <w:wordWrap/>
              <w:overflowPunct/>
              <w:topLinePunct w:val="0"/>
              <w:autoSpaceDE/>
              <w:autoSpaceDN/>
              <w:bidi w:val="0"/>
              <w:spacing w:line="320" w:lineRule="exact"/>
              <w:textAlignment w:val="auto"/>
              <w:rPr>
                <w:rFonts w:hint="eastAsia" w:ascii="方正仿宋_GBK" w:hAnsi="方正仿宋_GBK" w:eastAsia="方正仿宋_GBK" w:cs="方正仿宋_GBK"/>
                <w:b/>
                <w:bCs/>
                <w:color w:val="auto"/>
                <w:sz w:val="22"/>
                <w:szCs w:val="22"/>
                <w:highlight w:val="none"/>
              </w:rPr>
            </w:pPr>
          </w:p>
        </w:tc>
        <w:tc>
          <w:tcPr>
            <w:tcW w:w="1012" w:type="dxa"/>
            <w:vMerge w:val="continue"/>
            <w:noWrap w:val="0"/>
            <w:vAlign w:val="center"/>
          </w:tcPr>
          <w:p w14:paraId="0A7CFBC4">
            <w:pPr>
              <w:keepNext w:val="0"/>
              <w:keepLines w:val="0"/>
              <w:pageBreakBefore w:val="0"/>
              <w:kinsoku/>
              <w:wordWrap/>
              <w:overflowPunct/>
              <w:topLinePunct w:val="0"/>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p>
        </w:tc>
        <w:tc>
          <w:tcPr>
            <w:tcW w:w="1235" w:type="dxa"/>
            <w:noWrap w:val="0"/>
            <w:vAlign w:val="center"/>
          </w:tcPr>
          <w:p w14:paraId="3AB85C9E">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sz w:val="22"/>
                <w:szCs w:val="22"/>
                <w:highlight w:val="none"/>
              </w:rPr>
              <w:t>项目理解和需求分析（5分）</w:t>
            </w:r>
          </w:p>
        </w:tc>
        <w:tc>
          <w:tcPr>
            <w:tcW w:w="4819" w:type="dxa"/>
            <w:noWrap w:val="0"/>
            <w:vAlign w:val="center"/>
          </w:tcPr>
          <w:p w14:paraId="4BA01A45">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提供对本项目的整体理解和需求分析：①项目整体需求分析、②项目总体建设原则及目标、③重点难点分析及举措、④项目总体建设方案。</w:t>
            </w:r>
          </w:p>
          <w:p w14:paraId="20238B7F">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方案包含上述所有内容，内容不存在瑕疵得5分；方案内容存在1处瑕疵，得4分；存在2处瑕疵，得3分；存在3处瑕疵，得2分；存在4处瑕疵，得1分；存在5处及以上瑕疵或未提供方案得0分。</w:t>
            </w:r>
          </w:p>
        </w:tc>
        <w:tc>
          <w:tcPr>
            <w:tcW w:w="2324" w:type="dxa"/>
            <w:vMerge w:val="restart"/>
            <w:shd w:val="clear" w:color="auto" w:fill="auto"/>
            <w:noWrap w:val="0"/>
            <w:vAlign w:val="center"/>
          </w:tcPr>
          <w:p w14:paraId="102BB4A2">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提供相应方案，格式自拟。</w:t>
            </w:r>
          </w:p>
          <w:p w14:paraId="3D254F3E">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注：方案中所称的“瑕疵”指：</w:t>
            </w:r>
          </w:p>
          <w:p w14:paraId="0ECD10C8">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1.方案出现内容缺项、表述不完整或缺少关键分析点；</w:t>
            </w:r>
          </w:p>
          <w:p w14:paraId="09F6D293">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2.缺乏科学合理性，存在逻辑漏洞、常识错误；</w:t>
            </w:r>
          </w:p>
          <w:p w14:paraId="49E0B964">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3.表述前后矛盾、无连贯性；</w:t>
            </w:r>
          </w:p>
          <w:p w14:paraId="5FA15471">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4.方案安排并不适用本项目特性或不利于本项目的目的实现；</w:t>
            </w:r>
          </w:p>
          <w:p w14:paraId="38917BEC">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5.方案内容中包含其他项目名称，或出现与本项目不相关的其他内容；</w:t>
            </w:r>
          </w:p>
          <w:p w14:paraId="29F9BF9C">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6.内容空泛，无具体方法或内容；</w:t>
            </w:r>
          </w:p>
          <w:p w14:paraId="737F253E">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7.现有条件下不可能实现的情形。</w:t>
            </w:r>
          </w:p>
          <w:p w14:paraId="13745F2A">
            <w:pPr>
              <w:keepNext w:val="0"/>
              <w:keepLines w:val="0"/>
              <w:pageBreakBefore w:val="0"/>
              <w:widowControl w:val="0"/>
              <w:kinsoku/>
              <w:wordWrap w:val="0"/>
              <w:overflowPunct/>
              <w:topLinePunct/>
              <w:autoSpaceDE/>
              <w:autoSpaceDN/>
              <w:bidi w:val="0"/>
              <w:adjustRightInd/>
              <w:snapToGrid/>
              <w:spacing w:line="320" w:lineRule="exact"/>
              <w:jc w:val="lef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上述任意一种情形为1处瑕疵。</w:t>
            </w:r>
          </w:p>
        </w:tc>
      </w:tr>
      <w:tr w14:paraId="6291A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480" w:type="dxa"/>
            <w:vMerge w:val="continue"/>
            <w:noWrap w:val="0"/>
            <w:vAlign w:val="center"/>
          </w:tcPr>
          <w:p w14:paraId="5B1A617F">
            <w:pPr>
              <w:pStyle w:val="2"/>
              <w:keepNext w:val="0"/>
              <w:keepLines w:val="0"/>
              <w:pageBreakBefore w:val="0"/>
              <w:kinsoku/>
              <w:wordWrap/>
              <w:overflowPunct/>
              <w:topLinePunct w:val="0"/>
              <w:autoSpaceDE/>
              <w:autoSpaceDN/>
              <w:bidi w:val="0"/>
              <w:spacing w:line="320" w:lineRule="exact"/>
              <w:textAlignment w:val="auto"/>
              <w:rPr>
                <w:rFonts w:hint="eastAsia" w:ascii="方正仿宋_GBK" w:hAnsi="方正仿宋_GBK" w:eastAsia="方正仿宋_GBK" w:cs="方正仿宋_GBK"/>
                <w:b/>
                <w:bCs/>
                <w:color w:val="auto"/>
                <w:sz w:val="22"/>
                <w:szCs w:val="22"/>
                <w:highlight w:val="none"/>
              </w:rPr>
            </w:pPr>
          </w:p>
        </w:tc>
        <w:tc>
          <w:tcPr>
            <w:tcW w:w="1012" w:type="dxa"/>
            <w:vMerge w:val="continue"/>
            <w:noWrap w:val="0"/>
            <w:vAlign w:val="center"/>
          </w:tcPr>
          <w:p w14:paraId="54C54F48">
            <w:pPr>
              <w:pStyle w:val="2"/>
              <w:keepNext w:val="0"/>
              <w:keepLines w:val="0"/>
              <w:pageBreakBefore w:val="0"/>
              <w:kinsoku/>
              <w:wordWrap/>
              <w:overflowPunct/>
              <w:topLinePunct w:val="0"/>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p>
        </w:tc>
        <w:tc>
          <w:tcPr>
            <w:tcW w:w="1235" w:type="dxa"/>
            <w:noWrap w:val="0"/>
            <w:vAlign w:val="center"/>
          </w:tcPr>
          <w:p w14:paraId="18B159B2">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spacing w:val="-11"/>
                <w:kern w:val="0"/>
                <w:sz w:val="22"/>
                <w:szCs w:val="22"/>
                <w:highlight w:val="none"/>
              </w:rPr>
              <w:t>技术方案（20分）</w:t>
            </w:r>
          </w:p>
        </w:tc>
        <w:tc>
          <w:tcPr>
            <w:tcW w:w="4819" w:type="dxa"/>
            <w:noWrap w:val="0"/>
            <w:vAlign w:val="center"/>
          </w:tcPr>
          <w:p w14:paraId="7A8C68FC">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b/>
                <w:bCs/>
                <w:color w:val="auto"/>
                <w:spacing w:val="-6"/>
                <w:sz w:val="22"/>
                <w:szCs w:val="22"/>
                <w:highlight w:val="none"/>
              </w:rPr>
            </w:pPr>
            <w:r>
              <w:rPr>
                <w:rFonts w:hint="eastAsia" w:ascii="方正仿宋_GBK" w:hAnsi="方正仿宋_GBK" w:eastAsia="方正仿宋_GBK" w:cs="方正仿宋_GBK"/>
                <w:b/>
                <w:bCs/>
                <w:color w:val="auto"/>
                <w:spacing w:val="-6"/>
                <w:sz w:val="22"/>
                <w:szCs w:val="22"/>
                <w:highlight w:val="none"/>
              </w:rPr>
              <w:t>1.总体技术方案（5分）</w:t>
            </w:r>
          </w:p>
          <w:p w14:paraId="4F7AD4EE">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提供总体架构、关键技术、主要功能等内容。</w:t>
            </w:r>
          </w:p>
          <w:p w14:paraId="1B32FAF5">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方案包含上述所有内容，内容不存在瑕疵得5分；方案内容存在1处瑕疵，得4分；存在2处瑕疵，得3分；存在3处瑕疵，得2分；存在4处瑕疵，得1分；存在5处及以上瑕疵或未提供方案得0分。</w:t>
            </w:r>
          </w:p>
          <w:p w14:paraId="40FC7ED2">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b/>
                <w:bCs/>
                <w:color w:val="auto"/>
                <w:spacing w:val="-6"/>
                <w:sz w:val="22"/>
                <w:szCs w:val="22"/>
                <w:highlight w:val="none"/>
              </w:rPr>
            </w:pPr>
            <w:r>
              <w:rPr>
                <w:rFonts w:hint="eastAsia" w:ascii="方正仿宋_GBK" w:hAnsi="方正仿宋_GBK" w:eastAsia="方正仿宋_GBK" w:cs="方正仿宋_GBK"/>
                <w:b/>
                <w:bCs/>
                <w:color w:val="auto"/>
                <w:spacing w:val="-6"/>
                <w:sz w:val="22"/>
                <w:szCs w:val="22"/>
                <w:highlight w:val="none"/>
              </w:rPr>
              <w:t>2.方案设计（10分）</w:t>
            </w:r>
          </w:p>
          <w:p w14:paraId="4416CFD6">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需体现选址原则、设备选型原则、适用场景、详细安装方式、详细设备参数及功能。</w:t>
            </w:r>
          </w:p>
          <w:p w14:paraId="740A383F">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方案包含上述所有内容，内容不存在瑕疵得10分；方案内容存在1处瑕疵，得8分；存在2处瑕疵，得6分；存在3处瑕疵，得4分；存在4处瑕疵，得2分；存在5处及以上瑕疵或未提供方案得0分。</w:t>
            </w:r>
          </w:p>
          <w:p w14:paraId="014B8AE8">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b/>
                <w:bCs/>
                <w:color w:val="auto"/>
                <w:spacing w:val="-6"/>
                <w:sz w:val="22"/>
                <w:szCs w:val="22"/>
                <w:highlight w:val="none"/>
              </w:rPr>
            </w:pPr>
            <w:r>
              <w:rPr>
                <w:rFonts w:hint="eastAsia" w:ascii="方正仿宋_GBK" w:hAnsi="方正仿宋_GBK" w:eastAsia="方正仿宋_GBK" w:cs="方正仿宋_GBK"/>
                <w:b/>
                <w:bCs/>
                <w:color w:val="auto"/>
                <w:spacing w:val="-6"/>
                <w:sz w:val="22"/>
                <w:szCs w:val="22"/>
                <w:highlight w:val="none"/>
              </w:rPr>
              <w:t>3.集成方案（5分）</w:t>
            </w:r>
          </w:p>
          <w:p w14:paraId="2FF053E8">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投标人对项目可能涉及的通信组网、与现有系统集成、数据对接、跨厂家接入等情况进行分析，并提出解决方案。</w:t>
            </w:r>
          </w:p>
          <w:p w14:paraId="73B1E051">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方案包含上述所有内容，内容不存在瑕疵得5分；方案内容存在1处瑕疵，得4分；存在2处瑕疵，得3分；存在3处瑕疵，得2分；存在4处瑕疵，得1分；存在5处及以上瑕疵或未提供方案得0分。</w:t>
            </w:r>
          </w:p>
        </w:tc>
        <w:tc>
          <w:tcPr>
            <w:tcW w:w="2324" w:type="dxa"/>
            <w:vMerge w:val="continue"/>
            <w:noWrap w:val="0"/>
            <w:vAlign w:val="center"/>
          </w:tcPr>
          <w:p w14:paraId="377763FA">
            <w:pPr>
              <w:pStyle w:val="2"/>
              <w:keepNext w:val="0"/>
              <w:keepLines w:val="0"/>
              <w:pageBreakBefore w:val="0"/>
              <w:kinsoku/>
              <w:wordWrap/>
              <w:overflowPunct/>
              <w:topLinePunct w:val="0"/>
              <w:autoSpaceDE/>
              <w:autoSpaceDN/>
              <w:bidi w:val="0"/>
              <w:spacing w:line="320" w:lineRule="exact"/>
              <w:textAlignment w:val="auto"/>
              <w:rPr>
                <w:rFonts w:hint="eastAsia" w:ascii="方正仿宋_GBK" w:hAnsi="方正仿宋_GBK" w:eastAsia="方正仿宋_GBK" w:cs="方正仿宋_GBK"/>
                <w:color w:val="auto"/>
                <w:spacing w:val="-11"/>
                <w:sz w:val="22"/>
                <w:szCs w:val="22"/>
                <w:highlight w:val="none"/>
              </w:rPr>
            </w:pPr>
          </w:p>
        </w:tc>
      </w:tr>
      <w:tr w14:paraId="4D7C6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vMerge w:val="continue"/>
            <w:noWrap w:val="0"/>
            <w:vAlign w:val="center"/>
          </w:tcPr>
          <w:p w14:paraId="1945EEDC">
            <w:pPr>
              <w:pStyle w:val="2"/>
              <w:keepNext w:val="0"/>
              <w:keepLines w:val="0"/>
              <w:pageBreakBefore w:val="0"/>
              <w:kinsoku/>
              <w:wordWrap/>
              <w:overflowPunct/>
              <w:topLinePunct w:val="0"/>
              <w:autoSpaceDE/>
              <w:autoSpaceDN/>
              <w:bidi w:val="0"/>
              <w:spacing w:line="320" w:lineRule="exact"/>
              <w:textAlignment w:val="auto"/>
              <w:rPr>
                <w:rFonts w:hint="eastAsia" w:ascii="方正仿宋_GBK" w:hAnsi="方正仿宋_GBK" w:eastAsia="方正仿宋_GBK" w:cs="方正仿宋_GBK"/>
                <w:b/>
                <w:bCs/>
                <w:color w:val="auto"/>
                <w:sz w:val="22"/>
                <w:szCs w:val="22"/>
                <w:highlight w:val="none"/>
              </w:rPr>
            </w:pPr>
          </w:p>
        </w:tc>
        <w:tc>
          <w:tcPr>
            <w:tcW w:w="1012" w:type="dxa"/>
            <w:vMerge w:val="continue"/>
            <w:noWrap w:val="0"/>
            <w:vAlign w:val="center"/>
          </w:tcPr>
          <w:p w14:paraId="019CE52B">
            <w:pPr>
              <w:pStyle w:val="2"/>
              <w:keepNext w:val="0"/>
              <w:keepLines w:val="0"/>
              <w:pageBreakBefore w:val="0"/>
              <w:kinsoku/>
              <w:wordWrap/>
              <w:overflowPunct/>
              <w:topLinePunct w:val="0"/>
              <w:autoSpaceDE/>
              <w:autoSpaceDN/>
              <w:bidi w:val="0"/>
              <w:spacing w:line="320" w:lineRule="exact"/>
              <w:textAlignment w:val="auto"/>
              <w:rPr>
                <w:rFonts w:hint="eastAsia" w:ascii="方正仿宋_GBK" w:hAnsi="方正仿宋_GBK" w:eastAsia="方正仿宋_GBK" w:cs="方正仿宋_GBK"/>
                <w:b/>
                <w:bCs/>
                <w:color w:val="auto"/>
                <w:sz w:val="22"/>
                <w:szCs w:val="22"/>
                <w:highlight w:val="none"/>
              </w:rPr>
            </w:pPr>
          </w:p>
        </w:tc>
        <w:tc>
          <w:tcPr>
            <w:tcW w:w="1235" w:type="dxa"/>
            <w:noWrap w:val="0"/>
            <w:vAlign w:val="center"/>
          </w:tcPr>
          <w:p w14:paraId="78257C77">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lang w:val="en-US" w:eastAsia="zh-CN"/>
              </w:rPr>
            </w:pPr>
            <w:r>
              <w:rPr>
                <w:rFonts w:hint="eastAsia" w:ascii="方正仿宋_GBK" w:hAnsi="方正仿宋_GBK" w:eastAsia="方正仿宋_GBK" w:cs="方正仿宋_GBK"/>
                <w:b/>
                <w:bCs/>
                <w:color w:val="auto"/>
                <w:sz w:val="22"/>
                <w:szCs w:val="22"/>
                <w:highlight w:val="none"/>
                <w:lang w:val="en-US" w:eastAsia="zh-CN"/>
              </w:rPr>
              <w:t>项目实施方案（5分）</w:t>
            </w:r>
          </w:p>
        </w:tc>
        <w:tc>
          <w:tcPr>
            <w:tcW w:w="4819" w:type="dxa"/>
            <w:noWrap w:val="0"/>
            <w:vAlign w:val="center"/>
          </w:tcPr>
          <w:p w14:paraId="6776CF3C">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b w:val="0"/>
                <w:bCs w:val="0"/>
                <w:color w:val="auto"/>
                <w:spacing w:val="-6"/>
                <w:sz w:val="22"/>
                <w:szCs w:val="22"/>
                <w:highlight w:val="none"/>
              </w:rPr>
            </w:pPr>
            <w:r>
              <w:rPr>
                <w:rFonts w:hint="eastAsia" w:ascii="方正仿宋_GBK" w:hAnsi="方正仿宋_GBK" w:eastAsia="方正仿宋_GBK" w:cs="方正仿宋_GBK"/>
                <w:b w:val="0"/>
                <w:bCs w:val="0"/>
                <w:color w:val="auto"/>
                <w:spacing w:val="-6"/>
                <w:sz w:val="22"/>
                <w:szCs w:val="22"/>
                <w:highlight w:val="none"/>
              </w:rPr>
              <w:t>投标人从以下几方面编制实施方案：①组织计划、②人员安排③进度计划、④进度管理、⑤质量管理、⑥安全管理及应急措施、⑦配套设施（杆塔、网络、电源等方面）、⑧风险识别及风险应对措施。</w:t>
            </w:r>
          </w:p>
          <w:p w14:paraId="2F29CF7E">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b w:val="0"/>
                <w:bCs w:val="0"/>
                <w:color w:val="auto"/>
                <w:spacing w:val="-6"/>
                <w:sz w:val="22"/>
                <w:szCs w:val="22"/>
                <w:highlight w:val="none"/>
              </w:rPr>
            </w:pPr>
            <w:r>
              <w:rPr>
                <w:rFonts w:hint="eastAsia" w:ascii="方正仿宋_GBK" w:hAnsi="方正仿宋_GBK" w:eastAsia="方正仿宋_GBK" w:cs="方正仿宋_GBK"/>
                <w:b w:val="0"/>
                <w:bCs w:val="0"/>
                <w:color w:val="auto"/>
                <w:spacing w:val="-6"/>
                <w:sz w:val="22"/>
                <w:szCs w:val="22"/>
                <w:highlight w:val="none"/>
              </w:rPr>
              <w:t>方案包含上述所有内容，内容不存在瑕疵得5分；方案内容存在1处瑕疵，得4分；存在2处瑕疵，得3分；存在3处瑕疵，得2分；存在4处瑕疵，得1分；存在5处及以上瑕疵或未提供方案得0分。</w:t>
            </w:r>
          </w:p>
        </w:tc>
        <w:tc>
          <w:tcPr>
            <w:tcW w:w="2324" w:type="dxa"/>
            <w:vMerge w:val="continue"/>
            <w:noWrap w:val="0"/>
            <w:vAlign w:val="center"/>
          </w:tcPr>
          <w:p w14:paraId="1A636148">
            <w:pPr>
              <w:pStyle w:val="2"/>
              <w:keepNext w:val="0"/>
              <w:keepLines w:val="0"/>
              <w:pageBreakBefore w:val="0"/>
              <w:kinsoku/>
              <w:wordWrap/>
              <w:overflowPunct/>
              <w:topLinePunct w:val="0"/>
              <w:autoSpaceDE/>
              <w:autoSpaceDN/>
              <w:bidi w:val="0"/>
              <w:spacing w:line="320" w:lineRule="exact"/>
              <w:textAlignment w:val="auto"/>
              <w:rPr>
                <w:rFonts w:hint="default" w:ascii="方正仿宋_GBK" w:hAnsi="方正仿宋_GBK" w:eastAsia="方正仿宋_GBK" w:cs="方正仿宋_GBK"/>
                <w:color w:val="auto"/>
                <w:spacing w:val="-11"/>
                <w:sz w:val="22"/>
                <w:szCs w:val="22"/>
                <w:highlight w:val="none"/>
                <w:lang w:val="en-US" w:eastAsia="zh-CN"/>
              </w:rPr>
            </w:pPr>
          </w:p>
        </w:tc>
      </w:tr>
      <w:tr w14:paraId="6C10D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vMerge w:val="continue"/>
            <w:noWrap w:val="0"/>
            <w:vAlign w:val="center"/>
          </w:tcPr>
          <w:p w14:paraId="76CC7EC3">
            <w:pPr>
              <w:pStyle w:val="2"/>
              <w:keepNext w:val="0"/>
              <w:keepLines w:val="0"/>
              <w:pageBreakBefore w:val="0"/>
              <w:kinsoku/>
              <w:wordWrap/>
              <w:overflowPunct/>
              <w:topLinePunct w:val="0"/>
              <w:autoSpaceDE/>
              <w:autoSpaceDN/>
              <w:bidi w:val="0"/>
              <w:spacing w:line="320" w:lineRule="exact"/>
              <w:textAlignment w:val="auto"/>
              <w:rPr>
                <w:rFonts w:hint="eastAsia" w:ascii="方正仿宋_GBK" w:hAnsi="方正仿宋_GBK" w:eastAsia="方正仿宋_GBK" w:cs="方正仿宋_GBK"/>
                <w:b/>
                <w:bCs/>
                <w:color w:val="auto"/>
                <w:sz w:val="22"/>
                <w:szCs w:val="22"/>
                <w:highlight w:val="none"/>
              </w:rPr>
            </w:pPr>
          </w:p>
        </w:tc>
        <w:tc>
          <w:tcPr>
            <w:tcW w:w="1012" w:type="dxa"/>
            <w:vMerge w:val="continue"/>
            <w:noWrap w:val="0"/>
            <w:vAlign w:val="center"/>
          </w:tcPr>
          <w:p w14:paraId="5916E6E8">
            <w:pPr>
              <w:pStyle w:val="2"/>
              <w:keepNext w:val="0"/>
              <w:keepLines w:val="0"/>
              <w:pageBreakBefore w:val="0"/>
              <w:kinsoku/>
              <w:wordWrap/>
              <w:overflowPunct/>
              <w:topLinePunct w:val="0"/>
              <w:autoSpaceDE/>
              <w:autoSpaceDN/>
              <w:bidi w:val="0"/>
              <w:spacing w:line="320" w:lineRule="exact"/>
              <w:textAlignment w:val="auto"/>
              <w:rPr>
                <w:rFonts w:hint="eastAsia" w:ascii="方正仿宋_GBK" w:hAnsi="方正仿宋_GBK" w:eastAsia="方正仿宋_GBK" w:cs="方正仿宋_GBK"/>
                <w:b/>
                <w:bCs/>
                <w:color w:val="auto"/>
                <w:sz w:val="22"/>
                <w:szCs w:val="22"/>
                <w:highlight w:val="none"/>
              </w:rPr>
            </w:pPr>
          </w:p>
        </w:tc>
        <w:tc>
          <w:tcPr>
            <w:tcW w:w="1235" w:type="dxa"/>
            <w:noWrap w:val="0"/>
            <w:vAlign w:val="center"/>
          </w:tcPr>
          <w:p w14:paraId="435B9C18">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pacing w:val="-11"/>
                <w:kern w:val="0"/>
                <w:sz w:val="22"/>
                <w:szCs w:val="22"/>
                <w:highlight w:val="none"/>
                <w:lang w:val="en-US" w:eastAsia="zh-CN"/>
              </w:rPr>
            </w:pPr>
            <w:r>
              <w:rPr>
                <w:rFonts w:hint="eastAsia" w:ascii="方正仿宋_GBK" w:hAnsi="方正仿宋_GBK" w:eastAsia="方正仿宋_GBK" w:cs="方正仿宋_GBK"/>
                <w:b/>
                <w:bCs/>
                <w:color w:val="auto"/>
                <w:spacing w:val="-11"/>
                <w:kern w:val="0"/>
                <w:sz w:val="22"/>
                <w:szCs w:val="22"/>
                <w:highlight w:val="none"/>
                <w:lang w:val="en-US" w:eastAsia="zh-CN"/>
              </w:rPr>
              <w:t>培训方案</w:t>
            </w:r>
          </w:p>
          <w:p w14:paraId="0A2DC267">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pacing w:val="-11"/>
                <w:kern w:val="0"/>
                <w:sz w:val="22"/>
                <w:szCs w:val="22"/>
                <w:highlight w:val="none"/>
                <w:lang w:val="en-US" w:eastAsia="zh-CN"/>
              </w:rPr>
            </w:pPr>
            <w:r>
              <w:rPr>
                <w:rFonts w:hint="eastAsia" w:ascii="方正仿宋_GBK" w:hAnsi="方正仿宋_GBK" w:eastAsia="方正仿宋_GBK" w:cs="方正仿宋_GBK"/>
                <w:b/>
                <w:bCs/>
                <w:color w:val="auto"/>
                <w:spacing w:val="-11"/>
                <w:kern w:val="0"/>
                <w:sz w:val="22"/>
                <w:szCs w:val="22"/>
                <w:highlight w:val="none"/>
                <w:lang w:val="en-US" w:eastAsia="zh-CN"/>
              </w:rPr>
              <w:t>（3分）</w:t>
            </w:r>
          </w:p>
        </w:tc>
        <w:tc>
          <w:tcPr>
            <w:tcW w:w="4819" w:type="dxa"/>
            <w:noWrap w:val="0"/>
            <w:vAlign w:val="center"/>
          </w:tcPr>
          <w:p w14:paraId="1E9450FE">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b w:val="0"/>
                <w:bCs w:val="0"/>
                <w:color w:val="auto"/>
                <w:spacing w:val="-6"/>
                <w:sz w:val="22"/>
                <w:szCs w:val="22"/>
                <w:highlight w:val="none"/>
                <w:lang w:eastAsia="zh-CN"/>
              </w:rPr>
            </w:pPr>
            <w:r>
              <w:rPr>
                <w:rFonts w:hint="eastAsia" w:ascii="方正仿宋_GBK" w:hAnsi="方正仿宋_GBK" w:eastAsia="方正仿宋_GBK" w:cs="方正仿宋_GBK"/>
                <w:b w:val="0"/>
                <w:bCs w:val="0"/>
                <w:color w:val="auto"/>
                <w:spacing w:val="-6"/>
                <w:sz w:val="22"/>
                <w:szCs w:val="22"/>
                <w:highlight w:val="none"/>
                <w:lang w:eastAsia="zh-CN"/>
              </w:rPr>
              <w:t>投标人应制订培训计划、培训教材内容、培训对象、课程安排、考核管理并提供培训场地，包括但不限于技术原理、结果应用、端到端产品使用及互联方案、场景化应用方案、检修和维护等知识和技能。</w:t>
            </w:r>
          </w:p>
          <w:p w14:paraId="636B1902">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b w:val="0"/>
                <w:bCs w:val="0"/>
                <w:color w:val="auto"/>
                <w:spacing w:val="-6"/>
                <w:sz w:val="22"/>
                <w:szCs w:val="22"/>
                <w:highlight w:val="none"/>
                <w:lang w:eastAsia="zh-CN"/>
              </w:rPr>
            </w:pPr>
            <w:r>
              <w:rPr>
                <w:rFonts w:hint="eastAsia" w:ascii="方正仿宋_GBK" w:hAnsi="方正仿宋_GBK" w:eastAsia="方正仿宋_GBK" w:cs="方正仿宋_GBK"/>
                <w:b w:val="0"/>
                <w:bCs w:val="0"/>
                <w:color w:val="auto"/>
                <w:spacing w:val="-6"/>
                <w:sz w:val="22"/>
                <w:szCs w:val="22"/>
                <w:highlight w:val="none"/>
                <w:lang w:eastAsia="zh-CN"/>
              </w:rPr>
              <w:t>方案包含上述所有内容，内容不存在瑕疵得3分；方案内容存在1处瑕疵，得2分；存在2处瑕疵，得1分；存在3处及以上瑕疵或未提供方案得0分。</w:t>
            </w:r>
          </w:p>
        </w:tc>
        <w:tc>
          <w:tcPr>
            <w:tcW w:w="2324" w:type="dxa"/>
            <w:vMerge w:val="continue"/>
            <w:noWrap w:val="0"/>
            <w:vAlign w:val="center"/>
          </w:tcPr>
          <w:p w14:paraId="75B0ED18">
            <w:pPr>
              <w:pStyle w:val="2"/>
              <w:keepNext w:val="0"/>
              <w:keepLines w:val="0"/>
              <w:pageBreakBefore w:val="0"/>
              <w:kinsoku/>
              <w:wordWrap/>
              <w:overflowPunct/>
              <w:topLinePunct w:val="0"/>
              <w:autoSpaceDE/>
              <w:autoSpaceDN/>
              <w:bidi w:val="0"/>
              <w:spacing w:line="320" w:lineRule="exact"/>
              <w:textAlignment w:val="auto"/>
              <w:rPr>
                <w:rFonts w:hint="eastAsia" w:ascii="方正仿宋_GBK" w:hAnsi="方正仿宋_GBK" w:eastAsia="方正仿宋_GBK" w:cs="方正仿宋_GBK"/>
                <w:color w:val="auto"/>
                <w:spacing w:val="-11"/>
                <w:sz w:val="22"/>
                <w:szCs w:val="22"/>
                <w:highlight w:val="none"/>
              </w:rPr>
            </w:pPr>
          </w:p>
        </w:tc>
      </w:tr>
      <w:tr w14:paraId="1C929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vMerge w:val="restart"/>
            <w:tcBorders>
              <w:top w:val="single" w:color="auto" w:sz="4" w:space="0"/>
              <w:left w:val="single" w:color="auto" w:sz="4" w:space="0"/>
              <w:right w:val="single" w:color="auto" w:sz="4" w:space="0"/>
            </w:tcBorders>
            <w:noWrap w:val="0"/>
            <w:vAlign w:val="center"/>
          </w:tcPr>
          <w:p w14:paraId="2537FBC7">
            <w:pPr>
              <w:keepNext w:val="0"/>
              <w:keepLines w:val="0"/>
              <w:pageBreakBefore w:val="0"/>
              <w:widowControl/>
              <w:kinsoku/>
              <w:wordWrap/>
              <w:overflowPunct/>
              <w:topLinePunct w:val="0"/>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kern w:val="0"/>
                <w:sz w:val="22"/>
                <w:szCs w:val="22"/>
                <w:highlight w:val="none"/>
              </w:rPr>
              <w:t>3</w:t>
            </w:r>
          </w:p>
        </w:tc>
        <w:tc>
          <w:tcPr>
            <w:tcW w:w="1012" w:type="dxa"/>
            <w:vMerge w:val="restart"/>
            <w:tcBorders>
              <w:top w:val="single" w:color="auto" w:sz="4" w:space="0"/>
              <w:left w:val="single" w:color="auto" w:sz="4" w:space="0"/>
              <w:right w:val="single" w:color="auto" w:sz="4" w:space="0"/>
            </w:tcBorders>
            <w:noWrap w:val="0"/>
            <w:vAlign w:val="center"/>
          </w:tcPr>
          <w:p w14:paraId="2CB65F7A">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pacing w:val="-11"/>
                <w:kern w:val="0"/>
                <w:sz w:val="22"/>
                <w:szCs w:val="22"/>
                <w:highlight w:val="none"/>
              </w:rPr>
            </w:pPr>
            <w:r>
              <w:rPr>
                <w:rFonts w:hint="eastAsia" w:ascii="方正仿宋_GBK" w:hAnsi="方正仿宋_GBK" w:eastAsia="方正仿宋_GBK" w:cs="方正仿宋_GBK"/>
                <w:b/>
                <w:bCs/>
                <w:color w:val="auto"/>
                <w:spacing w:val="-11"/>
                <w:kern w:val="0"/>
                <w:sz w:val="22"/>
                <w:szCs w:val="22"/>
                <w:highlight w:val="none"/>
              </w:rPr>
              <w:t>商务部分</w:t>
            </w:r>
          </w:p>
          <w:p w14:paraId="62BE66DA">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kern w:val="0"/>
                <w:sz w:val="22"/>
                <w:szCs w:val="22"/>
                <w:highlight w:val="none"/>
              </w:rPr>
            </w:pPr>
            <w:r>
              <w:rPr>
                <w:rFonts w:hint="eastAsia" w:ascii="方正仿宋_GBK" w:hAnsi="方正仿宋_GBK" w:eastAsia="方正仿宋_GBK" w:cs="方正仿宋_GBK"/>
                <w:b/>
                <w:bCs/>
                <w:color w:val="auto"/>
                <w:spacing w:val="-11"/>
                <w:kern w:val="0"/>
                <w:sz w:val="22"/>
                <w:szCs w:val="22"/>
                <w:highlight w:val="none"/>
              </w:rPr>
              <w:t>（</w:t>
            </w:r>
            <w:r>
              <w:rPr>
                <w:rFonts w:hint="eastAsia" w:ascii="方正仿宋_GBK" w:hAnsi="方正仿宋_GBK" w:eastAsia="方正仿宋_GBK" w:cs="方正仿宋_GBK"/>
                <w:b/>
                <w:bCs/>
                <w:color w:val="auto"/>
                <w:spacing w:val="-11"/>
                <w:kern w:val="0"/>
                <w:sz w:val="22"/>
                <w:szCs w:val="22"/>
                <w:highlight w:val="none"/>
                <w:lang w:val="en-US" w:eastAsia="zh-CN"/>
              </w:rPr>
              <w:t>15</w:t>
            </w:r>
            <w:r>
              <w:rPr>
                <w:rFonts w:hint="eastAsia" w:ascii="方正仿宋_GBK" w:hAnsi="方正仿宋_GBK" w:eastAsia="方正仿宋_GBK" w:cs="方正仿宋_GBK"/>
                <w:b/>
                <w:bCs/>
                <w:color w:val="auto"/>
                <w:spacing w:val="-11"/>
                <w:kern w:val="0"/>
                <w:sz w:val="22"/>
                <w:szCs w:val="22"/>
                <w:highlight w:val="none"/>
              </w:rPr>
              <w:t>%）</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081213B8">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kern w:val="0"/>
                <w:sz w:val="22"/>
                <w:szCs w:val="22"/>
                <w:highlight w:val="none"/>
              </w:rPr>
            </w:pPr>
            <w:r>
              <w:rPr>
                <w:rFonts w:hint="eastAsia" w:ascii="方正仿宋_GBK" w:hAnsi="方正仿宋_GBK" w:eastAsia="方正仿宋_GBK" w:cs="方正仿宋_GBK"/>
                <w:b/>
                <w:bCs/>
                <w:color w:val="auto"/>
                <w:kern w:val="0"/>
                <w:sz w:val="22"/>
                <w:szCs w:val="22"/>
                <w:highlight w:val="none"/>
              </w:rPr>
              <w:t>实施团队能力（9分）</w:t>
            </w:r>
          </w:p>
        </w:tc>
        <w:tc>
          <w:tcPr>
            <w:tcW w:w="4819" w:type="dxa"/>
            <w:tcBorders>
              <w:top w:val="single" w:color="auto" w:sz="4" w:space="0"/>
              <w:left w:val="single" w:color="auto" w:sz="4" w:space="0"/>
              <w:bottom w:val="single" w:color="auto" w:sz="4" w:space="0"/>
              <w:right w:val="single" w:color="auto" w:sz="4" w:space="0"/>
            </w:tcBorders>
            <w:noWrap w:val="0"/>
            <w:vAlign w:val="center"/>
          </w:tcPr>
          <w:p w14:paraId="0AB22FD7">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lang w:eastAsia="zh-CN"/>
              </w:rPr>
            </w:pPr>
            <w:r>
              <w:rPr>
                <w:rFonts w:hint="eastAsia" w:ascii="方正仿宋_GBK" w:hAnsi="方正仿宋_GBK" w:eastAsia="方正仿宋_GBK" w:cs="方正仿宋_GBK"/>
                <w:color w:val="auto"/>
                <w:spacing w:val="-6"/>
                <w:sz w:val="22"/>
                <w:szCs w:val="22"/>
                <w:highlight w:val="none"/>
                <w:lang w:eastAsia="zh-CN"/>
              </w:rPr>
              <w:t>1.投入本项目的项目经理（1人）</w:t>
            </w:r>
          </w:p>
          <w:p w14:paraId="3B160958">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lang w:eastAsia="zh-CN"/>
              </w:rPr>
            </w:pPr>
            <w:r>
              <w:rPr>
                <w:rFonts w:hint="eastAsia" w:ascii="方正仿宋_GBK" w:hAnsi="方正仿宋_GBK" w:eastAsia="方正仿宋_GBK" w:cs="方正仿宋_GBK"/>
                <w:color w:val="auto"/>
                <w:spacing w:val="-6"/>
                <w:sz w:val="22"/>
                <w:szCs w:val="22"/>
                <w:highlight w:val="none"/>
                <w:lang w:eastAsia="zh-CN"/>
              </w:rPr>
              <w:t>具备一级建造师执业资格证书（通信与广电工程）、专职安全员（B类）证书，每提供1项得1分，最高得2分。</w:t>
            </w:r>
          </w:p>
          <w:p w14:paraId="13D61956">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lang w:eastAsia="zh-CN"/>
              </w:rPr>
            </w:pPr>
            <w:r>
              <w:rPr>
                <w:rFonts w:hint="eastAsia" w:ascii="方正仿宋_GBK" w:hAnsi="方正仿宋_GBK" w:eastAsia="方正仿宋_GBK" w:cs="方正仿宋_GBK"/>
                <w:color w:val="auto"/>
                <w:spacing w:val="-6"/>
                <w:sz w:val="22"/>
                <w:szCs w:val="22"/>
                <w:highlight w:val="none"/>
                <w:lang w:eastAsia="zh-CN"/>
              </w:rPr>
              <w:t>2.投入本项目的项目技术负责人（1人）</w:t>
            </w:r>
          </w:p>
          <w:p w14:paraId="685490FB">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lang w:eastAsia="zh-CN"/>
              </w:rPr>
            </w:pPr>
            <w:r>
              <w:rPr>
                <w:rFonts w:hint="eastAsia" w:ascii="方正仿宋_GBK" w:hAnsi="方正仿宋_GBK" w:eastAsia="方正仿宋_GBK" w:cs="方正仿宋_GBK"/>
                <w:color w:val="auto"/>
                <w:spacing w:val="-6"/>
                <w:sz w:val="22"/>
                <w:szCs w:val="22"/>
                <w:highlight w:val="none"/>
                <w:lang w:eastAsia="zh-CN"/>
              </w:rPr>
              <w:t>具备通信工程高级工程师及以上职称证书、信息系统项目管理师证书，每提供1项得1分，最高得2分。</w:t>
            </w:r>
          </w:p>
          <w:p w14:paraId="2E41F57F">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lang w:eastAsia="zh-CN"/>
              </w:rPr>
            </w:pPr>
            <w:r>
              <w:rPr>
                <w:rFonts w:hint="eastAsia" w:ascii="方正仿宋_GBK" w:hAnsi="方正仿宋_GBK" w:eastAsia="方正仿宋_GBK" w:cs="方正仿宋_GBK"/>
                <w:color w:val="auto"/>
                <w:spacing w:val="-6"/>
                <w:sz w:val="22"/>
                <w:szCs w:val="22"/>
                <w:highlight w:val="none"/>
                <w:lang w:eastAsia="zh-CN"/>
              </w:rPr>
              <w:t>3.投入本项目的技术人员≥10人（除项目经理、项目技术负责人以外），项目组团队应由电子信息或通信工程专业技术人员职业资格或职称（中级及以上）、网络工程师（中级及以上）、注册信息安全专业人员（CISP）、专职安全员（C类）证书等技术人员组成，成员应提供相应资质证书（每类证书至少有2人具有，若不满足，此项得0分），每提供1人得0.5分，最多得5分。</w:t>
            </w:r>
          </w:p>
        </w:tc>
        <w:tc>
          <w:tcPr>
            <w:tcW w:w="2324" w:type="dxa"/>
            <w:tcBorders>
              <w:top w:val="single" w:color="auto" w:sz="4" w:space="0"/>
              <w:left w:val="single" w:color="auto" w:sz="4" w:space="0"/>
              <w:bottom w:val="single" w:color="auto" w:sz="4" w:space="0"/>
              <w:right w:val="single" w:color="auto" w:sz="4" w:space="0"/>
            </w:tcBorders>
            <w:noWrap w:val="0"/>
            <w:vAlign w:val="center"/>
          </w:tcPr>
          <w:p w14:paraId="1C0EDF09">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11"/>
                <w:sz w:val="22"/>
                <w:szCs w:val="22"/>
                <w:highlight w:val="none"/>
              </w:rPr>
            </w:pPr>
            <w:r>
              <w:rPr>
                <w:rFonts w:hint="eastAsia" w:ascii="方正仿宋_GBK" w:hAnsi="方正仿宋_GBK" w:eastAsia="方正仿宋_GBK" w:cs="方正仿宋_GBK"/>
                <w:color w:val="auto"/>
                <w:spacing w:val="-11"/>
                <w:sz w:val="22"/>
                <w:szCs w:val="22"/>
                <w:highlight w:val="none"/>
              </w:rPr>
              <w:t>1、所提供证书应为职称改革机构或中华人民共和国人力资源和社会保障部或中国信息安全测评中心颁发。</w:t>
            </w:r>
          </w:p>
          <w:p w14:paraId="32373950">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pacing w:val="-11"/>
                <w:sz w:val="22"/>
                <w:szCs w:val="22"/>
                <w:highlight w:val="none"/>
              </w:rPr>
            </w:pPr>
            <w:r>
              <w:rPr>
                <w:rFonts w:hint="eastAsia" w:ascii="方正仿宋_GBK" w:hAnsi="方正仿宋_GBK" w:eastAsia="方正仿宋_GBK" w:cs="方正仿宋_GBK"/>
                <w:color w:val="auto"/>
                <w:spacing w:val="-11"/>
                <w:sz w:val="22"/>
                <w:szCs w:val="22"/>
                <w:highlight w:val="none"/>
              </w:rPr>
              <w:t>2、须提供证书复印件及由本单位缴纳的2025年任意1个月的社会保险缴费记录（须包含人员姓名）加盖投标人公章，未提供或提供不全得0分。</w:t>
            </w:r>
          </w:p>
        </w:tc>
      </w:tr>
      <w:tr w14:paraId="5B3F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vMerge w:val="continue"/>
            <w:tcBorders>
              <w:left w:val="single" w:color="auto" w:sz="4" w:space="0"/>
              <w:right w:val="single" w:color="auto" w:sz="4" w:space="0"/>
            </w:tcBorders>
            <w:noWrap w:val="0"/>
            <w:vAlign w:val="center"/>
          </w:tcPr>
          <w:p w14:paraId="72CD6603">
            <w:pPr>
              <w:keepNext w:val="0"/>
              <w:keepLines w:val="0"/>
              <w:pageBreakBefore w:val="0"/>
              <w:kinsoku/>
              <w:wordWrap/>
              <w:overflowPunct/>
              <w:topLinePunct w:val="0"/>
              <w:autoSpaceDE/>
              <w:autoSpaceDN/>
              <w:bidi w:val="0"/>
              <w:spacing w:line="320" w:lineRule="exact"/>
              <w:ind w:firstLine="28"/>
              <w:jc w:val="center"/>
              <w:textAlignment w:val="auto"/>
              <w:rPr>
                <w:rFonts w:hint="eastAsia" w:ascii="方正仿宋_GBK" w:hAnsi="方正仿宋_GBK" w:eastAsia="方正仿宋_GBK" w:cs="方正仿宋_GBK"/>
                <w:b/>
                <w:bCs/>
                <w:color w:val="auto"/>
                <w:sz w:val="22"/>
                <w:szCs w:val="22"/>
                <w:highlight w:val="none"/>
              </w:rPr>
            </w:pPr>
          </w:p>
        </w:tc>
        <w:tc>
          <w:tcPr>
            <w:tcW w:w="1012" w:type="dxa"/>
            <w:vMerge w:val="continue"/>
            <w:tcBorders>
              <w:left w:val="single" w:color="auto" w:sz="4" w:space="0"/>
              <w:right w:val="single" w:color="auto" w:sz="4" w:space="0"/>
            </w:tcBorders>
            <w:noWrap w:val="0"/>
            <w:vAlign w:val="center"/>
          </w:tcPr>
          <w:p w14:paraId="3EAF4455">
            <w:pPr>
              <w:keepNext w:val="0"/>
              <w:keepLines w:val="0"/>
              <w:pageBreakBefore w:val="0"/>
              <w:kinsoku/>
              <w:wordWrap/>
              <w:overflowPunct/>
              <w:topLinePunct w:val="0"/>
              <w:autoSpaceDE/>
              <w:autoSpaceDN/>
              <w:bidi w:val="0"/>
              <w:spacing w:line="320" w:lineRule="exact"/>
              <w:ind w:firstLine="28"/>
              <w:jc w:val="center"/>
              <w:textAlignment w:val="auto"/>
              <w:rPr>
                <w:rFonts w:hint="eastAsia" w:ascii="方正仿宋_GBK" w:hAnsi="方正仿宋_GBK" w:eastAsia="方正仿宋_GBK" w:cs="方正仿宋_GBK"/>
                <w:b/>
                <w:bCs/>
                <w:color w:val="auto"/>
                <w:sz w:val="22"/>
                <w:szCs w:val="22"/>
                <w:highlight w:val="none"/>
              </w:rPr>
            </w:pPr>
          </w:p>
        </w:tc>
        <w:tc>
          <w:tcPr>
            <w:tcW w:w="12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4EFDD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方正仿宋_GBK" w:hAnsi="方正仿宋_GBK" w:eastAsia="方正仿宋_GBK" w:cs="方正仿宋_GBK"/>
                <w:b/>
                <w:bCs/>
                <w:color w:val="auto"/>
                <w:kern w:val="0"/>
                <w:sz w:val="22"/>
                <w:szCs w:val="22"/>
                <w:highlight w:val="none"/>
              </w:rPr>
            </w:pPr>
            <w:r>
              <w:rPr>
                <w:rFonts w:hint="eastAsia" w:ascii="方正仿宋_GBK" w:hAnsi="方正仿宋_GBK" w:eastAsia="方正仿宋_GBK" w:cs="方正仿宋_GBK"/>
                <w:b/>
                <w:bCs/>
                <w:color w:val="auto"/>
                <w:kern w:val="0"/>
                <w:sz w:val="22"/>
                <w:szCs w:val="22"/>
                <w:highlight w:val="none"/>
              </w:rPr>
              <w:t>售后服务方案、质量承诺及保障措施</w:t>
            </w:r>
          </w:p>
          <w:p w14:paraId="16CB71C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方正仿宋_GBK" w:hAnsi="方正仿宋_GBK" w:eastAsia="方正仿宋_GBK" w:cs="方正仿宋_GBK"/>
                <w:b/>
                <w:bCs/>
                <w:color w:val="auto"/>
                <w:kern w:val="2"/>
                <w:sz w:val="22"/>
                <w:szCs w:val="22"/>
                <w:highlight w:val="none"/>
                <w:lang w:val="en-US" w:eastAsia="zh-CN" w:bidi="ar-SA"/>
              </w:rPr>
            </w:pPr>
            <w:r>
              <w:rPr>
                <w:rFonts w:hint="eastAsia" w:ascii="方正仿宋_GBK" w:hAnsi="方正仿宋_GBK" w:eastAsia="方正仿宋_GBK" w:cs="方正仿宋_GBK"/>
                <w:b/>
                <w:bCs/>
                <w:color w:val="auto"/>
                <w:kern w:val="0"/>
                <w:sz w:val="22"/>
                <w:szCs w:val="22"/>
                <w:highlight w:val="none"/>
              </w:rPr>
              <w:t>（3分）</w:t>
            </w:r>
          </w:p>
        </w:tc>
        <w:tc>
          <w:tcPr>
            <w:tcW w:w="481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290B22">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eastAsia" w:ascii="方正仿宋_GBK" w:hAnsi="方正仿宋_GBK" w:eastAsia="方正仿宋_GBK" w:cs="方正仿宋_GBK"/>
                <w:color w:val="auto"/>
                <w:spacing w:val="-6"/>
                <w:kern w:val="2"/>
                <w:sz w:val="22"/>
                <w:szCs w:val="22"/>
                <w:highlight w:val="none"/>
                <w:lang w:val="en-US" w:eastAsia="zh-CN" w:bidi="ar-SA"/>
              </w:rPr>
            </w:pPr>
            <w:r>
              <w:rPr>
                <w:rFonts w:hint="eastAsia" w:ascii="方正仿宋_GBK" w:hAnsi="方正仿宋_GBK" w:eastAsia="方正仿宋_GBK" w:cs="方正仿宋_GBK"/>
                <w:color w:val="auto"/>
                <w:spacing w:val="-6"/>
                <w:kern w:val="2"/>
                <w:sz w:val="22"/>
                <w:szCs w:val="22"/>
                <w:highlight w:val="none"/>
                <w:lang w:val="en-US" w:eastAsia="zh-CN" w:bidi="ar-SA"/>
              </w:rPr>
              <w:t>具有完善的产品质量保证承诺、质量保证措施及售后服务、运维方案，包含但不限于售后服务组织体系、售后服务人员、维护资源（维护/优化人员、车辆、工具等）构成、团队分工与职责、服务内容、服务流程、服务保障措施等内容。</w:t>
            </w:r>
          </w:p>
          <w:p w14:paraId="662B0F55">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eastAsia" w:ascii="方正仿宋_GBK" w:hAnsi="方正仿宋_GBK" w:eastAsia="方正仿宋_GBK" w:cs="方正仿宋_GBK"/>
                <w:color w:val="auto"/>
                <w:spacing w:val="-6"/>
                <w:kern w:val="2"/>
                <w:sz w:val="22"/>
                <w:szCs w:val="22"/>
                <w:highlight w:val="none"/>
                <w:lang w:val="en-US" w:eastAsia="zh-CN" w:bidi="ar-SA"/>
              </w:rPr>
            </w:pPr>
            <w:r>
              <w:rPr>
                <w:rFonts w:hint="eastAsia" w:ascii="方正仿宋_GBK" w:hAnsi="方正仿宋_GBK" w:eastAsia="方正仿宋_GBK" w:cs="方正仿宋_GBK"/>
                <w:color w:val="auto"/>
                <w:spacing w:val="-6"/>
                <w:kern w:val="2"/>
                <w:sz w:val="22"/>
                <w:szCs w:val="22"/>
                <w:highlight w:val="none"/>
                <w:lang w:val="en-US" w:eastAsia="zh-CN" w:bidi="ar-SA"/>
              </w:rPr>
              <w:t>方案包含上述所有内容，内容不存在瑕疵得3分；方案内容存在1处瑕疵，得2分；存在2处瑕疵，得1分，存在3处及以上瑕疵或未提供方案得0分。</w:t>
            </w:r>
          </w:p>
        </w:tc>
        <w:tc>
          <w:tcPr>
            <w:tcW w:w="23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8E7B95">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提供相应方案，格式自拟。</w:t>
            </w:r>
          </w:p>
          <w:p w14:paraId="0C4E4DB3">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注：方案中所称的“瑕疵”指：</w:t>
            </w:r>
          </w:p>
          <w:p w14:paraId="57535D6A">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1.方案出现内容缺项、表述不完整或缺少关键分析点；</w:t>
            </w:r>
          </w:p>
          <w:p w14:paraId="0A3BF404">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2.缺乏科学合理性，存在逻辑漏洞、常识错误；</w:t>
            </w:r>
          </w:p>
          <w:p w14:paraId="4FEE99DD">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3.表述前后矛盾、无连贯性；</w:t>
            </w:r>
          </w:p>
          <w:p w14:paraId="54806876">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4.方案安排并不适用本项目特性或不利于本项目的目的实现；</w:t>
            </w:r>
          </w:p>
          <w:p w14:paraId="09E3DFD2">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5.方案内容中包含其他项目名称，或出现与本项目不相关的其他内容；</w:t>
            </w:r>
          </w:p>
          <w:p w14:paraId="4306DCA7">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6.内容空泛，无具体方法或内容；</w:t>
            </w:r>
          </w:p>
          <w:p w14:paraId="5BBD74B4">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7.现有条件下不可能实现的情形。</w:t>
            </w:r>
          </w:p>
          <w:p w14:paraId="6112F399">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11"/>
                <w:kern w:val="2"/>
                <w:sz w:val="22"/>
                <w:szCs w:val="22"/>
                <w:highlight w:val="none"/>
                <w:lang w:val="en-US" w:eastAsia="zh-CN" w:bidi="ar-SA"/>
              </w:rPr>
              <w:t>上述任意一种情形为1处瑕疵。</w:t>
            </w:r>
          </w:p>
        </w:tc>
      </w:tr>
      <w:tr w14:paraId="35FB0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vMerge w:val="continue"/>
            <w:tcBorders>
              <w:left w:val="single" w:color="auto" w:sz="4" w:space="0"/>
              <w:right w:val="single" w:color="auto" w:sz="4" w:space="0"/>
            </w:tcBorders>
            <w:noWrap w:val="0"/>
            <w:vAlign w:val="center"/>
          </w:tcPr>
          <w:p w14:paraId="3F5BBA12">
            <w:pPr>
              <w:keepNext w:val="0"/>
              <w:keepLines w:val="0"/>
              <w:pageBreakBefore w:val="0"/>
              <w:kinsoku/>
              <w:wordWrap/>
              <w:overflowPunct/>
              <w:topLinePunct w:val="0"/>
              <w:autoSpaceDE/>
              <w:autoSpaceDN/>
              <w:bidi w:val="0"/>
              <w:spacing w:line="320" w:lineRule="exact"/>
              <w:ind w:firstLine="28"/>
              <w:jc w:val="center"/>
              <w:textAlignment w:val="auto"/>
              <w:rPr>
                <w:rFonts w:hint="eastAsia" w:ascii="方正仿宋_GBK" w:hAnsi="方正仿宋_GBK" w:eastAsia="方正仿宋_GBK" w:cs="方正仿宋_GBK"/>
                <w:b/>
                <w:bCs/>
                <w:color w:val="auto"/>
                <w:sz w:val="22"/>
                <w:szCs w:val="22"/>
                <w:highlight w:val="none"/>
              </w:rPr>
            </w:pPr>
          </w:p>
        </w:tc>
        <w:tc>
          <w:tcPr>
            <w:tcW w:w="1012" w:type="dxa"/>
            <w:vMerge w:val="continue"/>
            <w:tcBorders>
              <w:left w:val="single" w:color="auto" w:sz="4" w:space="0"/>
              <w:right w:val="single" w:color="auto" w:sz="4" w:space="0"/>
            </w:tcBorders>
            <w:noWrap w:val="0"/>
            <w:vAlign w:val="center"/>
          </w:tcPr>
          <w:p w14:paraId="65698679">
            <w:pPr>
              <w:keepNext w:val="0"/>
              <w:keepLines w:val="0"/>
              <w:pageBreakBefore w:val="0"/>
              <w:kinsoku/>
              <w:wordWrap/>
              <w:overflowPunct/>
              <w:topLinePunct w:val="0"/>
              <w:autoSpaceDE/>
              <w:autoSpaceDN/>
              <w:bidi w:val="0"/>
              <w:spacing w:line="320" w:lineRule="exact"/>
              <w:ind w:firstLine="28"/>
              <w:jc w:val="center"/>
              <w:textAlignment w:val="auto"/>
              <w:rPr>
                <w:rFonts w:hint="eastAsia" w:ascii="方正仿宋_GBK" w:hAnsi="方正仿宋_GBK" w:eastAsia="方正仿宋_GBK" w:cs="方正仿宋_GBK"/>
                <w:b/>
                <w:bCs/>
                <w:color w:val="auto"/>
                <w:sz w:val="22"/>
                <w:szCs w:val="22"/>
                <w:highlight w:val="none"/>
              </w:rPr>
            </w:pPr>
          </w:p>
        </w:tc>
        <w:tc>
          <w:tcPr>
            <w:tcW w:w="1235" w:type="dxa"/>
            <w:tcBorders>
              <w:top w:val="single" w:color="auto" w:sz="4" w:space="0"/>
              <w:left w:val="single" w:color="auto" w:sz="4" w:space="0"/>
              <w:bottom w:val="single" w:color="auto" w:sz="4" w:space="0"/>
              <w:right w:val="single" w:color="auto" w:sz="4" w:space="0"/>
            </w:tcBorders>
            <w:noWrap w:val="0"/>
            <w:vAlign w:val="center"/>
          </w:tcPr>
          <w:p w14:paraId="1C98F6B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default" w:ascii="方正仿宋_GBK" w:hAnsi="方正仿宋_GBK" w:eastAsia="方正仿宋_GBK" w:cs="方正仿宋_GBK"/>
                <w:b/>
                <w:bCs/>
                <w:color w:val="auto"/>
                <w:kern w:val="0"/>
                <w:sz w:val="22"/>
                <w:szCs w:val="22"/>
                <w:highlight w:val="none"/>
                <w:lang w:val="en-US" w:eastAsia="zh-CN"/>
              </w:rPr>
              <w:t>业绩证明（3分）</w:t>
            </w:r>
          </w:p>
        </w:tc>
        <w:tc>
          <w:tcPr>
            <w:tcW w:w="4819" w:type="dxa"/>
            <w:tcBorders>
              <w:top w:val="single" w:color="auto" w:sz="4" w:space="0"/>
              <w:left w:val="single" w:color="auto" w:sz="4" w:space="0"/>
              <w:bottom w:val="single" w:color="auto" w:sz="4" w:space="0"/>
              <w:right w:val="single" w:color="auto" w:sz="4" w:space="0"/>
            </w:tcBorders>
            <w:noWrap w:val="0"/>
            <w:vAlign w:val="center"/>
          </w:tcPr>
          <w:p w14:paraId="7048791E">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投标人提供自2022年9月1日起至投标截止之日的自然灾害感知类项目业绩，每提供一个得1分，最多得3分。未按要求提供或不提供不得分。</w:t>
            </w:r>
          </w:p>
        </w:tc>
        <w:tc>
          <w:tcPr>
            <w:tcW w:w="23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BCA904">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提供合同关键页</w:t>
            </w:r>
            <w:r>
              <w:rPr>
                <w:rFonts w:hint="eastAsia" w:ascii="方正仿宋_GBK" w:hAnsi="方正仿宋_GBK" w:eastAsia="方正仿宋_GBK" w:cs="方正仿宋_GBK"/>
                <w:color w:val="auto"/>
                <w:spacing w:val="-6"/>
                <w:sz w:val="22"/>
                <w:szCs w:val="22"/>
                <w:highlight w:val="none"/>
                <w:lang w:eastAsia="zh-CN"/>
              </w:rPr>
              <w:t>复印</w:t>
            </w:r>
            <w:r>
              <w:rPr>
                <w:rFonts w:hint="eastAsia" w:ascii="方正仿宋_GBK" w:hAnsi="方正仿宋_GBK" w:eastAsia="方正仿宋_GBK" w:cs="方正仿宋_GBK"/>
                <w:color w:val="auto"/>
                <w:spacing w:val="-6"/>
                <w:sz w:val="22"/>
                <w:szCs w:val="22"/>
                <w:highlight w:val="none"/>
              </w:rPr>
              <w:t>件+合同对应的任意一张有效的发票</w:t>
            </w:r>
            <w:r>
              <w:rPr>
                <w:rFonts w:hint="eastAsia" w:ascii="方正仿宋_GBK" w:hAnsi="方正仿宋_GBK" w:eastAsia="方正仿宋_GBK" w:cs="方正仿宋_GBK"/>
                <w:color w:val="auto"/>
                <w:spacing w:val="-6"/>
                <w:sz w:val="22"/>
                <w:szCs w:val="22"/>
                <w:highlight w:val="none"/>
                <w:lang w:eastAsia="zh-CN"/>
              </w:rPr>
              <w:t>复印</w:t>
            </w:r>
            <w:r>
              <w:rPr>
                <w:rFonts w:hint="eastAsia" w:ascii="方正仿宋_GBK" w:hAnsi="方正仿宋_GBK" w:eastAsia="方正仿宋_GBK" w:cs="方正仿宋_GBK"/>
                <w:color w:val="auto"/>
                <w:spacing w:val="-6"/>
                <w:sz w:val="22"/>
                <w:szCs w:val="22"/>
                <w:highlight w:val="none"/>
              </w:rPr>
              <w:t>件作为业绩证明材料</w:t>
            </w:r>
            <w:r>
              <w:rPr>
                <w:rFonts w:hint="eastAsia" w:ascii="方正仿宋_GBK" w:hAnsi="方正仿宋_GBK" w:eastAsia="方正仿宋_GBK" w:cs="方正仿宋_GBK"/>
                <w:color w:val="auto"/>
                <w:spacing w:val="-6"/>
                <w:sz w:val="22"/>
                <w:szCs w:val="22"/>
                <w:highlight w:val="none"/>
                <w:lang w:eastAsia="zh-CN"/>
              </w:rPr>
              <w:t>，复印件加</w:t>
            </w:r>
            <w:r>
              <w:rPr>
                <w:rFonts w:hint="eastAsia" w:ascii="方正仿宋_GBK" w:hAnsi="方正仿宋_GBK" w:eastAsia="方正仿宋_GBK" w:cs="方正仿宋_GBK"/>
                <w:color w:val="auto"/>
                <w:spacing w:val="-6"/>
                <w:sz w:val="22"/>
                <w:szCs w:val="22"/>
                <w:highlight w:val="none"/>
              </w:rPr>
              <w:t>盖投标人公章。</w:t>
            </w:r>
          </w:p>
          <w:p w14:paraId="39686EB2">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auto"/>
                <w:spacing w:val="-6"/>
                <w:sz w:val="22"/>
                <w:szCs w:val="22"/>
                <w:highlight w:val="none"/>
              </w:rPr>
            </w:pPr>
            <w:r>
              <w:rPr>
                <w:rFonts w:hint="eastAsia" w:ascii="方正仿宋_GBK" w:hAnsi="方正仿宋_GBK" w:eastAsia="方正仿宋_GBK" w:cs="方正仿宋_GBK"/>
                <w:color w:val="auto"/>
                <w:spacing w:val="-6"/>
                <w:sz w:val="22"/>
                <w:szCs w:val="22"/>
                <w:highlight w:val="none"/>
              </w:rPr>
              <w:t>（1）①合同关键页包括封面页、内容页、合同金额页、签字盖章页。合同关键页缺失、未盖章、模糊无可辨认的视为无效合同。②业绩认定时间：合同签订时间或合同内可识别的执行时间其一满足时间即可，合同服务日期早于2022年9月1日的不纳入业绩评分。③发票要求：提供合同对应的任意一张有全国统一发票监制章的发票</w:t>
            </w:r>
            <w:r>
              <w:rPr>
                <w:rFonts w:hint="eastAsia" w:ascii="方正仿宋_GBK" w:hAnsi="方正仿宋_GBK" w:eastAsia="方正仿宋_GBK" w:cs="方正仿宋_GBK"/>
                <w:color w:val="auto"/>
                <w:spacing w:val="-6"/>
                <w:sz w:val="22"/>
                <w:szCs w:val="22"/>
                <w:highlight w:val="none"/>
                <w:lang w:eastAsia="zh-CN"/>
              </w:rPr>
              <w:t>复印</w:t>
            </w:r>
            <w:r>
              <w:rPr>
                <w:rFonts w:hint="eastAsia" w:ascii="方正仿宋_GBK" w:hAnsi="方正仿宋_GBK" w:eastAsia="方正仿宋_GBK" w:cs="方正仿宋_GBK"/>
                <w:color w:val="auto"/>
                <w:spacing w:val="-6"/>
                <w:sz w:val="22"/>
                <w:szCs w:val="22"/>
                <w:highlight w:val="none"/>
              </w:rPr>
              <w:t>件，未提供或</w:t>
            </w:r>
            <w:r>
              <w:rPr>
                <w:rFonts w:hint="eastAsia" w:ascii="方正仿宋_GBK" w:hAnsi="方正仿宋_GBK" w:eastAsia="方正仿宋_GBK" w:cs="方正仿宋_GBK"/>
                <w:color w:val="auto"/>
                <w:spacing w:val="-6"/>
                <w:sz w:val="22"/>
                <w:szCs w:val="22"/>
                <w:highlight w:val="none"/>
                <w:lang w:eastAsia="zh-CN"/>
              </w:rPr>
              <w:t>复印</w:t>
            </w:r>
            <w:r>
              <w:rPr>
                <w:rFonts w:hint="eastAsia" w:ascii="方正仿宋_GBK" w:hAnsi="方正仿宋_GBK" w:eastAsia="方正仿宋_GBK" w:cs="方正仿宋_GBK"/>
                <w:color w:val="auto"/>
                <w:spacing w:val="-6"/>
                <w:sz w:val="22"/>
                <w:szCs w:val="22"/>
                <w:highlight w:val="none"/>
              </w:rPr>
              <w:t>件模糊不可辨认的视为无效发票。</w:t>
            </w:r>
          </w:p>
          <w:p w14:paraId="52CED972">
            <w:pPr>
              <w:pStyle w:val="2"/>
              <w:keepNext w:val="0"/>
              <w:keepLines w:val="0"/>
              <w:pageBreakBefore w:val="0"/>
              <w:kinsoku/>
              <w:wordWrap/>
              <w:overflowPunct/>
              <w:topLinePunct w:val="0"/>
              <w:autoSpaceDE/>
              <w:autoSpaceDN/>
              <w:bidi w:val="0"/>
              <w:spacing w:line="300" w:lineRule="exact"/>
              <w:textAlignment w:val="auto"/>
              <w:rPr>
                <w:rFonts w:hint="eastAsia" w:ascii="方正仿宋_GBK" w:hAnsi="方正仿宋_GBK" w:eastAsia="方正仿宋_GBK" w:cs="方正仿宋_GBK"/>
                <w:color w:val="auto"/>
                <w:spacing w:val="-11"/>
                <w:kern w:val="2"/>
                <w:sz w:val="22"/>
                <w:szCs w:val="22"/>
                <w:highlight w:val="none"/>
                <w:lang w:val="en-US" w:eastAsia="zh-CN" w:bidi="ar-SA"/>
              </w:rPr>
            </w:pPr>
            <w:r>
              <w:rPr>
                <w:rFonts w:hint="eastAsia" w:ascii="方正仿宋_GBK" w:hAnsi="方正仿宋_GBK" w:eastAsia="方正仿宋_GBK" w:cs="方正仿宋_GBK"/>
                <w:color w:val="auto"/>
                <w:spacing w:val="-6"/>
                <w:sz w:val="22"/>
                <w:szCs w:val="22"/>
                <w:highlight w:val="none"/>
              </w:rPr>
              <w:t>（2）采购人保留对业绩证明材料的现场或远程核验权利和追责权利，若发现虚假业绩，则按《中华人民共和国政府采购法实施条例》进行处罚。</w:t>
            </w:r>
          </w:p>
        </w:tc>
      </w:tr>
      <w:tr w14:paraId="72D0D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tcBorders>
              <w:left w:val="single" w:color="auto" w:sz="4" w:space="0"/>
              <w:right w:val="single" w:color="auto" w:sz="4" w:space="0"/>
            </w:tcBorders>
            <w:noWrap w:val="0"/>
            <w:vAlign w:val="center"/>
          </w:tcPr>
          <w:p w14:paraId="732E3F83">
            <w:pPr>
              <w:keepNext w:val="0"/>
              <w:keepLines w:val="0"/>
              <w:pageBreakBefore w:val="0"/>
              <w:kinsoku/>
              <w:wordWrap/>
              <w:overflowPunct/>
              <w:topLinePunct w:val="0"/>
              <w:autoSpaceDE/>
              <w:autoSpaceDN/>
              <w:bidi w:val="0"/>
              <w:spacing w:line="320" w:lineRule="exact"/>
              <w:ind w:firstLine="28"/>
              <w:jc w:val="center"/>
              <w:textAlignment w:val="auto"/>
              <w:rPr>
                <w:rFonts w:hint="eastAsia" w:ascii="方正仿宋_GBK" w:hAnsi="方正仿宋_GBK" w:eastAsia="方正仿宋_GBK" w:cs="方正仿宋_GBK"/>
                <w:b/>
                <w:bCs/>
                <w:color w:val="auto"/>
                <w:sz w:val="22"/>
                <w:szCs w:val="22"/>
                <w:highlight w:val="none"/>
                <w:lang w:val="en-US" w:eastAsia="zh-CN"/>
              </w:rPr>
            </w:pPr>
            <w:r>
              <w:rPr>
                <w:rFonts w:hint="eastAsia" w:ascii="方正仿宋_GBK" w:hAnsi="方正仿宋_GBK" w:eastAsia="方正仿宋_GBK" w:cs="方正仿宋_GBK"/>
                <w:b/>
                <w:bCs/>
                <w:color w:val="auto"/>
                <w:sz w:val="22"/>
                <w:szCs w:val="22"/>
                <w:highlight w:val="none"/>
                <w:lang w:val="en-US" w:eastAsia="zh-CN"/>
              </w:rPr>
              <w:t>4</w:t>
            </w:r>
          </w:p>
        </w:tc>
        <w:tc>
          <w:tcPr>
            <w:tcW w:w="2247" w:type="dxa"/>
            <w:gridSpan w:val="2"/>
            <w:tcBorders>
              <w:left w:val="single" w:color="auto" w:sz="4" w:space="0"/>
              <w:right w:val="single" w:color="auto" w:sz="4" w:space="0"/>
            </w:tcBorders>
            <w:noWrap w:val="0"/>
            <w:vAlign w:val="center"/>
          </w:tcPr>
          <w:p w14:paraId="7F7DF06A">
            <w:pPr>
              <w:keepNext w:val="0"/>
              <w:keepLines w:val="0"/>
              <w:pageBreakBefore w:val="0"/>
              <w:widowControl/>
              <w:kinsoku/>
              <w:overflowPunct/>
              <w:autoSpaceDE/>
              <w:autoSpaceDN/>
              <w:bidi w:val="0"/>
              <w:spacing w:line="320" w:lineRule="exact"/>
              <w:jc w:val="center"/>
              <w:textAlignment w:val="auto"/>
              <w:rPr>
                <w:rFonts w:hint="eastAsia" w:ascii="方正仿宋_GBK" w:hAnsi="方正仿宋_GBK" w:eastAsia="方正仿宋_GBK" w:cs="方正仿宋_GBK"/>
                <w:b/>
                <w:bCs/>
                <w:color w:val="auto"/>
                <w:sz w:val="22"/>
                <w:szCs w:val="22"/>
                <w:highlight w:val="none"/>
              </w:rPr>
            </w:pPr>
            <w:r>
              <w:rPr>
                <w:rFonts w:hint="eastAsia" w:ascii="方正仿宋_GBK" w:hAnsi="方正仿宋_GBK" w:eastAsia="方正仿宋_GBK" w:cs="方正仿宋_GBK"/>
                <w:b/>
                <w:bCs/>
                <w:color w:val="auto"/>
                <w:spacing w:val="-11"/>
                <w:kern w:val="0"/>
                <w:sz w:val="22"/>
                <w:szCs w:val="22"/>
                <w:highlight w:val="none"/>
              </w:rPr>
              <w:t>政策性加分（4分）</w:t>
            </w:r>
          </w:p>
        </w:tc>
        <w:tc>
          <w:tcPr>
            <w:tcW w:w="7143" w:type="dxa"/>
            <w:gridSpan w:val="2"/>
            <w:tcBorders>
              <w:top w:val="single" w:color="auto" w:sz="4" w:space="0"/>
              <w:left w:val="single" w:color="auto" w:sz="4" w:space="0"/>
              <w:bottom w:val="single" w:color="auto" w:sz="4" w:space="0"/>
              <w:right w:val="single" w:color="auto" w:sz="4" w:space="0"/>
            </w:tcBorders>
            <w:noWrap w:val="0"/>
            <w:vAlign w:val="center"/>
          </w:tcPr>
          <w:p w14:paraId="24FDCA73">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1.投标产品属于《财政部 发展改革委关于印发节能产品政府采购品目清单的通知》（财库〔2019〕19号）范围内的节能产品，且“节能产品政府采购品目清单”中未标注“★”的，有一款得0.5分，最多得2分（清单中以“★”标注为政府强制采购的节能产品）。</w:t>
            </w:r>
          </w:p>
          <w:p w14:paraId="10354AF7">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2E6E2F6F">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2.投标产品属于《财政部 生态环境部关于印发环境标志产品政府采购品目清单的通知》（财库〔2019〕18号）范围内的环境标志产品的，有一款得0.5分，最多得2分。</w:t>
            </w:r>
          </w:p>
          <w:p w14:paraId="2AA498AE">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方正仿宋_GBK" w:hAnsi="方正仿宋_GBK" w:eastAsia="方正仿宋_GBK" w:cs="方正仿宋_GBK"/>
                <w:color w:val="auto"/>
                <w:sz w:val="22"/>
                <w:szCs w:val="22"/>
                <w:highlight w:val="none"/>
              </w:rPr>
            </w:pPr>
            <w:r>
              <w:rPr>
                <w:rFonts w:hint="eastAsia" w:ascii="方正仿宋_GBK" w:hAnsi="方正仿宋_GBK" w:eastAsia="方正仿宋_GBK" w:cs="方正仿宋_GBK"/>
                <w:color w:val="auto"/>
                <w:sz w:val="22"/>
                <w:szCs w:val="22"/>
                <w:highlight w:val="none"/>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bl>
    <w:p w14:paraId="1C60BF02">
      <w:pPr>
        <w:snapToGrid w:val="0"/>
        <w:spacing w:before="120" w:beforeLines="50" w:line="400" w:lineRule="exact"/>
        <w:ind w:firstLine="465"/>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供应商拒绝或者变相拒绝(包括未在规定时间内提供的)提供有效书面说明或者书面说明不能证明其报价合理性的，评标委员会应当将其投标文件作为无效处理。</w:t>
      </w:r>
    </w:p>
    <w:p w14:paraId="5E2441FA">
      <w:pPr>
        <w:snapToGrid w:val="0"/>
        <w:spacing w:line="400" w:lineRule="exact"/>
        <w:ind w:firstLine="48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1）供应商书面说明应当按照国家财务会计制度的规定要求，逐项就供应商提供的货物、工程和服务的主营业务成本(应根据供应商企业类型予以区别）、税金及附加、销售费用、管理费用、财务费用等成本构成事项详细陈述（若投标文件未附财务报告的，则还需提供完整的财务状况报告《含三表一附注》），或评标委员会要求提供的其他书面资料。</w:t>
      </w:r>
    </w:p>
    <w:p w14:paraId="797233C4">
      <w:pPr>
        <w:snapToGrid w:val="0"/>
        <w:spacing w:line="400" w:lineRule="exact"/>
        <w:ind w:firstLine="48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03727F73">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（3）供应商提供书面说明后，评标委员会应当结合采购项目采购需求、行业实际情况、供应商财务状况报告、与其他供应商比较情况等就供应商书面说明进行审查评价。</w:t>
      </w:r>
    </w:p>
    <w:p w14:paraId="57B178CE">
      <w:pPr>
        <w:snapToGrid w:val="0"/>
        <w:spacing w:line="400" w:lineRule="exact"/>
        <w:ind w:firstLine="465"/>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（二）关于小微企业报价扣除比例说明</w:t>
      </w:r>
    </w:p>
    <w:p w14:paraId="2EC57715">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1.投标人为非联合体投标的，对其投标货物的制造商为小微型企业的给予</w:t>
      </w:r>
      <w:r>
        <w:rPr>
          <w:rFonts w:hint="eastAsia" w:ascii="方正仿宋_GBK" w:hAnsi="宋体" w:eastAsia="方正仿宋_GBK"/>
          <w:color w:val="auto"/>
          <w:sz w:val="24"/>
          <w:szCs w:val="24"/>
          <w:highlight w:val="none"/>
          <w:u w:val="single"/>
        </w:rPr>
        <w:t>10%</w:t>
      </w:r>
      <w:r>
        <w:rPr>
          <w:rFonts w:hint="eastAsia" w:ascii="方正仿宋_GBK" w:hAnsi="宋体" w:eastAsia="方正仿宋_GBK"/>
          <w:color w:val="auto"/>
          <w:sz w:val="24"/>
          <w:szCs w:val="24"/>
          <w:highlight w:val="none"/>
        </w:rPr>
        <w:t>的扣除，以扣除后的报价参与评审。</w:t>
      </w:r>
    </w:p>
    <w:p w14:paraId="452EA500">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2.监狱企业、残疾人福利性单位视同小型、微型企业。</w:t>
      </w:r>
    </w:p>
    <w:p w14:paraId="76B7B82A">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397" w:name="_Toc10923"/>
      <w:bookmarkStart w:id="398" w:name="_Toc22167"/>
      <w:bookmarkStart w:id="399" w:name="_Toc18716"/>
      <w:bookmarkStart w:id="400" w:name="_Toc29586"/>
      <w:bookmarkStart w:id="401" w:name="_Toc30659"/>
      <w:bookmarkStart w:id="402" w:name="_Toc17065"/>
      <w:bookmarkStart w:id="403" w:name="_Toc75793521"/>
      <w:bookmarkStart w:id="404" w:name="_Toc26747"/>
      <w:bookmarkStart w:id="405" w:name="_Toc5010"/>
      <w:bookmarkStart w:id="406" w:name="_Toc4045"/>
      <w:bookmarkStart w:id="407" w:name="_Toc13232"/>
      <w:bookmarkStart w:id="408" w:name="_Toc13045"/>
      <w:bookmarkStart w:id="409" w:name="_Toc20423"/>
      <w:bookmarkStart w:id="410" w:name="_Toc15200"/>
      <w:bookmarkStart w:id="411" w:name="_Toc27926"/>
      <w:bookmarkStart w:id="412" w:name="_Toc29126"/>
      <w:r>
        <w:rPr>
          <w:rFonts w:hint="eastAsia" w:ascii="方正仿宋_GBK" w:eastAsia="方正仿宋_GBK"/>
          <w:b/>
          <w:color w:val="auto"/>
          <w:szCs w:val="21"/>
          <w:highlight w:val="none"/>
        </w:rPr>
        <w:t>四、无效投标条款</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52A4B9DD">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投标人或其投标文件出现下列情况之一者，应为无效投标：</w:t>
      </w:r>
    </w:p>
    <w:p w14:paraId="797FF825">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（一）未按照招标文件的规定提交投标保证金的；</w:t>
      </w:r>
    </w:p>
    <w:p w14:paraId="13764B3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（二）投标文件未按招标文件要求签署、盖章的；</w:t>
      </w:r>
    </w:p>
    <w:p w14:paraId="0D7E12AE">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（三）不具备招标文件中规定的资格要求的；</w:t>
      </w:r>
    </w:p>
    <w:p w14:paraId="3697909A">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（四）报价超过招标文件中规定的预算金额或者最高限价的；</w:t>
      </w:r>
    </w:p>
    <w:p w14:paraId="1385FF0C">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（五）投标文件含有采购人不能接受的附加条件的；</w:t>
      </w:r>
    </w:p>
    <w:p w14:paraId="2571270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（六）投标人串通投标的；</w:t>
      </w:r>
    </w:p>
    <w:p w14:paraId="11BF77F0">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（七）法律、法规和招标文件规定的其他无效情形。</w:t>
      </w:r>
    </w:p>
    <w:p w14:paraId="53525F63">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13" w:name="_Toc6956"/>
      <w:bookmarkStart w:id="414" w:name="_Toc6719"/>
      <w:bookmarkStart w:id="415" w:name="_Toc27133"/>
      <w:bookmarkStart w:id="416" w:name="_Toc75793522"/>
      <w:bookmarkStart w:id="417" w:name="_Toc14355"/>
      <w:bookmarkStart w:id="418" w:name="_Toc4422"/>
      <w:bookmarkStart w:id="419" w:name="_Toc6204"/>
      <w:bookmarkStart w:id="420" w:name="_Toc7802"/>
      <w:bookmarkStart w:id="421" w:name="_Toc23533"/>
      <w:bookmarkStart w:id="422" w:name="_Toc11293"/>
      <w:bookmarkStart w:id="423" w:name="_Toc21946"/>
      <w:bookmarkStart w:id="424" w:name="_Toc20005"/>
      <w:bookmarkStart w:id="425" w:name="_Toc25549"/>
      <w:bookmarkStart w:id="426" w:name="_Toc30605"/>
      <w:bookmarkStart w:id="427" w:name="_Toc25960"/>
      <w:bookmarkStart w:id="428" w:name="_Toc7340"/>
      <w:r>
        <w:rPr>
          <w:rFonts w:hint="eastAsia" w:ascii="方正仿宋_GBK" w:eastAsia="方正仿宋_GBK"/>
          <w:b/>
          <w:color w:val="auto"/>
          <w:szCs w:val="21"/>
          <w:highlight w:val="none"/>
        </w:rPr>
        <w:t>五、废标条款</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0076CEF7">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在招标采购中，出现下列情形之一的，应予废标：</w:t>
      </w:r>
    </w:p>
    <w:p w14:paraId="6EC923EF">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（一）符合专业条件的投标人或者对招标文件作实质响应的投标人不足三家的；</w:t>
      </w:r>
    </w:p>
    <w:p w14:paraId="37499E56">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（二）投标人的报价均超过了采购预算，采购人不能支付的；</w:t>
      </w:r>
    </w:p>
    <w:p w14:paraId="13C647B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（三）出现影响采购公正的违法、违规行为的；</w:t>
      </w:r>
    </w:p>
    <w:p w14:paraId="14A28CEA">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（四）因重大变故，采购任务取消的。</w:t>
      </w:r>
    </w:p>
    <w:p w14:paraId="6EDA6340">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废标后，除采购任务取消情形外，应当重新组织采购。</w:t>
      </w:r>
    </w:p>
    <w:p w14:paraId="5C520831">
      <w:pPr>
        <w:pStyle w:val="4"/>
        <w:spacing w:before="0" w:beforeLines="0" w:after="0" w:afterLines="0" w:line="360" w:lineRule="auto"/>
        <w:rPr>
          <w:rFonts w:ascii="方正仿宋_GBK" w:eastAsia="方正仿宋_GBK"/>
          <w:b/>
          <w:color w:val="auto"/>
          <w:highlight w:val="none"/>
        </w:rPr>
      </w:pPr>
      <w:r>
        <w:rPr>
          <w:rFonts w:hint="eastAsia" w:ascii="方正仿宋_GBK" w:hAnsi="宋体" w:eastAsia="方正仿宋_GBK"/>
          <w:color w:val="auto"/>
          <w:sz w:val="28"/>
          <w:highlight w:val="none"/>
        </w:rPr>
        <w:br w:type="page"/>
      </w:r>
      <w:bookmarkStart w:id="429" w:name="_Toc4735"/>
      <w:bookmarkStart w:id="430" w:name="_Toc25962"/>
      <w:bookmarkStart w:id="431" w:name="_Toc1982"/>
      <w:bookmarkStart w:id="432" w:name="_Toc25755"/>
      <w:bookmarkStart w:id="433" w:name="_Toc22256"/>
      <w:bookmarkStart w:id="434" w:name="_Toc21000"/>
      <w:bookmarkStart w:id="435" w:name="_Toc29546"/>
      <w:bookmarkStart w:id="436" w:name="_Toc5106"/>
      <w:bookmarkStart w:id="437" w:name="_Toc75793523"/>
      <w:bookmarkStart w:id="438" w:name="_Toc19831"/>
      <w:bookmarkStart w:id="439" w:name="_Toc21720"/>
      <w:bookmarkStart w:id="440" w:name="_Toc13159"/>
      <w:bookmarkStart w:id="441" w:name="_Toc22201"/>
      <w:bookmarkStart w:id="442" w:name="_Toc12533"/>
      <w:bookmarkStart w:id="443" w:name="_Toc18502"/>
      <w:bookmarkStart w:id="444" w:name="_Toc10559"/>
      <w:r>
        <w:rPr>
          <w:rFonts w:hint="eastAsia" w:ascii="方正仿宋_GBK" w:eastAsia="方正仿宋_GBK"/>
          <w:b/>
          <w:color w:val="auto"/>
          <w:highlight w:val="none"/>
        </w:rPr>
        <w:t>第五篇  投标人须知</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5B67E3D7">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45" w:name="_Toc11555"/>
      <w:bookmarkStart w:id="446" w:name="_Toc10657"/>
      <w:bookmarkStart w:id="447" w:name="_Toc12955"/>
      <w:bookmarkStart w:id="448" w:name="_Toc3330"/>
      <w:bookmarkStart w:id="449" w:name="_Toc1327"/>
      <w:bookmarkStart w:id="450" w:name="_Toc15432"/>
      <w:bookmarkStart w:id="451" w:name="_Toc13197"/>
      <w:bookmarkStart w:id="452" w:name="_Toc3327"/>
      <w:bookmarkStart w:id="453" w:name="_Toc11996"/>
      <w:bookmarkStart w:id="454" w:name="_Toc27405"/>
      <w:bookmarkStart w:id="455" w:name="_Toc20020"/>
      <w:bookmarkStart w:id="456" w:name="_Toc2439"/>
      <w:bookmarkStart w:id="457" w:name="_Toc10325"/>
      <w:bookmarkStart w:id="458" w:name="_Toc18929"/>
      <w:bookmarkStart w:id="459" w:name="_Toc75793524"/>
      <w:bookmarkStart w:id="460" w:name="_Toc422"/>
      <w:r>
        <w:rPr>
          <w:rFonts w:hint="eastAsia" w:ascii="方正仿宋_GBK" w:eastAsia="方正仿宋_GBK"/>
          <w:b/>
          <w:color w:val="auto"/>
          <w:szCs w:val="21"/>
          <w:highlight w:val="none"/>
        </w:rPr>
        <w:t>一、投标人</w:t>
      </w:r>
      <w:bookmarkEnd w:id="445"/>
    </w:p>
    <w:p w14:paraId="1220B952">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（一）投标人</w:t>
      </w:r>
    </w:p>
    <w:p w14:paraId="7F5E7477">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投标人是指响应招标、参加投标竞争的法人、其他组织或者自然人。</w:t>
      </w:r>
    </w:p>
    <w:p w14:paraId="69AAA1A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（二）合格投标人条件</w:t>
      </w:r>
    </w:p>
    <w:p w14:paraId="7D1B29E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合格投标人应完全符合招标文件第一篇中规定的投标人资格条件，并对招标文件作出实质性响应。</w:t>
      </w:r>
    </w:p>
    <w:p w14:paraId="5DFD08B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（三）投标人的风险</w:t>
      </w:r>
    </w:p>
    <w:p w14:paraId="1B6AD08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投标人没有按照招标文件要求提供全部资料，或者投标人没有对招标文件在各方面作出实质性响应，可能导致投标被拒绝或评定为无效投标。</w:t>
      </w:r>
    </w:p>
    <w:p w14:paraId="7B0952C3">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（四）法律责任</w:t>
      </w:r>
    </w:p>
    <w:p w14:paraId="666B3C8E">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投标人违反《中华人民共和国政府采购法》、《中华人民共和国政府采购实施条例》等相关规定，将按规定追究投标人法律责任。</w:t>
      </w:r>
    </w:p>
    <w:p w14:paraId="17D3A471">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61" w:name="_Toc28745"/>
      <w:r>
        <w:rPr>
          <w:rFonts w:hint="eastAsia" w:ascii="方正仿宋_GBK" w:eastAsia="方正仿宋_GBK"/>
          <w:b/>
          <w:color w:val="auto"/>
          <w:szCs w:val="21"/>
          <w:highlight w:val="none"/>
        </w:rPr>
        <w:t>二、招标文件</w:t>
      </w:r>
      <w:bookmarkEnd w:id="461"/>
    </w:p>
    <w:p w14:paraId="0EBD8EB6">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招标文件是投标人编制投标文件的依据，是评标委员会评判依据和标准。招标文件也是采购人与中标人签订合同的基础。</w:t>
      </w:r>
    </w:p>
    <w:p w14:paraId="13C78707">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（一）招标文件由投标邀请书；项目技术（质量）需求；商务条款；投标人须知；评标方法、评标标准、无效投标条款和废标条款；合同主要条款、合同范本；投标文件格式等七部分组成。</w:t>
      </w:r>
    </w:p>
    <w:p w14:paraId="3FC53CCC">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（二）采购代理机构对招标文件所作的一切有效的书面通知、修改及补充，都是招标文件不可分割的部分。</w:t>
      </w:r>
    </w:p>
    <w:p w14:paraId="2B77123B">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本项目的招标文件、澄清文件（如果有）一律在重庆市政府采购网（www.ccgp-chongqing.gov.cn）上发布，请各投标人注意下载或到采购代理机构处领取；无论投标人下载或领取与否，均视同投标人已知晓本项目招标文件、澄清文件的内容。</w:t>
      </w:r>
    </w:p>
    <w:p w14:paraId="569AD4A0">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（四）采购代理机构对已发出的招标文件需要进行澄清或修改的，应以书面形式或公告形式通知所有招标文件收受人。该澄清或者修改的内容为招标文件的组成部分。</w:t>
      </w:r>
    </w:p>
    <w:p w14:paraId="62AA7465">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62" w:name="_Toc5968"/>
      <w:r>
        <w:rPr>
          <w:rFonts w:hint="eastAsia" w:ascii="方正仿宋_GBK" w:eastAsia="方正仿宋_GBK"/>
          <w:b/>
          <w:color w:val="auto"/>
          <w:szCs w:val="21"/>
          <w:highlight w:val="none"/>
        </w:rPr>
        <w:t>三、投标文件</w:t>
      </w:r>
      <w:bookmarkEnd w:id="462"/>
    </w:p>
    <w:p w14:paraId="4A207F4E">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投标人应当按照招标文件的要求编制投标文件，并对招标文件提出的要求和条件作出实质性响应，投标文件原则上采用软面订本，同时应编制完整的页码、目录。</w:t>
      </w:r>
    </w:p>
    <w:p w14:paraId="014A067B">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（一）投标文件组成</w:t>
      </w:r>
    </w:p>
    <w:p w14:paraId="574EA518">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0FC65A22">
      <w:pPr>
        <w:numPr>
          <w:ilvl w:val="0"/>
          <w:numId w:val="16"/>
        </w:num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联合投标</w:t>
      </w:r>
    </w:p>
    <w:p w14:paraId="12D79E29">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本项目不接受联合体参与投标。</w:t>
      </w:r>
    </w:p>
    <w:p w14:paraId="572E7156">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（三）投标有效期</w:t>
      </w:r>
    </w:p>
    <w:p w14:paraId="1AE2490B">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投标有效期为投标截止时间起90个日历日。</w:t>
      </w:r>
    </w:p>
    <w:p w14:paraId="7FA62AAC">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（四）投标保证金</w:t>
      </w:r>
    </w:p>
    <w:p w14:paraId="7025E347">
      <w:pPr>
        <w:tabs>
          <w:tab w:val="left" w:pos="0"/>
        </w:tabs>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1.投标人应在投标截止时间前，按招标文件第一篇规定交纳投标保证金。</w:t>
      </w:r>
    </w:p>
    <w:p w14:paraId="61F5A7AA">
      <w:pPr>
        <w:tabs>
          <w:tab w:val="left" w:pos="0"/>
        </w:tabs>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2.投标保证金为投标的有效约束条件。</w:t>
      </w:r>
    </w:p>
    <w:p w14:paraId="7CA099B1">
      <w:pPr>
        <w:tabs>
          <w:tab w:val="left" w:pos="0"/>
        </w:tabs>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3.投标保证金的有效期限同投标有效期。</w:t>
      </w:r>
    </w:p>
    <w:p w14:paraId="616A8D94">
      <w:pPr>
        <w:tabs>
          <w:tab w:val="left" w:pos="0"/>
        </w:tabs>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4.投标保证金币种应与投标报价币种相同。</w:t>
      </w:r>
    </w:p>
    <w:p w14:paraId="7F5CE9C5">
      <w:pPr>
        <w:tabs>
          <w:tab w:val="left" w:pos="0"/>
        </w:tabs>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5.《中标通知书》发出后，由重庆市公共资源交易中心五个工作日内退还未中标人的投标保证金；在采购合同签订后，由重庆市公共资源交易中心五个工作日退还中标人的投标保证金。</w:t>
      </w:r>
    </w:p>
    <w:p w14:paraId="6E97119D">
      <w:pPr>
        <w:tabs>
          <w:tab w:val="left" w:pos="0"/>
        </w:tabs>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6.投标人有下列情形之一的，采购人或者采购代理机构可以不退还投标保证金：</w:t>
      </w:r>
    </w:p>
    <w:p w14:paraId="661440F9">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6.1投标人在投标有效期撤回投标文件的；</w:t>
      </w:r>
    </w:p>
    <w:p w14:paraId="638629C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6.2投标人未按规定提交履约保证金的；</w:t>
      </w:r>
    </w:p>
    <w:p w14:paraId="6F9E01B8">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6.3投标人在投标过程中弄虚作假，提供虚假材料的；</w:t>
      </w:r>
    </w:p>
    <w:p w14:paraId="5DC4E23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6.4中标人无正当理由不与采购人签订合同的；</w:t>
      </w:r>
    </w:p>
    <w:p w14:paraId="4A3DFA83">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6.5中标人将中标项目转让给他人或者在投标文件中未说明且未经采购人同意，将中标项目分包给他人的；</w:t>
      </w:r>
    </w:p>
    <w:p w14:paraId="251F71C0">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6.6中标人拒绝履行合同义务的；</w:t>
      </w:r>
    </w:p>
    <w:p w14:paraId="076171A0">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6.7其他严重扰乱招投标程序的。</w:t>
      </w:r>
    </w:p>
    <w:p w14:paraId="25F68456">
      <w:pPr>
        <w:snapToGrid w:val="0"/>
        <w:spacing w:line="400" w:lineRule="exact"/>
        <w:ind w:firstLine="480" w:firstLineChars="20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（五）投标文件的份数和签署</w:t>
      </w:r>
    </w:p>
    <w:p w14:paraId="3ED6AF06">
      <w:pPr>
        <w:tabs>
          <w:tab w:val="left" w:pos="0"/>
        </w:tabs>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1.投标文件一式四份，其中正本一份，副本二份，电子文档一份（电子文档内容应与投标文件正本一致，推荐采用光盘或U盘为文件载体，</w:t>
      </w:r>
      <w:r>
        <w:rPr>
          <w:rFonts w:hint="eastAsia" w:ascii="方正仿宋_GBK" w:hAnsi="宋体" w:eastAsia="方正仿宋_GBK"/>
          <w:b/>
          <w:bCs/>
          <w:color w:val="auto"/>
          <w:sz w:val="24"/>
          <w:szCs w:val="24"/>
          <w:highlight w:val="none"/>
        </w:rPr>
        <w:t>电子档应包含投标文件</w:t>
      </w:r>
      <w:r>
        <w:rPr>
          <w:rFonts w:hint="eastAsia" w:ascii="方正仿宋_GBK" w:hAnsi="宋体" w:eastAsia="方正仿宋_GBK"/>
          <w:b/>
          <w:bCs/>
          <w:color w:val="auto"/>
          <w:sz w:val="24"/>
          <w:szCs w:val="24"/>
          <w:highlight w:val="none"/>
          <w:lang w:val="en-US" w:eastAsia="zh-CN"/>
        </w:rPr>
        <w:t>全项</w:t>
      </w:r>
      <w:r>
        <w:rPr>
          <w:rFonts w:ascii="方正仿宋_GBK" w:hAnsi="宋体" w:eastAsia="方正仿宋_GBK"/>
          <w:b/>
          <w:bCs/>
          <w:color w:val="auto"/>
          <w:sz w:val="24"/>
          <w:szCs w:val="24"/>
          <w:highlight w:val="none"/>
        </w:rPr>
        <w:t>Word版本和正本打印盖章后扫描的PDF版本</w:t>
      </w:r>
      <w:r>
        <w:rPr>
          <w:rFonts w:hint="eastAsia" w:ascii="方正仿宋_GBK" w:hAnsi="宋体" w:eastAsia="方正仿宋_GBK"/>
          <w:color w:val="auto"/>
          <w:sz w:val="24"/>
          <w:szCs w:val="24"/>
          <w:highlight w:val="none"/>
        </w:rPr>
        <w:t>）。每套投标文件须在封面清楚地标明“正本”、“副本”或“电子文档”，副本应为正本的完整复印件，副本与正本不一致时以正本为准。投标文件电子文档与纸质投标文件正本不一致时，以纸质投标文件正本为准。</w:t>
      </w:r>
    </w:p>
    <w:p w14:paraId="1EE7229E">
      <w:pPr>
        <w:tabs>
          <w:tab w:val="left" w:pos="0"/>
        </w:tabs>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2.在投标文件正本中，招标文件第七篇投标文件格式中规定签署、盖章的地方必须按其规定签署、盖章。</w:t>
      </w:r>
    </w:p>
    <w:p w14:paraId="441D8D71">
      <w:pPr>
        <w:tabs>
          <w:tab w:val="left" w:pos="0"/>
        </w:tabs>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3.若投标人对投标文件的错处作必要修改，则应在修改处加盖投标人公章或由法定代表人（或其授权代表）或自然人（投标人为自然人）签署确认。</w:t>
      </w:r>
    </w:p>
    <w:p w14:paraId="009BAE48">
      <w:pPr>
        <w:snapToGrid w:val="0"/>
        <w:spacing w:line="400" w:lineRule="exact"/>
        <w:ind w:firstLine="480" w:firstLineChars="20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4.电报、电话、传真形式的投标文件概不接受。</w:t>
      </w:r>
    </w:p>
    <w:p w14:paraId="2217E675">
      <w:pPr>
        <w:snapToGrid w:val="0"/>
        <w:spacing w:line="400" w:lineRule="exact"/>
        <w:ind w:firstLine="480" w:firstLineChars="20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（六）投标报价</w:t>
      </w:r>
    </w:p>
    <w:p w14:paraId="6A1CA8FC">
      <w:pPr>
        <w:snapToGrid w:val="0"/>
        <w:spacing w:line="400" w:lineRule="exact"/>
        <w:ind w:firstLine="480" w:firstLineChars="200"/>
        <w:jc w:val="lef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1.投标人应严格按照“投标文件格式”中“开标一览表”和“分项报价明细表”的格式填写报价。</w:t>
      </w:r>
    </w:p>
    <w:p w14:paraId="45CC7C8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2.投标人的报价为一次性报价，即在投标有效期内投标价格固定不变。</w:t>
      </w:r>
    </w:p>
    <w:p w14:paraId="62900F62">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3.本项目只接受一个投标报价，有选择的或有条件的报价将不予接受。</w:t>
      </w:r>
    </w:p>
    <w:p w14:paraId="56BDFA0D">
      <w:pPr>
        <w:pStyle w:val="31"/>
        <w:adjustRightInd/>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（七）修正错误</w:t>
      </w:r>
    </w:p>
    <w:p w14:paraId="47C023F8">
      <w:pPr>
        <w:pStyle w:val="31"/>
        <w:adjustRightInd/>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若投标文件出现计算或表达上的错误，修正错误的原则如下：</w:t>
      </w:r>
    </w:p>
    <w:p w14:paraId="25A341EC">
      <w:pPr>
        <w:pStyle w:val="31"/>
        <w:adjustRightInd/>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1.投标文件中开标一览表（报价表）内容与投标文件中相应内容不一致的，以开标一览表（报价表）为准；</w:t>
      </w:r>
    </w:p>
    <w:p w14:paraId="07E95B2A">
      <w:pPr>
        <w:pStyle w:val="31"/>
        <w:adjustRightInd/>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2.大写金额和小写金额不一致的，以大写金额为准；</w:t>
      </w:r>
    </w:p>
    <w:p w14:paraId="4F482D70">
      <w:pPr>
        <w:pStyle w:val="31"/>
        <w:adjustRightInd/>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3.单价金额小数点或者百分比有明显错位的，以开标一览表的总价为准，并修改单价；</w:t>
      </w:r>
    </w:p>
    <w:p w14:paraId="452DB363">
      <w:pPr>
        <w:pStyle w:val="31"/>
        <w:adjustRightInd/>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4.总价金额与按单价汇总金额不一致的，以单价金额计算结果为准。</w:t>
      </w:r>
    </w:p>
    <w:p w14:paraId="251B61B7">
      <w:pPr>
        <w:pStyle w:val="31"/>
        <w:adjustRightInd/>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2D5F2862">
      <w:pPr>
        <w:pStyle w:val="31"/>
        <w:adjustRightInd/>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（八）投标文件的递交</w:t>
      </w:r>
    </w:p>
    <w:p w14:paraId="5F79C734">
      <w:pPr>
        <w:pStyle w:val="31"/>
        <w:adjustRightInd/>
        <w:spacing w:line="400" w:lineRule="exact"/>
        <w:ind w:firstLine="480" w:firstLineChars="200"/>
        <w:rPr>
          <w:rFonts w:hint="default" w:ascii="方正仿宋_GBK" w:hAnsi="宋体" w:eastAsia="方正仿宋_GBK"/>
          <w:color w:val="auto"/>
          <w:sz w:val="24"/>
          <w:szCs w:val="24"/>
          <w:highlight w:val="none"/>
          <w:lang w:val="en-US" w:eastAsia="zh-CN"/>
        </w:rPr>
      </w:pPr>
      <w:r>
        <w:rPr>
          <w:rFonts w:hint="eastAsia" w:ascii="方正仿宋_GBK" w:hAnsi="宋体" w:eastAsia="方正仿宋_GBK"/>
          <w:color w:val="auto"/>
          <w:sz w:val="24"/>
          <w:szCs w:val="24"/>
          <w:highlight w:val="none"/>
        </w:rPr>
        <w:t>投标文件的正本、副本以及电子文档均应密封送达投标地点，应在封套上注明项目名称、投标人名称。若正本、副本以及电子文档分别进行密封的，还应在封套上注明“正本”、“副本”、“电子文档”字样。</w:t>
      </w:r>
    </w:p>
    <w:p w14:paraId="69F1295E">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63" w:name="_Toc31233"/>
      <w:r>
        <w:rPr>
          <w:rFonts w:hint="eastAsia" w:ascii="方正仿宋_GBK" w:eastAsia="方正仿宋_GBK"/>
          <w:b/>
          <w:color w:val="auto"/>
          <w:szCs w:val="21"/>
          <w:highlight w:val="none"/>
        </w:rPr>
        <w:t>四、开标</w:t>
      </w:r>
      <w:bookmarkEnd w:id="463"/>
    </w:p>
    <w:p w14:paraId="03DCFF3F">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（一）开标应当在招标文件中“投标邀请书”确定的时间和地点公开进行。</w:t>
      </w:r>
    </w:p>
    <w:p w14:paraId="06B87AC6">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（二）采购代理机构可视采购具体情况，延长投标截止时间和开标时间，并将变更时间书面通知所有招标文件收受人。</w:t>
      </w:r>
    </w:p>
    <w:p w14:paraId="7F8A46EE">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（三）开标由采购人或采购代理机构主持，邀请投标人和有关监督部门代表参加,有关监督部门可视情况派员现场监督。</w:t>
      </w:r>
    </w:p>
    <w:p w14:paraId="722FEA09">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14:paraId="28312645">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（五）未宣读的投标价格、价格折扣和招标文件允许提供的备选投标方案等实质性内容等，评标时不予承认。</w:t>
      </w:r>
    </w:p>
    <w:p w14:paraId="2954FF84">
      <w:pPr>
        <w:pStyle w:val="31"/>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（六）开标过程应由采购人或采购代理机构或重庆市公共资源交易中心指定专人负责记录，并存档备查。</w:t>
      </w:r>
    </w:p>
    <w:p w14:paraId="78DE8512">
      <w:pPr>
        <w:pStyle w:val="31"/>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（七）投标人未参加开标的，视同认可开标结果。</w:t>
      </w:r>
    </w:p>
    <w:p w14:paraId="44A4BD94">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64" w:name="_Toc3852"/>
      <w:r>
        <w:rPr>
          <w:rFonts w:hint="eastAsia" w:ascii="方正仿宋_GBK" w:eastAsia="方正仿宋_GBK"/>
          <w:b/>
          <w:color w:val="auto"/>
          <w:szCs w:val="21"/>
          <w:highlight w:val="none"/>
        </w:rPr>
        <w:t>五、评标</w:t>
      </w:r>
      <w:bookmarkEnd w:id="464"/>
    </w:p>
    <w:p w14:paraId="03104A4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见第四篇“评标”内容。</w:t>
      </w:r>
    </w:p>
    <w:p w14:paraId="104A3BCF">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65" w:name="_Toc2886"/>
      <w:r>
        <w:rPr>
          <w:rFonts w:hint="eastAsia" w:ascii="方正仿宋_GBK" w:eastAsia="方正仿宋_GBK"/>
          <w:b/>
          <w:color w:val="auto"/>
          <w:szCs w:val="21"/>
          <w:highlight w:val="none"/>
        </w:rPr>
        <w:t>六、定标</w:t>
      </w:r>
      <w:bookmarkEnd w:id="465"/>
    </w:p>
    <w:p w14:paraId="32BD4945">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（一）定标原则</w:t>
      </w:r>
    </w:p>
    <w:p w14:paraId="4602DFB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采购人或其授权的评标委员会应按照评标报告中推荐的中标候选人排名顺序确定中标人。</w:t>
      </w:r>
    </w:p>
    <w:p w14:paraId="5B8E9D6A">
      <w:pPr>
        <w:pStyle w:val="31"/>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（二）定标程序</w:t>
      </w:r>
    </w:p>
    <w:p w14:paraId="77E9E59A">
      <w:pPr>
        <w:pStyle w:val="31"/>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1.采购代理机构应当在评标结束后2个工作日内将评标报告送采购人。</w:t>
      </w:r>
    </w:p>
    <w:p w14:paraId="7762D94D">
      <w:pPr>
        <w:pStyle w:val="31"/>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2.采购人应当自收到评标报告之日起5个工作日内按评标报告推荐的中标候选人顺序确定中标人。</w:t>
      </w:r>
    </w:p>
    <w:p w14:paraId="5E9E08C4">
      <w:pPr>
        <w:pStyle w:val="31"/>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3.采购人或者采购代理机构应当自中标人确定之日起2个工作日内，在重庆市政府采购网上公告中标结果。中标公告期限为1个工作日。</w:t>
      </w:r>
    </w:p>
    <w:p w14:paraId="6861C24D">
      <w:pPr>
        <w:pStyle w:val="31"/>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4.中标人变更</w:t>
      </w:r>
    </w:p>
    <w:p w14:paraId="2E71BC32">
      <w:pPr>
        <w:pStyle w:val="31"/>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中标人拒绝与采购人签订合同的，采购人可以按照评标报告推荐的中标候选人顺序，确定排名下一位的候选人为中标人，也可以重新开展政府采购活动。</w:t>
      </w:r>
    </w:p>
    <w:p w14:paraId="63AA42F6">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66" w:name="_Toc19578"/>
      <w:r>
        <w:rPr>
          <w:rFonts w:hint="eastAsia" w:ascii="方正仿宋_GBK" w:eastAsia="方正仿宋_GBK"/>
          <w:b/>
          <w:color w:val="auto"/>
          <w:szCs w:val="21"/>
          <w:highlight w:val="none"/>
        </w:rPr>
        <w:t>七、中标</w:t>
      </w:r>
      <w:bookmarkEnd w:id="466"/>
    </w:p>
    <w:p w14:paraId="3ABFC90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（一）采购人依法确定中标人后，采购代理机构以书面形式发出中标通知书。</w:t>
      </w:r>
    </w:p>
    <w:p w14:paraId="12D3FC5D">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（二）中标通知书发出后，采购人改变中标结果，或者中标人放弃中标，应当承担相应的法律责任。</w:t>
      </w:r>
    </w:p>
    <w:p w14:paraId="1A8F3AFC">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67" w:name="_Toc31380"/>
      <w:r>
        <w:rPr>
          <w:rFonts w:hint="eastAsia" w:ascii="方正仿宋_GBK" w:eastAsia="方正仿宋_GBK"/>
          <w:b/>
          <w:color w:val="auto"/>
          <w:szCs w:val="21"/>
          <w:highlight w:val="none"/>
        </w:rPr>
        <w:t>八、询问、质疑和投诉</w:t>
      </w:r>
      <w:bookmarkEnd w:id="467"/>
    </w:p>
    <w:p w14:paraId="1DFACB09">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（一）询问</w:t>
      </w:r>
    </w:p>
    <w:p w14:paraId="0430B9F2">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采购人或者采购代理机构应当在3个工作日内对投标人依法提出的询问作出答复。投标人询问可以是口头或书面形式。</w:t>
      </w:r>
    </w:p>
    <w:p w14:paraId="5FA6FA17">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（二）质疑</w:t>
      </w:r>
    </w:p>
    <w:p w14:paraId="1A9DD6F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投标人认为采购文件、采购过程和中标结果使自己的权益受到伤害的，可向采购人或采购代理机构以书面形式提出质疑。</w:t>
      </w:r>
    </w:p>
    <w:p w14:paraId="56DB41A8">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提出质疑的应当是参与所质疑项目采购活动的投标人。 </w:t>
      </w:r>
    </w:p>
    <w:p w14:paraId="31003340">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1.质疑时限、内容</w:t>
      </w:r>
    </w:p>
    <w:p w14:paraId="5EE081A7">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1.1投标人对招标文件提出质疑的，应在依法获取招标文件之日或者招标文件公告期限届满之日起七个工作日内提出。</w:t>
      </w:r>
    </w:p>
    <w:p w14:paraId="45554720">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1.2 投标人对采购过程提出质疑的，应在各采购程序环节结束之日起七个工作日内提出。</w:t>
      </w:r>
    </w:p>
    <w:p w14:paraId="26F87C6A">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1.3投标人对中标结果提出质疑的，应当在中标结果公告期限届满之日起七个工作日内提出。</w:t>
      </w:r>
    </w:p>
    <w:p w14:paraId="31616A2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1.4投标人提出质疑应当提交质疑函和必要的证明材料，质疑函应当包括下列内容：</w:t>
      </w:r>
    </w:p>
    <w:p w14:paraId="04C340A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1.4.1供应商的姓名或者名称、地址、邮编、联系人及联系电话；</w:t>
      </w:r>
    </w:p>
    <w:p w14:paraId="16C5716F">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1.4.2质疑项目的名称、项目号以及采购执行编号；</w:t>
      </w:r>
    </w:p>
    <w:p w14:paraId="53138FD2">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1.4.3具体、明确的质疑事项和与质疑事项相关的请求；</w:t>
      </w:r>
    </w:p>
    <w:p w14:paraId="480EE6FF">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1.4.4事实依据；</w:t>
      </w:r>
    </w:p>
    <w:p w14:paraId="0D016C13">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1.4.5必要的法律依据；</w:t>
      </w:r>
    </w:p>
    <w:p w14:paraId="7CC3DDD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1.4.6提出质疑的日期；</w:t>
      </w:r>
    </w:p>
    <w:p w14:paraId="59A9163C">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1.4.7营业执照（或事业单位法人证书，或个体工商户营业执照或有效的自然人身份证明）复印件；</w:t>
      </w:r>
    </w:p>
    <w:p w14:paraId="2BD99838">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1.4.8法定代表人授权委托书原件、法定代表人身份证复印件和其授权代表的身份证复印件（供应商为自然人的提供自然人身份证复印件）；</w:t>
      </w:r>
    </w:p>
    <w:p w14:paraId="3DE3FD8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1.5供应商为自然人的，质疑函应当由本人签字；供应商为法人或者其他组织的，质疑函应当由法定代表人、主要负责人，或者其授权代表签字或者盖章，并加盖投标人公章。</w:t>
      </w:r>
    </w:p>
    <w:p w14:paraId="5C83E64D">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2.质疑答复</w:t>
      </w:r>
    </w:p>
    <w:p w14:paraId="59EDB32A">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采购人、采购代理机构应当在收到投标人的书面质疑后七个工作日内作出答复，并以书面形式通知质疑投标人和其他有关投标人。</w:t>
      </w:r>
    </w:p>
    <w:p w14:paraId="6235BB3D">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3.其他</w:t>
      </w:r>
    </w:p>
    <w:p w14:paraId="6FA67504">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3.1投标人应按照《政府采购质疑和投诉办法》（财政部令第94号）及相关法律法规要求，在法定质疑期内一次性提出针对同一采购程序环节的质疑。</w:t>
      </w:r>
    </w:p>
    <w:p w14:paraId="299A3EA2">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3.2质疑函范本可在财政部门户网站和中国政府采购网下载。</w:t>
      </w:r>
    </w:p>
    <w:p w14:paraId="5C10DD8F">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4.质疑联系方式详见第一篇“联系方式”。</w:t>
      </w:r>
    </w:p>
    <w:p w14:paraId="033C893C">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（三）投诉</w:t>
      </w:r>
    </w:p>
    <w:p w14:paraId="0D3CBC7A">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1.投标人对采购人、采购代理机构的答复不满意，或者采购人、采购代理机构未在规定时间内作出答复的，可以在答复期满后15个工作日内按照相关法律法规向财政部门提起投诉。</w:t>
      </w:r>
    </w:p>
    <w:p w14:paraId="197D649E">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2.投标人应按照《政府采购质疑和投诉办法》（财政部令第94号）及相关法律法规要求递交投诉书和必要的证明材料。投诉书范本可在财政部门户网站和中国政府采购网下载。</w:t>
      </w:r>
    </w:p>
    <w:p w14:paraId="40A11A66">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45CBB2CC">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4.在确定受理投诉后，财政部门自受理投诉之日起30个工作日内（需要检验、检测、鉴定、专家评审以及需要投诉人补正材料的，所需时间不计算在投诉处理期限内）对投诉事项做出处理决定。</w:t>
      </w:r>
    </w:p>
    <w:p w14:paraId="197DE6A9">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68" w:name="_Toc18167"/>
      <w:r>
        <w:rPr>
          <w:rFonts w:hint="eastAsia" w:ascii="方正仿宋_GBK" w:eastAsia="方正仿宋_GBK"/>
          <w:b/>
          <w:color w:val="auto"/>
          <w:szCs w:val="21"/>
          <w:highlight w:val="none"/>
        </w:rPr>
        <w:t>九、采购代理服务费</w:t>
      </w:r>
      <w:bookmarkEnd w:id="468"/>
    </w:p>
    <w:p w14:paraId="5BEDACA0">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（一）投标人中标后向采购代理机构缴纳招标代理服务费，采购代理服务费参照下表的计费方式以差额定率累进法计算执行：</w:t>
      </w:r>
      <w:bookmarkStart w:id="469" w:name="_Toc168501995"/>
      <w:bookmarkStart w:id="470" w:name="_Toc168390541"/>
      <w:bookmarkStart w:id="471" w:name="_Toc168494158"/>
      <w:bookmarkStart w:id="472" w:name="_Toc168390595"/>
    </w:p>
    <w:p w14:paraId="2A150F91">
      <w:pPr>
        <w:spacing w:line="400" w:lineRule="exact"/>
        <w:ind w:firstLine="482" w:firstLineChars="200"/>
        <w:jc w:val="center"/>
        <w:rPr>
          <w:rFonts w:ascii="方正仿宋_GBK" w:hAnsi="宋体" w:eastAsia="方正仿宋_GBK"/>
          <w:b/>
          <w:bCs/>
          <w:color w:val="auto"/>
          <w:sz w:val="24"/>
          <w:szCs w:val="24"/>
          <w:highlight w:val="none"/>
        </w:rPr>
      </w:pPr>
      <w:r>
        <w:rPr>
          <w:rFonts w:hint="eastAsia" w:ascii="方正仿宋_GBK" w:eastAsia="方正仿宋_GBK"/>
          <w:b/>
          <w:bCs/>
          <w:color w:val="auto"/>
          <w:sz w:val="24"/>
          <w:szCs w:val="24"/>
          <w:highlight w:val="none"/>
        </w:rPr>
        <w:t>采购代理服务计费方式</w:t>
      </w:r>
      <w:bookmarkEnd w:id="469"/>
      <w:bookmarkEnd w:id="470"/>
      <w:bookmarkEnd w:id="471"/>
      <w:bookmarkEnd w:id="472"/>
    </w:p>
    <w:tbl>
      <w:tblPr>
        <w:tblStyle w:val="58"/>
        <w:tblW w:w="962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0"/>
        <w:gridCol w:w="2273"/>
        <w:gridCol w:w="2273"/>
        <w:gridCol w:w="2272"/>
      </w:tblGrid>
      <w:tr w14:paraId="609E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10" w:type="dxa"/>
            <w:tcBorders>
              <w:tl2br w:val="single" w:color="auto" w:sz="4" w:space="0"/>
            </w:tcBorders>
          </w:tcPr>
          <w:p w14:paraId="59A70CD2">
            <w:pPr>
              <w:spacing w:line="300" w:lineRule="exact"/>
              <w:jc w:val="right"/>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-6350</wp:posOffset>
                      </wp:positionV>
                      <wp:extent cx="635" cy="635"/>
                      <wp:effectExtent l="0" t="0" r="0" b="0"/>
                      <wp:wrapNone/>
                      <wp:docPr id="1" name="直接连接符 1171965331"/>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ln>
                              <a:effectLst/>
                            </wps:spPr>
                            <wps:bodyPr/>
                          </wps:wsp>
                        </a:graphicData>
                      </a:graphic>
                    </wp:anchor>
                  </w:drawing>
                </mc:Choice>
                <mc:Fallback>
                  <w:pict>
                    <v:line id="直接连接符 1171965331" o:spid="_x0000_s1026" o:spt="20" style="position:absolute;left:0pt;margin-left:-9pt;margin-top:-0.5pt;height:0.05pt;width:0.05pt;z-index:251660288;mso-width-relative:page;mso-height-relative:page;" filled="f" stroked="t" coordsize="21600,21600" o:allowincell="f" o:gfxdata="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Xz75g9YAAAAIAQAADwAAAAAAAAABACAAAAAiAAAAZHJzL2Rvd25yZXYueG1sUEsBAhQAFAAAAAgA&#10;h07iQBU7W7TuAQAAvwMAAA4AAAAAAAAAAQAgAAAAJQEAAGRycy9lMm9Eb2MueG1sUEsFBgAAAAAG&#10;AAYAWQEAAIUFAAAAAA==&#10;">
                      <v:fill on="f" focussize="0,0"/>
                      <v:stroke color="#000000" joinstyle="round"/>
                      <v:imagedata o:title=""/>
                      <o:lock v:ext="edit" aspectratio="f"/>
                    </v:line>
                  </w:pict>
                </mc:Fallback>
              </mc:AlternateContent>
            </w:r>
            <w:r>
              <w:rPr>
                <w:rFonts w:hint="eastAsia" w:ascii="方正仿宋_GBK" w:hAnsi="宋体" w:eastAsia="方正仿宋_GBK"/>
                <w:color w:val="auto"/>
                <w:sz w:val="24"/>
                <w:szCs w:val="24"/>
                <w:highlight w:val="none"/>
              </w:rPr>
              <w:t>招标类型</w:t>
            </w:r>
          </w:p>
          <w:p w14:paraId="7520AFCC">
            <w:pPr>
              <w:spacing w:line="300" w:lineRule="exac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中标金额（万元）</w:t>
            </w:r>
          </w:p>
        </w:tc>
        <w:tc>
          <w:tcPr>
            <w:tcW w:w="2273" w:type="dxa"/>
            <w:vAlign w:val="center"/>
          </w:tcPr>
          <w:p w14:paraId="7B60FD02">
            <w:pPr>
              <w:spacing w:line="3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货物招标</w:t>
            </w:r>
          </w:p>
        </w:tc>
        <w:tc>
          <w:tcPr>
            <w:tcW w:w="2273" w:type="dxa"/>
            <w:vAlign w:val="center"/>
          </w:tcPr>
          <w:p w14:paraId="4112F783">
            <w:pPr>
              <w:spacing w:line="3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服务招标</w:t>
            </w:r>
          </w:p>
        </w:tc>
        <w:tc>
          <w:tcPr>
            <w:tcW w:w="2272" w:type="dxa"/>
            <w:vAlign w:val="center"/>
          </w:tcPr>
          <w:p w14:paraId="7CDB1231">
            <w:pPr>
              <w:pStyle w:val="196"/>
              <w:widowControl w:val="0"/>
              <w:pBdr>
                <w:left w:val="none" w:color="auto" w:sz="0" w:space="0"/>
                <w:right w:val="none" w:color="auto" w:sz="0" w:space="0"/>
              </w:pBdr>
              <w:spacing w:before="0" w:beforeAutospacing="0" w:after="0" w:afterAutospacing="0" w:line="300" w:lineRule="exact"/>
              <w:rPr>
                <w:rFonts w:ascii="方正仿宋_GBK" w:eastAsia="方正仿宋_GBK"/>
                <w:color w:val="auto"/>
                <w:kern w:val="2"/>
                <w:szCs w:val="24"/>
                <w:highlight w:val="none"/>
              </w:rPr>
            </w:pPr>
            <w:r>
              <w:rPr>
                <w:rFonts w:hint="eastAsia" w:ascii="方正仿宋_GBK" w:eastAsia="方正仿宋_GBK"/>
                <w:color w:val="auto"/>
                <w:kern w:val="2"/>
                <w:szCs w:val="24"/>
                <w:highlight w:val="none"/>
              </w:rPr>
              <w:t>工程招标</w:t>
            </w:r>
          </w:p>
        </w:tc>
      </w:tr>
      <w:tr w14:paraId="18D57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10" w:type="dxa"/>
            <w:vAlign w:val="center"/>
          </w:tcPr>
          <w:p w14:paraId="17402D29">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100以下</w:t>
            </w:r>
          </w:p>
        </w:tc>
        <w:tc>
          <w:tcPr>
            <w:tcW w:w="2273" w:type="dxa"/>
            <w:vAlign w:val="center"/>
          </w:tcPr>
          <w:p w14:paraId="38914E13">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1.5%</w:t>
            </w:r>
          </w:p>
        </w:tc>
        <w:tc>
          <w:tcPr>
            <w:tcW w:w="2273" w:type="dxa"/>
            <w:vAlign w:val="center"/>
          </w:tcPr>
          <w:p w14:paraId="04484D51">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1.5%</w:t>
            </w:r>
          </w:p>
        </w:tc>
        <w:tc>
          <w:tcPr>
            <w:tcW w:w="2272" w:type="dxa"/>
            <w:vAlign w:val="center"/>
          </w:tcPr>
          <w:p w14:paraId="22739824">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1.0%</w:t>
            </w:r>
          </w:p>
        </w:tc>
      </w:tr>
      <w:tr w14:paraId="68C56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10" w:type="dxa"/>
            <w:vAlign w:val="center"/>
          </w:tcPr>
          <w:p w14:paraId="641C922E">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100-200</w:t>
            </w:r>
          </w:p>
        </w:tc>
        <w:tc>
          <w:tcPr>
            <w:tcW w:w="2273" w:type="dxa"/>
            <w:vAlign w:val="center"/>
          </w:tcPr>
          <w:p w14:paraId="0DE46796">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1.1%</w:t>
            </w:r>
          </w:p>
        </w:tc>
        <w:tc>
          <w:tcPr>
            <w:tcW w:w="2273" w:type="dxa"/>
            <w:vAlign w:val="center"/>
          </w:tcPr>
          <w:p w14:paraId="728E5016">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0.8%</w:t>
            </w:r>
          </w:p>
        </w:tc>
        <w:tc>
          <w:tcPr>
            <w:tcW w:w="2272" w:type="dxa"/>
            <w:vAlign w:val="center"/>
          </w:tcPr>
          <w:p w14:paraId="6AE2A523">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0.7%</w:t>
            </w:r>
          </w:p>
        </w:tc>
      </w:tr>
      <w:tr w14:paraId="6E98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10" w:type="dxa"/>
            <w:vAlign w:val="center"/>
          </w:tcPr>
          <w:p w14:paraId="418EBC7F">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200-500</w:t>
            </w:r>
          </w:p>
        </w:tc>
        <w:tc>
          <w:tcPr>
            <w:tcW w:w="2273" w:type="dxa"/>
            <w:vAlign w:val="center"/>
          </w:tcPr>
          <w:p w14:paraId="3F01411D">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1.08%</w:t>
            </w:r>
          </w:p>
        </w:tc>
        <w:tc>
          <w:tcPr>
            <w:tcW w:w="2273" w:type="dxa"/>
            <w:vAlign w:val="center"/>
          </w:tcPr>
          <w:p w14:paraId="58BE1EED">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0.78%</w:t>
            </w:r>
          </w:p>
        </w:tc>
        <w:tc>
          <w:tcPr>
            <w:tcW w:w="2272" w:type="dxa"/>
            <w:vAlign w:val="center"/>
          </w:tcPr>
          <w:p w14:paraId="07BB6BFF">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0.69%</w:t>
            </w:r>
          </w:p>
        </w:tc>
      </w:tr>
      <w:tr w14:paraId="3CA3D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10" w:type="dxa"/>
            <w:vAlign w:val="center"/>
          </w:tcPr>
          <w:p w14:paraId="0637911A">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500-1000</w:t>
            </w:r>
          </w:p>
        </w:tc>
        <w:tc>
          <w:tcPr>
            <w:tcW w:w="2273" w:type="dxa"/>
            <w:vAlign w:val="center"/>
          </w:tcPr>
          <w:p w14:paraId="59DE32BB">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0.76%</w:t>
            </w:r>
          </w:p>
        </w:tc>
        <w:tc>
          <w:tcPr>
            <w:tcW w:w="2273" w:type="dxa"/>
            <w:vAlign w:val="center"/>
          </w:tcPr>
          <w:p w14:paraId="541D533A">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0.43%</w:t>
            </w:r>
          </w:p>
        </w:tc>
        <w:tc>
          <w:tcPr>
            <w:tcW w:w="2272" w:type="dxa"/>
            <w:vAlign w:val="center"/>
          </w:tcPr>
          <w:p w14:paraId="02A6D9F3">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0.52%</w:t>
            </w:r>
          </w:p>
        </w:tc>
      </w:tr>
      <w:tr w14:paraId="399F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10" w:type="dxa"/>
            <w:vAlign w:val="center"/>
          </w:tcPr>
          <w:p w14:paraId="3AB510F9">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1000-5000</w:t>
            </w:r>
          </w:p>
        </w:tc>
        <w:tc>
          <w:tcPr>
            <w:tcW w:w="2273" w:type="dxa"/>
            <w:vAlign w:val="center"/>
          </w:tcPr>
          <w:p w14:paraId="3776AAD7">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0.45%</w:t>
            </w:r>
          </w:p>
        </w:tc>
        <w:tc>
          <w:tcPr>
            <w:tcW w:w="2273" w:type="dxa"/>
            <w:vAlign w:val="center"/>
          </w:tcPr>
          <w:p w14:paraId="3DF334B4">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0.23%</w:t>
            </w:r>
          </w:p>
        </w:tc>
        <w:tc>
          <w:tcPr>
            <w:tcW w:w="2272" w:type="dxa"/>
            <w:vAlign w:val="center"/>
          </w:tcPr>
          <w:p w14:paraId="4905C0C2">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0.32%</w:t>
            </w:r>
          </w:p>
        </w:tc>
      </w:tr>
      <w:tr w14:paraId="5E7A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10" w:type="dxa"/>
            <w:vAlign w:val="center"/>
          </w:tcPr>
          <w:p w14:paraId="7566E6DE">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5000-10000</w:t>
            </w:r>
          </w:p>
        </w:tc>
        <w:tc>
          <w:tcPr>
            <w:tcW w:w="2273" w:type="dxa"/>
            <w:vAlign w:val="center"/>
          </w:tcPr>
          <w:p w14:paraId="5E839509">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0.23%</w:t>
            </w:r>
          </w:p>
        </w:tc>
        <w:tc>
          <w:tcPr>
            <w:tcW w:w="2273" w:type="dxa"/>
            <w:vAlign w:val="center"/>
          </w:tcPr>
          <w:p w14:paraId="12F0BE2D">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0.09%</w:t>
            </w:r>
          </w:p>
        </w:tc>
        <w:tc>
          <w:tcPr>
            <w:tcW w:w="2272" w:type="dxa"/>
            <w:vAlign w:val="center"/>
          </w:tcPr>
          <w:p w14:paraId="343BDA7D">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0.18%</w:t>
            </w:r>
          </w:p>
        </w:tc>
      </w:tr>
      <w:tr w14:paraId="24D4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10" w:type="dxa"/>
            <w:vAlign w:val="center"/>
          </w:tcPr>
          <w:p w14:paraId="0A8CB70E">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10000-100000</w:t>
            </w:r>
          </w:p>
        </w:tc>
        <w:tc>
          <w:tcPr>
            <w:tcW w:w="2273" w:type="dxa"/>
            <w:vAlign w:val="center"/>
          </w:tcPr>
          <w:p w14:paraId="2AE9AC1F">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0.045%</w:t>
            </w:r>
          </w:p>
        </w:tc>
        <w:tc>
          <w:tcPr>
            <w:tcW w:w="2273" w:type="dxa"/>
            <w:vAlign w:val="center"/>
          </w:tcPr>
          <w:p w14:paraId="646D56DD">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0.045%</w:t>
            </w:r>
          </w:p>
        </w:tc>
        <w:tc>
          <w:tcPr>
            <w:tcW w:w="2272" w:type="dxa"/>
            <w:vAlign w:val="center"/>
          </w:tcPr>
          <w:p w14:paraId="675BA7FB">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0.045%</w:t>
            </w:r>
          </w:p>
        </w:tc>
      </w:tr>
      <w:tr w14:paraId="070B5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10" w:type="dxa"/>
            <w:vAlign w:val="center"/>
          </w:tcPr>
          <w:p w14:paraId="21D069D5">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100000以上</w:t>
            </w:r>
          </w:p>
        </w:tc>
        <w:tc>
          <w:tcPr>
            <w:tcW w:w="2273" w:type="dxa"/>
            <w:vAlign w:val="center"/>
          </w:tcPr>
          <w:p w14:paraId="1DF66EDE">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0.009%</w:t>
            </w:r>
          </w:p>
        </w:tc>
        <w:tc>
          <w:tcPr>
            <w:tcW w:w="2273" w:type="dxa"/>
            <w:vAlign w:val="center"/>
          </w:tcPr>
          <w:p w14:paraId="09F5BC5A">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0.009%</w:t>
            </w:r>
          </w:p>
        </w:tc>
        <w:tc>
          <w:tcPr>
            <w:tcW w:w="2272" w:type="dxa"/>
            <w:vAlign w:val="center"/>
          </w:tcPr>
          <w:p w14:paraId="770D8FC8">
            <w:pPr>
              <w:spacing w:line="300" w:lineRule="exact"/>
              <w:jc w:val="center"/>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0.009%</w:t>
            </w:r>
          </w:p>
        </w:tc>
      </w:tr>
    </w:tbl>
    <w:p w14:paraId="168A4E21">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注：采购代理服务收费按差额定率累进法计算。例如：某服务招标代理业务中标金额为</w:t>
      </w:r>
      <w:r>
        <w:rPr>
          <w:rFonts w:ascii="方正仿宋_GBK" w:hAnsi="宋体" w:eastAsia="方正仿宋_GBK"/>
          <w:color w:val="auto"/>
          <w:sz w:val="24"/>
          <w:szCs w:val="24"/>
          <w:highlight w:val="none"/>
        </w:rPr>
        <w:t>500万元，计算采购代理服务收费额如下：</w:t>
      </w:r>
    </w:p>
    <w:p w14:paraId="213D20E4">
      <w:pPr>
        <w:spacing w:line="400" w:lineRule="exact"/>
        <w:ind w:firstLine="480" w:firstLineChars="20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100万元×1.5%=1.5万元</w:t>
      </w:r>
    </w:p>
    <w:p w14:paraId="31D854A9">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w:t>
      </w:r>
      <w:r>
        <w:rPr>
          <w:rFonts w:ascii="方正仿宋_GBK" w:hAnsi="宋体" w:eastAsia="方正仿宋_GBK"/>
          <w:color w:val="auto"/>
          <w:sz w:val="24"/>
          <w:szCs w:val="24"/>
          <w:highlight w:val="none"/>
        </w:rPr>
        <w:t>200-100）万元×0.8%=0.8万元</w:t>
      </w:r>
    </w:p>
    <w:p w14:paraId="6C72BC0C">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w:t>
      </w:r>
      <w:r>
        <w:rPr>
          <w:rFonts w:ascii="方正仿宋_GBK" w:hAnsi="宋体" w:eastAsia="方正仿宋_GBK"/>
          <w:color w:val="auto"/>
          <w:sz w:val="24"/>
          <w:szCs w:val="24"/>
          <w:highlight w:val="none"/>
        </w:rPr>
        <w:t>500-200）×0.78%=2.34万元</w:t>
      </w:r>
    </w:p>
    <w:p w14:paraId="02A70652">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合计收费</w:t>
      </w:r>
      <w:r>
        <w:rPr>
          <w:rFonts w:ascii="方正仿宋_GBK" w:hAnsi="宋体" w:eastAsia="方正仿宋_GBK"/>
          <w:color w:val="auto"/>
          <w:sz w:val="24"/>
          <w:szCs w:val="24"/>
          <w:highlight w:val="none"/>
        </w:rPr>
        <w:t>=1.5+0.8+2.34=4.64（万元）</w:t>
      </w:r>
    </w:p>
    <w:p w14:paraId="49C55554">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（二）采购代理服务费缴纳账号：</w:t>
      </w:r>
    </w:p>
    <w:p w14:paraId="2590F76D">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户名：重庆市工程管理有限公司</w:t>
      </w:r>
    </w:p>
    <w:p w14:paraId="736E7D41">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开户行：兴业银行重庆分行营业部</w:t>
      </w:r>
    </w:p>
    <w:p w14:paraId="6F606CF3">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账号：</w:t>
      </w:r>
      <w:r>
        <w:rPr>
          <w:rFonts w:ascii="方正仿宋_GBK" w:hAnsi="宋体" w:eastAsia="方正仿宋_GBK"/>
          <w:color w:val="auto"/>
          <w:sz w:val="24"/>
          <w:szCs w:val="24"/>
          <w:highlight w:val="none"/>
        </w:rPr>
        <w:t>346010100105415993</w:t>
      </w:r>
    </w:p>
    <w:p w14:paraId="28340F07">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73" w:name="_Toc31434"/>
      <w:r>
        <w:rPr>
          <w:rFonts w:hint="eastAsia" w:ascii="方正仿宋_GBK" w:eastAsia="方正仿宋_GBK"/>
          <w:b/>
          <w:color w:val="auto"/>
          <w:szCs w:val="21"/>
          <w:highlight w:val="none"/>
        </w:rPr>
        <w:t>十、交易服务费</w:t>
      </w:r>
      <w:bookmarkEnd w:id="473"/>
    </w:p>
    <w:p w14:paraId="7CE51169">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投标人中标后向“重庆联合产权交易所集团股份有限公司”缴纳交易服务费，服务费的收取标准按渝发改收费﹝</w:t>
      </w:r>
      <w:r>
        <w:rPr>
          <w:rFonts w:ascii="方正仿宋_GBK" w:hAnsi="宋体" w:eastAsia="方正仿宋_GBK"/>
          <w:color w:val="auto"/>
          <w:sz w:val="24"/>
          <w:szCs w:val="24"/>
          <w:highlight w:val="none"/>
        </w:rPr>
        <w:t>2023﹞115号执行。</w:t>
      </w:r>
    </w:p>
    <w:p w14:paraId="3D1DA090">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重庆市公共资源交易中心咨询电话：</w:t>
      </w:r>
      <w:r>
        <w:rPr>
          <w:rFonts w:ascii="方正仿宋_GBK" w:hAnsi="宋体" w:eastAsia="方正仿宋_GBK"/>
          <w:color w:val="auto"/>
          <w:sz w:val="24"/>
          <w:szCs w:val="24"/>
          <w:highlight w:val="none"/>
        </w:rPr>
        <w:t>023-63625633</w:t>
      </w:r>
    </w:p>
    <w:p w14:paraId="53137554">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74" w:name="_Toc11149"/>
      <w:r>
        <w:rPr>
          <w:rFonts w:hint="eastAsia" w:ascii="方正仿宋_GBK" w:eastAsia="方正仿宋_GBK"/>
          <w:b/>
          <w:color w:val="auto"/>
          <w:szCs w:val="21"/>
          <w:highlight w:val="none"/>
        </w:rPr>
        <w:t>十一、签订合同</w:t>
      </w:r>
      <w:bookmarkEnd w:id="474"/>
    </w:p>
    <w:p w14:paraId="47174A2F">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采购人原则上应在中标通知书发出之日起二十日内和中标人签订政府采购合同，无正当理由不得拒绝或拖延合同签订。所签订的合同不得对招标文件和中标人投标文件作实质性修改。其他未尽事宜由采购人和中标人在采购合同中详细约定。</w:t>
      </w:r>
    </w:p>
    <w:p w14:paraId="38CC840B">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（二）采购人应当自合同签订之日起</w:t>
      </w:r>
      <w:r>
        <w:rPr>
          <w:rFonts w:ascii="方正仿宋_GBK" w:hAnsi="宋体" w:eastAsia="方正仿宋_GBK"/>
          <w:color w:val="auto"/>
          <w:sz w:val="24"/>
          <w:szCs w:val="24"/>
          <w:highlight w:val="none"/>
        </w:rPr>
        <w:t>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3644899A">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（三）招标文件、中标人的投标文件及澄清文件等，均为签订政府采购合同的依据。</w:t>
      </w:r>
    </w:p>
    <w:p w14:paraId="348356F1">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（四）合同生效条款由供需双方约定，法律、行政法规规定应当办理批准、登记等手续后生效的合同，依照其规定。</w:t>
      </w:r>
    </w:p>
    <w:p w14:paraId="4D23E0A1">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（五）合同原则上应按照《重庆市政府采购合同》签订，相关单位要求适用合同通用格式版本的，应按其要求另行签订其他合同。</w:t>
      </w:r>
    </w:p>
    <w:p w14:paraId="22DBE1F2">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75" w:name="_Toc12031"/>
      <w:r>
        <w:rPr>
          <w:rFonts w:hint="eastAsia" w:ascii="方正仿宋_GBK" w:eastAsia="方正仿宋_GBK"/>
          <w:b/>
          <w:color w:val="auto"/>
          <w:szCs w:val="21"/>
          <w:highlight w:val="none"/>
        </w:rPr>
        <w:t>十二、项目</w:t>
      </w:r>
      <w:r>
        <w:rPr>
          <w:rFonts w:hint="eastAsia" w:ascii="方正仿宋_GBK" w:eastAsia="方正仿宋_GBK"/>
          <w:b/>
          <w:color w:val="auto"/>
          <w:szCs w:val="21"/>
          <w:highlight w:val="none"/>
          <w:lang w:val="en-US" w:eastAsia="zh-CN"/>
        </w:rPr>
        <w:t>履约</w:t>
      </w:r>
      <w:r>
        <w:rPr>
          <w:rFonts w:hint="eastAsia" w:ascii="方正仿宋_GBK" w:eastAsia="方正仿宋_GBK"/>
          <w:b/>
          <w:color w:val="auto"/>
          <w:szCs w:val="21"/>
          <w:highlight w:val="none"/>
        </w:rPr>
        <w:t>验收</w:t>
      </w:r>
      <w:bookmarkEnd w:id="475"/>
    </w:p>
    <w:p w14:paraId="3C4A2BD6">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合同执行完毕，采购人或采购代理机构按照招标文件要求、合同约定，原则上应在7个工作日内组织履约情况验收，不得无故拖延或附加额外条件。</w:t>
      </w:r>
    </w:p>
    <w:p w14:paraId="338C7048">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76" w:name="_Toc13349"/>
      <w:r>
        <w:rPr>
          <w:rFonts w:hint="eastAsia" w:ascii="方正仿宋_GBK" w:eastAsia="方正仿宋_GBK"/>
          <w:b/>
          <w:color w:val="auto"/>
          <w:szCs w:val="21"/>
          <w:highlight w:val="none"/>
        </w:rPr>
        <w:t>十三、政府采购信用融资</w:t>
      </w:r>
      <w:bookmarkEnd w:id="476"/>
    </w:p>
    <w:p w14:paraId="3A70E3C1">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101FDB2E">
      <w:pPr>
        <w:pStyle w:val="5"/>
        <w:spacing w:before="120" w:beforeLines="50" w:after="120" w:afterLines="50" w:line="240" w:lineRule="auto"/>
        <w:ind w:firstLine="562" w:firstLineChars="200"/>
        <w:rPr>
          <w:rFonts w:ascii="方正仿宋_GBK" w:eastAsia="方正仿宋_GBK"/>
          <w:b/>
          <w:color w:val="auto"/>
          <w:szCs w:val="21"/>
          <w:highlight w:val="none"/>
        </w:rPr>
      </w:pPr>
      <w:bookmarkStart w:id="477" w:name="_Toc17460"/>
      <w:r>
        <w:rPr>
          <w:rFonts w:hint="eastAsia" w:ascii="方正仿宋_GBK" w:eastAsia="方正仿宋_GBK"/>
          <w:b/>
          <w:color w:val="auto"/>
          <w:szCs w:val="21"/>
          <w:highlight w:val="none"/>
        </w:rPr>
        <w:t>十四、其他</w:t>
      </w:r>
      <w:bookmarkEnd w:id="477"/>
    </w:p>
    <w:p w14:paraId="574FF86C">
      <w:pPr>
        <w:spacing w:line="400" w:lineRule="exact"/>
        <w:ind w:firstLine="480" w:firstLineChars="200"/>
        <w:rPr>
          <w:rFonts w:hint="eastAsia" w:ascii="方正仿宋_GBK" w:hAnsi="宋体" w:eastAsia="方正仿宋_GBK"/>
          <w:color w:val="auto"/>
          <w:sz w:val="24"/>
          <w:szCs w:val="24"/>
          <w:highlight w:val="none"/>
          <w:lang w:eastAsia="zh-CN"/>
        </w:rPr>
      </w:pPr>
      <w:r>
        <w:rPr>
          <w:rFonts w:hint="eastAsia" w:ascii="方正仿宋_GBK" w:hAnsi="宋体" w:eastAsia="方正仿宋_GBK"/>
          <w:color w:val="auto"/>
          <w:sz w:val="24"/>
          <w:szCs w:val="24"/>
          <w:highlight w:val="none"/>
          <w:lang w:eastAsia="zh-CN"/>
        </w:rPr>
        <w:t>如因省级以上相关部门政策调整变化（包括但不限于项目终止、资金收回等及其他不可遇见、不可抗力因素情形），在合同履行中，采购人有权单方面解除合同，采购人不因此承担任何补偿、赔偿责任。</w:t>
      </w:r>
    </w:p>
    <w:p w14:paraId="2DD6CDB8">
      <w:pPr>
        <w:keepNext/>
        <w:tabs>
          <w:tab w:val="left" w:pos="3360"/>
        </w:tabs>
        <w:snapToGrid w:val="0"/>
        <w:spacing w:line="360" w:lineRule="auto"/>
        <w:rPr>
          <w:rFonts w:ascii="方正仿宋_GBK" w:eastAsia="方正仿宋_GBK"/>
          <w:b/>
          <w:color w:val="auto"/>
          <w:sz w:val="24"/>
          <w:highlight w:val="none"/>
        </w:rPr>
      </w:pPr>
      <w:r>
        <w:rPr>
          <w:rFonts w:ascii="方正仿宋_GBK" w:eastAsia="方正仿宋_GBK"/>
          <w:b/>
          <w:color w:val="auto"/>
          <w:sz w:val="24"/>
          <w:highlight w:val="none"/>
        </w:rPr>
        <w:br w:type="page"/>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Start w:id="478" w:name="_Toc17885"/>
      <w:bookmarkStart w:id="479" w:name="_Toc28592"/>
      <w:bookmarkStart w:id="480" w:name="_Toc12210"/>
      <w:bookmarkStart w:id="481" w:name="_Toc21870"/>
      <w:bookmarkStart w:id="482" w:name="_Toc9831"/>
      <w:bookmarkStart w:id="483" w:name="_Toc5544"/>
      <w:bookmarkStart w:id="484" w:name="_Toc3344"/>
      <w:bookmarkStart w:id="485" w:name="_Toc75793536"/>
      <w:bookmarkStart w:id="486" w:name="_Toc19939"/>
      <w:bookmarkStart w:id="487" w:name="_Toc13696"/>
      <w:bookmarkStart w:id="488" w:name="_Toc4454"/>
      <w:bookmarkStart w:id="489" w:name="_Toc128"/>
      <w:bookmarkStart w:id="490" w:name="_Toc7598"/>
      <w:bookmarkStart w:id="491" w:name="_Toc9505"/>
      <w:bookmarkStart w:id="492" w:name="_Toc5880"/>
      <w:bookmarkStart w:id="493" w:name="_Toc12202"/>
      <w:bookmarkStart w:id="494" w:name="_Toc16203"/>
      <w:bookmarkStart w:id="495" w:name="_Toc31517"/>
      <w:bookmarkStart w:id="496" w:name="_Toc22748"/>
      <w:bookmarkStart w:id="497" w:name="_Toc12863"/>
      <w:bookmarkStart w:id="498" w:name="_Toc8132"/>
      <w:bookmarkStart w:id="499" w:name="_Toc6992"/>
      <w:bookmarkStart w:id="500" w:name="_Toc19519"/>
      <w:bookmarkStart w:id="501" w:name="_Toc14019"/>
      <w:bookmarkStart w:id="502" w:name="_Toc75793539"/>
      <w:bookmarkStart w:id="503" w:name="_Toc8114"/>
      <w:bookmarkStart w:id="504" w:name="_Toc9843"/>
      <w:bookmarkStart w:id="505" w:name="_Toc25727"/>
      <w:bookmarkStart w:id="506" w:name="_Toc8818"/>
      <w:bookmarkStart w:id="507" w:name="_Toc14325"/>
    </w:p>
    <w:p w14:paraId="6A4F30C8">
      <w:pPr>
        <w:rPr>
          <w:color w:val="auto"/>
          <w:highlight w:val="none"/>
        </w:rPr>
      </w:pPr>
    </w:p>
    <w:p w14:paraId="5F2ED217">
      <w:pPr>
        <w:rPr>
          <w:color w:val="auto"/>
          <w:highlight w:val="none"/>
        </w:rPr>
      </w:pPr>
    </w:p>
    <w:p w14:paraId="2EFC7C27">
      <w:pPr>
        <w:rPr>
          <w:color w:val="auto"/>
          <w:highlight w:val="none"/>
        </w:rPr>
      </w:pPr>
    </w:p>
    <w:p w14:paraId="22618A9E">
      <w:pPr>
        <w:pStyle w:val="4"/>
        <w:spacing w:before="0" w:beforeLines="0" w:after="0" w:afterLines="0" w:line="360" w:lineRule="auto"/>
        <w:rPr>
          <w:rFonts w:ascii="方正仿宋_GBK" w:eastAsia="方正仿宋_GBK"/>
          <w:b/>
          <w:color w:val="auto"/>
          <w:highlight w:val="none"/>
        </w:rPr>
      </w:pPr>
      <w:bookmarkStart w:id="508" w:name="_Toc2998"/>
      <w:r>
        <w:rPr>
          <w:rFonts w:hint="eastAsia" w:ascii="方正仿宋_GBK" w:eastAsia="方正仿宋_GBK"/>
          <w:b/>
          <w:color w:val="auto"/>
          <w:highlight w:val="none"/>
        </w:rPr>
        <w:t>第六篇  合同主要条款和格式合同（样本）</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508"/>
    </w:p>
    <w:p w14:paraId="23B43CC0">
      <w:pPr>
        <w:widowControl/>
        <w:jc w:val="left"/>
        <w:rPr>
          <w:rFonts w:ascii="宋体" w:hAnsi="宋体" w:eastAsia="仿宋_GB2312" w:cs="宋体"/>
          <w:b/>
          <w:bCs/>
          <w:color w:val="auto"/>
          <w:spacing w:val="-20"/>
          <w:kern w:val="44"/>
          <w:sz w:val="48"/>
          <w:szCs w:val="48"/>
          <w:highlight w:val="none"/>
        </w:rPr>
      </w:pPr>
      <w:bookmarkStart w:id="509" w:name="_Toc3995"/>
      <w:r>
        <w:rPr>
          <w:rFonts w:ascii="宋体" w:hAnsi="宋体" w:cs="宋体"/>
          <w:b/>
          <w:bCs/>
          <w:color w:val="auto"/>
          <w:spacing w:val="-20"/>
          <w:kern w:val="44"/>
          <w:sz w:val="48"/>
          <w:szCs w:val="48"/>
          <w:highlight w:val="none"/>
        </w:rPr>
        <w:br w:type="page"/>
      </w:r>
    </w:p>
    <w:p w14:paraId="47321A18">
      <w:pPr>
        <w:pStyle w:val="2"/>
        <w:ind w:firstLine="804" w:firstLineChars="400"/>
        <w:rPr>
          <w:rFonts w:ascii="方正仿宋_GBK" w:hAnsi="宋体" w:eastAsia="方正仿宋_GBK" w:cs="宋体"/>
          <w:b/>
          <w:bCs/>
          <w:color w:val="auto"/>
          <w:spacing w:val="-20"/>
          <w:kern w:val="44"/>
          <w:sz w:val="24"/>
          <w:szCs w:val="24"/>
          <w:highlight w:val="none"/>
        </w:rPr>
      </w:pPr>
    </w:p>
    <w:p w14:paraId="637454E9">
      <w:pPr>
        <w:pStyle w:val="2"/>
        <w:ind w:firstLine="804" w:firstLineChars="400"/>
        <w:rPr>
          <w:rFonts w:ascii="方正仿宋_GBK" w:hAnsi="宋体" w:eastAsia="方正仿宋_GBK" w:cs="宋体"/>
          <w:b/>
          <w:bCs/>
          <w:color w:val="auto"/>
          <w:spacing w:val="-20"/>
          <w:kern w:val="44"/>
          <w:sz w:val="24"/>
          <w:szCs w:val="24"/>
          <w:highlight w:val="none"/>
        </w:rPr>
      </w:pPr>
    </w:p>
    <w:p w14:paraId="5C842406">
      <w:pPr>
        <w:pStyle w:val="2"/>
        <w:ind w:firstLine="804" w:firstLineChars="400"/>
        <w:rPr>
          <w:rFonts w:ascii="方正仿宋_GBK" w:hAnsi="宋体" w:eastAsia="方正仿宋_GBK" w:cs="宋体"/>
          <w:b/>
          <w:bCs/>
          <w:color w:val="auto"/>
          <w:spacing w:val="-20"/>
          <w:kern w:val="44"/>
          <w:sz w:val="24"/>
          <w:szCs w:val="24"/>
          <w:highlight w:val="none"/>
        </w:rPr>
      </w:pPr>
    </w:p>
    <w:p w14:paraId="400474C4">
      <w:pPr>
        <w:pStyle w:val="2"/>
        <w:ind w:firstLine="804" w:firstLineChars="400"/>
        <w:rPr>
          <w:rFonts w:ascii="方正仿宋_GBK" w:hAnsi="宋体" w:eastAsia="方正仿宋_GBK" w:cs="宋体"/>
          <w:b/>
          <w:bCs/>
          <w:color w:val="auto"/>
          <w:spacing w:val="-20"/>
          <w:kern w:val="44"/>
          <w:sz w:val="24"/>
          <w:szCs w:val="24"/>
          <w:highlight w:val="none"/>
        </w:rPr>
      </w:pPr>
    </w:p>
    <w:p w14:paraId="30982DD3">
      <w:pPr>
        <w:pStyle w:val="2"/>
        <w:ind w:firstLine="804" w:firstLineChars="400"/>
        <w:rPr>
          <w:rFonts w:ascii="方正仿宋_GBK" w:hAnsi="宋体" w:eastAsia="方正仿宋_GBK" w:cs="宋体"/>
          <w:b/>
          <w:bCs/>
          <w:color w:val="auto"/>
          <w:spacing w:val="-20"/>
          <w:kern w:val="44"/>
          <w:sz w:val="24"/>
          <w:szCs w:val="24"/>
          <w:highlight w:val="none"/>
        </w:rPr>
      </w:pPr>
    </w:p>
    <w:p w14:paraId="405631F9">
      <w:pPr>
        <w:pStyle w:val="2"/>
        <w:ind w:firstLine="804" w:firstLineChars="400"/>
        <w:rPr>
          <w:rFonts w:ascii="方正仿宋_GBK" w:hAnsi="宋体" w:eastAsia="方正仿宋_GBK" w:cs="宋体"/>
          <w:b/>
          <w:bCs/>
          <w:color w:val="auto"/>
          <w:spacing w:val="-20"/>
          <w:kern w:val="44"/>
          <w:sz w:val="24"/>
          <w:szCs w:val="24"/>
          <w:highlight w:val="none"/>
        </w:rPr>
      </w:pPr>
    </w:p>
    <w:p w14:paraId="7DD77930">
      <w:pPr>
        <w:pStyle w:val="2"/>
        <w:jc w:val="center"/>
        <w:rPr>
          <w:rFonts w:ascii="方正仿宋_GBK" w:hAnsi="宋体" w:eastAsia="方正仿宋_GBK" w:cs="宋体"/>
          <w:b/>
          <w:bCs/>
          <w:color w:val="auto"/>
          <w:spacing w:val="-20"/>
          <w:kern w:val="44"/>
          <w:sz w:val="52"/>
          <w:szCs w:val="24"/>
          <w:highlight w:val="none"/>
        </w:rPr>
      </w:pPr>
      <w:r>
        <w:rPr>
          <w:rFonts w:hint="eastAsia" w:ascii="方正仿宋_GBK" w:hAnsi="宋体" w:eastAsia="方正仿宋_GBK" w:cs="宋体"/>
          <w:b/>
          <w:bCs/>
          <w:color w:val="auto"/>
          <w:spacing w:val="-20"/>
          <w:kern w:val="44"/>
          <w:sz w:val="52"/>
          <w:szCs w:val="24"/>
          <w:highlight w:val="none"/>
        </w:rPr>
        <w:t>政府采购货物买卖合同</w:t>
      </w:r>
    </w:p>
    <w:p w14:paraId="14B017F2">
      <w:pPr>
        <w:rPr>
          <w:rFonts w:ascii="方正仿宋_GBK" w:hAnsi="宋体" w:eastAsia="方正仿宋_GBK" w:cs="宋体"/>
          <w:b/>
          <w:bCs/>
          <w:color w:val="auto"/>
          <w:spacing w:val="-20"/>
          <w:kern w:val="44"/>
          <w:sz w:val="32"/>
          <w:szCs w:val="24"/>
          <w:highlight w:val="none"/>
        </w:rPr>
      </w:pPr>
    </w:p>
    <w:p w14:paraId="712260B2">
      <w:pPr>
        <w:rPr>
          <w:rFonts w:ascii="方正仿宋_GBK" w:hAnsi="宋体" w:eastAsia="方正仿宋_GBK" w:cs="宋体"/>
          <w:b/>
          <w:bCs/>
          <w:color w:val="auto"/>
          <w:spacing w:val="-20"/>
          <w:kern w:val="44"/>
          <w:sz w:val="32"/>
          <w:szCs w:val="24"/>
          <w:highlight w:val="none"/>
        </w:rPr>
      </w:pPr>
    </w:p>
    <w:p w14:paraId="74237BCB">
      <w:pPr>
        <w:rPr>
          <w:rFonts w:ascii="方正仿宋_GBK" w:hAnsi="宋体" w:eastAsia="方正仿宋_GBK" w:cs="宋体"/>
          <w:b/>
          <w:bCs/>
          <w:color w:val="auto"/>
          <w:spacing w:val="-20"/>
          <w:kern w:val="44"/>
          <w:sz w:val="32"/>
          <w:szCs w:val="24"/>
          <w:highlight w:val="none"/>
        </w:rPr>
      </w:pPr>
    </w:p>
    <w:p w14:paraId="7BE77D9C">
      <w:pPr>
        <w:rPr>
          <w:rFonts w:ascii="方正仿宋_GBK" w:hAnsi="宋体" w:eastAsia="方正仿宋_GBK" w:cs="宋体"/>
          <w:b/>
          <w:bCs/>
          <w:color w:val="auto"/>
          <w:spacing w:val="-20"/>
          <w:kern w:val="44"/>
          <w:sz w:val="32"/>
          <w:szCs w:val="24"/>
          <w:highlight w:val="none"/>
        </w:rPr>
      </w:pPr>
    </w:p>
    <w:p w14:paraId="77F9C4AD">
      <w:pPr>
        <w:rPr>
          <w:rFonts w:ascii="方正仿宋_GBK" w:hAnsi="宋体" w:eastAsia="方正仿宋_GBK" w:cs="宋体"/>
          <w:b/>
          <w:bCs/>
          <w:color w:val="auto"/>
          <w:spacing w:val="-20"/>
          <w:kern w:val="44"/>
          <w:sz w:val="32"/>
          <w:szCs w:val="24"/>
          <w:highlight w:val="none"/>
        </w:rPr>
      </w:pPr>
    </w:p>
    <w:p w14:paraId="7B98093A">
      <w:pPr>
        <w:rPr>
          <w:rFonts w:ascii="方正仿宋_GBK" w:hAnsi="宋体" w:eastAsia="方正仿宋_GBK" w:cs="宋体"/>
          <w:b/>
          <w:bCs/>
          <w:color w:val="auto"/>
          <w:spacing w:val="-20"/>
          <w:kern w:val="44"/>
          <w:sz w:val="32"/>
          <w:szCs w:val="24"/>
          <w:highlight w:val="none"/>
        </w:rPr>
      </w:pPr>
    </w:p>
    <w:p w14:paraId="36DA25C6">
      <w:pPr>
        <w:spacing w:line="360" w:lineRule="auto"/>
        <w:ind w:left="560" w:leftChars="200"/>
        <w:rPr>
          <w:rFonts w:ascii="方正仿宋_GBK" w:eastAsia="方正仿宋_GBK"/>
          <w:color w:val="auto"/>
          <w:sz w:val="32"/>
          <w:szCs w:val="24"/>
          <w:highlight w:val="none"/>
        </w:rPr>
      </w:pPr>
      <w:r>
        <w:rPr>
          <w:rFonts w:hint="eastAsia" w:ascii="方正仿宋_GBK" w:hAnsi="宋体" w:eastAsia="方正仿宋_GBK" w:cs="宋体"/>
          <w:color w:val="auto"/>
          <w:kern w:val="0"/>
          <w:sz w:val="32"/>
          <w:szCs w:val="24"/>
          <w:highlight w:val="none"/>
        </w:rPr>
        <w:t>项目名称：</w:t>
      </w:r>
      <w:r>
        <w:rPr>
          <w:rFonts w:hint="eastAsia" w:ascii="方正仿宋_GBK" w:eastAsia="方正仿宋_GBK"/>
          <w:color w:val="auto"/>
          <w:sz w:val="32"/>
          <w:szCs w:val="24"/>
          <w:highlight w:val="none"/>
          <w:u w:val="single"/>
        </w:rPr>
        <w:t xml:space="preserve">                             </w:t>
      </w:r>
    </w:p>
    <w:p w14:paraId="4A9F16ED">
      <w:pPr>
        <w:spacing w:line="360" w:lineRule="auto"/>
        <w:ind w:left="560" w:leftChars="200"/>
        <w:rPr>
          <w:rFonts w:ascii="方正仿宋_GBK" w:eastAsia="方正仿宋_GBK"/>
          <w:color w:val="auto"/>
          <w:sz w:val="32"/>
          <w:szCs w:val="24"/>
          <w:highlight w:val="none"/>
          <w:u w:val="single"/>
        </w:rPr>
      </w:pPr>
      <w:r>
        <w:rPr>
          <w:rFonts w:hint="eastAsia" w:ascii="方正仿宋_GBK" w:eastAsia="方正仿宋_GBK"/>
          <w:color w:val="auto"/>
          <w:sz w:val="32"/>
          <w:szCs w:val="24"/>
          <w:highlight w:val="none"/>
        </w:rPr>
        <w:t>合同编号：</w:t>
      </w:r>
      <w:r>
        <w:rPr>
          <w:rFonts w:hint="eastAsia" w:ascii="方正仿宋_GBK" w:eastAsia="方正仿宋_GBK"/>
          <w:color w:val="auto"/>
          <w:sz w:val="32"/>
          <w:szCs w:val="24"/>
          <w:highlight w:val="none"/>
          <w:u w:val="single"/>
        </w:rPr>
        <w:t xml:space="preserve">                             </w:t>
      </w:r>
    </w:p>
    <w:p w14:paraId="4732707B">
      <w:pPr>
        <w:spacing w:line="360" w:lineRule="auto"/>
        <w:ind w:left="560" w:leftChars="200"/>
        <w:rPr>
          <w:rFonts w:ascii="方正仿宋_GBK" w:eastAsia="方正仿宋_GBK"/>
          <w:color w:val="auto"/>
          <w:sz w:val="32"/>
          <w:szCs w:val="24"/>
          <w:highlight w:val="none"/>
        </w:rPr>
      </w:pPr>
      <w:r>
        <w:rPr>
          <w:rFonts w:hint="eastAsia" w:ascii="方正仿宋_GBK" w:eastAsia="方正仿宋_GBK"/>
          <w:color w:val="auto"/>
          <w:sz w:val="32"/>
          <w:szCs w:val="24"/>
          <w:highlight w:val="none"/>
        </w:rPr>
        <w:t>甲    方：</w:t>
      </w:r>
      <w:r>
        <w:rPr>
          <w:rFonts w:hint="eastAsia" w:ascii="方正仿宋_GBK" w:eastAsia="方正仿宋_GBK"/>
          <w:color w:val="auto"/>
          <w:sz w:val="32"/>
          <w:szCs w:val="24"/>
          <w:highlight w:val="none"/>
          <w:u w:val="single"/>
        </w:rPr>
        <w:t xml:space="preserve">                             </w:t>
      </w:r>
    </w:p>
    <w:p w14:paraId="7E2C99BF">
      <w:pPr>
        <w:spacing w:line="360" w:lineRule="auto"/>
        <w:ind w:left="560" w:leftChars="200"/>
        <w:rPr>
          <w:rFonts w:ascii="方正仿宋_GBK" w:eastAsia="方正仿宋_GBK"/>
          <w:color w:val="auto"/>
          <w:sz w:val="32"/>
          <w:szCs w:val="24"/>
          <w:highlight w:val="none"/>
          <w:u w:val="single"/>
        </w:rPr>
      </w:pPr>
      <w:r>
        <w:rPr>
          <w:rFonts w:hint="eastAsia" w:ascii="方正仿宋_GBK" w:eastAsia="方正仿宋_GBK"/>
          <w:color w:val="auto"/>
          <w:sz w:val="32"/>
          <w:szCs w:val="24"/>
          <w:highlight w:val="none"/>
        </w:rPr>
        <w:t>乙    方：</w:t>
      </w:r>
      <w:r>
        <w:rPr>
          <w:rFonts w:hint="eastAsia" w:ascii="方正仿宋_GBK" w:eastAsia="方正仿宋_GBK"/>
          <w:color w:val="auto"/>
          <w:sz w:val="32"/>
          <w:szCs w:val="24"/>
          <w:highlight w:val="none"/>
          <w:u w:val="single"/>
        </w:rPr>
        <w:t xml:space="preserve">                             </w:t>
      </w:r>
    </w:p>
    <w:p w14:paraId="06D9DE45">
      <w:pPr>
        <w:spacing w:line="360" w:lineRule="auto"/>
        <w:ind w:left="560" w:leftChars="200"/>
        <w:rPr>
          <w:rFonts w:ascii="方正仿宋_GBK" w:eastAsia="方正仿宋_GBK"/>
          <w:color w:val="auto"/>
          <w:sz w:val="32"/>
          <w:szCs w:val="24"/>
          <w:highlight w:val="none"/>
        </w:rPr>
      </w:pPr>
      <w:r>
        <w:rPr>
          <w:rFonts w:hint="eastAsia" w:ascii="方正仿宋_GBK" w:eastAsia="方正仿宋_GBK"/>
          <w:color w:val="auto"/>
          <w:sz w:val="32"/>
          <w:szCs w:val="24"/>
          <w:highlight w:val="none"/>
        </w:rPr>
        <w:t>签订时间：</w:t>
      </w:r>
      <w:r>
        <w:rPr>
          <w:rFonts w:hint="eastAsia" w:ascii="方正仿宋_GBK" w:eastAsia="方正仿宋_GBK"/>
          <w:color w:val="auto"/>
          <w:sz w:val="32"/>
          <w:szCs w:val="24"/>
          <w:highlight w:val="none"/>
          <w:u w:val="single"/>
        </w:rPr>
        <w:t xml:space="preserve">                             </w:t>
      </w:r>
    </w:p>
    <w:p w14:paraId="6ADC1389">
      <w:pPr>
        <w:widowControl/>
        <w:jc w:val="left"/>
        <w:rPr>
          <w:rFonts w:ascii="方正仿宋_GBK" w:hAnsi="黑体" w:eastAsia="方正仿宋_GBK"/>
          <w:b/>
          <w:color w:val="auto"/>
          <w:sz w:val="24"/>
          <w:szCs w:val="24"/>
          <w:highlight w:val="none"/>
        </w:rPr>
      </w:pPr>
      <w:bookmarkStart w:id="510" w:name="_Toc22209"/>
      <w:r>
        <w:rPr>
          <w:rFonts w:ascii="方正仿宋_GBK" w:hAnsi="黑体" w:eastAsia="方正仿宋_GBK"/>
          <w:color w:val="auto"/>
          <w:sz w:val="24"/>
          <w:szCs w:val="24"/>
          <w:highlight w:val="none"/>
        </w:rPr>
        <w:br w:type="page"/>
      </w:r>
    </w:p>
    <w:p w14:paraId="063E9EE4">
      <w:pPr>
        <w:pStyle w:val="5"/>
        <w:spacing w:before="260" w:after="260" w:line="240" w:lineRule="auto"/>
        <w:jc w:val="center"/>
        <w:rPr>
          <w:rFonts w:ascii="方正仿宋_GBK" w:eastAsia="方正仿宋_GBK"/>
          <w:b/>
          <w:bCs/>
          <w:color w:val="auto"/>
          <w:szCs w:val="28"/>
          <w:highlight w:val="none"/>
        </w:rPr>
      </w:pPr>
      <w:bookmarkStart w:id="511" w:name="_Toc2959"/>
      <w:r>
        <w:rPr>
          <w:rFonts w:hint="eastAsia" w:ascii="方正仿宋_GBK" w:hAnsi="黑体" w:eastAsia="方正仿宋_GBK"/>
          <w:b/>
          <w:bCs/>
          <w:color w:val="auto"/>
          <w:szCs w:val="28"/>
          <w:highlight w:val="none"/>
        </w:rPr>
        <w:t xml:space="preserve">第一节 </w:t>
      </w:r>
      <w:r>
        <w:rPr>
          <w:rFonts w:hint="eastAsia" w:ascii="方正仿宋_GBK" w:eastAsia="方正仿宋_GBK"/>
          <w:b/>
          <w:bCs/>
          <w:color w:val="auto"/>
          <w:szCs w:val="28"/>
          <w:highlight w:val="none"/>
        </w:rPr>
        <w:t>政府采购合同协议书</w:t>
      </w:r>
      <w:bookmarkEnd w:id="510"/>
      <w:bookmarkEnd w:id="511"/>
    </w:p>
    <w:p w14:paraId="53F013B1">
      <w:pPr>
        <w:adjustRightInd w:val="0"/>
        <w:snapToGrid w:val="0"/>
        <w:spacing w:line="400" w:lineRule="exac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甲方（全称）：</w:t>
      </w:r>
      <w:r>
        <w:rPr>
          <w:rFonts w:hint="eastAsia" w:ascii="方正仿宋_GBK" w:hAnsi="仿宋" w:eastAsia="方正仿宋_GBK"/>
          <w:color w:val="auto"/>
          <w:sz w:val="24"/>
          <w:szCs w:val="24"/>
          <w:highlight w:val="none"/>
          <w:u w:val="single"/>
        </w:rPr>
        <w:t xml:space="preserve">重庆市应急管理局 </w:t>
      </w:r>
      <w:r>
        <w:rPr>
          <w:rFonts w:hint="eastAsia" w:ascii="方正仿宋_GBK" w:hAnsi="仿宋" w:eastAsia="方正仿宋_GBK"/>
          <w:color w:val="auto"/>
          <w:sz w:val="24"/>
          <w:szCs w:val="24"/>
          <w:highlight w:val="none"/>
        </w:rPr>
        <w:t>（采购人、受采购人委托签订合同的单位或采购文件约定的合同甲方）</w:t>
      </w:r>
    </w:p>
    <w:p w14:paraId="647D3FAF">
      <w:pPr>
        <w:adjustRightInd w:val="0"/>
        <w:snapToGrid w:val="0"/>
        <w:spacing w:line="400" w:lineRule="exac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乙方（全称）：</w:t>
      </w:r>
      <w:r>
        <w:rPr>
          <w:rFonts w:hint="eastAsia"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（供应商）</w:t>
      </w:r>
    </w:p>
    <w:p w14:paraId="35076384">
      <w:pPr>
        <w:pStyle w:val="24"/>
        <w:adjustRightInd w:val="0"/>
        <w:snapToGrid w:val="0"/>
        <w:spacing w:line="400" w:lineRule="exact"/>
        <w:ind w:left="0"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8C4EF3F">
      <w:pPr>
        <w:numPr>
          <w:ilvl w:val="0"/>
          <w:numId w:val="17"/>
        </w:num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项目信息</w:t>
      </w:r>
    </w:p>
    <w:p w14:paraId="4888F45E">
      <w:pPr>
        <w:pStyle w:val="24"/>
        <w:numPr>
          <w:ilvl w:val="0"/>
          <w:numId w:val="18"/>
        </w:numPr>
        <w:adjustRightInd w:val="0"/>
        <w:snapToGrid w:val="0"/>
        <w:spacing w:line="400" w:lineRule="exact"/>
        <w:ind w:left="0" w:firstLine="480" w:firstLineChars="200"/>
        <w:rPr>
          <w:rFonts w:ascii="方正仿宋_GBK" w:hAnsi="仿宋" w:eastAsia="方正仿宋_GBK"/>
          <w:color w:val="auto"/>
          <w:sz w:val="24"/>
          <w:szCs w:val="24"/>
          <w:highlight w:val="none"/>
          <w:u w:val="single"/>
        </w:rPr>
      </w:pPr>
      <w:r>
        <w:rPr>
          <w:rFonts w:hint="eastAsia" w:ascii="方正仿宋_GBK" w:hAnsi="仿宋" w:eastAsia="方正仿宋_GBK"/>
          <w:color w:val="auto"/>
          <w:sz w:val="24"/>
          <w:szCs w:val="24"/>
          <w:highlight w:val="none"/>
        </w:rPr>
        <w:t>采购项目名称：</w:t>
      </w:r>
      <w:r>
        <w:rPr>
          <w:rFonts w:hint="eastAsia" w:ascii="方正仿宋_GBK" w:hAnsi="仿宋" w:eastAsia="方正仿宋_GBK"/>
          <w:color w:val="auto"/>
          <w:sz w:val="24"/>
          <w:szCs w:val="24"/>
          <w:highlight w:val="none"/>
          <w:u w:val="single"/>
        </w:rPr>
        <w:t xml:space="preserve">                                          </w:t>
      </w:r>
    </w:p>
    <w:p w14:paraId="72F9C3BD">
      <w:pPr>
        <w:pStyle w:val="24"/>
        <w:keepNext w:val="0"/>
        <w:keepLines w:val="0"/>
        <w:pageBreakBefore w:val="0"/>
        <w:widowControl w:val="0"/>
        <w:tabs>
          <w:tab w:val="left" w:pos="999"/>
        </w:tabs>
        <w:kinsoku/>
        <w:wordWrap/>
        <w:overflowPunct/>
        <w:topLinePunct w:val="0"/>
        <w:autoSpaceDE/>
        <w:autoSpaceDN/>
        <w:bidi w:val="0"/>
        <w:adjustRightInd w:val="0"/>
        <w:snapToGrid w:val="0"/>
        <w:spacing w:line="400" w:lineRule="exact"/>
        <w:ind w:left="1020"/>
        <w:textAlignment w:val="auto"/>
        <w:rPr>
          <w:rFonts w:ascii="方正仿宋_GBK" w:hAnsi="仿宋" w:eastAsia="方正仿宋_GBK"/>
          <w:color w:val="auto"/>
          <w:sz w:val="24"/>
          <w:szCs w:val="24"/>
          <w:highlight w:val="none"/>
          <w:u w:val="single"/>
        </w:rPr>
      </w:pPr>
      <w:r>
        <w:rPr>
          <w:rFonts w:hint="eastAsia" w:ascii="方正仿宋_GBK" w:hAnsi="仿宋" w:eastAsia="方正仿宋_GBK"/>
          <w:color w:val="auto"/>
          <w:sz w:val="24"/>
          <w:szCs w:val="24"/>
          <w:highlight w:val="none"/>
        </w:rPr>
        <w:t>采购项目编号：</w:t>
      </w:r>
      <w:r>
        <w:rPr>
          <w:rFonts w:hint="eastAsia" w:ascii="方正仿宋_GBK" w:hAnsi="仿宋" w:eastAsia="方正仿宋_GBK"/>
          <w:color w:val="auto"/>
          <w:sz w:val="24"/>
          <w:szCs w:val="24"/>
          <w:highlight w:val="none"/>
          <w:u w:val="single"/>
        </w:rPr>
        <w:t xml:space="preserve">                                          </w:t>
      </w:r>
    </w:p>
    <w:p w14:paraId="7BE6A76B">
      <w:pPr>
        <w:pStyle w:val="24"/>
        <w:adjustRightInd w:val="0"/>
        <w:snapToGrid w:val="0"/>
        <w:spacing w:line="400" w:lineRule="exact"/>
        <w:ind w:left="0"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（2）采购计划编号：</w:t>
      </w:r>
      <w:r>
        <w:rPr>
          <w:rFonts w:hint="eastAsia" w:ascii="方正仿宋_GBK" w:hAnsi="仿宋" w:eastAsia="方正仿宋_GBK"/>
          <w:color w:val="auto"/>
          <w:sz w:val="24"/>
          <w:szCs w:val="24"/>
          <w:highlight w:val="none"/>
          <w:u w:val="single"/>
        </w:rPr>
        <w:t xml:space="preserve">                                           </w:t>
      </w:r>
    </w:p>
    <w:p w14:paraId="3F231E45">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（3）项目内容：</w:t>
      </w:r>
    </w:p>
    <w:p w14:paraId="2BA4D4A0">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     </w:t>
      </w:r>
    </w:p>
    <w:p w14:paraId="625D4375">
      <w:pPr>
        <w:adjustRightInd w:val="0"/>
        <w:snapToGrid w:val="0"/>
        <w:spacing w:line="400" w:lineRule="exact"/>
        <w:ind w:firstLine="1080" w:firstLineChars="45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采购标的的技术要求、商务要求具体见附件。</w:t>
      </w:r>
    </w:p>
    <w:p w14:paraId="76932E3A">
      <w:pPr>
        <w:numPr>
          <w:ilvl w:val="0"/>
          <w:numId w:val="17"/>
        </w:numPr>
        <w:adjustRightInd w:val="0"/>
        <w:snapToGrid w:val="0"/>
        <w:spacing w:line="400" w:lineRule="exact"/>
        <w:ind w:firstLine="482" w:firstLineChars="200"/>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合同金额</w:t>
      </w:r>
    </w:p>
    <w:p w14:paraId="78693C96">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（1）合同金额小写：</w:t>
      </w:r>
      <w:r>
        <w:rPr>
          <w:rFonts w:hint="eastAsia" w:ascii="方正仿宋_GBK" w:hAnsi="仿宋" w:eastAsia="方正仿宋_GBK"/>
          <w:color w:val="auto"/>
          <w:sz w:val="24"/>
          <w:szCs w:val="24"/>
          <w:highlight w:val="none"/>
          <w:u w:val="single"/>
        </w:rPr>
        <w:t xml:space="preserve">                           </w:t>
      </w:r>
    </w:p>
    <w:p w14:paraId="36574797">
      <w:pPr>
        <w:adjustRightInd w:val="0"/>
        <w:snapToGrid w:val="0"/>
        <w:spacing w:line="400" w:lineRule="exact"/>
        <w:rPr>
          <w:rFonts w:hint="eastAsia" w:ascii="方正仿宋_GBK" w:hAnsi="仿宋" w:eastAsia="方正仿宋_GBK"/>
          <w:color w:val="auto"/>
          <w:sz w:val="24"/>
          <w:szCs w:val="24"/>
          <w:highlight w:val="none"/>
          <w:u w:val="single"/>
        </w:rPr>
      </w:pPr>
      <w:r>
        <w:rPr>
          <w:rFonts w:hint="eastAsia" w:ascii="方正仿宋_GBK" w:hAnsi="仿宋" w:eastAsia="方正仿宋_GBK"/>
          <w:color w:val="auto"/>
          <w:sz w:val="24"/>
          <w:szCs w:val="24"/>
          <w:highlight w:val="none"/>
        </w:rPr>
        <w:t xml:space="preserve">                 大写：</w:t>
      </w:r>
      <w:r>
        <w:rPr>
          <w:rFonts w:hint="eastAsia" w:ascii="方正仿宋_GBK" w:hAnsi="仿宋" w:eastAsia="方正仿宋_GBK"/>
          <w:color w:val="auto"/>
          <w:sz w:val="24"/>
          <w:szCs w:val="24"/>
          <w:highlight w:val="none"/>
          <w:u w:val="single"/>
        </w:rPr>
        <w:t xml:space="preserve">                           </w:t>
      </w:r>
    </w:p>
    <w:p w14:paraId="454B34D6">
      <w:pPr>
        <w:adjustRightInd w:val="0"/>
        <w:snapToGrid w:val="0"/>
        <w:spacing w:line="400" w:lineRule="exac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    （注：固定单价合同应填写单价和最高限价）</w:t>
      </w:r>
    </w:p>
    <w:p w14:paraId="4A5379CA">
      <w:pPr>
        <w:adjustRightInd w:val="0"/>
        <w:snapToGrid w:val="0"/>
        <w:spacing w:line="400" w:lineRule="exac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    （2）合同定价方式（采用组合定价方式的，可以勾选多项）：</w:t>
      </w:r>
    </w:p>
    <w:p w14:paraId="11366157">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iCs/>
          <w:color w:val="auto"/>
          <w:sz w:val="24"/>
          <w:szCs w:val="24"/>
          <w:highlight w:val="none"/>
        </w:rPr>
        <w:t xml:space="preserve"> </w:t>
      </w:r>
      <w:r>
        <w:rPr>
          <w:rFonts w:hint="eastAsia" w:ascii="方正仿宋_GBK" w:hAnsi="仿宋" w:eastAsia="方正仿宋_GBK"/>
          <w:color w:val="auto"/>
          <w:sz w:val="24"/>
          <w:szCs w:val="24"/>
          <w:highlight w:val="none"/>
        </w:rPr>
        <w:sym w:font="Wingdings" w:char="00A8"/>
      </w:r>
      <w:r>
        <w:rPr>
          <w:rFonts w:hint="eastAsia" w:ascii="方正仿宋_GBK" w:hAnsi="仿宋" w:eastAsia="方正仿宋_GBK"/>
          <w:iCs/>
          <w:color w:val="auto"/>
          <w:sz w:val="24"/>
          <w:szCs w:val="24"/>
          <w:highlight w:val="none"/>
        </w:rPr>
        <w:t xml:space="preserve">固定总价 </w:t>
      </w:r>
      <w:r>
        <w:rPr>
          <w:rFonts w:hint="eastAsia" w:ascii="方正仿宋_GBK" w:hAnsi="仿宋" w:eastAsia="方正仿宋_GBK"/>
          <w:color w:val="auto"/>
          <w:sz w:val="24"/>
          <w:szCs w:val="24"/>
          <w:highlight w:val="none"/>
        </w:rPr>
        <w:sym w:font="Wingdings" w:char="00A8"/>
      </w:r>
      <w:r>
        <w:rPr>
          <w:rFonts w:hint="eastAsia" w:ascii="方正仿宋_GBK" w:hAnsi="仿宋" w:eastAsia="方正仿宋_GBK"/>
          <w:iCs/>
          <w:color w:val="auto"/>
          <w:sz w:val="24"/>
          <w:szCs w:val="24"/>
          <w:highlight w:val="none"/>
        </w:rPr>
        <w:t xml:space="preserve">固定单价 </w:t>
      </w:r>
      <w:r>
        <w:rPr>
          <w:rFonts w:hint="eastAsia" w:ascii="方正仿宋_GBK" w:hAnsi="仿宋" w:eastAsia="方正仿宋_GBK"/>
          <w:iCs/>
          <w:color w:val="auto"/>
          <w:sz w:val="24"/>
          <w:szCs w:val="24"/>
          <w:highlight w:val="none"/>
        </w:rPr>
        <w:sym w:font="Wingdings" w:char="00A8"/>
      </w:r>
      <w:r>
        <w:rPr>
          <w:rFonts w:hint="eastAsia" w:ascii="方正仿宋_GBK" w:hAnsi="仿宋" w:eastAsia="方正仿宋_GBK"/>
          <w:iCs/>
          <w:color w:val="auto"/>
          <w:sz w:val="24"/>
          <w:szCs w:val="24"/>
          <w:highlight w:val="none"/>
        </w:rPr>
        <w:t xml:space="preserve">固定费率 </w:t>
      </w:r>
      <w:r>
        <w:rPr>
          <w:rFonts w:hint="eastAsia" w:ascii="方正仿宋_GBK" w:hAnsi="仿宋" w:eastAsia="方正仿宋_GBK"/>
          <w:iCs/>
          <w:color w:val="auto"/>
          <w:sz w:val="24"/>
          <w:szCs w:val="24"/>
          <w:highlight w:val="none"/>
        </w:rPr>
        <w:sym w:font="Wingdings" w:char="00A8"/>
      </w:r>
      <w:r>
        <w:rPr>
          <w:rFonts w:hint="eastAsia" w:ascii="方正仿宋_GBK" w:hAnsi="仿宋" w:eastAsia="方正仿宋_GBK"/>
          <w:iCs/>
          <w:color w:val="auto"/>
          <w:sz w:val="24"/>
          <w:szCs w:val="24"/>
          <w:highlight w:val="none"/>
        </w:rPr>
        <w:t xml:space="preserve">成本补偿 </w:t>
      </w:r>
      <w:r>
        <w:rPr>
          <w:rFonts w:hint="eastAsia" w:ascii="方正仿宋_GBK" w:hAnsi="仿宋" w:eastAsia="方正仿宋_GBK"/>
          <w:iCs/>
          <w:color w:val="auto"/>
          <w:sz w:val="24"/>
          <w:szCs w:val="24"/>
          <w:highlight w:val="none"/>
        </w:rPr>
        <w:sym w:font="Wingdings" w:char="00A8"/>
      </w:r>
      <w:r>
        <w:rPr>
          <w:rFonts w:hint="eastAsia" w:ascii="方正仿宋_GBK" w:hAnsi="仿宋" w:eastAsia="方正仿宋_GBK"/>
          <w:iCs/>
          <w:color w:val="auto"/>
          <w:sz w:val="24"/>
          <w:szCs w:val="24"/>
          <w:highlight w:val="none"/>
        </w:rPr>
        <w:t xml:space="preserve">绩效激励 </w:t>
      </w:r>
      <w:r>
        <w:rPr>
          <w:rFonts w:hint="eastAsia" w:ascii="方正仿宋_GBK" w:hAnsi="仿宋" w:eastAsia="方正仿宋_GBK"/>
          <w:iCs/>
          <w:color w:val="auto"/>
          <w:sz w:val="24"/>
          <w:szCs w:val="24"/>
          <w:highlight w:val="none"/>
        </w:rPr>
        <w:sym w:font="Wingdings" w:char="00A8"/>
      </w:r>
      <w:r>
        <w:rPr>
          <w:rFonts w:hint="eastAsia" w:ascii="方正仿宋_GBK" w:hAnsi="仿宋" w:eastAsia="方正仿宋_GBK"/>
          <w:iCs/>
          <w:color w:val="auto"/>
          <w:sz w:val="24"/>
          <w:szCs w:val="24"/>
          <w:highlight w:val="none"/>
        </w:rPr>
        <w:t>其他</w:t>
      </w:r>
      <w:r>
        <w:rPr>
          <w:rFonts w:hint="eastAsia" w:ascii="方正仿宋_GBK" w:hAnsi="仿宋" w:eastAsia="方正仿宋_GBK"/>
          <w:color w:val="auto"/>
          <w:sz w:val="24"/>
          <w:szCs w:val="24"/>
          <w:highlight w:val="none"/>
          <w:u w:val="single"/>
        </w:rPr>
        <w:t xml:space="preserve">       </w:t>
      </w:r>
    </w:p>
    <w:p w14:paraId="5CEC8B6E">
      <w:pPr>
        <w:adjustRightInd w:val="0"/>
        <w:snapToGrid w:val="0"/>
        <w:spacing w:line="400" w:lineRule="exact"/>
        <w:ind w:firstLine="480" w:firstLineChars="200"/>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（3）付款方式</w:t>
      </w:r>
    </w:p>
    <w:p w14:paraId="722BCDE5">
      <w:pPr>
        <w:snapToGrid w:val="0"/>
        <w:spacing w:line="400" w:lineRule="exact"/>
        <w:ind w:firstLine="482" w:firstLineChars="200"/>
        <w:rPr>
          <w:rFonts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履约保证金的约定：</w:t>
      </w:r>
    </w:p>
    <w:p w14:paraId="3A0ED6F7">
      <w:pPr>
        <w:adjustRightInd w:val="0"/>
        <w:snapToGrid w:val="0"/>
        <w:spacing w:line="400" w:lineRule="exact"/>
        <w:ind w:firstLine="480" w:firstLineChars="200"/>
        <w:rPr>
          <w:rFonts w:hint="eastAsia"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①乙方应在中标通知书发出后，合同签订前以银行转账或者金融机构、</w:t>
      </w:r>
      <w:r>
        <w:rPr>
          <w:rFonts w:hint="eastAsia" w:ascii="方正仿宋_GBK" w:hAnsi="宋体" w:eastAsia="方正仿宋_GBK"/>
          <w:color w:val="auto"/>
          <w:sz w:val="24"/>
          <w:szCs w:val="24"/>
          <w:highlight w:val="none"/>
          <w:lang w:val="en-US" w:eastAsia="zh-CN"/>
        </w:rPr>
        <w:t>融资性</w:t>
      </w:r>
      <w:r>
        <w:rPr>
          <w:rFonts w:hint="eastAsia" w:ascii="方正仿宋_GBK" w:hAnsi="仿宋" w:eastAsia="方正仿宋_GBK" w:cs="宋体"/>
          <w:color w:val="auto"/>
          <w:sz w:val="24"/>
          <w:szCs w:val="24"/>
          <w:highlight w:val="none"/>
        </w:rPr>
        <w:t>担保机构出具不可撤销见索即付的独立保函等非现金形式向甲方缴纳中标金额的 10% 作为履约保证金。</w:t>
      </w:r>
    </w:p>
    <w:p w14:paraId="29C6AC3E">
      <w:pPr>
        <w:adjustRightInd w:val="0"/>
        <w:snapToGrid w:val="0"/>
        <w:spacing w:line="400" w:lineRule="exact"/>
        <w:ind w:firstLine="480" w:firstLineChars="200"/>
        <w:rPr>
          <w:rFonts w:hint="eastAsia"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②若乙方未按合同约定履行义务（注意：合同约定义务完成包括但不限于完成货物交付、货物质量保证期、免费运维期内提供服务等所有合同约定的义务），甲方有权从履约保证金中扣除损失赔偿费、违约金、为维护权利所产生的所有费用，若履约保证金不足以抵扣，乙方还应当对超过部分予以赔偿。</w:t>
      </w:r>
    </w:p>
    <w:p w14:paraId="37A2C0A2">
      <w:pPr>
        <w:adjustRightInd w:val="0"/>
        <w:snapToGrid w:val="0"/>
        <w:spacing w:line="400" w:lineRule="exact"/>
        <w:ind w:firstLine="480" w:firstLineChars="200"/>
        <w:rPr>
          <w:rFonts w:hint="eastAsia"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③项目初步验收后，原则上甲方按照乙方承诺的</w:t>
      </w:r>
      <w:r>
        <w:rPr>
          <w:rFonts w:hint="eastAsia" w:ascii="方正仿宋_GBK" w:hAnsi="宋体" w:eastAsia="方正仿宋_GBK" w:cs="Times New Roman"/>
          <w:color w:val="auto"/>
          <w:kern w:val="2"/>
          <w:sz w:val="24"/>
          <w:szCs w:val="24"/>
          <w:highlight w:val="none"/>
          <w:lang w:val="en-US" w:eastAsia="zh-CN" w:bidi="ar-SA"/>
        </w:rPr>
        <w:t>货物质量保证期（免费运维期）</w:t>
      </w:r>
      <w:r>
        <w:rPr>
          <w:rFonts w:hint="eastAsia" w:ascii="方正仿宋_GBK" w:hAnsi="仿宋" w:eastAsia="方正仿宋_GBK" w:cs="宋体"/>
          <w:color w:val="auto"/>
          <w:sz w:val="24"/>
          <w:szCs w:val="24"/>
          <w:highlight w:val="none"/>
        </w:rPr>
        <w:t>逐年等比例退还，乙方应逐年向甲方提交退还当年对应部分履约保证金的书面申请。当年合同义务履行完毕，乙方提出申请，经甲方确认乙方当年未发生违约情形，在收到乙方退还履约保证金的申请后，根据乙方承诺的免费运维期逐年等比例退还。</w:t>
      </w:r>
    </w:p>
    <w:p w14:paraId="02DB34E0">
      <w:pPr>
        <w:adjustRightInd w:val="0"/>
        <w:snapToGrid w:val="0"/>
        <w:spacing w:line="400" w:lineRule="exact"/>
        <w:ind w:firstLine="480" w:firstLineChars="200"/>
        <w:rPr>
          <w:rFonts w:hint="eastAsia"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④乙方采用保函形式提供履约担保的，应保证所提交的履约保函在合同义务履行完毕之前均在有效期内；若提交的履约保函有效期届满前15日乙方合同义务未履行完毕，乙方应在履约保函有效期届满前10日提交新的履约保函（有效期应满足合同履行期限要求），否则甲方有权终止合同，并要求乙方对甲方造成的损失予以赔偿。</w:t>
      </w:r>
    </w:p>
    <w:p w14:paraId="6D2F5398">
      <w:pPr>
        <w:adjustRightInd w:val="0"/>
        <w:snapToGrid w:val="0"/>
        <w:spacing w:line="400" w:lineRule="exact"/>
        <w:ind w:firstLine="480" w:firstLineChars="200"/>
        <w:rPr>
          <w:rFonts w:hint="eastAsia"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⑤乙方支付履约保证金时，应在“付款备注”中写明“（合同编号）XX买卖合同履约保证金”。乙方不得与其他合同、其他缴费项目一起支付履约保证金，若因混合支付造成无法确认为本合同款项到账的，视为逾期未支付。</w:t>
      </w:r>
    </w:p>
    <w:p w14:paraId="20144E4D">
      <w:pPr>
        <w:adjustRightInd w:val="0"/>
        <w:snapToGrid w:val="0"/>
        <w:spacing w:line="400" w:lineRule="exact"/>
        <w:ind w:firstLine="480" w:firstLineChars="200"/>
        <w:rPr>
          <w:rFonts w:hint="eastAsia"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⑥履约保证金退还不计利息，按合同条款约定的违约扣除部分不予退还。</w:t>
      </w:r>
    </w:p>
    <w:p w14:paraId="273F8BE1">
      <w:pPr>
        <w:snapToGrid w:val="0"/>
        <w:spacing w:line="400" w:lineRule="exact"/>
        <w:ind w:firstLine="482" w:firstLineChars="200"/>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付款方式的约定：</w:t>
      </w:r>
    </w:p>
    <w:p w14:paraId="0782BE70">
      <w:pPr>
        <w:adjustRightInd w:val="0"/>
        <w:snapToGrid w:val="0"/>
        <w:spacing w:line="400" w:lineRule="exact"/>
        <w:ind w:firstLine="480" w:firstLineChars="200"/>
        <w:rPr>
          <w:rFonts w:hint="eastAsia"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①合同签订后，乙方向甲方提交合同金额50%金融机构、融资性担保机构出具的不可撤销见索即付独立预付款保函，并同时开具合同金额50%的发票，经甲方确认后向乙方支付合同金额50%的预付款。</w:t>
      </w:r>
    </w:p>
    <w:p w14:paraId="4FA7ADC2">
      <w:pPr>
        <w:adjustRightInd w:val="0"/>
        <w:snapToGrid w:val="0"/>
        <w:spacing w:line="400" w:lineRule="exact"/>
        <w:ind w:firstLine="480" w:firstLineChars="200"/>
        <w:rPr>
          <w:rFonts w:hint="eastAsia"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注：乙方应保证上述要求提交的保函在设备初步验收合格之前均在有效期内；若提交的保函有效期届满前15日未完成设备初步验收并达到合格标准，乙方应在保函有效期届满前10日提交新的保函（有效期应满足合同履行期限要求），否则甲方有权终止合同，并要求乙方对甲方造成的损失予以赔偿。</w:t>
      </w:r>
    </w:p>
    <w:p w14:paraId="2CF84DD6">
      <w:pPr>
        <w:adjustRightInd w:val="0"/>
        <w:snapToGrid w:val="0"/>
        <w:spacing w:line="400" w:lineRule="exact"/>
        <w:ind w:firstLine="480" w:firstLineChars="200"/>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②设备初步验收合格后，乙方提出付款申请，同时开具合同金额50%的发票，经甲方确认后向乙方支付合同金额50%的</w:t>
      </w:r>
      <w:r>
        <w:rPr>
          <w:rFonts w:hint="eastAsia" w:ascii="方正仿宋_GBK" w:hAnsi="宋体" w:eastAsia="方正仿宋_GBK"/>
          <w:color w:val="auto"/>
          <w:sz w:val="24"/>
          <w:szCs w:val="24"/>
          <w:highlight w:val="none"/>
          <w:lang w:val="en-US" w:eastAsia="zh-CN"/>
        </w:rPr>
        <w:t>合同金额</w:t>
      </w:r>
      <w:r>
        <w:rPr>
          <w:rFonts w:hint="eastAsia" w:ascii="方正仿宋_GBK" w:hAnsi="仿宋" w:eastAsia="方正仿宋_GBK" w:cs="宋体"/>
          <w:color w:val="auto"/>
          <w:sz w:val="24"/>
          <w:szCs w:val="24"/>
          <w:highlight w:val="none"/>
        </w:rPr>
        <w:t>，同时退还其提交的合同金额50%的保函。</w:t>
      </w:r>
    </w:p>
    <w:p w14:paraId="681C0CAB">
      <w:pPr>
        <w:numPr>
          <w:ilvl w:val="0"/>
          <w:numId w:val="17"/>
        </w:numPr>
        <w:adjustRightInd w:val="0"/>
        <w:snapToGrid w:val="0"/>
        <w:spacing w:line="400" w:lineRule="exact"/>
        <w:ind w:firstLine="482" w:firstLineChars="200"/>
        <w:rPr>
          <w:rFonts w:ascii="方正仿宋_GBK" w:hAnsi="仿宋" w:eastAsia="方正仿宋_GBK"/>
          <w:b/>
          <w:color w:val="auto"/>
          <w:sz w:val="24"/>
          <w:szCs w:val="24"/>
          <w:highlight w:val="none"/>
          <w:u w:val="single"/>
        </w:rPr>
      </w:pPr>
      <w:r>
        <w:rPr>
          <w:rFonts w:hint="eastAsia" w:ascii="方正仿宋_GBK" w:hAnsi="仿宋" w:eastAsia="方正仿宋_GBK"/>
          <w:b/>
          <w:color w:val="auto"/>
          <w:sz w:val="24"/>
          <w:szCs w:val="24"/>
          <w:highlight w:val="none"/>
        </w:rPr>
        <w:t>合同履行</w:t>
      </w:r>
    </w:p>
    <w:p w14:paraId="746B64D6">
      <w:pPr>
        <w:adjustRightInd w:val="0"/>
        <w:snapToGrid w:val="0"/>
        <w:spacing w:line="40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（1）履行日期</w:t>
      </w:r>
    </w:p>
    <w:p w14:paraId="1F0EA580">
      <w:pPr>
        <w:keepNext w:val="0"/>
        <w:keepLines w:val="0"/>
        <w:pageBreakBefore w:val="0"/>
        <w:kinsoku/>
        <w:wordWrap w:val="0"/>
        <w:overflowPunct/>
        <w:topLinePunct/>
        <w:autoSpaceDE/>
        <w:autoSpaceDN/>
        <w:bidi w:val="0"/>
        <w:adjustRightInd w:val="0"/>
        <w:snapToGrid w:val="0"/>
        <w:spacing w:line="400" w:lineRule="exact"/>
        <w:ind w:firstLine="480" w:firstLineChars="200"/>
        <w:textAlignment w:val="auto"/>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合同签订日期：</w:t>
      </w:r>
      <w:r>
        <w:rPr>
          <w:rFonts w:hint="eastAsia" w:ascii="方正仿宋_GBK" w:hAnsi="仿宋" w:eastAsia="方正仿宋_GBK" w:cs="宋体"/>
          <w:color w:val="auto"/>
          <w:sz w:val="24"/>
          <w:szCs w:val="24"/>
          <w:highlight w:val="none"/>
          <w:u w:val="single"/>
        </w:rPr>
        <w:t xml:space="preserve">     </w:t>
      </w:r>
      <w:r>
        <w:rPr>
          <w:rFonts w:hint="eastAsia" w:ascii="方正仿宋_GBK" w:hAnsi="仿宋" w:eastAsia="方正仿宋_GBK" w:cs="宋体"/>
          <w:color w:val="auto"/>
          <w:sz w:val="24"/>
          <w:szCs w:val="24"/>
          <w:highlight w:val="none"/>
        </w:rPr>
        <w:t>年</w:t>
      </w:r>
      <w:r>
        <w:rPr>
          <w:rFonts w:hint="eastAsia" w:ascii="方正仿宋_GBK" w:hAnsi="仿宋" w:eastAsia="方正仿宋_GBK" w:cs="宋体"/>
          <w:color w:val="auto"/>
          <w:sz w:val="24"/>
          <w:szCs w:val="24"/>
          <w:highlight w:val="none"/>
          <w:u w:val="single"/>
        </w:rPr>
        <w:t xml:space="preserve">   </w:t>
      </w:r>
      <w:r>
        <w:rPr>
          <w:rFonts w:hint="eastAsia" w:ascii="方正仿宋_GBK" w:hAnsi="仿宋" w:eastAsia="方正仿宋_GBK" w:cs="宋体"/>
          <w:color w:val="auto"/>
          <w:sz w:val="24"/>
          <w:szCs w:val="24"/>
          <w:highlight w:val="none"/>
        </w:rPr>
        <w:t>月</w:t>
      </w:r>
      <w:r>
        <w:rPr>
          <w:rFonts w:hint="eastAsia" w:ascii="方正仿宋_GBK" w:hAnsi="仿宋" w:eastAsia="方正仿宋_GBK" w:cs="宋体"/>
          <w:color w:val="auto"/>
          <w:sz w:val="24"/>
          <w:szCs w:val="24"/>
          <w:highlight w:val="none"/>
          <w:u w:val="single"/>
        </w:rPr>
        <w:t xml:space="preserve">   </w:t>
      </w:r>
      <w:r>
        <w:rPr>
          <w:rFonts w:hint="eastAsia" w:ascii="方正仿宋_GBK" w:hAnsi="仿宋" w:eastAsia="方正仿宋_GBK" w:cs="宋体"/>
          <w:color w:val="auto"/>
          <w:sz w:val="24"/>
          <w:szCs w:val="24"/>
          <w:highlight w:val="none"/>
        </w:rPr>
        <w:t>日；</w:t>
      </w:r>
    </w:p>
    <w:p w14:paraId="66EF0F2F">
      <w:pPr>
        <w:keepNext w:val="0"/>
        <w:keepLines w:val="0"/>
        <w:pageBreakBefore w:val="0"/>
        <w:kinsoku/>
        <w:wordWrap w:val="0"/>
        <w:overflowPunct/>
        <w:topLinePunct/>
        <w:autoSpaceDE/>
        <w:autoSpaceDN/>
        <w:bidi w:val="0"/>
        <w:adjustRightInd w:val="0"/>
        <w:snapToGrid w:val="0"/>
        <w:spacing w:line="400" w:lineRule="exact"/>
        <w:ind w:firstLine="480" w:firstLineChars="200"/>
        <w:textAlignment w:val="auto"/>
        <w:rPr>
          <w:rFonts w:hint="eastAsia" w:ascii="方正仿宋_GBK" w:hAnsi="仿宋" w:eastAsia="方正仿宋_GBK" w:cs="宋体"/>
          <w:color w:val="auto"/>
          <w:sz w:val="24"/>
          <w:szCs w:val="24"/>
          <w:highlight w:val="none"/>
          <w:lang w:eastAsia="zh-CN"/>
        </w:rPr>
      </w:pPr>
      <w:r>
        <w:rPr>
          <w:rFonts w:hint="eastAsia" w:ascii="方正仿宋_GBK" w:hAnsi="仿宋" w:eastAsia="方正仿宋_GBK" w:cs="宋体"/>
          <w:color w:val="auto"/>
          <w:sz w:val="24"/>
          <w:szCs w:val="24"/>
          <w:highlight w:val="none"/>
          <w:lang w:eastAsia="zh-CN"/>
        </w:rPr>
        <w:t>乙方提交到货验收申请日期（完成设施设备及配套功能联调联试，备齐到货验收资料，达到到货验收标准，提交到货验收申请并经甲方审核通过、书面确认）：</w:t>
      </w:r>
      <w:r>
        <w:rPr>
          <w:rFonts w:hint="eastAsia" w:ascii="方正仿宋_GBK" w:hAnsi="仿宋" w:eastAsia="方正仿宋_GBK" w:cs="宋体"/>
          <w:color w:val="auto"/>
          <w:sz w:val="24"/>
          <w:szCs w:val="24"/>
          <w:highlight w:val="none"/>
          <w:u w:val="single"/>
          <w:lang w:eastAsia="zh-CN"/>
        </w:rPr>
        <w:t xml:space="preserve">     </w:t>
      </w:r>
      <w:r>
        <w:rPr>
          <w:rFonts w:hint="eastAsia" w:ascii="方正仿宋_GBK" w:hAnsi="仿宋" w:eastAsia="方正仿宋_GBK" w:cs="宋体"/>
          <w:color w:val="auto"/>
          <w:sz w:val="24"/>
          <w:szCs w:val="24"/>
          <w:highlight w:val="none"/>
          <w:lang w:eastAsia="zh-CN"/>
        </w:rPr>
        <w:t>年</w:t>
      </w:r>
      <w:r>
        <w:rPr>
          <w:rFonts w:hint="eastAsia" w:ascii="方正仿宋_GBK" w:hAnsi="仿宋" w:eastAsia="方正仿宋_GBK" w:cs="宋体"/>
          <w:color w:val="auto"/>
          <w:sz w:val="24"/>
          <w:szCs w:val="24"/>
          <w:highlight w:val="none"/>
          <w:u w:val="single"/>
          <w:lang w:eastAsia="zh-CN"/>
        </w:rPr>
        <w:t xml:space="preserve">   </w:t>
      </w:r>
      <w:r>
        <w:rPr>
          <w:rFonts w:hint="eastAsia" w:ascii="方正仿宋_GBK" w:hAnsi="仿宋" w:eastAsia="方正仿宋_GBK" w:cs="宋体"/>
          <w:color w:val="auto"/>
          <w:sz w:val="24"/>
          <w:szCs w:val="24"/>
          <w:highlight w:val="none"/>
          <w:lang w:eastAsia="zh-CN"/>
        </w:rPr>
        <w:t>月</w:t>
      </w:r>
      <w:r>
        <w:rPr>
          <w:rFonts w:hint="eastAsia" w:ascii="方正仿宋_GBK" w:hAnsi="仿宋" w:eastAsia="方正仿宋_GBK" w:cs="宋体"/>
          <w:color w:val="auto"/>
          <w:sz w:val="24"/>
          <w:szCs w:val="24"/>
          <w:highlight w:val="none"/>
          <w:u w:val="single"/>
          <w:lang w:eastAsia="zh-CN"/>
        </w:rPr>
        <w:t xml:space="preserve">   </w:t>
      </w:r>
      <w:r>
        <w:rPr>
          <w:rFonts w:hint="eastAsia" w:ascii="方正仿宋_GBK" w:hAnsi="仿宋" w:eastAsia="方正仿宋_GBK" w:cs="宋体"/>
          <w:color w:val="auto"/>
          <w:sz w:val="24"/>
          <w:szCs w:val="24"/>
          <w:highlight w:val="none"/>
          <w:lang w:eastAsia="zh-CN"/>
        </w:rPr>
        <w:t>日前；</w:t>
      </w:r>
    </w:p>
    <w:p w14:paraId="67FF5A6E">
      <w:pPr>
        <w:keepNext w:val="0"/>
        <w:keepLines w:val="0"/>
        <w:pageBreakBefore w:val="0"/>
        <w:kinsoku/>
        <w:wordWrap w:val="0"/>
        <w:overflowPunct/>
        <w:topLinePunct/>
        <w:autoSpaceDE/>
        <w:autoSpaceDN/>
        <w:bidi w:val="0"/>
        <w:adjustRightInd w:val="0"/>
        <w:snapToGrid w:val="0"/>
        <w:spacing w:line="400" w:lineRule="exact"/>
        <w:ind w:firstLine="480" w:firstLineChars="200"/>
        <w:textAlignment w:val="auto"/>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乙方提交初步验收申请日期</w:t>
      </w:r>
      <w:r>
        <w:rPr>
          <w:rFonts w:hint="eastAsia" w:ascii="方正仿宋_GBK" w:hAnsi="仿宋" w:eastAsia="方正仿宋_GBK" w:cs="宋体"/>
          <w:color w:val="auto"/>
          <w:sz w:val="24"/>
          <w:szCs w:val="24"/>
          <w:highlight w:val="none"/>
          <w:lang w:eastAsia="zh-CN"/>
        </w:rPr>
        <w:t>：</w:t>
      </w:r>
      <w:r>
        <w:rPr>
          <w:rFonts w:hint="eastAsia" w:ascii="方正仿宋_GBK" w:hAnsi="仿宋" w:eastAsia="方正仿宋_GBK" w:cs="宋体"/>
          <w:color w:val="auto"/>
          <w:sz w:val="24"/>
          <w:szCs w:val="24"/>
          <w:highlight w:val="none"/>
          <w:u w:val="single"/>
          <w:lang w:eastAsia="zh-CN"/>
        </w:rPr>
        <w:t>货物设施设备和相关服务及配套试运行期（到货验收通过之日起次日起算试运行期，试运行期限为30个日历日）结束后5个工作日内</w:t>
      </w:r>
      <w:r>
        <w:rPr>
          <w:rFonts w:hint="eastAsia" w:ascii="方正仿宋_GBK" w:hAnsi="仿宋" w:eastAsia="方正仿宋_GBK" w:cs="宋体"/>
          <w:color w:val="auto"/>
          <w:sz w:val="24"/>
          <w:szCs w:val="24"/>
          <w:highlight w:val="none"/>
        </w:rPr>
        <w:t>；</w:t>
      </w:r>
    </w:p>
    <w:p w14:paraId="25A76DE0">
      <w:pPr>
        <w:keepNext w:val="0"/>
        <w:keepLines w:val="0"/>
        <w:pageBreakBefore w:val="0"/>
        <w:kinsoku/>
        <w:wordWrap w:val="0"/>
        <w:overflowPunct/>
        <w:topLinePunct/>
        <w:autoSpaceDE/>
        <w:autoSpaceDN/>
        <w:bidi w:val="0"/>
        <w:adjustRightInd w:val="0"/>
        <w:snapToGrid w:val="0"/>
        <w:spacing w:line="400" w:lineRule="exact"/>
        <w:ind w:firstLine="480" w:firstLineChars="200"/>
        <w:textAlignment w:val="auto"/>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甲乙双方约定的</w:t>
      </w:r>
      <w:r>
        <w:rPr>
          <w:rFonts w:hint="eastAsia" w:ascii="方正仿宋_GBK" w:hAnsi="仿宋" w:eastAsia="方正仿宋_GBK" w:cs="宋体"/>
          <w:color w:val="auto"/>
          <w:sz w:val="24"/>
          <w:szCs w:val="24"/>
          <w:highlight w:val="none"/>
          <w:u w:val="single"/>
        </w:rPr>
        <w:t xml:space="preserve">     </w:t>
      </w:r>
      <w:r>
        <w:rPr>
          <w:rFonts w:hint="eastAsia" w:ascii="方正仿宋_GBK" w:hAnsi="仿宋" w:eastAsia="方正仿宋_GBK" w:cs="宋体"/>
          <w:color w:val="auto"/>
          <w:sz w:val="24"/>
          <w:szCs w:val="24"/>
          <w:highlight w:val="none"/>
        </w:rPr>
        <w:t>年质量保证期起算日期为：初步验收合格之日起起算。</w:t>
      </w:r>
    </w:p>
    <w:p w14:paraId="322D4B40">
      <w:pPr>
        <w:keepNext w:val="0"/>
        <w:keepLines w:val="0"/>
        <w:pageBreakBefore w:val="0"/>
        <w:kinsoku/>
        <w:wordWrap w:val="0"/>
        <w:overflowPunct/>
        <w:topLinePunct/>
        <w:autoSpaceDE/>
        <w:autoSpaceDN/>
        <w:bidi w:val="0"/>
        <w:adjustRightInd w:val="0"/>
        <w:snapToGrid w:val="0"/>
        <w:spacing w:line="400" w:lineRule="exact"/>
        <w:ind w:firstLine="480" w:firstLineChars="200"/>
        <w:textAlignment w:val="auto"/>
        <w:rPr>
          <w:rFonts w:ascii="方正仿宋_GBK" w:hAnsi="仿宋" w:eastAsia="方正仿宋_GBK" w:cs="宋体"/>
          <w:color w:val="auto"/>
          <w:sz w:val="24"/>
          <w:szCs w:val="24"/>
          <w:highlight w:val="none"/>
          <w:u w:val="single"/>
        </w:rPr>
      </w:pPr>
      <w:r>
        <w:rPr>
          <w:rFonts w:hint="eastAsia" w:ascii="方正仿宋_GBK" w:hAnsi="仿宋" w:eastAsia="方正仿宋_GBK" w:cs="宋体"/>
          <w:color w:val="auto"/>
          <w:sz w:val="24"/>
          <w:szCs w:val="24"/>
          <w:highlight w:val="none"/>
        </w:rPr>
        <w:t>（2）履约地点</w:t>
      </w:r>
      <w:r>
        <w:rPr>
          <w:rFonts w:hint="eastAsia" w:ascii="方正仿宋_GBK" w:hAnsi="仿宋" w:eastAsia="方正仿宋_GBK" w:cs="宋体"/>
          <w:bCs/>
          <w:color w:val="auto"/>
          <w:sz w:val="24"/>
          <w:szCs w:val="24"/>
          <w:highlight w:val="none"/>
        </w:rPr>
        <w:t>：</w:t>
      </w:r>
      <w:r>
        <w:rPr>
          <w:rFonts w:hint="eastAsia" w:ascii="方正仿宋_GBK" w:hAnsi="仿宋" w:eastAsia="方正仿宋_GBK" w:cs="宋体"/>
          <w:color w:val="auto"/>
          <w:sz w:val="24"/>
          <w:szCs w:val="24"/>
          <w:highlight w:val="none"/>
          <w:u w:val="single"/>
        </w:rPr>
        <w:t xml:space="preserve">                             </w:t>
      </w:r>
      <w:r>
        <w:rPr>
          <w:rFonts w:hint="eastAsia" w:ascii="方正仿宋_GBK" w:hAnsi="仿宋" w:eastAsia="方正仿宋_GBK" w:cs="宋体"/>
          <w:color w:val="auto"/>
          <w:sz w:val="24"/>
          <w:szCs w:val="24"/>
          <w:highlight w:val="none"/>
        </w:rPr>
        <w:t>。</w:t>
      </w:r>
    </w:p>
    <w:p w14:paraId="6091C1CC">
      <w:pPr>
        <w:pStyle w:val="218"/>
        <w:keepNext w:val="0"/>
        <w:keepLines w:val="0"/>
        <w:pageBreakBefore w:val="0"/>
        <w:kinsoku/>
        <w:wordWrap w:val="0"/>
        <w:overflowPunct/>
        <w:topLinePunct/>
        <w:autoSpaceDE/>
        <w:autoSpaceDN/>
        <w:bidi w:val="0"/>
        <w:adjustRightInd w:val="0"/>
        <w:ind w:firstLine="480"/>
        <w:textAlignment w:val="auto"/>
        <w:rPr>
          <w:rFonts w:ascii="方正仿宋_GBK" w:hAnsi="仿宋" w:eastAsia="方正仿宋_GBK" w:cs="宋体"/>
          <w:color w:val="auto"/>
          <w:sz w:val="24"/>
          <w:szCs w:val="24"/>
          <w:highlight w:val="none"/>
        </w:rPr>
      </w:pPr>
      <w:r>
        <w:rPr>
          <w:rFonts w:hint="eastAsia" w:ascii="方正仿宋_GBK" w:hAnsi="仿宋" w:eastAsia="方正仿宋_GBK" w:cs="宋体"/>
          <w:bCs/>
          <w:color w:val="auto"/>
          <w:sz w:val="24"/>
          <w:szCs w:val="24"/>
          <w:highlight w:val="none"/>
        </w:rPr>
        <w:t>（3）履约担保：</w:t>
      </w:r>
      <w:r>
        <w:rPr>
          <w:rFonts w:hint="eastAsia" w:ascii="方正仿宋_GBK" w:hAnsi="仿宋" w:eastAsia="方正仿宋_GBK" w:cs="宋体"/>
          <w:color w:val="auto"/>
          <w:sz w:val="24"/>
          <w:szCs w:val="24"/>
          <w:highlight w:val="none"/>
        </w:rPr>
        <w:t>是否收取履约保证金：</w:t>
      </w:r>
      <w:r>
        <w:rPr>
          <w:rFonts w:hint="eastAsia" w:ascii="方正仿宋_GBK" w:hAnsi="仿宋" w:eastAsia="方正仿宋_GBK" w:cs="宋体"/>
          <w:color w:val="auto"/>
          <w:sz w:val="24"/>
          <w:szCs w:val="24"/>
          <w:highlight w:val="none"/>
          <w:u w:val="single"/>
        </w:rPr>
        <w:t>是</w:t>
      </w:r>
      <w:r>
        <w:rPr>
          <w:rFonts w:hint="eastAsia" w:ascii="方正仿宋_GBK" w:hAnsi="宋体" w:eastAsia="方正仿宋_GBK" w:cs="宋体"/>
          <w:color w:val="auto"/>
          <w:sz w:val="24"/>
          <w:szCs w:val="24"/>
          <w:highlight w:val="none"/>
        </w:rPr>
        <w:t>。</w:t>
      </w:r>
      <w:r>
        <w:rPr>
          <w:rFonts w:hint="eastAsia" w:ascii="方正仿宋_GBK" w:hAnsi="仿宋" w:eastAsia="方正仿宋_GBK" w:cs="宋体"/>
          <w:bCs/>
          <w:color w:val="auto"/>
          <w:sz w:val="24"/>
          <w:szCs w:val="24"/>
          <w:highlight w:val="none"/>
        </w:rPr>
        <w:t>履约担保的递交及退还相关规定详见上述2</w:t>
      </w:r>
      <w:r>
        <w:rPr>
          <w:rFonts w:hint="eastAsia" w:ascii="方正仿宋_GBK" w:hAnsi="仿宋" w:eastAsia="方正仿宋_GBK"/>
          <w:color w:val="auto"/>
          <w:sz w:val="24"/>
          <w:szCs w:val="24"/>
          <w:highlight w:val="none"/>
        </w:rPr>
        <w:t>（3）付款方式</w:t>
      </w:r>
      <w:r>
        <w:rPr>
          <w:rFonts w:hint="eastAsia" w:ascii="方正仿宋_GBK" w:hAnsi="仿宋" w:eastAsia="方正仿宋_GBK" w:cs="宋体"/>
          <w:bCs/>
          <w:color w:val="auto"/>
          <w:sz w:val="24"/>
          <w:szCs w:val="24"/>
          <w:highlight w:val="none"/>
        </w:rPr>
        <w:t>。</w:t>
      </w:r>
    </w:p>
    <w:p w14:paraId="0B9DAD63">
      <w:pPr>
        <w:adjustRightInd w:val="0"/>
        <w:snapToGrid w:val="0"/>
        <w:spacing w:line="400" w:lineRule="exact"/>
        <w:ind w:firstLine="480" w:firstLineChars="200"/>
        <w:rPr>
          <w:rFonts w:ascii="方正仿宋_GBK" w:hAnsi="仿宋" w:eastAsia="方正仿宋_GBK" w:cs="宋体"/>
          <w:bCs/>
          <w:color w:val="auto"/>
          <w:sz w:val="24"/>
          <w:szCs w:val="24"/>
          <w:highlight w:val="none"/>
        </w:rPr>
      </w:pPr>
      <w:r>
        <w:rPr>
          <w:rFonts w:hint="eastAsia" w:ascii="方正仿宋_GBK" w:hAnsi="仿宋" w:eastAsia="方正仿宋_GBK" w:cs="宋体"/>
          <w:bCs/>
          <w:color w:val="auto"/>
          <w:sz w:val="24"/>
          <w:szCs w:val="24"/>
          <w:highlight w:val="none"/>
        </w:rPr>
        <w:t>（4）分期履行要求：</w:t>
      </w:r>
      <w:r>
        <w:rPr>
          <w:rFonts w:hint="eastAsia" w:ascii="方正仿宋_GBK" w:hAnsi="仿宋" w:eastAsia="方正仿宋_GBK" w:cs="宋体"/>
          <w:bCs/>
          <w:color w:val="auto"/>
          <w:sz w:val="24"/>
          <w:szCs w:val="24"/>
          <w:highlight w:val="none"/>
          <w:u w:val="single"/>
        </w:rPr>
        <w:t xml:space="preserve"> </w:t>
      </w:r>
      <w:r>
        <w:rPr>
          <w:rFonts w:hint="eastAsia" w:ascii="方正仿宋_GBK" w:hAnsi="仿宋" w:eastAsia="方正仿宋_GBK" w:cs="宋体"/>
          <w:bCs/>
          <w:color w:val="auto"/>
          <w:sz w:val="24"/>
          <w:szCs w:val="24"/>
          <w:highlight w:val="none"/>
          <w:u w:val="single"/>
          <w:lang w:val="en-US" w:eastAsia="zh-CN"/>
        </w:rPr>
        <w:t xml:space="preserve">            </w:t>
      </w:r>
      <w:r>
        <w:rPr>
          <w:rFonts w:hint="eastAsia" w:ascii="方正仿宋_GBK" w:hAnsi="仿宋" w:eastAsia="方正仿宋_GBK" w:cs="宋体"/>
          <w:bCs/>
          <w:color w:val="auto"/>
          <w:sz w:val="24"/>
          <w:szCs w:val="24"/>
          <w:highlight w:val="none"/>
          <w:u w:val="single"/>
        </w:rPr>
        <w:t xml:space="preserve">  </w:t>
      </w:r>
    </w:p>
    <w:p w14:paraId="1B65F665">
      <w:pPr>
        <w:adjustRightInd w:val="0"/>
        <w:snapToGrid w:val="0"/>
        <w:spacing w:line="400" w:lineRule="exact"/>
        <w:ind w:firstLine="480" w:firstLineChars="200"/>
        <w:rPr>
          <w:rFonts w:ascii="方正仿宋_GBK" w:hAnsi="仿宋" w:eastAsia="方正仿宋_GBK" w:cs="宋体"/>
          <w:color w:val="auto"/>
          <w:sz w:val="24"/>
          <w:szCs w:val="24"/>
          <w:highlight w:val="none"/>
          <w:u w:val="single"/>
        </w:rPr>
      </w:pPr>
      <w:r>
        <w:rPr>
          <w:rFonts w:hint="eastAsia" w:ascii="方正仿宋_GBK" w:hAnsi="仿宋" w:eastAsia="方正仿宋_GBK" w:cs="宋体"/>
          <w:bCs/>
          <w:color w:val="auto"/>
          <w:sz w:val="24"/>
          <w:szCs w:val="24"/>
          <w:highlight w:val="none"/>
        </w:rPr>
        <w:t>（5）风险处置措施和替代方案：</w:t>
      </w:r>
      <w:r>
        <w:rPr>
          <w:rFonts w:hint="eastAsia" w:ascii="方正仿宋_GBK" w:hAnsi="仿宋" w:eastAsia="方正仿宋_GBK" w:cs="宋体"/>
          <w:color w:val="auto"/>
          <w:sz w:val="24"/>
          <w:szCs w:val="24"/>
          <w:highlight w:val="none"/>
          <w:u w:val="single"/>
        </w:rPr>
        <w:t xml:space="preserve">     </w:t>
      </w:r>
    </w:p>
    <w:p w14:paraId="5B8D018E">
      <w:pPr>
        <w:numPr>
          <w:ilvl w:val="0"/>
          <w:numId w:val="17"/>
        </w:numPr>
        <w:adjustRightInd w:val="0"/>
        <w:snapToGrid w:val="0"/>
        <w:spacing w:line="400" w:lineRule="exact"/>
        <w:ind w:firstLine="482" w:firstLineChars="200"/>
        <w:rPr>
          <w:rFonts w:ascii="方正仿宋_GBK" w:hAnsi="方正仿宋_GBK" w:eastAsia="方正仿宋_GBK" w:cs="方正仿宋_GBK"/>
          <w:b/>
          <w:i/>
          <w:color w:val="auto"/>
          <w:sz w:val="24"/>
          <w:szCs w:val="24"/>
          <w:highlight w:val="none"/>
        </w:rPr>
      </w:pPr>
      <w:r>
        <w:rPr>
          <w:rFonts w:hint="eastAsia" w:ascii="方正仿宋_GBK" w:hAnsi="方正仿宋_GBK" w:eastAsia="方正仿宋_GBK" w:cs="方正仿宋_GBK"/>
          <w:b/>
          <w:color w:val="auto"/>
          <w:sz w:val="24"/>
          <w:szCs w:val="24"/>
          <w:highlight w:val="none"/>
        </w:rPr>
        <w:t>合同验收</w:t>
      </w:r>
    </w:p>
    <w:p w14:paraId="031FD232">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验收组织方式：自行组织</w:t>
      </w:r>
    </w:p>
    <w:p w14:paraId="65149591">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验收主体：</w:t>
      </w:r>
      <w:r>
        <w:rPr>
          <w:rFonts w:hint="eastAsia" w:ascii="方正仿宋_GBK" w:hAnsi="方正仿宋_GBK" w:eastAsia="方正仿宋_GBK" w:cs="方正仿宋_GBK"/>
          <w:color w:val="auto"/>
          <w:sz w:val="24"/>
          <w:szCs w:val="24"/>
          <w:highlight w:val="none"/>
          <w:u w:val="single"/>
        </w:rPr>
        <w:t xml:space="preserve">             </w:t>
      </w:r>
    </w:p>
    <w:p w14:paraId="6BB11FDE">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是否邀请本项目的其他供应商参加验收：</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 xml:space="preserve">是  </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否</w:t>
      </w:r>
    </w:p>
    <w:p w14:paraId="599E72D5">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是否邀请专家参加验收：</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 xml:space="preserve">是  </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否</w:t>
      </w:r>
    </w:p>
    <w:p w14:paraId="1189CE59">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是否邀请服务对象参加验收：</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 xml:space="preserve">是  </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否</w:t>
      </w:r>
    </w:p>
    <w:p w14:paraId="7F09BB60">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是否邀请第三方检测机构参加验收：</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 xml:space="preserve">是  </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否</w:t>
      </w:r>
    </w:p>
    <w:p w14:paraId="559127E9">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是否进行抽查检测：</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是，抽查比例：</w:t>
      </w:r>
      <w:r>
        <w:rPr>
          <w:rFonts w:hint="eastAsia" w:ascii="方正仿宋_GBK" w:hAnsi="方正仿宋_GBK" w:eastAsia="方正仿宋_GBK" w:cs="方正仿宋_GBK"/>
          <w:color w:val="auto"/>
          <w:sz w:val="24"/>
          <w:szCs w:val="24"/>
          <w:highlight w:val="none"/>
          <w:u w:val="single"/>
        </w:rPr>
        <w:t xml:space="preserve">         </w:t>
      </w:r>
    </w:p>
    <w:p w14:paraId="279D8656">
      <w:pPr>
        <w:adjustRightInd w:val="0"/>
        <w:snapToGrid w:val="0"/>
        <w:spacing w:line="400" w:lineRule="exact"/>
        <w:ind w:firstLine="2640" w:firstLineChars="11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否</w:t>
      </w:r>
    </w:p>
    <w:p w14:paraId="3174A111">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是否存在破坏性检测：</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是，</w:t>
      </w:r>
      <w:r>
        <w:rPr>
          <w:rFonts w:hint="eastAsia" w:ascii="方正仿宋_GBK" w:hAnsi="方正仿宋_GBK" w:eastAsia="方正仿宋_GBK" w:cs="方正仿宋_GBK"/>
          <w:color w:val="auto"/>
          <w:sz w:val="24"/>
          <w:szCs w:val="24"/>
          <w:highlight w:val="none"/>
          <w:u w:val="single"/>
        </w:rPr>
        <w:t xml:space="preserve">           </w:t>
      </w:r>
    </w:p>
    <w:p w14:paraId="4CD4A6AA">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                    </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否</w:t>
      </w:r>
    </w:p>
    <w:p w14:paraId="3E60B255">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验收组织的其他事项：</w:t>
      </w:r>
      <w:r>
        <w:rPr>
          <w:rFonts w:hint="eastAsia" w:ascii="方正仿宋_GBK" w:hAnsi="方正仿宋_GBK" w:eastAsia="方正仿宋_GBK" w:cs="方正仿宋_GBK"/>
          <w:color w:val="auto"/>
          <w:sz w:val="24"/>
          <w:szCs w:val="24"/>
          <w:highlight w:val="none"/>
          <w:u w:val="single"/>
        </w:rPr>
        <w:t xml:space="preserve">                </w:t>
      </w:r>
    </w:p>
    <w:p w14:paraId="4B2B0605">
      <w:pPr>
        <w:widowControl/>
        <w:snapToGrid w:val="0"/>
        <w:spacing w:line="400" w:lineRule="exact"/>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（2）履约验收时间：</w:t>
      </w:r>
    </w:p>
    <w:p w14:paraId="75D81ED2">
      <w:pPr>
        <w:adjustRightInd w:val="0"/>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①到货验收</w:t>
      </w:r>
    </w:p>
    <w:p w14:paraId="7A48DEB0">
      <w:pPr>
        <w:adjustRightInd w:val="0"/>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乙方应在采购合同签订之日起150个日历日内完成设施设备及配套功能联调联试，备齐到货验收资料，达到到货验收标准，提交到货验收申请并经甲方和监理审核通过、书面确认。</w:t>
      </w:r>
    </w:p>
    <w:p w14:paraId="2974D191">
      <w:pPr>
        <w:adjustRightInd w:val="0"/>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②初步验收</w:t>
      </w:r>
    </w:p>
    <w:p w14:paraId="1A15C911">
      <w:pPr>
        <w:adjustRightInd w:val="0"/>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到货验收通过之日起次日起算试运行期。货物设施设备和相关服务及配套试运行期（试运行期限为30个日历日）结束后5个工作日内，乙方提交初步验收申请及相关资料，按照相关要求进行初步验收。</w:t>
      </w:r>
    </w:p>
    <w:p w14:paraId="10E7C435">
      <w:pPr>
        <w:adjustRightInd w:val="0"/>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③最终验收</w:t>
      </w:r>
    </w:p>
    <w:p w14:paraId="0AFB2C67">
      <w:pPr>
        <w:adjustRightInd w:val="0"/>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货物和相关服务质量保证期或免费运维期结束后，甲方对乙方履行合同约定义务情况进行最终验收。</w:t>
      </w:r>
    </w:p>
    <w:p w14:paraId="0832396C">
      <w:pPr>
        <w:adjustRightInd w:val="0"/>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（3）履约验收方式：</w:t>
      </w:r>
      <w:r>
        <w:rPr>
          <w:rFonts w:hint="eastAsia" w:ascii="方正仿宋_GBK" w:hAnsi="方正仿宋_GBK" w:eastAsia="方正仿宋_GBK" w:cs="方正仿宋_GBK"/>
          <w:color w:val="auto"/>
          <w:kern w:val="0"/>
          <w:sz w:val="24"/>
          <w:szCs w:val="24"/>
          <w:highlight w:val="none"/>
          <w:lang w:val="en-US" w:eastAsia="zh-CN"/>
        </w:rPr>
        <w:sym w:font="Wingdings" w:char="00A8"/>
      </w:r>
      <w:r>
        <w:rPr>
          <w:rFonts w:hint="eastAsia" w:ascii="方正仿宋_GBK" w:hAnsi="方正仿宋_GBK" w:eastAsia="方正仿宋_GBK" w:cs="方正仿宋_GBK"/>
          <w:color w:val="auto"/>
          <w:kern w:val="0"/>
          <w:sz w:val="24"/>
          <w:szCs w:val="24"/>
          <w:highlight w:val="none"/>
          <w:lang w:val="en-US" w:eastAsia="zh-CN"/>
        </w:rPr>
        <w:t>一次性验收</w:t>
      </w:r>
    </w:p>
    <w:p w14:paraId="3CC1D864">
      <w:pPr>
        <w:adjustRightInd w:val="0"/>
        <w:snapToGrid w:val="0"/>
        <w:spacing w:line="400" w:lineRule="exact"/>
        <w:ind w:firstLine="480" w:firstLineChars="200"/>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 xml:space="preserve">                   </w:t>
      </w:r>
      <w:r>
        <w:rPr>
          <w:rFonts w:hint="eastAsia" w:ascii="方正仿宋_GBK" w:hAnsi="方正仿宋_GBK" w:eastAsia="方正仿宋_GBK" w:cs="方正仿宋_GBK"/>
          <w:color w:val="auto"/>
          <w:kern w:val="0"/>
          <w:sz w:val="24"/>
          <w:szCs w:val="24"/>
          <w:highlight w:val="none"/>
          <w:lang w:val="en-US" w:eastAsia="zh-CN"/>
        </w:rPr>
        <w:sym w:font="Wingdings" w:char="00A8"/>
      </w:r>
      <w:r>
        <w:rPr>
          <w:rFonts w:hint="eastAsia" w:ascii="方正仿宋_GBK" w:hAnsi="方正仿宋_GBK" w:eastAsia="方正仿宋_GBK" w:cs="方正仿宋_GBK"/>
          <w:color w:val="auto"/>
          <w:kern w:val="0"/>
          <w:sz w:val="24"/>
          <w:szCs w:val="24"/>
          <w:highlight w:val="none"/>
          <w:lang w:val="en-US" w:eastAsia="zh-CN"/>
        </w:rPr>
        <w:t>分期/分项验收：</w:t>
      </w:r>
      <w:r>
        <w:rPr>
          <w:rFonts w:hint="eastAsia" w:ascii="方正仿宋_GBK" w:hAnsi="方正仿宋_GBK" w:eastAsia="方正仿宋_GBK" w:cs="方正仿宋_GBK"/>
          <w:color w:val="auto"/>
          <w:kern w:val="0"/>
          <w:sz w:val="24"/>
          <w:szCs w:val="24"/>
          <w:highlight w:val="none"/>
          <w:u w:val="single"/>
          <w:lang w:val="en-US" w:eastAsia="zh-CN"/>
        </w:rPr>
        <w:t xml:space="preserve">          </w:t>
      </w:r>
    </w:p>
    <w:p w14:paraId="5D672D80">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（4）履约验收程序：</w:t>
      </w:r>
      <w:r>
        <w:rPr>
          <w:rFonts w:hint="eastAsia" w:ascii="方正仿宋_GBK" w:hAnsi="方正仿宋_GBK" w:eastAsia="方正仿宋_GBK" w:cs="方正仿宋_GBK"/>
          <w:color w:val="auto"/>
          <w:sz w:val="24"/>
          <w:szCs w:val="24"/>
          <w:highlight w:val="none"/>
          <w:u w:val="single"/>
        </w:rPr>
        <w:t xml:space="preserve">      </w:t>
      </w:r>
    </w:p>
    <w:p w14:paraId="096CC33F">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（5）履约验收的内容：</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 </w:t>
      </w:r>
    </w:p>
    <w:p w14:paraId="720348D8">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（6）履约验收标准：</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 xml:space="preserve">    </w:t>
      </w:r>
    </w:p>
    <w:p w14:paraId="27F021D2">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（7）是否以采购活动中供应商提供的样品作为参考：</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 xml:space="preserve">是  </w:t>
      </w:r>
      <w:r>
        <w:rPr>
          <w:rFonts w:hint="eastAsia" w:ascii="方正仿宋_GBK" w:hAnsi="方正仿宋_GBK" w:eastAsia="方正仿宋_GBK" w:cs="方正仿宋_GBK"/>
          <w:color w:val="auto"/>
          <w:sz w:val="24"/>
          <w:szCs w:val="24"/>
          <w:highlight w:val="none"/>
        </w:rPr>
        <w:sym w:font="Wingdings" w:char="00A8"/>
      </w:r>
      <w:r>
        <w:rPr>
          <w:rFonts w:hint="eastAsia" w:ascii="方正仿宋_GBK" w:hAnsi="方正仿宋_GBK" w:eastAsia="方正仿宋_GBK" w:cs="方正仿宋_GBK"/>
          <w:color w:val="auto"/>
          <w:sz w:val="24"/>
          <w:szCs w:val="24"/>
          <w:highlight w:val="none"/>
        </w:rPr>
        <w:t>否</w:t>
      </w:r>
    </w:p>
    <w:p w14:paraId="153C0FBB">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（8）第一次验收后，甲方认为有必要组织第二次验收的，乙方应当配合，所有验收费用由乙方承担。</w:t>
      </w:r>
    </w:p>
    <w:p w14:paraId="00618E8D">
      <w:pPr>
        <w:adjustRightInd w:val="0"/>
        <w:snapToGrid w:val="0"/>
        <w:spacing w:line="400" w:lineRule="exact"/>
        <w:ind w:firstLine="480" w:firstLineChars="20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（9）履约验收其他事项：</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w:t>
      </w:r>
    </w:p>
    <w:p w14:paraId="2180A2C0">
      <w:pPr>
        <w:numPr>
          <w:ilvl w:val="255"/>
          <w:numId w:val="0"/>
        </w:numPr>
        <w:adjustRightInd w:val="0"/>
        <w:snapToGrid w:val="0"/>
        <w:spacing w:line="400" w:lineRule="exact"/>
        <w:ind w:firstLine="482" w:firstLineChars="200"/>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5. 组成合同的文件</w:t>
      </w:r>
    </w:p>
    <w:p w14:paraId="5DF10471">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本协议书与下列文件一起构成合同文件，如下述文件之间有任何抵触、矛盾或歧义，应按以下顺序解释：</w:t>
      </w:r>
    </w:p>
    <w:p w14:paraId="515D1321">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（1）政府采购合同协议书及其变更、补充协议</w:t>
      </w:r>
    </w:p>
    <w:p w14:paraId="0B7A9CBC">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（2）政府采购合同专用条款</w:t>
      </w:r>
    </w:p>
    <w:p w14:paraId="7D6D7FF0">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（3）政府采购合同通用条款</w:t>
      </w:r>
    </w:p>
    <w:p w14:paraId="3DB1612E">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（4）中标（成交）通知书</w:t>
      </w:r>
    </w:p>
    <w:p w14:paraId="6DFE5704">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（5）投标（响应）文件</w:t>
      </w:r>
    </w:p>
    <w:p w14:paraId="3412499F">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（6）采购文件</w:t>
      </w:r>
    </w:p>
    <w:p w14:paraId="2CB2CD1E">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（7）有关技术文件，图纸</w:t>
      </w:r>
    </w:p>
    <w:p w14:paraId="4149CFE6">
      <w:pPr>
        <w:pStyle w:val="218"/>
        <w:ind w:firstLine="480"/>
        <w:rPr>
          <w:rFonts w:ascii="方正仿宋_GBK" w:hAnsi="仿宋" w:eastAsia="方正仿宋_GBK" w:cs="宋体"/>
          <w:color w:val="auto"/>
          <w:kern w:val="2"/>
          <w:sz w:val="24"/>
          <w:szCs w:val="24"/>
          <w:highlight w:val="none"/>
        </w:rPr>
      </w:pPr>
      <w:r>
        <w:rPr>
          <w:rFonts w:hint="eastAsia" w:ascii="方正仿宋_GBK" w:hAnsi="仿宋" w:eastAsia="方正仿宋_GBK" w:cs="宋体"/>
          <w:color w:val="auto"/>
          <w:sz w:val="24"/>
          <w:szCs w:val="24"/>
          <w:highlight w:val="none"/>
        </w:rPr>
        <w:t>（8）</w:t>
      </w:r>
      <w:r>
        <w:rPr>
          <w:rFonts w:hint="eastAsia" w:ascii="方正仿宋_GBK" w:hAnsi="仿宋" w:eastAsia="方正仿宋_GBK" w:cs="宋体"/>
          <w:color w:val="auto"/>
          <w:kern w:val="2"/>
          <w:sz w:val="24"/>
          <w:szCs w:val="24"/>
          <w:highlight w:val="none"/>
        </w:rPr>
        <w:t>国家法律、行政法规和规章制度规定或合同约定的作为合同组成部分的其他文件</w:t>
      </w:r>
    </w:p>
    <w:p w14:paraId="56C12323">
      <w:pPr>
        <w:numPr>
          <w:ilvl w:val="255"/>
          <w:numId w:val="0"/>
        </w:numPr>
        <w:adjustRightInd w:val="0"/>
        <w:snapToGrid w:val="0"/>
        <w:spacing w:line="400" w:lineRule="exact"/>
        <w:ind w:firstLine="482" w:firstLineChars="200"/>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6. 合同生效</w:t>
      </w:r>
    </w:p>
    <w:p w14:paraId="3A258AEA">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本合同自</w:t>
      </w:r>
      <w:r>
        <w:rPr>
          <w:rFonts w:hint="eastAsia"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生效。</w:t>
      </w:r>
    </w:p>
    <w:p w14:paraId="6A824976">
      <w:pPr>
        <w:numPr>
          <w:ilvl w:val="255"/>
          <w:numId w:val="0"/>
        </w:numPr>
        <w:adjustRightInd w:val="0"/>
        <w:snapToGrid w:val="0"/>
        <w:spacing w:line="400" w:lineRule="exact"/>
        <w:ind w:firstLine="482" w:firstLineChars="200"/>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7. 其他</w:t>
      </w:r>
    </w:p>
    <w:p w14:paraId="72460F6B">
      <w:pPr>
        <w:spacing w:line="400" w:lineRule="exact"/>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（1）双方联系地址、电话等发生变化的，应当及时通知对方，未通知的，本合同列明的联系地址仍为有效送达地址。</w:t>
      </w:r>
    </w:p>
    <w:p w14:paraId="45529665">
      <w:pPr>
        <w:spacing w:line="400" w:lineRule="exact"/>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（2）本合同未约定的事项，由双方另行签订补充协议，补充协议与本合同书具有同等法律效力。</w:t>
      </w:r>
    </w:p>
    <w:p w14:paraId="146A6BB7">
      <w:pPr>
        <w:spacing w:line="400" w:lineRule="exact"/>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（3）在签订合同时双方应向对方提供合法有效的主体身份证明文件，作为本合同的附件。</w:t>
      </w:r>
    </w:p>
    <w:p w14:paraId="6BF63B4E">
      <w:pPr>
        <w:spacing w:line="400" w:lineRule="exact"/>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（4）签订本合同时，双方确认的合同附件为本合同不可分割的组成部分，与本合同具同等法律效力。</w:t>
      </w:r>
    </w:p>
    <w:p w14:paraId="4F2F1518">
      <w:pPr>
        <w:spacing w:line="400" w:lineRule="exact"/>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5）甲、乙双方在签订和履行本合同中知悉对方的信息(包括技术信息和经营信息等)均为商业秘密。无论何种原因终止、解除本合同的，双方同意对在签订和履行本合同中知悉的商业秘密承担保密义务。非经对方书面同意或为履行本合同义务之需要，不得使用和披露。</w:t>
      </w:r>
    </w:p>
    <w:p w14:paraId="16989021">
      <w:pPr>
        <w:spacing w:line="400" w:lineRule="exact"/>
        <w:ind w:firstLine="480" w:firstLineChars="200"/>
        <w:rPr>
          <w:rFonts w:ascii="方正仿宋_GBK" w:eastAsia="方正仿宋_GBK"/>
          <w:color w:val="auto"/>
          <w:sz w:val="24"/>
          <w:szCs w:val="24"/>
          <w:highlight w:val="none"/>
        </w:rPr>
      </w:pPr>
      <w:r>
        <w:rPr>
          <w:rFonts w:hint="eastAsia" w:ascii="方正仿宋_GBK" w:eastAsia="方正仿宋_GBK"/>
          <w:color w:val="auto"/>
          <w:sz w:val="24"/>
          <w:szCs w:val="24"/>
          <w:highlight w:val="none"/>
        </w:rPr>
        <w:t>违反上述（1）-（5）项约定的，应当赔偿由此给对方造成的全部损失。</w:t>
      </w:r>
    </w:p>
    <w:p w14:paraId="5383947A">
      <w:pPr>
        <w:numPr>
          <w:ilvl w:val="255"/>
          <w:numId w:val="0"/>
        </w:numPr>
        <w:adjustRightInd w:val="0"/>
        <w:snapToGrid w:val="0"/>
        <w:spacing w:line="400" w:lineRule="exact"/>
        <w:ind w:firstLine="482" w:firstLineChars="200"/>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8. 合同份数</w:t>
      </w:r>
    </w:p>
    <w:p w14:paraId="22060757">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本合同一式</w:t>
      </w:r>
      <w:r>
        <w:rPr>
          <w:rFonts w:hint="eastAsia"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份，甲方执</w:t>
      </w:r>
      <w:r>
        <w:rPr>
          <w:rFonts w:hint="eastAsia"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份，乙方执</w:t>
      </w:r>
      <w:r>
        <w:rPr>
          <w:rFonts w:hint="eastAsia"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份，均具有同等法律效力。</w:t>
      </w:r>
    </w:p>
    <w:p w14:paraId="2A70C373">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合同订立时间：</w:t>
      </w:r>
      <w:r>
        <w:rPr>
          <w:rFonts w:hint="eastAsia"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年</w:t>
      </w:r>
      <w:r>
        <w:rPr>
          <w:rFonts w:hint="eastAsia"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月</w:t>
      </w:r>
      <w:r>
        <w:rPr>
          <w:rFonts w:hint="eastAsia"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日</w:t>
      </w:r>
    </w:p>
    <w:p w14:paraId="09BDC23E">
      <w:pPr>
        <w:adjustRightInd w:val="0"/>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合同订立地点：</w:t>
      </w:r>
      <w:r>
        <w:rPr>
          <w:rFonts w:hint="eastAsia" w:ascii="方正仿宋_GBK" w:hAnsi="仿宋" w:eastAsia="方正仿宋_GBK"/>
          <w:color w:val="auto"/>
          <w:sz w:val="24"/>
          <w:szCs w:val="24"/>
          <w:highlight w:val="none"/>
          <w:u w:val="single"/>
        </w:rPr>
        <w:t xml:space="preserve">                         </w:t>
      </w:r>
    </w:p>
    <w:p w14:paraId="156D56DA">
      <w:pPr>
        <w:adjustRightInd w:val="0"/>
        <w:snapToGrid w:val="0"/>
        <w:spacing w:line="400" w:lineRule="exact"/>
        <w:ind w:firstLine="480" w:firstLineChars="200"/>
        <w:rPr>
          <w:rFonts w:ascii="方正仿宋_GBK" w:hAnsi="仿宋" w:eastAsia="方正仿宋_GBK"/>
          <w:color w:val="auto"/>
          <w:sz w:val="24"/>
          <w:szCs w:val="24"/>
          <w:highlight w:val="none"/>
          <w:lang w:val="en"/>
        </w:rPr>
      </w:pPr>
      <w:r>
        <w:rPr>
          <w:rFonts w:hint="eastAsia" w:ascii="方正仿宋_GBK" w:hAnsi="仿宋" w:eastAsia="方正仿宋_GBK"/>
          <w:color w:val="auto"/>
          <w:sz w:val="24"/>
          <w:szCs w:val="24"/>
          <w:highlight w:val="none"/>
        </w:rPr>
        <w:t>附件：具体标的及其技术要求和商务要求、联合协议、分包意向协议等。</w:t>
      </w:r>
      <w:r>
        <w:rPr>
          <w:rFonts w:hint="eastAsia" w:ascii="方正仿宋_GBK" w:hAnsi="仿宋" w:eastAsia="方正仿宋_GBK"/>
          <w:color w:val="auto"/>
          <w:sz w:val="24"/>
          <w:szCs w:val="24"/>
          <w:highlight w:val="none"/>
          <w:lang w:val="en"/>
        </w:rPr>
        <w:t xml:space="preserve">   </w:t>
      </w:r>
    </w:p>
    <w:p w14:paraId="7979A4FB">
      <w:pPr>
        <w:adjustRightInd w:val="0"/>
        <w:snapToGrid w:val="0"/>
        <w:spacing w:line="400" w:lineRule="exact"/>
        <w:ind w:firstLine="480" w:firstLineChars="200"/>
        <w:rPr>
          <w:rFonts w:ascii="方正仿宋_GBK" w:hAnsi="仿宋" w:eastAsia="方正仿宋_GBK"/>
          <w:color w:val="auto"/>
          <w:sz w:val="24"/>
          <w:szCs w:val="24"/>
          <w:highlight w:val="none"/>
          <w:lang w:val="en"/>
        </w:rPr>
      </w:pPr>
    </w:p>
    <w:p w14:paraId="2D713D60">
      <w:pPr>
        <w:pStyle w:val="219"/>
        <w:ind w:firstLine="480"/>
        <w:rPr>
          <w:rFonts w:ascii="方正仿宋_GBK" w:hAnsi="仿宋" w:eastAsia="方正仿宋_GBK"/>
          <w:color w:val="auto"/>
          <w:sz w:val="24"/>
          <w:szCs w:val="24"/>
          <w:highlight w:val="none"/>
        </w:rPr>
      </w:pPr>
    </w:p>
    <w:tbl>
      <w:tblPr>
        <w:tblStyle w:val="58"/>
        <w:tblW w:w="4926" w:type="pct"/>
        <w:jc w:val="center"/>
        <w:tblLayout w:type="autofit"/>
        <w:tblCellMar>
          <w:top w:w="0" w:type="dxa"/>
          <w:left w:w="108" w:type="dxa"/>
          <w:bottom w:w="0" w:type="dxa"/>
          <w:right w:w="108" w:type="dxa"/>
        </w:tblCellMar>
      </w:tblPr>
      <w:tblGrid>
        <w:gridCol w:w="2134"/>
        <w:gridCol w:w="2724"/>
        <w:gridCol w:w="2233"/>
        <w:gridCol w:w="2395"/>
      </w:tblGrid>
      <w:tr w14:paraId="49E8B49A">
        <w:tblPrEx>
          <w:tblCellMar>
            <w:top w:w="0" w:type="dxa"/>
            <w:left w:w="108" w:type="dxa"/>
            <w:bottom w:w="0" w:type="dxa"/>
            <w:right w:w="108" w:type="dxa"/>
          </w:tblCellMar>
        </w:tblPrEx>
        <w:trPr>
          <w:trHeight w:val="490" w:hRule="atLeast"/>
          <w:jc w:val="center"/>
        </w:trPr>
        <w:tc>
          <w:tcPr>
            <w:tcW w:w="2561" w:type="pct"/>
            <w:gridSpan w:val="2"/>
            <w:vAlign w:val="center"/>
          </w:tcPr>
          <w:p w14:paraId="671A5A49">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甲方（采购人、受采购人委托签订合同的单位或采购文件约定的合同甲方）</w:t>
            </w:r>
          </w:p>
        </w:tc>
        <w:tc>
          <w:tcPr>
            <w:tcW w:w="2438" w:type="pct"/>
            <w:gridSpan w:val="2"/>
            <w:vAlign w:val="center"/>
          </w:tcPr>
          <w:p w14:paraId="28CCB20B">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乙方（供应商）</w:t>
            </w:r>
          </w:p>
        </w:tc>
      </w:tr>
      <w:tr w14:paraId="278687E2">
        <w:tblPrEx>
          <w:tblCellMar>
            <w:top w:w="0" w:type="dxa"/>
            <w:left w:w="108" w:type="dxa"/>
            <w:bottom w:w="0" w:type="dxa"/>
            <w:right w:w="108" w:type="dxa"/>
          </w:tblCellMar>
        </w:tblPrEx>
        <w:trPr>
          <w:trHeight w:val="917" w:hRule="atLeast"/>
          <w:jc w:val="center"/>
        </w:trPr>
        <w:tc>
          <w:tcPr>
            <w:tcW w:w="1125" w:type="pct"/>
            <w:vAlign w:val="center"/>
          </w:tcPr>
          <w:p w14:paraId="27CCA5F6">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单位名称（公章或合同章）</w:t>
            </w:r>
          </w:p>
        </w:tc>
        <w:tc>
          <w:tcPr>
            <w:tcW w:w="1436" w:type="pct"/>
            <w:vAlign w:val="center"/>
          </w:tcPr>
          <w:p w14:paraId="039D1A30">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5AF07EEF">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单位名称（公章或合同章）</w:t>
            </w:r>
          </w:p>
        </w:tc>
        <w:tc>
          <w:tcPr>
            <w:tcW w:w="1260" w:type="pct"/>
            <w:vAlign w:val="center"/>
          </w:tcPr>
          <w:p w14:paraId="47B0FA64">
            <w:pPr>
              <w:adjustRightInd w:val="0"/>
              <w:snapToGrid w:val="0"/>
              <w:spacing w:line="300" w:lineRule="exact"/>
              <w:jc w:val="center"/>
              <w:rPr>
                <w:rFonts w:ascii="方正仿宋_GBK" w:hAnsi="仿宋" w:eastAsia="方正仿宋_GBK"/>
                <w:color w:val="auto"/>
                <w:spacing w:val="20"/>
                <w:sz w:val="24"/>
                <w:szCs w:val="24"/>
                <w:highlight w:val="none"/>
              </w:rPr>
            </w:pPr>
          </w:p>
        </w:tc>
      </w:tr>
      <w:tr w14:paraId="0EF9BE53">
        <w:tblPrEx>
          <w:tblCellMar>
            <w:top w:w="0" w:type="dxa"/>
            <w:left w:w="108" w:type="dxa"/>
            <w:bottom w:w="0" w:type="dxa"/>
            <w:right w:w="108" w:type="dxa"/>
          </w:tblCellMar>
        </w:tblPrEx>
        <w:trPr>
          <w:trHeight w:val="1171" w:hRule="atLeast"/>
          <w:jc w:val="center"/>
        </w:trPr>
        <w:tc>
          <w:tcPr>
            <w:tcW w:w="1125" w:type="pct"/>
            <w:vAlign w:val="center"/>
          </w:tcPr>
          <w:p w14:paraId="79F9A56B">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法定代表人</w:t>
            </w:r>
          </w:p>
          <w:p w14:paraId="0A337721">
            <w:pPr>
              <w:adjustRightInd w:val="0"/>
              <w:snapToGrid w:val="0"/>
              <w:spacing w:line="300" w:lineRule="exact"/>
              <w:ind w:firstLine="115" w:firstLineChars="48"/>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或其委托代理人（签章）</w:t>
            </w:r>
          </w:p>
        </w:tc>
        <w:tc>
          <w:tcPr>
            <w:tcW w:w="1436" w:type="pct"/>
            <w:vAlign w:val="center"/>
          </w:tcPr>
          <w:p w14:paraId="2DEB52AA">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433C2AD9">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法定代表人</w:t>
            </w:r>
          </w:p>
          <w:p w14:paraId="5E921D7E">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或其委托代理人（签章）</w:t>
            </w:r>
          </w:p>
        </w:tc>
        <w:tc>
          <w:tcPr>
            <w:tcW w:w="1260" w:type="pct"/>
            <w:vAlign w:val="center"/>
          </w:tcPr>
          <w:p w14:paraId="586C336C">
            <w:pPr>
              <w:adjustRightInd w:val="0"/>
              <w:snapToGrid w:val="0"/>
              <w:spacing w:line="300" w:lineRule="exact"/>
              <w:jc w:val="center"/>
              <w:rPr>
                <w:rFonts w:ascii="方正仿宋_GBK" w:hAnsi="仿宋" w:eastAsia="方正仿宋_GBK"/>
                <w:color w:val="auto"/>
                <w:sz w:val="24"/>
                <w:szCs w:val="24"/>
                <w:highlight w:val="none"/>
              </w:rPr>
            </w:pPr>
          </w:p>
        </w:tc>
      </w:tr>
      <w:tr w14:paraId="4B6DC451">
        <w:tblPrEx>
          <w:tblCellMar>
            <w:top w:w="0" w:type="dxa"/>
            <w:left w:w="108" w:type="dxa"/>
            <w:bottom w:w="0" w:type="dxa"/>
            <w:right w:w="108" w:type="dxa"/>
          </w:tblCellMar>
        </w:tblPrEx>
        <w:trPr>
          <w:trHeight w:val="483" w:hRule="atLeast"/>
          <w:jc w:val="center"/>
        </w:trPr>
        <w:tc>
          <w:tcPr>
            <w:tcW w:w="1125" w:type="pct"/>
            <w:vAlign w:val="center"/>
          </w:tcPr>
          <w:p w14:paraId="4C67E732">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住  所</w:t>
            </w:r>
          </w:p>
        </w:tc>
        <w:tc>
          <w:tcPr>
            <w:tcW w:w="1436" w:type="pct"/>
            <w:vAlign w:val="center"/>
          </w:tcPr>
          <w:p w14:paraId="750743E9">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12A4C8D0">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住  所</w:t>
            </w:r>
          </w:p>
        </w:tc>
        <w:tc>
          <w:tcPr>
            <w:tcW w:w="1260" w:type="pct"/>
            <w:vAlign w:val="center"/>
          </w:tcPr>
          <w:p w14:paraId="40B7385D">
            <w:pPr>
              <w:adjustRightInd w:val="0"/>
              <w:snapToGrid w:val="0"/>
              <w:spacing w:line="300" w:lineRule="exact"/>
              <w:jc w:val="center"/>
              <w:rPr>
                <w:rFonts w:ascii="方正仿宋_GBK" w:hAnsi="仿宋" w:eastAsia="方正仿宋_GBK"/>
                <w:color w:val="auto"/>
                <w:spacing w:val="20"/>
                <w:sz w:val="24"/>
                <w:szCs w:val="24"/>
                <w:highlight w:val="none"/>
              </w:rPr>
            </w:pPr>
          </w:p>
        </w:tc>
      </w:tr>
      <w:tr w14:paraId="094A259E">
        <w:tblPrEx>
          <w:tblCellMar>
            <w:top w:w="0" w:type="dxa"/>
            <w:left w:w="108" w:type="dxa"/>
            <w:bottom w:w="0" w:type="dxa"/>
            <w:right w:w="108" w:type="dxa"/>
          </w:tblCellMar>
        </w:tblPrEx>
        <w:trPr>
          <w:trHeight w:val="483" w:hRule="atLeast"/>
          <w:jc w:val="center"/>
        </w:trPr>
        <w:tc>
          <w:tcPr>
            <w:tcW w:w="1125" w:type="pct"/>
            <w:vAlign w:val="center"/>
          </w:tcPr>
          <w:p w14:paraId="655FF04F">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联 系 人</w:t>
            </w:r>
          </w:p>
        </w:tc>
        <w:tc>
          <w:tcPr>
            <w:tcW w:w="1436" w:type="pct"/>
            <w:vAlign w:val="center"/>
          </w:tcPr>
          <w:p w14:paraId="6EFC6460">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11FA5BAC">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联 系 人</w:t>
            </w:r>
          </w:p>
        </w:tc>
        <w:tc>
          <w:tcPr>
            <w:tcW w:w="1260" w:type="pct"/>
            <w:vAlign w:val="center"/>
          </w:tcPr>
          <w:p w14:paraId="6FDBD4F1">
            <w:pPr>
              <w:adjustRightInd w:val="0"/>
              <w:snapToGrid w:val="0"/>
              <w:spacing w:line="300" w:lineRule="exact"/>
              <w:jc w:val="center"/>
              <w:rPr>
                <w:rFonts w:ascii="方正仿宋_GBK" w:hAnsi="仿宋" w:eastAsia="方正仿宋_GBK"/>
                <w:color w:val="auto"/>
                <w:spacing w:val="20"/>
                <w:sz w:val="24"/>
                <w:szCs w:val="24"/>
                <w:highlight w:val="none"/>
              </w:rPr>
            </w:pPr>
          </w:p>
        </w:tc>
      </w:tr>
      <w:tr w14:paraId="778D45F7">
        <w:tblPrEx>
          <w:tblCellMar>
            <w:top w:w="0" w:type="dxa"/>
            <w:left w:w="108" w:type="dxa"/>
            <w:bottom w:w="0" w:type="dxa"/>
            <w:right w:w="108" w:type="dxa"/>
          </w:tblCellMar>
        </w:tblPrEx>
        <w:trPr>
          <w:trHeight w:val="483" w:hRule="atLeast"/>
          <w:jc w:val="center"/>
        </w:trPr>
        <w:tc>
          <w:tcPr>
            <w:tcW w:w="1125" w:type="pct"/>
            <w:vAlign w:val="center"/>
          </w:tcPr>
          <w:p w14:paraId="25036C9C">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联系电话</w:t>
            </w:r>
          </w:p>
        </w:tc>
        <w:tc>
          <w:tcPr>
            <w:tcW w:w="1436" w:type="pct"/>
            <w:vAlign w:val="center"/>
          </w:tcPr>
          <w:p w14:paraId="456491F2">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16357133">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联系电话</w:t>
            </w:r>
          </w:p>
        </w:tc>
        <w:tc>
          <w:tcPr>
            <w:tcW w:w="1260" w:type="pct"/>
            <w:vAlign w:val="center"/>
          </w:tcPr>
          <w:p w14:paraId="3EF64BBA">
            <w:pPr>
              <w:adjustRightInd w:val="0"/>
              <w:snapToGrid w:val="0"/>
              <w:spacing w:line="300" w:lineRule="exact"/>
              <w:jc w:val="center"/>
              <w:rPr>
                <w:rFonts w:ascii="方正仿宋_GBK" w:hAnsi="仿宋" w:eastAsia="方正仿宋_GBK"/>
                <w:color w:val="auto"/>
                <w:spacing w:val="20"/>
                <w:sz w:val="24"/>
                <w:szCs w:val="24"/>
                <w:highlight w:val="none"/>
              </w:rPr>
            </w:pPr>
          </w:p>
        </w:tc>
      </w:tr>
      <w:tr w14:paraId="53923EC9">
        <w:tblPrEx>
          <w:tblCellMar>
            <w:top w:w="0" w:type="dxa"/>
            <w:left w:w="108" w:type="dxa"/>
            <w:bottom w:w="0" w:type="dxa"/>
            <w:right w:w="108" w:type="dxa"/>
          </w:tblCellMar>
        </w:tblPrEx>
        <w:trPr>
          <w:trHeight w:val="483" w:hRule="atLeast"/>
          <w:jc w:val="center"/>
        </w:trPr>
        <w:tc>
          <w:tcPr>
            <w:tcW w:w="1125" w:type="pct"/>
            <w:vAlign w:val="center"/>
          </w:tcPr>
          <w:p w14:paraId="3DFF7B7E">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通信地址</w:t>
            </w:r>
          </w:p>
        </w:tc>
        <w:tc>
          <w:tcPr>
            <w:tcW w:w="1436" w:type="pct"/>
            <w:vAlign w:val="center"/>
          </w:tcPr>
          <w:p w14:paraId="223DBC97">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394BCBEF">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通信地址</w:t>
            </w:r>
          </w:p>
        </w:tc>
        <w:tc>
          <w:tcPr>
            <w:tcW w:w="1260" w:type="pct"/>
            <w:vAlign w:val="center"/>
          </w:tcPr>
          <w:p w14:paraId="263401D5">
            <w:pPr>
              <w:adjustRightInd w:val="0"/>
              <w:snapToGrid w:val="0"/>
              <w:spacing w:line="300" w:lineRule="exact"/>
              <w:jc w:val="center"/>
              <w:rPr>
                <w:rFonts w:ascii="方正仿宋_GBK" w:hAnsi="仿宋" w:eastAsia="方正仿宋_GBK"/>
                <w:color w:val="auto"/>
                <w:spacing w:val="20"/>
                <w:sz w:val="24"/>
                <w:szCs w:val="24"/>
                <w:highlight w:val="none"/>
              </w:rPr>
            </w:pPr>
          </w:p>
        </w:tc>
      </w:tr>
      <w:tr w14:paraId="19556770">
        <w:tblPrEx>
          <w:tblCellMar>
            <w:top w:w="0" w:type="dxa"/>
            <w:left w:w="108" w:type="dxa"/>
            <w:bottom w:w="0" w:type="dxa"/>
            <w:right w:w="108" w:type="dxa"/>
          </w:tblCellMar>
        </w:tblPrEx>
        <w:trPr>
          <w:trHeight w:val="483" w:hRule="atLeast"/>
          <w:jc w:val="center"/>
        </w:trPr>
        <w:tc>
          <w:tcPr>
            <w:tcW w:w="1125" w:type="pct"/>
            <w:vAlign w:val="center"/>
          </w:tcPr>
          <w:p w14:paraId="0020DD0B">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邮政编码</w:t>
            </w:r>
          </w:p>
        </w:tc>
        <w:tc>
          <w:tcPr>
            <w:tcW w:w="1436" w:type="pct"/>
            <w:vAlign w:val="center"/>
          </w:tcPr>
          <w:p w14:paraId="2184FB38">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6443E88D">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邮政编码</w:t>
            </w:r>
          </w:p>
        </w:tc>
        <w:tc>
          <w:tcPr>
            <w:tcW w:w="1260" w:type="pct"/>
            <w:vAlign w:val="center"/>
          </w:tcPr>
          <w:p w14:paraId="19A07389">
            <w:pPr>
              <w:adjustRightInd w:val="0"/>
              <w:snapToGrid w:val="0"/>
              <w:spacing w:line="300" w:lineRule="exact"/>
              <w:jc w:val="center"/>
              <w:rPr>
                <w:rFonts w:ascii="方正仿宋_GBK" w:hAnsi="仿宋" w:eastAsia="方正仿宋_GBK"/>
                <w:color w:val="auto"/>
                <w:spacing w:val="20"/>
                <w:sz w:val="24"/>
                <w:szCs w:val="24"/>
                <w:highlight w:val="none"/>
              </w:rPr>
            </w:pPr>
          </w:p>
        </w:tc>
      </w:tr>
      <w:tr w14:paraId="59067630">
        <w:tblPrEx>
          <w:tblCellMar>
            <w:top w:w="0" w:type="dxa"/>
            <w:left w:w="108" w:type="dxa"/>
            <w:bottom w:w="0" w:type="dxa"/>
            <w:right w:w="108" w:type="dxa"/>
          </w:tblCellMar>
        </w:tblPrEx>
        <w:trPr>
          <w:trHeight w:val="483" w:hRule="atLeast"/>
          <w:jc w:val="center"/>
        </w:trPr>
        <w:tc>
          <w:tcPr>
            <w:tcW w:w="1125" w:type="pct"/>
            <w:vAlign w:val="center"/>
          </w:tcPr>
          <w:p w14:paraId="4E86CB4E">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电子邮箱</w:t>
            </w:r>
          </w:p>
        </w:tc>
        <w:tc>
          <w:tcPr>
            <w:tcW w:w="1436" w:type="pct"/>
            <w:vAlign w:val="center"/>
          </w:tcPr>
          <w:p w14:paraId="66AE9533">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67F41FF4">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电子邮箱</w:t>
            </w:r>
          </w:p>
        </w:tc>
        <w:tc>
          <w:tcPr>
            <w:tcW w:w="1260" w:type="pct"/>
            <w:vAlign w:val="center"/>
          </w:tcPr>
          <w:p w14:paraId="13B6D3DE">
            <w:pPr>
              <w:adjustRightInd w:val="0"/>
              <w:snapToGrid w:val="0"/>
              <w:spacing w:line="300" w:lineRule="exact"/>
              <w:jc w:val="center"/>
              <w:rPr>
                <w:rFonts w:ascii="方正仿宋_GBK" w:hAnsi="仿宋" w:eastAsia="方正仿宋_GBK"/>
                <w:color w:val="auto"/>
                <w:spacing w:val="20"/>
                <w:sz w:val="24"/>
                <w:szCs w:val="24"/>
                <w:highlight w:val="none"/>
              </w:rPr>
            </w:pPr>
          </w:p>
        </w:tc>
      </w:tr>
      <w:tr w14:paraId="38EA58BA">
        <w:tblPrEx>
          <w:tblCellMar>
            <w:top w:w="0" w:type="dxa"/>
            <w:left w:w="108" w:type="dxa"/>
            <w:bottom w:w="0" w:type="dxa"/>
            <w:right w:w="108" w:type="dxa"/>
          </w:tblCellMar>
        </w:tblPrEx>
        <w:trPr>
          <w:trHeight w:val="483" w:hRule="atLeast"/>
          <w:jc w:val="center"/>
        </w:trPr>
        <w:tc>
          <w:tcPr>
            <w:tcW w:w="1125" w:type="pct"/>
            <w:vAlign w:val="center"/>
          </w:tcPr>
          <w:p w14:paraId="170B9611">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统一社会信用代码</w:t>
            </w:r>
          </w:p>
        </w:tc>
        <w:tc>
          <w:tcPr>
            <w:tcW w:w="1436" w:type="pct"/>
            <w:vAlign w:val="center"/>
          </w:tcPr>
          <w:p w14:paraId="53E7C092">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7B982FD4">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统一社会信用代码</w:t>
            </w:r>
          </w:p>
        </w:tc>
        <w:tc>
          <w:tcPr>
            <w:tcW w:w="1260" w:type="pct"/>
            <w:vAlign w:val="center"/>
          </w:tcPr>
          <w:p w14:paraId="55C097CA">
            <w:pPr>
              <w:adjustRightInd w:val="0"/>
              <w:snapToGrid w:val="0"/>
              <w:spacing w:line="300" w:lineRule="exact"/>
              <w:jc w:val="center"/>
              <w:rPr>
                <w:rFonts w:ascii="方正仿宋_GBK" w:hAnsi="仿宋" w:eastAsia="方正仿宋_GBK"/>
                <w:color w:val="auto"/>
                <w:spacing w:val="20"/>
                <w:sz w:val="24"/>
                <w:szCs w:val="24"/>
                <w:highlight w:val="none"/>
              </w:rPr>
            </w:pPr>
          </w:p>
        </w:tc>
      </w:tr>
      <w:tr w14:paraId="60D8D60A">
        <w:tblPrEx>
          <w:tblCellMar>
            <w:top w:w="0" w:type="dxa"/>
            <w:left w:w="108" w:type="dxa"/>
            <w:bottom w:w="0" w:type="dxa"/>
            <w:right w:w="108" w:type="dxa"/>
          </w:tblCellMar>
        </w:tblPrEx>
        <w:trPr>
          <w:trHeight w:val="483" w:hRule="atLeast"/>
          <w:jc w:val="center"/>
        </w:trPr>
        <w:tc>
          <w:tcPr>
            <w:tcW w:w="2134" w:type="dxa"/>
            <w:vAlign w:val="center"/>
          </w:tcPr>
          <w:p w14:paraId="4E0B2A51">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开户名称</w:t>
            </w:r>
          </w:p>
        </w:tc>
        <w:tc>
          <w:tcPr>
            <w:tcW w:w="1436" w:type="pct"/>
            <w:vAlign w:val="center"/>
          </w:tcPr>
          <w:p w14:paraId="47658E16">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43AE15C8">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开户名称</w:t>
            </w:r>
          </w:p>
        </w:tc>
        <w:tc>
          <w:tcPr>
            <w:tcW w:w="1260" w:type="pct"/>
            <w:vAlign w:val="center"/>
          </w:tcPr>
          <w:p w14:paraId="0A63768B">
            <w:pPr>
              <w:adjustRightInd w:val="0"/>
              <w:snapToGrid w:val="0"/>
              <w:spacing w:line="300" w:lineRule="exact"/>
              <w:jc w:val="center"/>
              <w:rPr>
                <w:rFonts w:ascii="方正仿宋_GBK" w:hAnsi="仿宋" w:eastAsia="方正仿宋_GBK"/>
                <w:color w:val="auto"/>
                <w:spacing w:val="20"/>
                <w:sz w:val="24"/>
                <w:szCs w:val="24"/>
                <w:highlight w:val="none"/>
              </w:rPr>
            </w:pPr>
          </w:p>
        </w:tc>
      </w:tr>
      <w:tr w14:paraId="3FB067D9">
        <w:tblPrEx>
          <w:tblCellMar>
            <w:top w:w="0" w:type="dxa"/>
            <w:left w:w="108" w:type="dxa"/>
            <w:bottom w:w="0" w:type="dxa"/>
            <w:right w:w="108" w:type="dxa"/>
          </w:tblCellMar>
        </w:tblPrEx>
        <w:trPr>
          <w:trHeight w:val="483" w:hRule="atLeast"/>
          <w:jc w:val="center"/>
        </w:trPr>
        <w:tc>
          <w:tcPr>
            <w:tcW w:w="2134" w:type="dxa"/>
            <w:vAlign w:val="center"/>
          </w:tcPr>
          <w:p w14:paraId="4602C524">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开户银行</w:t>
            </w:r>
          </w:p>
        </w:tc>
        <w:tc>
          <w:tcPr>
            <w:tcW w:w="1436" w:type="pct"/>
            <w:vAlign w:val="center"/>
          </w:tcPr>
          <w:p w14:paraId="51B157C5">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42C399F6">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开户银行</w:t>
            </w:r>
          </w:p>
        </w:tc>
        <w:tc>
          <w:tcPr>
            <w:tcW w:w="1260" w:type="pct"/>
            <w:vAlign w:val="center"/>
          </w:tcPr>
          <w:p w14:paraId="45052DDA">
            <w:pPr>
              <w:adjustRightInd w:val="0"/>
              <w:snapToGrid w:val="0"/>
              <w:spacing w:line="300" w:lineRule="exact"/>
              <w:jc w:val="center"/>
              <w:rPr>
                <w:rFonts w:ascii="方正仿宋_GBK" w:hAnsi="仿宋" w:eastAsia="方正仿宋_GBK"/>
                <w:color w:val="auto"/>
                <w:spacing w:val="20"/>
                <w:sz w:val="24"/>
                <w:szCs w:val="24"/>
                <w:highlight w:val="none"/>
              </w:rPr>
            </w:pPr>
          </w:p>
        </w:tc>
      </w:tr>
      <w:tr w14:paraId="58381C7F">
        <w:tblPrEx>
          <w:tblCellMar>
            <w:top w:w="0" w:type="dxa"/>
            <w:left w:w="108" w:type="dxa"/>
            <w:bottom w:w="0" w:type="dxa"/>
            <w:right w:w="108" w:type="dxa"/>
          </w:tblCellMar>
        </w:tblPrEx>
        <w:trPr>
          <w:trHeight w:val="483" w:hRule="atLeast"/>
          <w:jc w:val="center"/>
        </w:trPr>
        <w:tc>
          <w:tcPr>
            <w:tcW w:w="2134" w:type="dxa"/>
            <w:vAlign w:val="center"/>
          </w:tcPr>
          <w:p w14:paraId="35AB7612">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银行账号</w:t>
            </w:r>
          </w:p>
        </w:tc>
        <w:tc>
          <w:tcPr>
            <w:tcW w:w="1436" w:type="pct"/>
            <w:vAlign w:val="center"/>
          </w:tcPr>
          <w:p w14:paraId="149897E1">
            <w:pPr>
              <w:adjustRightInd w:val="0"/>
              <w:snapToGrid w:val="0"/>
              <w:spacing w:line="300" w:lineRule="exact"/>
              <w:jc w:val="center"/>
              <w:rPr>
                <w:rFonts w:ascii="方正仿宋_GBK" w:hAnsi="仿宋" w:eastAsia="方正仿宋_GBK"/>
                <w:color w:val="auto"/>
                <w:sz w:val="24"/>
                <w:szCs w:val="24"/>
                <w:highlight w:val="none"/>
              </w:rPr>
            </w:pPr>
          </w:p>
        </w:tc>
        <w:tc>
          <w:tcPr>
            <w:tcW w:w="1177" w:type="pct"/>
            <w:vAlign w:val="center"/>
          </w:tcPr>
          <w:p w14:paraId="56AC8CF6">
            <w:pPr>
              <w:adjustRightInd w:val="0"/>
              <w:snapToGrid w:val="0"/>
              <w:spacing w:line="300" w:lineRule="exact"/>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银行账号</w:t>
            </w:r>
          </w:p>
        </w:tc>
        <w:tc>
          <w:tcPr>
            <w:tcW w:w="1260" w:type="pct"/>
            <w:vAlign w:val="center"/>
          </w:tcPr>
          <w:p w14:paraId="270173F8">
            <w:pPr>
              <w:adjustRightInd w:val="0"/>
              <w:snapToGrid w:val="0"/>
              <w:spacing w:line="300" w:lineRule="exact"/>
              <w:jc w:val="center"/>
              <w:rPr>
                <w:rFonts w:ascii="方正仿宋_GBK" w:hAnsi="仿宋" w:eastAsia="方正仿宋_GBK"/>
                <w:color w:val="auto"/>
                <w:spacing w:val="20"/>
                <w:sz w:val="24"/>
                <w:szCs w:val="24"/>
                <w:highlight w:val="none"/>
              </w:rPr>
            </w:pPr>
          </w:p>
        </w:tc>
      </w:tr>
      <w:tr w14:paraId="6C5681E6">
        <w:tblPrEx>
          <w:tblCellMar>
            <w:top w:w="0" w:type="dxa"/>
            <w:left w:w="108" w:type="dxa"/>
            <w:bottom w:w="0" w:type="dxa"/>
            <w:right w:w="108" w:type="dxa"/>
          </w:tblCellMar>
        </w:tblPrEx>
        <w:trPr>
          <w:trHeight w:val="586" w:hRule="atLeast"/>
          <w:jc w:val="center"/>
        </w:trPr>
        <w:tc>
          <w:tcPr>
            <w:tcW w:w="5000" w:type="pct"/>
            <w:gridSpan w:val="4"/>
            <w:vAlign w:val="center"/>
          </w:tcPr>
          <w:p w14:paraId="6C48D8E6">
            <w:pPr>
              <w:pStyle w:val="24"/>
              <w:adjustRightInd w:val="0"/>
              <w:snapToGrid w:val="0"/>
              <w:spacing w:before="120" w:beforeLines="50" w:line="360" w:lineRule="auto"/>
              <w:ind w:left="0"/>
              <w:jc w:val="left"/>
              <w:rPr>
                <w:rFonts w:ascii="方正仿宋_GBK" w:hAnsi="仿宋" w:eastAsia="方正仿宋_GBK"/>
                <w:color w:val="auto"/>
                <w:spacing w:val="20"/>
                <w:sz w:val="24"/>
                <w:szCs w:val="24"/>
                <w:highlight w:val="none"/>
              </w:rPr>
            </w:pPr>
            <w:r>
              <w:rPr>
                <w:rFonts w:hint="eastAsia" w:ascii="方正仿宋_GBK" w:hAnsi="仿宋" w:eastAsia="方正仿宋_GBK"/>
                <w:color w:val="auto"/>
                <w:sz w:val="24"/>
                <w:szCs w:val="24"/>
                <w:highlight w:val="none"/>
              </w:rPr>
              <w:t>注：涉及联合体或其他合同主体的信息应按上表格式加列。</w:t>
            </w:r>
          </w:p>
        </w:tc>
      </w:tr>
    </w:tbl>
    <w:p w14:paraId="5D4CEB77">
      <w:pPr>
        <w:pStyle w:val="5"/>
        <w:adjustRightInd/>
        <w:snapToGrid/>
        <w:spacing w:before="120" w:beforeLines="50" w:after="120" w:afterLines="50" w:line="240" w:lineRule="auto"/>
        <w:jc w:val="center"/>
        <w:rPr>
          <w:rFonts w:ascii="方正仿宋_GBK" w:hAnsi="黑体" w:eastAsia="方正仿宋_GBK"/>
          <w:color w:val="auto"/>
          <w:sz w:val="24"/>
          <w:szCs w:val="24"/>
          <w:highlight w:val="none"/>
        </w:rPr>
      </w:pPr>
      <w:r>
        <w:rPr>
          <w:rFonts w:hint="eastAsia" w:ascii="方正仿宋_GBK" w:hAnsi="仿宋" w:eastAsia="方正仿宋_GBK"/>
          <w:color w:val="auto"/>
          <w:sz w:val="24"/>
          <w:szCs w:val="24"/>
          <w:highlight w:val="none"/>
          <w:u w:val="single"/>
        </w:rPr>
        <w:br w:type="page"/>
      </w:r>
      <w:bookmarkStart w:id="512" w:name="_Toc27624"/>
      <w:bookmarkStart w:id="513" w:name="_Toc167658458"/>
      <w:bookmarkStart w:id="514" w:name="_Toc167658907"/>
      <w:bookmarkStart w:id="515" w:name="_Toc4250"/>
      <w:r>
        <w:rPr>
          <w:rFonts w:hint="eastAsia" w:ascii="方正仿宋_GBK" w:hAnsi="黑体" w:eastAsia="方正仿宋_GBK"/>
          <w:b/>
          <w:bCs/>
          <w:color w:val="auto"/>
          <w:szCs w:val="28"/>
          <w:highlight w:val="none"/>
        </w:rPr>
        <w:t>第二节 政府采购合同通用条款</w:t>
      </w:r>
      <w:bookmarkEnd w:id="512"/>
      <w:bookmarkEnd w:id="513"/>
      <w:bookmarkEnd w:id="514"/>
      <w:bookmarkEnd w:id="515"/>
    </w:p>
    <w:p w14:paraId="7B180717">
      <w:pPr>
        <w:tabs>
          <w:tab w:val="left" w:pos="8820"/>
          <w:tab w:val="left" w:pos="9345"/>
          <w:tab w:val="left" w:pos="9765"/>
        </w:tabs>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color w:val="auto"/>
          <w:sz w:val="24"/>
          <w:szCs w:val="24"/>
          <w:highlight w:val="none"/>
        </w:rPr>
        <w:t xml:space="preserve">1. </w:t>
      </w:r>
      <w:r>
        <w:rPr>
          <w:rFonts w:hint="eastAsia" w:ascii="方正仿宋_GBK" w:hAnsi="仿宋" w:eastAsia="方正仿宋_GBK"/>
          <w:b/>
          <w:bCs/>
          <w:color w:val="auto"/>
          <w:sz w:val="24"/>
          <w:szCs w:val="24"/>
          <w:highlight w:val="none"/>
        </w:rPr>
        <w:t>定义</w:t>
      </w:r>
    </w:p>
    <w:p w14:paraId="613A2B9F">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1.1合同当事人</w:t>
      </w:r>
    </w:p>
    <w:p w14:paraId="0F14D0E2">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（1）采购人（以下称甲方）是指使用财政性资金，通过政府采购方式向供应商购买货物及其相关服务的国家机关、事业单位、团体组织。</w:t>
      </w:r>
    </w:p>
    <w:p w14:paraId="50D321AD">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（2）供应商（以下称乙方）是指参加政府采购活动并且中标（成交），向采购人提供合同约定的货物及其相关服务的法人、非法人组织或者自然人。</w:t>
      </w:r>
    </w:p>
    <w:p w14:paraId="2C40BEBF">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（3）其他合同主体是指除采购人和供应商以外，</w:t>
      </w:r>
      <w:r>
        <w:rPr>
          <w:rFonts w:hint="eastAsia" w:ascii="方正仿宋_GBK" w:hAnsi="仿宋" w:eastAsia="方正仿宋_GBK" w:cs="宋体"/>
          <w:bCs/>
          <w:color w:val="auto"/>
          <w:sz w:val="24"/>
          <w:szCs w:val="24"/>
          <w:highlight w:val="none"/>
        </w:rPr>
        <w:t>依法参与合同缔结或履行，享有权利、承担义务的合同当事人</w:t>
      </w:r>
      <w:r>
        <w:rPr>
          <w:rFonts w:hint="eastAsia" w:ascii="方正仿宋_GBK" w:hAnsi="仿宋" w:eastAsia="方正仿宋_GBK"/>
          <w:color w:val="auto"/>
          <w:sz w:val="24"/>
          <w:szCs w:val="24"/>
          <w:highlight w:val="none"/>
        </w:rPr>
        <w:t>。</w:t>
      </w:r>
    </w:p>
    <w:p w14:paraId="1B03E057">
      <w:pPr>
        <w:tabs>
          <w:tab w:val="left" w:pos="570"/>
          <w:tab w:val="left" w:pos="9240"/>
          <w:tab w:val="left" w:pos="9555"/>
        </w:tabs>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1.2本合同下列术语应解释为：</w:t>
      </w:r>
    </w:p>
    <w:p w14:paraId="4D835B72">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（1）“合同”系指</w:t>
      </w:r>
      <w:r>
        <w:rPr>
          <w:rFonts w:hint="eastAsia" w:ascii="方正仿宋_GBK" w:hAnsi="仿宋" w:eastAsia="方正仿宋_GBK" w:cs="宋体"/>
          <w:bCs/>
          <w:color w:val="auto"/>
          <w:sz w:val="24"/>
          <w:szCs w:val="24"/>
          <w:highlight w:val="none"/>
        </w:rPr>
        <w:t>合同当事人意思表示达成一致的任何协议，包括签署的</w:t>
      </w:r>
      <w:r>
        <w:rPr>
          <w:rFonts w:hint="eastAsia" w:ascii="方正仿宋_GBK" w:hAnsi="仿宋" w:eastAsia="方正仿宋_GBK"/>
          <w:color w:val="auto"/>
          <w:sz w:val="24"/>
          <w:szCs w:val="24"/>
          <w:highlight w:val="none"/>
        </w:rPr>
        <w:t>政府采购合同协议书及其变更、补充协议，政府采购合同专用条款，政府采购合同通用条款，中标（成交）通知书，投标（响应）文件，采购文件，有关技术文件和图纸，以及</w:t>
      </w:r>
      <w:r>
        <w:rPr>
          <w:rFonts w:hint="eastAsia" w:ascii="方正仿宋_GBK" w:hAnsi="仿宋" w:eastAsia="方正仿宋_GBK" w:cs="宋体"/>
          <w:color w:val="auto"/>
          <w:sz w:val="24"/>
          <w:szCs w:val="24"/>
          <w:highlight w:val="none"/>
        </w:rPr>
        <w:t>国家法律、行政法规和规章制度规定或合同约定的作为合同组成部分的其他文件</w:t>
      </w:r>
      <w:r>
        <w:rPr>
          <w:rFonts w:hint="eastAsia" w:ascii="方正仿宋_GBK" w:hAnsi="仿宋" w:eastAsia="方正仿宋_GBK"/>
          <w:color w:val="auto"/>
          <w:sz w:val="24"/>
          <w:szCs w:val="24"/>
          <w:highlight w:val="none"/>
        </w:rPr>
        <w:t>。</w:t>
      </w:r>
    </w:p>
    <w:p w14:paraId="5D680E89">
      <w:pPr>
        <w:tabs>
          <w:tab w:val="left" w:pos="570"/>
          <w:tab w:val="left" w:pos="9240"/>
          <w:tab w:val="left" w:pos="9555"/>
        </w:tabs>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（2）“合同价款”系指根据本合同规定乙方在全面履行合同义务后甲方应支付给乙方的价款。</w:t>
      </w:r>
    </w:p>
    <w:p w14:paraId="09DAE7C4">
      <w:pPr>
        <w:tabs>
          <w:tab w:val="left" w:pos="570"/>
          <w:tab w:val="left" w:pos="9240"/>
          <w:tab w:val="left" w:pos="9555"/>
        </w:tabs>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（3）“货物”系指乙方根据本合同规定须向甲方提供的各种形态和种类的物品，包括原材料、设备、产品（包括软件）及相关的其备品备件、工具、手册及</w:t>
      </w:r>
      <w:r>
        <w:rPr>
          <w:rFonts w:hint="eastAsia" w:ascii="方正仿宋_GBK" w:hAnsi="仿宋" w:eastAsia="方正仿宋_GBK"/>
          <w:color w:val="auto"/>
          <w:sz w:val="24"/>
          <w:szCs w:val="24"/>
          <w:highlight w:val="none"/>
          <w:lang w:val="en"/>
        </w:rPr>
        <w:t>其他</w:t>
      </w:r>
      <w:r>
        <w:rPr>
          <w:rFonts w:hint="eastAsia" w:ascii="方正仿宋_GBK" w:hAnsi="仿宋" w:eastAsia="方正仿宋_GBK"/>
          <w:color w:val="auto"/>
          <w:sz w:val="24"/>
          <w:szCs w:val="24"/>
          <w:highlight w:val="none"/>
        </w:rPr>
        <w:t>技术资料和材料等。</w:t>
      </w:r>
    </w:p>
    <w:p w14:paraId="3CE93850">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（4）“相关服务”系指根据合同规定，乙方应提供的与货物有关的技术、管理和</w:t>
      </w:r>
      <w:r>
        <w:rPr>
          <w:rFonts w:hint="eastAsia" w:ascii="方正仿宋_GBK" w:hAnsi="仿宋" w:eastAsia="方正仿宋_GBK"/>
          <w:color w:val="auto"/>
          <w:sz w:val="24"/>
          <w:szCs w:val="24"/>
          <w:highlight w:val="none"/>
          <w:lang w:val="en"/>
        </w:rPr>
        <w:t>其他</w:t>
      </w:r>
      <w:r>
        <w:rPr>
          <w:rFonts w:hint="eastAsia" w:ascii="方正仿宋_GBK" w:hAnsi="仿宋" w:eastAsia="方正仿宋_GBK"/>
          <w:color w:val="auto"/>
          <w:sz w:val="24"/>
          <w:szCs w:val="24"/>
          <w:highlight w:val="none"/>
        </w:rPr>
        <w:t>服务，包括但不限于：管理和质量保证、运输、保险、检验、现场准备、安装、集成、调试、培训、维修、废弃处置、技术支持等以及合同中规定乙方应承担的</w:t>
      </w:r>
      <w:r>
        <w:rPr>
          <w:rFonts w:hint="eastAsia" w:ascii="方正仿宋_GBK" w:hAnsi="仿宋" w:eastAsia="方正仿宋_GBK"/>
          <w:color w:val="auto"/>
          <w:sz w:val="24"/>
          <w:szCs w:val="24"/>
          <w:highlight w:val="none"/>
          <w:lang w:val="en"/>
        </w:rPr>
        <w:t>其他</w:t>
      </w:r>
      <w:r>
        <w:rPr>
          <w:rFonts w:hint="eastAsia" w:ascii="方正仿宋_GBK" w:hAnsi="仿宋" w:eastAsia="方正仿宋_GBK"/>
          <w:color w:val="auto"/>
          <w:sz w:val="24"/>
          <w:szCs w:val="24"/>
          <w:highlight w:val="none"/>
        </w:rPr>
        <w:t>义务。</w:t>
      </w:r>
    </w:p>
    <w:p w14:paraId="2491F2AE">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（5）“分包”系指中标（成交）供应商按采购文件、投标（响应）文件的规定，根据分包意向协议，将中标（成交）项目中的部分履约内容，分给具有相应资质条件的供应商履行合同的行为。</w:t>
      </w:r>
    </w:p>
    <w:p w14:paraId="67A4004C">
      <w:pPr>
        <w:tabs>
          <w:tab w:val="left" w:pos="570"/>
          <w:tab w:val="left" w:pos="9240"/>
          <w:tab w:val="left" w:pos="9555"/>
        </w:tabs>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K" w:hAnsi="仿宋" w:eastAsia="方正仿宋_GBK"/>
          <w:bCs/>
          <w:color w:val="auto"/>
          <w:sz w:val="24"/>
          <w:szCs w:val="24"/>
          <w:highlight w:val="none"/>
        </w:rPr>
        <w:t>政府采购合同专用条款</w:t>
      </w:r>
      <w:r>
        <w:rPr>
          <w:rFonts w:hint="eastAsia" w:ascii="方正仿宋_GBK" w:hAnsi="仿宋" w:eastAsia="方正仿宋_GBK"/>
          <w:color w:val="auto"/>
          <w:sz w:val="24"/>
          <w:szCs w:val="24"/>
          <w:highlight w:val="none"/>
        </w:rPr>
        <w:t>】。</w:t>
      </w:r>
    </w:p>
    <w:p w14:paraId="17128F66">
      <w:pPr>
        <w:tabs>
          <w:tab w:val="left" w:pos="570"/>
          <w:tab w:val="left" w:pos="9240"/>
          <w:tab w:val="left" w:pos="9555"/>
        </w:tabs>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（7）其他术语解释，见【</w:t>
      </w:r>
      <w:r>
        <w:rPr>
          <w:rFonts w:hint="eastAsia" w:ascii="方正仿宋_GBK" w:hAnsi="仿宋" w:eastAsia="方正仿宋_GBK"/>
          <w:bCs/>
          <w:color w:val="auto"/>
          <w:sz w:val="24"/>
          <w:szCs w:val="24"/>
          <w:highlight w:val="none"/>
        </w:rPr>
        <w:t>政府采购合同专用条款</w:t>
      </w:r>
      <w:r>
        <w:rPr>
          <w:rFonts w:hint="eastAsia" w:ascii="方正仿宋_GBK" w:hAnsi="仿宋" w:eastAsia="方正仿宋_GBK"/>
          <w:color w:val="auto"/>
          <w:sz w:val="24"/>
          <w:szCs w:val="24"/>
          <w:highlight w:val="none"/>
        </w:rPr>
        <w:t>】。</w:t>
      </w:r>
    </w:p>
    <w:p w14:paraId="5EA1545C">
      <w:pPr>
        <w:numPr>
          <w:ilvl w:val="0"/>
          <w:numId w:val="19"/>
        </w:num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color w:val="auto"/>
          <w:sz w:val="24"/>
          <w:szCs w:val="24"/>
          <w:highlight w:val="none"/>
        </w:rPr>
        <w:t>合同标的及金额</w:t>
      </w:r>
    </w:p>
    <w:p w14:paraId="2E49E725">
      <w:pPr>
        <w:autoSpaceDE w:val="0"/>
        <w:autoSpaceDN w:val="0"/>
        <w:adjustRightInd w:val="0"/>
        <w:snapToGrid w:val="0"/>
        <w:spacing w:line="400" w:lineRule="exact"/>
        <w:ind w:firstLine="480" w:firstLineChars="200"/>
        <w:jc w:val="left"/>
        <w:rPr>
          <w:rFonts w:ascii="方正仿宋_GBK" w:hAnsi="仿宋" w:eastAsia="方正仿宋_GBK"/>
          <w:b/>
          <w:bCs/>
          <w:i/>
          <w:iCs/>
          <w:color w:val="auto"/>
          <w:sz w:val="24"/>
          <w:szCs w:val="24"/>
          <w:highlight w:val="none"/>
        </w:rPr>
      </w:pPr>
      <w:r>
        <w:rPr>
          <w:rFonts w:hint="eastAsia" w:ascii="方正仿宋_GBK" w:hAnsi="仿宋" w:eastAsia="方正仿宋_GBK"/>
          <w:color w:val="auto"/>
          <w:sz w:val="24"/>
          <w:szCs w:val="24"/>
          <w:highlight w:val="none"/>
        </w:rPr>
        <w:t>2.1 合同标的及金额应与中标（成交）结果一致。乙方为履行本合同而发生的所有费用均应包含在合同价款中，甲方不再另行支付</w:t>
      </w:r>
      <w:r>
        <w:rPr>
          <w:rFonts w:hint="eastAsia" w:ascii="方正仿宋_GBK" w:hAnsi="仿宋" w:eastAsia="方正仿宋_GBK"/>
          <w:color w:val="auto"/>
          <w:sz w:val="24"/>
          <w:szCs w:val="24"/>
          <w:highlight w:val="none"/>
          <w:lang w:val="en"/>
        </w:rPr>
        <w:t>其他</w:t>
      </w:r>
      <w:r>
        <w:rPr>
          <w:rFonts w:hint="eastAsia" w:ascii="方正仿宋_GBK" w:hAnsi="仿宋" w:eastAsia="方正仿宋_GBK"/>
          <w:color w:val="auto"/>
          <w:sz w:val="24"/>
          <w:szCs w:val="24"/>
          <w:highlight w:val="none"/>
        </w:rPr>
        <w:t>任何费用。</w:t>
      </w:r>
    </w:p>
    <w:p w14:paraId="67684D3D">
      <w:pPr>
        <w:adjustRightInd w:val="0"/>
        <w:snapToGrid w:val="0"/>
        <w:spacing w:line="400" w:lineRule="exact"/>
        <w:jc w:val="left"/>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3. 履行合同的时间、地点和方式</w:t>
      </w:r>
    </w:p>
    <w:p w14:paraId="6941433F">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3.1 </w:t>
      </w:r>
      <w:r>
        <w:rPr>
          <w:rFonts w:hint="eastAsia" w:ascii="方正仿宋_GBK" w:hAnsi="仿宋" w:eastAsia="方正仿宋_GBK" w:cs="宋体"/>
          <w:color w:val="auto"/>
          <w:sz w:val="24"/>
          <w:szCs w:val="24"/>
          <w:highlight w:val="none"/>
        </w:rPr>
        <w:t>乙方应当在约定的时间、地点，按照约定方式履行合同。</w:t>
      </w:r>
    </w:p>
    <w:p w14:paraId="74B30738">
      <w:p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4. 甲方的权利和义务</w:t>
      </w:r>
    </w:p>
    <w:p w14:paraId="5F5B094C">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E4B505E">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099CF992">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4.3 甲方有权要求乙方对缺陷部分予以修复，并按合同约定享有货物保修及其他合同约定的权利。</w:t>
      </w:r>
    </w:p>
    <w:p w14:paraId="0D747FCD">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4.4 甲方应当按照合同约定及时对交付的货物进行验收。</w:t>
      </w:r>
    </w:p>
    <w:p w14:paraId="1A109485">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4.5 甲方应当根据合同约定及时向乙方支付合同价款。</w:t>
      </w:r>
    </w:p>
    <w:p w14:paraId="3DA32011">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4.6 国家法律法规规定及</w:t>
      </w:r>
      <w:r>
        <w:rPr>
          <w:rFonts w:hint="eastAsia" w:ascii="方正仿宋_GBK" w:hAnsi="仿宋" w:eastAsia="方正仿宋_GBK" w:cs="宋体"/>
          <w:bCs/>
          <w:color w:val="auto"/>
          <w:sz w:val="24"/>
          <w:szCs w:val="24"/>
          <w:highlight w:val="none"/>
        </w:rPr>
        <w:t>【政府采购合同专用条款】</w:t>
      </w:r>
      <w:r>
        <w:rPr>
          <w:rFonts w:hint="eastAsia" w:ascii="方正仿宋_GBK" w:hAnsi="仿宋" w:eastAsia="方正仿宋_GBK"/>
          <w:color w:val="auto"/>
          <w:sz w:val="24"/>
          <w:szCs w:val="24"/>
          <w:highlight w:val="none"/>
        </w:rPr>
        <w:t>约定应由甲方承担的其他义务和责任。</w:t>
      </w:r>
    </w:p>
    <w:p w14:paraId="679A2D98">
      <w:p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5. 乙方的权利和义务</w:t>
      </w:r>
    </w:p>
    <w:p w14:paraId="24530D6E">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5.1 签署合同后，乙方应确定项目负责人（或项目联系人），负责与本合同有关的事务。</w:t>
      </w:r>
    </w:p>
    <w:p w14:paraId="6C79E512">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282EC00">
      <w:pPr>
        <w:pStyle w:val="2"/>
        <w:spacing w:line="400" w:lineRule="exact"/>
        <w:ind w:firstLine="480" w:firstLineChars="200"/>
        <w:rPr>
          <w:rFonts w:ascii="方正仿宋_GBK" w:hAnsi="仿宋" w:eastAsia="方正仿宋_GBK" w:cs="宋体"/>
          <w:color w:val="auto"/>
          <w:sz w:val="24"/>
          <w:szCs w:val="24"/>
          <w:highlight w:val="none"/>
        </w:rPr>
      </w:pPr>
      <w:r>
        <w:rPr>
          <w:rFonts w:hint="eastAsia" w:ascii="方正仿宋_GBK" w:hAnsi="仿宋" w:eastAsia="方正仿宋_GBK"/>
          <w:color w:val="auto"/>
          <w:sz w:val="24"/>
          <w:szCs w:val="24"/>
          <w:highlight w:val="none"/>
        </w:rPr>
        <w:t>5.3乙方有权</w:t>
      </w:r>
      <w:r>
        <w:rPr>
          <w:rFonts w:hint="eastAsia" w:ascii="方正仿宋_GBK" w:hAnsi="仿宋" w:eastAsia="方正仿宋_GBK" w:cs="宋体"/>
          <w:color w:val="auto"/>
          <w:sz w:val="24"/>
          <w:szCs w:val="24"/>
          <w:highlight w:val="none"/>
        </w:rPr>
        <w:t>根据合同约定向甲方收取合同价款。</w:t>
      </w:r>
    </w:p>
    <w:p w14:paraId="7328895A">
      <w:pPr>
        <w:pStyle w:val="2"/>
        <w:spacing w:line="400" w:lineRule="exact"/>
        <w:ind w:firstLine="480" w:firstLineChars="200"/>
        <w:rPr>
          <w:rFonts w:ascii="方正仿宋_GBK" w:hAnsi="仿宋" w:eastAsia="方正仿宋_GBK" w:cs="宋体"/>
          <w:color w:val="auto"/>
          <w:sz w:val="24"/>
          <w:szCs w:val="24"/>
          <w:highlight w:val="none"/>
        </w:rPr>
      </w:pPr>
      <w:r>
        <w:rPr>
          <w:rFonts w:hint="eastAsia" w:ascii="方正仿宋_GBK" w:hAnsi="仿宋" w:eastAsia="方正仿宋_GBK"/>
          <w:color w:val="auto"/>
          <w:sz w:val="24"/>
          <w:szCs w:val="24"/>
          <w:highlight w:val="none"/>
        </w:rPr>
        <w:t>5.4</w:t>
      </w:r>
      <w:r>
        <w:rPr>
          <w:rFonts w:hint="eastAsia" w:ascii="方正仿宋_GBK" w:hAnsi="仿宋" w:eastAsia="方正仿宋_GBK" w:cs="宋体"/>
          <w:color w:val="auto"/>
          <w:sz w:val="24"/>
          <w:szCs w:val="24"/>
          <w:highlight w:val="none"/>
        </w:rPr>
        <w:t>国家法律法规规定</w:t>
      </w:r>
      <w:r>
        <w:rPr>
          <w:rFonts w:hint="eastAsia" w:ascii="方正仿宋_GBK" w:hAnsi="仿宋" w:eastAsia="方正仿宋_GBK"/>
          <w:color w:val="auto"/>
          <w:sz w:val="24"/>
          <w:szCs w:val="24"/>
          <w:highlight w:val="none"/>
        </w:rPr>
        <w:t>及</w:t>
      </w:r>
      <w:r>
        <w:rPr>
          <w:rFonts w:hint="eastAsia" w:ascii="方正仿宋_GBK" w:hAnsi="仿宋" w:eastAsia="方正仿宋_GBK" w:cs="宋体"/>
          <w:bCs/>
          <w:color w:val="auto"/>
          <w:sz w:val="24"/>
          <w:szCs w:val="24"/>
          <w:highlight w:val="none"/>
        </w:rPr>
        <w:t>【政府采购合同专用条款】</w:t>
      </w:r>
      <w:r>
        <w:rPr>
          <w:rFonts w:hint="eastAsia" w:ascii="方正仿宋_GBK" w:hAnsi="仿宋" w:eastAsia="方正仿宋_GBK" w:cs="宋体"/>
          <w:color w:val="auto"/>
          <w:sz w:val="24"/>
          <w:szCs w:val="24"/>
          <w:highlight w:val="none"/>
        </w:rPr>
        <w:t>约定应由乙方承担的其他义务和责任。</w:t>
      </w:r>
    </w:p>
    <w:p w14:paraId="1FC1E8BD">
      <w:pPr>
        <w:numPr>
          <w:ilvl w:val="0"/>
          <w:numId w:val="20"/>
        </w:num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合同履行</w:t>
      </w:r>
    </w:p>
    <w:p w14:paraId="3239EEFF">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6.1 甲乙双方应当按照</w:t>
      </w:r>
      <w:r>
        <w:rPr>
          <w:rFonts w:hint="eastAsia" w:ascii="方正仿宋_GBK" w:hAnsi="仿宋" w:eastAsia="方正仿宋_GBK" w:cs="宋体"/>
          <w:bCs/>
          <w:color w:val="auto"/>
          <w:sz w:val="24"/>
          <w:szCs w:val="24"/>
          <w:highlight w:val="none"/>
        </w:rPr>
        <w:t>【政府采购合同专用条款】</w:t>
      </w:r>
      <w:r>
        <w:rPr>
          <w:rFonts w:hint="eastAsia" w:ascii="方正仿宋_GBK" w:hAnsi="仿宋" w:eastAsia="方正仿宋_GBK"/>
          <w:color w:val="auto"/>
          <w:sz w:val="24"/>
          <w:szCs w:val="24"/>
          <w:highlight w:val="none"/>
        </w:rPr>
        <w:t>约定顺序履行合同义务；如果没有先后顺序的，应当同时履行。</w:t>
      </w:r>
    </w:p>
    <w:p w14:paraId="68469252">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201E7AF3">
      <w:pPr>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7. 货物包装、运输、保险和交付要求</w:t>
      </w:r>
    </w:p>
    <w:p w14:paraId="6E10F982">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7.1 本合同</w:t>
      </w:r>
      <w:r>
        <w:rPr>
          <w:rFonts w:hint="eastAsia" w:ascii="方正仿宋_GBK" w:hAnsi="仿宋" w:eastAsia="方正仿宋_GBK"/>
          <w:bCs/>
          <w:color w:val="auto"/>
          <w:sz w:val="24"/>
          <w:szCs w:val="24"/>
          <w:highlight w:val="none"/>
        </w:rPr>
        <w:t>涉及商品包装、快递包装的，</w:t>
      </w:r>
      <w:r>
        <w:rPr>
          <w:rFonts w:hint="eastAsia" w:ascii="方正仿宋_GBK" w:hAnsi="仿宋" w:eastAsia="方正仿宋_GBK"/>
          <w:color w:val="auto"/>
          <w:sz w:val="24"/>
          <w:szCs w:val="24"/>
          <w:highlight w:val="none"/>
        </w:rPr>
        <w:t>除【政府采购合同专用条款】</w:t>
      </w:r>
      <w:r>
        <w:rPr>
          <w:rFonts w:hint="eastAsia" w:ascii="方正仿宋_GBK" w:hAnsi="仿宋" w:eastAsia="方正仿宋_GBK"/>
          <w:bCs/>
          <w:color w:val="auto"/>
          <w:sz w:val="24"/>
          <w:szCs w:val="24"/>
          <w:highlight w:val="none"/>
        </w:rPr>
        <w:t>另有约定外，</w:t>
      </w:r>
      <w:r>
        <w:rPr>
          <w:rFonts w:hint="eastAsia" w:ascii="方正仿宋_GBK" w:hAnsi="仿宋" w:eastAsia="方正仿宋_GBK"/>
          <w:color w:val="auto"/>
          <w:sz w:val="24"/>
          <w:szCs w:val="24"/>
          <w:highlight w:val="none"/>
        </w:rPr>
        <w:t>包装应适应远距离运输、防潮、防震、防锈和防野蛮装卸等要求，确保货物安全无损地运抵【政府采购合同专用条款】</w:t>
      </w:r>
      <w:r>
        <w:rPr>
          <w:rFonts w:hint="eastAsia" w:ascii="方正仿宋_GBK" w:hAnsi="仿宋" w:eastAsia="方正仿宋_GBK"/>
          <w:bCs/>
          <w:color w:val="auto"/>
          <w:sz w:val="24"/>
          <w:szCs w:val="24"/>
          <w:highlight w:val="none"/>
        </w:rPr>
        <w:t>约定的</w:t>
      </w:r>
      <w:r>
        <w:rPr>
          <w:rFonts w:hint="eastAsia" w:ascii="方正仿宋_GBK" w:hAnsi="仿宋" w:eastAsia="方正仿宋_GBK"/>
          <w:color w:val="auto"/>
          <w:sz w:val="24"/>
          <w:szCs w:val="24"/>
          <w:highlight w:val="none"/>
        </w:rPr>
        <w:t>指定现场。</w:t>
      </w:r>
    </w:p>
    <w:p w14:paraId="6391E71C">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7.2 除【政府采购合同专用条款】</w:t>
      </w:r>
      <w:r>
        <w:rPr>
          <w:rFonts w:hint="eastAsia" w:ascii="方正仿宋_GBK" w:hAnsi="仿宋" w:eastAsia="方正仿宋_GBK"/>
          <w:bCs/>
          <w:color w:val="auto"/>
          <w:sz w:val="24"/>
          <w:szCs w:val="24"/>
          <w:highlight w:val="none"/>
        </w:rPr>
        <w:t>另有约定外，</w:t>
      </w:r>
      <w:r>
        <w:rPr>
          <w:rFonts w:hint="eastAsia" w:ascii="方正仿宋_GBK" w:hAnsi="仿宋" w:eastAsia="方正仿宋_GBK"/>
          <w:color w:val="auto"/>
          <w:sz w:val="24"/>
          <w:szCs w:val="24"/>
          <w:highlight w:val="none"/>
        </w:rPr>
        <w:t>乙方负责办理将货物运抵本合同规定的交货地点，并装卸、交付至甲方的一切运输事项，相关费用应包含在合同价款中。</w:t>
      </w:r>
    </w:p>
    <w:p w14:paraId="6AD1D4B4">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7.3 货物保险要求按【政府采购合同专用条款】</w:t>
      </w:r>
      <w:r>
        <w:rPr>
          <w:rFonts w:hint="eastAsia" w:ascii="方正仿宋_GBK" w:hAnsi="仿宋" w:eastAsia="方正仿宋_GBK"/>
          <w:bCs/>
          <w:color w:val="auto"/>
          <w:sz w:val="24"/>
          <w:szCs w:val="24"/>
          <w:highlight w:val="none"/>
        </w:rPr>
        <w:t>规定执行</w:t>
      </w:r>
      <w:r>
        <w:rPr>
          <w:rFonts w:hint="eastAsia" w:ascii="方正仿宋_GBK" w:hAnsi="仿宋" w:eastAsia="方正仿宋_GBK"/>
          <w:color w:val="auto"/>
          <w:sz w:val="24"/>
          <w:szCs w:val="24"/>
          <w:highlight w:val="none"/>
        </w:rPr>
        <w:t>。</w:t>
      </w:r>
    </w:p>
    <w:p w14:paraId="400E2E88">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52A3C90">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7.5 </w:t>
      </w:r>
      <w:r>
        <w:rPr>
          <w:rFonts w:hint="eastAsia" w:ascii="方正仿宋_GBK" w:hAnsi="仿宋" w:eastAsia="方正仿宋_GBK" w:cs="宋体"/>
          <w:color w:val="auto"/>
          <w:sz w:val="24"/>
          <w:szCs w:val="24"/>
          <w:highlight w:val="none"/>
        </w:rPr>
        <w:t>乙方在运输到达之前应提前通知甲方，并提示货物运输装卸的注意事项，甲方配合乙方做好货物的接收工作。</w:t>
      </w:r>
    </w:p>
    <w:p w14:paraId="293E615E">
      <w:pPr>
        <w:pStyle w:val="218"/>
        <w:ind w:firstLine="480"/>
        <w:rPr>
          <w:rFonts w:ascii="方正仿宋_GBK" w:hAnsi="仿宋" w:eastAsia="方正仿宋_GBK"/>
          <w:color w:val="auto"/>
          <w:sz w:val="24"/>
          <w:szCs w:val="24"/>
          <w:highlight w:val="none"/>
        </w:rPr>
      </w:pPr>
      <w:r>
        <w:rPr>
          <w:rFonts w:hint="eastAsia" w:ascii="方正仿宋_GBK" w:hAnsi="仿宋" w:eastAsia="方正仿宋_GBK" w:cs="Times New Roman"/>
          <w:color w:val="auto"/>
          <w:kern w:val="2"/>
          <w:sz w:val="24"/>
          <w:szCs w:val="24"/>
          <w:highlight w:val="none"/>
        </w:rPr>
        <w:t>7.6 如因包装、运输问题导致货物损毁、丢失或者品质下降，甲方有权要求降价、换货、拒收部分或整批货物，由此产生的费用和损失，均由乙方承担。</w:t>
      </w:r>
    </w:p>
    <w:p w14:paraId="03D3FEF2">
      <w:pPr>
        <w:adjustRightInd w:val="0"/>
        <w:snapToGrid w:val="0"/>
        <w:spacing w:line="400" w:lineRule="exact"/>
        <w:jc w:val="left"/>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8. 质量标准和保证</w:t>
      </w:r>
    </w:p>
    <w:p w14:paraId="681C9DB5">
      <w:pPr>
        <w:pStyle w:val="31"/>
        <w:spacing w:line="400" w:lineRule="exact"/>
        <w:jc w:val="left"/>
        <w:rPr>
          <w:rFonts w:ascii="方正仿宋_GBK" w:hAnsi="仿宋" w:eastAsia="方正仿宋_GBK"/>
          <w:b/>
          <w:color w:val="auto"/>
          <w:sz w:val="24"/>
          <w:szCs w:val="24"/>
          <w:highlight w:val="none"/>
        </w:rPr>
      </w:pPr>
      <w:r>
        <w:rPr>
          <w:rFonts w:hint="eastAsia" w:ascii="方正仿宋_GBK" w:hAnsi="仿宋" w:eastAsia="方正仿宋_GBK"/>
          <w:color w:val="auto"/>
          <w:sz w:val="24"/>
          <w:szCs w:val="24"/>
          <w:highlight w:val="none"/>
        </w:rPr>
        <w:t>8.1 质量标准</w:t>
      </w:r>
    </w:p>
    <w:p w14:paraId="6CBD7F0E">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（1）本合同下提供的货物应符合合同</w:t>
      </w:r>
      <w:r>
        <w:rPr>
          <w:rFonts w:hint="eastAsia" w:ascii="方正仿宋_GBK" w:hAnsi="仿宋" w:eastAsia="方正仿宋_GBK" w:cs="宋体"/>
          <w:color w:val="auto"/>
          <w:sz w:val="24"/>
          <w:szCs w:val="24"/>
          <w:highlight w:val="none"/>
        </w:rPr>
        <w:t>约定的品牌、规格型号、技术性能、配置、质量、数量等要求。</w:t>
      </w:r>
      <w:r>
        <w:rPr>
          <w:rFonts w:hint="eastAsia" w:ascii="方正仿宋_GBK" w:hAnsi="仿宋" w:eastAsia="方正仿宋_GBK"/>
          <w:color w:val="auto"/>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35E88DB">
      <w:pPr>
        <w:pStyle w:val="31"/>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（2）采用中华人民共和国法定计量单位。</w:t>
      </w:r>
    </w:p>
    <w:p w14:paraId="1EFAE24C">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（3）乙方所提供的货物应符合国家有关安全、环保、卫生的规定。</w:t>
      </w:r>
    </w:p>
    <w:p w14:paraId="344E8B03">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（4）乙方应向甲方提交所提供货物的技术文件，包括相应的中文技术文件，如：产品目录、图纸、照片、操作手册、使用说明、维护手册或服务指南等。上述文件应包装好随货物一同发运。</w:t>
      </w:r>
    </w:p>
    <w:p w14:paraId="6753C019">
      <w:pPr>
        <w:autoSpaceDE w:val="0"/>
        <w:autoSpaceDN w:val="0"/>
        <w:adjustRightInd w:val="0"/>
        <w:snapToGrid w:val="0"/>
        <w:spacing w:line="400" w:lineRule="exact"/>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8.2 保证</w:t>
      </w:r>
    </w:p>
    <w:p w14:paraId="12631B18">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（1）乙方应保证提供的货物完全符合合同规定的质量、规格和性能要求。乙方应保证货物在正确安装、正常使用和保养条件下，</w:t>
      </w:r>
      <w:r>
        <w:rPr>
          <w:rFonts w:hint="eastAsia" w:ascii="方正仿宋_GBK" w:hAnsi="仿宋" w:eastAsia="方正仿宋_GBK" w:cs="宋体"/>
          <w:color w:val="auto"/>
          <w:sz w:val="24"/>
          <w:szCs w:val="24"/>
          <w:highlight w:val="none"/>
        </w:rPr>
        <w:t>在其使用寿命期内具备合同约定的性能</w:t>
      </w:r>
      <w:r>
        <w:rPr>
          <w:rFonts w:hint="eastAsia" w:ascii="方正仿宋_GBK" w:hAnsi="仿宋" w:eastAsia="方正仿宋_GBK"/>
          <w:color w:val="auto"/>
          <w:sz w:val="24"/>
          <w:szCs w:val="24"/>
          <w:highlight w:val="none"/>
        </w:rPr>
        <w:t>。存在质量保证期的，货物最终交付验收合格后在【政府采购合同专用条款】规定或乙方书面承诺（两者以较长的为准）的质量保证期内，本保证保持有效。</w:t>
      </w:r>
    </w:p>
    <w:p w14:paraId="421EB014">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（2）在质量保证期内所发现的缺陷，甲方应尽快以书面形式通知乙方。</w:t>
      </w:r>
    </w:p>
    <w:p w14:paraId="2B162B9C">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（3）乙方收到通知后，应在【政府采购合同专用条款】规定的响应时间内免费维修或更换有缺陷的货物或部件。</w:t>
      </w:r>
    </w:p>
    <w:p w14:paraId="4A90AF70">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57D4B844">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（5）乙方在约定的时间内未能弥补缺陷，甲方可采取必要的补救措施，但其风险和费用将由乙方承担，甲方根据合同约定对乙方行使的其他权利不受影响。</w:t>
      </w:r>
    </w:p>
    <w:p w14:paraId="19A89200">
      <w:pPr>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9. 权利瑕疵担保</w:t>
      </w:r>
    </w:p>
    <w:p w14:paraId="5AFBF399">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9.1 乙方保证对其出售的货物享有合法的权利。</w:t>
      </w:r>
    </w:p>
    <w:p w14:paraId="44422969">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9.2 </w:t>
      </w:r>
      <w:r>
        <w:rPr>
          <w:rFonts w:hint="eastAsia" w:ascii="方正仿宋_GBK" w:hAnsi="仿宋" w:eastAsia="方正仿宋_GBK" w:cs="宋体"/>
          <w:color w:val="auto"/>
          <w:sz w:val="24"/>
          <w:szCs w:val="24"/>
          <w:highlight w:val="none"/>
        </w:rPr>
        <w:t>乙方保证在交付的货物上不存在抵押权等担保物权。</w:t>
      </w:r>
    </w:p>
    <w:p w14:paraId="18214F35">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9.3 如甲方使用上述货物构成对第三人侵权的，则由乙方承担全部责任。</w:t>
      </w:r>
    </w:p>
    <w:p w14:paraId="1181A22B">
      <w:p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10. 知识产权保护</w:t>
      </w:r>
    </w:p>
    <w:p w14:paraId="673EC21C">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10.1 乙方对其所销售的货物应当享有知识产权或经权利人合法授权，保证没有侵犯任何第三人的知识产权等权利。</w:t>
      </w:r>
      <w:bookmarkStart w:id="516" w:name="_Hlk163047038"/>
      <w:r>
        <w:rPr>
          <w:rFonts w:hint="eastAsia" w:ascii="方正仿宋_GBK" w:hAnsi="仿宋" w:eastAsia="方正仿宋_GBK"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516"/>
      <w:r>
        <w:rPr>
          <w:rFonts w:hint="eastAsia" w:ascii="方正仿宋_GBK" w:hAnsi="仿宋" w:eastAsia="方正仿宋_GBK"/>
          <w:color w:val="auto"/>
          <w:sz w:val="24"/>
          <w:szCs w:val="24"/>
          <w:highlight w:val="none"/>
        </w:rPr>
        <w:t>。</w:t>
      </w:r>
    </w:p>
    <w:p w14:paraId="0BD47D10">
      <w:p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11. 保密义务</w:t>
      </w:r>
    </w:p>
    <w:p w14:paraId="0204A25B">
      <w:pPr>
        <w:autoSpaceDE w:val="0"/>
        <w:autoSpaceDN w:val="0"/>
        <w:adjustRightInd w:val="0"/>
        <w:snapToGrid w:val="0"/>
        <w:spacing w:line="400" w:lineRule="exact"/>
        <w:ind w:firstLine="480" w:firstLineChars="200"/>
        <w:jc w:val="left"/>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K" w:hAnsi="仿宋" w:eastAsia="方正仿宋_GBK" w:cs="宋体"/>
          <w:bCs/>
          <w:color w:val="auto"/>
          <w:sz w:val="24"/>
          <w:szCs w:val="24"/>
          <w:highlight w:val="none"/>
        </w:rPr>
        <w:t>【政府采购合同专用条款】</w:t>
      </w:r>
      <w:r>
        <w:rPr>
          <w:rFonts w:hint="eastAsia" w:ascii="方正仿宋_GBK" w:hAnsi="仿宋" w:eastAsia="方正仿宋_GBK" w:cs="宋体"/>
          <w:color w:val="auto"/>
          <w:sz w:val="24"/>
          <w:szCs w:val="24"/>
          <w:highlight w:val="none"/>
        </w:rPr>
        <w:t>中约定。</w:t>
      </w:r>
    </w:p>
    <w:p w14:paraId="3C600C5D">
      <w:p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12. 合同价款支付</w:t>
      </w:r>
    </w:p>
    <w:p w14:paraId="3B9E2F06">
      <w:pPr>
        <w:adjustRightInd w:val="0"/>
        <w:snapToGrid w:val="0"/>
        <w:spacing w:line="400" w:lineRule="exact"/>
        <w:ind w:firstLine="480" w:firstLineChars="200"/>
        <w:jc w:val="left"/>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12.1 合同价款支付按照国库集中支付制度及财政管理相关规定执行。</w:t>
      </w:r>
      <w:bookmarkStart w:id="517" w:name="_Toc167658459"/>
      <w:bookmarkStart w:id="518" w:name="_Toc167658908"/>
    </w:p>
    <w:p w14:paraId="001C0520">
      <w:pPr>
        <w:adjustRightInd w:val="0"/>
        <w:snapToGrid w:val="0"/>
        <w:spacing w:line="400" w:lineRule="exact"/>
        <w:ind w:firstLine="480" w:firstLineChars="200"/>
        <w:jc w:val="left"/>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12.2 对于满足合同约定支付条件的，甲方原则上应当自收到发票后及时将资金支付到合同约定的乙方账户。具体合同价款支付时间在【政府采购合同专用条款】中约定。</w:t>
      </w:r>
      <w:bookmarkEnd w:id="517"/>
      <w:bookmarkEnd w:id="518"/>
    </w:p>
    <w:p w14:paraId="6EC4FEBD">
      <w:pPr>
        <w:pStyle w:val="2"/>
        <w:spacing w:line="400" w:lineRule="exac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13. 履约保证金</w:t>
      </w:r>
    </w:p>
    <w:p w14:paraId="7DD819F1">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13.1 </w:t>
      </w:r>
      <w:r>
        <w:rPr>
          <w:rFonts w:hint="eastAsia" w:ascii="方正仿宋_GBK" w:hAnsi="仿宋" w:eastAsia="方正仿宋_GBK" w:cs="宋体"/>
          <w:color w:val="auto"/>
          <w:sz w:val="24"/>
          <w:szCs w:val="24"/>
          <w:highlight w:val="none"/>
        </w:rPr>
        <w:t>乙方应当以银行转账或者金融机构、担保机构出具的保函等非现金形式提交。</w:t>
      </w:r>
    </w:p>
    <w:p w14:paraId="7E827688">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13.2 如果乙方出现</w:t>
      </w:r>
      <w:r>
        <w:rPr>
          <w:rFonts w:hint="eastAsia" w:ascii="方正仿宋_GBK" w:hAnsi="仿宋" w:eastAsia="方正仿宋_GBK" w:cs="宋体"/>
          <w:bCs/>
          <w:color w:val="auto"/>
          <w:sz w:val="24"/>
          <w:szCs w:val="24"/>
          <w:highlight w:val="none"/>
        </w:rPr>
        <w:t>【政府采购合同专用条款】</w:t>
      </w:r>
      <w:r>
        <w:rPr>
          <w:rFonts w:hint="eastAsia" w:ascii="方正仿宋_GBK" w:hAnsi="仿宋" w:eastAsia="方正仿宋_GBK" w:cs="宋体"/>
          <w:color w:val="auto"/>
          <w:sz w:val="24"/>
          <w:szCs w:val="24"/>
          <w:highlight w:val="none"/>
        </w:rPr>
        <w:t>约定情形的</w:t>
      </w:r>
      <w:r>
        <w:rPr>
          <w:rFonts w:hint="eastAsia" w:ascii="方正仿宋_GBK" w:hAnsi="仿宋" w:eastAsia="方正仿宋_GBK"/>
          <w:color w:val="auto"/>
          <w:sz w:val="24"/>
          <w:szCs w:val="24"/>
          <w:highlight w:val="none"/>
        </w:rPr>
        <w:t>，履约保证金不予退还；如果乙方未能按合同约定全面履行义务，甲方有权从履约保证金中取得补偿或赔偿，且不影响甲方要求乙方承担合同约定的超过履约保证金的违约责任的权利。</w:t>
      </w:r>
    </w:p>
    <w:p w14:paraId="37F3BAC7">
      <w:pPr>
        <w:spacing w:line="400" w:lineRule="exact"/>
        <w:ind w:firstLine="42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13.3 甲方在项目通过验收后按照【政府采购合同专用条款】规定的时间内将履约保证金退还乙方。</w:t>
      </w:r>
    </w:p>
    <w:p w14:paraId="708F59B0">
      <w:pPr>
        <w:autoSpaceDE w:val="0"/>
        <w:autoSpaceDN w:val="0"/>
        <w:adjustRightInd w:val="0"/>
        <w:snapToGrid w:val="0"/>
        <w:spacing w:line="400" w:lineRule="exact"/>
        <w:jc w:val="left"/>
        <w:rPr>
          <w:rFonts w:ascii="方正仿宋_GBK" w:hAnsi="仿宋" w:eastAsia="方正仿宋_GBK"/>
          <w:b/>
          <w:color w:val="auto"/>
          <w:sz w:val="24"/>
          <w:szCs w:val="24"/>
          <w:highlight w:val="none"/>
        </w:rPr>
      </w:pPr>
      <w:r>
        <w:rPr>
          <w:rFonts w:hint="eastAsia" w:ascii="方正仿宋_GBK" w:hAnsi="仿宋" w:eastAsia="方正仿宋_GBK"/>
          <w:b/>
          <w:bCs/>
          <w:color w:val="auto"/>
          <w:sz w:val="24"/>
          <w:szCs w:val="24"/>
          <w:highlight w:val="none"/>
        </w:rPr>
        <w:t xml:space="preserve">14. </w:t>
      </w:r>
      <w:r>
        <w:rPr>
          <w:rFonts w:hint="eastAsia" w:ascii="方正仿宋_GBK" w:hAnsi="仿宋" w:eastAsia="方正仿宋_GBK"/>
          <w:b/>
          <w:color w:val="auto"/>
          <w:sz w:val="24"/>
          <w:szCs w:val="24"/>
          <w:highlight w:val="none"/>
        </w:rPr>
        <w:t>售后服务</w:t>
      </w:r>
    </w:p>
    <w:p w14:paraId="1F3D0CAB">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14.1 除项目不涉及或采购活动中明确约定无须承担外，乙方还应提供下列服务：</w:t>
      </w:r>
    </w:p>
    <w:p w14:paraId="544F943D">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（1）货物的现场移动、安装、调试、启动监督及技术支持；</w:t>
      </w:r>
    </w:p>
    <w:p w14:paraId="0620CEC9">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（2）提供货物组装和维修所需的专用工具和辅助材料；</w:t>
      </w:r>
    </w:p>
    <w:p w14:paraId="7998C109">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（3）在</w:t>
      </w:r>
      <w:r>
        <w:rPr>
          <w:rFonts w:hint="eastAsia" w:ascii="方正仿宋_GBK" w:hAnsi="仿宋" w:eastAsia="方正仿宋_GBK" w:cs="宋体"/>
          <w:bCs/>
          <w:color w:val="auto"/>
          <w:sz w:val="24"/>
          <w:szCs w:val="24"/>
          <w:highlight w:val="none"/>
        </w:rPr>
        <w:t>【政府采购合同专用条款】</w:t>
      </w:r>
      <w:r>
        <w:rPr>
          <w:rFonts w:hint="eastAsia" w:ascii="方正仿宋_GBK" w:hAnsi="仿宋" w:eastAsia="方正仿宋_GBK"/>
          <w:color w:val="auto"/>
          <w:sz w:val="24"/>
          <w:szCs w:val="24"/>
          <w:highlight w:val="none"/>
        </w:rPr>
        <w:t>约定的期限内对所有的货物实施运行监督、维修，但前提条件是该服务并不能免除乙方在质量保证期内所承担的义务；</w:t>
      </w:r>
    </w:p>
    <w:p w14:paraId="109EC5B3">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（4）在制造商所在地或指定现场就货物的安装、启动、运营、维护、废弃处置等对甲方操作人员进行培训</w:t>
      </w:r>
      <w:r>
        <w:rPr>
          <w:rFonts w:hint="eastAsia" w:ascii="方正仿宋_GBK" w:hAnsi="仿宋" w:eastAsia="方正仿宋_GBK" w:cs="宋体"/>
          <w:color w:val="auto"/>
          <w:sz w:val="24"/>
          <w:szCs w:val="24"/>
          <w:highlight w:val="none"/>
        </w:rPr>
        <w:t>；</w:t>
      </w:r>
    </w:p>
    <w:p w14:paraId="7AAAFA9B">
      <w:pPr>
        <w:pStyle w:val="218"/>
        <w:ind w:firstLine="480"/>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（5）依照法律、行政法规的规定或者按照</w:t>
      </w:r>
      <w:r>
        <w:rPr>
          <w:rFonts w:hint="eastAsia" w:ascii="方正仿宋_GBK" w:hAnsi="仿宋" w:eastAsia="方正仿宋_GBK" w:cs="宋体"/>
          <w:bCs/>
          <w:color w:val="auto"/>
          <w:sz w:val="24"/>
          <w:szCs w:val="24"/>
          <w:highlight w:val="none"/>
        </w:rPr>
        <w:t>【政府采购合同专用条款】</w:t>
      </w:r>
      <w:r>
        <w:rPr>
          <w:rFonts w:hint="eastAsia" w:ascii="方正仿宋_GBK" w:hAnsi="仿宋" w:eastAsia="方正仿宋_GBK" w:cs="宋体"/>
          <w:color w:val="auto"/>
          <w:sz w:val="24"/>
          <w:szCs w:val="24"/>
          <w:highlight w:val="none"/>
        </w:rPr>
        <w:t>约定，货物在有效使用年限届满后应予回收的，乙方负有自行或者委托第三人对货物予以回收的义务；</w:t>
      </w:r>
    </w:p>
    <w:p w14:paraId="58FD7F91">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（6）【政府采购合同专用条款】规定由乙方提供的其他服务。</w:t>
      </w:r>
    </w:p>
    <w:p w14:paraId="038C3FB3">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14.2 乙方提供的售后服务的费用已包含在合同价款中，甲方不再另行支付。</w:t>
      </w:r>
    </w:p>
    <w:p w14:paraId="2B83F190">
      <w:pPr>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15. 违约责任</w:t>
      </w:r>
    </w:p>
    <w:p w14:paraId="3928E161">
      <w:pPr>
        <w:adjustRightInd w:val="0"/>
        <w:snapToGrid w:val="0"/>
        <w:spacing w:line="400" w:lineRule="exact"/>
        <w:ind w:firstLine="480" w:firstLineChars="200"/>
        <w:jc w:val="left"/>
        <w:rPr>
          <w:rFonts w:ascii="方正仿宋_GBK" w:hAnsi="仿宋" w:eastAsia="方正仿宋_GBK"/>
          <w:bCs/>
          <w:color w:val="auto"/>
          <w:sz w:val="24"/>
          <w:szCs w:val="24"/>
          <w:highlight w:val="none"/>
        </w:rPr>
      </w:pPr>
      <w:r>
        <w:rPr>
          <w:rFonts w:hint="eastAsia" w:ascii="方正仿宋_GBK" w:hAnsi="仿宋" w:eastAsia="方正仿宋_GBK"/>
          <w:bCs/>
          <w:color w:val="auto"/>
          <w:sz w:val="24"/>
          <w:szCs w:val="24"/>
          <w:highlight w:val="none"/>
        </w:rPr>
        <w:t>15.1质量瑕疵的违约责任</w:t>
      </w:r>
    </w:p>
    <w:p w14:paraId="69A9BF30">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乙方提供的产品不符合合同约定的质量标准或存在产品质量缺陷，甲方有权要求乙方根据【政府采购合同专用条款】</w:t>
      </w:r>
      <w:r>
        <w:rPr>
          <w:rFonts w:hint="eastAsia" w:ascii="方正仿宋_GBK" w:hAnsi="仿宋" w:eastAsia="方正仿宋_GBK"/>
          <w:bCs/>
          <w:color w:val="auto"/>
          <w:sz w:val="24"/>
          <w:szCs w:val="24"/>
          <w:highlight w:val="none"/>
        </w:rPr>
        <w:t>要求</w:t>
      </w:r>
      <w:r>
        <w:rPr>
          <w:rFonts w:hint="eastAsia" w:ascii="方正仿宋_GBK" w:hAnsi="仿宋" w:eastAsia="方正仿宋_GBK"/>
          <w:color w:val="auto"/>
          <w:sz w:val="24"/>
          <w:szCs w:val="24"/>
          <w:highlight w:val="none"/>
        </w:rPr>
        <w:t>及时修理、重作、更换，并承担由此给甲方造成的损失。</w:t>
      </w:r>
    </w:p>
    <w:p w14:paraId="0C058634">
      <w:pPr>
        <w:autoSpaceDE w:val="0"/>
        <w:autoSpaceDN w:val="0"/>
        <w:adjustRightInd w:val="0"/>
        <w:snapToGrid w:val="0"/>
        <w:spacing w:line="400" w:lineRule="exact"/>
        <w:ind w:firstLine="480" w:firstLineChars="200"/>
        <w:jc w:val="left"/>
        <w:rPr>
          <w:rFonts w:ascii="方正仿宋_GBK" w:hAnsi="仿宋" w:eastAsia="方正仿宋_GBK"/>
          <w:bCs/>
          <w:color w:val="auto"/>
          <w:sz w:val="24"/>
          <w:szCs w:val="24"/>
          <w:highlight w:val="none"/>
        </w:rPr>
      </w:pPr>
      <w:r>
        <w:rPr>
          <w:rFonts w:hint="eastAsia" w:ascii="方正仿宋_GBK" w:hAnsi="仿宋" w:eastAsia="方正仿宋_GBK"/>
          <w:bCs/>
          <w:color w:val="auto"/>
          <w:sz w:val="24"/>
          <w:szCs w:val="24"/>
          <w:highlight w:val="none"/>
        </w:rPr>
        <w:t>15.2 迟延交货的违约责任</w:t>
      </w:r>
    </w:p>
    <w:p w14:paraId="36FA1833">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2011A34">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62CB3E97">
      <w:pPr>
        <w:adjustRightInd w:val="0"/>
        <w:snapToGrid w:val="0"/>
        <w:spacing w:line="400" w:lineRule="exact"/>
        <w:ind w:firstLine="480" w:firstLineChars="200"/>
        <w:jc w:val="left"/>
        <w:rPr>
          <w:rFonts w:hint="default"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 xml:space="preserve">15.3 </w:t>
      </w:r>
      <w:r>
        <w:rPr>
          <w:rFonts w:hint="eastAsia" w:ascii="方正仿宋_GBK" w:hAnsi="方正仿宋_GBK" w:eastAsia="方正仿宋_GBK" w:cs="方正仿宋_GBK"/>
          <w:color w:val="auto"/>
          <w:sz w:val="24"/>
          <w:szCs w:val="24"/>
          <w:highlight w:val="none"/>
          <w:lang w:eastAsia="zh-CN"/>
        </w:rPr>
        <w:t>整改时限和延迟整改违约责任</w:t>
      </w:r>
      <w:r>
        <w:rPr>
          <w:rFonts w:hint="eastAsia" w:ascii="方正仿宋_GBK" w:hAnsi="方正仿宋_GBK" w:eastAsia="方正仿宋_GBK" w:cs="方正仿宋_GBK"/>
          <w:color w:val="auto"/>
          <w:sz w:val="24"/>
          <w:szCs w:val="24"/>
          <w:highlight w:val="none"/>
          <w:lang w:val="en-US" w:eastAsia="zh-CN"/>
        </w:rPr>
        <w:t>按【政府采购合同专用条款】规定执行。</w:t>
      </w:r>
    </w:p>
    <w:p w14:paraId="1EE38137">
      <w:pPr>
        <w:adjustRightInd w:val="0"/>
        <w:snapToGrid w:val="0"/>
        <w:spacing w:line="400" w:lineRule="exact"/>
        <w:ind w:firstLine="480" w:firstLineChars="200"/>
        <w:jc w:val="lef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15.4 到货验收、初步验收迟延违约责任和到货验收、初步验收、最终验收未通过</w:t>
      </w:r>
      <w:r>
        <w:rPr>
          <w:rFonts w:hint="eastAsia" w:ascii="方正仿宋_GBK" w:hAnsi="方正仿宋_GBK" w:eastAsia="方正仿宋_GBK" w:cs="方正仿宋_GBK"/>
          <w:color w:val="auto"/>
          <w:sz w:val="24"/>
          <w:szCs w:val="24"/>
          <w:highlight w:val="none"/>
          <w:lang w:eastAsia="zh-CN"/>
        </w:rPr>
        <w:t>违约责任</w:t>
      </w:r>
      <w:r>
        <w:rPr>
          <w:rFonts w:hint="eastAsia" w:ascii="方正仿宋_GBK" w:hAnsi="方正仿宋_GBK" w:eastAsia="方正仿宋_GBK" w:cs="方正仿宋_GBK"/>
          <w:color w:val="auto"/>
          <w:sz w:val="24"/>
          <w:szCs w:val="24"/>
          <w:highlight w:val="none"/>
          <w:lang w:val="en-US" w:eastAsia="zh-CN"/>
        </w:rPr>
        <w:t>按【政府采购合同专用条款】规定执行。</w:t>
      </w:r>
    </w:p>
    <w:p w14:paraId="25C70DF1">
      <w:pPr>
        <w:adjustRightInd w:val="0"/>
        <w:snapToGrid w:val="0"/>
        <w:spacing w:line="400" w:lineRule="exact"/>
        <w:ind w:firstLine="480" w:firstLineChars="20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15.5 根据项目需要设定的违约责任按【政府采购合同专用条款】规定执行。</w:t>
      </w:r>
    </w:p>
    <w:p w14:paraId="720021F1">
      <w:pPr>
        <w:adjustRightInd w:val="0"/>
        <w:snapToGrid w:val="0"/>
        <w:spacing w:line="400" w:lineRule="exact"/>
        <w:ind w:firstLine="480"/>
        <w:jc w:val="lef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15.6 产生根本违约责任的按【政府采购合同专用条款】规定执行。</w:t>
      </w:r>
    </w:p>
    <w:p w14:paraId="49C6F318">
      <w:pPr>
        <w:adjustRightInd w:val="0"/>
        <w:snapToGrid w:val="0"/>
        <w:spacing w:line="400" w:lineRule="exact"/>
        <w:ind w:firstLine="480"/>
        <w:jc w:val="lef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15.7 产生其他违约责任（前述违约责任未包含的其他违约情形）的按照【政府采购合同专用条款】规定执行。</w:t>
      </w:r>
    </w:p>
    <w:p w14:paraId="1C1C2137">
      <w:pPr>
        <w:pStyle w:val="57"/>
        <w:rPr>
          <w:rFonts w:hint="eastAsia"/>
          <w:color w:val="auto"/>
          <w:highlight w:val="none"/>
          <w:lang w:val="en-US" w:eastAsia="zh-CN"/>
        </w:rPr>
      </w:pPr>
    </w:p>
    <w:p w14:paraId="4AF361FD">
      <w:pPr>
        <w:spacing w:line="400" w:lineRule="exact"/>
        <w:ind w:firstLine="480" w:firstLineChars="200"/>
        <w:rPr>
          <w:rFonts w:hint="eastAsia" w:ascii="方正仿宋_GBK" w:hAnsi="宋体" w:eastAsia="方正仿宋_GBK" w:cs="Times New Roman"/>
          <w:color w:val="auto"/>
          <w:sz w:val="24"/>
          <w:szCs w:val="28"/>
          <w:highlight w:val="none"/>
          <w:lang w:eastAsia="zh-CN"/>
        </w:rPr>
      </w:pPr>
      <w:r>
        <w:rPr>
          <w:rFonts w:hint="eastAsia" w:ascii="方正仿宋_GBK" w:hAnsi="宋体" w:eastAsia="方正仿宋_GBK" w:cs="Times New Roman"/>
          <w:color w:val="auto"/>
          <w:sz w:val="24"/>
          <w:szCs w:val="28"/>
          <w:highlight w:val="none"/>
          <w:lang w:eastAsia="zh-CN"/>
        </w:rPr>
        <w:t>违约金计算规则：本项目</w:t>
      </w:r>
      <w:r>
        <w:rPr>
          <w:rFonts w:hint="eastAsia" w:ascii="方正仿宋_GBK" w:hAnsi="宋体" w:eastAsia="方正仿宋_GBK" w:cs="Times New Roman"/>
          <w:color w:val="auto"/>
          <w:sz w:val="24"/>
          <w:szCs w:val="28"/>
          <w:highlight w:val="none"/>
          <w:lang w:val="en-US" w:eastAsia="zh-CN"/>
        </w:rPr>
        <w:t>出现两种及以上违约情形，</w:t>
      </w:r>
      <w:r>
        <w:rPr>
          <w:rFonts w:hint="eastAsia" w:ascii="方正仿宋_GBK" w:hAnsi="宋体" w:eastAsia="方正仿宋_GBK" w:cs="Times New Roman"/>
          <w:color w:val="auto"/>
          <w:sz w:val="24"/>
          <w:szCs w:val="28"/>
          <w:highlight w:val="none"/>
          <w:lang w:eastAsia="zh-CN"/>
        </w:rPr>
        <w:t>违约金</w:t>
      </w:r>
      <w:r>
        <w:rPr>
          <w:rFonts w:hint="eastAsia" w:ascii="方正仿宋_GBK" w:hAnsi="宋体" w:eastAsia="方正仿宋_GBK" w:cs="Times New Roman"/>
          <w:color w:val="auto"/>
          <w:sz w:val="24"/>
          <w:szCs w:val="28"/>
          <w:highlight w:val="none"/>
          <w:lang w:val="en-US" w:eastAsia="zh-CN"/>
        </w:rPr>
        <w:t>相加</w:t>
      </w:r>
      <w:r>
        <w:rPr>
          <w:rFonts w:hint="eastAsia" w:ascii="方正仿宋_GBK" w:hAnsi="宋体" w:eastAsia="方正仿宋_GBK" w:cs="Times New Roman"/>
          <w:color w:val="auto"/>
          <w:sz w:val="24"/>
          <w:szCs w:val="28"/>
          <w:highlight w:val="none"/>
          <w:lang w:eastAsia="zh-CN"/>
        </w:rPr>
        <w:t>合并计算。</w:t>
      </w:r>
    </w:p>
    <w:p w14:paraId="78BB18FB">
      <w:pPr>
        <w:numPr>
          <w:ilvl w:val="0"/>
          <w:numId w:val="21"/>
        </w:numPr>
        <w:autoSpaceDE w:val="0"/>
        <w:autoSpaceDN w:val="0"/>
        <w:adjustRightInd w:val="0"/>
        <w:snapToGrid w:val="0"/>
        <w:spacing w:line="400" w:lineRule="exact"/>
        <w:jc w:val="left"/>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合同变更、中止与终止</w:t>
      </w:r>
    </w:p>
    <w:p w14:paraId="3781C63E">
      <w:pPr>
        <w:adjustRightInd w:val="0"/>
        <w:snapToGrid w:val="0"/>
        <w:spacing w:line="400" w:lineRule="exact"/>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    16.1合同的变更</w:t>
      </w:r>
    </w:p>
    <w:p w14:paraId="2EEB349A">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75FC2A19">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16.2合同的中止</w:t>
      </w:r>
    </w:p>
    <w:p w14:paraId="7B0688DC">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（1）合同履行过程中因供应商就采购文件、采购过程或结果提起投诉的，甲方认为有必要的，可以中止合同的履行。</w:t>
      </w:r>
    </w:p>
    <w:p w14:paraId="4701214B">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AA89734">
      <w:pPr>
        <w:pStyle w:val="218"/>
        <w:ind w:firstLine="480"/>
        <w:jc w:val="both"/>
        <w:rPr>
          <w:rFonts w:ascii="方正仿宋_GBK" w:hAnsi="仿宋" w:eastAsia="方正仿宋_GBK"/>
          <w:color w:val="auto"/>
          <w:sz w:val="24"/>
          <w:szCs w:val="24"/>
          <w:highlight w:val="none"/>
        </w:rPr>
      </w:pPr>
      <w:r>
        <w:rPr>
          <w:rFonts w:hint="eastAsia" w:ascii="方正仿宋_GBK" w:hAnsi="仿宋" w:eastAsia="方正仿宋_GBK" w:cs="宋体"/>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64EF5823">
      <w:pPr>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（4）甲方不得以行政区划调整、政府换届、机构或者职能调整以及相关责任人更替为由中止合同。</w:t>
      </w:r>
    </w:p>
    <w:p w14:paraId="177CC297">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16.3合同的终止</w:t>
      </w:r>
    </w:p>
    <w:p w14:paraId="6DC48E06">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（1）合同因有效期限届满而终止；</w:t>
      </w:r>
    </w:p>
    <w:p w14:paraId="20584995">
      <w:pPr>
        <w:snapToGrid w:val="0"/>
        <w:spacing w:line="400" w:lineRule="exact"/>
        <w:ind w:firstLine="480" w:firstLineChars="200"/>
        <w:rPr>
          <w:rFonts w:ascii="方正仿宋_GBK" w:hAnsi="仿宋" w:eastAsia="方正仿宋_GBK" w:cs="宋体"/>
          <w:color w:val="auto"/>
          <w:sz w:val="24"/>
          <w:szCs w:val="24"/>
          <w:highlight w:val="none"/>
        </w:rPr>
      </w:pPr>
      <w:r>
        <w:rPr>
          <w:rFonts w:hint="eastAsia" w:ascii="方正仿宋_GBK" w:hAnsi="仿宋" w:eastAsia="方正仿宋_GBK"/>
          <w:color w:val="auto"/>
          <w:sz w:val="24"/>
          <w:szCs w:val="24"/>
          <w:highlight w:val="none"/>
        </w:rPr>
        <w:t>（2）乙方未按合同约定履行，构成根本性违约的，甲方有权终止合同，</w:t>
      </w:r>
      <w:r>
        <w:rPr>
          <w:rFonts w:hint="eastAsia" w:ascii="方正仿宋_GBK" w:hAnsi="仿宋" w:eastAsia="方正仿宋_GBK" w:cs="宋体"/>
          <w:color w:val="auto"/>
          <w:sz w:val="24"/>
          <w:szCs w:val="24"/>
          <w:highlight w:val="none"/>
        </w:rPr>
        <w:t>并追究乙方的违约责任</w:t>
      </w:r>
      <w:r>
        <w:rPr>
          <w:rFonts w:hint="eastAsia" w:ascii="方正仿宋_GBK" w:hAnsi="仿宋" w:eastAsia="方正仿宋_GBK"/>
          <w:color w:val="auto"/>
          <w:sz w:val="24"/>
          <w:szCs w:val="24"/>
          <w:highlight w:val="none"/>
        </w:rPr>
        <w:t>。</w:t>
      </w:r>
    </w:p>
    <w:p w14:paraId="60E1B3BB">
      <w:pPr>
        <w:pStyle w:val="218"/>
        <w:ind w:firstLine="48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16.4 </w:t>
      </w:r>
      <w:r>
        <w:rPr>
          <w:rFonts w:hint="eastAsia" w:ascii="方正仿宋_GBK" w:hAnsi="仿宋" w:eastAsia="方正仿宋_GBK" w:cs="Times New Roman"/>
          <w:color w:val="auto"/>
          <w:kern w:val="2"/>
          <w:sz w:val="24"/>
          <w:szCs w:val="24"/>
          <w:highlight w:val="none"/>
        </w:rPr>
        <w:t>涉及国家利益、社会公共利益的情形</w:t>
      </w:r>
    </w:p>
    <w:p w14:paraId="240D8784">
      <w:pPr>
        <w:pStyle w:val="218"/>
        <w:ind w:firstLine="480"/>
        <w:jc w:val="both"/>
        <w:rPr>
          <w:rFonts w:ascii="方正仿宋_GBK" w:hAnsi="仿宋" w:eastAsia="方正仿宋_GBK"/>
          <w:color w:val="auto"/>
          <w:sz w:val="24"/>
          <w:szCs w:val="24"/>
          <w:highlight w:val="none"/>
        </w:rPr>
      </w:pPr>
      <w:r>
        <w:rPr>
          <w:rFonts w:hint="eastAsia" w:ascii="方正仿宋_GBK" w:hAnsi="仿宋" w:eastAsia="方正仿宋_GBK"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3B21167C">
      <w:p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17. 合同分包</w:t>
      </w:r>
    </w:p>
    <w:p w14:paraId="26305998">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17.1 乙方不得将合同转包给其他供应商。涉及合同分包的，乙方应根据采购文件和投标（响应）文件规定进行合同分包。</w:t>
      </w:r>
    </w:p>
    <w:p w14:paraId="74468FE3">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17.2 乙方执行政府采购政策向中小企业依法分包的，乙方应当按采购文件和投标（响应）文件签订分包意向协议，分包意向协议属于本合同组成部分。</w:t>
      </w:r>
    </w:p>
    <w:p w14:paraId="0F941DEF">
      <w:p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18. 不可抗力</w:t>
      </w:r>
    </w:p>
    <w:p w14:paraId="36C93574">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18.1 不可抗力是指合同双方不能预见、不能避免且不能克服的客观情况。</w:t>
      </w:r>
    </w:p>
    <w:p w14:paraId="5DAD3EF2">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18.2 任何一方对由于不可抗力造成的部分或全部不能履行合同不承担违约责任。但迟延履行后发生不可抗力的，不能免除责任。</w:t>
      </w:r>
    </w:p>
    <w:p w14:paraId="66BB9F35">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6CB899A">
      <w:pPr>
        <w:autoSpaceDE w:val="0"/>
        <w:autoSpaceDN w:val="0"/>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19. 解决争议的方法</w:t>
      </w:r>
    </w:p>
    <w:p w14:paraId="54AC7AE5">
      <w:pPr>
        <w:pStyle w:val="218"/>
        <w:ind w:firstLine="480"/>
        <w:jc w:val="both"/>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19.1 因本合同及合同有关事项发生的争议，由甲乙双方友好协商解决。协商不成时，可以向有关组织申请调解。合同一方或双方不愿调解或调解不成的，通过诉讼的方式解决争议。</w:t>
      </w:r>
    </w:p>
    <w:p w14:paraId="17496C76">
      <w:pPr>
        <w:pStyle w:val="218"/>
        <w:ind w:firstLine="480"/>
        <w:jc w:val="both"/>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19.2 通过诉讼方式解决的，可以在</w:t>
      </w:r>
      <w:r>
        <w:rPr>
          <w:rFonts w:hint="eastAsia" w:ascii="方正仿宋_GBK" w:hAnsi="仿宋" w:eastAsia="方正仿宋_GBK" w:cs="宋体"/>
          <w:bCs/>
          <w:color w:val="auto"/>
          <w:sz w:val="24"/>
          <w:szCs w:val="24"/>
          <w:highlight w:val="none"/>
        </w:rPr>
        <w:t>【政府采购合同专用条款】</w:t>
      </w:r>
      <w:r>
        <w:rPr>
          <w:rFonts w:hint="eastAsia" w:ascii="方正仿宋_GBK" w:hAnsi="仿宋" w:eastAsia="方正仿宋_GBK" w:cs="宋体"/>
          <w:color w:val="auto"/>
          <w:sz w:val="24"/>
          <w:szCs w:val="24"/>
          <w:highlight w:val="none"/>
        </w:rPr>
        <w:t>中进一步约定选择与争议有实际联系的地点的人民法院管辖，但管辖法院的约定不得违反级别管辖和专属管辖的规定。</w:t>
      </w:r>
    </w:p>
    <w:p w14:paraId="73995DCD">
      <w:pPr>
        <w:pStyle w:val="218"/>
        <w:ind w:firstLine="480"/>
        <w:jc w:val="both"/>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19.3 如甲乙双方有争议的事项不影响合同其他部分的履行，在争议解决期间，合同其他部分应当继续履行。</w:t>
      </w:r>
    </w:p>
    <w:p w14:paraId="503E32EF">
      <w:pPr>
        <w:autoSpaceDE w:val="0"/>
        <w:autoSpaceDN w:val="0"/>
        <w:adjustRightInd w:val="0"/>
        <w:snapToGrid w:val="0"/>
        <w:spacing w:line="400" w:lineRule="exact"/>
        <w:jc w:val="left"/>
        <w:rPr>
          <w:rFonts w:ascii="方正仿宋_GBK" w:hAnsi="仿宋" w:eastAsia="方正仿宋_GBK"/>
          <w:color w:val="auto"/>
          <w:sz w:val="24"/>
          <w:szCs w:val="24"/>
          <w:highlight w:val="none"/>
        </w:rPr>
      </w:pPr>
      <w:r>
        <w:rPr>
          <w:rFonts w:hint="eastAsia" w:ascii="方正仿宋_GBK" w:hAnsi="仿宋" w:eastAsia="方正仿宋_GBK"/>
          <w:b/>
          <w:color w:val="auto"/>
          <w:sz w:val="24"/>
          <w:szCs w:val="24"/>
          <w:highlight w:val="none"/>
        </w:rPr>
        <w:t>20. 政府采购政策</w:t>
      </w:r>
    </w:p>
    <w:p w14:paraId="5A8322D7">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 xml:space="preserve">20.1 </w:t>
      </w:r>
      <w:r>
        <w:rPr>
          <w:rFonts w:hint="eastAsia" w:ascii="方正仿宋_GBK" w:hAnsi="仿宋" w:eastAsia="方正仿宋_GBK" w:cs="宋体"/>
          <w:color w:val="auto"/>
          <w:sz w:val="24"/>
          <w:szCs w:val="24"/>
          <w:highlight w:val="none"/>
          <w:lang w:val="en-GB"/>
        </w:rPr>
        <w:t>本合同应当按照规定执行政府采购政策。</w:t>
      </w:r>
    </w:p>
    <w:p w14:paraId="2E71352F">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20.2 本合同依法执行政府采购政策的方式和内容，属于合同履约验收的范围。</w:t>
      </w:r>
      <w:r>
        <w:rPr>
          <w:rFonts w:hint="eastAsia" w:ascii="方正仿宋_GBK" w:hAnsi="仿宋" w:eastAsia="方正仿宋_GBK" w:cs="宋体"/>
          <w:color w:val="auto"/>
          <w:sz w:val="24"/>
          <w:szCs w:val="24"/>
          <w:highlight w:val="none"/>
        </w:rPr>
        <w:t>甲乙双方</w:t>
      </w:r>
      <w:r>
        <w:rPr>
          <w:rFonts w:hint="eastAsia" w:ascii="方正仿宋_GBK" w:hAnsi="仿宋" w:eastAsia="方正仿宋_GBK" w:cs="宋体"/>
          <w:color w:val="auto"/>
          <w:sz w:val="24"/>
          <w:szCs w:val="24"/>
          <w:highlight w:val="none"/>
          <w:lang w:val="en-GB"/>
        </w:rPr>
        <w:t>未按规定要求执行政府采购政策造成损失的</w:t>
      </w:r>
      <w:r>
        <w:rPr>
          <w:rFonts w:hint="eastAsia" w:ascii="方正仿宋_GBK" w:hAnsi="仿宋" w:eastAsia="方正仿宋_GBK"/>
          <w:color w:val="auto"/>
          <w:sz w:val="24"/>
          <w:szCs w:val="24"/>
          <w:highlight w:val="none"/>
        </w:rPr>
        <w:t>，有过错的一方应当承担赔偿责任，双方都有过错的，各自承担相应的责任。</w:t>
      </w:r>
    </w:p>
    <w:p w14:paraId="4D7033F7">
      <w:pPr>
        <w:autoSpaceDE w:val="0"/>
        <w:autoSpaceDN w:val="0"/>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C9028A2">
      <w:pPr>
        <w:autoSpaceDE w:val="0"/>
        <w:autoSpaceDN w:val="0"/>
        <w:adjustRightInd w:val="0"/>
        <w:snapToGrid w:val="0"/>
        <w:spacing w:line="400" w:lineRule="exact"/>
        <w:jc w:val="left"/>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21. 法律适用</w:t>
      </w:r>
    </w:p>
    <w:p w14:paraId="69302CC6">
      <w:pPr>
        <w:pStyle w:val="218"/>
        <w:ind w:firstLine="480"/>
        <w:jc w:val="both"/>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21.1 本合同的订立、生效、解释、履行及与本合同有关的争议解决，均适用法律、行政法规。</w:t>
      </w:r>
    </w:p>
    <w:p w14:paraId="20268169">
      <w:pPr>
        <w:pStyle w:val="218"/>
        <w:ind w:firstLine="480"/>
        <w:jc w:val="both"/>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21.2 本合同条款与法律、行政法规的强制性规定不一致的，双方当事人应按照法律、行政法规的强制性规定修改本合同的相关条款。</w:t>
      </w:r>
    </w:p>
    <w:p w14:paraId="29BDBF21">
      <w:pPr>
        <w:autoSpaceDE w:val="0"/>
        <w:autoSpaceDN w:val="0"/>
        <w:adjustRightInd w:val="0"/>
        <w:snapToGrid w:val="0"/>
        <w:spacing w:line="400" w:lineRule="exact"/>
        <w:jc w:val="left"/>
        <w:rPr>
          <w:rFonts w:ascii="方正仿宋_GBK" w:hAnsi="仿宋" w:eastAsia="方正仿宋_GBK"/>
          <w:b/>
          <w:color w:val="auto"/>
          <w:sz w:val="24"/>
          <w:szCs w:val="24"/>
          <w:highlight w:val="none"/>
        </w:rPr>
      </w:pPr>
      <w:r>
        <w:rPr>
          <w:rFonts w:hint="eastAsia" w:ascii="方正仿宋_GBK" w:hAnsi="仿宋" w:eastAsia="方正仿宋_GBK"/>
          <w:b/>
          <w:color w:val="auto"/>
          <w:sz w:val="24"/>
          <w:szCs w:val="24"/>
          <w:highlight w:val="none"/>
        </w:rPr>
        <w:t>22. 通知</w:t>
      </w:r>
    </w:p>
    <w:p w14:paraId="18B53A61">
      <w:pPr>
        <w:pStyle w:val="218"/>
        <w:ind w:firstLine="480"/>
        <w:jc w:val="both"/>
        <w:rPr>
          <w:rFonts w:ascii="方正仿宋_GBK" w:hAnsi="仿宋" w:eastAsia="方正仿宋_GBK" w:cs="宋体"/>
          <w:color w:val="auto"/>
          <w:sz w:val="24"/>
          <w:szCs w:val="24"/>
          <w:highlight w:val="none"/>
        </w:rPr>
      </w:pPr>
      <w:r>
        <w:rPr>
          <w:rFonts w:hint="eastAsia" w:ascii="方正仿宋_GBK" w:hAnsi="仿宋" w:eastAsia="方正仿宋_GBK" w:cs="宋体"/>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6BBE02E4">
      <w:pPr>
        <w:pStyle w:val="218"/>
        <w:ind w:firstLine="0" w:firstLineChars="0"/>
        <w:jc w:val="both"/>
        <w:rPr>
          <w:rFonts w:ascii="方正仿宋_GBK" w:hAnsi="仿宋" w:eastAsia="方正仿宋_GBK"/>
          <w:color w:val="auto"/>
          <w:sz w:val="24"/>
          <w:szCs w:val="24"/>
          <w:highlight w:val="none"/>
        </w:rPr>
      </w:pPr>
      <w:r>
        <w:rPr>
          <w:rFonts w:hint="eastAsia" w:ascii="方正仿宋_GBK" w:hAnsi="仿宋" w:eastAsia="方正仿宋_GBK"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320BF19E">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22.3本合同一方给另一方的通知均应采用书面形式，传真或快递送到本合同中规定的对方的地址和办理签收手续。</w:t>
      </w:r>
    </w:p>
    <w:p w14:paraId="751A720C">
      <w:pPr>
        <w:adjustRightInd w:val="0"/>
        <w:snapToGrid w:val="0"/>
        <w:spacing w:line="400" w:lineRule="exact"/>
        <w:ind w:firstLine="480" w:firstLineChars="200"/>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22.4通知以送达之日或通知书中规定的生效之日起生效，两者中以较迟之日为准。</w:t>
      </w:r>
    </w:p>
    <w:p w14:paraId="5C9DD68A">
      <w:pPr>
        <w:numPr>
          <w:ilvl w:val="0"/>
          <w:numId w:val="22"/>
        </w:numPr>
        <w:adjustRightInd w:val="0"/>
        <w:snapToGrid w:val="0"/>
        <w:spacing w:line="400" w:lineRule="exact"/>
        <w:jc w:val="left"/>
        <w:rPr>
          <w:rFonts w:ascii="方正仿宋_GBK" w:hAnsi="仿宋" w:eastAsia="方正仿宋_GBK"/>
          <w:b/>
          <w:bCs/>
          <w:color w:val="auto"/>
          <w:sz w:val="24"/>
          <w:szCs w:val="24"/>
          <w:highlight w:val="none"/>
        </w:rPr>
      </w:pPr>
      <w:r>
        <w:rPr>
          <w:rFonts w:hint="eastAsia" w:ascii="方正仿宋_GBK" w:hAnsi="仿宋" w:eastAsia="方正仿宋_GBK"/>
          <w:b/>
          <w:bCs/>
          <w:color w:val="auto"/>
          <w:sz w:val="24"/>
          <w:szCs w:val="24"/>
          <w:highlight w:val="none"/>
        </w:rPr>
        <w:t>合同未尽事项</w:t>
      </w:r>
    </w:p>
    <w:p w14:paraId="705CC458">
      <w:pPr>
        <w:adjustRightInd w:val="0"/>
        <w:snapToGrid w:val="0"/>
        <w:spacing w:line="400" w:lineRule="exact"/>
        <w:ind w:firstLine="480" w:firstLineChars="200"/>
        <w:jc w:val="left"/>
        <w:rPr>
          <w:rFonts w:ascii="方正仿宋_GBK" w:hAnsi="仿宋" w:eastAsia="方正仿宋_GBK"/>
          <w:bCs/>
          <w:color w:val="auto"/>
          <w:sz w:val="24"/>
          <w:szCs w:val="24"/>
          <w:highlight w:val="none"/>
        </w:rPr>
      </w:pPr>
      <w:r>
        <w:rPr>
          <w:rFonts w:hint="eastAsia" w:ascii="方正仿宋_GBK" w:hAnsi="仿宋" w:eastAsia="方正仿宋_GBK"/>
          <w:bCs/>
          <w:color w:val="auto"/>
          <w:sz w:val="24"/>
          <w:szCs w:val="24"/>
          <w:highlight w:val="none"/>
        </w:rPr>
        <w:t>23.1合同未尽事项见</w:t>
      </w:r>
      <w:r>
        <w:rPr>
          <w:rFonts w:hint="eastAsia" w:ascii="方正仿宋_GBK" w:hAnsi="仿宋" w:eastAsia="方正仿宋_GBK"/>
          <w:color w:val="auto"/>
          <w:sz w:val="24"/>
          <w:szCs w:val="24"/>
          <w:highlight w:val="none"/>
        </w:rPr>
        <w:t>【政府采购合同专用条款】</w:t>
      </w:r>
      <w:r>
        <w:rPr>
          <w:rFonts w:hint="eastAsia" w:ascii="方正仿宋_GBK" w:hAnsi="仿宋" w:eastAsia="方正仿宋_GBK"/>
          <w:bCs/>
          <w:color w:val="auto"/>
          <w:sz w:val="24"/>
          <w:szCs w:val="24"/>
          <w:highlight w:val="none"/>
        </w:rPr>
        <w:t>。</w:t>
      </w:r>
    </w:p>
    <w:p w14:paraId="1D59DB8A">
      <w:pPr>
        <w:adjustRightInd w:val="0"/>
        <w:snapToGrid w:val="0"/>
        <w:spacing w:line="400" w:lineRule="exact"/>
        <w:jc w:val="left"/>
        <w:rPr>
          <w:rFonts w:ascii="方正仿宋_GBK" w:hAnsi="仿宋" w:eastAsia="方正仿宋_GBK"/>
          <w:color w:val="auto"/>
          <w:sz w:val="24"/>
          <w:szCs w:val="24"/>
          <w:highlight w:val="none"/>
        </w:rPr>
      </w:pPr>
      <w:r>
        <w:rPr>
          <w:rFonts w:hint="eastAsia" w:ascii="方正仿宋_GBK" w:hAnsi="仿宋" w:eastAsia="方正仿宋_GBK"/>
          <w:bCs/>
          <w:color w:val="auto"/>
          <w:sz w:val="24"/>
          <w:szCs w:val="24"/>
          <w:highlight w:val="none"/>
        </w:rPr>
        <w:t xml:space="preserve">    23.2 合同附件与合同正文具有同等的法律效力。</w:t>
      </w:r>
      <w:bookmarkStart w:id="519" w:name="_Toc20313"/>
    </w:p>
    <w:p w14:paraId="564774D3">
      <w:pPr>
        <w:adjustRightInd w:val="0"/>
        <w:snapToGrid w:val="0"/>
        <w:jc w:val="center"/>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br w:type="page"/>
      </w:r>
    </w:p>
    <w:p w14:paraId="1D96EF01">
      <w:pPr>
        <w:pStyle w:val="5"/>
        <w:spacing w:before="260" w:after="260" w:line="240" w:lineRule="auto"/>
        <w:jc w:val="center"/>
        <w:rPr>
          <w:rFonts w:ascii="方正仿宋_GBK" w:hAnsi="黑体" w:eastAsia="方正仿宋_GBK"/>
          <w:b/>
          <w:bCs/>
          <w:color w:val="auto"/>
          <w:szCs w:val="28"/>
          <w:highlight w:val="none"/>
        </w:rPr>
      </w:pPr>
      <w:bookmarkStart w:id="520" w:name="_Toc167658909"/>
      <w:bookmarkStart w:id="521" w:name="_Toc167658460"/>
      <w:bookmarkStart w:id="522" w:name="_Toc7336"/>
      <w:r>
        <w:rPr>
          <w:rFonts w:hint="eastAsia" w:ascii="方正仿宋_GBK" w:hAnsi="黑体" w:eastAsia="方正仿宋_GBK"/>
          <w:b/>
          <w:bCs/>
          <w:color w:val="auto"/>
          <w:szCs w:val="28"/>
          <w:highlight w:val="none"/>
        </w:rPr>
        <w:t>第三节 政府采购合同专用条款</w:t>
      </w:r>
      <w:bookmarkEnd w:id="519"/>
      <w:bookmarkEnd w:id="520"/>
      <w:bookmarkEnd w:id="521"/>
      <w:bookmarkEnd w:id="522"/>
    </w:p>
    <w:p w14:paraId="0741EA73">
      <w:pPr>
        <w:rPr>
          <w:rFonts w:ascii="方正仿宋_GBK" w:eastAsia="方正仿宋_GBK"/>
          <w:iCs/>
          <w:color w:val="auto"/>
          <w:highlight w:val="none"/>
        </w:rPr>
      </w:pPr>
      <w:r>
        <w:rPr>
          <w:rFonts w:hint="eastAsia" w:ascii="方正仿宋_GBK" w:eastAsia="方正仿宋_GBK"/>
          <w:iCs/>
          <w:color w:val="auto"/>
          <w:highlight w:val="none"/>
        </w:rPr>
        <w:t>注：本节专用条款相关条款内容是对第二节通用条款的修改和补充，本节内容与第二节通用条款内容不一致的，以本节专用条款内容为准。</w:t>
      </w:r>
    </w:p>
    <w:tbl>
      <w:tblPr>
        <w:tblStyle w:val="58"/>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AD3F8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0DCC94C">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121C40B1">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第1.2（6）项</w:t>
            </w:r>
          </w:p>
        </w:tc>
        <w:tc>
          <w:tcPr>
            <w:tcW w:w="1742" w:type="dxa"/>
            <w:vAlign w:val="center"/>
          </w:tcPr>
          <w:p w14:paraId="5C23E68D">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联合体具体要求</w:t>
            </w:r>
          </w:p>
        </w:tc>
        <w:tc>
          <w:tcPr>
            <w:tcW w:w="5170" w:type="dxa"/>
            <w:vAlign w:val="center"/>
          </w:tcPr>
          <w:p w14:paraId="15B5880A">
            <w:pPr>
              <w:adjustRightInd w:val="0"/>
              <w:snapToGrid w:val="0"/>
              <w:jc w:val="left"/>
              <w:rPr>
                <w:rFonts w:ascii="方正仿宋_GBK" w:hAnsi="方正仿宋_GBK" w:eastAsia="方正仿宋_GBK" w:cs="方正仿宋_GBK"/>
                <w:i/>
                <w:color w:val="auto"/>
                <w:sz w:val="24"/>
                <w:szCs w:val="24"/>
                <w:highlight w:val="none"/>
              </w:rPr>
            </w:pPr>
          </w:p>
        </w:tc>
      </w:tr>
      <w:tr w14:paraId="417025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424C8F12">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3A400711">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第1.2（7）项</w:t>
            </w:r>
          </w:p>
        </w:tc>
        <w:tc>
          <w:tcPr>
            <w:tcW w:w="1742" w:type="dxa"/>
            <w:vAlign w:val="center"/>
          </w:tcPr>
          <w:p w14:paraId="7C90AFEC">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其他术语解释</w:t>
            </w:r>
          </w:p>
        </w:tc>
        <w:tc>
          <w:tcPr>
            <w:tcW w:w="5170" w:type="dxa"/>
            <w:vAlign w:val="center"/>
          </w:tcPr>
          <w:p w14:paraId="73AF6828">
            <w:pPr>
              <w:adjustRightInd w:val="0"/>
              <w:snapToGrid w:val="0"/>
              <w:jc w:val="left"/>
              <w:rPr>
                <w:rFonts w:ascii="方正仿宋_GBK" w:hAnsi="方正仿宋_GBK" w:eastAsia="方正仿宋_GBK" w:cs="方正仿宋_GBK"/>
                <w:color w:val="auto"/>
                <w:sz w:val="24"/>
                <w:szCs w:val="24"/>
                <w:highlight w:val="none"/>
              </w:rPr>
            </w:pPr>
          </w:p>
        </w:tc>
      </w:tr>
      <w:tr w14:paraId="300DCB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2BFC9D9">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712BA255">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第4.4款</w:t>
            </w:r>
          </w:p>
        </w:tc>
        <w:tc>
          <w:tcPr>
            <w:tcW w:w="1742" w:type="dxa"/>
            <w:vAlign w:val="center"/>
          </w:tcPr>
          <w:p w14:paraId="0CF84451">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履约验收中甲方提出异议或作出说明的期限</w:t>
            </w:r>
          </w:p>
        </w:tc>
        <w:tc>
          <w:tcPr>
            <w:tcW w:w="5170" w:type="dxa"/>
            <w:vAlign w:val="center"/>
          </w:tcPr>
          <w:p w14:paraId="45E85311">
            <w:pPr>
              <w:adjustRightInd w:val="0"/>
              <w:snapToGrid w:val="0"/>
              <w:jc w:val="left"/>
              <w:rPr>
                <w:rFonts w:ascii="方正仿宋_GBK" w:hAnsi="方正仿宋_GBK" w:eastAsia="方正仿宋_GBK" w:cs="方正仿宋_GBK"/>
                <w:color w:val="auto"/>
                <w:sz w:val="24"/>
                <w:szCs w:val="24"/>
                <w:highlight w:val="none"/>
              </w:rPr>
            </w:pPr>
          </w:p>
        </w:tc>
      </w:tr>
      <w:tr w14:paraId="2A092A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98800DD">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64692634">
            <w:pPr>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第6.1款</w:t>
            </w:r>
          </w:p>
        </w:tc>
        <w:tc>
          <w:tcPr>
            <w:tcW w:w="1742" w:type="dxa"/>
            <w:vAlign w:val="center"/>
          </w:tcPr>
          <w:p w14:paraId="6944A164">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履行合同义务的顺序</w:t>
            </w:r>
          </w:p>
        </w:tc>
        <w:tc>
          <w:tcPr>
            <w:tcW w:w="5170" w:type="dxa"/>
            <w:vAlign w:val="center"/>
          </w:tcPr>
          <w:p w14:paraId="37BAAB84">
            <w:pPr>
              <w:adjustRightInd w:val="0"/>
              <w:snapToGrid w:val="0"/>
              <w:jc w:val="left"/>
              <w:rPr>
                <w:rFonts w:ascii="方正仿宋_GBK" w:hAnsi="方正仿宋_GBK" w:eastAsia="方正仿宋_GBK" w:cs="方正仿宋_GBK"/>
                <w:color w:val="auto"/>
                <w:sz w:val="24"/>
                <w:szCs w:val="24"/>
                <w:highlight w:val="none"/>
              </w:rPr>
            </w:pPr>
          </w:p>
        </w:tc>
      </w:tr>
      <w:tr w14:paraId="29D9FE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5EFD0BC5">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5BD6C2C0">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第7.1款</w:t>
            </w:r>
          </w:p>
        </w:tc>
        <w:tc>
          <w:tcPr>
            <w:tcW w:w="1742" w:type="dxa"/>
            <w:vAlign w:val="center"/>
          </w:tcPr>
          <w:p w14:paraId="19D27514">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包装特殊要求</w:t>
            </w:r>
          </w:p>
        </w:tc>
        <w:tc>
          <w:tcPr>
            <w:tcW w:w="5170" w:type="dxa"/>
            <w:vAlign w:val="center"/>
          </w:tcPr>
          <w:p w14:paraId="3E45E781">
            <w:pPr>
              <w:rPr>
                <w:rFonts w:ascii="方正仿宋_GBK" w:hAnsi="方正仿宋_GBK" w:eastAsia="方正仿宋_GBK" w:cs="方正仿宋_GBK"/>
                <w:color w:val="auto"/>
                <w:sz w:val="24"/>
                <w:szCs w:val="24"/>
                <w:highlight w:val="none"/>
              </w:rPr>
            </w:pPr>
          </w:p>
        </w:tc>
      </w:tr>
      <w:tr w14:paraId="5B4FD7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26682A3C">
            <w:pPr>
              <w:adjustRightInd w:val="0"/>
              <w:snapToGrid w:val="0"/>
              <w:jc w:val="center"/>
              <w:rPr>
                <w:rFonts w:ascii="方正仿宋_GBK" w:hAnsi="方正仿宋_GBK" w:eastAsia="方正仿宋_GBK" w:cs="方正仿宋_GBK"/>
                <w:color w:val="auto"/>
                <w:sz w:val="24"/>
                <w:szCs w:val="24"/>
                <w:highlight w:val="none"/>
              </w:rPr>
            </w:pPr>
          </w:p>
        </w:tc>
        <w:tc>
          <w:tcPr>
            <w:tcW w:w="1742" w:type="dxa"/>
            <w:vAlign w:val="center"/>
          </w:tcPr>
          <w:p w14:paraId="712F59B9">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指定现场</w:t>
            </w:r>
          </w:p>
        </w:tc>
        <w:tc>
          <w:tcPr>
            <w:tcW w:w="5170" w:type="dxa"/>
            <w:vAlign w:val="center"/>
          </w:tcPr>
          <w:p w14:paraId="4C9A0B42">
            <w:pPr>
              <w:rPr>
                <w:rFonts w:ascii="方正仿宋_GBK" w:hAnsi="方正仿宋_GBK" w:eastAsia="方正仿宋_GBK" w:cs="方正仿宋_GBK"/>
                <w:color w:val="auto"/>
                <w:sz w:val="24"/>
                <w:szCs w:val="24"/>
                <w:highlight w:val="none"/>
              </w:rPr>
            </w:pPr>
          </w:p>
        </w:tc>
      </w:tr>
      <w:tr w14:paraId="1EBA34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0377BC68">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59A53E9E">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第7.2款</w:t>
            </w:r>
          </w:p>
        </w:tc>
        <w:tc>
          <w:tcPr>
            <w:tcW w:w="1742" w:type="dxa"/>
            <w:vAlign w:val="center"/>
          </w:tcPr>
          <w:p w14:paraId="54688D36">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运输特殊要求</w:t>
            </w:r>
          </w:p>
        </w:tc>
        <w:tc>
          <w:tcPr>
            <w:tcW w:w="5170" w:type="dxa"/>
            <w:vAlign w:val="center"/>
          </w:tcPr>
          <w:p w14:paraId="61135A39">
            <w:pPr>
              <w:rPr>
                <w:rFonts w:ascii="方正仿宋_GBK" w:hAnsi="方正仿宋_GBK" w:eastAsia="方正仿宋_GBK" w:cs="方正仿宋_GBK"/>
                <w:color w:val="auto"/>
                <w:sz w:val="24"/>
                <w:szCs w:val="24"/>
                <w:highlight w:val="none"/>
              </w:rPr>
            </w:pPr>
          </w:p>
        </w:tc>
      </w:tr>
      <w:tr w14:paraId="73B343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3D861B1F">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0ED41E24">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第7.3款</w:t>
            </w:r>
          </w:p>
        </w:tc>
        <w:tc>
          <w:tcPr>
            <w:tcW w:w="1742" w:type="dxa"/>
            <w:vAlign w:val="center"/>
          </w:tcPr>
          <w:p w14:paraId="7ED92D2A">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保险要求</w:t>
            </w:r>
          </w:p>
        </w:tc>
        <w:tc>
          <w:tcPr>
            <w:tcW w:w="5170" w:type="dxa"/>
            <w:vAlign w:val="center"/>
          </w:tcPr>
          <w:p w14:paraId="7D08095F">
            <w:pPr>
              <w:rPr>
                <w:rFonts w:ascii="方正仿宋_GBK" w:hAnsi="方正仿宋_GBK" w:eastAsia="方正仿宋_GBK" w:cs="方正仿宋_GBK"/>
                <w:color w:val="auto"/>
                <w:sz w:val="24"/>
                <w:szCs w:val="24"/>
                <w:highlight w:val="none"/>
              </w:rPr>
            </w:pPr>
          </w:p>
        </w:tc>
      </w:tr>
      <w:tr w14:paraId="0A427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63B5A6D9">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770823B8">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第7.7款</w:t>
            </w:r>
          </w:p>
        </w:tc>
        <w:tc>
          <w:tcPr>
            <w:tcW w:w="1742" w:type="dxa"/>
            <w:vAlign w:val="center"/>
          </w:tcPr>
          <w:p w14:paraId="0A57CDBA">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交付要求</w:t>
            </w:r>
          </w:p>
        </w:tc>
        <w:tc>
          <w:tcPr>
            <w:tcW w:w="5170" w:type="dxa"/>
            <w:vAlign w:val="center"/>
          </w:tcPr>
          <w:p w14:paraId="658B2D4A">
            <w:pP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乙方交付货物</w:t>
            </w:r>
            <w:r>
              <w:rPr>
                <w:rFonts w:hint="eastAsia" w:ascii="方正仿宋_GBK" w:hAnsi="方正仿宋_GBK" w:eastAsia="方正仿宋_GBK" w:cs="方正仿宋_GBK"/>
                <w:color w:val="auto"/>
                <w:sz w:val="24"/>
                <w:szCs w:val="24"/>
                <w:highlight w:val="none"/>
                <w:lang w:val="en-US" w:eastAsia="zh-CN"/>
              </w:rPr>
              <w:t>和相关服务</w:t>
            </w:r>
            <w:r>
              <w:rPr>
                <w:rFonts w:hint="eastAsia" w:ascii="方正仿宋_GBK" w:hAnsi="方正仿宋_GBK" w:eastAsia="方正仿宋_GBK" w:cs="方正仿宋_GBK"/>
                <w:color w:val="auto"/>
                <w:sz w:val="24"/>
                <w:szCs w:val="24"/>
                <w:highlight w:val="none"/>
              </w:rPr>
              <w:t>前，应制定交付计划，交付计划内容包括但不限于交付时间、地点、交付方式、交付联系人等，交付计划经甲方同意后实施。</w:t>
            </w:r>
          </w:p>
        </w:tc>
      </w:tr>
      <w:tr w14:paraId="17746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EADA963">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4F26E6DD">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第8.2（1）项</w:t>
            </w:r>
          </w:p>
        </w:tc>
        <w:tc>
          <w:tcPr>
            <w:tcW w:w="1742" w:type="dxa"/>
            <w:vAlign w:val="center"/>
          </w:tcPr>
          <w:p w14:paraId="482D1FE5">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质量保证期</w:t>
            </w:r>
          </w:p>
        </w:tc>
        <w:tc>
          <w:tcPr>
            <w:tcW w:w="5170" w:type="dxa"/>
            <w:vAlign w:val="center"/>
          </w:tcPr>
          <w:p w14:paraId="0023EBDD">
            <w:pPr>
              <w:autoSpaceDE w:val="0"/>
              <w:autoSpaceDN w:val="0"/>
              <w:adjustRightInd w:val="0"/>
              <w:snapToGrid w:val="0"/>
              <w:jc w:val="left"/>
              <w:rPr>
                <w:rFonts w:ascii="方正仿宋_GBK" w:hAnsi="方正仿宋_GBK" w:eastAsia="方正仿宋_GBK" w:cs="方正仿宋_GBK"/>
                <w:color w:val="auto"/>
                <w:sz w:val="24"/>
                <w:szCs w:val="24"/>
                <w:highlight w:val="none"/>
              </w:rPr>
            </w:pPr>
          </w:p>
        </w:tc>
      </w:tr>
      <w:tr w14:paraId="2CAA2E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4283E1A">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49A57AFF">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第8.2（3）项</w:t>
            </w:r>
          </w:p>
        </w:tc>
        <w:tc>
          <w:tcPr>
            <w:tcW w:w="1742" w:type="dxa"/>
            <w:vAlign w:val="center"/>
          </w:tcPr>
          <w:p w14:paraId="77DC2F62">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货物质量缺陷</w:t>
            </w:r>
          </w:p>
          <w:p w14:paraId="0199F5B5">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响应时间</w:t>
            </w:r>
          </w:p>
        </w:tc>
        <w:tc>
          <w:tcPr>
            <w:tcW w:w="5170" w:type="dxa"/>
            <w:vAlign w:val="center"/>
          </w:tcPr>
          <w:p w14:paraId="1D8A3BB6">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甲方遇到使用及技术问题，电话咨询不能解决的，乙方应到达现场（近郊1小时内，远郊区2小时到达现场）进行处理，确保产品正常工作。当设备出现故障须</w:t>
            </w:r>
            <w:r>
              <w:rPr>
                <w:rFonts w:hint="eastAsia" w:ascii="方正仿宋_GBK" w:hAnsi="方正仿宋_GBK" w:eastAsia="方正仿宋_GBK" w:cs="方正仿宋_GBK"/>
                <w:color w:val="auto"/>
                <w:sz w:val="24"/>
                <w:szCs w:val="24"/>
                <w:highlight w:val="none"/>
                <w:lang w:val="en-US" w:eastAsia="zh-CN"/>
              </w:rPr>
              <w:t>4</w:t>
            </w:r>
            <w:r>
              <w:rPr>
                <w:rFonts w:hint="eastAsia" w:ascii="方正仿宋_GBK" w:hAnsi="方正仿宋_GBK" w:eastAsia="方正仿宋_GBK" w:cs="方正仿宋_GBK"/>
                <w:color w:val="auto"/>
                <w:sz w:val="24"/>
                <w:szCs w:val="24"/>
                <w:highlight w:val="none"/>
              </w:rPr>
              <w:t>小时内恢复正常使用。</w:t>
            </w:r>
          </w:p>
        </w:tc>
      </w:tr>
      <w:tr w14:paraId="3D8010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D5CFF14">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20F7A06E">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第10.2项</w:t>
            </w:r>
          </w:p>
        </w:tc>
        <w:tc>
          <w:tcPr>
            <w:tcW w:w="1742" w:type="dxa"/>
            <w:vAlign w:val="center"/>
          </w:tcPr>
          <w:p w14:paraId="625ACF7A">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知识产权保护</w:t>
            </w:r>
          </w:p>
        </w:tc>
        <w:tc>
          <w:tcPr>
            <w:tcW w:w="5170" w:type="dxa"/>
            <w:vAlign w:val="center"/>
          </w:tcPr>
          <w:p w14:paraId="4AAF66FB">
            <w:pP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甲方在中华人民共和国境内使用乙方提供的货物</w:t>
            </w:r>
            <w:r>
              <w:rPr>
                <w:rFonts w:hint="eastAsia" w:ascii="方正仿宋_GBK" w:hAnsi="方正仿宋_GBK" w:eastAsia="方正仿宋_GBK" w:cs="方正仿宋_GBK"/>
                <w:color w:val="auto"/>
                <w:sz w:val="24"/>
                <w:szCs w:val="24"/>
                <w:highlight w:val="none"/>
                <w:lang w:val="en-US" w:eastAsia="zh-CN"/>
              </w:rPr>
              <w:t>和相关</w:t>
            </w:r>
            <w:r>
              <w:rPr>
                <w:rFonts w:hint="eastAsia" w:ascii="方正仿宋_GBK" w:hAnsi="方正仿宋_GBK" w:eastAsia="方正仿宋_GBK" w:cs="方正仿宋_GBK"/>
                <w:color w:val="auto"/>
                <w:sz w:val="24"/>
                <w:szCs w:val="24"/>
                <w:highlight w:val="none"/>
              </w:rPr>
              <w:t>服务时免受第三方提出的侵犯其专利权或其它知识产权的起诉。如果第三方提出侵权指控，乙方应承担由此而引起的一切法律责任和费用。</w:t>
            </w:r>
          </w:p>
        </w:tc>
      </w:tr>
      <w:tr w14:paraId="3045D7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7CB6BE6">
            <w:pPr>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290A47BA">
            <w:pPr>
              <w:pStyle w:val="218"/>
              <w:widowControl w:val="0"/>
              <w:ind w:firstLine="0" w:firstLineChars="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第11.1款</w:t>
            </w:r>
          </w:p>
        </w:tc>
        <w:tc>
          <w:tcPr>
            <w:tcW w:w="1742" w:type="dxa"/>
            <w:vAlign w:val="center"/>
          </w:tcPr>
          <w:p w14:paraId="1B3B5D22">
            <w:pPr>
              <w:adjustRightInd w:val="0"/>
              <w:snapToGrid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其他应当保密的信息</w:t>
            </w:r>
          </w:p>
        </w:tc>
        <w:tc>
          <w:tcPr>
            <w:tcW w:w="5170" w:type="dxa"/>
            <w:vAlign w:val="center"/>
          </w:tcPr>
          <w:p w14:paraId="02DF2513">
            <w:pPr>
              <w:adjustRightInd w:val="0"/>
              <w:snapToGrid w:val="0"/>
              <w:jc w:val="left"/>
              <w:rPr>
                <w:rFonts w:ascii="方正仿宋_GBK" w:hAnsi="方正仿宋_GBK" w:eastAsia="方正仿宋_GBK" w:cs="方正仿宋_GBK"/>
                <w:color w:val="auto"/>
                <w:sz w:val="24"/>
                <w:szCs w:val="24"/>
                <w:highlight w:val="none"/>
              </w:rPr>
            </w:pPr>
          </w:p>
        </w:tc>
      </w:tr>
      <w:tr w14:paraId="4BF958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130DC207">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17F904CB">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第12.2款</w:t>
            </w:r>
          </w:p>
        </w:tc>
        <w:tc>
          <w:tcPr>
            <w:tcW w:w="1742" w:type="dxa"/>
            <w:vAlign w:val="center"/>
          </w:tcPr>
          <w:p w14:paraId="7BF61468">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合同价款支付</w:t>
            </w:r>
          </w:p>
        </w:tc>
        <w:tc>
          <w:tcPr>
            <w:tcW w:w="5170" w:type="dxa"/>
            <w:vAlign w:val="center"/>
          </w:tcPr>
          <w:p w14:paraId="230DCCAC">
            <w:pPr>
              <w:snapToGrid w:val="0"/>
              <w:spacing w:line="4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付款方式的约定：</w:t>
            </w:r>
          </w:p>
          <w:p w14:paraId="07A462B2">
            <w:pPr>
              <w:snapToGrid w:val="0"/>
              <w:spacing w:line="4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1.合同签订后，乙方向甲方提交合同金额50%金融机构、融资性担保机构出具的不可撤销见索即付独立预付款保函，并同时开具合同金额50%的发票，经甲方确认后向乙方支付合同金额50%的预付款。</w:t>
            </w:r>
          </w:p>
          <w:p w14:paraId="0AB2CB8F">
            <w:pPr>
              <w:snapToGrid w:val="0"/>
              <w:spacing w:line="4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注：乙方应保证上述要求提交的保函在设备初步验收合格之前均在有效期内；若提交的保函有效期届满前15日未完成设备初步验收并达到合格标准，乙方应在保函有效期届满前10日提交新的保函（有效期应满足合同履行期限要求），否则甲方有权终止合同，并要求乙方对甲方造成的损失予以赔偿。</w:t>
            </w:r>
          </w:p>
          <w:p w14:paraId="33B15FB6">
            <w:pPr>
              <w:snapToGrid w:val="0"/>
              <w:spacing w:line="40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2.设备初步验收合格后，乙方提出付款申请，同时开具合同金额50%的发票，经甲方确认后向乙方支付合同金额50%的</w:t>
            </w:r>
            <w:r>
              <w:rPr>
                <w:rFonts w:hint="eastAsia" w:ascii="方正仿宋_GBK" w:hAnsi="宋体" w:eastAsia="方正仿宋_GBK"/>
                <w:color w:val="auto"/>
                <w:sz w:val="24"/>
                <w:szCs w:val="24"/>
                <w:highlight w:val="none"/>
                <w:lang w:val="en-US" w:eastAsia="zh-CN"/>
              </w:rPr>
              <w:t>合同金额</w:t>
            </w:r>
            <w:r>
              <w:rPr>
                <w:rFonts w:hint="eastAsia" w:ascii="方正仿宋_GBK" w:hAnsi="方正仿宋_GBK" w:eastAsia="方正仿宋_GBK" w:cs="方正仿宋_GBK"/>
                <w:color w:val="auto"/>
                <w:sz w:val="24"/>
                <w:szCs w:val="24"/>
                <w:highlight w:val="none"/>
              </w:rPr>
              <w:t>，同时退还其提交的合同金额50%的保函。</w:t>
            </w:r>
          </w:p>
        </w:tc>
      </w:tr>
      <w:tr w14:paraId="6F41EC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875AEE5">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34FBFEBA">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第13.3款</w:t>
            </w:r>
          </w:p>
        </w:tc>
        <w:tc>
          <w:tcPr>
            <w:tcW w:w="1742" w:type="dxa"/>
            <w:vAlign w:val="center"/>
          </w:tcPr>
          <w:p w14:paraId="2DA893C4">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履约保证金退还时间及逾期退还的违约金</w:t>
            </w:r>
          </w:p>
        </w:tc>
        <w:tc>
          <w:tcPr>
            <w:tcW w:w="5170" w:type="dxa"/>
            <w:vAlign w:val="center"/>
          </w:tcPr>
          <w:p w14:paraId="4FBC1A88">
            <w:pPr>
              <w:snapToGrid w:val="0"/>
              <w:spacing w:line="4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1.</w:t>
            </w:r>
            <w:r>
              <w:rPr>
                <w:rFonts w:hint="eastAsia" w:ascii="方正仿宋_GBK" w:hAnsi="方正仿宋_GBK" w:eastAsia="方正仿宋_GBK" w:cs="方正仿宋_GBK"/>
                <w:color w:val="auto"/>
                <w:sz w:val="24"/>
                <w:szCs w:val="24"/>
                <w:highlight w:val="none"/>
              </w:rPr>
              <w:t>乙方应在中标通知书发出后，合同签订前以银行转账或者金融机构、融资性担保机构出具不可撤销见索即付的独立保函等非现金形式向甲方缴纳中标金额的 10% 作为履约保证金。</w:t>
            </w:r>
          </w:p>
          <w:p w14:paraId="22457D15">
            <w:pPr>
              <w:snapToGrid w:val="0"/>
              <w:spacing w:line="4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2.</w:t>
            </w:r>
            <w:r>
              <w:rPr>
                <w:rFonts w:hint="eastAsia" w:ascii="方正仿宋_GBK" w:hAnsi="方正仿宋_GBK" w:eastAsia="方正仿宋_GBK" w:cs="方正仿宋_GBK"/>
                <w:color w:val="auto"/>
                <w:sz w:val="24"/>
                <w:szCs w:val="24"/>
                <w:highlight w:val="none"/>
              </w:rPr>
              <w:t>若乙方未按合同约定履行义务（注意：合同约定义务完成包括但不限于完成货物交付、货物质量保证期、免费运维期内提供服务等所有合同约定的义务），甲方有权从履约保证金中扣除损失赔偿费、违约金、为维护权利所产生的所有费用，若履约保证金不足以抵扣，乙方还应当对超过部分予以赔偿。</w:t>
            </w:r>
          </w:p>
          <w:p w14:paraId="556C3FA7">
            <w:pPr>
              <w:snapToGrid w:val="0"/>
              <w:spacing w:line="4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3.</w:t>
            </w:r>
            <w:r>
              <w:rPr>
                <w:rFonts w:hint="eastAsia" w:ascii="方正仿宋_GBK" w:hAnsi="方正仿宋_GBK" w:eastAsia="方正仿宋_GBK" w:cs="方正仿宋_GBK"/>
                <w:color w:val="auto"/>
                <w:sz w:val="24"/>
                <w:szCs w:val="24"/>
                <w:highlight w:val="none"/>
              </w:rPr>
              <w:t>项目初步验收后，原则上甲方按照乙方承诺的</w:t>
            </w:r>
            <w:r>
              <w:rPr>
                <w:rFonts w:hint="eastAsia" w:ascii="方正仿宋_GBK" w:hAnsi="宋体" w:eastAsia="方正仿宋_GBK" w:cs="Times New Roman"/>
                <w:color w:val="auto"/>
                <w:kern w:val="2"/>
                <w:sz w:val="24"/>
                <w:szCs w:val="24"/>
                <w:highlight w:val="none"/>
                <w:lang w:val="en-US" w:eastAsia="zh-CN" w:bidi="ar-SA"/>
              </w:rPr>
              <w:t>货物质量保证期（免费运维期）</w:t>
            </w:r>
            <w:r>
              <w:rPr>
                <w:rFonts w:hint="eastAsia" w:ascii="方正仿宋_GBK" w:hAnsi="方正仿宋_GBK" w:eastAsia="方正仿宋_GBK" w:cs="方正仿宋_GBK"/>
                <w:color w:val="auto"/>
                <w:sz w:val="24"/>
                <w:szCs w:val="24"/>
                <w:highlight w:val="none"/>
              </w:rPr>
              <w:t>逐年等比例退还，乙方应逐年向甲方提交退还当年对应部分履约保证金的书面申请。当年合同义务履行完毕，乙方提出申请，经甲方确认乙方当年未发生违约情形，在收到乙方退还履约保证金的申请后，根据乙方承诺的免费运维期逐年等比例退还。</w:t>
            </w:r>
          </w:p>
          <w:p w14:paraId="69D86B71">
            <w:pPr>
              <w:snapToGrid w:val="0"/>
              <w:spacing w:line="4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4.</w:t>
            </w:r>
            <w:r>
              <w:rPr>
                <w:rFonts w:hint="eastAsia" w:ascii="方正仿宋_GBK" w:hAnsi="方正仿宋_GBK" w:eastAsia="方正仿宋_GBK" w:cs="方正仿宋_GBK"/>
                <w:color w:val="auto"/>
                <w:sz w:val="24"/>
                <w:szCs w:val="24"/>
                <w:highlight w:val="none"/>
              </w:rPr>
              <w:t>乙方采用保函形式提供履约担保的，应保证所提交的履约保函在合同义务履行完毕之前均在有效期内；若提交的履约保函有效期届满前15日乙方合同义务未履行完毕，乙方应在履约保函有效期届满前10日提交新的履约保函（有效期应满足合同履行期限要求），否则甲方有权终止合同，并要求乙方对甲方造成的损失予以赔偿。</w:t>
            </w:r>
          </w:p>
          <w:p w14:paraId="78FFEC4E">
            <w:pPr>
              <w:snapToGrid w:val="0"/>
              <w:spacing w:line="4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5.</w:t>
            </w:r>
            <w:r>
              <w:rPr>
                <w:rFonts w:hint="eastAsia" w:ascii="方正仿宋_GBK" w:hAnsi="方正仿宋_GBK" w:eastAsia="方正仿宋_GBK" w:cs="方正仿宋_GBK"/>
                <w:color w:val="auto"/>
                <w:sz w:val="24"/>
                <w:szCs w:val="24"/>
                <w:highlight w:val="none"/>
              </w:rPr>
              <w:t>乙方支付履约保证金时，应在“付款备注”中写明“（合同编号）XX买卖合同履约保证金”。乙方不得与其他合同、其他缴费项目一起支付履约保证金，若因混合支付造成无法确认为本合同款项到账的，视为逾期未支付。</w:t>
            </w:r>
          </w:p>
          <w:p w14:paraId="340EC89D">
            <w:pPr>
              <w:snapToGrid w:val="0"/>
              <w:spacing w:line="400" w:lineRule="exact"/>
              <w:rPr>
                <w:color w:val="auto"/>
                <w:highlight w:val="none"/>
              </w:rPr>
            </w:pPr>
            <w:r>
              <w:rPr>
                <w:rFonts w:hint="eastAsia" w:ascii="方正仿宋_GBK" w:hAnsi="方正仿宋_GBK" w:eastAsia="方正仿宋_GBK" w:cs="方正仿宋_GBK"/>
                <w:color w:val="auto"/>
                <w:sz w:val="24"/>
                <w:szCs w:val="24"/>
                <w:highlight w:val="none"/>
                <w:lang w:val="en-US" w:eastAsia="zh-CN"/>
              </w:rPr>
              <w:t>6.</w:t>
            </w:r>
            <w:r>
              <w:rPr>
                <w:rFonts w:hint="eastAsia" w:ascii="方正仿宋_GBK" w:hAnsi="方正仿宋_GBK" w:eastAsia="方正仿宋_GBK" w:cs="方正仿宋_GBK"/>
                <w:color w:val="auto"/>
                <w:sz w:val="24"/>
                <w:szCs w:val="24"/>
                <w:highlight w:val="none"/>
              </w:rPr>
              <w:t>履约保证金退还不计利息，按合同条款约定的违约扣除部分不予退还。</w:t>
            </w:r>
          </w:p>
        </w:tc>
      </w:tr>
      <w:tr w14:paraId="78E7AE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440D6CFF">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29B24828">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第14.1（3）项</w:t>
            </w:r>
          </w:p>
        </w:tc>
        <w:tc>
          <w:tcPr>
            <w:tcW w:w="1742" w:type="dxa"/>
            <w:vAlign w:val="center"/>
          </w:tcPr>
          <w:p w14:paraId="7F0F32EA">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运行监督、维修期限</w:t>
            </w:r>
          </w:p>
        </w:tc>
        <w:tc>
          <w:tcPr>
            <w:tcW w:w="5170" w:type="dxa"/>
            <w:vAlign w:val="center"/>
          </w:tcPr>
          <w:p w14:paraId="57C4E275">
            <w:pPr>
              <w:adjustRightInd w:val="0"/>
              <w:snapToGrid w:val="0"/>
              <w:jc w:val="left"/>
              <w:rPr>
                <w:rFonts w:ascii="方正仿宋_GBK" w:hAnsi="方正仿宋_GBK" w:eastAsia="方正仿宋_GBK" w:cs="方正仿宋_GBK"/>
                <w:color w:val="auto"/>
                <w:sz w:val="24"/>
                <w:szCs w:val="24"/>
                <w:highlight w:val="none"/>
              </w:rPr>
            </w:pPr>
          </w:p>
        </w:tc>
      </w:tr>
      <w:tr w14:paraId="1458DC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1881D362">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5F7BBF5E">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第14.1（5）项</w:t>
            </w:r>
          </w:p>
        </w:tc>
        <w:tc>
          <w:tcPr>
            <w:tcW w:w="1742" w:type="dxa"/>
            <w:vAlign w:val="center"/>
          </w:tcPr>
          <w:p w14:paraId="0573808B">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货物回收的约定</w:t>
            </w:r>
          </w:p>
        </w:tc>
        <w:tc>
          <w:tcPr>
            <w:tcW w:w="5170" w:type="dxa"/>
            <w:vAlign w:val="center"/>
          </w:tcPr>
          <w:p w14:paraId="37ECE5B2">
            <w:pPr>
              <w:adjustRightInd w:val="0"/>
              <w:snapToGrid w:val="0"/>
              <w:jc w:val="left"/>
              <w:rPr>
                <w:rFonts w:ascii="方正仿宋_GBK" w:hAnsi="方正仿宋_GBK" w:eastAsia="方正仿宋_GBK" w:cs="方正仿宋_GBK"/>
                <w:color w:val="auto"/>
                <w:sz w:val="24"/>
                <w:szCs w:val="24"/>
                <w:highlight w:val="none"/>
              </w:rPr>
            </w:pPr>
          </w:p>
        </w:tc>
      </w:tr>
      <w:tr w14:paraId="4F7682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DD226E9">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6B5819B7">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第14.1（6）项</w:t>
            </w:r>
          </w:p>
        </w:tc>
        <w:tc>
          <w:tcPr>
            <w:tcW w:w="1742" w:type="dxa"/>
            <w:vAlign w:val="center"/>
          </w:tcPr>
          <w:p w14:paraId="6E43D7EF">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乙方提供的其他服务</w:t>
            </w:r>
          </w:p>
        </w:tc>
        <w:tc>
          <w:tcPr>
            <w:tcW w:w="5170" w:type="dxa"/>
            <w:vAlign w:val="center"/>
          </w:tcPr>
          <w:p w14:paraId="74D99B78">
            <w:pPr>
              <w:adjustRightInd w:val="0"/>
              <w:snapToGrid w:val="0"/>
              <w:jc w:val="left"/>
              <w:rPr>
                <w:rFonts w:ascii="方正仿宋_GBK" w:hAnsi="方正仿宋_GBK" w:eastAsia="方正仿宋_GBK" w:cs="方正仿宋_GBK"/>
                <w:color w:val="auto"/>
                <w:sz w:val="24"/>
                <w:szCs w:val="24"/>
                <w:highlight w:val="none"/>
              </w:rPr>
            </w:pPr>
          </w:p>
        </w:tc>
      </w:tr>
      <w:tr w14:paraId="77E392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025AF4D">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3252DE16">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第15.</w:t>
            </w:r>
            <w:r>
              <w:rPr>
                <w:rFonts w:hint="eastAsia" w:ascii="方正仿宋_GBK" w:hAnsi="方正仿宋_GBK" w:eastAsia="方正仿宋_GBK" w:cs="方正仿宋_GBK"/>
                <w:color w:val="auto"/>
                <w:sz w:val="24"/>
                <w:szCs w:val="24"/>
                <w:highlight w:val="none"/>
                <w:lang w:val="en-US" w:eastAsia="zh-CN"/>
              </w:rPr>
              <w:t>3</w:t>
            </w:r>
            <w:r>
              <w:rPr>
                <w:rFonts w:hint="eastAsia" w:ascii="方正仿宋_GBK" w:hAnsi="方正仿宋_GBK" w:eastAsia="方正仿宋_GBK" w:cs="方正仿宋_GBK"/>
                <w:color w:val="auto"/>
                <w:sz w:val="24"/>
                <w:szCs w:val="24"/>
                <w:highlight w:val="none"/>
              </w:rPr>
              <w:t>款</w:t>
            </w:r>
          </w:p>
        </w:tc>
        <w:tc>
          <w:tcPr>
            <w:tcW w:w="1742" w:type="dxa"/>
            <w:vAlign w:val="center"/>
          </w:tcPr>
          <w:p w14:paraId="4C68B28D">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整改时限和延迟整改违约责任</w:t>
            </w:r>
          </w:p>
        </w:tc>
        <w:tc>
          <w:tcPr>
            <w:tcW w:w="5170" w:type="dxa"/>
            <w:vAlign w:val="center"/>
          </w:tcPr>
          <w:p w14:paraId="58BB5A81">
            <w:pPr>
              <w:numPr>
                <w:ilvl w:val="255"/>
                <w:numId w:val="0"/>
              </w:numPr>
              <w:wordWrap/>
              <w:adjustRightInd w:val="0"/>
              <w:snapToGrid w:val="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1.乙方提供的合同约定的成果经到货验收、初步验收、最终验收三个阶段，每个阶段第一次验收不合格，须在30个日历日内完成整改（修理、重作、更换），达到合同约定的参数、使用性能、服务质量等要求。</w:t>
            </w:r>
          </w:p>
          <w:p w14:paraId="5E4E562F">
            <w:pPr>
              <w:numPr>
                <w:ilvl w:val="255"/>
                <w:numId w:val="0"/>
              </w:numPr>
              <w:wordWrap/>
              <w:adjustRightInd w:val="0"/>
              <w:snapToGrid w:val="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未在30个日历日内完成整改的，每迟延一天扣除货物和相关服务合同总金额的0.5‰。累计迟延30个日历日的，甲方有权单方面解除合同，无需赔偿乙方损失，有权不退还履约保证金并要求乙方退还全部已付款项。</w:t>
            </w:r>
          </w:p>
          <w:p w14:paraId="3F08DDB5">
            <w:pPr>
              <w:numPr>
                <w:ilvl w:val="255"/>
                <w:numId w:val="0"/>
              </w:numPr>
              <w:wordWrap/>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经1次整改（修理、重作、更换）后，仍无法达到合同约定的参数、使用性能、服务质量等要求的，导致甲方合同目的无法实现的，甲方有权单方面解除合同，无需赔偿乙方损失，有权不退还履约保证金并要求乙方退还全部已付款项，且有权依法追究乙方合同总金额20%的违约金。若违约金不足以弥补损失，乙方还应赔偿甲方超出部分的损失。</w:t>
            </w:r>
          </w:p>
        </w:tc>
      </w:tr>
      <w:tr w14:paraId="199C8F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Merge w:val="restart"/>
            <w:vAlign w:val="center"/>
          </w:tcPr>
          <w:p w14:paraId="46E6DC60">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18B72BD3">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第15.</w:t>
            </w:r>
            <w:r>
              <w:rPr>
                <w:rFonts w:hint="eastAsia" w:ascii="方正仿宋_GBK" w:hAnsi="方正仿宋_GBK" w:eastAsia="方正仿宋_GBK" w:cs="方正仿宋_GBK"/>
                <w:color w:val="auto"/>
                <w:sz w:val="24"/>
                <w:szCs w:val="24"/>
                <w:highlight w:val="none"/>
                <w:lang w:val="en-US" w:eastAsia="zh-CN"/>
              </w:rPr>
              <w:t>4</w:t>
            </w:r>
            <w:r>
              <w:rPr>
                <w:rFonts w:hint="eastAsia" w:ascii="方正仿宋_GBK" w:hAnsi="方正仿宋_GBK" w:eastAsia="方正仿宋_GBK" w:cs="方正仿宋_GBK"/>
                <w:color w:val="auto"/>
                <w:sz w:val="24"/>
                <w:szCs w:val="24"/>
                <w:highlight w:val="none"/>
              </w:rPr>
              <w:t>项</w:t>
            </w:r>
          </w:p>
        </w:tc>
        <w:tc>
          <w:tcPr>
            <w:tcW w:w="1742" w:type="dxa"/>
            <w:vAlign w:val="center"/>
          </w:tcPr>
          <w:p w14:paraId="7FB20A5E">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到货验收、初步验收迟延违约金</w:t>
            </w:r>
          </w:p>
        </w:tc>
        <w:tc>
          <w:tcPr>
            <w:tcW w:w="5170" w:type="dxa"/>
            <w:vAlign w:val="center"/>
          </w:tcPr>
          <w:p w14:paraId="6085BE58">
            <w:pPr>
              <w:numPr>
                <w:ilvl w:val="255"/>
                <w:numId w:val="0"/>
              </w:numPr>
              <w:wordWrap/>
              <w:adjustRightInd w:val="0"/>
              <w:snapToGrid w:val="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1.到货验收迟延违约金。因乙方原因迟延的，每迟延一天扣除合同总金额的0.5‰，累计迟延30个日历日的，甲方有权单方面解除合同，无需赔偿乙方损失，有权不退还履约保证金并要求乙方退还全部已付款项。</w:t>
            </w:r>
          </w:p>
          <w:p w14:paraId="74030B48">
            <w:pPr>
              <w:numPr>
                <w:ilvl w:val="255"/>
                <w:numId w:val="0"/>
              </w:numPr>
              <w:wordWrap/>
              <w:adjustRightInd w:val="0"/>
              <w:snapToGrid w:val="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2.初步验收迟延违约金。因乙方原因迟延的，每迟延一天扣除合同总金额的0.5‰，累计迟延30个日历日的，甲方有权单方面解除合同，无需赔偿乙方损失，有权不退还履约保证金并要求乙方退还全部已付款项。</w:t>
            </w:r>
          </w:p>
          <w:p w14:paraId="731DEBD6">
            <w:pPr>
              <w:numPr>
                <w:ilvl w:val="255"/>
                <w:numId w:val="0"/>
              </w:numPr>
              <w:wordWrap/>
              <w:adjustRightInd w:val="0"/>
              <w:snapToGrid w:val="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注：1、到货验收、初步验收日期以乙方备齐验收资料、达到验收标准，提交验收申请并经甲方审核通过、书面确认之日起为准。</w:t>
            </w:r>
          </w:p>
          <w:p w14:paraId="59A4F317">
            <w:pPr>
              <w:numPr>
                <w:ilvl w:val="255"/>
                <w:numId w:val="0"/>
              </w:numPr>
              <w:wordWrap/>
              <w:adjustRightInd w:val="0"/>
              <w:snapToGrid w:val="0"/>
              <w:jc w:val="left"/>
              <w:rPr>
                <w:rFonts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2、到货验收、初步验收均存在迟延违约的，违约金金额分别计算，合并相加。</w:t>
            </w:r>
          </w:p>
        </w:tc>
      </w:tr>
      <w:tr w14:paraId="32C235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vMerge w:val="continue"/>
            <w:tcBorders>
              <w:bottom w:val="single" w:color="auto" w:sz="2" w:space="0"/>
            </w:tcBorders>
            <w:shd w:val="clear" w:color="auto" w:fill="auto"/>
            <w:vAlign w:val="center"/>
          </w:tcPr>
          <w:p w14:paraId="0951A5D5">
            <w:pPr>
              <w:adjustRightInd w:val="0"/>
              <w:snapToGrid w:val="0"/>
              <w:jc w:val="center"/>
              <w:rPr>
                <w:rFonts w:hint="eastAsia" w:ascii="方正仿宋_GBK" w:hAnsi="方正仿宋_GBK" w:eastAsia="方正仿宋_GBK" w:cs="方正仿宋_GBK"/>
                <w:color w:val="auto"/>
                <w:sz w:val="24"/>
                <w:szCs w:val="24"/>
                <w:highlight w:val="none"/>
              </w:rPr>
            </w:pPr>
          </w:p>
        </w:tc>
        <w:tc>
          <w:tcPr>
            <w:tcW w:w="1742" w:type="dxa"/>
            <w:tcBorders>
              <w:left w:val="single" w:color="auto" w:sz="2" w:space="0"/>
              <w:bottom w:val="single" w:color="auto" w:sz="2" w:space="0"/>
              <w:right w:val="single" w:color="auto" w:sz="2" w:space="0"/>
            </w:tcBorders>
            <w:shd w:val="clear" w:color="auto" w:fill="auto"/>
            <w:vAlign w:val="center"/>
          </w:tcPr>
          <w:p w14:paraId="446CC87B">
            <w:pPr>
              <w:adjustRightInd w:val="0"/>
              <w:snapToGrid w:val="0"/>
              <w:jc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color w:val="auto"/>
                <w:sz w:val="24"/>
                <w:szCs w:val="24"/>
                <w:highlight w:val="none"/>
                <w:u w:val="none"/>
                <w:lang w:val="en-US" w:eastAsia="zh-CN"/>
              </w:rPr>
              <w:t>货物设施设备服务到货验收未通过违约金</w:t>
            </w:r>
          </w:p>
        </w:tc>
        <w:tc>
          <w:tcPr>
            <w:tcW w:w="5170" w:type="dxa"/>
            <w:tcBorders>
              <w:left w:val="single" w:color="auto" w:sz="2" w:space="0"/>
              <w:bottom w:val="single" w:color="auto" w:sz="2" w:space="0"/>
            </w:tcBorders>
            <w:shd w:val="clear" w:color="auto" w:fill="auto"/>
            <w:vAlign w:val="center"/>
          </w:tcPr>
          <w:p w14:paraId="28B04349">
            <w:pPr>
              <w:numPr>
                <w:ilvl w:val="255"/>
                <w:numId w:val="0"/>
              </w:numPr>
              <w:wordWrap/>
              <w:adjustRightInd w:val="0"/>
              <w:snapToGrid w:val="0"/>
              <w:jc w:val="lef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rPr>
              <w:t>乙方提供的货物设施设备和相关服务经到货验收不合格，乙方应向甲方支付违约金，违约金按合同总金额的10%计算。</w:t>
            </w:r>
          </w:p>
        </w:tc>
      </w:tr>
      <w:tr w14:paraId="7D6E0A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vMerge w:val="continue"/>
            <w:tcBorders>
              <w:bottom w:val="single" w:color="auto" w:sz="2" w:space="0"/>
            </w:tcBorders>
            <w:shd w:val="clear" w:color="auto" w:fill="auto"/>
            <w:vAlign w:val="center"/>
          </w:tcPr>
          <w:p w14:paraId="1660EDDB">
            <w:pPr>
              <w:adjustRightInd w:val="0"/>
              <w:snapToGrid w:val="0"/>
              <w:jc w:val="center"/>
              <w:rPr>
                <w:rFonts w:hint="eastAsia" w:ascii="方正仿宋_GBK" w:hAnsi="方正仿宋_GBK" w:eastAsia="方正仿宋_GBK" w:cs="方正仿宋_GBK"/>
                <w:color w:val="auto"/>
                <w:sz w:val="24"/>
                <w:szCs w:val="24"/>
                <w:highlight w:val="none"/>
              </w:rPr>
            </w:pPr>
          </w:p>
        </w:tc>
        <w:tc>
          <w:tcPr>
            <w:tcW w:w="1742" w:type="dxa"/>
            <w:tcBorders>
              <w:left w:val="single" w:color="auto" w:sz="2" w:space="0"/>
              <w:bottom w:val="single" w:color="auto" w:sz="2" w:space="0"/>
              <w:right w:val="single" w:color="auto" w:sz="2" w:space="0"/>
            </w:tcBorders>
            <w:shd w:val="clear" w:color="auto" w:fill="auto"/>
            <w:vAlign w:val="center"/>
          </w:tcPr>
          <w:p w14:paraId="2483C699">
            <w:pPr>
              <w:adjustRightInd w:val="0"/>
              <w:snapToGrid w:val="0"/>
              <w:jc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color w:val="auto"/>
                <w:kern w:val="2"/>
                <w:sz w:val="24"/>
                <w:szCs w:val="24"/>
                <w:highlight w:val="none"/>
                <w:lang w:val="en-US" w:eastAsia="zh-CN" w:bidi="ar-SA"/>
              </w:rPr>
              <w:t>初步验收未通过违约金</w:t>
            </w:r>
          </w:p>
        </w:tc>
        <w:tc>
          <w:tcPr>
            <w:tcW w:w="5170" w:type="dxa"/>
            <w:tcBorders>
              <w:left w:val="single" w:color="auto" w:sz="2" w:space="0"/>
              <w:bottom w:val="single" w:color="auto" w:sz="2" w:space="0"/>
            </w:tcBorders>
            <w:vAlign w:val="center"/>
          </w:tcPr>
          <w:p w14:paraId="24839C47">
            <w:pPr>
              <w:numPr>
                <w:ilvl w:val="255"/>
                <w:numId w:val="0"/>
              </w:numPr>
              <w:wordWrap/>
              <w:adjustRightInd w:val="0"/>
              <w:snapToGrid w:val="0"/>
              <w:jc w:val="lef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乙方提供的货物设施设备和相关服务经初步验收不合格，乙方应向甲方支付违约金，违约金按合同总金额的10%计算。</w:t>
            </w:r>
          </w:p>
        </w:tc>
      </w:tr>
      <w:tr w14:paraId="73BF08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vMerge w:val="continue"/>
            <w:tcBorders>
              <w:bottom w:val="single" w:color="auto" w:sz="2" w:space="0"/>
            </w:tcBorders>
            <w:shd w:val="clear" w:color="auto" w:fill="auto"/>
            <w:vAlign w:val="center"/>
          </w:tcPr>
          <w:p w14:paraId="3614F156">
            <w:pPr>
              <w:adjustRightInd w:val="0"/>
              <w:snapToGrid w:val="0"/>
              <w:jc w:val="center"/>
              <w:rPr>
                <w:rFonts w:hint="eastAsia" w:ascii="方正仿宋_GBK" w:hAnsi="方正仿宋_GBK" w:eastAsia="方正仿宋_GBK" w:cs="方正仿宋_GBK"/>
                <w:color w:val="auto"/>
                <w:sz w:val="24"/>
                <w:szCs w:val="24"/>
                <w:highlight w:val="none"/>
              </w:rPr>
            </w:pPr>
          </w:p>
        </w:tc>
        <w:tc>
          <w:tcPr>
            <w:tcW w:w="1742" w:type="dxa"/>
            <w:tcBorders>
              <w:left w:val="single" w:color="auto" w:sz="2" w:space="0"/>
              <w:bottom w:val="single" w:color="auto" w:sz="2" w:space="0"/>
              <w:right w:val="single" w:color="auto" w:sz="2" w:space="0"/>
            </w:tcBorders>
            <w:shd w:val="clear" w:color="auto" w:fill="auto"/>
            <w:vAlign w:val="center"/>
          </w:tcPr>
          <w:p w14:paraId="67624CAB">
            <w:pPr>
              <w:adjustRightInd w:val="0"/>
              <w:snapToGrid w:val="0"/>
              <w:jc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color w:val="auto"/>
                <w:sz w:val="24"/>
                <w:szCs w:val="24"/>
                <w:highlight w:val="none"/>
              </w:rPr>
              <w:t>最终验收未通过违约金</w:t>
            </w:r>
          </w:p>
        </w:tc>
        <w:tc>
          <w:tcPr>
            <w:tcW w:w="5170" w:type="dxa"/>
            <w:tcBorders>
              <w:left w:val="single" w:color="auto" w:sz="2" w:space="0"/>
              <w:bottom w:val="single" w:color="auto" w:sz="2" w:space="0"/>
            </w:tcBorders>
            <w:vAlign w:val="center"/>
          </w:tcPr>
          <w:p w14:paraId="30842786">
            <w:pPr>
              <w:numPr>
                <w:ilvl w:val="255"/>
                <w:numId w:val="0"/>
              </w:numPr>
              <w:wordWrap/>
              <w:adjustRightInd w:val="0"/>
              <w:snapToGrid w:val="0"/>
              <w:jc w:val="lef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乙方提供的货物设施设备和相关服务经最终验收不合格，乙方应向甲方支付违约金，违约金按合同总金额的10%计算。</w:t>
            </w:r>
          </w:p>
        </w:tc>
      </w:tr>
      <w:tr w14:paraId="4461EE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shd w:val="clear" w:color="auto" w:fill="auto"/>
            <w:vAlign w:val="center"/>
          </w:tcPr>
          <w:p w14:paraId="4948223E">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3637592D">
            <w:pPr>
              <w:adjustRightInd w:val="0"/>
              <w:snapToGrid w:val="0"/>
              <w:jc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color w:val="auto"/>
                <w:sz w:val="24"/>
                <w:szCs w:val="24"/>
                <w:highlight w:val="none"/>
              </w:rPr>
              <w:t>第15.</w:t>
            </w:r>
            <w:r>
              <w:rPr>
                <w:rFonts w:hint="eastAsia" w:ascii="方正仿宋_GBK" w:hAnsi="方正仿宋_GBK" w:eastAsia="方正仿宋_GBK" w:cs="方正仿宋_GBK"/>
                <w:color w:val="auto"/>
                <w:sz w:val="24"/>
                <w:szCs w:val="24"/>
                <w:highlight w:val="none"/>
                <w:lang w:val="en-US" w:eastAsia="zh-CN"/>
              </w:rPr>
              <w:t>5</w:t>
            </w:r>
            <w:r>
              <w:rPr>
                <w:rFonts w:hint="eastAsia" w:ascii="方正仿宋_GBK" w:hAnsi="方正仿宋_GBK" w:eastAsia="方正仿宋_GBK" w:cs="方正仿宋_GBK"/>
                <w:color w:val="auto"/>
                <w:sz w:val="24"/>
                <w:szCs w:val="24"/>
                <w:highlight w:val="none"/>
              </w:rPr>
              <w:t>款</w:t>
            </w:r>
          </w:p>
        </w:tc>
        <w:tc>
          <w:tcPr>
            <w:tcW w:w="1742" w:type="dxa"/>
            <w:tcBorders>
              <w:left w:val="single" w:color="auto" w:sz="2" w:space="0"/>
              <w:bottom w:val="single" w:color="auto" w:sz="2" w:space="0"/>
              <w:right w:val="single" w:color="auto" w:sz="2" w:space="0"/>
            </w:tcBorders>
            <w:shd w:val="clear" w:color="auto" w:fill="auto"/>
            <w:vAlign w:val="center"/>
          </w:tcPr>
          <w:p w14:paraId="388987DC">
            <w:pPr>
              <w:adjustRightInd w:val="0"/>
              <w:snapToGrid w:val="0"/>
              <w:jc w:val="center"/>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color w:val="auto"/>
                <w:kern w:val="2"/>
                <w:sz w:val="24"/>
                <w:szCs w:val="24"/>
                <w:highlight w:val="none"/>
                <w:lang w:val="en-US" w:eastAsia="zh-CN" w:bidi="ar-SA"/>
              </w:rPr>
              <w:t>根据项目需要设定的违约责任</w:t>
            </w:r>
          </w:p>
        </w:tc>
        <w:tc>
          <w:tcPr>
            <w:tcW w:w="5170" w:type="dxa"/>
            <w:tcBorders>
              <w:left w:val="single" w:color="auto" w:sz="2" w:space="0"/>
              <w:bottom w:val="single" w:color="auto" w:sz="2" w:space="0"/>
            </w:tcBorders>
            <w:vAlign w:val="center"/>
          </w:tcPr>
          <w:p w14:paraId="41C1C3E0">
            <w:pPr>
              <w:wordWrap w:val="0"/>
              <w:adjustRightInd w:val="0"/>
              <w:snapToGrid w:val="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乙方售后服务未按甲方要求及时现场响应，超过相应时间的，甲方有权按每小时1000元扣除其履约保证金。乙方超过应响应时间后12小时及以上仍未现场响应的视为未响应，如达3次以上未现场响应的，甲方有权不退还其剩余的履约保证金，并有权依法追究乙方合同总金额20%的违约金。若违约金不足以弥补损失，乙方还应赔偿甲方超出部分的损失。因本项目系应急救援装备，若因乙方原因（售后不及时，产品质量缺陷等）导致人员伤亡或财产损失的，甲方除依据本合同追究赔偿责任外，还将依法依规追究相关法律责任。</w:t>
            </w:r>
          </w:p>
        </w:tc>
      </w:tr>
      <w:tr w14:paraId="1B74F7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68B726C3">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0959C60E">
            <w:pPr>
              <w:adjustRightInd w:val="0"/>
              <w:snapToGrid w:val="0"/>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第15.</w:t>
            </w:r>
            <w:r>
              <w:rPr>
                <w:rFonts w:hint="eastAsia" w:ascii="方正仿宋_GBK" w:hAnsi="方正仿宋_GBK" w:eastAsia="方正仿宋_GBK" w:cs="方正仿宋_GBK"/>
                <w:color w:val="auto"/>
                <w:sz w:val="24"/>
                <w:szCs w:val="24"/>
                <w:highlight w:val="none"/>
                <w:lang w:val="en-US" w:eastAsia="zh-CN"/>
              </w:rPr>
              <w:t>6</w:t>
            </w:r>
            <w:r>
              <w:rPr>
                <w:rFonts w:hint="eastAsia" w:ascii="方正仿宋_GBK" w:hAnsi="方正仿宋_GBK" w:eastAsia="方正仿宋_GBK" w:cs="方正仿宋_GBK"/>
                <w:color w:val="auto"/>
                <w:sz w:val="24"/>
                <w:szCs w:val="24"/>
                <w:highlight w:val="none"/>
              </w:rPr>
              <w:t>款</w:t>
            </w:r>
          </w:p>
        </w:tc>
        <w:tc>
          <w:tcPr>
            <w:tcW w:w="1742" w:type="dxa"/>
            <w:tcBorders>
              <w:left w:val="single" w:color="auto" w:sz="2" w:space="0"/>
              <w:bottom w:val="single" w:color="auto" w:sz="2" w:space="0"/>
              <w:right w:val="single" w:color="auto" w:sz="2" w:space="0"/>
            </w:tcBorders>
            <w:vAlign w:val="center"/>
          </w:tcPr>
          <w:p w14:paraId="73A095A9">
            <w:pPr>
              <w:adjustRightInd w:val="0"/>
              <w:snapToGrid w:val="0"/>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根本违约责任</w:t>
            </w:r>
          </w:p>
        </w:tc>
        <w:tc>
          <w:tcPr>
            <w:tcW w:w="5170" w:type="dxa"/>
            <w:tcBorders>
              <w:left w:val="single" w:color="auto" w:sz="2" w:space="0"/>
              <w:bottom w:val="single" w:color="auto" w:sz="2" w:space="0"/>
            </w:tcBorders>
            <w:vAlign w:val="center"/>
          </w:tcPr>
          <w:p w14:paraId="5CC9B8D2">
            <w:pPr>
              <w:wordWrap w:val="0"/>
              <w:adjustRightInd w:val="0"/>
              <w:snapToGrid w:val="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乙方存在根本违约行为导致甲方合同目的无法实现的，甲方有权单方解除合同，并有权依法追究乙方合同总金额20%的违约金。若违约金不足以弥补损失，乙方还应赔偿甲方超出部分的损失。</w:t>
            </w:r>
          </w:p>
        </w:tc>
      </w:tr>
      <w:tr w14:paraId="72BE5C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72F4144C">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34F4294B">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第15.</w:t>
            </w:r>
            <w:r>
              <w:rPr>
                <w:rFonts w:hint="eastAsia" w:ascii="方正仿宋_GBK" w:hAnsi="方正仿宋_GBK" w:eastAsia="方正仿宋_GBK" w:cs="方正仿宋_GBK"/>
                <w:color w:val="auto"/>
                <w:sz w:val="24"/>
                <w:szCs w:val="24"/>
                <w:highlight w:val="none"/>
                <w:lang w:val="en-US" w:eastAsia="zh-CN"/>
              </w:rPr>
              <w:t>7</w:t>
            </w:r>
            <w:r>
              <w:rPr>
                <w:rFonts w:hint="eastAsia" w:ascii="方正仿宋_GBK" w:hAnsi="方正仿宋_GBK" w:eastAsia="方正仿宋_GBK" w:cs="方正仿宋_GBK"/>
                <w:color w:val="auto"/>
                <w:sz w:val="24"/>
                <w:szCs w:val="24"/>
                <w:highlight w:val="none"/>
              </w:rPr>
              <w:t>款</w:t>
            </w:r>
          </w:p>
        </w:tc>
        <w:tc>
          <w:tcPr>
            <w:tcW w:w="1742" w:type="dxa"/>
            <w:tcBorders>
              <w:left w:val="single" w:color="auto" w:sz="2" w:space="0"/>
              <w:bottom w:val="single" w:color="auto" w:sz="2" w:space="0"/>
              <w:right w:val="single" w:color="auto" w:sz="2" w:space="0"/>
            </w:tcBorders>
            <w:vAlign w:val="center"/>
          </w:tcPr>
          <w:p w14:paraId="4C14A724">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其他违约责任</w:t>
            </w:r>
            <w:r>
              <w:rPr>
                <w:rFonts w:hint="eastAsia" w:ascii="方正仿宋_GBK" w:hAnsi="宋体" w:eastAsia="方正仿宋_GBK" w:cs="Times New Roman"/>
                <w:color w:val="auto"/>
                <w:sz w:val="24"/>
                <w:szCs w:val="28"/>
                <w:highlight w:val="none"/>
                <w:lang w:eastAsia="zh-CN"/>
              </w:rPr>
              <w:t>（前述违约责任未包含的其他违约情形）</w:t>
            </w:r>
          </w:p>
        </w:tc>
        <w:tc>
          <w:tcPr>
            <w:tcW w:w="5170" w:type="dxa"/>
            <w:tcBorders>
              <w:left w:val="single" w:color="auto" w:sz="2" w:space="0"/>
              <w:bottom w:val="single" w:color="auto" w:sz="2" w:space="0"/>
            </w:tcBorders>
            <w:vAlign w:val="center"/>
          </w:tcPr>
          <w:p w14:paraId="40D42708">
            <w:pPr>
              <w:wordWrap w:val="0"/>
              <w:adjustRightInd w:val="0"/>
              <w:snapToGrid w:val="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合同生效以后，各方应全面履行本合同约定，一方不履行或者不完全履行本合同约定，应当承担相应的违约责任，违约方应向对方支付违约金，违约金按合同总金额的20%计算。若违约金不足以弥补损失，则违约方还应赔偿对方损失。</w:t>
            </w:r>
          </w:p>
          <w:p w14:paraId="173ED315">
            <w:pPr>
              <w:wordWrap w:val="0"/>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2.因本合同履行导致争议的，为解决争议而发生的所有费用（包括但不限于律师法律服务费、诉讼费、鉴定费、保全费、保全保险费等全部费用），由违约方支付。</w:t>
            </w:r>
          </w:p>
        </w:tc>
      </w:tr>
      <w:tr w14:paraId="33A798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07F9DEAF">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22F79490">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第19.2款</w:t>
            </w:r>
          </w:p>
        </w:tc>
        <w:tc>
          <w:tcPr>
            <w:tcW w:w="1742" w:type="dxa"/>
            <w:tcBorders>
              <w:top w:val="single" w:color="auto" w:sz="2" w:space="0"/>
              <w:left w:val="single" w:color="auto" w:sz="2" w:space="0"/>
              <w:right w:val="single" w:color="auto" w:sz="2" w:space="0"/>
            </w:tcBorders>
            <w:vAlign w:val="center"/>
          </w:tcPr>
          <w:p w14:paraId="293A8EDA">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解决争议的方法</w:t>
            </w:r>
          </w:p>
        </w:tc>
        <w:tc>
          <w:tcPr>
            <w:tcW w:w="5170" w:type="dxa"/>
            <w:tcBorders>
              <w:top w:val="single" w:color="auto" w:sz="2" w:space="0"/>
              <w:left w:val="single" w:color="auto" w:sz="2" w:space="0"/>
            </w:tcBorders>
            <w:vAlign w:val="center"/>
          </w:tcPr>
          <w:p w14:paraId="396E0373">
            <w:pPr>
              <w:autoSpaceDE w:val="0"/>
              <w:autoSpaceDN w:val="0"/>
              <w:adjustRightInd w:val="0"/>
              <w:snapToGrid w:val="0"/>
              <w:spacing w:line="400" w:lineRule="exact"/>
              <w:jc w:val="left"/>
              <w:rPr>
                <w:rFonts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iCs/>
                <w:color w:val="auto"/>
                <w:sz w:val="24"/>
                <w:szCs w:val="24"/>
                <w:highlight w:val="none"/>
              </w:rPr>
              <w:t>因本合同及合同有关事项发生的争议，向</w:t>
            </w:r>
            <w:r>
              <w:rPr>
                <w:rFonts w:hint="eastAsia" w:ascii="方正仿宋_GBK" w:hAnsi="方正仿宋_GBK" w:eastAsia="方正仿宋_GBK" w:cs="方正仿宋_GBK"/>
                <w:iCs/>
                <w:color w:val="auto"/>
                <w:sz w:val="24"/>
                <w:szCs w:val="24"/>
                <w:highlight w:val="none"/>
                <w:u w:val="single"/>
              </w:rPr>
              <w:t>甲方所在地有管辖权的</w:t>
            </w:r>
            <w:r>
              <w:rPr>
                <w:rFonts w:hint="eastAsia" w:ascii="方正仿宋_GBK" w:hAnsi="方正仿宋_GBK" w:eastAsia="方正仿宋_GBK" w:cs="方正仿宋_GBK"/>
                <w:iCs/>
                <w:color w:val="auto"/>
                <w:sz w:val="24"/>
                <w:szCs w:val="24"/>
                <w:highlight w:val="none"/>
              </w:rPr>
              <w:t>人民法院起诉。</w:t>
            </w:r>
          </w:p>
        </w:tc>
      </w:tr>
      <w:tr w14:paraId="5A14C7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5BFA16C6">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第二节</w:t>
            </w:r>
          </w:p>
          <w:p w14:paraId="0FD00470">
            <w:pPr>
              <w:adjustRightInd w:val="0"/>
              <w:snapToGrid w:val="0"/>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第23.1款</w:t>
            </w:r>
          </w:p>
        </w:tc>
        <w:tc>
          <w:tcPr>
            <w:tcW w:w="1742" w:type="dxa"/>
            <w:vAlign w:val="center"/>
          </w:tcPr>
          <w:p w14:paraId="7E9EFA9C">
            <w:pPr>
              <w:adjustRightInd w:val="0"/>
              <w:snapToGrid w:val="0"/>
              <w:jc w:val="lef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Cs/>
                <w:color w:val="auto"/>
                <w:sz w:val="24"/>
                <w:szCs w:val="24"/>
                <w:highlight w:val="none"/>
              </w:rPr>
              <w:t>其他专用条款</w:t>
            </w:r>
          </w:p>
        </w:tc>
        <w:tc>
          <w:tcPr>
            <w:tcW w:w="5170" w:type="dxa"/>
            <w:vAlign w:val="center"/>
          </w:tcPr>
          <w:p w14:paraId="17D0C8FD">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甲方发现乙方在政府采购活动中存在违法违规及失信行为的，有权依法依规提交行政主管部门，纳入信用信息系统，列入信用中国网站（www.creditchina.gov.cn）“失信被执行人”、“重大税收违法案件当事人名单”中，同时列入中国政府采购网（www.ccgp.gov.cn）“政府采购严重违法失信行为记录名单”。</w:t>
            </w:r>
          </w:p>
          <w:p w14:paraId="23C1B705">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 安全责任：</w:t>
            </w:r>
          </w:p>
          <w:p w14:paraId="6FA22868">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2.1责任目标</w:t>
            </w:r>
          </w:p>
          <w:p w14:paraId="7E0A388B">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2.1.1乙方承诺承担和履行合同和甲方所规定的安全责任，且满足要求。</w:t>
            </w:r>
          </w:p>
          <w:p w14:paraId="5191748A">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2.1.2乙方的安全控制目标是确保本项目在实施过程中：</w:t>
            </w:r>
          </w:p>
          <w:p w14:paraId="1561C35B">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①不发生人身重伤事故；</w:t>
            </w:r>
          </w:p>
          <w:p w14:paraId="2E7C7396">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②不发生火灾事故；</w:t>
            </w:r>
          </w:p>
          <w:p w14:paraId="0715942F">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③不发生负有同等及以上事故责任的造成人身重伤的一般交通事故；</w:t>
            </w:r>
          </w:p>
          <w:p w14:paraId="7F0BB5DE">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④不发生集体食物中毒事件（同时5人及以上的食物中毒）；</w:t>
            </w:r>
          </w:p>
          <w:p w14:paraId="50A817A7">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⑤不发生流行性传染病 （无甲型传染病、其他常见传染病未形成多人同时患病）；</w:t>
            </w:r>
          </w:p>
          <w:p w14:paraId="33494D3C">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⑥不发生重大环境污染事件（生活、工业垃圾及其他污染物造成环境污染等）；</w:t>
            </w:r>
          </w:p>
          <w:p w14:paraId="5FB70286">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⑦不发生对施工区附近生产、生活造成重大影响的事件（如造成重大设备损坏、重大财产损失、人员伤害等）；</w:t>
            </w:r>
          </w:p>
          <w:p w14:paraId="581A7629">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⑧不发生治安保卫事件（构成刑事拘留及以上的事件、盗窃直接损失超过1万元人民币的事件）。</w:t>
            </w:r>
          </w:p>
          <w:p w14:paraId="3D341891">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2.1.3乙方承诺在施工中控制以下安全事故的发生：</w:t>
            </w:r>
          </w:p>
          <w:p w14:paraId="1877C0AE">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①人员轻伤事故。</w:t>
            </w:r>
          </w:p>
          <w:p w14:paraId="4BE0A698">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②负有同等及以上事故责任的人身轻伤交通事故。</w:t>
            </w:r>
          </w:p>
          <w:p w14:paraId="232124E9">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③其他安全未遂事故和异常事件。</w:t>
            </w:r>
          </w:p>
          <w:p w14:paraId="59EBFEE3">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2.2安全责任</w:t>
            </w:r>
          </w:p>
          <w:p w14:paraId="6EC383D1">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2.2.1乙方从事生产经营活动应当具备《中华人民共和国安全生产法》和有关法律、行政法规、国家标准或者行业标准规定的安全生产条件；不具备安全生产条件的，不得从事生产经营活动。</w:t>
            </w:r>
          </w:p>
          <w:p w14:paraId="4354141E">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2.2.2乙方从事生产经营活动违反《中华人民共和国安全生产法》和有关法律、行政法规、国家标准、行业标准或者规程等关于安全生产的相关规定，受到事前处罚或者发生生产安全事故的，其责任由乙方自行承担，与甲方无关。</w:t>
            </w:r>
          </w:p>
          <w:p w14:paraId="64553E65">
            <w:pPr>
              <w:keepNext w:val="0"/>
              <w:keepLines w:val="0"/>
              <w:pageBreakBefore w:val="0"/>
              <w:widowControl w:val="0"/>
              <w:kinsoku/>
              <w:wordWrap w:val="0"/>
              <w:overflowPunct/>
              <w:topLinePunct w:val="0"/>
              <w:autoSpaceDE/>
              <w:autoSpaceDN/>
              <w:bidi w:val="0"/>
              <w:adjustRightInd w:val="0"/>
              <w:snapToGrid w:val="0"/>
              <w:spacing w:line="400" w:lineRule="exact"/>
              <w:jc w:val="lef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2.2.3乙方应自行承担其在合同履行过程中的所有安全责任（包括但不限于乙方自身财产损失、乙方工作人员伤亡、由乙方工作人员导致的他人人身及财产损失等）。</w:t>
            </w:r>
          </w:p>
          <w:p w14:paraId="4899069E">
            <w:pPr>
              <w:keepNext w:val="0"/>
              <w:keepLines w:val="0"/>
              <w:pageBreakBefore w:val="0"/>
              <w:widowControl w:val="0"/>
              <w:kinsoku/>
              <w:overflowPunct/>
              <w:topLinePunct w:val="0"/>
              <w:autoSpaceDE/>
              <w:autoSpaceDN/>
              <w:bidi w:val="0"/>
              <w:spacing w:line="400" w:lineRule="exact"/>
              <w:textAlignment w:val="auto"/>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 </w:t>
            </w:r>
            <w:r>
              <w:rPr>
                <w:rFonts w:hint="eastAsia" w:ascii="方正仿宋_GBK" w:hAnsi="宋体" w:eastAsia="方正仿宋_GBK"/>
                <w:color w:val="auto"/>
                <w:sz w:val="24"/>
                <w:szCs w:val="24"/>
                <w:highlight w:val="none"/>
              </w:rPr>
              <w:t>如因省级以上相关部门政策调整变化（包括但不限于项目终止、资金收回等及其他不可遇见、不可抗力因素情形），在合同履行中，</w:t>
            </w:r>
            <w:r>
              <w:rPr>
                <w:rFonts w:hint="eastAsia" w:ascii="方正仿宋_GBK" w:hAnsi="宋体" w:eastAsia="方正仿宋_GBK"/>
                <w:color w:val="auto"/>
                <w:sz w:val="24"/>
                <w:szCs w:val="24"/>
                <w:highlight w:val="none"/>
                <w:lang w:val="en-US" w:eastAsia="zh-CN"/>
              </w:rPr>
              <w:t>甲方</w:t>
            </w:r>
            <w:r>
              <w:rPr>
                <w:rFonts w:hint="eastAsia" w:ascii="方正仿宋_GBK" w:hAnsi="宋体" w:eastAsia="方正仿宋_GBK"/>
                <w:color w:val="auto"/>
                <w:sz w:val="24"/>
                <w:szCs w:val="24"/>
                <w:highlight w:val="none"/>
              </w:rPr>
              <w:t>有权单方面解除合同，</w:t>
            </w:r>
            <w:r>
              <w:rPr>
                <w:rFonts w:hint="eastAsia" w:ascii="方正仿宋_GBK" w:hAnsi="宋体" w:eastAsia="方正仿宋_GBK"/>
                <w:color w:val="auto"/>
                <w:sz w:val="24"/>
                <w:szCs w:val="24"/>
                <w:highlight w:val="none"/>
                <w:lang w:val="en-US" w:eastAsia="zh-CN"/>
              </w:rPr>
              <w:t>甲方</w:t>
            </w:r>
            <w:r>
              <w:rPr>
                <w:rFonts w:hint="eastAsia" w:ascii="方正仿宋_GBK" w:hAnsi="宋体" w:eastAsia="方正仿宋_GBK"/>
                <w:color w:val="auto"/>
                <w:sz w:val="24"/>
                <w:szCs w:val="24"/>
                <w:highlight w:val="none"/>
              </w:rPr>
              <w:t>不因此承担任何补偿、赔偿责任。</w:t>
            </w:r>
          </w:p>
        </w:tc>
      </w:tr>
    </w:tbl>
    <w:p w14:paraId="1EB56B89">
      <w:pPr>
        <w:widowControl/>
        <w:jc w:val="left"/>
        <w:rPr>
          <w:rFonts w:ascii="方正仿宋_GBK" w:hAnsi="宋体" w:eastAsia="方正仿宋_GBK" w:cs="宋体"/>
          <w:bCs/>
          <w:color w:val="auto"/>
          <w:spacing w:val="-20"/>
          <w:kern w:val="44"/>
          <w:szCs w:val="28"/>
          <w:highlight w:val="none"/>
        </w:rPr>
      </w:pPr>
      <w:r>
        <w:rPr>
          <w:rFonts w:ascii="方正仿宋_GBK" w:hAnsi="宋体" w:eastAsia="方正仿宋_GBK" w:cs="宋体"/>
          <w:bCs/>
          <w:color w:val="auto"/>
          <w:spacing w:val="-20"/>
          <w:kern w:val="44"/>
          <w:szCs w:val="28"/>
          <w:highlight w:val="none"/>
        </w:rPr>
        <w:br w:type="page"/>
      </w:r>
    </w:p>
    <w:p w14:paraId="6B930151">
      <w:pPr>
        <w:pStyle w:val="2"/>
        <w:ind w:firstLine="1768" w:firstLineChars="400"/>
        <w:rPr>
          <w:rFonts w:ascii="宋体" w:hAnsi="宋体" w:cs="宋体"/>
          <w:b/>
          <w:bCs/>
          <w:color w:val="auto"/>
          <w:spacing w:val="-20"/>
          <w:kern w:val="44"/>
          <w:sz w:val="48"/>
          <w:szCs w:val="48"/>
          <w:highlight w:val="none"/>
        </w:rPr>
      </w:pPr>
    </w:p>
    <w:bookmarkEnd w:id="509"/>
    <w:p w14:paraId="6E8A7B79">
      <w:pPr>
        <w:pStyle w:val="4"/>
        <w:spacing w:before="0" w:beforeLines="0" w:after="0" w:afterLines="0" w:line="360" w:lineRule="auto"/>
        <w:rPr>
          <w:rFonts w:ascii="方正仿宋_GBK" w:eastAsia="方正仿宋_GBK"/>
          <w:b/>
          <w:color w:val="auto"/>
          <w:highlight w:val="none"/>
        </w:rPr>
      </w:pPr>
      <w:bookmarkStart w:id="523" w:name="_Toc27678"/>
      <w:r>
        <w:rPr>
          <w:rFonts w:hint="eastAsia" w:ascii="方正仿宋_GBK" w:eastAsia="方正仿宋_GBK"/>
          <w:b/>
          <w:color w:val="auto"/>
          <w:highlight w:val="none"/>
        </w:rPr>
        <w:t>第七篇</w:t>
      </w:r>
      <w:r>
        <w:rPr>
          <w:rFonts w:ascii="方正仿宋_GBK" w:eastAsia="方正仿宋_GBK"/>
          <w:b/>
          <w:color w:val="auto"/>
          <w:highlight w:val="none"/>
        </w:rPr>
        <w:t xml:space="preserve">  </w:t>
      </w:r>
      <w:r>
        <w:rPr>
          <w:rFonts w:hint="eastAsia" w:ascii="方正仿宋_GBK" w:eastAsia="方正仿宋_GBK"/>
          <w:b/>
          <w:color w:val="auto"/>
          <w:highlight w:val="none"/>
        </w:rPr>
        <w:t>投标文件格式</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23"/>
    </w:p>
    <w:p w14:paraId="3B4525D4">
      <w:pPr>
        <w:snapToGrid w:val="0"/>
        <w:spacing w:before="120" w:beforeLines="50" w:after="120" w:afterLines="50" w:line="400" w:lineRule="exact"/>
        <w:ind w:firstLine="562" w:firstLineChars="200"/>
        <w:rPr>
          <w:rFonts w:ascii="方正仿宋_GBK" w:hAnsi="仿宋" w:eastAsia="方正仿宋_GBK"/>
          <w:b/>
          <w:color w:val="auto"/>
          <w:szCs w:val="28"/>
          <w:highlight w:val="none"/>
        </w:rPr>
      </w:pPr>
      <w:r>
        <w:rPr>
          <w:rFonts w:hint="eastAsia" w:ascii="方正仿宋_GBK" w:hAnsi="仿宋" w:eastAsia="方正仿宋_GBK"/>
          <w:b/>
          <w:color w:val="auto"/>
          <w:szCs w:val="28"/>
          <w:highlight w:val="none"/>
        </w:rPr>
        <w:t>一、经济文件</w:t>
      </w:r>
    </w:p>
    <w:p w14:paraId="250330DD">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（一）开标一览表</w:t>
      </w:r>
    </w:p>
    <w:p w14:paraId="3BA4F8CA">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（二）单价报价表</w:t>
      </w:r>
    </w:p>
    <w:p w14:paraId="277F0C04">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（三）分项报价明细表</w:t>
      </w:r>
    </w:p>
    <w:p w14:paraId="3C67C2BA">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（四）备品备件及易损件报价表</w:t>
      </w:r>
    </w:p>
    <w:p w14:paraId="55847D09">
      <w:pPr>
        <w:snapToGrid w:val="0"/>
        <w:spacing w:before="120" w:beforeLines="50" w:after="120" w:afterLines="50" w:line="400" w:lineRule="exact"/>
        <w:ind w:firstLine="562" w:firstLineChars="200"/>
        <w:rPr>
          <w:rFonts w:ascii="方正仿宋_GBK" w:hAnsi="仿宋" w:eastAsia="方正仿宋_GBK"/>
          <w:b/>
          <w:color w:val="auto"/>
          <w:szCs w:val="28"/>
          <w:highlight w:val="none"/>
        </w:rPr>
      </w:pPr>
      <w:r>
        <w:rPr>
          <w:rFonts w:hint="eastAsia" w:ascii="方正仿宋_GBK" w:hAnsi="仿宋" w:eastAsia="方正仿宋_GBK"/>
          <w:b/>
          <w:color w:val="auto"/>
          <w:szCs w:val="28"/>
          <w:highlight w:val="none"/>
        </w:rPr>
        <w:t>二、技术（质量）文件</w:t>
      </w:r>
    </w:p>
    <w:p w14:paraId="10D6F82E">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（一）技术（质量）条款差异表</w:t>
      </w:r>
    </w:p>
    <w:p w14:paraId="5439BEAF">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（二）其他技术（质量）资料</w:t>
      </w:r>
    </w:p>
    <w:p w14:paraId="5B062B3B">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75965178">
      <w:pPr>
        <w:snapToGrid w:val="0"/>
        <w:spacing w:before="120" w:beforeLines="50" w:after="120" w:afterLines="50" w:line="400" w:lineRule="exact"/>
        <w:ind w:firstLine="562" w:firstLineChars="200"/>
        <w:rPr>
          <w:rFonts w:ascii="方正仿宋_GBK" w:hAnsi="仿宋" w:eastAsia="方正仿宋_GBK"/>
          <w:b/>
          <w:color w:val="auto"/>
          <w:szCs w:val="28"/>
          <w:highlight w:val="none"/>
        </w:rPr>
      </w:pPr>
      <w:r>
        <w:rPr>
          <w:rFonts w:hint="eastAsia" w:ascii="方正仿宋_GBK" w:hAnsi="仿宋" w:eastAsia="方正仿宋_GBK"/>
          <w:b/>
          <w:color w:val="auto"/>
          <w:szCs w:val="28"/>
          <w:highlight w:val="none"/>
        </w:rPr>
        <w:t>三、商务文件</w:t>
      </w:r>
    </w:p>
    <w:p w14:paraId="78B46023">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（一）投标函（格式）</w:t>
      </w:r>
    </w:p>
    <w:p w14:paraId="66229E52">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（二）商务条款差异表</w:t>
      </w:r>
    </w:p>
    <w:p w14:paraId="5E544A7E">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（三）其他商务资料</w:t>
      </w:r>
    </w:p>
    <w:p w14:paraId="43AFB50B">
      <w:pPr>
        <w:snapToGrid w:val="0"/>
        <w:spacing w:before="120" w:beforeLines="50" w:after="120" w:afterLines="50" w:line="400" w:lineRule="exact"/>
        <w:ind w:firstLine="562" w:firstLineChars="200"/>
        <w:rPr>
          <w:rFonts w:ascii="方正仿宋_GBK" w:hAnsi="仿宋" w:eastAsia="方正仿宋_GBK"/>
          <w:b/>
          <w:color w:val="auto"/>
          <w:szCs w:val="28"/>
          <w:highlight w:val="none"/>
        </w:rPr>
      </w:pPr>
      <w:r>
        <w:rPr>
          <w:rFonts w:hint="eastAsia" w:ascii="方正仿宋_GBK" w:hAnsi="仿宋" w:eastAsia="方正仿宋_GBK"/>
          <w:b/>
          <w:color w:val="auto"/>
          <w:szCs w:val="28"/>
          <w:highlight w:val="none"/>
        </w:rPr>
        <w:t>四、其他</w:t>
      </w:r>
    </w:p>
    <w:p w14:paraId="37430E79">
      <w:pPr>
        <w:snapToGrid w:val="0"/>
        <w:spacing w:line="400" w:lineRule="exact"/>
        <w:ind w:firstLine="480" w:firstLineChars="200"/>
        <w:rPr>
          <w:rFonts w:hint="eastAsia"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（一）中小企业声明函、监狱企业证明文件、残疾人福利性单位声明函</w:t>
      </w:r>
    </w:p>
    <w:p w14:paraId="021EC0D7">
      <w:pPr>
        <w:snapToGrid w:val="0"/>
        <w:spacing w:line="400" w:lineRule="exact"/>
        <w:ind w:firstLine="480" w:firstLineChars="200"/>
        <w:rPr>
          <w:rFonts w:hint="eastAsia"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（二）其他与项目有关的资料（自附）</w:t>
      </w:r>
    </w:p>
    <w:p w14:paraId="5E8A00F2">
      <w:pPr>
        <w:snapToGrid w:val="0"/>
        <w:spacing w:before="120" w:beforeLines="50" w:after="120" w:afterLines="50" w:line="400" w:lineRule="exact"/>
        <w:ind w:firstLine="562" w:firstLineChars="200"/>
        <w:rPr>
          <w:rFonts w:ascii="方正仿宋_GBK" w:hAnsi="仿宋" w:eastAsia="方正仿宋_GBK"/>
          <w:b/>
          <w:color w:val="auto"/>
          <w:szCs w:val="28"/>
          <w:highlight w:val="none"/>
        </w:rPr>
      </w:pPr>
      <w:r>
        <w:rPr>
          <w:rFonts w:hint="eastAsia" w:ascii="方正仿宋_GBK" w:hAnsi="仿宋" w:eastAsia="方正仿宋_GBK"/>
          <w:b/>
          <w:color w:val="auto"/>
          <w:szCs w:val="28"/>
          <w:highlight w:val="none"/>
        </w:rPr>
        <w:t>五、资格文件</w:t>
      </w:r>
    </w:p>
    <w:p w14:paraId="30F8D613">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（一）法人营业执照（副本）或事业单位法人证书（副本）或个体工商户营业执照或有效的自然人身份证明或社会团体法人登记证书复印件</w:t>
      </w:r>
    </w:p>
    <w:p w14:paraId="209500B3">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（二）法定代表人身份证明书（格式）</w:t>
      </w:r>
    </w:p>
    <w:p w14:paraId="31717E48">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（三）法定代表人授权委托书（格式）</w:t>
      </w:r>
    </w:p>
    <w:p w14:paraId="59ED43BC">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（四）基本资格条件承诺函（格式）</w:t>
      </w:r>
    </w:p>
    <w:p w14:paraId="01E66AF3">
      <w:pPr>
        <w:snapToGrid w:val="0"/>
        <w:spacing w:line="4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（五）特定资格条件证书或证明文件（如有）</w:t>
      </w:r>
    </w:p>
    <w:p w14:paraId="7CAEA13A">
      <w:pPr>
        <w:snapToGrid w:val="0"/>
        <w:spacing w:line="400" w:lineRule="exact"/>
        <w:ind w:firstLine="480" w:firstLineChars="200"/>
        <w:rPr>
          <w:rFonts w:ascii="方正仿宋_GBK" w:hAnsi="仿宋" w:eastAsia="方正仿宋_GBK"/>
          <w:color w:val="auto"/>
          <w:sz w:val="24"/>
          <w:szCs w:val="24"/>
          <w:highlight w:val="none"/>
        </w:rPr>
      </w:pPr>
    </w:p>
    <w:p w14:paraId="5E34CCFA">
      <w:pPr>
        <w:snapToGrid w:val="0"/>
        <w:spacing w:line="400" w:lineRule="exact"/>
        <w:ind w:firstLine="480" w:firstLineChars="200"/>
        <w:rPr>
          <w:rFonts w:ascii="方正仿宋_GBK" w:hAnsi="宋体" w:eastAsia="方正仿宋_GBK"/>
          <w:color w:val="auto"/>
          <w:sz w:val="24"/>
          <w:szCs w:val="24"/>
          <w:highlight w:val="none"/>
        </w:rPr>
      </w:pPr>
    </w:p>
    <w:p w14:paraId="31403096">
      <w:pPr>
        <w:pStyle w:val="5"/>
        <w:pageBreakBefore/>
        <w:spacing w:before="120" w:beforeLines="50" w:after="120" w:afterLines="50" w:line="240" w:lineRule="auto"/>
        <w:ind w:firstLine="562" w:firstLineChars="200"/>
        <w:rPr>
          <w:rFonts w:ascii="方正仿宋_GBK" w:hAnsi="仿宋" w:eastAsia="方正仿宋_GBK"/>
          <w:b/>
          <w:color w:val="auto"/>
          <w:szCs w:val="28"/>
          <w:highlight w:val="none"/>
        </w:rPr>
      </w:pPr>
      <w:bookmarkStart w:id="524" w:name="_Toc25659"/>
      <w:bookmarkStart w:id="525" w:name="_Toc21561"/>
      <w:bookmarkStart w:id="526" w:name="_Toc27612"/>
      <w:bookmarkStart w:id="527" w:name="_Toc75793540"/>
      <w:bookmarkStart w:id="528" w:name="_Toc23361"/>
      <w:bookmarkStart w:id="529" w:name="_Toc14568"/>
      <w:bookmarkStart w:id="530" w:name="_Toc10124"/>
      <w:bookmarkStart w:id="531" w:name="_Toc15893"/>
      <w:bookmarkStart w:id="532" w:name="_Toc31828"/>
      <w:bookmarkStart w:id="533" w:name="_Toc27943"/>
      <w:bookmarkStart w:id="534" w:name="_Toc14552"/>
      <w:bookmarkStart w:id="535" w:name="_Toc31914"/>
      <w:bookmarkStart w:id="536" w:name="_Toc29821"/>
      <w:bookmarkStart w:id="537" w:name="_Toc18349"/>
      <w:bookmarkStart w:id="538" w:name="_Toc13547"/>
      <w:bookmarkStart w:id="539" w:name="_Toc429584884"/>
      <w:bookmarkStart w:id="540" w:name="_Toc4936"/>
      <w:r>
        <w:rPr>
          <w:rFonts w:hint="eastAsia" w:ascii="方正仿宋_GBK" w:hAnsi="仿宋" w:eastAsia="方正仿宋_GBK"/>
          <w:b/>
          <w:color w:val="auto"/>
          <w:szCs w:val="28"/>
          <w:highlight w:val="none"/>
        </w:rPr>
        <w:t>一、经济文件</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73595F8A">
      <w:pPr>
        <w:snapToGrid w:val="0"/>
        <w:spacing w:before="120" w:beforeLines="50" w:after="120" w:afterLines="50"/>
        <w:jc w:val="center"/>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（一）开标一览表</w:t>
      </w:r>
    </w:p>
    <w:p w14:paraId="3612F0ED">
      <w:pPr>
        <w:snapToGrid w:val="0"/>
        <w:spacing w:line="40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项目号：                             </w:t>
      </w:r>
    </w:p>
    <w:p w14:paraId="27EEB98A">
      <w:pPr>
        <w:snapToGrid w:val="0"/>
        <w:spacing w:line="40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招标项目名称：                       </w:t>
      </w:r>
    </w:p>
    <w:tbl>
      <w:tblPr>
        <w:tblStyle w:val="58"/>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1227"/>
        <w:gridCol w:w="4116"/>
      </w:tblGrid>
      <w:tr w14:paraId="61E1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1788" w:type="dxa"/>
            <w:vAlign w:val="center"/>
          </w:tcPr>
          <w:p w14:paraId="4A20B31C">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投标人名称</w:t>
            </w:r>
          </w:p>
        </w:tc>
        <w:tc>
          <w:tcPr>
            <w:tcW w:w="7491" w:type="dxa"/>
            <w:gridSpan w:val="3"/>
            <w:vAlign w:val="center"/>
          </w:tcPr>
          <w:p w14:paraId="519E273D">
            <w:pPr>
              <w:jc w:val="center"/>
              <w:rPr>
                <w:rFonts w:ascii="方正仿宋_GBK" w:hAnsi="方正仿宋_GBK" w:eastAsia="方正仿宋_GBK" w:cs="方正仿宋_GBK"/>
                <w:color w:val="auto"/>
                <w:sz w:val="24"/>
                <w:szCs w:val="24"/>
                <w:highlight w:val="none"/>
              </w:rPr>
            </w:pPr>
          </w:p>
        </w:tc>
      </w:tr>
      <w:tr w14:paraId="7ED6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3936" w:type="dxa"/>
            <w:gridSpan w:val="2"/>
            <w:vAlign w:val="center"/>
          </w:tcPr>
          <w:p w14:paraId="42586171">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项目名称</w:t>
            </w:r>
          </w:p>
        </w:tc>
        <w:tc>
          <w:tcPr>
            <w:tcW w:w="1227" w:type="dxa"/>
            <w:vAlign w:val="center"/>
          </w:tcPr>
          <w:p w14:paraId="1E33A38C">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数量</w:t>
            </w:r>
          </w:p>
        </w:tc>
        <w:tc>
          <w:tcPr>
            <w:tcW w:w="4116" w:type="dxa"/>
            <w:vAlign w:val="center"/>
          </w:tcPr>
          <w:p w14:paraId="50EA8506">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投标总报价（小写）</w:t>
            </w:r>
          </w:p>
        </w:tc>
      </w:tr>
      <w:tr w14:paraId="72F9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3936" w:type="dxa"/>
            <w:gridSpan w:val="2"/>
            <w:tcBorders>
              <w:bottom w:val="single" w:color="auto" w:sz="4" w:space="0"/>
            </w:tcBorders>
            <w:vAlign w:val="center"/>
          </w:tcPr>
          <w:p w14:paraId="7923DCAA">
            <w:pPr>
              <w:jc w:val="center"/>
              <w:rPr>
                <w:rFonts w:ascii="方正仿宋_GBK" w:hAnsi="方正仿宋_GBK" w:eastAsia="方正仿宋_GBK" w:cs="方正仿宋_GBK"/>
                <w:color w:val="auto"/>
                <w:sz w:val="24"/>
                <w:szCs w:val="24"/>
                <w:highlight w:val="none"/>
              </w:rPr>
            </w:pPr>
          </w:p>
        </w:tc>
        <w:tc>
          <w:tcPr>
            <w:tcW w:w="1227" w:type="dxa"/>
            <w:vAlign w:val="center"/>
          </w:tcPr>
          <w:p w14:paraId="5503AB71">
            <w:pPr>
              <w:jc w:val="center"/>
              <w:rPr>
                <w:rFonts w:ascii="方正仿宋_GBK" w:hAnsi="方正仿宋_GBK" w:eastAsia="方正仿宋_GBK" w:cs="方正仿宋_GBK"/>
                <w:color w:val="auto"/>
                <w:sz w:val="24"/>
                <w:szCs w:val="24"/>
                <w:highlight w:val="none"/>
              </w:rPr>
            </w:pPr>
          </w:p>
        </w:tc>
        <w:tc>
          <w:tcPr>
            <w:tcW w:w="4116" w:type="dxa"/>
            <w:vAlign w:val="center"/>
          </w:tcPr>
          <w:p w14:paraId="33CC5833">
            <w:pPr>
              <w:jc w:val="center"/>
              <w:rPr>
                <w:rFonts w:ascii="方正仿宋_GBK" w:hAnsi="方正仿宋_GBK" w:eastAsia="方正仿宋_GBK" w:cs="方正仿宋_GBK"/>
                <w:color w:val="auto"/>
                <w:sz w:val="24"/>
                <w:szCs w:val="24"/>
                <w:highlight w:val="none"/>
              </w:rPr>
            </w:pPr>
          </w:p>
        </w:tc>
      </w:tr>
      <w:tr w14:paraId="763F4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9279" w:type="dxa"/>
            <w:gridSpan w:val="4"/>
            <w:tcBorders>
              <w:bottom w:val="single" w:color="auto" w:sz="4" w:space="0"/>
            </w:tcBorders>
            <w:vAlign w:val="center"/>
          </w:tcPr>
          <w:p w14:paraId="333D15DD">
            <w:pP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投标总报价（大写）：</w:t>
            </w:r>
          </w:p>
        </w:tc>
      </w:tr>
      <w:tr w14:paraId="3772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279" w:type="dxa"/>
            <w:gridSpan w:val="4"/>
            <w:vAlign w:val="center"/>
          </w:tcPr>
          <w:p w14:paraId="4E92B549">
            <w:pPr>
              <w:pStyle w:val="33"/>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备注：</w:t>
            </w:r>
          </w:p>
        </w:tc>
      </w:tr>
    </w:tbl>
    <w:p w14:paraId="1C27D24E">
      <w:pPr>
        <w:pStyle w:val="33"/>
        <w:spacing w:line="500" w:lineRule="exact"/>
        <w:ind w:firstLine="480"/>
        <w:rPr>
          <w:rFonts w:ascii="方正仿宋_GBK" w:hAnsi="方正仿宋_GBK" w:eastAsia="方正仿宋_GBK" w:cs="方正仿宋_GBK"/>
          <w:color w:val="auto"/>
          <w:sz w:val="24"/>
          <w:szCs w:val="24"/>
          <w:highlight w:val="none"/>
        </w:rPr>
      </w:pPr>
    </w:p>
    <w:p w14:paraId="4F0E05B7">
      <w:pPr>
        <w:ind w:firstLine="480"/>
        <w:rPr>
          <w:rFonts w:ascii="方正仿宋_GBK" w:hAnsi="方正仿宋_GBK" w:eastAsia="方正仿宋_GBK" w:cs="方正仿宋_GBK"/>
          <w:color w:val="auto"/>
          <w:sz w:val="24"/>
          <w:szCs w:val="24"/>
          <w:highlight w:val="none"/>
        </w:rPr>
      </w:pPr>
    </w:p>
    <w:p w14:paraId="2B9D7F5A">
      <w:pPr>
        <w:spacing w:line="500" w:lineRule="exact"/>
        <w:ind w:firstLine="480"/>
        <w:rPr>
          <w:rFonts w:ascii="方正仿宋_GBK" w:hAnsi="方正仿宋_GBK" w:eastAsia="方正仿宋_GBK" w:cs="方正仿宋_GBK"/>
          <w:color w:val="auto"/>
          <w:sz w:val="24"/>
          <w:szCs w:val="24"/>
          <w:highlight w:val="none"/>
        </w:rPr>
      </w:pPr>
    </w:p>
    <w:p w14:paraId="2E350BF5">
      <w:pPr>
        <w:spacing w:line="500" w:lineRule="exact"/>
        <w:ind w:firstLine="48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投标人：                      法定代表人（或法定代表人授权代表）或自然人：</w:t>
      </w:r>
    </w:p>
    <w:p w14:paraId="224BBC83">
      <w:pPr>
        <w:spacing w:line="500" w:lineRule="exact"/>
        <w:ind w:firstLine="48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（投标人公章）                               （签署或盖章）</w:t>
      </w:r>
    </w:p>
    <w:p w14:paraId="4A5B51E4">
      <w:pPr>
        <w:spacing w:line="500" w:lineRule="exact"/>
        <w:ind w:firstLine="480"/>
        <w:rPr>
          <w:rFonts w:ascii="方正仿宋_GBK" w:hAnsi="方正仿宋_GBK" w:eastAsia="方正仿宋_GBK" w:cs="方正仿宋_GBK"/>
          <w:color w:val="auto"/>
          <w:szCs w:val="28"/>
          <w:highlight w:val="none"/>
        </w:rPr>
      </w:pPr>
    </w:p>
    <w:p w14:paraId="44B02449">
      <w:pPr>
        <w:spacing w:line="500" w:lineRule="exact"/>
        <w:ind w:firstLine="480"/>
        <w:rPr>
          <w:rFonts w:ascii="方正仿宋_GBK" w:hAnsi="方正仿宋_GBK" w:eastAsia="方正仿宋_GBK" w:cs="方正仿宋_GBK"/>
          <w:color w:val="auto"/>
          <w:szCs w:val="28"/>
          <w:highlight w:val="none"/>
        </w:rPr>
      </w:pPr>
    </w:p>
    <w:p w14:paraId="6C3C905B">
      <w:pPr>
        <w:spacing w:line="500" w:lineRule="exact"/>
        <w:ind w:firstLine="5540"/>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u w:val="single"/>
        </w:rPr>
        <w:t xml:space="preserve">     </w:t>
      </w:r>
      <w:r>
        <w:rPr>
          <w:rFonts w:hint="eastAsia" w:ascii="方正仿宋_GBK" w:hAnsi="方正仿宋_GBK" w:eastAsia="方正仿宋_GBK" w:cs="方正仿宋_GBK"/>
          <w:color w:val="auto"/>
          <w:szCs w:val="28"/>
          <w:highlight w:val="none"/>
        </w:rPr>
        <w:t>年</w:t>
      </w:r>
      <w:r>
        <w:rPr>
          <w:rFonts w:hint="eastAsia" w:ascii="方正仿宋_GBK" w:hAnsi="方正仿宋_GBK" w:eastAsia="方正仿宋_GBK" w:cs="方正仿宋_GBK"/>
          <w:color w:val="auto"/>
          <w:szCs w:val="28"/>
          <w:highlight w:val="none"/>
          <w:u w:val="single"/>
        </w:rPr>
        <w:t xml:space="preserve">    </w:t>
      </w:r>
      <w:r>
        <w:rPr>
          <w:rFonts w:hint="eastAsia" w:ascii="方正仿宋_GBK" w:hAnsi="方正仿宋_GBK" w:eastAsia="方正仿宋_GBK" w:cs="方正仿宋_GBK"/>
          <w:color w:val="auto"/>
          <w:szCs w:val="28"/>
          <w:highlight w:val="none"/>
        </w:rPr>
        <w:t>月</w:t>
      </w:r>
      <w:r>
        <w:rPr>
          <w:rFonts w:hint="eastAsia" w:ascii="方正仿宋_GBK" w:hAnsi="方正仿宋_GBK" w:eastAsia="方正仿宋_GBK" w:cs="方正仿宋_GBK"/>
          <w:color w:val="auto"/>
          <w:szCs w:val="28"/>
          <w:highlight w:val="none"/>
          <w:u w:val="single"/>
        </w:rPr>
        <w:t xml:space="preserve">    </w:t>
      </w:r>
      <w:r>
        <w:rPr>
          <w:rFonts w:hint="eastAsia" w:ascii="方正仿宋_GBK" w:hAnsi="方正仿宋_GBK" w:eastAsia="方正仿宋_GBK" w:cs="方正仿宋_GBK"/>
          <w:color w:val="auto"/>
          <w:szCs w:val="28"/>
          <w:highlight w:val="none"/>
        </w:rPr>
        <w:t>日</w:t>
      </w:r>
    </w:p>
    <w:p w14:paraId="2AFE3F6F">
      <w:pPr>
        <w:snapToGrid w:val="0"/>
        <w:spacing w:line="500" w:lineRule="exact"/>
        <w:ind w:firstLine="480"/>
        <w:rPr>
          <w:rFonts w:ascii="方正仿宋_GBK" w:hAnsi="方正仿宋_GBK" w:eastAsia="方正仿宋_GBK" w:cs="方正仿宋_GBK"/>
          <w:color w:val="auto"/>
          <w:szCs w:val="28"/>
          <w:highlight w:val="none"/>
        </w:rPr>
      </w:pPr>
    </w:p>
    <w:p w14:paraId="168620F9">
      <w:pPr>
        <w:snapToGrid w:val="0"/>
        <w:spacing w:line="500" w:lineRule="exact"/>
        <w:ind w:firstLine="480"/>
        <w:rPr>
          <w:rFonts w:ascii="方正仿宋_GBK" w:hAnsi="方正仿宋_GBK" w:eastAsia="方正仿宋_GBK" w:cs="方正仿宋_GBK"/>
          <w:color w:val="auto"/>
          <w:szCs w:val="28"/>
          <w:highlight w:val="none"/>
        </w:rPr>
      </w:pPr>
    </w:p>
    <w:p w14:paraId="5C3F407A">
      <w:pPr>
        <w:snapToGrid w:val="0"/>
        <w:spacing w:line="400" w:lineRule="exact"/>
        <w:ind w:firstLine="48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说明：</w:t>
      </w:r>
    </w:p>
    <w:p w14:paraId="5B013BC7">
      <w:pPr>
        <w:snapToGrid w:val="0"/>
        <w:spacing w:line="400" w:lineRule="exact"/>
        <w:ind w:firstLine="48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1.开标一览表按格式填列；</w:t>
      </w:r>
    </w:p>
    <w:p w14:paraId="21D4CA9E">
      <w:pPr>
        <w:snapToGrid w:val="0"/>
        <w:spacing w:line="400" w:lineRule="exact"/>
        <w:ind w:firstLine="48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2.开标一览表在开标大会上当众宣读，务必填写清楚，准确无误；</w:t>
      </w:r>
    </w:p>
    <w:p w14:paraId="66ECFC58">
      <w:pPr>
        <w:snapToGrid w:val="0"/>
        <w:spacing w:line="400" w:lineRule="exact"/>
        <w:ind w:left="499" w:leftChars="171" w:hanging="2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3.若以联合体参与投标的，应在“投标人名称”处注明所有联合体名称。“投标人”处至少应加盖联合体主办方（主体）公章。</w:t>
      </w:r>
    </w:p>
    <w:p w14:paraId="389B4C71">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br w:type="page"/>
      </w:r>
    </w:p>
    <w:p w14:paraId="67F07E57">
      <w:pPr>
        <w:snapToGrid w:val="0"/>
        <w:spacing w:before="120" w:beforeLines="50" w:after="120" w:afterLines="50"/>
        <w:jc w:val="center"/>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（二）单价报价表</w:t>
      </w:r>
    </w:p>
    <w:p w14:paraId="7A070D2F">
      <w:pPr>
        <w:snapToGrid w:val="0"/>
        <w:spacing w:line="400" w:lineRule="exact"/>
        <w:rPr>
          <w:rFonts w:hint="eastAsia" w:ascii="方正仿宋_GBK" w:hAnsi="方正仿宋_GBK" w:eastAsia="方正仿宋_GBK" w:cs="方正仿宋_GBK"/>
          <w:color w:val="auto"/>
          <w:sz w:val="24"/>
          <w:szCs w:val="24"/>
          <w:highlight w:val="none"/>
        </w:rPr>
      </w:pPr>
    </w:p>
    <w:p w14:paraId="64C25274">
      <w:pPr>
        <w:snapToGrid w:val="0"/>
        <w:spacing w:line="40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项目号：                             </w:t>
      </w:r>
    </w:p>
    <w:p w14:paraId="0042CCA3">
      <w:pPr>
        <w:snapToGrid w:val="0"/>
        <w:spacing w:line="40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招标项目名称：                       </w:t>
      </w:r>
    </w:p>
    <w:tbl>
      <w:tblPr>
        <w:tblStyle w:val="58"/>
        <w:tblW w:w="9578" w:type="dxa"/>
        <w:jc w:val="center"/>
        <w:tblLayout w:type="fixed"/>
        <w:tblCellMar>
          <w:top w:w="0" w:type="dxa"/>
          <w:left w:w="108" w:type="dxa"/>
          <w:bottom w:w="0" w:type="dxa"/>
          <w:right w:w="108" w:type="dxa"/>
        </w:tblCellMar>
      </w:tblPr>
      <w:tblGrid>
        <w:gridCol w:w="737"/>
        <w:gridCol w:w="2198"/>
        <w:gridCol w:w="1416"/>
        <w:gridCol w:w="1663"/>
        <w:gridCol w:w="2255"/>
        <w:gridCol w:w="1309"/>
      </w:tblGrid>
      <w:tr w14:paraId="3D5CDD9D">
        <w:tblPrEx>
          <w:tblCellMar>
            <w:top w:w="0" w:type="dxa"/>
            <w:left w:w="108" w:type="dxa"/>
            <w:bottom w:w="0" w:type="dxa"/>
            <w:right w:w="108" w:type="dxa"/>
          </w:tblCellMar>
        </w:tblPrEx>
        <w:trPr>
          <w:trHeight w:val="1035" w:hRule="atLeast"/>
          <w:jc w:val="center"/>
        </w:trPr>
        <w:tc>
          <w:tcPr>
            <w:tcW w:w="737" w:type="dxa"/>
            <w:tcBorders>
              <w:top w:val="single" w:color="000000" w:sz="4" w:space="0"/>
              <w:left w:val="single" w:color="000000" w:sz="4" w:space="0"/>
              <w:bottom w:val="single" w:color="000000" w:sz="4" w:space="0"/>
              <w:right w:val="single" w:color="000000" w:sz="4" w:space="0"/>
            </w:tcBorders>
            <w:vAlign w:val="center"/>
          </w:tcPr>
          <w:p w14:paraId="7E2A92E0">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序号</w:t>
            </w:r>
          </w:p>
        </w:tc>
        <w:tc>
          <w:tcPr>
            <w:tcW w:w="2198" w:type="dxa"/>
            <w:tcBorders>
              <w:top w:val="single" w:color="000000" w:sz="4" w:space="0"/>
              <w:left w:val="single" w:color="000000" w:sz="4" w:space="0"/>
              <w:bottom w:val="single" w:color="000000" w:sz="4" w:space="0"/>
              <w:right w:val="single" w:color="000000" w:sz="4" w:space="0"/>
            </w:tcBorders>
            <w:vAlign w:val="center"/>
          </w:tcPr>
          <w:p w14:paraId="641D3223">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采购项名称</w:t>
            </w:r>
          </w:p>
        </w:tc>
        <w:tc>
          <w:tcPr>
            <w:tcW w:w="1416" w:type="dxa"/>
            <w:tcBorders>
              <w:top w:val="single" w:color="000000" w:sz="4" w:space="0"/>
              <w:left w:val="single" w:color="000000" w:sz="4" w:space="0"/>
              <w:bottom w:val="single" w:color="000000" w:sz="4" w:space="0"/>
              <w:right w:val="single" w:color="000000" w:sz="4" w:space="0"/>
            </w:tcBorders>
            <w:vAlign w:val="center"/>
          </w:tcPr>
          <w:p w14:paraId="2958F5DF">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数量（套）</w:t>
            </w:r>
          </w:p>
        </w:tc>
        <w:tc>
          <w:tcPr>
            <w:tcW w:w="1663" w:type="dxa"/>
            <w:tcBorders>
              <w:top w:val="single" w:color="000000" w:sz="4" w:space="0"/>
              <w:left w:val="single" w:color="000000" w:sz="4" w:space="0"/>
              <w:bottom w:val="single" w:color="000000" w:sz="4" w:space="0"/>
              <w:right w:val="single" w:color="000000" w:sz="4" w:space="0"/>
            </w:tcBorders>
            <w:vAlign w:val="center"/>
          </w:tcPr>
          <w:p w14:paraId="73D67390">
            <w:pPr>
              <w:snapToGrid w:val="0"/>
              <w:spacing w:line="400" w:lineRule="exact"/>
              <w:jc w:val="center"/>
              <w:rPr>
                <w:rFonts w:hint="eastAsia" w:ascii="方正仿宋_GBK" w:hAnsi="宋体" w:eastAsia="方正仿宋_GBK"/>
                <w:color w:val="auto"/>
                <w:spacing w:val="-11"/>
                <w:sz w:val="24"/>
                <w:szCs w:val="24"/>
                <w:highlight w:val="none"/>
                <w:lang w:val="en-US" w:eastAsia="zh-CN"/>
              </w:rPr>
            </w:pPr>
            <w:r>
              <w:rPr>
                <w:rFonts w:hint="eastAsia" w:ascii="方正仿宋_GBK" w:hAnsi="宋体" w:eastAsia="方正仿宋_GBK"/>
                <w:color w:val="auto"/>
                <w:spacing w:val="-11"/>
                <w:sz w:val="24"/>
                <w:szCs w:val="24"/>
                <w:highlight w:val="none"/>
              </w:rPr>
              <w:t>单项</w:t>
            </w:r>
            <w:r>
              <w:rPr>
                <w:rFonts w:hint="eastAsia" w:ascii="方正仿宋_GBK" w:hAnsi="宋体" w:eastAsia="方正仿宋_GBK"/>
                <w:color w:val="auto"/>
                <w:spacing w:val="-11"/>
                <w:sz w:val="24"/>
                <w:szCs w:val="24"/>
                <w:highlight w:val="none"/>
                <w:lang w:val="en-US" w:eastAsia="zh-CN"/>
              </w:rPr>
              <w:t>投标报价</w:t>
            </w:r>
          </w:p>
          <w:p w14:paraId="527D4814">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pacing w:val="-11"/>
                <w:sz w:val="24"/>
                <w:szCs w:val="24"/>
                <w:highlight w:val="none"/>
              </w:rPr>
              <w:t>（元/套）</w:t>
            </w:r>
          </w:p>
        </w:tc>
        <w:tc>
          <w:tcPr>
            <w:tcW w:w="2255" w:type="dxa"/>
            <w:tcBorders>
              <w:top w:val="single" w:color="000000" w:sz="4" w:space="0"/>
              <w:left w:val="single" w:color="000000" w:sz="4" w:space="0"/>
              <w:bottom w:val="single" w:color="000000" w:sz="4" w:space="0"/>
              <w:right w:val="single" w:color="000000" w:sz="4" w:space="0"/>
            </w:tcBorders>
            <w:vAlign w:val="center"/>
          </w:tcPr>
          <w:p w14:paraId="0DC20AA3">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总价（元）</w:t>
            </w:r>
          </w:p>
        </w:tc>
        <w:tc>
          <w:tcPr>
            <w:tcW w:w="1309" w:type="dxa"/>
            <w:tcBorders>
              <w:top w:val="single" w:color="000000" w:sz="4" w:space="0"/>
              <w:left w:val="single" w:color="000000" w:sz="4" w:space="0"/>
              <w:bottom w:val="single" w:color="000000" w:sz="4" w:space="0"/>
              <w:right w:val="single" w:color="000000" w:sz="4" w:space="0"/>
            </w:tcBorders>
            <w:vAlign w:val="center"/>
          </w:tcPr>
          <w:p w14:paraId="7AACC4D3">
            <w:pPr>
              <w:snapToGrid w:val="0"/>
              <w:spacing w:line="400" w:lineRule="exact"/>
              <w:jc w:val="center"/>
              <w:rPr>
                <w:rFonts w:hint="eastAsia" w:ascii="方正仿宋_GBK" w:hAnsi="宋体" w:eastAsia="方正仿宋_GBK"/>
                <w:color w:val="auto"/>
                <w:sz w:val="24"/>
                <w:szCs w:val="24"/>
                <w:highlight w:val="none"/>
                <w:lang w:eastAsia="zh-CN"/>
              </w:rPr>
            </w:pPr>
            <w:r>
              <w:rPr>
                <w:rFonts w:hint="eastAsia" w:ascii="方正仿宋_GBK" w:hAnsi="宋体" w:eastAsia="方正仿宋_GBK"/>
                <w:color w:val="auto"/>
                <w:sz w:val="24"/>
                <w:szCs w:val="24"/>
                <w:highlight w:val="none"/>
                <w:lang w:eastAsia="zh-CN"/>
              </w:rPr>
              <w:t>备注</w:t>
            </w:r>
          </w:p>
        </w:tc>
      </w:tr>
      <w:tr w14:paraId="48ACB7FC">
        <w:tblPrEx>
          <w:tblCellMar>
            <w:top w:w="0" w:type="dxa"/>
            <w:left w:w="108" w:type="dxa"/>
            <w:bottom w:w="0" w:type="dxa"/>
            <w:right w:w="108" w:type="dxa"/>
          </w:tblCellMar>
        </w:tblPrEx>
        <w:trPr>
          <w:trHeight w:val="907" w:hRule="atLeast"/>
          <w:jc w:val="center"/>
        </w:trPr>
        <w:tc>
          <w:tcPr>
            <w:tcW w:w="737" w:type="dxa"/>
            <w:tcBorders>
              <w:top w:val="single" w:color="000000" w:sz="4" w:space="0"/>
              <w:left w:val="single" w:color="000000" w:sz="4" w:space="0"/>
              <w:bottom w:val="single" w:color="000000" w:sz="4" w:space="0"/>
              <w:right w:val="single" w:color="000000" w:sz="4" w:space="0"/>
            </w:tcBorders>
            <w:vAlign w:val="center"/>
          </w:tcPr>
          <w:p w14:paraId="77D4385A">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w:t>
            </w:r>
          </w:p>
        </w:tc>
        <w:tc>
          <w:tcPr>
            <w:tcW w:w="2198" w:type="dxa"/>
            <w:tcBorders>
              <w:top w:val="single" w:color="000000" w:sz="4" w:space="0"/>
              <w:left w:val="single" w:color="000000" w:sz="4" w:space="0"/>
              <w:bottom w:val="single" w:color="000000" w:sz="4" w:space="0"/>
              <w:right w:val="single" w:color="000000" w:sz="4" w:space="0"/>
            </w:tcBorders>
            <w:vAlign w:val="center"/>
          </w:tcPr>
          <w:p w14:paraId="397B18BC">
            <w:pPr>
              <w:snapToGrid w:val="0"/>
              <w:spacing w:line="400" w:lineRule="exact"/>
              <w:jc w:val="center"/>
              <w:rPr>
                <w:rFonts w:hint="default" w:ascii="方正仿宋_GBK" w:hAnsi="宋体" w:eastAsia="方正仿宋_GBK"/>
                <w:color w:val="auto"/>
                <w:sz w:val="24"/>
                <w:szCs w:val="24"/>
                <w:highlight w:val="none"/>
                <w:lang w:val="en-US" w:eastAsia="zh-CN"/>
              </w:rPr>
            </w:pPr>
            <w:r>
              <w:rPr>
                <w:rFonts w:hint="eastAsia" w:ascii="方正仿宋_GBK" w:hAnsi="宋体" w:eastAsia="方正仿宋_GBK"/>
                <w:color w:val="auto"/>
                <w:sz w:val="24"/>
                <w:szCs w:val="24"/>
                <w:highlight w:val="none"/>
                <w:lang w:val="en-US" w:eastAsia="zh-CN"/>
              </w:rPr>
              <w:t>全景感知设备</w:t>
            </w:r>
          </w:p>
        </w:tc>
        <w:tc>
          <w:tcPr>
            <w:tcW w:w="1416" w:type="dxa"/>
            <w:tcBorders>
              <w:top w:val="single" w:color="000000" w:sz="4" w:space="0"/>
              <w:left w:val="single" w:color="000000" w:sz="4" w:space="0"/>
              <w:bottom w:val="single" w:color="000000" w:sz="4" w:space="0"/>
              <w:right w:val="single" w:color="000000" w:sz="4" w:space="0"/>
            </w:tcBorders>
            <w:vAlign w:val="center"/>
          </w:tcPr>
          <w:p w14:paraId="4CC1FFD5">
            <w:pPr>
              <w:snapToGrid w:val="0"/>
              <w:spacing w:line="400" w:lineRule="exact"/>
              <w:jc w:val="center"/>
              <w:rPr>
                <w:rFonts w:hint="eastAsia" w:ascii="方正仿宋_GBK" w:hAnsi="宋体" w:eastAsia="方正仿宋_GBK"/>
                <w:color w:val="auto"/>
                <w:sz w:val="24"/>
                <w:szCs w:val="24"/>
                <w:highlight w:val="none"/>
              </w:rPr>
            </w:pPr>
            <w:r>
              <w:rPr>
                <w:rFonts w:hint="default" w:ascii="方正仿宋_GBK" w:hAnsi="宋体" w:eastAsia="方正仿宋_GBK"/>
                <w:color w:val="auto"/>
                <w:sz w:val="24"/>
                <w:szCs w:val="24"/>
                <w:highlight w:val="none"/>
                <w:lang w:val="en-US" w:eastAsia="zh-CN"/>
              </w:rPr>
              <w:t>300</w:t>
            </w:r>
          </w:p>
        </w:tc>
        <w:tc>
          <w:tcPr>
            <w:tcW w:w="1663" w:type="dxa"/>
            <w:tcBorders>
              <w:top w:val="single" w:color="000000" w:sz="4" w:space="0"/>
              <w:left w:val="single" w:color="000000" w:sz="4" w:space="0"/>
              <w:bottom w:val="single" w:color="000000" w:sz="4" w:space="0"/>
              <w:right w:val="single" w:color="000000" w:sz="4" w:space="0"/>
            </w:tcBorders>
            <w:vAlign w:val="center"/>
          </w:tcPr>
          <w:p w14:paraId="2F9BE337">
            <w:pPr>
              <w:snapToGrid w:val="0"/>
              <w:spacing w:line="400" w:lineRule="exact"/>
              <w:jc w:val="center"/>
              <w:rPr>
                <w:rFonts w:ascii="方正仿宋_GBK" w:hAnsi="宋体" w:eastAsia="方正仿宋_GBK"/>
                <w:color w:val="auto"/>
                <w:sz w:val="24"/>
                <w:szCs w:val="24"/>
                <w:highlight w:val="none"/>
              </w:rPr>
            </w:pPr>
          </w:p>
        </w:tc>
        <w:tc>
          <w:tcPr>
            <w:tcW w:w="2255" w:type="dxa"/>
            <w:tcBorders>
              <w:top w:val="single" w:color="000000" w:sz="4" w:space="0"/>
              <w:left w:val="single" w:color="000000" w:sz="4" w:space="0"/>
              <w:bottom w:val="single" w:color="000000" w:sz="4" w:space="0"/>
              <w:right w:val="single" w:color="000000" w:sz="4" w:space="0"/>
            </w:tcBorders>
            <w:vAlign w:val="center"/>
          </w:tcPr>
          <w:p w14:paraId="7DE5726D">
            <w:pPr>
              <w:snapToGrid w:val="0"/>
              <w:spacing w:line="400" w:lineRule="exact"/>
              <w:jc w:val="center"/>
              <w:rPr>
                <w:rFonts w:ascii="方正仿宋_GBK" w:hAnsi="宋体" w:eastAsia="方正仿宋_GBK"/>
                <w:color w:val="auto"/>
                <w:sz w:val="24"/>
                <w:szCs w:val="24"/>
                <w:highlight w:val="none"/>
              </w:rPr>
            </w:pPr>
          </w:p>
        </w:tc>
        <w:tc>
          <w:tcPr>
            <w:tcW w:w="1309" w:type="dxa"/>
            <w:tcBorders>
              <w:top w:val="single" w:color="000000" w:sz="4" w:space="0"/>
              <w:left w:val="single" w:color="000000" w:sz="4" w:space="0"/>
              <w:bottom w:val="single" w:color="000000" w:sz="4" w:space="0"/>
              <w:right w:val="single" w:color="000000" w:sz="4" w:space="0"/>
            </w:tcBorders>
            <w:vAlign w:val="center"/>
          </w:tcPr>
          <w:p w14:paraId="55538DE0">
            <w:pPr>
              <w:snapToGrid w:val="0"/>
              <w:spacing w:line="400" w:lineRule="exact"/>
              <w:jc w:val="center"/>
              <w:rPr>
                <w:rFonts w:ascii="方正仿宋_GBK" w:hAnsi="宋体" w:eastAsia="方正仿宋_GBK"/>
                <w:color w:val="auto"/>
                <w:sz w:val="24"/>
                <w:szCs w:val="24"/>
                <w:highlight w:val="none"/>
              </w:rPr>
            </w:pPr>
          </w:p>
        </w:tc>
      </w:tr>
      <w:tr w14:paraId="71C0E9F6">
        <w:tblPrEx>
          <w:tblCellMar>
            <w:top w:w="0" w:type="dxa"/>
            <w:left w:w="108" w:type="dxa"/>
            <w:bottom w:w="0" w:type="dxa"/>
            <w:right w:w="108" w:type="dxa"/>
          </w:tblCellMar>
        </w:tblPrEx>
        <w:trPr>
          <w:trHeight w:val="907" w:hRule="atLeast"/>
          <w:jc w:val="center"/>
        </w:trPr>
        <w:tc>
          <w:tcPr>
            <w:tcW w:w="737" w:type="dxa"/>
            <w:tcBorders>
              <w:top w:val="single" w:color="000000" w:sz="4" w:space="0"/>
              <w:left w:val="single" w:color="000000" w:sz="4" w:space="0"/>
              <w:bottom w:val="single" w:color="000000" w:sz="4" w:space="0"/>
              <w:right w:val="single" w:color="000000" w:sz="4" w:space="0"/>
            </w:tcBorders>
            <w:vAlign w:val="center"/>
          </w:tcPr>
          <w:p w14:paraId="5C919F62">
            <w:pPr>
              <w:snapToGrid w:val="0"/>
              <w:spacing w:line="400" w:lineRule="exact"/>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w:t>
            </w:r>
          </w:p>
        </w:tc>
        <w:tc>
          <w:tcPr>
            <w:tcW w:w="2198" w:type="dxa"/>
            <w:tcBorders>
              <w:top w:val="single" w:color="000000" w:sz="4" w:space="0"/>
              <w:left w:val="single" w:color="000000" w:sz="4" w:space="0"/>
              <w:bottom w:val="single" w:color="000000" w:sz="4" w:space="0"/>
              <w:right w:val="single" w:color="000000" w:sz="4" w:space="0"/>
            </w:tcBorders>
            <w:vAlign w:val="center"/>
          </w:tcPr>
          <w:p w14:paraId="1AAAFE2A">
            <w:pPr>
              <w:snapToGrid w:val="0"/>
              <w:spacing w:line="400" w:lineRule="exact"/>
              <w:jc w:val="center"/>
              <w:rPr>
                <w:rFonts w:hint="default" w:ascii="方正仿宋_GBK" w:hAnsi="宋体" w:eastAsia="方正仿宋_GBK"/>
                <w:color w:val="auto"/>
                <w:sz w:val="24"/>
                <w:szCs w:val="24"/>
                <w:highlight w:val="none"/>
                <w:lang w:val="en-US" w:eastAsia="zh-CN"/>
              </w:rPr>
            </w:pPr>
            <w:r>
              <w:rPr>
                <w:rFonts w:hint="eastAsia" w:ascii="方正仿宋_GBK" w:hAnsi="宋体" w:eastAsia="方正仿宋_GBK"/>
                <w:color w:val="auto"/>
                <w:sz w:val="24"/>
                <w:szCs w:val="24"/>
                <w:highlight w:val="none"/>
                <w:lang w:val="en-US" w:eastAsia="zh-CN"/>
              </w:rPr>
              <w:t>特写感知设备</w:t>
            </w:r>
          </w:p>
        </w:tc>
        <w:tc>
          <w:tcPr>
            <w:tcW w:w="1416" w:type="dxa"/>
            <w:tcBorders>
              <w:top w:val="single" w:color="000000" w:sz="4" w:space="0"/>
              <w:left w:val="single" w:color="000000" w:sz="4" w:space="0"/>
              <w:bottom w:val="single" w:color="000000" w:sz="4" w:space="0"/>
              <w:right w:val="single" w:color="000000" w:sz="4" w:space="0"/>
            </w:tcBorders>
            <w:vAlign w:val="center"/>
          </w:tcPr>
          <w:p w14:paraId="01B36C7C">
            <w:pPr>
              <w:snapToGrid w:val="0"/>
              <w:spacing w:line="400" w:lineRule="exact"/>
              <w:jc w:val="center"/>
              <w:rPr>
                <w:rFonts w:hint="eastAsia" w:ascii="方正仿宋_GBK" w:hAnsi="宋体" w:eastAsia="方正仿宋_GBK"/>
                <w:color w:val="auto"/>
                <w:sz w:val="24"/>
                <w:szCs w:val="24"/>
                <w:highlight w:val="none"/>
              </w:rPr>
            </w:pPr>
            <w:r>
              <w:rPr>
                <w:rFonts w:hint="default" w:ascii="方正仿宋_GBK" w:hAnsi="宋体" w:eastAsia="方正仿宋_GBK"/>
                <w:color w:val="auto"/>
                <w:sz w:val="24"/>
                <w:szCs w:val="24"/>
                <w:highlight w:val="none"/>
                <w:lang w:val="en-US" w:eastAsia="zh-CN"/>
              </w:rPr>
              <w:t>300</w:t>
            </w:r>
          </w:p>
        </w:tc>
        <w:tc>
          <w:tcPr>
            <w:tcW w:w="1663" w:type="dxa"/>
            <w:tcBorders>
              <w:top w:val="single" w:color="000000" w:sz="4" w:space="0"/>
              <w:left w:val="single" w:color="000000" w:sz="4" w:space="0"/>
              <w:bottom w:val="single" w:color="000000" w:sz="4" w:space="0"/>
              <w:right w:val="single" w:color="000000" w:sz="4" w:space="0"/>
            </w:tcBorders>
            <w:vAlign w:val="center"/>
          </w:tcPr>
          <w:p w14:paraId="0B92B94A">
            <w:pPr>
              <w:snapToGrid w:val="0"/>
              <w:spacing w:line="400" w:lineRule="exact"/>
              <w:jc w:val="center"/>
              <w:rPr>
                <w:rFonts w:ascii="方正仿宋_GBK" w:hAnsi="宋体" w:eastAsia="方正仿宋_GBK"/>
                <w:color w:val="auto"/>
                <w:sz w:val="24"/>
                <w:szCs w:val="24"/>
                <w:highlight w:val="none"/>
              </w:rPr>
            </w:pPr>
          </w:p>
        </w:tc>
        <w:tc>
          <w:tcPr>
            <w:tcW w:w="2255" w:type="dxa"/>
            <w:tcBorders>
              <w:top w:val="single" w:color="000000" w:sz="4" w:space="0"/>
              <w:left w:val="single" w:color="000000" w:sz="4" w:space="0"/>
              <w:bottom w:val="single" w:color="000000" w:sz="4" w:space="0"/>
              <w:right w:val="single" w:color="000000" w:sz="4" w:space="0"/>
            </w:tcBorders>
            <w:vAlign w:val="center"/>
          </w:tcPr>
          <w:p w14:paraId="7AD67C35">
            <w:pPr>
              <w:snapToGrid w:val="0"/>
              <w:spacing w:line="400" w:lineRule="exact"/>
              <w:jc w:val="center"/>
              <w:rPr>
                <w:rFonts w:ascii="方正仿宋_GBK" w:hAnsi="宋体" w:eastAsia="方正仿宋_GBK"/>
                <w:color w:val="auto"/>
                <w:sz w:val="24"/>
                <w:szCs w:val="24"/>
                <w:highlight w:val="none"/>
              </w:rPr>
            </w:pPr>
          </w:p>
        </w:tc>
        <w:tc>
          <w:tcPr>
            <w:tcW w:w="1309" w:type="dxa"/>
            <w:tcBorders>
              <w:top w:val="single" w:color="000000" w:sz="4" w:space="0"/>
              <w:left w:val="single" w:color="000000" w:sz="4" w:space="0"/>
              <w:bottom w:val="single" w:color="000000" w:sz="4" w:space="0"/>
              <w:right w:val="single" w:color="000000" w:sz="4" w:space="0"/>
            </w:tcBorders>
            <w:vAlign w:val="center"/>
          </w:tcPr>
          <w:p w14:paraId="2D46239D">
            <w:pPr>
              <w:snapToGrid w:val="0"/>
              <w:spacing w:line="400" w:lineRule="exact"/>
              <w:jc w:val="center"/>
              <w:rPr>
                <w:rFonts w:ascii="方正仿宋_GBK" w:hAnsi="宋体" w:eastAsia="方正仿宋_GBK"/>
                <w:color w:val="auto"/>
                <w:sz w:val="24"/>
                <w:szCs w:val="24"/>
                <w:highlight w:val="none"/>
              </w:rPr>
            </w:pPr>
          </w:p>
        </w:tc>
      </w:tr>
      <w:tr w14:paraId="47CB5C90">
        <w:tblPrEx>
          <w:tblCellMar>
            <w:top w:w="0" w:type="dxa"/>
            <w:left w:w="108" w:type="dxa"/>
            <w:bottom w:w="0" w:type="dxa"/>
            <w:right w:w="108" w:type="dxa"/>
          </w:tblCellMar>
        </w:tblPrEx>
        <w:trPr>
          <w:trHeight w:val="850" w:hRule="atLeast"/>
          <w:jc w:val="center"/>
        </w:trPr>
        <w:tc>
          <w:tcPr>
            <w:tcW w:w="6014" w:type="dxa"/>
            <w:gridSpan w:val="4"/>
            <w:tcBorders>
              <w:top w:val="single" w:color="000000" w:sz="4" w:space="0"/>
              <w:left w:val="single" w:color="000000" w:sz="4" w:space="0"/>
              <w:bottom w:val="single" w:color="auto" w:sz="4" w:space="0"/>
              <w:right w:val="single" w:color="000000" w:sz="4" w:space="0"/>
            </w:tcBorders>
            <w:vAlign w:val="center"/>
          </w:tcPr>
          <w:p w14:paraId="35A63553">
            <w:pPr>
              <w:snapToGrid w:val="0"/>
              <w:spacing w:line="400" w:lineRule="exact"/>
              <w:ind w:firstLine="480"/>
              <w:jc w:val="center"/>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合计</w:t>
            </w:r>
            <w:r>
              <w:rPr>
                <w:rFonts w:hint="eastAsia" w:ascii="方正仿宋_GBK" w:hAnsi="宋体" w:eastAsia="方正仿宋_GBK"/>
                <w:color w:val="auto"/>
                <w:sz w:val="24"/>
                <w:szCs w:val="24"/>
                <w:highlight w:val="none"/>
                <w:lang w:eastAsia="zh-CN"/>
              </w:rPr>
              <w:t>（</w:t>
            </w:r>
            <w:r>
              <w:rPr>
                <w:rFonts w:hint="eastAsia" w:ascii="方正仿宋_GBK" w:hAnsi="宋体" w:eastAsia="方正仿宋_GBK"/>
                <w:color w:val="auto"/>
                <w:sz w:val="24"/>
                <w:szCs w:val="24"/>
                <w:highlight w:val="none"/>
                <w:lang w:val="en-US" w:eastAsia="zh-CN"/>
              </w:rPr>
              <w:t>元</w:t>
            </w:r>
            <w:r>
              <w:rPr>
                <w:rFonts w:hint="eastAsia" w:ascii="方正仿宋_GBK" w:hAnsi="宋体" w:eastAsia="方正仿宋_GBK"/>
                <w:color w:val="auto"/>
                <w:sz w:val="24"/>
                <w:szCs w:val="24"/>
                <w:highlight w:val="none"/>
                <w:lang w:eastAsia="zh-CN"/>
              </w:rPr>
              <w:t>）</w:t>
            </w:r>
          </w:p>
        </w:tc>
        <w:tc>
          <w:tcPr>
            <w:tcW w:w="2255" w:type="dxa"/>
            <w:tcBorders>
              <w:top w:val="single" w:color="000000" w:sz="4" w:space="0"/>
              <w:left w:val="single" w:color="000000" w:sz="4" w:space="0"/>
              <w:bottom w:val="single" w:color="000000" w:sz="4" w:space="0"/>
              <w:right w:val="single" w:color="000000" w:sz="4" w:space="0"/>
            </w:tcBorders>
            <w:vAlign w:val="center"/>
          </w:tcPr>
          <w:p w14:paraId="68D3F648">
            <w:pPr>
              <w:snapToGrid w:val="0"/>
              <w:spacing w:line="400" w:lineRule="exact"/>
              <w:ind w:firstLine="480"/>
              <w:rPr>
                <w:rFonts w:ascii="方正仿宋_GBK" w:hAnsi="宋体" w:eastAsia="方正仿宋_GBK"/>
                <w:color w:val="auto"/>
                <w:sz w:val="24"/>
                <w:szCs w:val="24"/>
                <w:highlight w:val="none"/>
              </w:rPr>
            </w:pPr>
          </w:p>
        </w:tc>
        <w:tc>
          <w:tcPr>
            <w:tcW w:w="1309" w:type="dxa"/>
            <w:tcBorders>
              <w:top w:val="single" w:color="000000" w:sz="4" w:space="0"/>
              <w:left w:val="single" w:color="000000" w:sz="4" w:space="0"/>
              <w:bottom w:val="single" w:color="000000" w:sz="4" w:space="0"/>
              <w:right w:val="single" w:color="000000" w:sz="4" w:space="0"/>
            </w:tcBorders>
            <w:vAlign w:val="center"/>
          </w:tcPr>
          <w:p w14:paraId="6651BF5E">
            <w:pPr>
              <w:snapToGrid w:val="0"/>
              <w:spacing w:line="400" w:lineRule="exact"/>
              <w:ind w:firstLine="480"/>
              <w:rPr>
                <w:rFonts w:ascii="方正仿宋_GBK" w:hAnsi="宋体" w:eastAsia="方正仿宋_GBK"/>
                <w:color w:val="auto"/>
                <w:sz w:val="24"/>
                <w:szCs w:val="24"/>
                <w:highlight w:val="none"/>
              </w:rPr>
            </w:pPr>
          </w:p>
        </w:tc>
      </w:tr>
    </w:tbl>
    <w:p w14:paraId="6DCAF5EA">
      <w:pPr>
        <w:snapToGrid w:val="0"/>
        <w:spacing w:line="400" w:lineRule="exact"/>
        <w:rPr>
          <w:rFonts w:hint="eastAsia" w:ascii="方正仿宋_GBK" w:hAnsi="方正仿宋_GBK" w:eastAsia="方正仿宋_GBK" w:cs="方正仿宋_GBK"/>
          <w:color w:val="auto"/>
          <w:sz w:val="24"/>
          <w:szCs w:val="24"/>
          <w:highlight w:val="none"/>
        </w:rPr>
      </w:pPr>
    </w:p>
    <w:p w14:paraId="0EFD7BE9">
      <w:pPr>
        <w:snapToGrid w:val="0"/>
        <w:spacing w:line="400" w:lineRule="exact"/>
        <w:rPr>
          <w:rFonts w:hint="eastAsia" w:ascii="方正仿宋_GBK" w:hAnsi="方正仿宋_GBK" w:eastAsia="方正仿宋_GBK" w:cs="方正仿宋_GBK"/>
          <w:color w:val="auto"/>
          <w:sz w:val="24"/>
          <w:szCs w:val="24"/>
          <w:highlight w:val="none"/>
        </w:rPr>
      </w:pPr>
    </w:p>
    <w:p w14:paraId="618E5EE1">
      <w:pPr>
        <w:snapToGrid w:val="0"/>
        <w:spacing w:line="400" w:lineRule="exact"/>
        <w:ind w:firstLine="480"/>
        <w:rPr>
          <w:rFonts w:ascii="方正仿宋_GBK" w:hAnsi="宋体" w:eastAsia="方正仿宋_GBK"/>
          <w:color w:val="auto"/>
          <w:sz w:val="24"/>
          <w:szCs w:val="24"/>
          <w:highlight w:val="none"/>
        </w:rPr>
      </w:pPr>
    </w:p>
    <w:p w14:paraId="0A991721">
      <w:pPr>
        <w:spacing w:line="500" w:lineRule="exact"/>
        <w:ind w:firstLine="48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投标人：                      法定代表人（或法定代表人授权代表）或自然人：</w:t>
      </w:r>
    </w:p>
    <w:p w14:paraId="00BE16AA">
      <w:pPr>
        <w:spacing w:line="500" w:lineRule="exact"/>
        <w:ind w:firstLine="48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（投标人公章）                               （签署或盖章）</w:t>
      </w:r>
    </w:p>
    <w:p w14:paraId="625D520E">
      <w:pPr>
        <w:spacing w:line="500" w:lineRule="exact"/>
        <w:ind w:firstLine="480"/>
        <w:rPr>
          <w:rFonts w:ascii="方正仿宋_GBK" w:hAnsi="方正仿宋_GBK" w:eastAsia="方正仿宋_GBK" w:cs="方正仿宋_GBK"/>
          <w:color w:val="auto"/>
          <w:sz w:val="24"/>
          <w:szCs w:val="24"/>
          <w:highlight w:val="none"/>
        </w:rPr>
      </w:pPr>
    </w:p>
    <w:p w14:paraId="075BA0AB">
      <w:pPr>
        <w:spacing w:line="500" w:lineRule="exact"/>
        <w:ind w:firstLine="554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年</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月</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日</w:t>
      </w:r>
    </w:p>
    <w:p w14:paraId="6E7A306F">
      <w:pPr>
        <w:rPr>
          <w:rFonts w:ascii="方正仿宋_GBK" w:hAnsi="方正仿宋_GBK" w:eastAsia="方正仿宋_GBK" w:cs="方正仿宋_GBK"/>
          <w:color w:val="auto"/>
          <w:szCs w:val="28"/>
          <w:highlight w:val="none"/>
        </w:rPr>
      </w:pPr>
      <w:r>
        <w:rPr>
          <w:rFonts w:ascii="方正仿宋_GBK" w:hAnsi="方正仿宋_GBK" w:eastAsia="方正仿宋_GBK" w:cs="方正仿宋_GBK"/>
          <w:color w:val="auto"/>
          <w:szCs w:val="28"/>
          <w:highlight w:val="none"/>
        </w:rPr>
        <w:br w:type="page"/>
      </w:r>
    </w:p>
    <w:p w14:paraId="35876DC2">
      <w:pPr>
        <w:snapToGrid w:val="0"/>
        <w:spacing w:before="120" w:beforeLines="50" w:after="120" w:afterLines="50"/>
        <w:jc w:val="center"/>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（三）分项报价明细表</w:t>
      </w:r>
    </w:p>
    <w:p w14:paraId="467D9D9E">
      <w:pPr>
        <w:snapToGrid w:val="0"/>
        <w:spacing w:line="400" w:lineRule="exac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项目号：</w:t>
      </w:r>
    </w:p>
    <w:p w14:paraId="1F0DDBA1">
      <w:pPr>
        <w:snapToGrid w:val="0"/>
        <w:spacing w:line="400" w:lineRule="exac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w:t>
      </w:r>
      <w:r>
        <w:rPr>
          <w:rFonts w:ascii="方正仿宋_GBK" w:hAnsi="宋体" w:eastAsia="方正仿宋_GBK"/>
          <w:color w:val="auto"/>
          <w:sz w:val="24"/>
          <w:szCs w:val="24"/>
          <w:highlight w:val="none"/>
        </w:rPr>
        <w:t xml:space="preserve">                                           </w:t>
      </w:r>
      <w:r>
        <w:rPr>
          <w:rFonts w:hint="eastAsia" w:ascii="方正仿宋_GBK" w:hAnsi="宋体" w:eastAsia="方正仿宋_GBK"/>
          <w:color w:val="auto"/>
          <w:sz w:val="24"/>
          <w:szCs w:val="24"/>
          <w:highlight w:val="none"/>
        </w:rPr>
        <w:t xml:space="preserve">           单位：元</w:t>
      </w:r>
    </w:p>
    <w:tbl>
      <w:tblPr>
        <w:tblStyle w:val="58"/>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12"/>
        <w:gridCol w:w="2416"/>
        <w:gridCol w:w="1213"/>
        <w:gridCol w:w="1213"/>
        <w:gridCol w:w="912"/>
        <w:gridCol w:w="912"/>
        <w:gridCol w:w="912"/>
      </w:tblGrid>
      <w:tr w14:paraId="2830C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912" w:type="dxa"/>
            <w:vAlign w:val="center"/>
          </w:tcPr>
          <w:p w14:paraId="087C0B3D">
            <w:pPr>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序号</w:t>
            </w:r>
          </w:p>
        </w:tc>
        <w:tc>
          <w:tcPr>
            <w:tcW w:w="912" w:type="dxa"/>
            <w:vAlign w:val="center"/>
          </w:tcPr>
          <w:p w14:paraId="7F769615">
            <w:pPr>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名称</w:t>
            </w:r>
          </w:p>
        </w:tc>
        <w:tc>
          <w:tcPr>
            <w:tcW w:w="2416" w:type="dxa"/>
            <w:vAlign w:val="center"/>
          </w:tcPr>
          <w:p w14:paraId="1FF16869">
            <w:pPr>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品牌、规格型号</w:t>
            </w:r>
          </w:p>
        </w:tc>
        <w:tc>
          <w:tcPr>
            <w:tcW w:w="1213" w:type="dxa"/>
            <w:vAlign w:val="center"/>
          </w:tcPr>
          <w:p w14:paraId="2AAB7E10">
            <w:pPr>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制造商</w:t>
            </w:r>
          </w:p>
        </w:tc>
        <w:tc>
          <w:tcPr>
            <w:tcW w:w="1213" w:type="dxa"/>
            <w:vAlign w:val="center"/>
          </w:tcPr>
          <w:p w14:paraId="61BBEA95">
            <w:pPr>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生产地</w:t>
            </w:r>
          </w:p>
        </w:tc>
        <w:tc>
          <w:tcPr>
            <w:tcW w:w="912" w:type="dxa"/>
            <w:vAlign w:val="center"/>
          </w:tcPr>
          <w:p w14:paraId="7100783D">
            <w:pPr>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数量</w:t>
            </w:r>
          </w:p>
        </w:tc>
        <w:tc>
          <w:tcPr>
            <w:tcW w:w="912" w:type="dxa"/>
            <w:vAlign w:val="center"/>
          </w:tcPr>
          <w:p w14:paraId="67ECFC16">
            <w:pPr>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单价</w:t>
            </w:r>
          </w:p>
        </w:tc>
        <w:tc>
          <w:tcPr>
            <w:tcW w:w="912" w:type="dxa"/>
            <w:vAlign w:val="center"/>
          </w:tcPr>
          <w:p w14:paraId="25E49402">
            <w:pPr>
              <w:jc w:val="center"/>
              <w:rPr>
                <w:rFonts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t>合计</w:t>
            </w:r>
          </w:p>
        </w:tc>
      </w:tr>
      <w:tr w14:paraId="43221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78B3A5A8">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w:t>
            </w:r>
          </w:p>
        </w:tc>
        <w:tc>
          <w:tcPr>
            <w:tcW w:w="912" w:type="dxa"/>
            <w:vAlign w:val="center"/>
          </w:tcPr>
          <w:p w14:paraId="27F6AF3B">
            <w:pPr>
              <w:jc w:val="center"/>
              <w:rPr>
                <w:rFonts w:ascii="方正仿宋_GBK" w:hAnsi="方正仿宋_GBK" w:eastAsia="方正仿宋_GBK" w:cs="方正仿宋_GBK"/>
                <w:color w:val="auto"/>
                <w:sz w:val="24"/>
                <w:szCs w:val="24"/>
                <w:highlight w:val="none"/>
              </w:rPr>
            </w:pPr>
          </w:p>
        </w:tc>
        <w:tc>
          <w:tcPr>
            <w:tcW w:w="2416" w:type="dxa"/>
          </w:tcPr>
          <w:p w14:paraId="357D2177">
            <w:pPr>
              <w:jc w:val="center"/>
              <w:rPr>
                <w:rFonts w:ascii="方正仿宋_GBK" w:hAnsi="方正仿宋_GBK" w:eastAsia="方正仿宋_GBK" w:cs="方正仿宋_GBK"/>
                <w:color w:val="auto"/>
                <w:sz w:val="24"/>
                <w:szCs w:val="24"/>
                <w:highlight w:val="none"/>
              </w:rPr>
            </w:pPr>
          </w:p>
        </w:tc>
        <w:tc>
          <w:tcPr>
            <w:tcW w:w="1213" w:type="dxa"/>
          </w:tcPr>
          <w:p w14:paraId="1B376F0E">
            <w:pPr>
              <w:jc w:val="center"/>
              <w:rPr>
                <w:rFonts w:ascii="方正仿宋_GBK" w:hAnsi="方正仿宋_GBK" w:eastAsia="方正仿宋_GBK" w:cs="方正仿宋_GBK"/>
                <w:color w:val="auto"/>
                <w:sz w:val="24"/>
                <w:szCs w:val="24"/>
                <w:highlight w:val="none"/>
              </w:rPr>
            </w:pPr>
          </w:p>
        </w:tc>
        <w:tc>
          <w:tcPr>
            <w:tcW w:w="1213" w:type="dxa"/>
          </w:tcPr>
          <w:p w14:paraId="71DF4FF7">
            <w:pPr>
              <w:jc w:val="center"/>
              <w:rPr>
                <w:rFonts w:ascii="方正仿宋_GBK" w:hAnsi="方正仿宋_GBK" w:eastAsia="方正仿宋_GBK" w:cs="方正仿宋_GBK"/>
                <w:color w:val="auto"/>
                <w:sz w:val="24"/>
                <w:szCs w:val="24"/>
                <w:highlight w:val="none"/>
              </w:rPr>
            </w:pPr>
          </w:p>
        </w:tc>
        <w:tc>
          <w:tcPr>
            <w:tcW w:w="912" w:type="dxa"/>
            <w:vAlign w:val="center"/>
          </w:tcPr>
          <w:p w14:paraId="3204C7F0">
            <w:pPr>
              <w:jc w:val="center"/>
              <w:rPr>
                <w:rFonts w:ascii="方正仿宋_GBK" w:hAnsi="方正仿宋_GBK" w:eastAsia="方正仿宋_GBK" w:cs="方正仿宋_GBK"/>
                <w:color w:val="auto"/>
                <w:sz w:val="24"/>
                <w:szCs w:val="24"/>
                <w:highlight w:val="none"/>
              </w:rPr>
            </w:pPr>
          </w:p>
        </w:tc>
        <w:tc>
          <w:tcPr>
            <w:tcW w:w="912" w:type="dxa"/>
          </w:tcPr>
          <w:p w14:paraId="57E9CA04">
            <w:pPr>
              <w:jc w:val="center"/>
              <w:rPr>
                <w:rFonts w:ascii="方正仿宋_GBK" w:hAnsi="方正仿宋_GBK" w:eastAsia="方正仿宋_GBK" w:cs="方正仿宋_GBK"/>
                <w:color w:val="auto"/>
                <w:sz w:val="24"/>
                <w:szCs w:val="24"/>
                <w:highlight w:val="none"/>
              </w:rPr>
            </w:pPr>
          </w:p>
        </w:tc>
        <w:tc>
          <w:tcPr>
            <w:tcW w:w="912" w:type="dxa"/>
          </w:tcPr>
          <w:p w14:paraId="3784ACA9">
            <w:pPr>
              <w:jc w:val="center"/>
              <w:rPr>
                <w:rFonts w:ascii="方正仿宋_GBK" w:hAnsi="方正仿宋_GBK" w:eastAsia="方正仿宋_GBK" w:cs="方正仿宋_GBK"/>
                <w:color w:val="auto"/>
                <w:sz w:val="24"/>
                <w:szCs w:val="24"/>
                <w:highlight w:val="none"/>
              </w:rPr>
            </w:pPr>
          </w:p>
        </w:tc>
      </w:tr>
      <w:tr w14:paraId="75D73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1F4410B5">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w:t>
            </w:r>
          </w:p>
        </w:tc>
        <w:tc>
          <w:tcPr>
            <w:tcW w:w="912" w:type="dxa"/>
            <w:vAlign w:val="center"/>
          </w:tcPr>
          <w:p w14:paraId="2338B1B3">
            <w:pPr>
              <w:jc w:val="center"/>
              <w:rPr>
                <w:rFonts w:ascii="方正仿宋_GBK" w:hAnsi="方正仿宋_GBK" w:eastAsia="方正仿宋_GBK" w:cs="方正仿宋_GBK"/>
                <w:color w:val="auto"/>
                <w:sz w:val="24"/>
                <w:szCs w:val="24"/>
                <w:highlight w:val="none"/>
              </w:rPr>
            </w:pPr>
          </w:p>
        </w:tc>
        <w:tc>
          <w:tcPr>
            <w:tcW w:w="2416" w:type="dxa"/>
          </w:tcPr>
          <w:p w14:paraId="0DC3DD3F">
            <w:pPr>
              <w:jc w:val="center"/>
              <w:rPr>
                <w:rFonts w:ascii="方正仿宋_GBK" w:hAnsi="方正仿宋_GBK" w:eastAsia="方正仿宋_GBK" w:cs="方正仿宋_GBK"/>
                <w:color w:val="auto"/>
                <w:sz w:val="24"/>
                <w:szCs w:val="24"/>
                <w:highlight w:val="none"/>
              </w:rPr>
            </w:pPr>
          </w:p>
        </w:tc>
        <w:tc>
          <w:tcPr>
            <w:tcW w:w="1213" w:type="dxa"/>
          </w:tcPr>
          <w:p w14:paraId="4297E1B6">
            <w:pPr>
              <w:jc w:val="center"/>
              <w:rPr>
                <w:rFonts w:ascii="方正仿宋_GBK" w:hAnsi="方正仿宋_GBK" w:eastAsia="方正仿宋_GBK" w:cs="方正仿宋_GBK"/>
                <w:color w:val="auto"/>
                <w:sz w:val="24"/>
                <w:szCs w:val="24"/>
                <w:highlight w:val="none"/>
              </w:rPr>
            </w:pPr>
          </w:p>
        </w:tc>
        <w:tc>
          <w:tcPr>
            <w:tcW w:w="1213" w:type="dxa"/>
          </w:tcPr>
          <w:p w14:paraId="33BE88A3">
            <w:pPr>
              <w:jc w:val="center"/>
              <w:rPr>
                <w:rFonts w:ascii="方正仿宋_GBK" w:hAnsi="方正仿宋_GBK" w:eastAsia="方正仿宋_GBK" w:cs="方正仿宋_GBK"/>
                <w:color w:val="auto"/>
                <w:sz w:val="24"/>
                <w:szCs w:val="24"/>
                <w:highlight w:val="none"/>
              </w:rPr>
            </w:pPr>
          </w:p>
        </w:tc>
        <w:tc>
          <w:tcPr>
            <w:tcW w:w="912" w:type="dxa"/>
            <w:vAlign w:val="center"/>
          </w:tcPr>
          <w:p w14:paraId="29618BF1">
            <w:pPr>
              <w:jc w:val="center"/>
              <w:rPr>
                <w:rFonts w:ascii="方正仿宋_GBK" w:hAnsi="方正仿宋_GBK" w:eastAsia="方正仿宋_GBK" w:cs="方正仿宋_GBK"/>
                <w:color w:val="auto"/>
                <w:sz w:val="24"/>
                <w:szCs w:val="24"/>
                <w:highlight w:val="none"/>
              </w:rPr>
            </w:pPr>
          </w:p>
        </w:tc>
        <w:tc>
          <w:tcPr>
            <w:tcW w:w="912" w:type="dxa"/>
          </w:tcPr>
          <w:p w14:paraId="62874FBC">
            <w:pPr>
              <w:jc w:val="center"/>
              <w:rPr>
                <w:rFonts w:ascii="方正仿宋_GBK" w:hAnsi="方正仿宋_GBK" w:eastAsia="方正仿宋_GBK" w:cs="方正仿宋_GBK"/>
                <w:color w:val="auto"/>
                <w:sz w:val="24"/>
                <w:szCs w:val="24"/>
                <w:highlight w:val="none"/>
              </w:rPr>
            </w:pPr>
          </w:p>
        </w:tc>
        <w:tc>
          <w:tcPr>
            <w:tcW w:w="912" w:type="dxa"/>
          </w:tcPr>
          <w:p w14:paraId="157F3A92">
            <w:pPr>
              <w:jc w:val="center"/>
              <w:rPr>
                <w:rFonts w:ascii="方正仿宋_GBK" w:hAnsi="方正仿宋_GBK" w:eastAsia="方正仿宋_GBK" w:cs="方正仿宋_GBK"/>
                <w:color w:val="auto"/>
                <w:sz w:val="24"/>
                <w:szCs w:val="24"/>
                <w:highlight w:val="none"/>
              </w:rPr>
            </w:pPr>
          </w:p>
        </w:tc>
      </w:tr>
      <w:tr w14:paraId="1F1D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17AEC385">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w:t>
            </w:r>
          </w:p>
        </w:tc>
        <w:tc>
          <w:tcPr>
            <w:tcW w:w="912" w:type="dxa"/>
            <w:vAlign w:val="center"/>
          </w:tcPr>
          <w:p w14:paraId="69CFDC5B">
            <w:pPr>
              <w:jc w:val="center"/>
              <w:rPr>
                <w:rFonts w:ascii="方正仿宋_GBK" w:hAnsi="方正仿宋_GBK" w:eastAsia="方正仿宋_GBK" w:cs="方正仿宋_GBK"/>
                <w:color w:val="auto"/>
                <w:sz w:val="24"/>
                <w:szCs w:val="24"/>
                <w:highlight w:val="none"/>
              </w:rPr>
            </w:pPr>
          </w:p>
        </w:tc>
        <w:tc>
          <w:tcPr>
            <w:tcW w:w="2416" w:type="dxa"/>
          </w:tcPr>
          <w:p w14:paraId="3D207DAB">
            <w:pPr>
              <w:jc w:val="center"/>
              <w:rPr>
                <w:rFonts w:ascii="方正仿宋_GBK" w:hAnsi="方正仿宋_GBK" w:eastAsia="方正仿宋_GBK" w:cs="方正仿宋_GBK"/>
                <w:color w:val="auto"/>
                <w:sz w:val="24"/>
                <w:szCs w:val="24"/>
                <w:highlight w:val="none"/>
              </w:rPr>
            </w:pPr>
          </w:p>
        </w:tc>
        <w:tc>
          <w:tcPr>
            <w:tcW w:w="1213" w:type="dxa"/>
          </w:tcPr>
          <w:p w14:paraId="1973DEFB">
            <w:pPr>
              <w:jc w:val="center"/>
              <w:rPr>
                <w:rFonts w:ascii="方正仿宋_GBK" w:hAnsi="方正仿宋_GBK" w:eastAsia="方正仿宋_GBK" w:cs="方正仿宋_GBK"/>
                <w:color w:val="auto"/>
                <w:sz w:val="24"/>
                <w:szCs w:val="24"/>
                <w:highlight w:val="none"/>
              </w:rPr>
            </w:pPr>
          </w:p>
        </w:tc>
        <w:tc>
          <w:tcPr>
            <w:tcW w:w="1213" w:type="dxa"/>
          </w:tcPr>
          <w:p w14:paraId="3C227878">
            <w:pPr>
              <w:jc w:val="center"/>
              <w:rPr>
                <w:rFonts w:ascii="方正仿宋_GBK" w:hAnsi="方正仿宋_GBK" w:eastAsia="方正仿宋_GBK" w:cs="方正仿宋_GBK"/>
                <w:color w:val="auto"/>
                <w:sz w:val="24"/>
                <w:szCs w:val="24"/>
                <w:highlight w:val="none"/>
              </w:rPr>
            </w:pPr>
          </w:p>
        </w:tc>
        <w:tc>
          <w:tcPr>
            <w:tcW w:w="912" w:type="dxa"/>
            <w:vAlign w:val="center"/>
          </w:tcPr>
          <w:p w14:paraId="710DD086">
            <w:pPr>
              <w:jc w:val="center"/>
              <w:rPr>
                <w:rFonts w:ascii="方正仿宋_GBK" w:hAnsi="方正仿宋_GBK" w:eastAsia="方正仿宋_GBK" w:cs="方正仿宋_GBK"/>
                <w:color w:val="auto"/>
                <w:sz w:val="24"/>
                <w:szCs w:val="24"/>
                <w:highlight w:val="none"/>
              </w:rPr>
            </w:pPr>
          </w:p>
        </w:tc>
        <w:tc>
          <w:tcPr>
            <w:tcW w:w="912" w:type="dxa"/>
          </w:tcPr>
          <w:p w14:paraId="06B494A2">
            <w:pPr>
              <w:jc w:val="center"/>
              <w:rPr>
                <w:rFonts w:ascii="方正仿宋_GBK" w:hAnsi="方正仿宋_GBK" w:eastAsia="方正仿宋_GBK" w:cs="方正仿宋_GBK"/>
                <w:color w:val="auto"/>
                <w:sz w:val="24"/>
                <w:szCs w:val="24"/>
                <w:highlight w:val="none"/>
              </w:rPr>
            </w:pPr>
          </w:p>
        </w:tc>
        <w:tc>
          <w:tcPr>
            <w:tcW w:w="912" w:type="dxa"/>
          </w:tcPr>
          <w:p w14:paraId="52BE004E">
            <w:pPr>
              <w:jc w:val="center"/>
              <w:rPr>
                <w:rFonts w:ascii="方正仿宋_GBK" w:hAnsi="方正仿宋_GBK" w:eastAsia="方正仿宋_GBK" w:cs="方正仿宋_GBK"/>
                <w:color w:val="auto"/>
                <w:sz w:val="24"/>
                <w:szCs w:val="24"/>
                <w:highlight w:val="none"/>
              </w:rPr>
            </w:pPr>
          </w:p>
        </w:tc>
      </w:tr>
      <w:tr w14:paraId="1F68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38799FC0">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4</w:t>
            </w:r>
          </w:p>
        </w:tc>
        <w:tc>
          <w:tcPr>
            <w:tcW w:w="912" w:type="dxa"/>
            <w:vAlign w:val="center"/>
          </w:tcPr>
          <w:p w14:paraId="1F225F6D">
            <w:pPr>
              <w:jc w:val="center"/>
              <w:rPr>
                <w:rFonts w:ascii="方正仿宋_GBK" w:hAnsi="方正仿宋_GBK" w:eastAsia="方正仿宋_GBK" w:cs="方正仿宋_GBK"/>
                <w:color w:val="auto"/>
                <w:sz w:val="24"/>
                <w:szCs w:val="24"/>
                <w:highlight w:val="none"/>
              </w:rPr>
            </w:pPr>
          </w:p>
        </w:tc>
        <w:tc>
          <w:tcPr>
            <w:tcW w:w="2416" w:type="dxa"/>
          </w:tcPr>
          <w:p w14:paraId="353C3D22">
            <w:pPr>
              <w:jc w:val="center"/>
              <w:rPr>
                <w:rFonts w:ascii="方正仿宋_GBK" w:hAnsi="方正仿宋_GBK" w:eastAsia="方正仿宋_GBK" w:cs="方正仿宋_GBK"/>
                <w:color w:val="auto"/>
                <w:sz w:val="24"/>
                <w:szCs w:val="24"/>
                <w:highlight w:val="none"/>
              </w:rPr>
            </w:pPr>
          </w:p>
        </w:tc>
        <w:tc>
          <w:tcPr>
            <w:tcW w:w="1213" w:type="dxa"/>
          </w:tcPr>
          <w:p w14:paraId="3AF8426B">
            <w:pPr>
              <w:jc w:val="center"/>
              <w:rPr>
                <w:rFonts w:ascii="方正仿宋_GBK" w:hAnsi="方正仿宋_GBK" w:eastAsia="方正仿宋_GBK" w:cs="方正仿宋_GBK"/>
                <w:color w:val="auto"/>
                <w:sz w:val="24"/>
                <w:szCs w:val="24"/>
                <w:highlight w:val="none"/>
              </w:rPr>
            </w:pPr>
          </w:p>
        </w:tc>
        <w:tc>
          <w:tcPr>
            <w:tcW w:w="1213" w:type="dxa"/>
          </w:tcPr>
          <w:p w14:paraId="209899A2">
            <w:pPr>
              <w:jc w:val="center"/>
              <w:rPr>
                <w:rFonts w:ascii="方正仿宋_GBK" w:hAnsi="方正仿宋_GBK" w:eastAsia="方正仿宋_GBK" w:cs="方正仿宋_GBK"/>
                <w:color w:val="auto"/>
                <w:sz w:val="24"/>
                <w:szCs w:val="24"/>
                <w:highlight w:val="none"/>
              </w:rPr>
            </w:pPr>
          </w:p>
        </w:tc>
        <w:tc>
          <w:tcPr>
            <w:tcW w:w="912" w:type="dxa"/>
            <w:vAlign w:val="center"/>
          </w:tcPr>
          <w:p w14:paraId="3A8544A6">
            <w:pPr>
              <w:jc w:val="center"/>
              <w:rPr>
                <w:rFonts w:ascii="方正仿宋_GBK" w:hAnsi="方正仿宋_GBK" w:eastAsia="方正仿宋_GBK" w:cs="方正仿宋_GBK"/>
                <w:color w:val="auto"/>
                <w:sz w:val="24"/>
                <w:szCs w:val="24"/>
                <w:highlight w:val="none"/>
              </w:rPr>
            </w:pPr>
          </w:p>
        </w:tc>
        <w:tc>
          <w:tcPr>
            <w:tcW w:w="912" w:type="dxa"/>
          </w:tcPr>
          <w:p w14:paraId="40983148">
            <w:pPr>
              <w:jc w:val="center"/>
              <w:rPr>
                <w:rFonts w:ascii="方正仿宋_GBK" w:hAnsi="方正仿宋_GBK" w:eastAsia="方正仿宋_GBK" w:cs="方正仿宋_GBK"/>
                <w:color w:val="auto"/>
                <w:sz w:val="24"/>
                <w:szCs w:val="24"/>
                <w:highlight w:val="none"/>
              </w:rPr>
            </w:pPr>
          </w:p>
        </w:tc>
        <w:tc>
          <w:tcPr>
            <w:tcW w:w="912" w:type="dxa"/>
          </w:tcPr>
          <w:p w14:paraId="394F38FB">
            <w:pPr>
              <w:jc w:val="center"/>
              <w:rPr>
                <w:rFonts w:ascii="方正仿宋_GBK" w:hAnsi="方正仿宋_GBK" w:eastAsia="方正仿宋_GBK" w:cs="方正仿宋_GBK"/>
                <w:color w:val="auto"/>
                <w:sz w:val="24"/>
                <w:szCs w:val="24"/>
                <w:highlight w:val="none"/>
              </w:rPr>
            </w:pPr>
          </w:p>
        </w:tc>
      </w:tr>
      <w:tr w14:paraId="3BA15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709BB8B9">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5</w:t>
            </w:r>
          </w:p>
        </w:tc>
        <w:tc>
          <w:tcPr>
            <w:tcW w:w="912" w:type="dxa"/>
            <w:vAlign w:val="center"/>
          </w:tcPr>
          <w:p w14:paraId="33D2603D">
            <w:pPr>
              <w:jc w:val="center"/>
              <w:rPr>
                <w:rFonts w:ascii="方正仿宋_GBK" w:hAnsi="方正仿宋_GBK" w:eastAsia="方正仿宋_GBK" w:cs="方正仿宋_GBK"/>
                <w:color w:val="auto"/>
                <w:sz w:val="24"/>
                <w:szCs w:val="24"/>
                <w:highlight w:val="none"/>
              </w:rPr>
            </w:pPr>
          </w:p>
        </w:tc>
        <w:tc>
          <w:tcPr>
            <w:tcW w:w="2416" w:type="dxa"/>
          </w:tcPr>
          <w:p w14:paraId="0AC8E323">
            <w:pPr>
              <w:jc w:val="center"/>
              <w:rPr>
                <w:rFonts w:ascii="方正仿宋_GBK" w:hAnsi="方正仿宋_GBK" w:eastAsia="方正仿宋_GBK" w:cs="方正仿宋_GBK"/>
                <w:color w:val="auto"/>
                <w:sz w:val="24"/>
                <w:szCs w:val="24"/>
                <w:highlight w:val="none"/>
              </w:rPr>
            </w:pPr>
          </w:p>
        </w:tc>
        <w:tc>
          <w:tcPr>
            <w:tcW w:w="1213" w:type="dxa"/>
          </w:tcPr>
          <w:p w14:paraId="63385C0C">
            <w:pPr>
              <w:jc w:val="center"/>
              <w:rPr>
                <w:rFonts w:ascii="方正仿宋_GBK" w:hAnsi="方正仿宋_GBK" w:eastAsia="方正仿宋_GBK" w:cs="方正仿宋_GBK"/>
                <w:color w:val="auto"/>
                <w:sz w:val="24"/>
                <w:szCs w:val="24"/>
                <w:highlight w:val="none"/>
              </w:rPr>
            </w:pPr>
          </w:p>
        </w:tc>
        <w:tc>
          <w:tcPr>
            <w:tcW w:w="1213" w:type="dxa"/>
          </w:tcPr>
          <w:p w14:paraId="56E65285">
            <w:pPr>
              <w:jc w:val="center"/>
              <w:rPr>
                <w:rFonts w:ascii="方正仿宋_GBK" w:hAnsi="方正仿宋_GBK" w:eastAsia="方正仿宋_GBK" w:cs="方正仿宋_GBK"/>
                <w:color w:val="auto"/>
                <w:sz w:val="24"/>
                <w:szCs w:val="24"/>
                <w:highlight w:val="none"/>
              </w:rPr>
            </w:pPr>
          </w:p>
        </w:tc>
        <w:tc>
          <w:tcPr>
            <w:tcW w:w="912" w:type="dxa"/>
            <w:vAlign w:val="center"/>
          </w:tcPr>
          <w:p w14:paraId="15C1A121">
            <w:pPr>
              <w:jc w:val="center"/>
              <w:rPr>
                <w:rFonts w:ascii="方正仿宋_GBK" w:hAnsi="方正仿宋_GBK" w:eastAsia="方正仿宋_GBK" w:cs="方正仿宋_GBK"/>
                <w:color w:val="auto"/>
                <w:sz w:val="24"/>
                <w:szCs w:val="24"/>
                <w:highlight w:val="none"/>
              </w:rPr>
            </w:pPr>
          </w:p>
        </w:tc>
        <w:tc>
          <w:tcPr>
            <w:tcW w:w="912" w:type="dxa"/>
          </w:tcPr>
          <w:p w14:paraId="27F2A7D2">
            <w:pPr>
              <w:jc w:val="center"/>
              <w:rPr>
                <w:rFonts w:ascii="方正仿宋_GBK" w:hAnsi="方正仿宋_GBK" w:eastAsia="方正仿宋_GBK" w:cs="方正仿宋_GBK"/>
                <w:color w:val="auto"/>
                <w:sz w:val="24"/>
                <w:szCs w:val="24"/>
                <w:highlight w:val="none"/>
              </w:rPr>
            </w:pPr>
          </w:p>
        </w:tc>
        <w:tc>
          <w:tcPr>
            <w:tcW w:w="912" w:type="dxa"/>
          </w:tcPr>
          <w:p w14:paraId="113C66EB">
            <w:pPr>
              <w:jc w:val="center"/>
              <w:rPr>
                <w:rFonts w:ascii="方正仿宋_GBK" w:hAnsi="方正仿宋_GBK" w:eastAsia="方正仿宋_GBK" w:cs="方正仿宋_GBK"/>
                <w:color w:val="auto"/>
                <w:sz w:val="24"/>
                <w:szCs w:val="24"/>
                <w:highlight w:val="none"/>
              </w:rPr>
            </w:pPr>
          </w:p>
        </w:tc>
      </w:tr>
      <w:tr w14:paraId="292B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426A2082">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6</w:t>
            </w:r>
          </w:p>
        </w:tc>
        <w:tc>
          <w:tcPr>
            <w:tcW w:w="912" w:type="dxa"/>
            <w:vAlign w:val="center"/>
          </w:tcPr>
          <w:p w14:paraId="7BE6D751">
            <w:pPr>
              <w:jc w:val="center"/>
              <w:rPr>
                <w:rFonts w:ascii="方正仿宋_GBK" w:hAnsi="方正仿宋_GBK" w:eastAsia="方正仿宋_GBK" w:cs="方正仿宋_GBK"/>
                <w:color w:val="auto"/>
                <w:sz w:val="24"/>
                <w:szCs w:val="24"/>
                <w:highlight w:val="none"/>
              </w:rPr>
            </w:pPr>
          </w:p>
        </w:tc>
        <w:tc>
          <w:tcPr>
            <w:tcW w:w="2416" w:type="dxa"/>
          </w:tcPr>
          <w:p w14:paraId="32D10061">
            <w:pPr>
              <w:jc w:val="center"/>
              <w:rPr>
                <w:rFonts w:ascii="方正仿宋_GBK" w:hAnsi="方正仿宋_GBK" w:eastAsia="方正仿宋_GBK" w:cs="方正仿宋_GBK"/>
                <w:color w:val="auto"/>
                <w:sz w:val="24"/>
                <w:szCs w:val="24"/>
                <w:highlight w:val="none"/>
              </w:rPr>
            </w:pPr>
          </w:p>
        </w:tc>
        <w:tc>
          <w:tcPr>
            <w:tcW w:w="1213" w:type="dxa"/>
          </w:tcPr>
          <w:p w14:paraId="207CDA74">
            <w:pPr>
              <w:jc w:val="center"/>
              <w:rPr>
                <w:rFonts w:ascii="方正仿宋_GBK" w:hAnsi="方正仿宋_GBK" w:eastAsia="方正仿宋_GBK" w:cs="方正仿宋_GBK"/>
                <w:color w:val="auto"/>
                <w:sz w:val="24"/>
                <w:szCs w:val="24"/>
                <w:highlight w:val="none"/>
              </w:rPr>
            </w:pPr>
          </w:p>
        </w:tc>
        <w:tc>
          <w:tcPr>
            <w:tcW w:w="1213" w:type="dxa"/>
          </w:tcPr>
          <w:p w14:paraId="7456DFBE">
            <w:pPr>
              <w:jc w:val="center"/>
              <w:rPr>
                <w:rFonts w:ascii="方正仿宋_GBK" w:hAnsi="方正仿宋_GBK" w:eastAsia="方正仿宋_GBK" w:cs="方正仿宋_GBK"/>
                <w:color w:val="auto"/>
                <w:sz w:val="24"/>
                <w:szCs w:val="24"/>
                <w:highlight w:val="none"/>
              </w:rPr>
            </w:pPr>
          </w:p>
        </w:tc>
        <w:tc>
          <w:tcPr>
            <w:tcW w:w="912" w:type="dxa"/>
            <w:vAlign w:val="center"/>
          </w:tcPr>
          <w:p w14:paraId="14423D25">
            <w:pPr>
              <w:jc w:val="center"/>
              <w:rPr>
                <w:rFonts w:ascii="方正仿宋_GBK" w:hAnsi="方正仿宋_GBK" w:eastAsia="方正仿宋_GBK" w:cs="方正仿宋_GBK"/>
                <w:color w:val="auto"/>
                <w:sz w:val="24"/>
                <w:szCs w:val="24"/>
                <w:highlight w:val="none"/>
              </w:rPr>
            </w:pPr>
          </w:p>
        </w:tc>
        <w:tc>
          <w:tcPr>
            <w:tcW w:w="912" w:type="dxa"/>
          </w:tcPr>
          <w:p w14:paraId="2A494558">
            <w:pPr>
              <w:jc w:val="center"/>
              <w:rPr>
                <w:rFonts w:ascii="方正仿宋_GBK" w:hAnsi="方正仿宋_GBK" w:eastAsia="方正仿宋_GBK" w:cs="方正仿宋_GBK"/>
                <w:color w:val="auto"/>
                <w:sz w:val="24"/>
                <w:szCs w:val="24"/>
                <w:highlight w:val="none"/>
              </w:rPr>
            </w:pPr>
          </w:p>
        </w:tc>
        <w:tc>
          <w:tcPr>
            <w:tcW w:w="912" w:type="dxa"/>
          </w:tcPr>
          <w:p w14:paraId="14395406">
            <w:pPr>
              <w:jc w:val="center"/>
              <w:rPr>
                <w:rFonts w:ascii="方正仿宋_GBK" w:hAnsi="方正仿宋_GBK" w:eastAsia="方正仿宋_GBK" w:cs="方正仿宋_GBK"/>
                <w:color w:val="auto"/>
                <w:sz w:val="24"/>
                <w:szCs w:val="24"/>
                <w:highlight w:val="none"/>
              </w:rPr>
            </w:pPr>
          </w:p>
        </w:tc>
      </w:tr>
      <w:tr w14:paraId="79A5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7DFCFC1B">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w:t>
            </w:r>
          </w:p>
        </w:tc>
        <w:tc>
          <w:tcPr>
            <w:tcW w:w="912" w:type="dxa"/>
            <w:vAlign w:val="center"/>
          </w:tcPr>
          <w:p w14:paraId="1A9E40AF">
            <w:pPr>
              <w:jc w:val="center"/>
              <w:rPr>
                <w:rFonts w:ascii="方正仿宋_GBK" w:hAnsi="方正仿宋_GBK" w:eastAsia="方正仿宋_GBK" w:cs="方正仿宋_GBK"/>
                <w:color w:val="auto"/>
                <w:sz w:val="24"/>
                <w:szCs w:val="24"/>
                <w:highlight w:val="none"/>
              </w:rPr>
            </w:pPr>
          </w:p>
        </w:tc>
        <w:tc>
          <w:tcPr>
            <w:tcW w:w="2416" w:type="dxa"/>
          </w:tcPr>
          <w:p w14:paraId="03BCCA45">
            <w:pPr>
              <w:jc w:val="center"/>
              <w:rPr>
                <w:rFonts w:ascii="方正仿宋_GBK" w:hAnsi="方正仿宋_GBK" w:eastAsia="方正仿宋_GBK" w:cs="方正仿宋_GBK"/>
                <w:color w:val="auto"/>
                <w:sz w:val="24"/>
                <w:szCs w:val="24"/>
                <w:highlight w:val="none"/>
              </w:rPr>
            </w:pPr>
          </w:p>
        </w:tc>
        <w:tc>
          <w:tcPr>
            <w:tcW w:w="1213" w:type="dxa"/>
          </w:tcPr>
          <w:p w14:paraId="5523AE6A">
            <w:pPr>
              <w:jc w:val="center"/>
              <w:rPr>
                <w:rFonts w:ascii="方正仿宋_GBK" w:hAnsi="方正仿宋_GBK" w:eastAsia="方正仿宋_GBK" w:cs="方正仿宋_GBK"/>
                <w:color w:val="auto"/>
                <w:sz w:val="24"/>
                <w:szCs w:val="24"/>
                <w:highlight w:val="none"/>
              </w:rPr>
            </w:pPr>
          </w:p>
        </w:tc>
        <w:tc>
          <w:tcPr>
            <w:tcW w:w="1213" w:type="dxa"/>
          </w:tcPr>
          <w:p w14:paraId="7B1EE7DB">
            <w:pPr>
              <w:jc w:val="center"/>
              <w:rPr>
                <w:rFonts w:ascii="方正仿宋_GBK" w:hAnsi="方正仿宋_GBK" w:eastAsia="方正仿宋_GBK" w:cs="方正仿宋_GBK"/>
                <w:color w:val="auto"/>
                <w:sz w:val="24"/>
                <w:szCs w:val="24"/>
                <w:highlight w:val="none"/>
              </w:rPr>
            </w:pPr>
          </w:p>
        </w:tc>
        <w:tc>
          <w:tcPr>
            <w:tcW w:w="912" w:type="dxa"/>
            <w:vAlign w:val="center"/>
          </w:tcPr>
          <w:p w14:paraId="6D36232F">
            <w:pPr>
              <w:jc w:val="center"/>
              <w:rPr>
                <w:rFonts w:ascii="方正仿宋_GBK" w:hAnsi="方正仿宋_GBK" w:eastAsia="方正仿宋_GBK" w:cs="方正仿宋_GBK"/>
                <w:color w:val="auto"/>
                <w:sz w:val="24"/>
                <w:szCs w:val="24"/>
                <w:highlight w:val="none"/>
              </w:rPr>
            </w:pPr>
          </w:p>
        </w:tc>
        <w:tc>
          <w:tcPr>
            <w:tcW w:w="912" w:type="dxa"/>
          </w:tcPr>
          <w:p w14:paraId="7FF4EEE6">
            <w:pPr>
              <w:jc w:val="center"/>
              <w:rPr>
                <w:rFonts w:ascii="方正仿宋_GBK" w:hAnsi="方正仿宋_GBK" w:eastAsia="方正仿宋_GBK" w:cs="方正仿宋_GBK"/>
                <w:color w:val="auto"/>
                <w:sz w:val="24"/>
                <w:szCs w:val="24"/>
                <w:highlight w:val="none"/>
              </w:rPr>
            </w:pPr>
          </w:p>
        </w:tc>
        <w:tc>
          <w:tcPr>
            <w:tcW w:w="912" w:type="dxa"/>
          </w:tcPr>
          <w:p w14:paraId="2C3C1578">
            <w:pPr>
              <w:jc w:val="center"/>
              <w:rPr>
                <w:rFonts w:ascii="方正仿宋_GBK" w:hAnsi="方正仿宋_GBK" w:eastAsia="方正仿宋_GBK" w:cs="方正仿宋_GBK"/>
                <w:color w:val="auto"/>
                <w:sz w:val="24"/>
                <w:szCs w:val="24"/>
                <w:highlight w:val="none"/>
              </w:rPr>
            </w:pPr>
          </w:p>
        </w:tc>
      </w:tr>
      <w:tr w14:paraId="19F4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219BA977">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8</w:t>
            </w:r>
          </w:p>
        </w:tc>
        <w:tc>
          <w:tcPr>
            <w:tcW w:w="912" w:type="dxa"/>
            <w:vAlign w:val="center"/>
          </w:tcPr>
          <w:p w14:paraId="68E1CCAD">
            <w:pPr>
              <w:jc w:val="center"/>
              <w:rPr>
                <w:rFonts w:ascii="方正仿宋_GBK" w:hAnsi="方正仿宋_GBK" w:eastAsia="方正仿宋_GBK" w:cs="方正仿宋_GBK"/>
                <w:color w:val="auto"/>
                <w:sz w:val="24"/>
                <w:szCs w:val="24"/>
                <w:highlight w:val="none"/>
              </w:rPr>
            </w:pPr>
          </w:p>
        </w:tc>
        <w:tc>
          <w:tcPr>
            <w:tcW w:w="2416" w:type="dxa"/>
            <w:vAlign w:val="center"/>
          </w:tcPr>
          <w:p w14:paraId="182CB506">
            <w:pPr>
              <w:jc w:val="center"/>
              <w:rPr>
                <w:rFonts w:ascii="方正仿宋_GBK" w:hAnsi="方正仿宋_GBK" w:eastAsia="方正仿宋_GBK" w:cs="方正仿宋_GBK"/>
                <w:color w:val="auto"/>
                <w:sz w:val="24"/>
                <w:szCs w:val="24"/>
                <w:highlight w:val="none"/>
              </w:rPr>
            </w:pPr>
          </w:p>
        </w:tc>
        <w:tc>
          <w:tcPr>
            <w:tcW w:w="1213" w:type="dxa"/>
            <w:vAlign w:val="center"/>
          </w:tcPr>
          <w:p w14:paraId="751DAB76">
            <w:pPr>
              <w:jc w:val="center"/>
              <w:rPr>
                <w:rFonts w:ascii="方正仿宋_GBK" w:hAnsi="方正仿宋_GBK" w:eastAsia="方正仿宋_GBK" w:cs="方正仿宋_GBK"/>
                <w:color w:val="auto"/>
                <w:sz w:val="24"/>
                <w:szCs w:val="24"/>
                <w:highlight w:val="none"/>
              </w:rPr>
            </w:pPr>
          </w:p>
        </w:tc>
        <w:tc>
          <w:tcPr>
            <w:tcW w:w="1213" w:type="dxa"/>
            <w:vAlign w:val="center"/>
          </w:tcPr>
          <w:p w14:paraId="70E980D0">
            <w:pPr>
              <w:jc w:val="center"/>
              <w:rPr>
                <w:rFonts w:ascii="方正仿宋_GBK" w:hAnsi="方正仿宋_GBK" w:eastAsia="方正仿宋_GBK" w:cs="方正仿宋_GBK"/>
                <w:color w:val="auto"/>
                <w:sz w:val="24"/>
                <w:szCs w:val="24"/>
                <w:highlight w:val="none"/>
              </w:rPr>
            </w:pPr>
          </w:p>
        </w:tc>
        <w:tc>
          <w:tcPr>
            <w:tcW w:w="912" w:type="dxa"/>
            <w:vAlign w:val="center"/>
          </w:tcPr>
          <w:p w14:paraId="55BB6F06">
            <w:pPr>
              <w:jc w:val="center"/>
              <w:rPr>
                <w:rFonts w:ascii="方正仿宋_GBK" w:hAnsi="方正仿宋_GBK" w:eastAsia="方正仿宋_GBK" w:cs="方正仿宋_GBK"/>
                <w:color w:val="auto"/>
                <w:sz w:val="24"/>
                <w:szCs w:val="24"/>
                <w:highlight w:val="none"/>
              </w:rPr>
            </w:pPr>
          </w:p>
        </w:tc>
        <w:tc>
          <w:tcPr>
            <w:tcW w:w="912" w:type="dxa"/>
          </w:tcPr>
          <w:p w14:paraId="1BA58590">
            <w:pPr>
              <w:jc w:val="center"/>
              <w:rPr>
                <w:rFonts w:ascii="方正仿宋_GBK" w:hAnsi="方正仿宋_GBK" w:eastAsia="方正仿宋_GBK" w:cs="方正仿宋_GBK"/>
                <w:color w:val="auto"/>
                <w:sz w:val="24"/>
                <w:szCs w:val="24"/>
                <w:highlight w:val="none"/>
              </w:rPr>
            </w:pPr>
          </w:p>
        </w:tc>
        <w:tc>
          <w:tcPr>
            <w:tcW w:w="912" w:type="dxa"/>
          </w:tcPr>
          <w:p w14:paraId="7646A339">
            <w:pPr>
              <w:jc w:val="center"/>
              <w:rPr>
                <w:rFonts w:ascii="方正仿宋_GBK" w:hAnsi="方正仿宋_GBK" w:eastAsia="方正仿宋_GBK" w:cs="方正仿宋_GBK"/>
                <w:color w:val="auto"/>
                <w:sz w:val="24"/>
                <w:szCs w:val="24"/>
                <w:highlight w:val="none"/>
              </w:rPr>
            </w:pPr>
          </w:p>
        </w:tc>
      </w:tr>
      <w:tr w14:paraId="7DC4F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717B35F6">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9</w:t>
            </w:r>
          </w:p>
        </w:tc>
        <w:tc>
          <w:tcPr>
            <w:tcW w:w="912" w:type="dxa"/>
            <w:vAlign w:val="center"/>
          </w:tcPr>
          <w:p w14:paraId="1FDBEC9E">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w:t>
            </w:r>
          </w:p>
        </w:tc>
        <w:tc>
          <w:tcPr>
            <w:tcW w:w="2416" w:type="dxa"/>
          </w:tcPr>
          <w:p w14:paraId="0209CD32">
            <w:pPr>
              <w:jc w:val="center"/>
              <w:rPr>
                <w:rFonts w:ascii="方正仿宋_GBK" w:hAnsi="方正仿宋_GBK" w:eastAsia="方正仿宋_GBK" w:cs="方正仿宋_GBK"/>
                <w:color w:val="auto"/>
                <w:sz w:val="24"/>
                <w:szCs w:val="24"/>
                <w:highlight w:val="none"/>
              </w:rPr>
            </w:pPr>
          </w:p>
        </w:tc>
        <w:tc>
          <w:tcPr>
            <w:tcW w:w="1213" w:type="dxa"/>
          </w:tcPr>
          <w:p w14:paraId="6C02F9AF">
            <w:pPr>
              <w:jc w:val="center"/>
              <w:rPr>
                <w:rFonts w:ascii="方正仿宋_GBK" w:hAnsi="方正仿宋_GBK" w:eastAsia="方正仿宋_GBK" w:cs="方正仿宋_GBK"/>
                <w:color w:val="auto"/>
                <w:sz w:val="24"/>
                <w:szCs w:val="24"/>
                <w:highlight w:val="none"/>
              </w:rPr>
            </w:pPr>
          </w:p>
        </w:tc>
        <w:tc>
          <w:tcPr>
            <w:tcW w:w="1213" w:type="dxa"/>
          </w:tcPr>
          <w:p w14:paraId="52FA76C0">
            <w:pPr>
              <w:jc w:val="center"/>
              <w:rPr>
                <w:rFonts w:ascii="方正仿宋_GBK" w:hAnsi="方正仿宋_GBK" w:eastAsia="方正仿宋_GBK" w:cs="方正仿宋_GBK"/>
                <w:color w:val="auto"/>
                <w:sz w:val="24"/>
                <w:szCs w:val="24"/>
                <w:highlight w:val="none"/>
              </w:rPr>
            </w:pPr>
          </w:p>
        </w:tc>
        <w:tc>
          <w:tcPr>
            <w:tcW w:w="912" w:type="dxa"/>
            <w:vAlign w:val="center"/>
          </w:tcPr>
          <w:p w14:paraId="4EE2563E">
            <w:pPr>
              <w:jc w:val="center"/>
              <w:rPr>
                <w:rFonts w:ascii="方正仿宋_GBK" w:hAnsi="方正仿宋_GBK" w:eastAsia="方正仿宋_GBK" w:cs="方正仿宋_GBK"/>
                <w:color w:val="auto"/>
                <w:sz w:val="24"/>
                <w:szCs w:val="24"/>
                <w:highlight w:val="none"/>
              </w:rPr>
            </w:pPr>
          </w:p>
        </w:tc>
        <w:tc>
          <w:tcPr>
            <w:tcW w:w="912" w:type="dxa"/>
          </w:tcPr>
          <w:p w14:paraId="00B1D688">
            <w:pPr>
              <w:jc w:val="center"/>
              <w:rPr>
                <w:rFonts w:ascii="方正仿宋_GBK" w:hAnsi="方正仿宋_GBK" w:eastAsia="方正仿宋_GBK" w:cs="方正仿宋_GBK"/>
                <w:color w:val="auto"/>
                <w:sz w:val="24"/>
                <w:szCs w:val="24"/>
                <w:highlight w:val="none"/>
              </w:rPr>
            </w:pPr>
          </w:p>
        </w:tc>
        <w:tc>
          <w:tcPr>
            <w:tcW w:w="912" w:type="dxa"/>
          </w:tcPr>
          <w:p w14:paraId="6A42D3CB">
            <w:pPr>
              <w:jc w:val="center"/>
              <w:rPr>
                <w:rFonts w:ascii="方正仿宋_GBK" w:hAnsi="方正仿宋_GBK" w:eastAsia="方正仿宋_GBK" w:cs="方正仿宋_GBK"/>
                <w:color w:val="auto"/>
                <w:sz w:val="24"/>
                <w:szCs w:val="24"/>
                <w:highlight w:val="none"/>
              </w:rPr>
            </w:pPr>
          </w:p>
        </w:tc>
      </w:tr>
      <w:tr w14:paraId="0ACC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68BCF5F5">
            <w:pPr>
              <w:pStyle w:val="24"/>
              <w:spacing w:line="240" w:lineRule="auto"/>
              <w:ind w:left="0"/>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10</w:t>
            </w:r>
          </w:p>
        </w:tc>
        <w:tc>
          <w:tcPr>
            <w:tcW w:w="912" w:type="dxa"/>
            <w:vAlign w:val="center"/>
          </w:tcPr>
          <w:p w14:paraId="487FC3D8">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总计</w:t>
            </w:r>
          </w:p>
        </w:tc>
        <w:tc>
          <w:tcPr>
            <w:tcW w:w="7578" w:type="dxa"/>
            <w:gridSpan w:val="6"/>
          </w:tcPr>
          <w:p w14:paraId="72134D81">
            <w:pPr>
              <w:rPr>
                <w:rFonts w:ascii="方正仿宋_GBK" w:hAnsi="方正仿宋_GBK" w:eastAsia="方正仿宋_GBK" w:cs="方正仿宋_GBK"/>
                <w:color w:val="auto"/>
                <w:sz w:val="24"/>
                <w:szCs w:val="24"/>
                <w:highlight w:val="none"/>
              </w:rPr>
            </w:pPr>
          </w:p>
        </w:tc>
      </w:tr>
    </w:tbl>
    <w:p w14:paraId="353351B0">
      <w:pPr>
        <w:snapToGrid w:val="0"/>
        <w:spacing w:line="400" w:lineRule="exact"/>
        <w:ind w:firstLine="480"/>
        <w:rPr>
          <w:rFonts w:ascii="方正仿宋_GBK" w:hAnsi="宋体" w:eastAsia="方正仿宋_GBK"/>
          <w:color w:val="auto"/>
          <w:sz w:val="24"/>
          <w:szCs w:val="24"/>
          <w:highlight w:val="none"/>
        </w:rPr>
      </w:pPr>
    </w:p>
    <w:p w14:paraId="1C946AA9">
      <w:pPr>
        <w:snapToGrid w:val="0"/>
        <w:spacing w:line="400" w:lineRule="exact"/>
        <w:ind w:firstLine="48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w:t>
      </w:r>
      <w:r>
        <w:rPr>
          <w:rFonts w:ascii="方正仿宋_GBK" w:hAnsi="宋体" w:eastAsia="方正仿宋_GBK"/>
          <w:color w:val="auto"/>
          <w:sz w:val="24"/>
          <w:szCs w:val="24"/>
          <w:highlight w:val="none"/>
        </w:rPr>
        <w:t xml:space="preserve">                      </w:t>
      </w:r>
      <w:r>
        <w:rPr>
          <w:rFonts w:hint="eastAsia" w:ascii="方正仿宋_GBK" w:hAnsi="宋体" w:eastAsia="方正仿宋_GBK"/>
          <w:color w:val="auto"/>
          <w:sz w:val="24"/>
          <w:szCs w:val="24"/>
          <w:highlight w:val="none"/>
        </w:rPr>
        <w:t>法定代表人（或法定代表人授权代表）或自然人：</w:t>
      </w:r>
    </w:p>
    <w:p w14:paraId="5E2905EA">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（投标人公章）                               （签署或盖章）</w:t>
      </w:r>
    </w:p>
    <w:p w14:paraId="6E4578D1">
      <w:pPr>
        <w:snapToGrid w:val="0"/>
        <w:spacing w:line="400" w:lineRule="exact"/>
        <w:ind w:firstLine="480"/>
        <w:rPr>
          <w:rFonts w:ascii="方正仿宋_GBK" w:hAnsi="宋体" w:eastAsia="方正仿宋_GBK"/>
          <w:color w:val="auto"/>
          <w:sz w:val="24"/>
          <w:szCs w:val="24"/>
          <w:highlight w:val="none"/>
        </w:rPr>
      </w:pPr>
    </w:p>
    <w:p w14:paraId="0F87677A">
      <w:pPr>
        <w:snapToGrid w:val="0"/>
        <w:spacing w:line="400" w:lineRule="exact"/>
        <w:ind w:firstLine="480"/>
        <w:rPr>
          <w:rFonts w:ascii="方正仿宋_GBK" w:hAnsi="宋体" w:eastAsia="方正仿宋_GBK"/>
          <w:color w:val="auto"/>
          <w:sz w:val="24"/>
          <w:szCs w:val="24"/>
          <w:highlight w:val="none"/>
        </w:rPr>
      </w:pPr>
    </w:p>
    <w:p w14:paraId="07E09DBD">
      <w:pPr>
        <w:snapToGrid w:val="0"/>
        <w:spacing w:line="400" w:lineRule="exact"/>
        <w:ind w:firstLine="5540"/>
        <w:rPr>
          <w:rFonts w:ascii="方正仿宋_GBK" w:hAnsi="宋体" w:eastAsia="方正仿宋_GBK"/>
          <w:color w:val="auto"/>
          <w:sz w:val="24"/>
          <w:szCs w:val="24"/>
          <w:highlight w:val="none"/>
        </w:rPr>
      </w:pP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年</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月</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日</w:t>
      </w:r>
    </w:p>
    <w:p w14:paraId="1504B47E">
      <w:pPr>
        <w:snapToGrid w:val="0"/>
        <w:spacing w:line="400" w:lineRule="exact"/>
        <w:ind w:firstLine="480"/>
        <w:rPr>
          <w:rFonts w:ascii="方正仿宋_GBK" w:hAnsi="宋体" w:eastAsia="方正仿宋_GBK"/>
          <w:color w:val="auto"/>
          <w:sz w:val="24"/>
          <w:szCs w:val="24"/>
          <w:highlight w:val="none"/>
        </w:rPr>
      </w:pPr>
    </w:p>
    <w:p w14:paraId="02DC5589">
      <w:pPr>
        <w:snapToGrid w:val="0"/>
        <w:spacing w:line="400" w:lineRule="exact"/>
        <w:ind w:firstLine="48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w:t>
      </w:r>
    </w:p>
    <w:p w14:paraId="7DE96E27">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1.请投标人完整填写本表；</w:t>
      </w:r>
    </w:p>
    <w:p w14:paraId="258188D2">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2.该表可扩展</w:t>
      </w:r>
      <w:r>
        <w:rPr>
          <w:rFonts w:hint="eastAsia" w:ascii="方正仿宋_GBK" w:hAnsi="宋体" w:eastAsia="方正仿宋_GBK"/>
          <w:color w:val="auto"/>
          <w:sz w:val="24"/>
          <w:szCs w:val="24"/>
          <w:highlight w:val="none"/>
        </w:rPr>
        <w:t>；</w:t>
      </w:r>
    </w:p>
    <w:p w14:paraId="5A1AC52B">
      <w:pPr>
        <w:snapToGrid w:val="0"/>
        <w:spacing w:line="400" w:lineRule="exact"/>
        <w:ind w:left="499" w:leftChars="171" w:hanging="2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3.投标人在表格中“总计”一栏填报的金额应与《开标一览表》所填报的投标报价一致。</w:t>
      </w:r>
    </w:p>
    <w:p w14:paraId="280AECAB">
      <w:pPr>
        <w:pStyle w:val="38"/>
        <w:ind w:firstLine="281"/>
        <w:rPr>
          <w:color w:val="auto"/>
          <w:highlight w:val="none"/>
        </w:rPr>
      </w:pPr>
    </w:p>
    <w:p w14:paraId="79A59B4E">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br w:type="page"/>
      </w:r>
    </w:p>
    <w:p w14:paraId="26F4387A">
      <w:pPr>
        <w:snapToGrid w:val="0"/>
        <w:spacing w:before="120" w:beforeLines="50" w:after="120" w:afterLines="50"/>
        <w:jc w:val="center"/>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（四）备品备件及易损件报价表</w:t>
      </w:r>
    </w:p>
    <w:p w14:paraId="2FF73C21">
      <w:pPr>
        <w:snapToGrid w:val="0"/>
        <w:spacing w:line="400" w:lineRule="exact"/>
        <w:ind w:firstLine="480"/>
        <w:rPr>
          <w:rFonts w:ascii="方正仿宋_GBK" w:hAnsi="宋体" w:eastAsia="方正仿宋_GBK"/>
          <w:color w:val="auto"/>
          <w:sz w:val="24"/>
          <w:szCs w:val="24"/>
          <w:highlight w:val="none"/>
        </w:rPr>
      </w:pPr>
    </w:p>
    <w:p w14:paraId="66C141F6">
      <w:pPr>
        <w:snapToGrid w:val="0"/>
        <w:spacing w:line="400" w:lineRule="exac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项目号：</w:t>
      </w:r>
    </w:p>
    <w:p w14:paraId="41E3D00C">
      <w:pPr>
        <w:snapToGrid w:val="0"/>
        <w:spacing w:line="400" w:lineRule="exact"/>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招标项目名称：</w:t>
      </w:r>
      <w:r>
        <w:rPr>
          <w:rFonts w:ascii="方正仿宋_GBK" w:hAnsi="宋体" w:eastAsia="方正仿宋_GBK"/>
          <w:color w:val="auto"/>
          <w:sz w:val="24"/>
          <w:szCs w:val="24"/>
          <w:highlight w:val="none"/>
        </w:rPr>
        <w:t xml:space="preserve">                                         </w:t>
      </w:r>
      <w:r>
        <w:rPr>
          <w:rFonts w:hint="eastAsia" w:ascii="方正仿宋_GBK" w:hAnsi="宋体" w:eastAsia="方正仿宋_GBK"/>
          <w:color w:val="auto"/>
          <w:sz w:val="24"/>
          <w:szCs w:val="24"/>
          <w:highlight w:val="none"/>
        </w:rPr>
        <w:t xml:space="preserve">           </w:t>
      </w:r>
      <w:r>
        <w:rPr>
          <w:rFonts w:ascii="方正仿宋_GBK" w:hAnsi="宋体" w:eastAsia="方正仿宋_GBK"/>
          <w:color w:val="auto"/>
          <w:sz w:val="24"/>
          <w:szCs w:val="24"/>
          <w:highlight w:val="none"/>
        </w:rPr>
        <w:t xml:space="preserve">  </w:t>
      </w:r>
      <w:r>
        <w:rPr>
          <w:rFonts w:hint="eastAsia" w:ascii="方正仿宋_GBK" w:hAnsi="宋体" w:eastAsia="方正仿宋_GBK"/>
          <w:color w:val="auto"/>
          <w:sz w:val="24"/>
          <w:szCs w:val="24"/>
          <w:highlight w:val="none"/>
        </w:rPr>
        <w:t>单位：元</w:t>
      </w:r>
    </w:p>
    <w:tbl>
      <w:tblPr>
        <w:tblStyle w:val="58"/>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1417"/>
        <w:gridCol w:w="2416"/>
        <w:gridCol w:w="1213"/>
        <w:gridCol w:w="1213"/>
        <w:gridCol w:w="912"/>
        <w:gridCol w:w="1089"/>
      </w:tblGrid>
      <w:tr w14:paraId="168EA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5443F859">
            <w:pPr>
              <w:jc w:val="center"/>
              <w:rPr>
                <w:rFonts w:ascii="仿宋" w:hAnsi="仿宋" w:cs="仿宋"/>
                <w:b/>
                <w:color w:val="auto"/>
                <w:sz w:val="21"/>
                <w:szCs w:val="21"/>
                <w:highlight w:val="none"/>
              </w:rPr>
            </w:pPr>
            <w:r>
              <w:rPr>
                <w:rFonts w:hint="eastAsia" w:ascii="仿宋" w:hAnsi="仿宋" w:cs="仿宋"/>
                <w:b/>
                <w:color w:val="auto"/>
                <w:sz w:val="21"/>
                <w:szCs w:val="21"/>
                <w:highlight w:val="none"/>
              </w:rPr>
              <w:t>序号</w:t>
            </w:r>
          </w:p>
        </w:tc>
        <w:tc>
          <w:tcPr>
            <w:tcW w:w="1417" w:type="dxa"/>
            <w:vAlign w:val="center"/>
          </w:tcPr>
          <w:p w14:paraId="10E0C6D2">
            <w:pPr>
              <w:jc w:val="center"/>
              <w:rPr>
                <w:rFonts w:ascii="仿宋" w:hAnsi="仿宋" w:cs="仿宋"/>
                <w:b/>
                <w:color w:val="auto"/>
                <w:sz w:val="21"/>
                <w:szCs w:val="21"/>
                <w:highlight w:val="none"/>
              </w:rPr>
            </w:pPr>
            <w:r>
              <w:rPr>
                <w:rFonts w:hint="eastAsia" w:ascii="仿宋" w:hAnsi="仿宋" w:cs="仿宋"/>
                <w:b/>
                <w:color w:val="auto"/>
                <w:sz w:val="21"/>
                <w:szCs w:val="21"/>
                <w:highlight w:val="none"/>
              </w:rPr>
              <w:t>名称</w:t>
            </w:r>
          </w:p>
        </w:tc>
        <w:tc>
          <w:tcPr>
            <w:tcW w:w="2416" w:type="dxa"/>
            <w:vAlign w:val="center"/>
          </w:tcPr>
          <w:p w14:paraId="3E3894E6">
            <w:pPr>
              <w:jc w:val="center"/>
              <w:rPr>
                <w:rFonts w:ascii="仿宋" w:hAnsi="仿宋" w:cs="仿宋"/>
                <w:b/>
                <w:color w:val="auto"/>
                <w:sz w:val="21"/>
                <w:szCs w:val="21"/>
                <w:highlight w:val="none"/>
              </w:rPr>
            </w:pPr>
            <w:r>
              <w:rPr>
                <w:rFonts w:hint="eastAsia" w:ascii="仿宋" w:hAnsi="仿宋" w:cs="仿宋"/>
                <w:b/>
                <w:color w:val="auto"/>
                <w:sz w:val="21"/>
                <w:szCs w:val="21"/>
                <w:highlight w:val="none"/>
              </w:rPr>
              <w:t>品牌、规格型号</w:t>
            </w:r>
          </w:p>
        </w:tc>
        <w:tc>
          <w:tcPr>
            <w:tcW w:w="1213" w:type="dxa"/>
            <w:vAlign w:val="center"/>
          </w:tcPr>
          <w:p w14:paraId="2B9B2925">
            <w:pPr>
              <w:jc w:val="center"/>
              <w:rPr>
                <w:rFonts w:ascii="仿宋" w:hAnsi="仿宋" w:cs="仿宋"/>
                <w:b/>
                <w:color w:val="auto"/>
                <w:sz w:val="21"/>
                <w:szCs w:val="21"/>
                <w:highlight w:val="none"/>
              </w:rPr>
            </w:pPr>
            <w:r>
              <w:rPr>
                <w:rFonts w:hint="eastAsia" w:ascii="仿宋" w:hAnsi="仿宋" w:cs="仿宋"/>
                <w:b/>
                <w:color w:val="auto"/>
                <w:sz w:val="21"/>
                <w:szCs w:val="21"/>
                <w:highlight w:val="none"/>
              </w:rPr>
              <w:t>制造商</w:t>
            </w:r>
          </w:p>
        </w:tc>
        <w:tc>
          <w:tcPr>
            <w:tcW w:w="1213" w:type="dxa"/>
            <w:vAlign w:val="center"/>
          </w:tcPr>
          <w:p w14:paraId="3147D38D">
            <w:pPr>
              <w:jc w:val="center"/>
              <w:rPr>
                <w:rFonts w:ascii="仿宋" w:hAnsi="仿宋" w:cs="仿宋"/>
                <w:b/>
                <w:color w:val="auto"/>
                <w:sz w:val="21"/>
                <w:szCs w:val="21"/>
                <w:highlight w:val="none"/>
              </w:rPr>
            </w:pPr>
            <w:r>
              <w:rPr>
                <w:rFonts w:hint="eastAsia" w:ascii="仿宋" w:hAnsi="仿宋" w:cs="仿宋"/>
                <w:b/>
                <w:color w:val="auto"/>
                <w:sz w:val="21"/>
                <w:szCs w:val="21"/>
                <w:highlight w:val="none"/>
              </w:rPr>
              <w:t>生产地</w:t>
            </w:r>
          </w:p>
        </w:tc>
        <w:tc>
          <w:tcPr>
            <w:tcW w:w="912" w:type="dxa"/>
            <w:vAlign w:val="center"/>
          </w:tcPr>
          <w:p w14:paraId="297D566D">
            <w:pPr>
              <w:jc w:val="center"/>
              <w:rPr>
                <w:rFonts w:ascii="仿宋" w:hAnsi="仿宋" w:cs="仿宋"/>
                <w:b/>
                <w:color w:val="auto"/>
                <w:sz w:val="21"/>
                <w:szCs w:val="21"/>
                <w:highlight w:val="none"/>
              </w:rPr>
            </w:pPr>
            <w:r>
              <w:rPr>
                <w:rFonts w:hint="eastAsia" w:ascii="仿宋" w:hAnsi="仿宋" w:cs="仿宋"/>
                <w:b/>
                <w:color w:val="auto"/>
                <w:sz w:val="21"/>
                <w:szCs w:val="21"/>
                <w:highlight w:val="none"/>
              </w:rPr>
              <w:t>单位</w:t>
            </w:r>
          </w:p>
        </w:tc>
        <w:tc>
          <w:tcPr>
            <w:tcW w:w="1089" w:type="dxa"/>
            <w:vAlign w:val="center"/>
          </w:tcPr>
          <w:p w14:paraId="511F1AD9">
            <w:pPr>
              <w:jc w:val="center"/>
              <w:rPr>
                <w:rFonts w:ascii="仿宋" w:hAnsi="仿宋" w:cs="仿宋"/>
                <w:b/>
                <w:color w:val="auto"/>
                <w:sz w:val="21"/>
                <w:szCs w:val="21"/>
                <w:highlight w:val="none"/>
              </w:rPr>
            </w:pPr>
            <w:r>
              <w:rPr>
                <w:rFonts w:hint="eastAsia" w:ascii="仿宋" w:hAnsi="仿宋" w:cs="仿宋"/>
                <w:b/>
                <w:color w:val="auto"/>
                <w:sz w:val="21"/>
                <w:szCs w:val="21"/>
                <w:highlight w:val="none"/>
              </w:rPr>
              <w:t>单价</w:t>
            </w:r>
          </w:p>
        </w:tc>
      </w:tr>
      <w:tr w14:paraId="51A97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602E1D72">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1</w:t>
            </w:r>
          </w:p>
        </w:tc>
        <w:tc>
          <w:tcPr>
            <w:tcW w:w="1417" w:type="dxa"/>
            <w:vAlign w:val="center"/>
          </w:tcPr>
          <w:p w14:paraId="3520B7E2">
            <w:pPr>
              <w:jc w:val="center"/>
              <w:rPr>
                <w:rFonts w:ascii="仿宋" w:hAnsi="仿宋" w:cs="仿宋"/>
                <w:color w:val="auto"/>
                <w:sz w:val="21"/>
                <w:szCs w:val="21"/>
                <w:highlight w:val="none"/>
              </w:rPr>
            </w:pPr>
          </w:p>
        </w:tc>
        <w:tc>
          <w:tcPr>
            <w:tcW w:w="2416" w:type="dxa"/>
          </w:tcPr>
          <w:p w14:paraId="1AC6D921">
            <w:pPr>
              <w:jc w:val="center"/>
              <w:rPr>
                <w:rFonts w:ascii="仿宋" w:hAnsi="仿宋" w:cs="仿宋"/>
                <w:color w:val="auto"/>
                <w:sz w:val="21"/>
                <w:szCs w:val="21"/>
                <w:highlight w:val="none"/>
              </w:rPr>
            </w:pPr>
          </w:p>
        </w:tc>
        <w:tc>
          <w:tcPr>
            <w:tcW w:w="1213" w:type="dxa"/>
          </w:tcPr>
          <w:p w14:paraId="17B607E1">
            <w:pPr>
              <w:jc w:val="center"/>
              <w:rPr>
                <w:rFonts w:ascii="仿宋" w:hAnsi="仿宋" w:cs="仿宋"/>
                <w:color w:val="auto"/>
                <w:sz w:val="21"/>
                <w:szCs w:val="21"/>
                <w:highlight w:val="none"/>
              </w:rPr>
            </w:pPr>
          </w:p>
        </w:tc>
        <w:tc>
          <w:tcPr>
            <w:tcW w:w="1213" w:type="dxa"/>
          </w:tcPr>
          <w:p w14:paraId="29EDC19C">
            <w:pPr>
              <w:jc w:val="center"/>
              <w:rPr>
                <w:rFonts w:ascii="仿宋" w:hAnsi="仿宋" w:cs="仿宋"/>
                <w:color w:val="auto"/>
                <w:sz w:val="21"/>
                <w:szCs w:val="21"/>
                <w:highlight w:val="none"/>
              </w:rPr>
            </w:pPr>
          </w:p>
        </w:tc>
        <w:tc>
          <w:tcPr>
            <w:tcW w:w="912" w:type="dxa"/>
            <w:vAlign w:val="center"/>
          </w:tcPr>
          <w:p w14:paraId="1D9E37DF">
            <w:pPr>
              <w:jc w:val="center"/>
              <w:rPr>
                <w:rFonts w:ascii="仿宋" w:hAnsi="仿宋" w:cs="仿宋"/>
                <w:color w:val="auto"/>
                <w:sz w:val="21"/>
                <w:szCs w:val="21"/>
                <w:highlight w:val="none"/>
              </w:rPr>
            </w:pPr>
          </w:p>
        </w:tc>
        <w:tc>
          <w:tcPr>
            <w:tcW w:w="1089" w:type="dxa"/>
          </w:tcPr>
          <w:p w14:paraId="20295584">
            <w:pPr>
              <w:jc w:val="center"/>
              <w:rPr>
                <w:rFonts w:ascii="仿宋" w:hAnsi="仿宋" w:cs="仿宋"/>
                <w:color w:val="auto"/>
                <w:sz w:val="21"/>
                <w:szCs w:val="21"/>
                <w:highlight w:val="none"/>
              </w:rPr>
            </w:pPr>
          </w:p>
        </w:tc>
      </w:tr>
      <w:tr w14:paraId="60CC4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78AD5AA2">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2</w:t>
            </w:r>
          </w:p>
        </w:tc>
        <w:tc>
          <w:tcPr>
            <w:tcW w:w="1417" w:type="dxa"/>
            <w:vAlign w:val="center"/>
          </w:tcPr>
          <w:p w14:paraId="4B4FECE8">
            <w:pPr>
              <w:jc w:val="center"/>
              <w:rPr>
                <w:rFonts w:ascii="仿宋" w:hAnsi="仿宋" w:cs="仿宋"/>
                <w:color w:val="auto"/>
                <w:sz w:val="21"/>
                <w:szCs w:val="21"/>
                <w:highlight w:val="none"/>
              </w:rPr>
            </w:pPr>
          </w:p>
        </w:tc>
        <w:tc>
          <w:tcPr>
            <w:tcW w:w="2416" w:type="dxa"/>
          </w:tcPr>
          <w:p w14:paraId="204DDA4A">
            <w:pPr>
              <w:jc w:val="center"/>
              <w:rPr>
                <w:rFonts w:ascii="仿宋" w:hAnsi="仿宋" w:cs="仿宋"/>
                <w:color w:val="auto"/>
                <w:sz w:val="21"/>
                <w:szCs w:val="21"/>
                <w:highlight w:val="none"/>
              </w:rPr>
            </w:pPr>
          </w:p>
        </w:tc>
        <w:tc>
          <w:tcPr>
            <w:tcW w:w="1213" w:type="dxa"/>
          </w:tcPr>
          <w:p w14:paraId="1CDD56FA">
            <w:pPr>
              <w:jc w:val="center"/>
              <w:rPr>
                <w:rFonts w:ascii="仿宋" w:hAnsi="仿宋" w:cs="仿宋"/>
                <w:color w:val="auto"/>
                <w:sz w:val="21"/>
                <w:szCs w:val="21"/>
                <w:highlight w:val="none"/>
              </w:rPr>
            </w:pPr>
          </w:p>
        </w:tc>
        <w:tc>
          <w:tcPr>
            <w:tcW w:w="1213" w:type="dxa"/>
          </w:tcPr>
          <w:p w14:paraId="3AB0C39A">
            <w:pPr>
              <w:jc w:val="center"/>
              <w:rPr>
                <w:rFonts w:ascii="仿宋" w:hAnsi="仿宋" w:cs="仿宋"/>
                <w:color w:val="auto"/>
                <w:sz w:val="21"/>
                <w:szCs w:val="21"/>
                <w:highlight w:val="none"/>
              </w:rPr>
            </w:pPr>
          </w:p>
        </w:tc>
        <w:tc>
          <w:tcPr>
            <w:tcW w:w="912" w:type="dxa"/>
            <w:vAlign w:val="center"/>
          </w:tcPr>
          <w:p w14:paraId="2D76A254">
            <w:pPr>
              <w:jc w:val="center"/>
              <w:rPr>
                <w:rFonts w:ascii="仿宋" w:hAnsi="仿宋" w:cs="仿宋"/>
                <w:color w:val="auto"/>
                <w:sz w:val="21"/>
                <w:szCs w:val="21"/>
                <w:highlight w:val="none"/>
              </w:rPr>
            </w:pPr>
          </w:p>
        </w:tc>
        <w:tc>
          <w:tcPr>
            <w:tcW w:w="1089" w:type="dxa"/>
          </w:tcPr>
          <w:p w14:paraId="1EC147C0">
            <w:pPr>
              <w:jc w:val="center"/>
              <w:rPr>
                <w:rFonts w:ascii="仿宋" w:hAnsi="仿宋" w:cs="仿宋"/>
                <w:color w:val="auto"/>
                <w:sz w:val="21"/>
                <w:szCs w:val="21"/>
                <w:highlight w:val="none"/>
              </w:rPr>
            </w:pPr>
          </w:p>
        </w:tc>
      </w:tr>
      <w:tr w14:paraId="7D41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63226F98">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3</w:t>
            </w:r>
          </w:p>
        </w:tc>
        <w:tc>
          <w:tcPr>
            <w:tcW w:w="1417" w:type="dxa"/>
            <w:vAlign w:val="center"/>
          </w:tcPr>
          <w:p w14:paraId="4185CF14">
            <w:pPr>
              <w:jc w:val="center"/>
              <w:rPr>
                <w:rFonts w:ascii="仿宋" w:hAnsi="仿宋" w:cs="仿宋"/>
                <w:color w:val="auto"/>
                <w:sz w:val="21"/>
                <w:szCs w:val="21"/>
                <w:highlight w:val="none"/>
              </w:rPr>
            </w:pPr>
          </w:p>
        </w:tc>
        <w:tc>
          <w:tcPr>
            <w:tcW w:w="2416" w:type="dxa"/>
          </w:tcPr>
          <w:p w14:paraId="594647B0">
            <w:pPr>
              <w:jc w:val="center"/>
              <w:rPr>
                <w:rFonts w:ascii="仿宋" w:hAnsi="仿宋" w:cs="仿宋"/>
                <w:color w:val="auto"/>
                <w:sz w:val="21"/>
                <w:szCs w:val="21"/>
                <w:highlight w:val="none"/>
              </w:rPr>
            </w:pPr>
          </w:p>
        </w:tc>
        <w:tc>
          <w:tcPr>
            <w:tcW w:w="1213" w:type="dxa"/>
          </w:tcPr>
          <w:p w14:paraId="136325FA">
            <w:pPr>
              <w:jc w:val="center"/>
              <w:rPr>
                <w:rFonts w:ascii="仿宋" w:hAnsi="仿宋" w:cs="仿宋"/>
                <w:color w:val="auto"/>
                <w:sz w:val="21"/>
                <w:szCs w:val="21"/>
                <w:highlight w:val="none"/>
              </w:rPr>
            </w:pPr>
          </w:p>
        </w:tc>
        <w:tc>
          <w:tcPr>
            <w:tcW w:w="1213" w:type="dxa"/>
          </w:tcPr>
          <w:p w14:paraId="48D68688">
            <w:pPr>
              <w:jc w:val="center"/>
              <w:rPr>
                <w:rFonts w:ascii="仿宋" w:hAnsi="仿宋" w:cs="仿宋"/>
                <w:color w:val="auto"/>
                <w:sz w:val="21"/>
                <w:szCs w:val="21"/>
                <w:highlight w:val="none"/>
              </w:rPr>
            </w:pPr>
          </w:p>
        </w:tc>
        <w:tc>
          <w:tcPr>
            <w:tcW w:w="912" w:type="dxa"/>
            <w:vAlign w:val="center"/>
          </w:tcPr>
          <w:p w14:paraId="6E7C8664">
            <w:pPr>
              <w:jc w:val="center"/>
              <w:rPr>
                <w:rFonts w:ascii="仿宋" w:hAnsi="仿宋" w:cs="仿宋"/>
                <w:color w:val="auto"/>
                <w:sz w:val="21"/>
                <w:szCs w:val="21"/>
                <w:highlight w:val="none"/>
              </w:rPr>
            </w:pPr>
          </w:p>
        </w:tc>
        <w:tc>
          <w:tcPr>
            <w:tcW w:w="1089" w:type="dxa"/>
          </w:tcPr>
          <w:p w14:paraId="51B41E08">
            <w:pPr>
              <w:jc w:val="center"/>
              <w:rPr>
                <w:rFonts w:ascii="仿宋" w:hAnsi="仿宋" w:cs="仿宋"/>
                <w:color w:val="auto"/>
                <w:sz w:val="21"/>
                <w:szCs w:val="21"/>
                <w:highlight w:val="none"/>
              </w:rPr>
            </w:pPr>
          </w:p>
        </w:tc>
      </w:tr>
      <w:tr w14:paraId="2462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3536213F">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4</w:t>
            </w:r>
          </w:p>
        </w:tc>
        <w:tc>
          <w:tcPr>
            <w:tcW w:w="1417" w:type="dxa"/>
            <w:vAlign w:val="center"/>
          </w:tcPr>
          <w:p w14:paraId="68455C3A">
            <w:pPr>
              <w:jc w:val="center"/>
              <w:rPr>
                <w:rFonts w:ascii="仿宋" w:hAnsi="仿宋" w:cs="仿宋"/>
                <w:color w:val="auto"/>
                <w:sz w:val="21"/>
                <w:szCs w:val="21"/>
                <w:highlight w:val="none"/>
              </w:rPr>
            </w:pPr>
          </w:p>
        </w:tc>
        <w:tc>
          <w:tcPr>
            <w:tcW w:w="2416" w:type="dxa"/>
          </w:tcPr>
          <w:p w14:paraId="7D34A666">
            <w:pPr>
              <w:jc w:val="center"/>
              <w:rPr>
                <w:rFonts w:ascii="仿宋" w:hAnsi="仿宋" w:cs="仿宋"/>
                <w:color w:val="auto"/>
                <w:sz w:val="21"/>
                <w:szCs w:val="21"/>
                <w:highlight w:val="none"/>
              </w:rPr>
            </w:pPr>
          </w:p>
        </w:tc>
        <w:tc>
          <w:tcPr>
            <w:tcW w:w="1213" w:type="dxa"/>
          </w:tcPr>
          <w:p w14:paraId="7E23137C">
            <w:pPr>
              <w:jc w:val="center"/>
              <w:rPr>
                <w:rFonts w:ascii="仿宋" w:hAnsi="仿宋" w:cs="仿宋"/>
                <w:color w:val="auto"/>
                <w:sz w:val="21"/>
                <w:szCs w:val="21"/>
                <w:highlight w:val="none"/>
              </w:rPr>
            </w:pPr>
          </w:p>
        </w:tc>
        <w:tc>
          <w:tcPr>
            <w:tcW w:w="1213" w:type="dxa"/>
          </w:tcPr>
          <w:p w14:paraId="509904B3">
            <w:pPr>
              <w:jc w:val="center"/>
              <w:rPr>
                <w:rFonts w:ascii="仿宋" w:hAnsi="仿宋" w:cs="仿宋"/>
                <w:color w:val="auto"/>
                <w:sz w:val="21"/>
                <w:szCs w:val="21"/>
                <w:highlight w:val="none"/>
              </w:rPr>
            </w:pPr>
          </w:p>
        </w:tc>
        <w:tc>
          <w:tcPr>
            <w:tcW w:w="912" w:type="dxa"/>
            <w:vAlign w:val="center"/>
          </w:tcPr>
          <w:p w14:paraId="74FEAEEB">
            <w:pPr>
              <w:jc w:val="center"/>
              <w:rPr>
                <w:rFonts w:ascii="仿宋" w:hAnsi="仿宋" w:cs="仿宋"/>
                <w:color w:val="auto"/>
                <w:sz w:val="21"/>
                <w:szCs w:val="21"/>
                <w:highlight w:val="none"/>
              </w:rPr>
            </w:pPr>
          </w:p>
        </w:tc>
        <w:tc>
          <w:tcPr>
            <w:tcW w:w="1089" w:type="dxa"/>
          </w:tcPr>
          <w:p w14:paraId="177F76E3">
            <w:pPr>
              <w:jc w:val="center"/>
              <w:rPr>
                <w:rFonts w:ascii="仿宋" w:hAnsi="仿宋" w:cs="仿宋"/>
                <w:color w:val="auto"/>
                <w:sz w:val="21"/>
                <w:szCs w:val="21"/>
                <w:highlight w:val="none"/>
              </w:rPr>
            </w:pPr>
          </w:p>
        </w:tc>
      </w:tr>
      <w:tr w14:paraId="202FC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4AE33A5D">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5</w:t>
            </w:r>
          </w:p>
        </w:tc>
        <w:tc>
          <w:tcPr>
            <w:tcW w:w="1417" w:type="dxa"/>
            <w:vAlign w:val="center"/>
          </w:tcPr>
          <w:p w14:paraId="3CA6E10D">
            <w:pPr>
              <w:jc w:val="center"/>
              <w:rPr>
                <w:rFonts w:ascii="仿宋" w:hAnsi="仿宋" w:cs="仿宋"/>
                <w:color w:val="auto"/>
                <w:sz w:val="21"/>
                <w:szCs w:val="21"/>
                <w:highlight w:val="none"/>
              </w:rPr>
            </w:pPr>
          </w:p>
        </w:tc>
        <w:tc>
          <w:tcPr>
            <w:tcW w:w="2416" w:type="dxa"/>
          </w:tcPr>
          <w:p w14:paraId="526E9EC3">
            <w:pPr>
              <w:jc w:val="center"/>
              <w:rPr>
                <w:rFonts w:ascii="仿宋" w:hAnsi="仿宋" w:cs="仿宋"/>
                <w:color w:val="auto"/>
                <w:sz w:val="21"/>
                <w:szCs w:val="21"/>
                <w:highlight w:val="none"/>
              </w:rPr>
            </w:pPr>
          </w:p>
        </w:tc>
        <w:tc>
          <w:tcPr>
            <w:tcW w:w="1213" w:type="dxa"/>
          </w:tcPr>
          <w:p w14:paraId="5D2B290F">
            <w:pPr>
              <w:jc w:val="center"/>
              <w:rPr>
                <w:rFonts w:ascii="仿宋" w:hAnsi="仿宋" w:cs="仿宋"/>
                <w:color w:val="auto"/>
                <w:sz w:val="21"/>
                <w:szCs w:val="21"/>
                <w:highlight w:val="none"/>
              </w:rPr>
            </w:pPr>
          </w:p>
        </w:tc>
        <w:tc>
          <w:tcPr>
            <w:tcW w:w="1213" w:type="dxa"/>
          </w:tcPr>
          <w:p w14:paraId="60152800">
            <w:pPr>
              <w:jc w:val="center"/>
              <w:rPr>
                <w:rFonts w:ascii="仿宋" w:hAnsi="仿宋" w:cs="仿宋"/>
                <w:color w:val="auto"/>
                <w:sz w:val="21"/>
                <w:szCs w:val="21"/>
                <w:highlight w:val="none"/>
              </w:rPr>
            </w:pPr>
          </w:p>
        </w:tc>
        <w:tc>
          <w:tcPr>
            <w:tcW w:w="912" w:type="dxa"/>
            <w:vAlign w:val="center"/>
          </w:tcPr>
          <w:p w14:paraId="14CCC218">
            <w:pPr>
              <w:jc w:val="center"/>
              <w:rPr>
                <w:rFonts w:ascii="仿宋" w:hAnsi="仿宋" w:cs="仿宋"/>
                <w:color w:val="auto"/>
                <w:sz w:val="21"/>
                <w:szCs w:val="21"/>
                <w:highlight w:val="none"/>
              </w:rPr>
            </w:pPr>
          </w:p>
        </w:tc>
        <w:tc>
          <w:tcPr>
            <w:tcW w:w="1089" w:type="dxa"/>
          </w:tcPr>
          <w:p w14:paraId="707E20F0">
            <w:pPr>
              <w:jc w:val="center"/>
              <w:rPr>
                <w:rFonts w:ascii="仿宋" w:hAnsi="仿宋" w:cs="仿宋"/>
                <w:color w:val="auto"/>
                <w:sz w:val="21"/>
                <w:szCs w:val="21"/>
                <w:highlight w:val="none"/>
              </w:rPr>
            </w:pPr>
          </w:p>
        </w:tc>
      </w:tr>
      <w:tr w14:paraId="3B815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541E5924">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6</w:t>
            </w:r>
          </w:p>
        </w:tc>
        <w:tc>
          <w:tcPr>
            <w:tcW w:w="1417" w:type="dxa"/>
            <w:vAlign w:val="center"/>
          </w:tcPr>
          <w:p w14:paraId="2B76065D">
            <w:pPr>
              <w:jc w:val="center"/>
              <w:rPr>
                <w:rFonts w:ascii="仿宋" w:hAnsi="仿宋" w:cs="仿宋"/>
                <w:color w:val="auto"/>
                <w:sz w:val="21"/>
                <w:szCs w:val="21"/>
                <w:highlight w:val="none"/>
              </w:rPr>
            </w:pPr>
          </w:p>
        </w:tc>
        <w:tc>
          <w:tcPr>
            <w:tcW w:w="2416" w:type="dxa"/>
          </w:tcPr>
          <w:p w14:paraId="39663A94">
            <w:pPr>
              <w:jc w:val="center"/>
              <w:rPr>
                <w:rFonts w:ascii="仿宋" w:hAnsi="仿宋" w:cs="仿宋"/>
                <w:color w:val="auto"/>
                <w:sz w:val="21"/>
                <w:szCs w:val="21"/>
                <w:highlight w:val="none"/>
              </w:rPr>
            </w:pPr>
          </w:p>
        </w:tc>
        <w:tc>
          <w:tcPr>
            <w:tcW w:w="1213" w:type="dxa"/>
          </w:tcPr>
          <w:p w14:paraId="638D4F4D">
            <w:pPr>
              <w:jc w:val="center"/>
              <w:rPr>
                <w:rFonts w:ascii="仿宋" w:hAnsi="仿宋" w:cs="仿宋"/>
                <w:color w:val="auto"/>
                <w:sz w:val="21"/>
                <w:szCs w:val="21"/>
                <w:highlight w:val="none"/>
              </w:rPr>
            </w:pPr>
          </w:p>
        </w:tc>
        <w:tc>
          <w:tcPr>
            <w:tcW w:w="1213" w:type="dxa"/>
          </w:tcPr>
          <w:p w14:paraId="161C2791">
            <w:pPr>
              <w:jc w:val="center"/>
              <w:rPr>
                <w:rFonts w:ascii="仿宋" w:hAnsi="仿宋" w:cs="仿宋"/>
                <w:color w:val="auto"/>
                <w:sz w:val="21"/>
                <w:szCs w:val="21"/>
                <w:highlight w:val="none"/>
              </w:rPr>
            </w:pPr>
          </w:p>
        </w:tc>
        <w:tc>
          <w:tcPr>
            <w:tcW w:w="912" w:type="dxa"/>
            <w:vAlign w:val="center"/>
          </w:tcPr>
          <w:p w14:paraId="3CCEA515">
            <w:pPr>
              <w:jc w:val="center"/>
              <w:rPr>
                <w:rFonts w:ascii="仿宋" w:hAnsi="仿宋" w:cs="仿宋"/>
                <w:color w:val="auto"/>
                <w:sz w:val="21"/>
                <w:szCs w:val="21"/>
                <w:highlight w:val="none"/>
              </w:rPr>
            </w:pPr>
          </w:p>
        </w:tc>
        <w:tc>
          <w:tcPr>
            <w:tcW w:w="1089" w:type="dxa"/>
          </w:tcPr>
          <w:p w14:paraId="4B27EF33">
            <w:pPr>
              <w:jc w:val="center"/>
              <w:rPr>
                <w:rFonts w:ascii="仿宋" w:hAnsi="仿宋" w:cs="仿宋"/>
                <w:color w:val="auto"/>
                <w:sz w:val="21"/>
                <w:szCs w:val="21"/>
                <w:highlight w:val="none"/>
              </w:rPr>
            </w:pPr>
          </w:p>
        </w:tc>
      </w:tr>
      <w:tr w14:paraId="41406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12F3D711">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7</w:t>
            </w:r>
          </w:p>
        </w:tc>
        <w:tc>
          <w:tcPr>
            <w:tcW w:w="1417" w:type="dxa"/>
            <w:vAlign w:val="center"/>
          </w:tcPr>
          <w:p w14:paraId="338D53D5">
            <w:pPr>
              <w:jc w:val="center"/>
              <w:rPr>
                <w:rFonts w:ascii="仿宋" w:hAnsi="仿宋" w:cs="仿宋"/>
                <w:color w:val="auto"/>
                <w:sz w:val="21"/>
                <w:szCs w:val="21"/>
                <w:highlight w:val="none"/>
              </w:rPr>
            </w:pPr>
          </w:p>
        </w:tc>
        <w:tc>
          <w:tcPr>
            <w:tcW w:w="2416" w:type="dxa"/>
          </w:tcPr>
          <w:p w14:paraId="51E95B2B">
            <w:pPr>
              <w:jc w:val="center"/>
              <w:rPr>
                <w:rFonts w:ascii="仿宋" w:hAnsi="仿宋" w:cs="仿宋"/>
                <w:color w:val="auto"/>
                <w:sz w:val="21"/>
                <w:szCs w:val="21"/>
                <w:highlight w:val="none"/>
              </w:rPr>
            </w:pPr>
          </w:p>
        </w:tc>
        <w:tc>
          <w:tcPr>
            <w:tcW w:w="1213" w:type="dxa"/>
          </w:tcPr>
          <w:p w14:paraId="1CADEC4E">
            <w:pPr>
              <w:jc w:val="center"/>
              <w:rPr>
                <w:rFonts w:ascii="仿宋" w:hAnsi="仿宋" w:cs="仿宋"/>
                <w:color w:val="auto"/>
                <w:sz w:val="21"/>
                <w:szCs w:val="21"/>
                <w:highlight w:val="none"/>
              </w:rPr>
            </w:pPr>
          </w:p>
        </w:tc>
        <w:tc>
          <w:tcPr>
            <w:tcW w:w="1213" w:type="dxa"/>
          </w:tcPr>
          <w:p w14:paraId="0ADEA010">
            <w:pPr>
              <w:jc w:val="center"/>
              <w:rPr>
                <w:rFonts w:ascii="仿宋" w:hAnsi="仿宋" w:cs="仿宋"/>
                <w:color w:val="auto"/>
                <w:sz w:val="21"/>
                <w:szCs w:val="21"/>
                <w:highlight w:val="none"/>
              </w:rPr>
            </w:pPr>
          </w:p>
        </w:tc>
        <w:tc>
          <w:tcPr>
            <w:tcW w:w="912" w:type="dxa"/>
            <w:vAlign w:val="center"/>
          </w:tcPr>
          <w:p w14:paraId="615406F3">
            <w:pPr>
              <w:jc w:val="center"/>
              <w:rPr>
                <w:rFonts w:ascii="仿宋" w:hAnsi="仿宋" w:cs="仿宋"/>
                <w:color w:val="auto"/>
                <w:sz w:val="21"/>
                <w:szCs w:val="21"/>
                <w:highlight w:val="none"/>
              </w:rPr>
            </w:pPr>
          </w:p>
        </w:tc>
        <w:tc>
          <w:tcPr>
            <w:tcW w:w="1089" w:type="dxa"/>
          </w:tcPr>
          <w:p w14:paraId="76EA8A8B">
            <w:pPr>
              <w:jc w:val="center"/>
              <w:rPr>
                <w:rFonts w:ascii="仿宋" w:hAnsi="仿宋" w:cs="仿宋"/>
                <w:color w:val="auto"/>
                <w:sz w:val="21"/>
                <w:szCs w:val="21"/>
                <w:highlight w:val="none"/>
              </w:rPr>
            </w:pPr>
          </w:p>
        </w:tc>
      </w:tr>
      <w:tr w14:paraId="6F956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0EF0F13D">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8</w:t>
            </w:r>
          </w:p>
        </w:tc>
        <w:tc>
          <w:tcPr>
            <w:tcW w:w="1417" w:type="dxa"/>
            <w:vAlign w:val="center"/>
          </w:tcPr>
          <w:p w14:paraId="4E0BACB6">
            <w:pPr>
              <w:jc w:val="center"/>
              <w:rPr>
                <w:rFonts w:ascii="仿宋" w:hAnsi="仿宋" w:cs="仿宋"/>
                <w:color w:val="auto"/>
                <w:sz w:val="21"/>
                <w:szCs w:val="21"/>
                <w:highlight w:val="none"/>
              </w:rPr>
            </w:pPr>
          </w:p>
        </w:tc>
        <w:tc>
          <w:tcPr>
            <w:tcW w:w="2416" w:type="dxa"/>
          </w:tcPr>
          <w:p w14:paraId="5D77E915">
            <w:pPr>
              <w:jc w:val="center"/>
              <w:rPr>
                <w:rFonts w:ascii="仿宋" w:hAnsi="仿宋" w:cs="仿宋"/>
                <w:color w:val="auto"/>
                <w:sz w:val="21"/>
                <w:szCs w:val="21"/>
                <w:highlight w:val="none"/>
              </w:rPr>
            </w:pPr>
          </w:p>
        </w:tc>
        <w:tc>
          <w:tcPr>
            <w:tcW w:w="1213" w:type="dxa"/>
          </w:tcPr>
          <w:p w14:paraId="08C1521B">
            <w:pPr>
              <w:jc w:val="center"/>
              <w:rPr>
                <w:rFonts w:ascii="仿宋" w:hAnsi="仿宋" w:cs="仿宋"/>
                <w:color w:val="auto"/>
                <w:sz w:val="21"/>
                <w:szCs w:val="21"/>
                <w:highlight w:val="none"/>
              </w:rPr>
            </w:pPr>
          </w:p>
        </w:tc>
        <w:tc>
          <w:tcPr>
            <w:tcW w:w="1213" w:type="dxa"/>
          </w:tcPr>
          <w:p w14:paraId="44E3CE04">
            <w:pPr>
              <w:jc w:val="center"/>
              <w:rPr>
                <w:rFonts w:ascii="仿宋" w:hAnsi="仿宋" w:cs="仿宋"/>
                <w:color w:val="auto"/>
                <w:sz w:val="21"/>
                <w:szCs w:val="21"/>
                <w:highlight w:val="none"/>
              </w:rPr>
            </w:pPr>
          </w:p>
        </w:tc>
        <w:tc>
          <w:tcPr>
            <w:tcW w:w="912" w:type="dxa"/>
            <w:vAlign w:val="center"/>
          </w:tcPr>
          <w:p w14:paraId="445882CE">
            <w:pPr>
              <w:jc w:val="center"/>
              <w:rPr>
                <w:rFonts w:ascii="仿宋" w:hAnsi="仿宋" w:cs="仿宋"/>
                <w:color w:val="auto"/>
                <w:sz w:val="21"/>
                <w:szCs w:val="21"/>
                <w:highlight w:val="none"/>
              </w:rPr>
            </w:pPr>
          </w:p>
        </w:tc>
        <w:tc>
          <w:tcPr>
            <w:tcW w:w="1089" w:type="dxa"/>
          </w:tcPr>
          <w:p w14:paraId="48312D92">
            <w:pPr>
              <w:jc w:val="center"/>
              <w:rPr>
                <w:rFonts w:ascii="仿宋" w:hAnsi="仿宋" w:cs="仿宋"/>
                <w:color w:val="auto"/>
                <w:sz w:val="21"/>
                <w:szCs w:val="21"/>
                <w:highlight w:val="none"/>
              </w:rPr>
            </w:pPr>
          </w:p>
        </w:tc>
      </w:tr>
      <w:tr w14:paraId="0B62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74BD4D4D">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9</w:t>
            </w:r>
          </w:p>
        </w:tc>
        <w:tc>
          <w:tcPr>
            <w:tcW w:w="1417" w:type="dxa"/>
            <w:vAlign w:val="center"/>
          </w:tcPr>
          <w:p w14:paraId="4A9A3F74">
            <w:pPr>
              <w:jc w:val="center"/>
              <w:rPr>
                <w:rFonts w:ascii="仿宋" w:hAnsi="仿宋" w:cs="仿宋"/>
                <w:color w:val="auto"/>
                <w:sz w:val="21"/>
                <w:szCs w:val="21"/>
                <w:highlight w:val="none"/>
              </w:rPr>
            </w:pPr>
          </w:p>
        </w:tc>
        <w:tc>
          <w:tcPr>
            <w:tcW w:w="2416" w:type="dxa"/>
          </w:tcPr>
          <w:p w14:paraId="73891A72">
            <w:pPr>
              <w:jc w:val="center"/>
              <w:rPr>
                <w:rFonts w:ascii="仿宋" w:hAnsi="仿宋" w:cs="仿宋"/>
                <w:color w:val="auto"/>
                <w:sz w:val="21"/>
                <w:szCs w:val="21"/>
                <w:highlight w:val="none"/>
              </w:rPr>
            </w:pPr>
          </w:p>
        </w:tc>
        <w:tc>
          <w:tcPr>
            <w:tcW w:w="1213" w:type="dxa"/>
          </w:tcPr>
          <w:p w14:paraId="3FC8ABA1">
            <w:pPr>
              <w:jc w:val="center"/>
              <w:rPr>
                <w:rFonts w:ascii="仿宋" w:hAnsi="仿宋" w:cs="仿宋"/>
                <w:color w:val="auto"/>
                <w:sz w:val="21"/>
                <w:szCs w:val="21"/>
                <w:highlight w:val="none"/>
              </w:rPr>
            </w:pPr>
          </w:p>
        </w:tc>
        <w:tc>
          <w:tcPr>
            <w:tcW w:w="1213" w:type="dxa"/>
          </w:tcPr>
          <w:p w14:paraId="7F9439BE">
            <w:pPr>
              <w:jc w:val="center"/>
              <w:rPr>
                <w:rFonts w:ascii="仿宋" w:hAnsi="仿宋" w:cs="仿宋"/>
                <w:color w:val="auto"/>
                <w:sz w:val="21"/>
                <w:szCs w:val="21"/>
                <w:highlight w:val="none"/>
              </w:rPr>
            </w:pPr>
          </w:p>
        </w:tc>
        <w:tc>
          <w:tcPr>
            <w:tcW w:w="912" w:type="dxa"/>
            <w:vAlign w:val="center"/>
          </w:tcPr>
          <w:p w14:paraId="13E78AE7">
            <w:pPr>
              <w:jc w:val="center"/>
              <w:rPr>
                <w:rFonts w:ascii="仿宋" w:hAnsi="仿宋" w:cs="仿宋"/>
                <w:color w:val="auto"/>
                <w:sz w:val="21"/>
                <w:szCs w:val="21"/>
                <w:highlight w:val="none"/>
              </w:rPr>
            </w:pPr>
          </w:p>
        </w:tc>
        <w:tc>
          <w:tcPr>
            <w:tcW w:w="1089" w:type="dxa"/>
          </w:tcPr>
          <w:p w14:paraId="1AA50B91">
            <w:pPr>
              <w:jc w:val="center"/>
              <w:rPr>
                <w:rFonts w:ascii="仿宋" w:hAnsi="仿宋" w:cs="仿宋"/>
                <w:color w:val="auto"/>
                <w:sz w:val="21"/>
                <w:szCs w:val="21"/>
                <w:highlight w:val="none"/>
              </w:rPr>
            </w:pPr>
          </w:p>
        </w:tc>
      </w:tr>
      <w:tr w14:paraId="1F46E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6F384CC9">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10</w:t>
            </w:r>
          </w:p>
        </w:tc>
        <w:tc>
          <w:tcPr>
            <w:tcW w:w="1417" w:type="dxa"/>
            <w:vAlign w:val="center"/>
          </w:tcPr>
          <w:p w14:paraId="1B91D305">
            <w:pPr>
              <w:jc w:val="center"/>
              <w:rPr>
                <w:rFonts w:ascii="仿宋" w:hAnsi="仿宋" w:cs="仿宋"/>
                <w:color w:val="auto"/>
                <w:sz w:val="21"/>
                <w:szCs w:val="21"/>
                <w:highlight w:val="none"/>
              </w:rPr>
            </w:pPr>
          </w:p>
        </w:tc>
        <w:tc>
          <w:tcPr>
            <w:tcW w:w="2416" w:type="dxa"/>
          </w:tcPr>
          <w:p w14:paraId="1EC0A4FA">
            <w:pPr>
              <w:jc w:val="center"/>
              <w:rPr>
                <w:rFonts w:ascii="仿宋" w:hAnsi="仿宋" w:cs="仿宋"/>
                <w:color w:val="auto"/>
                <w:sz w:val="21"/>
                <w:szCs w:val="21"/>
                <w:highlight w:val="none"/>
              </w:rPr>
            </w:pPr>
          </w:p>
        </w:tc>
        <w:tc>
          <w:tcPr>
            <w:tcW w:w="1213" w:type="dxa"/>
          </w:tcPr>
          <w:p w14:paraId="67E2645F">
            <w:pPr>
              <w:jc w:val="center"/>
              <w:rPr>
                <w:rFonts w:ascii="仿宋" w:hAnsi="仿宋" w:cs="仿宋"/>
                <w:color w:val="auto"/>
                <w:sz w:val="21"/>
                <w:szCs w:val="21"/>
                <w:highlight w:val="none"/>
              </w:rPr>
            </w:pPr>
          </w:p>
        </w:tc>
        <w:tc>
          <w:tcPr>
            <w:tcW w:w="1213" w:type="dxa"/>
          </w:tcPr>
          <w:p w14:paraId="0DEEE2F5">
            <w:pPr>
              <w:jc w:val="center"/>
              <w:rPr>
                <w:rFonts w:ascii="仿宋" w:hAnsi="仿宋" w:cs="仿宋"/>
                <w:color w:val="auto"/>
                <w:sz w:val="21"/>
                <w:szCs w:val="21"/>
                <w:highlight w:val="none"/>
              </w:rPr>
            </w:pPr>
          </w:p>
        </w:tc>
        <w:tc>
          <w:tcPr>
            <w:tcW w:w="912" w:type="dxa"/>
            <w:vAlign w:val="center"/>
          </w:tcPr>
          <w:p w14:paraId="7A8A45C7">
            <w:pPr>
              <w:jc w:val="center"/>
              <w:rPr>
                <w:rFonts w:ascii="仿宋" w:hAnsi="仿宋" w:cs="仿宋"/>
                <w:color w:val="auto"/>
                <w:sz w:val="21"/>
                <w:szCs w:val="21"/>
                <w:highlight w:val="none"/>
              </w:rPr>
            </w:pPr>
          </w:p>
        </w:tc>
        <w:tc>
          <w:tcPr>
            <w:tcW w:w="1089" w:type="dxa"/>
          </w:tcPr>
          <w:p w14:paraId="48707EAC">
            <w:pPr>
              <w:jc w:val="center"/>
              <w:rPr>
                <w:rFonts w:ascii="仿宋" w:hAnsi="仿宋" w:cs="仿宋"/>
                <w:color w:val="auto"/>
                <w:sz w:val="21"/>
                <w:szCs w:val="21"/>
                <w:highlight w:val="none"/>
              </w:rPr>
            </w:pPr>
          </w:p>
        </w:tc>
      </w:tr>
      <w:tr w14:paraId="29EF0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2" w:type="dxa"/>
            <w:vAlign w:val="center"/>
          </w:tcPr>
          <w:p w14:paraId="7A0E380F">
            <w:pPr>
              <w:pStyle w:val="24"/>
              <w:spacing w:line="240" w:lineRule="auto"/>
              <w:ind w:left="0"/>
              <w:jc w:val="center"/>
              <w:outlineLvl w:val="0"/>
              <w:rPr>
                <w:rFonts w:ascii="仿宋" w:hAnsi="仿宋" w:cs="仿宋"/>
                <w:color w:val="auto"/>
                <w:sz w:val="21"/>
                <w:szCs w:val="21"/>
                <w:highlight w:val="none"/>
              </w:rPr>
            </w:pPr>
            <w:r>
              <w:rPr>
                <w:rFonts w:ascii="仿宋" w:hAnsi="仿宋" w:cs="仿宋"/>
                <w:color w:val="auto"/>
                <w:sz w:val="21"/>
                <w:szCs w:val="21"/>
                <w:highlight w:val="none"/>
              </w:rPr>
              <w:t>11</w:t>
            </w:r>
          </w:p>
        </w:tc>
        <w:tc>
          <w:tcPr>
            <w:tcW w:w="1417" w:type="dxa"/>
            <w:vAlign w:val="center"/>
          </w:tcPr>
          <w:p w14:paraId="1BEB9765">
            <w:pPr>
              <w:jc w:val="center"/>
              <w:rPr>
                <w:rFonts w:ascii="仿宋" w:hAnsi="仿宋" w:cs="仿宋"/>
                <w:color w:val="auto"/>
                <w:sz w:val="21"/>
                <w:szCs w:val="21"/>
                <w:highlight w:val="none"/>
              </w:rPr>
            </w:pPr>
            <w:r>
              <w:rPr>
                <w:rFonts w:hint="eastAsia" w:ascii="仿宋" w:hAnsi="仿宋" w:cs="仿宋"/>
                <w:color w:val="auto"/>
                <w:sz w:val="21"/>
                <w:szCs w:val="21"/>
                <w:highlight w:val="none"/>
              </w:rPr>
              <w:t>……</w:t>
            </w:r>
          </w:p>
        </w:tc>
        <w:tc>
          <w:tcPr>
            <w:tcW w:w="2416" w:type="dxa"/>
          </w:tcPr>
          <w:p w14:paraId="573D1F2B">
            <w:pPr>
              <w:jc w:val="center"/>
              <w:rPr>
                <w:rFonts w:ascii="仿宋" w:hAnsi="仿宋" w:cs="仿宋"/>
                <w:color w:val="auto"/>
                <w:sz w:val="21"/>
                <w:szCs w:val="21"/>
                <w:highlight w:val="none"/>
              </w:rPr>
            </w:pPr>
          </w:p>
        </w:tc>
        <w:tc>
          <w:tcPr>
            <w:tcW w:w="1213" w:type="dxa"/>
          </w:tcPr>
          <w:p w14:paraId="18BA8356">
            <w:pPr>
              <w:jc w:val="center"/>
              <w:rPr>
                <w:rFonts w:ascii="仿宋" w:hAnsi="仿宋" w:cs="仿宋"/>
                <w:color w:val="auto"/>
                <w:sz w:val="21"/>
                <w:szCs w:val="21"/>
                <w:highlight w:val="none"/>
              </w:rPr>
            </w:pPr>
          </w:p>
        </w:tc>
        <w:tc>
          <w:tcPr>
            <w:tcW w:w="1213" w:type="dxa"/>
          </w:tcPr>
          <w:p w14:paraId="2B9229DF">
            <w:pPr>
              <w:jc w:val="center"/>
              <w:rPr>
                <w:rFonts w:ascii="仿宋" w:hAnsi="仿宋" w:cs="仿宋"/>
                <w:color w:val="auto"/>
                <w:sz w:val="21"/>
                <w:szCs w:val="21"/>
                <w:highlight w:val="none"/>
              </w:rPr>
            </w:pPr>
          </w:p>
        </w:tc>
        <w:tc>
          <w:tcPr>
            <w:tcW w:w="912" w:type="dxa"/>
            <w:vAlign w:val="center"/>
          </w:tcPr>
          <w:p w14:paraId="33A9AD28">
            <w:pPr>
              <w:jc w:val="center"/>
              <w:rPr>
                <w:rFonts w:ascii="仿宋" w:hAnsi="仿宋" w:cs="仿宋"/>
                <w:color w:val="auto"/>
                <w:sz w:val="21"/>
                <w:szCs w:val="21"/>
                <w:highlight w:val="none"/>
              </w:rPr>
            </w:pPr>
          </w:p>
        </w:tc>
        <w:tc>
          <w:tcPr>
            <w:tcW w:w="1089" w:type="dxa"/>
          </w:tcPr>
          <w:p w14:paraId="29A9C0FB">
            <w:pPr>
              <w:jc w:val="center"/>
              <w:rPr>
                <w:rFonts w:ascii="仿宋" w:hAnsi="仿宋" w:cs="仿宋"/>
                <w:color w:val="auto"/>
                <w:sz w:val="21"/>
                <w:szCs w:val="21"/>
                <w:highlight w:val="none"/>
              </w:rPr>
            </w:pPr>
          </w:p>
        </w:tc>
      </w:tr>
    </w:tbl>
    <w:p w14:paraId="667EA227">
      <w:pPr>
        <w:snapToGrid w:val="0"/>
        <w:spacing w:line="400" w:lineRule="exact"/>
        <w:ind w:firstLine="480"/>
        <w:rPr>
          <w:rFonts w:ascii="方正仿宋_GBK" w:hAnsi="宋体" w:eastAsia="方正仿宋_GBK"/>
          <w:color w:val="auto"/>
          <w:sz w:val="24"/>
          <w:szCs w:val="24"/>
          <w:highlight w:val="none"/>
        </w:rPr>
      </w:pPr>
    </w:p>
    <w:p w14:paraId="7C881BDD">
      <w:pPr>
        <w:snapToGrid w:val="0"/>
        <w:spacing w:line="400" w:lineRule="exact"/>
        <w:ind w:firstLine="48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w:t>
      </w:r>
      <w:r>
        <w:rPr>
          <w:rFonts w:ascii="方正仿宋_GBK" w:hAnsi="宋体" w:eastAsia="方正仿宋_GBK"/>
          <w:color w:val="auto"/>
          <w:sz w:val="24"/>
          <w:szCs w:val="24"/>
          <w:highlight w:val="none"/>
        </w:rPr>
        <w:t xml:space="preserve">                      </w:t>
      </w:r>
      <w:r>
        <w:rPr>
          <w:rFonts w:hint="eastAsia" w:ascii="方正仿宋_GBK" w:hAnsi="宋体" w:eastAsia="方正仿宋_GBK"/>
          <w:color w:val="auto"/>
          <w:sz w:val="24"/>
          <w:szCs w:val="24"/>
          <w:highlight w:val="none"/>
        </w:rPr>
        <w:t>法定代表人（或法定代表人授权代表）或自然人：</w:t>
      </w:r>
    </w:p>
    <w:p w14:paraId="129D2566">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（投标人公章）                               （签署或盖章）</w:t>
      </w:r>
    </w:p>
    <w:p w14:paraId="5BE563FB">
      <w:pPr>
        <w:snapToGrid w:val="0"/>
        <w:spacing w:line="400" w:lineRule="exact"/>
        <w:ind w:firstLine="480"/>
        <w:rPr>
          <w:rFonts w:ascii="方正仿宋_GBK" w:hAnsi="宋体" w:eastAsia="方正仿宋_GBK"/>
          <w:color w:val="auto"/>
          <w:sz w:val="24"/>
          <w:szCs w:val="24"/>
          <w:highlight w:val="none"/>
        </w:rPr>
      </w:pPr>
    </w:p>
    <w:p w14:paraId="636FDB13">
      <w:pPr>
        <w:snapToGrid w:val="0"/>
        <w:spacing w:line="400" w:lineRule="exact"/>
        <w:ind w:firstLine="480"/>
        <w:rPr>
          <w:rFonts w:ascii="方正仿宋_GBK" w:hAnsi="宋体" w:eastAsia="方正仿宋_GBK"/>
          <w:color w:val="auto"/>
          <w:sz w:val="24"/>
          <w:szCs w:val="24"/>
          <w:highlight w:val="none"/>
        </w:rPr>
      </w:pPr>
    </w:p>
    <w:p w14:paraId="0D4E3C65">
      <w:pPr>
        <w:snapToGrid w:val="0"/>
        <w:spacing w:line="400" w:lineRule="exact"/>
        <w:ind w:firstLine="5540"/>
        <w:rPr>
          <w:rFonts w:ascii="方正仿宋_GBK" w:hAnsi="宋体" w:eastAsia="方正仿宋_GBK"/>
          <w:color w:val="auto"/>
          <w:sz w:val="24"/>
          <w:szCs w:val="24"/>
          <w:highlight w:val="none"/>
        </w:rPr>
      </w:pP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年</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月</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日</w:t>
      </w:r>
    </w:p>
    <w:p w14:paraId="7B510E29">
      <w:pPr>
        <w:snapToGrid w:val="0"/>
        <w:spacing w:line="400" w:lineRule="exact"/>
        <w:ind w:firstLine="480"/>
        <w:rPr>
          <w:rFonts w:ascii="方正仿宋_GBK" w:hAnsi="宋体" w:eastAsia="方正仿宋_GBK"/>
          <w:color w:val="auto"/>
          <w:sz w:val="24"/>
          <w:szCs w:val="24"/>
          <w:highlight w:val="none"/>
        </w:rPr>
      </w:pPr>
    </w:p>
    <w:p w14:paraId="48614BB9">
      <w:pPr>
        <w:snapToGrid w:val="0"/>
        <w:spacing w:line="400" w:lineRule="exact"/>
        <w:ind w:firstLine="48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注：</w:t>
      </w:r>
    </w:p>
    <w:p w14:paraId="0C38260E">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1.请投标人完整填写本表；</w:t>
      </w:r>
    </w:p>
    <w:p w14:paraId="06812231">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2.该表可扩展；</w:t>
      </w:r>
    </w:p>
    <w:p w14:paraId="4DA53877">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3.货物质量保证期内，备品备件</w:t>
      </w:r>
      <w:r>
        <w:rPr>
          <w:rFonts w:hint="eastAsia" w:ascii="方正仿宋_GBK" w:hAnsi="宋体" w:eastAsia="方正仿宋_GBK"/>
          <w:color w:val="auto"/>
          <w:sz w:val="24"/>
          <w:szCs w:val="24"/>
          <w:highlight w:val="none"/>
        </w:rPr>
        <w:t>及易损件纳入投标总报价，且免费更换。</w:t>
      </w:r>
    </w:p>
    <w:p w14:paraId="23E5B86B">
      <w:pPr>
        <w:rPr>
          <w:color w:val="auto"/>
          <w:highlight w:val="none"/>
        </w:rPr>
      </w:pPr>
      <w:r>
        <w:rPr>
          <w:rFonts w:hint="eastAsia" w:ascii="方正仿宋_GBK" w:hAnsi="宋体" w:eastAsia="方正仿宋_GBK"/>
          <w:color w:val="auto"/>
          <w:sz w:val="24"/>
          <w:szCs w:val="24"/>
          <w:highlight w:val="none"/>
        </w:rPr>
        <w:br w:type="page"/>
      </w:r>
    </w:p>
    <w:p w14:paraId="34A552A8">
      <w:pPr>
        <w:pStyle w:val="5"/>
        <w:pageBreakBefore/>
        <w:spacing w:before="120" w:beforeLines="50" w:after="120" w:afterLines="50" w:line="240" w:lineRule="auto"/>
        <w:ind w:firstLine="562" w:firstLineChars="200"/>
        <w:rPr>
          <w:rFonts w:ascii="方正仿宋_GBK" w:hAnsi="仿宋" w:eastAsia="方正仿宋_GBK"/>
          <w:b/>
          <w:color w:val="auto"/>
          <w:szCs w:val="28"/>
          <w:highlight w:val="none"/>
        </w:rPr>
      </w:pPr>
      <w:bookmarkStart w:id="541" w:name="_Toc3224"/>
      <w:bookmarkStart w:id="542" w:name="_Toc15891"/>
      <w:bookmarkStart w:id="543" w:name="_Toc15573"/>
      <w:bookmarkStart w:id="544" w:name="_Toc23774"/>
      <w:bookmarkStart w:id="545" w:name="_Toc21779"/>
      <w:bookmarkStart w:id="546" w:name="_Toc19416"/>
      <w:bookmarkStart w:id="547" w:name="_Toc1842"/>
      <w:bookmarkStart w:id="548" w:name="_Toc7244"/>
      <w:bookmarkStart w:id="549" w:name="_Toc31344"/>
      <w:bookmarkStart w:id="550" w:name="_Toc3836"/>
      <w:bookmarkStart w:id="551" w:name="_Toc26723"/>
      <w:bookmarkStart w:id="552" w:name="_Toc2386"/>
      <w:bookmarkStart w:id="553" w:name="_Toc21203"/>
      <w:bookmarkStart w:id="554" w:name="_Toc493178790"/>
      <w:bookmarkStart w:id="555" w:name="_Toc13820"/>
      <w:bookmarkStart w:id="556" w:name="_Toc2784"/>
      <w:bookmarkStart w:id="557" w:name="_Toc14980"/>
      <w:bookmarkStart w:id="558" w:name="_Toc11188"/>
      <w:bookmarkStart w:id="559" w:name="_Toc5166"/>
      <w:bookmarkStart w:id="560" w:name="_Toc29441"/>
      <w:bookmarkStart w:id="561" w:name="_Toc75793541"/>
      <w:r>
        <w:rPr>
          <w:rFonts w:hint="eastAsia" w:ascii="方正仿宋_GBK" w:hAnsi="仿宋" w:eastAsia="方正仿宋_GBK"/>
          <w:b/>
          <w:color w:val="auto"/>
          <w:szCs w:val="28"/>
          <w:highlight w:val="none"/>
        </w:rPr>
        <w:t>二、技术（质量）文件</w:t>
      </w:r>
      <w:bookmarkEnd w:id="541"/>
      <w:bookmarkEnd w:id="542"/>
      <w:bookmarkEnd w:id="543"/>
      <w:bookmarkEnd w:id="544"/>
      <w:bookmarkEnd w:id="545"/>
      <w:bookmarkEnd w:id="546"/>
    </w:p>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14:paraId="1709B5FF">
      <w:pPr>
        <w:snapToGrid w:val="0"/>
        <w:spacing w:before="120" w:beforeLines="50" w:after="120" w:afterLines="50"/>
        <w:jc w:val="center"/>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（一）技术（质量）条款差异表</w:t>
      </w:r>
    </w:p>
    <w:p w14:paraId="7C564F12">
      <w:pPr>
        <w:snapToGrid w:val="0"/>
        <w:spacing w:line="400" w:lineRule="exact"/>
        <w:rPr>
          <w:rFonts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项目号：</w:t>
      </w:r>
    </w:p>
    <w:p w14:paraId="51F4A386">
      <w:pPr>
        <w:snapToGrid w:val="0"/>
        <w:spacing w:line="400" w:lineRule="exact"/>
        <w:rPr>
          <w:rFonts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招标项目名称：</w:t>
      </w:r>
    </w:p>
    <w:tbl>
      <w:tblPr>
        <w:tblStyle w:val="58"/>
        <w:tblW w:w="48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3118"/>
        <w:gridCol w:w="3118"/>
        <w:gridCol w:w="2306"/>
      </w:tblGrid>
      <w:tr w14:paraId="7F47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22" w:type="pct"/>
            <w:vAlign w:val="center"/>
          </w:tcPr>
          <w:p w14:paraId="64111FEF">
            <w:pPr>
              <w:tabs>
                <w:tab w:val="left" w:pos="6300"/>
              </w:tabs>
              <w:snapToGrid w:val="0"/>
              <w:spacing w:line="500" w:lineRule="exact"/>
              <w:jc w:val="center"/>
              <w:outlineLvl w:val="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序号</w:t>
            </w:r>
          </w:p>
        </w:tc>
        <w:tc>
          <w:tcPr>
            <w:tcW w:w="1670" w:type="pct"/>
            <w:vAlign w:val="center"/>
          </w:tcPr>
          <w:p w14:paraId="537F9263">
            <w:pPr>
              <w:tabs>
                <w:tab w:val="left" w:pos="6300"/>
              </w:tabs>
              <w:snapToGrid w:val="0"/>
              <w:spacing w:line="500" w:lineRule="exact"/>
              <w:jc w:val="center"/>
              <w:outlineLvl w:val="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招标要求</w:t>
            </w:r>
          </w:p>
        </w:tc>
        <w:tc>
          <w:tcPr>
            <w:tcW w:w="1670" w:type="pct"/>
            <w:vAlign w:val="center"/>
          </w:tcPr>
          <w:p w14:paraId="64ADBF08">
            <w:pPr>
              <w:tabs>
                <w:tab w:val="left" w:pos="6300"/>
              </w:tabs>
              <w:snapToGrid w:val="0"/>
              <w:spacing w:line="500" w:lineRule="exact"/>
              <w:jc w:val="center"/>
              <w:outlineLvl w:val="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投标应答</w:t>
            </w:r>
          </w:p>
        </w:tc>
        <w:tc>
          <w:tcPr>
            <w:tcW w:w="1235" w:type="pct"/>
            <w:vAlign w:val="center"/>
          </w:tcPr>
          <w:p w14:paraId="3A637956">
            <w:pPr>
              <w:tabs>
                <w:tab w:val="left" w:pos="6300"/>
              </w:tabs>
              <w:snapToGrid w:val="0"/>
              <w:spacing w:line="500" w:lineRule="exact"/>
              <w:jc w:val="center"/>
              <w:outlineLvl w:val="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差异说明</w:t>
            </w:r>
          </w:p>
        </w:tc>
      </w:tr>
      <w:tr w14:paraId="67D28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591FA369">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0CAC8BE7">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0856EBD8">
            <w:pPr>
              <w:tabs>
                <w:tab w:val="left" w:pos="6300"/>
              </w:tabs>
              <w:snapToGrid w:val="0"/>
              <w:spacing w:line="500" w:lineRule="exact"/>
              <w:outlineLvl w:val="0"/>
              <w:rPr>
                <w:rFonts w:ascii="方正仿宋_GBK" w:hAnsi="仿宋" w:eastAsia="方正仿宋_GBK"/>
                <w:color w:val="auto"/>
                <w:sz w:val="24"/>
                <w:szCs w:val="24"/>
                <w:highlight w:val="none"/>
              </w:rPr>
            </w:pPr>
            <w:r>
              <w:rPr>
                <w:rFonts w:ascii="方正仿宋_GBK" w:hAnsi="仿宋" w:eastAsia="方正仿宋_GBK"/>
                <w:color w:val="auto"/>
                <w:sz w:val="24"/>
                <w:szCs w:val="24"/>
                <w:highlight w:val="none"/>
              </w:rPr>
              <w:t>提醒</w:t>
            </w:r>
            <w:r>
              <w:rPr>
                <w:rFonts w:hint="eastAsia" w:ascii="方正仿宋_GBK" w:hAnsi="仿宋" w:eastAsia="方正仿宋_GBK"/>
                <w:color w:val="auto"/>
                <w:sz w:val="24"/>
                <w:szCs w:val="24"/>
                <w:highlight w:val="none"/>
              </w:rPr>
              <w:t>：</w:t>
            </w:r>
            <w:r>
              <w:rPr>
                <w:rFonts w:ascii="方正仿宋_GBK" w:hAnsi="仿宋" w:eastAsia="方正仿宋_GBK"/>
                <w:color w:val="auto"/>
                <w:sz w:val="24"/>
                <w:szCs w:val="24"/>
                <w:highlight w:val="none"/>
              </w:rPr>
              <w:t>请注明</w:t>
            </w:r>
            <w:r>
              <w:rPr>
                <w:rFonts w:hint="eastAsia" w:ascii="方正仿宋_GBK" w:hAnsi="仿宋" w:eastAsia="方正仿宋_GBK"/>
                <w:color w:val="auto"/>
                <w:sz w:val="24"/>
                <w:szCs w:val="24"/>
                <w:highlight w:val="none"/>
              </w:rPr>
              <w:t>技术</w:t>
            </w:r>
            <w:r>
              <w:rPr>
                <w:rFonts w:ascii="方正仿宋_GBK" w:hAnsi="仿宋" w:eastAsia="方正仿宋_GBK"/>
                <w:color w:val="auto"/>
                <w:sz w:val="24"/>
                <w:szCs w:val="24"/>
                <w:highlight w:val="none"/>
              </w:rPr>
              <w:t>参数或具体内容以及</w:t>
            </w:r>
            <w:r>
              <w:rPr>
                <w:rFonts w:hint="eastAsia" w:ascii="方正仿宋_GBK" w:hAnsi="仿宋" w:eastAsia="方正仿宋_GBK"/>
                <w:color w:val="auto"/>
                <w:sz w:val="24"/>
                <w:szCs w:val="24"/>
                <w:highlight w:val="none"/>
              </w:rPr>
              <w:t>投标文件</w:t>
            </w:r>
            <w:r>
              <w:rPr>
                <w:rFonts w:ascii="方正仿宋_GBK" w:hAnsi="仿宋" w:eastAsia="方正仿宋_GBK"/>
                <w:color w:val="auto"/>
                <w:sz w:val="24"/>
                <w:szCs w:val="24"/>
                <w:highlight w:val="none"/>
              </w:rPr>
              <w:t>中</w:t>
            </w:r>
            <w:r>
              <w:rPr>
                <w:rFonts w:hint="eastAsia" w:ascii="方正仿宋_GBK" w:hAnsi="仿宋" w:eastAsia="方正仿宋_GBK"/>
                <w:color w:val="auto"/>
                <w:sz w:val="24"/>
                <w:szCs w:val="24"/>
                <w:highlight w:val="none"/>
              </w:rPr>
              <w:t>技术</w:t>
            </w:r>
            <w:r>
              <w:rPr>
                <w:rFonts w:ascii="方正仿宋_GBK" w:hAnsi="仿宋" w:eastAsia="方正仿宋_GBK"/>
                <w:color w:val="auto"/>
                <w:sz w:val="24"/>
                <w:szCs w:val="24"/>
                <w:highlight w:val="none"/>
              </w:rPr>
              <w:t>参数或</w:t>
            </w:r>
            <w:r>
              <w:rPr>
                <w:rFonts w:hint="eastAsia" w:ascii="方正仿宋_GBK" w:hAnsi="仿宋" w:eastAsia="方正仿宋_GBK"/>
                <w:color w:val="auto"/>
                <w:sz w:val="24"/>
                <w:szCs w:val="24"/>
                <w:highlight w:val="none"/>
              </w:rPr>
              <w:t>具体</w:t>
            </w:r>
            <w:r>
              <w:rPr>
                <w:rFonts w:ascii="方正仿宋_GBK" w:hAnsi="仿宋" w:eastAsia="方正仿宋_GBK"/>
                <w:color w:val="auto"/>
                <w:sz w:val="24"/>
                <w:szCs w:val="24"/>
                <w:highlight w:val="none"/>
              </w:rPr>
              <w:t>内容</w:t>
            </w:r>
            <w:r>
              <w:rPr>
                <w:rFonts w:hint="eastAsia" w:ascii="方正仿宋_GBK" w:hAnsi="仿宋" w:eastAsia="方正仿宋_GBK"/>
                <w:color w:val="auto"/>
                <w:sz w:val="24"/>
                <w:szCs w:val="24"/>
                <w:highlight w:val="none"/>
              </w:rPr>
              <w:t>的</w:t>
            </w:r>
            <w:r>
              <w:rPr>
                <w:rFonts w:ascii="方正仿宋_GBK" w:hAnsi="仿宋" w:eastAsia="方正仿宋_GBK"/>
                <w:color w:val="auto"/>
                <w:sz w:val="24"/>
                <w:szCs w:val="24"/>
                <w:highlight w:val="none"/>
              </w:rPr>
              <w:t>位置（</w:t>
            </w:r>
            <w:r>
              <w:rPr>
                <w:rFonts w:hint="eastAsia" w:ascii="方正仿宋_GBK" w:hAnsi="仿宋" w:eastAsia="方正仿宋_GBK"/>
                <w:color w:val="auto"/>
                <w:sz w:val="24"/>
                <w:szCs w:val="24"/>
                <w:highlight w:val="none"/>
              </w:rPr>
              <w:t>页码</w:t>
            </w:r>
            <w:r>
              <w:rPr>
                <w:rFonts w:ascii="方正仿宋_GBK" w:hAnsi="仿宋" w:eastAsia="方正仿宋_GBK"/>
                <w:color w:val="auto"/>
                <w:sz w:val="24"/>
                <w:szCs w:val="24"/>
                <w:highlight w:val="none"/>
              </w:rPr>
              <w:t>）</w:t>
            </w:r>
          </w:p>
        </w:tc>
        <w:tc>
          <w:tcPr>
            <w:tcW w:w="1235" w:type="pct"/>
            <w:vAlign w:val="center"/>
          </w:tcPr>
          <w:p w14:paraId="31D9B4CB">
            <w:pPr>
              <w:tabs>
                <w:tab w:val="left" w:pos="6300"/>
              </w:tabs>
              <w:snapToGrid w:val="0"/>
              <w:spacing w:line="500" w:lineRule="exact"/>
              <w:jc w:val="center"/>
              <w:outlineLvl w:val="0"/>
              <w:rPr>
                <w:rFonts w:ascii="方正仿宋_GBK" w:hAnsi="仿宋" w:eastAsia="方正仿宋_GBK"/>
                <w:color w:val="auto"/>
                <w:sz w:val="24"/>
                <w:szCs w:val="24"/>
                <w:highlight w:val="none"/>
              </w:rPr>
            </w:pPr>
          </w:p>
        </w:tc>
      </w:tr>
      <w:tr w14:paraId="5547D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54198224">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7B4FF9E5">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5AA28327">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235" w:type="pct"/>
            <w:vAlign w:val="center"/>
          </w:tcPr>
          <w:p w14:paraId="6AB6444A">
            <w:pPr>
              <w:tabs>
                <w:tab w:val="left" w:pos="6300"/>
              </w:tabs>
              <w:snapToGrid w:val="0"/>
              <w:spacing w:line="500" w:lineRule="exact"/>
              <w:jc w:val="center"/>
              <w:outlineLvl w:val="0"/>
              <w:rPr>
                <w:rFonts w:ascii="方正仿宋_GBK" w:hAnsi="仿宋" w:eastAsia="方正仿宋_GBK"/>
                <w:color w:val="auto"/>
                <w:sz w:val="24"/>
                <w:szCs w:val="24"/>
                <w:highlight w:val="none"/>
              </w:rPr>
            </w:pPr>
          </w:p>
        </w:tc>
      </w:tr>
      <w:tr w14:paraId="7480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13EFC406">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01C6071A">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66E425A7">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235" w:type="pct"/>
            <w:vAlign w:val="center"/>
          </w:tcPr>
          <w:p w14:paraId="484F485B">
            <w:pPr>
              <w:tabs>
                <w:tab w:val="left" w:pos="6300"/>
              </w:tabs>
              <w:snapToGrid w:val="0"/>
              <w:spacing w:line="500" w:lineRule="exact"/>
              <w:jc w:val="center"/>
              <w:outlineLvl w:val="0"/>
              <w:rPr>
                <w:rFonts w:ascii="方正仿宋_GBK" w:hAnsi="仿宋" w:eastAsia="方正仿宋_GBK"/>
                <w:color w:val="auto"/>
                <w:sz w:val="24"/>
                <w:szCs w:val="24"/>
                <w:highlight w:val="none"/>
              </w:rPr>
            </w:pPr>
          </w:p>
        </w:tc>
      </w:tr>
      <w:tr w14:paraId="374F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65993D20">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4DC2896E">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4B80E70A">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235" w:type="pct"/>
            <w:vAlign w:val="center"/>
          </w:tcPr>
          <w:p w14:paraId="72134845">
            <w:pPr>
              <w:tabs>
                <w:tab w:val="left" w:pos="6300"/>
              </w:tabs>
              <w:snapToGrid w:val="0"/>
              <w:spacing w:line="500" w:lineRule="exact"/>
              <w:jc w:val="center"/>
              <w:outlineLvl w:val="0"/>
              <w:rPr>
                <w:rFonts w:ascii="方正仿宋_GBK" w:hAnsi="仿宋" w:eastAsia="方正仿宋_GBK"/>
                <w:color w:val="auto"/>
                <w:sz w:val="24"/>
                <w:szCs w:val="24"/>
                <w:highlight w:val="none"/>
              </w:rPr>
            </w:pPr>
          </w:p>
        </w:tc>
      </w:tr>
      <w:tr w14:paraId="52C96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0251A6EF">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0C48918F">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7CD69A63">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235" w:type="pct"/>
            <w:vAlign w:val="center"/>
          </w:tcPr>
          <w:p w14:paraId="0CE5529A">
            <w:pPr>
              <w:tabs>
                <w:tab w:val="left" w:pos="6300"/>
              </w:tabs>
              <w:snapToGrid w:val="0"/>
              <w:spacing w:line="500" w:lineRule="exact"/>
              <w:jc w:val="center"/>
              <w:outlineLvl w:val="0"/>
              <w:rPr>
                <w:rFonts w:ascii="方正仿宋_GBK" w:hAnsi="仿宋" w:eastAsia="方正仿宋_GBK"/>
                <w:color w:val="auto"/>
                <w:sz w:val="24"/>
                <w:szCs w:val="24"/>
                <w:highlight w:val="none"/>
              </w:rPr>
            </w:pPr>
          </w:p>
        </w:tc>
      </w:tr>
      <w:tr w14:paraId="1A0F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1C487114">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13ECF65B">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25AAD748">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235" w:type="pct"/>
            <w:vAlign w:val="center"/>
          </w:tcPr>
          <w:p w14:paraId="1AFE3F18">
            <w:pPr>
              <w:tabs>
                <w:tab w:val="left" w:pos="6300"/>
              </w:tabs>
              <w:snapToGrid w:val="0"/>
              <w:spacing w:line="500" w:lineRule="exact"/>
              <w:jc w:val="center"/>
              <w:outlineLvl w:val="0"/>
              <w:rPr>
                <w:rFonts w:ascii="方正仿宋_GBK" w:hAnsi="仿宋" w:eastAsia="方正仿宋_GBK"/>
                <w:color w:val="auto"/>
                <w:sz w:val="24"/>
                <w:szCs w:val="24"/>
                <w:highlight w:val="none"/>
              </w:rPr>
            </w:pPr>
          </w:p>
        </w:tc>
      </w:tr>
      <w:tr w14:paraId="5E0BD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6E8C2878">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37E228E1">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5BB3BCBE">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235" w:type="pct"/>
            <w:vAlign w:val="center"/>
          </w:tcPr>
          <w:p w14:paraId="45670096">
            <w:pPr>
              <w:tabs>
                <w:tab w:val="left" w:pos="6300"/>
              </w:tabs>
              <w:snapToGrid w:val="0"/>
              <w:spacing w:line="500" w:lineRule="exact"/>
              <w:jc w:val="center"/>
              <w:outlineLvl w:val="0"/>
              <w:rPr>
                <w:rFonts w:ascii="方正仿宋_GBK" w:hAnsi="仿宋" w:eastAsia="方正仿宋_GBK"/>
                <w:color w:val="auto"/>
                <w:sz w:val="24"/>
                <w:szCs w:val="24"/>
                <w:highlight w:val="none"/>
              </w:rPr>
            </w:pPr>
          </w:p>
        </w:tc>
      </w:tr>
      <w:tr w14:paraId="0D151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5B8DADF3">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75814188">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670" w:type="pct"/>
            <w:vAlign w:val="center"/>
          </w:tcPr>
          <w:p w14:paraId="5F75932C">
            <w:pPr>
              <w:tabs>
                <w:tab w:val="left" w:pos="6300"/>
              </w:tabs>
              <w:snapToGrid w:val="0"/>
              <w:spacing w:line="500" w:lineRule="exact"/>
              <w:jc w:val="center"/>
              <w:outlineLvl w:val="0"/>
              <w:rPr>
                <w:rFonts w:ascii="方正仿宋_GBK" w:hAnsi="仿宋" w:eastAsia="方正仿宋_GBK"/>
                <w:color w:val="auto"/>
                <w:sz w:val="24"/>
                <w:szCs w:val="24"/>
                <w:highlight w:val="none"/>
              </w:rPr>
            </w:pPr>
          </w:p>
        </w:tc>
        <w:tc>
          <w:tcPr>
            <w:tcW w:w="1235" w:type="pct"/>
            <w:vAlign w:val="center"/>
          </w:tcPr>
          <w:p w14:paraId="4EE0BF3B">
            <w:pPr>
              <w:tabs>
                <w:tab w:val="left" w:pos="6300"/>
              </w:tabs>
              <w:snapToGrid w:val="0"/>
              <w:spacing w:line="500" w:lineRule="exact"/>
              <w:jc w:val="center"/>
              <w:outlineLvl w:val="0"/>
              <w:rPr>
                <w:rFonts w:ascii="方正仿宋_GBK" w:hAnsi="仿宋" w:eastAsia="方正仿宋_GBK"/>
                <w:color w:val="auto"/>
                <w:sz w:val="24"/>
                <w:szCs w:val="24"/>
                <w:highlight w:val="none"/>
              </w:rPr>
            </w:pPr>
          </w:p>
        </w:tc>
      </w:tr>
    </w:tbl>
    <w:p w14:paraId="65E73D81">
      <w:pPr>
        <w:snapToGrid w:val="0"/>
        <w:spacing w:line="400" w:lineRule="exact"/>
        <w:ind w:firstLine="480"/>
        <w:rPr>
          <w:rFonts w:ascii="方正仿宋_GBK" w:hAnsi="宋体" w:eastAsia="方正仿宋_GBK"/>
          <w:color w:val="auto"/>
          <w:sz w:val="24"/>
          <w:szCs w:val="24"/>
          <w:highlight w:val="none"/>
        </w:rPr>
      </w:pPr>
    </w:p>
    <w:p w14:paraId="1E944A6D">
      <w:pPr>
        <w:snapToGrid w:val="0"/>
        <w:spacing w:line="400" w:lineRule="exact"/>
        <w:ind w:firstLine="48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w:t>
      </w:r>
      <w:r>
        <w:rPr>
          <w:rFonts w:ascii="方正仿宋_GBK" w:hAnsi="宋体" w:eastAsia="方正仿宋_GBK"/>
          <w:color w:val="auto"/>
          <w:sz w:val="24"/>
          <w:szCs w:val="24"/>
          <w:highlight w:val="none"/>
        </w:rPr>
        <w:t xml:space="preserve">                      </w:t>
      </w:r>
      <w:r>
        <w:rPr>
          <w:rFonts w:hint="eastAsia" w:ascii="方正仿宋_GBK" w:hAnsi="宋体" w:eastAsia="方正仿宋_GBK"/>
          <w:color w:val="auto"/>
          <w:sz w:val="24"/>
          <w:szCs w:val="24"/>
          <w:highlight w:val="none"/>
        </w:rPr>
        <w:t>法定代表人（或法定代表人授权代表）或自然人：</w:t>
      </w:r>
    </w:p>
    <w:p w14:paraId="0E1CC998">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（投标人公章）                               （签署或盖章）</w:t>
      </w:r>
    </w:p>
    <w:p w14:paraId="3578B5B4">
      <w:pPr>
        <w:snapToGrid w:val="0"/>
        <w:spacing w:line="400" w:lineRule="exact"/>
        <w:ind w:firstLine="480"/>
        <w:rPr>
          <w:rFonts w:ascii="方正仿宋_GBK" w:hAnsi="宋体" w:eastAsia="方正仿宋_GBK"/>
          <w:color w:val="auto"/>
          <w:sz w:val="24"/>
          <w:szCs w:val="24"/>
          <w:highlight w:val="none"/>
        </w:rPr>
      </w:pPr>
    </w:p>
    <w:p w14:paraId="006F7F03">
      <w:pPr>
        <w:snapToGrid w:val="0"/>
        <w:spacing w:line="400" w:lineRule="exact"/>
        <w:ind w:firstLine="480"/>
        <w:rPr>
          <w:rFonts w:ascii="方正仿宋_GBK" w:hAnsi="宋体" w:eastAsia="方正仿宋_GBK"/>
          <w:color w:val="auto"/>
          <w:sz w:val="24"/>
          <w:szCs w:val="24"/>
          <w:highlight w:val="none"/>
        </w:rPr>
      </w:pPr>
    </w:p>
    <w:p w14:paraId="746460BD">
      <w:pPr>
        <w:snapToGrid w:val="0"/>
        <w:spacing w:line="400" w:lineRule="exact"/>
        <w:ind w:firstLine="5540"/>
        <w:rPr>
          <w:rFonts w:ascii="方正仿宋_GBK" w:hAnsi="宋体" w:eastAsia="方正仿宋_GBK"/>
          <w:color w:val="auto"/>
          <w:sz w:val="24"/>
          <w:szCs w:val="24"/>
          <w:highlight w:val="none"/>
        </w:rPr>
      </w:pP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年</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月</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日</w:t>
      </w:r>
    </w:p>
    <w:p w14:paraId="2F6C1E85">
      <w:pPr>
        <w:snapToGrid w:val="0"/>
        <w:spacing w:line="400" w:lineRule="exact"/>
        <w:ind w:firstLine="480"/>
        <w:rPr>
          <w:rFonts w:ascii="方正仿宋_GBK" w:hAnsi="宋体" w:eastAsia="方正仿宋_GBK"/>
          <w:color w:val="auto"/>
          <w:sz w:val="24"/>
          <w:szCs w:val="24"/>
          <w:highlight w:val="none"/>
        </w:rPr>
      </w:pPr>
    </w:p>
    <w:p w14:paraId="50756DF2">
      <w:pPr>
        <w:tabs>
          <w:tab w:val="left" w:pos="6300"/>
        </w:tabs>
        <w:snapToGrid w:val="0"/>
        <w:spacing w:line="400" w:lineRule="exact"/>
        <w:ind w:firstLine="573"/>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注：</w:t>
      </w:r>
    </w:p>
    <w:p w14:paraId="1BAA7BCC">
      <w:pPr>
        <w:tabs>
          <w:tab w:val="left" w:pos="6300"/>
        </w:tabs>
        <w:snapToGrid w:val="0"/>
        <w:spacing w:line="400" w:lineRule="exact"/>
        <w:ind w:firstLine="573"/>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1.本表即为对本项目“第二篇  项目技术（质量）需求”中所列条款进行比较和响应；</w:t>
      </w:r>
    </w:p>
    <w:p w14:paraId="4FAFB2D3">
      <w:pPr>
        <w:tabs>
          <w:tab w:val="left" w:pos="6300"/>
        </w:tabs>
        <w:snapToGrid w:val="0"/>
        <w:spacing w:line="400" w:lineRule="exact"/>
        <w:ind w:firstLine="573"/>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2.本表可扩展；</w:t>
      </w:r>
    </w:p>
    <w:p w14:paraId="372F4673">
      <w:pPr>
        <w:tabs>
          <w:tab w:val="left" w:pos="6300"/>
        </w:tabs>
        <w:snapToGrid w:val="0"/>
        <w:spacing w:line="400" w:lineRule="exact"/>
        <w:ind w:firstLine="573"/>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3.可附相关技术（质量）支撑材料。（格式自定）</w:t>
      </w:r>
    </w:p>
    <w:p w14:paraId="2CC323C9">
      <w:pPr>
        <w:tabs>
          <w:tab w:val="left" w:pos="6300"/>
        </w:tabs>
        <w:snapToGrid w:val="0"/>
        <w:spacing w:line="400" w:lineRule="exact"/>
        <w:ind w:firstLine="573"/>
        <w:rPr>
          <w:rFonts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 w:val="24"/>
          <w:szCs w:val="28"/>
          <w:highlight w:val="none"/>
        </w:rPr>
        <w:t>4.投标应答栏中应当注明技术参数或具体内容，且必须标注技术参数或具体内容在投标文件中的位置（页码）。</w:t>
      </w:r>
    </w:p>
    <w:p w14:paraId="1CFCC090">
      <w:pPr>
        <w:tabs>
          <w:tab w:val="left" w:pos="6300"/>
        </w:tabs>
        <w:snapToGrid w:val="0"/>
        <w:spacing w:line="500" w:lineRule="exact"/>
        <w:ind w:firstLine="560" w:firstLineChars="200"/>
        <w:outlineLvl w:val="2"/>
        <w:rPr>
          <w:rFonts w:ascii="方正仿宋_GBK" w:hAnsi="宋体" w:eastAsia="方正仿宋_GBK"/>
          <w:color w:val="auto"/>
          <w:sz w:val="24"/>
          <w:szCs w:val="28"/>
          <w:highlight w:val="none"/>
        </w:rPr>
      </w:pPr>
      <w:r>
        <w:rPr>
          <w:rFonts w:ascii="方正仿宋_GBK" w:hAnsi="仿宋" w:eastAsia="方正仿宋_GBK"/>
          <w:color w:val="auto"/>
          <w:szCs w:val="24"/>
          <w:highlight w:val="none"/>
        </w:rPr>
        <w:br w:type="page"/>
      </w:r>
      <w:r>
        <w:rPr>
          <w:rFonts w:hint="eastAsia" w:ascii="方正仿宋_GBK" w:hAnsi="宋体" w:eastAsia="方正仿宋_GBK"/>
          <w:b/>
          <w:bCs/>
          <w:color w:val="auto"/>
          <w:szCs w:val="28"/>
          <w:highlight w:val="none"/>
        </w:rPr>
        <w:t>（二）其他技术（质量）资料</w:t>
      </w:r>
    </w:p>
    <w:p w14:paraId="180823D6">
      <w:pPr>
        <w:tabs>
          <w:tab w:val="left" w:pos="6300"/>
        </w:tabs>
        <w:snapToGrid w:val="0"/>
        <w:spacing w:line="500" w:lineRule="exact"/>
        <w:ind w:firstLine="570"/>
        <w:rPr>
          <w:rFonts w:ascii="方正仿宋_GBK" w:hAnsi="宋体" w:eastAsia="方正仿宋_GBK"/>
          <w:color w:val="auto"/>
          <w:sz w:val="24"/>
          <w:szCs w:val="28"/>
          <w:highlight w:val="none"/>
        </w:rPr>
      </w:pPr>
    </w:p>
    <w:p w14:paraId="40D664AC">
      <w:pPr>
        <w:pStyle w:val="38"/>
        <w:ind w:firstLine="241"/>
        <w:rPr>
          <w:rFonts w:ascii="方正仿宋_GBK" w:hAnsi="宋体" w:eastAsia="方正仿宋_GBK"/>
          <w:color w:val="auto"/>
          <w:sz w:val="24"/>
          <w:szCs w:val="28"/>
          <w:highlight w:val="none"/>
        </w:rPr>
      </w:pPr>
    </w:p>
    <w:p w14:paraId="7AA13AB3">
      <w:pPr>
        <w:rPr>
          <w:color w:val="auto"/>
          <w:highlight w:val="none"/>
        </w:rPr>
      </w:pPr>
    </w:p>
    <w:p w14:paraId="40B9F38E">
      <w:pPr>
        <w:tabs>
          <w:tab w:val="left" w:pos="6300"/>
        </w:tabs>
        <w:snapToGrid w:val="0"/>
        <w:spacing w:line="500" w:lineRule="exact"/>
        <w:ind w:firstLine="562" w:firstLineChars="200"/>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74367363">
      <w:pPr>
        <w:snapToGrid w:val="0"/>
        <w:spacing w:line="400" w:lineRule="exact"/>
        <w:ind w:firstLine="480" w:firstLineChars="200"/>
        <w:rPr>
          <w:rFonts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说明：</w:t>
      </w:r>
    </w:p>
    <w:p w14:paraId="5F50D2F6">
      <w:pPr>
        <w:snapToGrid w:val="0"/>
        <w:spacing w:line="400" w:lineRule="exact"/>
        <w:ind w:firstLine="480" w:firstLineChars="200"/>
        <w:rPr>
          <w:rFonts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1.提供所投产品列入《财政部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01D864C7">
      <w:pPr>
        <w:tabs>
          <w:tab w:val="left" w:pos="6300"/>
        </w:tabs>
        <w:snapToGrid w:val="0"/>
        <w:spacing w:line="500" w:lineRule="exact"/>
        <w:ind w:firstLine="57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8"/>
          <w:highlight w:val="none"/>
        </w:rPr>
        <w:t>2.提供所投产品列入《财政部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p w14:paraId="329F041B">
      <w:pPr>
        <w:snapToGrid w:val="0"/>
        <w:spacing w:line="500" w:lineRule="exact"/>
        <w:ind w:firstLine="480" w:firstLineChars="200"/>
        <w:rPr>
          <w:rFonts w:ascii="方正仿宋_GBK" w:hAnsi="仿宋" w:eastAsia="方正仿宋_GBK"/>
          <w:color w:val="auto"/>
          <w:sz w:val="24"/>
          <w:szCs w:val="28"/>
          <w:highlight w:val="none"/>
        </w:rPr>
      </w:pPr>
    </w:p>
    <w:p w14:paraId="71C09917">
      <w:pPr>
        <w:pStyle w:val="5"/>
        <w:pageBreakBefore/>
        <w:spacing w:before="120" w:beforeLines="50" w:after="120" w:afterLines="50" w:line="240" w:lineRule="auto"/>
        <w:ind w:firstLine="562" w:firstLineChars="200"/>
        <w:rPr>
          <w:rFonts w:ascii="方正仿宋_GBK" w:hAnsi="仿宋" w:eastAsia="方正仿宋_GBK"/>
          <w:b/>
          <w:color w:val="auto"/>
          <w:szCs w:val="28"/>
          <w:highlight w:val="none"/>
        </w:rPr>
      </w:pPr>
      <w:bookmarkStart w:id="562" w:name="_Toc32670"/>
      <w:bookmarkStart w:id="563" w:name="_Toc493178791"/>
      <w:bookmarkStart w:id="564" w:name="_Toc492721039"/>
      <w:bookmarkStart w:id="565" w:name="_Toc30496"/>
      <w:bookmarkStart w:id="566" w:name="_Toc26494"/>
      <w:bookmarkStart w:id="567" w:name="_Toc8958"/>
      <w:bookmarkStart w:id="568" w:name="_Toc28242"/>
      <w:bookmarkStart w:id="569" w:name="_Toc22113"/>
      <w:bookmarkStart w:id="570" w:name="_Toc6786"/>
      <w:bookmarkStart w:id="571" w:name="_Toc7069"/>
      <w:bookmarkStart w:id="572" w:name="_Toc10372"/>
      <w:bookmarkStart w:id="573" w:name="_Toc23523"/>
      <w:bookmarkStart w:id="574" w:name="_Toc4362"/>
      <w:bookmarkStart w:id="575" w:name="_Toc17290"/>
      <w:bookmarkStart w:id="576" w:name="_Toc14954"/>
      <w:bookmarkStart w:id="577" w:name="_Toc75793542"/>
      <w:bookmarkStart w:id="578" w:name="_Toc5573"/>
      <w:bookmarkStart w:id="579" w:name="_Toc3058"/>
      <w:r>
        <w:rPr>
          <w:rFonts w:hint="eastAsia" w:ascii="方正仿宋_GBK" w:hAnsi="仿宋" w:eastAsia="方正仿宋_GBK"/>
          <w:b/>
          <w:color w:val="auto"/>
          <w:szCs w:val="28"/>
          <w:highlight w:val="none"/>
        </w:rPr>
        <w:t>三、商务文件</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4CD03089">
      <w:pPr>
        <w:snapToGrid w:val="0"/>
        <w:spacing w:before="120" w:beforeLines="50" w:after="120" w:afterLines="50"/>
        <w:jc w:val="center"/>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（一）投标函（格式）</w:t>
      </w:r>
    </w:p>
    <w:p w14:paraId="3C0B62EC">
      <w:pPr>
        <w:spacing w:line="500" w:lineRule="exact"/>
        <w:rPr>
          <w:rFonts w:ascii="方正仿宋_GBK" w:hAnsi="仿宋" w:eastAsia="方正仿宋_GBK"/>
          <w:color w:val="auto"/>
          <w:sz w:val="24"/>
          <w:szCs w:val="28"/>
          <w:highlight w:val="none"/>
        </w:rPr>
      </w:pPr>
    </w:p>
    <w:p w14:paraId="3C1DA91F">
      <w:pPr>
        <w:spacing w:line="500" w:lineRule="exact"/>
        <w:ind w:firstLine="480" w:firstLineChars="200"/>
        <w:rPr>
          <w:rFonts w:ascii="方正仿宋_GBK" w:hAnsi="仿宋" w:eastAsia="方正仿宋_GBK"/>
          <w:color w:val="auto"/>
          <w:sz w:val="24"/>
          <w:szCs w:val="24"/>
          <w:highlight w:val="none"/>
          <w:u w:val="single"/>
        </w:rPr>
      </w:pPr>
      <w:r>
        <w:rPr>
          <w:rFonts w:hint="eastAsia" w:ascii="方正仿宋_GBK" w:hAnsi="仿宋" w:eastAsia="方正仿宋_GBK"/>
          <w:color w:val="auto"/>
          <w:sz w:val="24"/>
          <w:szCs w:val="24"/>
          <w:highlight w:val="none"/>
        </w:rPr>
        <w:t>招标项目名称：</w:t>
      </w:r>
      <w:r>
        <w:rPr>
          <w:rFonts w:ascii="方正仿宋_GBK" w:hAnsi="仿宋" w:eastAsia="方正仿宋_GBK"/>
          <w:color w:val="auto"/>
          <w:sz w:val="24"/>
          <w:szCs w:val="24"/>
          <w:highlight w:val="none"/>
          <w:u w:val="single"/>
        </w:rPr>
        <w:t xml:space="preserve">                                             </w:t>
      </w:r>
    </w:p>
    <w:p w14:paraId="10F91292">
      <w:pPr>
        <w:spacing w:line="500" w:lineRule="exact"/>
        <w:rPr>
          <w:rFonts w:ascii="方正仿宋_GBK" w:hAnsi="仿宋" w:eastAsia="方正仿宋_GBK"/>
          <w:color w:val="auto"/>
          <w:sz w:val="24"/>
          <w:szCs w:val="24"/>
          <w:highlight w:val="none"/>
        </w:rPr>
      </w:pPr>
    </w:p>
    <w:p w14:paraId="6893D559">
      <w:pPr>
        <w:tabs>
          <w:tab w:val="left" w:pos="6300"/>
        </w:tabs>
        <w:snapToGrid w:val="0"/>
        <w:spacing w:line="500" w:lineRule="exac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致：</w:t>
      </w:r>
      <w:r>
        <w:rPr>
          <w:rFonts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（采购代理机构名称）：</w:t>
      </w:r>
    </w:p>
    <w:p w14:paraId="2CBE0734">
      <w:pPr>
        <w:snapToGrid w:val="0"/>
        <w:spacing w:before="120" w:beforeLines="50" w:line="500" w:lineRule="exact"/>
        <w:ind w:firstLine="480" w:firstLineChars="200"/>
        <w:rPr>
          <w:rFonts w:ascii="方正仿宋_GBK" w:hAnsi="仿宋" w:eastAsia="方正仿宋_GBK"/>
          <w:color w:val="auto"/>
          <w:sz w:val="24"/>
          <w:szCs w:val="24"/>
          <w:highlight w:val="none"/>
        </w:rPr>
      </w:pPr>
      <w:r>
        <w:rPr>
          <w:rFonts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（投标人名称）系中华人民共和国合法企业，注册地址：</w:t>
      </w:r>
      <w:r>
        <w:rPr>
          <w:rFonts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。我方就参加本次投标有关事项郑重声明如下：</w:t>
      </w:r>
    </w:p>
    <w:p w14:paraId="03A21D58">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一、我方完全理解并接受该项目招标文件所有要求。</w:t>
      </w:r>
    </w:p>
    <w:p w14:paraId="5B61C9F1">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二、我方提交的所有投标文件、资料都是准确和真实的，如有虚假或隐瞒，我方愿意承担一切法律责任。</w:t>
      </w:r>
    </w:p>
    <w:p w14:paraId="460E8BEB">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三、我方承诺按照招标文件要求，提供招标项目的技术（质量）服务。</w:t>
      </w:r>
    </w:p>
    <w:p w14:paraId="4F2F81D1">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四、我方按招标文件要求提交的投标文件为：投标文件正本</w:t>
      </w:r>
      <w:r>
        <w:rPr>
          <w:rFonts w:ascii="方正仿宋_GBK" w:hAnsi="仿宋" w:eastAsia="方正仿宋_GBK"/>
          <w:color w:val="auto"/>
          <w:sz w:val="24"/>
          <w:szCs w:val="24"/>
          <w:highlight w:val="none"/>
        </w:rPr>
        <w:t>1份，副本</w:t>
      </w:r>
      <w:r>
        <w:rPr>
          <w:rFonts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u w:val="single"/>
        </w:rPr>
        <w:t xml:space="preserve"> </w:t>
      </w:r>
      <w:r>
        <w:rPr>
          <w:rFonts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份，电子文档</w:t>
      </w:r>
      <w:r>
        <w:rPr>
          <w:rFonts w:hint="eastAsia" w:ascii="方正仿宋_GBK" w:hAnsi="仿宋" w:eastAsia="方正仿宋_GBK"/>
          <w:color w:val="auto"/>
          <w:sz w:val="24"/>
          <w:szCs w:val="24"/>
          <w:highlight w:val="none"/>
          <w:u w:val="single"/>
        </w:rPr>
        <w:t xml:space="preserve">   </w:t>
      </w:r>
      <w:r>
        <w:rPr>
          <w:rFonts w:hint="eastAsia" w:ascii="方正仿宋_GBK" w:hAnsi="仿宋" w:eastAsia="方正仿宋_GBK"/>
          <w:color w:val="auto"/>
          <w:sz w:val="24"/>
          <w:szCs w:val="24"/>
          <w:highlight w:val="none"/>
        </w:rPr>
        <w:t>份。</w:t>
      </w:r>
    </w:p>
    <w:p w14:paraId="703CBAAE">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五、我方承诺：本次投标的投标有效期为</w:t>
      </w:r>
      <w:r>
        <w:rPr>
          <w:rFonts w:hint="eastAsia" w:ascii="方正仿宋_GBK" w:hAnsi="宋体" w:eastAsia="方正仿宋_GBK"/>
          <w:color w:val="auto"/>
          <w:sz w:val="24"/>
          <w:szCs w:val="24"/>
          <w:highlight w:val="none"/>
        </w:rPr>
        <w:t>投标截止时间</w:t>
      </w:r>
      <w:r>
        <w:rPr>
          <w:rFonts w:hint="eastAsia" w:ascii="方正仿宋_GBK" w:hAnsi="仿宋" w:eastAsia="方正仿宋_GBK"/>
          <w:color w:val="auto"/>
          <w:sz w:val="24"/>
          <w:szCs w:val="24"/>
          <w:highlight w:val="none"/>
        </w:rPr>
        <w:t>起</w:t>
      </w:r>
      <w:r>
        <w:rPr>
          <w:rFonts w:ascii="方正仿宋_GBK" w:hAnsi="仿宋" w:eastAsia="方正仿宋_GBK"/>
          <w:color w:val="auto"/>
          <w:sz w:val="24"/>
          <w:szCs w:val="24"/>
          <w:highlight w:val="none"/>
        </w:rPr>
        <w:t>90天。</w:t>
      </w:r>
    </w:p>
    <w:p w14:paraId="4AD20EC5">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六、我方投标报价为闭口价。即在投标有效期和合同有效期内，该报价固定不变。</w:t>
      </w:r>
    </w:p>
    <w:p w14:paraId="56A35414">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七、如果我方中标，我方将履行招标文件中规定的各项要求以及我方投标文件的各项承诺，按《中华人民共和国政府采购法》、《中华人民共和国民法典》及合同约定条款承担我方责任。</w:t>
      </w:r>
    </w:p>
    <w:p w14:paraId="18DC7987">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八、我方未为采购项目提供整体设计、规范编制或者项目管理、监理、检测等服务。</w:t>
      </w:r>
    </w:p>
    <w:p w14:paraId="0A262523">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九、我方理解，最低报价不是中标的唯一条件。</w:t>
      </w:r>
    </w:p>
    <w:p w14:paraId="191EC8AD">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十、我方同意按有关规定及招标文件要求，交纳足额投标保证金。</w:t>
      </w:r>
    </w:p>
    <w:p w14:paraId="23C08551">
      <w:pPr>
        <w:tabs>
          <w:tab w:val="left" w:pos="6300"/>
        </w:tabs>
        <w:snapToGrid w:val="0"/>
        <w:spacing w:line="500" w:lineRule="exact"/>
        <w:ind w:firstLine="480" w:firstLineChars="2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十一、若我方中标，愿意按有关规定及招标文件要求缴纳招标代理服务费和交易服务费。</w:t>
      </w:r>
    </w:p>
    <w:p w14:paraId="62BA460E">
      <w:pPr>
        <w:tabs>
          <w:tab w:val="left" w:pos="6300"/>
        </w:tabs>
        <w:snapToGrid w:val="0"/>
        <w:spacing w:line="500" w:lineRule="exact"/>
        <w:ind w:firstLine="570"/>
        <w:rPr>
          <w:rFonts w:ascii="方正仿宋_GBK" w:hAnsi="仿宋" w:eastAsia="方正仿宋_GBK"/>
          <w:color w:val="auto"/>
          <w:sz w:val="24"/>
          <w:szCs w:val="24"/>
          <w:highlight w:val="none"/>
        </w:rPr>
      </w:pPr>
    </w:p>
    <w:p w14:paraId="6F76EE59">
      <w:pPr>
        <w:tabs>
          <w:tab w:val="left" w:pos="6300"/>
        </w:tabs>
        <w:snapToGrid w:val="0"/>
        <w:spacing w:line="500" w:lineRule="exact"/>
        <w:ind w:firstLine="5460" w:firstLineChars="2275"/>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（投标人公章或自然人签署）</w:t>
      </w:r>
    </w:p>
    <w:p w14:paraId="22A39772">
      <w:pPr>
        <w:tabs>
          <w:tab w:val="left" w:pos="6300"/>
        </w:tabs>
        <w:snapToGrid w:val="0"/>
        <w:spacing w:line="500" w:lineRule="exact"/>
        <w:ind w:firstLine="5760" w:firstLineChars="2400"/>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年</w:t>
      </w:r>
      <w:r>
        <w:rPr>
          <w:rFonts w:ascii="方正仿宋_GBK" w:hAnsi="仿宋" w:eastAsia="方正仿宋_GBK"/>
          <w:color w:val="auto"/>
          <w:sz w:val="24"/>
          <w:szCs w:val="24"/>
          <w:highlight w:val="none"/>
        </w:rPr>
        <w:t xml:space="preserve">    </w:t>
      </w:r>
      <w:r>
        <w:rPr>
          <w:rFonts w:hint="eastAsia" w:ascii="方正仿宋_GBK" w:hAnsi="仿宋" w:eastAsia="方正仿宋_GBK"/>
          <w:color w:val="auto"/>
          <w:sz w:val="24"/>
          <w:szCs w:val="24"/>
          <w:highlight w:val="none"/>
        </w:rPr>
        <w:t>月</w:t>
      </w:r>
      <w:r>
        <w:rPr>
          <w:rFonts w:ascii="方正仿宋_GBK" w:hAnsi="仿宋" w:eastAsia="方正仿宋_GBK"/>
          <w:color w:val="auto"/>
          <w:sz w:val="24"/>
          <w:szCs w:val="24"/>
          <w:highlight w:val="none"/>
        </w:rPr>
        <w:t xml:space="preserve">   </w:t>
      </w:r>
      <w:r>
        <w:rPr>
          <w:rFonts w:hint="eastAsia" w:ascii="方正仿宋_GBK" w:hAnsi="仿宋" w:eastAsia="方正仿宋_GBK"/>
          <w:color w:val="auto"/>
          <w:sz w:val="24"/>
          <w:szCs w:val="24"/>
          <w:highlight w:val="none"/>
        </w:rPr>
        <w:t>日</w:t>
      </w:r>
    </w:p>
    <w:p w14:paraId="31BA7F89">
      <w:pPr>
        <w:snapToGrid w:val="0"/>
        <w:spacing w:before="120" w:beforeLines="50" w:after="120" w:afterLines="50" w:line="400" w:lineRule="exact"/>
        <w:ind w:firstLine="560" w:firstLineChars="200"/>
        <w:jc w:val="center"/>
        <w:outlineLvl w:val="2"/>
        <w:rPr>
          <w:rFonts w:ascii="方正仿宋_GBK" w:hAnsi="宋体" w:eastAsia="方正仿宋_GBK"/>
          <w:color w:val="auto"/>
          <w:sz w:val="24"/>
          <w:szCs w:val="28"/>
          <w:highlight w:val="none"/>
        </w:rPr>
      </w:pPr>
      <w:r>
        <w:rPr>
          <w:rFonts w:ascii="方正仿宋_GBK" w:hAnsi="仿宋" w:eastAsia="方正仿宋_GBK"/>
          <w:color w:val="auto"/>
          <w:szCs w:val="44"/>
          <w:highlight w:val="none"/>
        </w:rPr>
        <w:br w:type="page"/>
      </w:r>
      <w:r>
        <w:rPr>
          <w:rFonts w:hint="eastAsia" w:ascii="方正仿宋_GBK" w:hAnsi="宋体" w:eastAsia="方正仿宋_GBK"/>
          <w:b/>
          <w:bCs/>
          <w:color w:val="auto"/>
          <w:szCs w:val="28"/>
          <w:highlight w:val="none"/>
        </w:rPr>
        <w:t>（二）商务条款差异表</w:t>
      </w:r>
    </w:p>
    <w:p w14:paraId="54CE56E6">
      <w:pPr>
        <w:snapToGrid w:val="0"/>
        <w:spacing w:line="400" w:lineRule="exact"/>
        <w:rPr>
          <w:rFonts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项目号：</w:t>
      </w:r>
    </w:p>
    <w:p w14:paraId="1575A197">
      <w:pPr>
        <w:snapToGrid w:val="0"/>
        <w:spacing w:line="400" w:lineRule="exact"/>
        <w:rPr>
          <w:rFonts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招标项目名称：</w:t>
      </w:r>
    </w:p>
    <w:tbl>
      <w:tblPr>
        <w:tblStyle w:val="58"/>
        <w:tblW w:w="48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3119"/>
        <w:gridCol w:w="3119"/>
        <w:gridCol w:w="2304"/>
      </w:tblGrid>
      <w:tr w14:paraId="29F02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22" w:type="pct"/>
            <w:vAlign w:val="center"/>
          </w:tcPr>
          <w:p w14:paraId="55F2547E">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序号</w:t>
            </w:r>
          </w:p>
        </w:tc>
        <w:tc>
          <w:tcPr>
            <w:tcW w:w="1671" w:type="pct"/>
            <w:vAlign w:val="center"/>
          </w:tcPr>
          <w:p w14:paraId="5EEFE60A">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招标商务要求</w:t>
            </w:r>
          </w:p>
        </w:tc>
        <w:tc>
          <w:tcPr>
            <w:tcW w:w="1671" w:type="pct"/>
            <w:vAlign w:val="center"/>
          </w:tcPr>
          <w:p w14:paraId="3FC66387">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投标商务应答</w:t>
            </w:r>
          </w:p>
        </w:tc>
        <w:tc>
          <w:tcPr>
            <w:tcW w:w="1234" w:type="pct"/>
            <w:vAlign w:val="center"/>
          </w:tcPr>
          <w:p w14:paraId="7DF78DFC">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差异说明</w:t>
            </w:r>
          </w:p>
        </w:tc>
      </w:tr>
      <w:tr w14:paraId="4B6B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3AAE1CFC">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3A4B40F1">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37E0370B">
            <w:pPr>
              <w:tabs>
                <w:tab w:val="left" w:pos="6300"/>
              </w:tabs>
              <w:snapToGrid w:val="0"/>
              <w:spacing w:line="400" w:lineRule="exact"/>
              <w:outlineLvl w:val="0"/>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提醒：请注明具体内容以及投标文件中具体内容的位置（页码）</w:t>
            </w:r>
          </w:p>
        </w:tc>
        <w:tc>
          <w:tcPr>
            <w:tcW w:w="1234" w:type="pct"/>
            <w:vAlign w:val="center"/>
          </w:tcPr>
          <w:p w14:paraId="4BD90158">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r w14:paraId="7DAF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1F181A3F">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732BD88E">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1F2A6148">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234" w:type="pct"/>
            <w:vAlign w:val="center"/>
          </w:tcPr>
          <w:p w14:paraId="20B60CB2">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r w14:paraId="422E4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434B194C">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760AAEC2">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634472C2">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234" w:type="pct"/>
            <w:vAlign w:val="center"/>
          </w:tcPr>
          <w:p w14:paraId="1D86B220">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r w14:paraId="0163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4A62D7A7">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3B17BA1D">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53905EFA">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234" w:type="pct"/>
            <w:vAlign w:val="center"/>
          </w:tcPr>
          <w:p w14:paraId="285C276C">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r w14:paraId="6A19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3D09A95D">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5EA244A0">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1EC08052">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234" w:type="pct"/>
            <w:vAlign w:val="center"/>
          </w:tcPr>
          <w:p w14:paraId="24237E8A">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r w14:paraId="1F9D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6DF04A5D">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02CEC72E">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6118830C">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234" w:type="pct"/>
            <w:vAlign w:val="center"/>
          </w:tcPr>
          <w:p w14:paraId="274523D1">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r w14:paraId="0298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700D5FE0">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0762FEF6">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592DD52C">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234" w:type="pct"/>
            <w:vAlign w:val="center"/>
          </w:tcPr>
          <w:p w14:paraId="2DA6DE57">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r w14:paraId="2B118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7AF9C26B">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095EAC25">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729D75C7">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234" w:type="pct"/>
            <w:vAlign w:val="center"/>
          </w:tcPr>
          <w:p w14:paraId="17BFF7DA">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r w14:paraId="3706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67177EC0">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6527A4E6">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59BDBA70">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234" w:type="pct"/>
            <w:vAlign w:val="center"/>
          </w:tcPr>
          <w:p w14:paraId="30292D36">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r w14:paraId="74633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2" w:type="pct"/>
            <w:vAlign w:val="center"/>
          </w:tcPr>
          <w:p w14:paraId="62A6598B">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4A5FA659">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671" w:type="pct"/>
            <w:vAlign w:val="center"/>
          </w:tcPr>
          <w:p w14:paraId="04239712">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c>
          <w:tcPr>
            <w:tcW w:w="1234" w:type="pct"/>
            <w:vAlign w:val="center"/>
          </w:tcPr>
          <w:p w14:paraId="4F200C94">
            <w:pPr>
              <w:tabs>
                <w:tab w:val="left" w:pos="6300"/>
              </w:tabs>
              <w:snapToGrid w:val="0"/>
              <w:spacing w:line="400" w:lineRule="exact"/>
              <w:jc w:val="center"/>
              <w:outlineLvl w:val="0"/>
              <w:rPr>
                <w:rFonts w:ascii="方正仿宋_GBK" w:hAnsi="方正仿宋_GBK" w:eastAsia="方正仿宋_GBK" w:cs="方正仿宋_GBK"/>
                <w:color w:val="auto"/>
                <w:sz w:val="24"/>
                <w:szCs w:val="24"/>
                <w:highlight w:val="none"/>
              </w:rPr>
            </w:pPr>
          </w:p>
        </w:tc>
      </w:tr>
    </w:tbl>
    <w:p w14:paraId="71A9EBA7">
      <w:pPr>
        <w:snapToGrid w:val="0"/>
        <w:spacing w:line="400" w:lineRule="exact"/>
        <w:ind w:firstLine="480"/>
        <w:rPr>
          <w:rFonts w:ascii="方正仿宋_GBK" w:hAnsi="宋体" w:eastAsia="方正仿宋_GBK"/>
          <w:color w:val="auto"/>
          <w:sz w:val="24"/>
          <w:szCs w:val="24"/>
          <w:highlight w:val="none"/>
        </w:rPr>
      </w:pPr>
    </w:p>
    <w:p w14:paraId="1AD02A4F">
      <w:pPr>
        <w:snapToGrid w:val="0"/>
        <w:spacing w:line="400" w:lineRule="exact"/>
        <w:ind w:firstLine="48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投标人：</w:t>
      </w:r>
      <w:r>
        <w:rPr>
          <w:rFonts w:ascii="方正仿宋_GBK" w:hAnsi="宋体" w:eastAsia="方正仿宋_GBK"/>
          <w:color w:val="auto"/>
          <w:sz w:val="24"/>
          <w:szCs w:val="24"/>
          <w:highlight w:val="none"/>
        </w:rPr>
        <w:t xml:space="preserve">                      </w:t>
      </w:r>
      <w:r>
        <w:rPr>
          <w:rFonts w:hint="eastAsia" w:ascii="方正仿宋_GBK" w:hAnsi="宋体" w:eastAsia="方正仿宋_GBK"/>
          <w:color w:val="auto"/>
          <w:sz w:val="24"/>
          <w:szCs w:val="24"/>
          <w:highlight w:val="none"/>
        </w:rPr>
        <w:t>法定代表人（或法定代表人授权代表）或自然人：</w:t>
      </w:r>
    </w:p>
    <w:p w14:paraId="16878B0B">
      <w:pPr>
        <w:snapToGrid w:val="0"/>
        <w:spacing w:line="400" w:lineRule="exact"/>
        <w:ind w:firstLine="480"/>
        <w:rPr>
          <w:rFonts w:ascii="方正仿宋_GBK" w:hAnsi="宋体" w:eastAsia="方正仿宋_GBK"/>
          <w:color w:val="auto"/>
          <w:sz w:val="24"/>
          <w:szCs w:val="24"/>
          <w:highlight w:val="none"/>
        </w:rPr>
      </w:pPr>
      <w:r>
        <w:rPr>
          <w:rFonts w:ascii="方正仿宋_GBK" w:hAnsi="宋体" w:eastAsia="方正仿宋_GBK"/>
          <w:color w:val="auto"/>
          <w:sz w:val="24"/>
          <w:szCs w:val="24"/>
          <w:highlight w:val="none"/>
        </w:rPr>
        <w:t>（投标人公章）                               （签署或盖章）</w:t>
      </w:r>
    </w:p>
    <w:p w14:paraId="7EA3C76F">
      <w:pPr>
        <w:snapToGrid w:val="0"/>
        <w:spacing w:line="400" w:lineRule="exact"/>
        <w:ind w:firstLine="480"/>
        <w:rPr>
          <w:rFonts w:ascii="方正仿宋_GBK" w:hAnsi="宋体" w:eastAsia="方正仿宋_GBK"/>
          <w:color w:val="auto"/>
          <w:sz w:val="24"/>
          <w:szCs w:val="24"/>
          <w:highlight w:val="none"/>
        </w:rPr>
      </w:pPr>
    </w:p>
    <w:p w14:paraId="575FB822">
      <w:pPr>
        <w:spacing w:line="500" w:lineRule="exact"/>
        <w:ind w:firstLine="5299" w:firstLineChars="2208"/>
        <w:rPr>
          <w:rFonts w:ascii="方正仿宋_GBK" w:hAnsi="仿宋" w:eastAsia="方正仿宋_GBK"/>
          <w:color w:val="auto"/>
          <w:sz w:val="24"/>
          <w:szCs w:val="28"/>
          <w:highlight w:val="none"/>
        </w:rPr>
      </w:pP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年</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月</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color w:val="auto"/>
          <w:sz w:val="24"/>
          <w:szCs w:val="24"/>
          <w:highlight w:val="none"/>
        </w:rPr>
        <w:t>日</w:t>
      </w:r>
    </w:p>
    <w:p w14:paraId="6F448583">
      <w:pPr>
        <w:tabs>
          <w:tab w:val="left" w:pos="6300"/>
        </w:tabs>
        <w:snapToGrid w:val="0"/>
        <w:spacing w:line="400" w:lineRule="exact"/>
        <w:ind w:firstLine="57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注：</w:t>
      </w:r>
    </w:p>
    <w:p w14:paraId="36ADEDE6">
      <w:pPr>
        <w:tabs>
          <w:tab w:val="left" w:pos="6300"/>
        </w:tabs>
        <w:snapToGrid w:val="0"/>
        <w:spacing w:line="400" w:lineRule="exact"/>
        <w:ind w:firstLine="570"/>
        <w:rPr>
          <w:rFonts w:ascii="方正仿宋_GBK" w:hAnsi="仿宋" w:eastAsia="方正仿宋_GBK"/>
          <w:color w:val="auto"/>
          <w:sz w:val="24"/>
          <w:szCs w:val="24"/>
          <w:highlight w:val="none"/>
        </w:rPr>
      </w:pPr>
      <w:r>
        <w:rPr>
          <w:rFonts w:ascii="方正仿宋_GBK" w:hAnsi="仿宋" w:eastAsia="方正仿宋_GBK"/>
          <w:color w:val="auto"/>
          <w:sz w:val="24"/>
          <w:szCs w:val="24"/>
          <w:highlight w:val="none"/>
        </w:rPr>
        <w:t xml:space="preserve">1.本表即为对本项目“第三篇 </w:t>
      </w:r>
      <w:r>
        <w:rPr>
          <w:rFonts w:hint="eastAsia" w:ascii="方正仿宋_GBK" w:hAnsi="仿宋" w:eastAsia="方正仿宋_GBK"/>
          <w:color w:val="auto"/>
          <w:sz w:val="24"/>
          <w:szCs w:val="24"/>
          <w:highlight w:val="none"/>
        </w:rPr>
        <w:t>项目商务需求”中所列条款进行比较和响应；</w:t>
      </w:r>
    </w:p>
    <w:p w14:paraId="08C8A00B">
      <w:pPr>
        <w:tabs>
          <w:tab w:val="left" w:pos="6300"/>
        </w:tabs>
        <w:snapToGrid w:val="0"/>
        <w:spacing w:line="400" w:lineRule="exact"/>
        <w:ind w:firstLine="570"/>
        <w:rPr>
          <w:rFonts w:ascii="方正仿宋_GBK" w:hAnsi="仿宋" w:eastAsia="方正仿宋_GBK"/>
          <w:color w:val="auto"/>
          <w:sz w:val="24"/>
          <w:szCs w:val="24"/>
          <w:highlight w:val="none"/>
        </w:rPr>
      </w:pPr>
      <w:r>
        <w:rPr>
          <w:rFonts w:ascii="方正仿宋_GBK" w:hAnsi="仿宋" w:eastAsia="方正仿宋_GBK"/>
          <w:color w:val="auto"/>
          <w:sz w:val="24"/>
          <w:szCs w:val="24"/>
          <w:highlight w:val="none"/>
        </w:rPr>
        <w:t>2.本表可扩展。</w:t>
      </w:r>
    </w:p>
    <w:p w14:paraId="14A6250A">
      <w:pPr>
        <w:pStyle w:val="56"/>
        <w:spacing w:line="400" w:lineRule="exact"/>
        <w:ind w:firstLine="600" w:firstLineChars="250"/>
        <w:rPr>
          <w:rFonts w:ascii="方正仿宋_GBK" w:hAnsi="仿宋" w:eastAsia="方正仿宋_GBK"/>
          <w:color w:val="auto"/>
          <w:szCs w:val="28"/>
          <w:highlight w:val="none"/>
        </w:rPr>
      </w:pPr>
      <w:r>
        <w:rPr>
          <w:rFonts w:hint="eastAsia" w:ascii="方正仿宋_GBK" w:hAnsi="仿宋" w:eastAsia="方正仿宋_GBK"/>
          <w:color w:val="auto"/>
          <w:szCs w:val="28"/>
          <w:highlight w:val="none"/>
        </w:rPr>
        <w:t>3.投标应答栏</w:t>
      </w:r>
      <w:r>
        <w:rPr>
          <w:rFonts w:ascii="方正仿宋_GBK" w:hAnsi="仿宋" w:eastAsia="方正仿宋_GBK"/>
          <w:color w:val="auto"/>
          <w:szCs w:val="28"/>
          <w:highlight w:val="none"/>
        </w:rPr>
        <w:t>中</w:t>
      </w:r>
      <w:r>
        <w:rPr>
          <w:rFonts w:hint="eastAsia" w:ascii="方正仿宋_GBK" w:hAnsi="仿宋" w:eastAsia="方正仿宋_GBK"/>
          <w:color w:val="auto"/>
          <w:szCs w:val="28"/>
          <w:highlight w:val="none"/>
        </w:rPr>
        <w:t>应当注明</w:t>
      </w:r>
      <w:r>
        <w:rPr>
          <w:rFonts w:ascii="方正仿宋_GBK" w:hAnsi="仿宋" w:eastAsia="方正仿宋_GBK"/>
          <w:color w:val="auto"/>
          <w:szCs w:val="28"/>
          <w:highlight w:val="none"/>
        </w:rPr>
        <w:t>具体内容，且必须标注具体内容</w:t>
      </w:r>
      <w:r>
        <w:rPr>
          <w:rFonts w:hint="eastAsia" w:ascii="方正仿宋_GBK" w:hAnsi="仿宋" w:eastAsia="方正仿宋_GBK"/>
          <w:color w:val="auto"/>
          <w:szCs w:val="28"/>
          <w:highlight w:val="none"/>
        </w:rPr>
        <w:t>在</w:t>
      </w:r>
      <w:r>
        <w:rPr>
          <w:rFonts w:ascii="方正仿宋_GBK" w:hAnsi="仿宋" w:eastAsia="方正仿宋_GBK"/>
          <w:color w:val="auto"/>
          <w:szCs w:val="28"/>
          <w:highlight w:val="none"/>
        </w:rPr>
        <w:t>投标文件中的位置（</w:t>
      </w:r>
      <w:r>
        <w:rPr>
          <w:rFonts w:hint="eastAsia" w:ascii="方正仿宋_GBK" w:hAnsi="仿宋" w:eastAsia="方正仿宋_GBK"/>
          <w:color w:val="auto"/>
          <w:szCs w:val="28"/>
          <w:highlight w:val="none"/>
        </w:rPr>
        <w:t>页码</w:t>
      </w:r>
      <w:r>
        <w:rPr>
          <w:rFonts w:ascii="方正仿宋_GBK" w:hAnsi="仿宋" w:eastAsia="方正仿宋_GBK"/>
          <w:color w:val="auto"/>
          <w:szCs w:val="28"/>
          <w:highlight w:val="none"/>
        </w:rPr>
        <w:t>）</w:t>
      </w:r>
      <w:r>
        <w:rPr>
          <w:rFonts w:hint="eastAsia" w:ascii="方正仿宋_GBK" w:hAnsi="仿宋" w:eastAsia="方正仿宋_GBK"/>
          <w:color w:val="auto"/>
          <w:szCs w:val="28"/>
          <w:highlight w:val="none"/>
        </w:rPr>
        <w:t>。</w:t>
      </w:r>
    </w:p>
    <w:p w14:paraId="360C937E">
      <w:pPr>
        <w:pStyle w:val="13"/>
        <w:ind w:left="1600" w:hanging="480"/>
        <w:rPr>
          <w:rFonts w:ascii="方正仿宋_GBK" w:hAnsi="仿宋" w:eastAsia="方正仿宋_GBK"/>
          <w:color w:val="auto"/>
          <w:szCs w:val="28"/>
          <w:highlight w:val="none"/>
        </w:rPr>
      </w:pPr>
    </w:p>
    <w:p w14:paraId="4B89CBEE">
      <w:pPr>
        <w:rPr>
          <w:rFonts w:ascii="方正仿宋_GBK" w:hAnsi="仿宋" w:eastAsia="方正仿宋_GBK"/>
          <w:color w:val="auto"/>
          <w:szCs w:val="28"/>
          <w:highlight w:val="none"/>
        </w:rPr>
      </w:pPr>
    </w:p>
    <w:p w14:paraId="60419492">
      <w:pPr>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br w:type="page"/>
      </w:r>
    </w:p>
    <w:p w14:paraId="6C4E01BB">
      <w:pPr>
        <w:snapToGrid w:val="0"/>
        <w:spacing w:before="120" w:beforeLines="50" w:after="120" w:afterLines="50"/>
        <w:jc w:val="center"/>
        <w:rPr>
          <w:rFonts w:ascii="方正仿宋_GBK" w:hAnsi="宋体" w:eastAsia="方正仿宋_GBK"/>
          <w:b/>
          <w:bCs/>
          <w:color w:val="auto"/>
          <w:sz w:val="21"/>
          <w:szCs w:val="21"/>
          <w:highlight w:val="none"/>
        </w:rPr>
      </w:pPr>
    </w:p>
    <w:p w14:paraId="16C48BD3">
      <w:pPr>
        <w:snapToGrid w:val="0"/>
        <w:spacing w:before="120" w:beforeLines="50" w:after="120" w:afterLines="50"/>
        <w:jc w:val="center"/>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（三）其他商务资料</w:t>
      </w:r>
    </w:p>
    <w:p w14:paraId="0E1D3BCA">
      <w:pPr>
        <w:snapToGrid w:val="0"/>
        <w:spacing w:line="400" w:lineRule="exact"/>
        <w:ind w:firstLine="480" w:firstLineChars="200"/>
        <w:rPr>
          <w:rFonts w:ascii="方正仿宋_GBK" w:hAnsi="宋体" w:eastAsia="方正仿宋_GBK"/>
          <w:color w:val="auto"/>
          <w:sz w:val="24"/>
          <w:szCs w:val="28"/>
          <w:highlight w:val="none"/>
        </w:rPr>
      </w:pPr>
    </w:p>
    <w:p w14:paraId="6EEBCF38">
      <w:pPr>
        <w:tabs>
          <w:tab w:val="left" w:pos="6300"/>
        </w:tabs>
        <w:snapToGrid w:val="0"/>
        <w:spacing w:line="500" w:lineRule="exact"/>
        <w:rPr>
          <w:rFonts w:ascii="方正仿宋_GBK" w:hAnsi="仿宋" w:eastAsia="方正仿宋_GBK"/>
          <w:color w:val="auto"/>
          <w:szCs w:val="28"/>
          <w:highlight w:val="none"/>
        </w:rPr>
      </w:pPr>
      <w:r>
        <w:rPr>
          <w:rFonts w:ascii="方正仿宋_GBK" w:hAnsi="仿宋" w:eastAsia="方正仿宋_GBK"/>
          <w:color w:val="auto"/>
          <w:szCs w:val="28"/>
          <w:highlight w:val="none"/>
        </w:rPr>
        <w:t xml:space="preserve"> </w:t>
      </w:r>
    </w:p>
    <w:p w14:paraId="649A5105">
      <w:pPr>
        <w:pStyle w:val="5"/>
        <w:pageBreakBefore/>
        <w:numPr>
          <w:ilvl w:val="0"/>
          <w:numId w:val="23"/>
        </w:numPr>
        <w:spacing w:before="120" w:beforeLines="50" w:after="120" w:afterLines="50" w:line="240" w:lineRule="auto"/>
        <w:ind w:firstLine="562" w:firstLineChars="200"/>
        <w:rPr>
          <w:rFonts w:ascii="方正仿宋_GBK" w:hAnsi="仿宋" w:eastAsia="方正仿宋_GBK"/>
          <w:b/>
          <w:color w:val="auto"/>
          <w:szCs w:val="28"/>
          <w:highlight w:val="none"/>
        </w:rPr>
      </w:pPr>
      <w:bookmarkStart w:id="580" w:name="_Toc75793543"/>
      <w:bookmarkStart w:id="581" w:name="_Toc5854"/>
      <w:bookmarkStart w:id="582" w:name="_Toc27849"/>
      <w:bookmarkStart w:id="583" w:name="_Toc24540"/>
      <w:bookmarkStart w:id="584" w:name="_Toc11165"/>
      <w:bookmarkStart w:id="585" w:name="_Toc30376"/>
      <w:bookmarkStart w:id="586" w:name="_Toc29543"/>
      <w:bookmarkStart w:id="587" w:name="_Toc2395"/>
      <w:bookmarkStart w:id="588" w:name="_Toc23915"/>
      <w:bookmarkStart w:id="589" w:name="_Toc6978"/>
      <w:bookmarkStart w:id="590" w:name="_Toc4624"/>
      <w:bookmarkStart w:id="591" w:name="_Toc19687"/>
      <w:bookmarkStart w:id="592" w:name="_Toc492721041"/>
      <w:bookmarkStart w:id="593" w:name="_Toc493178792"/>
      <w:bookmarkStart w:id="594" w:name="_Toc3199"/>
      <w:bookmarkStart w:id="595" w:name="_Toc7042"/>
      <w:bookmarkStart w:id="596" w:name="_Toc29932"/>
      <w:bookmarkStart w:id="597" w:name="_Toc29299"/>
      <w:r>
        <w:rPr>
          <w:rFonts w:hint="eastAsia" w:ascii="方正仿宋_GBK" w:hAnsi="仿宋" w:eastAsia="方正仿宋_GBK"/>
          <w:b/>
          <w:color w:val="auto"/>
          <w:szCs w:val="28"/>
          <w:highlight w:val="none"/>
        </w:rPr>
        <w:t>其他</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2EBCC783">
      <w:pPr>
        <w:rPr>
          <w:color w:val="auto"/>
          <w:sz w:val="11"/>
          <w:szCs w:val="4"/>
          <w:highlight w:val="none"/>
        </w:rPr>
      </w:pPr>
    </w:p>
    <w:p w14:paraId="2B7FE0E9">
      <w:pPr>
        <w:snapToGrid w:val="0"/>
        <w:spacing w:before="120" w:beforeLines="50" w:after="120" w:afterLines="50"/>
        <w:jc w:val="left"/>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（一）中小企业声明函、监狱企业证明文件、残疾人福利性单位声明函</w:t>
      </w:r>
    </w:p>
    <w:p w14:paraId="03A30475">
      <w:pPr>
        <w:tabs>
          <w:tab w:val="left" w:pos="6300"/>
        </w:tabs>
        <w:snapToGrid w:val="0"/>
        <w:spacing w:before="120" w:beforeLines="50" w:after="120" w:afterLines="50" w:line="500" w:lineRule="exact"/>
        <w:jc w:val="center"/>
        <w:rPr>
          <w:rFonts w:ascii="方正仿宋_GBK" w:hAnsi="仿宋" w:eastAsia="方正仿宋_GBK"/>
          <w:b/>
          <w:bCs/>
          <w:color w:val="auto"/>
          <w:szCs w:val="28"/>
          <w:highlight w:val="none"/>
        </w:rPr>
      </w:pPr>
      <w:r>
        <w:rPr>
          <w:rFonts w:hint="eastAsia" w:ascii="方正仿宋_GBK" w:hAnsi="仿宋" w:eastAsia="方正仿宋_GBK"/>
          <w:b/>
          <w:bCs/>
          <w:color w:val="auto"/>
          <w:szCs w:val="28"/>
          <w:highlight w:val="none"/>
        </w:rPr>
        <w:t>中小企业声明函（货物类）</w:t>
      </w:r>
    </w:p>
    <w:p w14:paraId="0FF6B927">
      <w:pPr>
        <w:tabs>
          <w:tab w:val="left" w:pos="6300"/>
        </w:tabs>
        <w:snapToGrid w:val="0"/>
        <w:spacing w:line="500" w:lineRule="exact"/>
        <w:ind w:firstLine="480" w:firstLineChars="200"/>
        <w:rPr>
          <w:rFonts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本公司郑重声明，根据《政府采购促进中小企业发展管理办法》（</w:t>
      </w:r>
      <w:r>
        <w:rPr>
          <w:rFonts w:hint="eastAsia" w:ascii="方正仿宋_GBK" w:hAnsi="方正仿宋_GBK" w:eastAsia="方正仿宋_GBK" w:cs="方正仿宋_GBK"/>
          <w:color w:val="auto"/>
          <w:sz w:val="24"/>
          <w:szCs w:val="24"/>
          <w:highlight w:val="none"/>
        </w:rPr>
        <w:t>财库〔2020〕46号</w:t>
      </w:r>
      <w:r>
        <w:rPr>
          <w:rFonts w:hint="eastAsia" w:ascii="方正仿宋_GBK" w:hAnsi="方正仿宋_GBK" w:eastAsia="方正仿宋_GBK" w:cs="方正仿宋_GBK"/>
          <w:color w:val="auto"/>
          <w:sz w:val="24"/>
          <w:szCs w:val="28"/>
          <w:highlight w:val="none"/>
        </w:rPr>
        <w:t>）的规定，本公司（联合体）参加</w:t>
      </w:r>
      <w:r>
        <w:rPr>
          <w:rFonts w:hint="eastAsia" w:ascii="方正仿宋_GBK" w:hAnsi="方正仿宋_GBK" w:eastAsia="方正仿宋_GBK" w:cs="方正仿宋_GBK"/>
          <w:color w:val="auto"/>
          <w:sz w:val="24"/>
          <w:szCs w:val="28"/>
          <w:highlight w:val="none"/>
          <w:u w:val="single"/>
        </w:rPr>
        <w:t>重庆市应急管理局</w:t>
      </w:r>
      <w:r>
        <w:rPr>
          <w:rFonts w:hint="eastAsia" w:ascii="方正仿宋_GBK" w:hAnsi="方正仿宋_GBK" w:eastAsia="方正仿宋_GBK" w:cs="方正仿宋_GBK"/>
          <w:color w:val="auto"/>
          <w:sz w:val="24"/>
          <w:szCs w:val="28"/>
          <w:highlight w:val="none"/>
        </w:rPr>
        <w:t>的</w:t>
      </w:r>
      <w:r>
        <w:rPr>
          <w:rFonts w:hint="eastAsia" w:ascii="方正仿宋_GBK" w:hAnsi="方正仿宋_GBK" w:eastAsia="方正仿宋_GBK" w:cs="方正仿宋_GBK"/>
          <w:color w:val="auto"/>
          <w:sz w:val="24"/>
          <w:szCs w:val="28"/>
          <w:highlight w:val="none"/>
          <w:u w:val="single"/>
          <w:lang w:eastAsia="zh-CN"/>
        </w:rPr>
        <w:t>洪涝及地质灾害抢险救援应急感知设备采购项目</w:t>
      </w:r>
      <w:r>
        <w:rPr>
          <w:rFonts w:hint="eastAsia" w:ascii="方正仿宋_GBK" w:hAnsi="方正仿宋_GBK" w:eastAsia="方正仿宋_GBK" w:cs="方正仿宋_GBK"/>
          <w:color w:val="auto"/>
          <w:sz w:val="24"/>
          <w:szCs w:val="28"/>
          <w:highlight w:val="none"/>
        </w:rPr>
        <w:t>采购活动，提供的货物全部由符合政策要求的中小企业制造。相关企业的具体情况如下：</w:t>
      </w:r>
    </w:p>
    <w:p w14:paraId="7A8AC152">
      <w:pPr>
        <w:tabs>
          <w:tab w:val="left" w:pos="6300"/>
        </w:tabs>
        <w:snapToGrid w:val="0"/>
        <w:spacing w:line="500" w:lineRule="exact"/>
        <w:ind w:firstLine="480" w:firstLineChars="200"/>
        <w:rPr>
          <w:rFonts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1.</w:t>
      </w:r>
      <w:r>
        <w:rPr>
          <w:rFonts w:hint="eastAsia" w:ascii="方正仿宋_GBK" w:hAnsi="方正仿宋_GBK" w:eastAsia="方正仿宋_GBK" w:cs="方正仿宋_GBK"/>
          <w:i/>
          <w:color w:val="auto"/>
          <w:sz w:val="24"/>
          <w:szCs w:val="28"/>
          <w:highlight w:val="none"/>
          <w:u w:val="single"/>
        </w:rPr>
        <w:t>（标的名称）</w:t>
      </w:r>
      <w:r>
        <w:rPr>
          <w:rFonts w:hint="eastAsia" w:ascii="方正仿宋_GBK" w:hAnsi="方正仿宋_GBK" w:eastAsia="方正仿宋_GBK" w:cs="方正仿宋_GBK"/>
          <w:color w:val="auto"/>
          <w:sz w:val="24"/>
          <w:szCs w:val="28"/>
          <w:highlight w:val="none"/>
        </w:rPr>
        <w:t>，属于</w:t>
      </w:r>
      <w:r>
        <w:rPr>
          <w:rFonts w:hint="eastAsia" w:ascii="方正仿宋_GBK" w:hAnsi="方正仿宋_GBK" w:eastAsia="方正仿宋_GBK" w:cs="方正仿宋_GBK"/>
          <w:color w:val="auto"/>
          <w:sz w:val="24"/>
          <w:szCs w:val="28"/>
          <w:highlight w:val="none"/>
          <w:u w:val="single"/>
        </w:rPr>
        <w:t>工业</w:t>
      </w:r>
      <w:r>
        <w:rPr>
          <w:rFonts w:hint="eastAsia" w:ascii="方正仿宋_GBK" w:hAnsi="仿宋" w:eastAsia="方正仿宋_GBK"/>
          <w:i w:val="0"/>
          <w:iCs/>
          <w:color w:val="auto"/>
          <w:sz w:val="24"/>
          <w:szCs w:val="28"/>
          <w:highlight w:val="none"/>
          <w:u w:val="single"/>
        </w:rPr>
        <w:t>行业</w:t>
      </w:r>
      <w:r>
        <w:rPr>
          <w:rFonts w:hint="eastAsia" w:ascii="方正仿宋_GBK" w:hAnsi="方正仿宋_GBK" w:eastAsia="方正仿宋_GBK" w:cs="方正仿宋_GBK"/>
          <w:color w:val="auto"/>
          <w:sz w:val="24"/>
          <w:szCs w:val="28"/>
          <w:highlight w:val="none"/>
        </w:rPr>
        <w:t>；制造商为</w:t>
      </w:r>
      <w:r>
        <w:rPr>
          <w:rFonts w:hint="eastAsia" w:ascii="方正仿宋_GBK" w:hAnsi="方正仿宋_GBK" w:eastAsia="方正仿宋_GBK" w:cs="方正仿宋_GBK"/>
          <w:i/>
          <w:color w:val="auto"/>
          <w:sz w:val="24"/>
          <w:szCs w:val="28"/>
          <w:highlight w:val="none"/>
          <w:u w:val="single"/>
        </w:rPr>
        <w:t>（企业名称）</w:t>
      </w:r>
      <w:r>
        <w:rPr>
          <w:rFonts w:hint="eastAsia" w:ascii="方正仿宋_GBK" w:hAnsi="方正仿宋_GBK" w:eastAsia="方正仿宋_GBK" w:cs="方正仿宋_GBK"/>
          <w:color w:val="auto"/>
          <w:sz w:val="24"/>
          <w:szCs w:val="28"/>
          <w:highlight w:val="none"/>
        </w:rPr>
        <w:t>，从业人员</w:t>
      </w:r>
      <w:r>
        <w:rPr>
          <w:rFonts w:hint="eastAsia" w:ascii="方正仿宋_GBK" w:hAnsi="方正仿宋_GBK" w:eastAsia="方正仿宋_GBK" w:cs="方正仿宋_GBK"/>
          <w:color w:val="auto"/>
          <w:sz w:val="24"/>
          <w:szCs w:val="28"/>
          <w:highlight w:val="none"/>
          <w:u w:val="single"/>
        </w:rPr>
        <w:t xml:space="preserve">      </w:t>
      </w:r>
      <w:r>
        <w:rPr>
          <w:rFonts w:hint="eastAsia" w:ascii="方正仿宋_GBK" w:hAnsi="方正仿宋_GBK" w:eastAsia="方正仿宋_GBK" w:cs="方正仿宋_GBK"/>
          <w:color w:val="auto"/>
          <w:sz w:val="24"/>
          <w:szCs w:val="28"/>
          <w:highlight w:val="none"/>
        </w:rPr>
        <w:t>人，营业收入为</w:t>
      </w:r>
      <w:r>
        <w:rPr>
          <w:rFonts w:hint="eastAsia" w:ascii="方正仿宋_GBK" w:hAnsi="方正仿宋_GBK" w:eastAsia="方正仿宋_GBK" w:cs="方正仿宋_GBK"/>
          <w:color w:val="auto"/>
          <w:sz w:val="24"/>
          <w:szCs w:val="28"/>
          <w:highlight w:val="none"/>
          <w:u w:val="single"/>
        </w:rPr>
        <w:t xml:space="preserve">    </w:t>
      </w:r>
      <w:r>
        <w:rPr>
          <w:rFonts w:hint="eastAsia" w:ascii="方正仿宋_GBK" w:hAnsi="方正仿宋_GBK" w:eastAsia="方正仿宋_GBK" w:cs="方正仿宋_GBK"/>
          <w:color w:val="auto"/>
          <w:sz w:val="24"/>
          <w:szCs w:val="28"/>
          <w:highlight w:val="none"/>
        </w:rPr>
        <w:t>万元，资产总额为</w:t>
      </w:r>
      <w:r>
        <w:rPr>
          <w:rFonts w:hint="eastAsia" w:ascii="方正仿宋_GBK" w:hAnsi="方正仿宋_GBK" w:eastAsia="方正仿宋_GBK" w:cs="方正仿宋_GBK"/>
          <w:color w:val="auto"/>
          <w:sz w:val="24"/>
          <w:szCs w:val="28"/>
          <w:highlight w:val="none"/>
          <w:u w:val="single"/>
        </w:rPr>
        <w:t xml:space="preserve">    </w:t>
      </w:r>
      <w:r>
        <w:rPr>
          <w:rFonts w:hint="eastAsia" w:ascii="方正仿宋_GBK" w:hAnsi="方正仿宋_GBK" w:eastAsia="方正仿宋_GBK" w:cs="方正仿宋_GBK"/>
          <w:color w:val="auto"/>
          <w:sz w:val="24"/>
          <w:szCs w:val="28"/>
          <w:highlight w:val="none"/>
        </w:rPr>
        <w:t>万元，属于</w:t>
      </w:r>
      <w:r>
        <w:rPr>
          <w:rFonts w:hint="eastAsia" w:ascii="方正仿宋_GBK" w:hAnsi="方正仿宋_GBK" w:eastAsia="方正仿宋_GBK" w:cs="方正仿宋_GBK"/>
          <w:i/>
          <w:color w:val="auto"/>
          <w:sz w:val="24"/>
          <w:szCs w:val="28"/>
          <w:highlight w:val="none"/>
          <w:u w:val="single"/>
        </w:rPr>
        <w:t>（中型企业、小型企业、微型企业）</w:t>
      </w:r>
      <w:r>
        <w:rPr>
          <w:rFonts w:hint="eastAsia" w:ascii="方正仿宋_GBK" w:hAnsi="方正仿宋_GBK" w:eastAsia="方正仿宋_GBK" w:cs="方正仿宋_GBK"/>
          <w:color w:val="auto"/>
          <w:sz w:val="24"/>
          <w:szCs w:val="28"/>
          <w:highlight w:val="none"/>
        </w:rPr>
        <w:t>；</w:t>
      </w:r>
    </w:p>
    <w:p w14:paraId="48F8F034">
      <w:pPr>
        <w:tabs>
          <w:tab w:val="left" w:pos="6300"/>
        </w:tabs>
        <w:snapToGrid w:val="0"/>
        <w:spacing w:line="500" w:lineRule="exact"/>
        <w:ind w:firstLine="480" w:firstLineChars="200"/>
        <w:rPr>
          <w:rFonts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2.</w:t>
      </w:r>
      <w:r>
        <w:rPr>
          <w:rFonts w:hint="eastAsia" w:ascii="方正仿宋_GBK" w:hAnsi="方正仿宋_GBK" w:eastAsia="方正仿宋_GBK" w:cs="方正仿宋_GBK"/>
          <w:i/>
          <w:color w:val="auto"/>
          <w:sz w:val="24"/>
          <w:szCs w:val="28"/>
          <w:highlight w:val="none"/>
          <w:u w:val="single"/>
        </w:rPr>
        <w:t>（标的名称）</w:t>
      </w:r>
      <w:r>
        <w:rPr>
          <w:rFonts w:hint="eastAsia" w:ascii="方正仿宋_GBK" w:hAnsi="方正仿宋_GBK" w:eastAsia="方正仿宋_GBK" w:cs="方正仿宋_GBK"/>
          <w:color w:val="auto"/>
          <w:sz w:val="24"/>
          <w:szCs w:val="28"/>
          <w:highlight w:val="none"/>
        </w:rPr>
        <w:t>，属于</w:t>
      </w:r>
      <w:r>
        <w:rPr>
          <w:rFonts w:hint="eastAsia" w:ascii="方正仿宋_GBK" w:hAnsi="方正仿宋_GBK" w:eastAsia="方正仿宋_GBK" w:cs="方正仿宋_GBK"/>
          <w:color w:val="auto"/>
          <w:sz w:val="24"/>
          <w:szCs w:val="28"/>
          <w:highlight w:val="none"/>
          <w:u w:val="single"/>
        </w:rPr>
        <w:t>工业</w:t>
      </w:r>
      <w:r>
        <w:rPr>
          <w:rFonts w:hint="eastAsia" w:ascii="方正仿宋_GBK" w:hAnsi="仿宋" w:eastAsia="方正仿宋_GBK"/>
          <w:i w:val="0"/>
          <w:iCs/>
          <w:color w:val="auto"/>
          <w:sz w:val="24"/>
          <w:szCs w:val="28"/>
          <w:highlight w:val="none"/>
          <w:u w:val="single"/>
        </w:rPr>
        <w:t>行业</w:t>
      </w:r>
      <w:r>
        <w:rPr>
          <w:rFonts w:hint="eastAsia" w:ascii="方正仿宋_GBK" w:hAnsi="方正仿宋_GBK" w:eastAsia="方正仿宋_GBK" w:cs="方正仿宋_GBK"/>
          <w:color w:val="auto"/>
          <w:sz w:val="24"/>
          <w:szCs w:val="28"/>
          <w:highlight w:val="none"/>
        </w:rPr>
        <w:t>；制造商为</w:t>
      </w:r>
      <w:r>
        <w:rPr>
          <w:rFonts w:hint="eastAsia" w:ascii="方正仿宋_GBK" w:hAnsi="方正仿宋_GBK" w:eastAsia="方正仿宋_GBK" w:cs="方正仿宋_GBK"/>
          <w:i/>
          <w:color w:val="auto"/>
          <w:sz w:val="24"/>
          <w:szCs w:val="28"/>
          <w:highlight w:val="none"/>
          <w:u w:val="single"/>
        </w:rPr>
        <w:t>（企业名称）</w:t>
      </w:r>
      <w:r>
        <w:rPr>
          <w:rFonts w:hint="eastAsia" w:ascii="方正仿宋_GBK" w:hAnsi="方正仿宋_GBK" w:eastAsia="方正仿宋_GBK" w:cs="方正仿宋_GBK"/>
          <w:color w:val="auto"/>
          <w:sz w:val="24"/>
          <w:szCs w:val="28"/>
          <w:highlight w:val="none"/>
        </w:rPr>
        <w:t>，从业人员</w:t>
      </w:r>
      <w:r>
        <w:rPr>
          <w:rFonts w:hint="eastAsia" w:ascii="方正仿宋_GBK" w:hAnsi="方正仿宋_GBK" w:eastAsia="方正仿宋_GBK" w:cs="方正仿宋_GBK"/>
          <w:color w:val="auto"/>
          <w:sz w:val="24"/>
          <w:szCs w:val="28"/>
          <w:highlight w:val="none"/>
          <w:u w:val="single"/>
        </w:rPr>
        <w:t xml:space="preserve">      </w:t>
      </w:r>
      <w:r>
        <w:rPr>
          <w:rFonts w:hint="eastAsia" w:ascii="方正仿宋_GBK" w:hAnsi="方正仿宋_GBK" w:eastAsia="方正仿宋_GBK" w:cs="方正仿宋_GBK"/>
          <w:color w:val="auto"/>
          <w:sz w:val="24"/>
          <w:szCs w:val="28"/>
          <w:highlight w:val="none"/>
        </w:rPr>
        <w:t>人，营业收入为</w:t>
      </w:r>
      <w:r>
        <w:rPr>
          <w:rFonts w:hint="eastAsia" w:ascii="方正仿宋_GBK" w:hAnsi="方正仿宋_GBK" w:eastAsia="方正仿宋_GBK" w:cs="方正仿宋_GBK"/>
          <w:color w:val="auto"/>
          <w:sz w:val="24"/>
          <w:szCs w:val="28"/>
          <w:highlight w:val="none"/>
          <w:u w:val="single"/>
        </w:rPr>
        <w:t xml:space="preserve">    </w:t>
      </w:r>
      <w:r>
        <w:rPr>
          <w:rFonts w:hint="eastAsia" w:ascii="方正仿宋_GBK" w:hAnsi="方正仿宋_GBK" w:eastAsia="方正仿宋_GBK" w:cs="方正仿宋_GBK"/>
          <w:color w:val="auto"/>
          <w:sz w:val="24"/>
          <w:szCs w:val="28"/>
          <w:highlight w:val="none"/>
        </w:rPr>
        <w:t>万元，资产总额为</w:t>
      </w:r>
      <w:r>
        <w:rPr>
          <w:rFonts w:hint="eastAsia" w:ascii="方正仿宋_GBK" w:hAnsi="方正仿宋_GBK" w:eastAsia="方正仿宋_GBK" w:cs="方正仿宋_GBK"/>
          <w:color w:val="auto"/>
          <w:sz w:val="24"/>
          <w:szCs w:val="28"/>
          <w:highlight w:val="none"/>
          <w:u w:val="single"/>
        </w:rPr>
        <w:t xml:space="preserve">    </w:t>
      </w:r>
      <w:r>
        <w:rPr>
          <w:rFonts w:hint="eastAsia" w:ascii="方正仿宋_GBK" w:hAnsi="方正仿宋_GBK" w:eastAsia="方正仿宋_GBK" w:cs="方正仿宋_GBK"/>
          <w:color w:val="auto"/>
          <w:sz w:val="24"/>
          <w:szCs w:val="28"/>
          <w:highlight w:val="none"/>
        </w:rPr>
        <w:t>万元，属于</w:t>
      </w:r>
      <w:r>
        <w:rPr>
          <w:rFonts w:hint="eastAsia" w:ascii="方正仿宋_GBK" w:hAnsi="方正仿宋_GBK" w:eastAsia="方正仿宋_GBK" w:cs="方正仿宋_GBK"/>
          <w:i/>
          <w:color w:val="auto"/>
          <w:sz w:val="24"/>
          <w:szCs w:val="28"/>
          <w:highlight w:val="none"/>
          <w:u w:val="single"/>
        </w:rPr>
        <w:t>（中型企业、小型企业、微型企业）</w:t>
      </w:r>
      <w:r>
        <w:rPr>
          <w:rFonts w:hint="eastAsia" w:ascii="方正仿宋_GBK" w:hAnsi="方正仿宋_GBK" w:eastAsia="方正仿宋_GBK" w:cs="方正仿宋_GBK"/>
          <w:color w:val="auto"/>
          <w:sz w:val="24"/>
          <w:szCs w:val="28"/>
          <w:highlight w:val="none"/>
        </w:rPr>
        <w:t>；</w:t>
      </w:r>
    </w:p>
    <w:p w14:paraId="1950851D">
      <w:pPr>
        <w:tabs>
          <w:tab w:val="left" w:pos="6300"/>
        </w:tabs>
        <w:snapToGrid w:val="0"/>
        <w:spacing w:line="500" w:lineRule="exact"/>
        <w:ind w:right="782" w:firstLine="480" w:firstLineChars="200"/>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w:t>
      </w:r>
    </w:p>
    <w:p w14:paraId="1B37D3DE">
      <w:pPr>
        <w:tabs>
          <w:tab w:val="left" w:pos="6300"/>
        </w:tabs>
        <w:snapToGrid w:val="0"/>
        <w:spacing w:line="500" w:lineRule="exact"/>
        <w:ind w:firstLine="480" w:firstLineChars="200"/>
        <w:rPr>
          <w:rFonts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以上企业，不属于大企业的分支机构，不存在控股股东为大企业的情形，也不存在与大企业的负责人为同一人的情形。</w:t>
      </w:r>
    </w:p>
    <w:p w14:paraId="67DC092A">
      <w:pPr>
        <w:tabs>
          <w:tab w:val="left" w:pos="6300"/>
        </w:tabs>
        <w:snapToGrid w:val="0"/>
        <w:spacing w:line="500" w:lineRule="exact"/>
        <w:ind w:firstLine="480" w:firstLineChars="200"/>
        <w:rPr>
          <w:rFonts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本企业对上述声明内容的真实性负责。如有虚假，将依法承担相应责任。</w:t>
      </w:r>
    </w:p>
    <w:p w14:paraId="7A466595">
      <w:pPr>
        <w:tabs>
          <w:tab w:val="left" w:pos="6300"/>
        </w:tabs>
        <w:snapToGrid w:val="0"/>
        <w:spacing w:line="500" w:lineRule="exact"/>
        <w:ind w:firstLine="480" w:firstLineChars="200"/>
        <w:rPr>
          <w:rFonts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 xml:space="preserve">                                                    </w:t>
      </w:r>
    </w:p>
    <w:p w14:paraId="615E48EE">
      <w:pPr>
        <w:tabs>
          <w:tab w:val="left" w:pos="6300"/>
        </w:tabs>
        <w:snapToGrid w:val="0"/>
        <w:spacing w:line="500" w:lineRule="exact"/>
        <w:ind w:firstLine="6120" w:firstLineChars="2550"/>
        <w:rPr>
          <w:rFonts w:ascii="方正仿宋_GBK" w:hAnsi="方正仿宋_GBK" w:eastAsia="方正仿宋_GBK" w:cs="方正仿宋_GBK"/>
          <w:color w:val="auto"/>
          <w:sz w:val="24"/>
          <w:szCs w:val="28"/>
          <w:highlight w:val="none"/>
        </w:rPr>
      </w:pPr>
      <w:r>
        <w:rPr>
          <w:rFonts w:hint="eastAsia" w:ascii="方正仿宋_GBK" w:hAnsi="方正仿宋_GBK" w:eastAsia="方正仿宋_GBK" w:cs="方正仿宋_GBK"/>
          <w:color w:val="auto"/>
          <w:sz w:val="24"/>
          <w:szCs w:val="28"/>
          <w:highlight w:val="none"/>
        </w:rPr>
        <w:t xml:space="preserve">企业名称（盖章）： </w:t>
      </w:r>
    </w:p>
    <w:p w14:paraId="788D1147">
      <w:pPr>
        <w:tabs>
          <w:tab w:val="left" w:pos="6300"/>
        </w:tabs>
        <w:snapToGrid w:val="0"/>
        <w:spacing w:line="500" w:lineRule="exact"/>
        <w:ind w:firstLine="6120" w:firstLineChars="2550"/>
        <w:rPr>
          <w:rFonts w:ascii="方正仿宋_GBK" w:hAnsi="仿宋" w:eastAsia="方正仿宋_GBK"/>
          <w:color w:val="auto"/>
          <w:sz w:val="24"/>
          <w:szCs w:val="28"/>
          <w:highlight w:val="none"/>
        </w:rPr>
      </w:pPr>
      <w:r>
        <w:rPr>
          <w:rFonts w:hint="eastAsia" w:ascii="方正仿宋_GBK" w:hAnsi="方正仿宋_GBK" w:eastAsia="方正仿宋_GBK" w:cs="方正仿宋_GBK"/>
          <w:color w:val="auto"/>
          <w:sz w:val="24"/>
          <w:szCs w:val="28"/>
          <w:highlight w:val="none"/>
        </w:rPr>
        <w:t>日期：</w:t>
      </w:r>
    </w:p>
    <w:p w14:paraId="735DB48F">
      <w:pPr>
        <w:tabs>
          <w:tab w:val="left" w:pos="6300"/>
        </w:tabs>
        <w:snapToGrid w:val="0"/>
        <w:spacing w:line="420" w:lineRule="exact"/>
        <w:jc w:val="left"/>
        <w:rPr>
          <w:rFonts w:ascii="方正仿宋_GBK" w:hAnsi="宋体" w:eastAsia="方正仿宋_GBK" w:cs="宋体"/>
          <w:color w:val="auto"/>
          <w:kern w:val="0"/>
          <w:sz w:val="21"/>
          <w:szCs w:val="21"/>
          <w:highlight w:val="none"/>
        </w:rPr>
      </w:pPr>
    </w:p>
    <w:p w14:paraId="10DEDEBA">
      <w:pPr>
        <w:tabs>
          <w:tab w:val="left" w:pos="6300"/>
        </w:tabs>
        <w:snapToGrid w:val="0"/>
        <w:spacing w:line="420" w:lineRule="exact"/>
        <w:jc w:val="left"/>
        <w:rPr>
          <w:rFonts w:ascii="方正仿宋_GBK" w:hAnsi="宋体" w:eastAsia="方正仿宋_GBK" w:cs="宋体"/>
          <w:color w:val="auto"/>
          <w:kern w:val="0"/>
          <w:sz w:val="21"/>
          <w:szCs w:val="21"/>
          <w:highlight w:val="none"/>
        </w:rPr>
      </w:pPr>
    </w:p>
    <w:p w14:paraId="1D0BB9F2">
      <w:pPr>
        <w:tabs>
          <w:tab w:val="left" w:pos="6300"/>
        </w:tabs>
        <w:snapToGrid w:val="0"/>
        <w:spacing w:line="400" w:lineRule="exact"/>
        <w:jc w:val="left"/>
        <w:rPr>
          <w:rFonts w:ascii="方正仿宋_GBK" w:hAnsi="方正仿宋_GBK" w:eastAsia="方正仿宋_GBK" w:cs="方正仿宋_GBK"/>
          <w:color w:val="auto"/>
          <w:kern w:val="0"/>
          <w:sz w:val="22"/>
          <w:szCs w:val="22"/>
          <w:highlight w:val="none"/>
        </w:rPr>
      </w:pPr>
      <w:r>
        <w:rPr>
          <w:rFonts w:hint="eastAsia" w:ascii="方正仿宋_GBK" w:hAnsi="方正仿宋_GBK" w:eastAsia="方正仿宋_GBK" w:cs="方正仿宋_GBK"/>
          <w:color w:val="auto"/>
          <w:kern w:val="0"/>
          <w:sz w:val="22"/>
          <w:szCs w:val="22"/>
          <w:highlight w:val="none"/>
        </w:rPr>
        <w:t>填写时应注意以下事项：</w:t>
      </w:r>
    </w:p>
    <w:p w14:paraId="576A5948">
      <w:pPr>
        <w:tabs>
          <w:tab w:val="left" w:pos="6300"/>
        </w:tabs>
        <w:snapToGrid w:val="0"/>
        <w:spacing w:line="400" w:lineRule="exact"/>
        <w:ind w:firstLine="440" w:firstLineChars="200"/>
        <w:jc w:val="left"/>
        <w:rPr>
          <w:rFonts w:ascii="方正仿宋_GBK" w:hAnsi="方正仿宋_GBK" w:eastAsia="方正仿宋_GBK" w:cs="方正仿宋_GBK"/>
          <w:color w:val="auto"/>
          <w:kern w:val="0"/>
          <w:sz w:val="22"/>
          <w:szCs w:val="22"/>
          <w:highlight w:val="none"/>
        </w:rPr>
      </w:pPr>
      <w:r>
        <w:rPr>
          <w:rFonts w:hint="eastAsia" w:ascii="方正仿宋_GBK" w:hAnsi="方正仿宋_GBK" w:eastAsia="方正仿宋_GBK" w:cs="方正仿宋_GBK"/>
          <w:color w:val="auto"/>
          <w:kern w:val="0"/>
          <w:sz w:val="22"/>
          <w:szCs w:val="22"/>
          <w:highlight w:val="none"/>
        </w:rPr>
        <w:t>1.从业人员、营业收入、资产总额填报上一年度数据，无上一年度数据的新成立企业可不填报。</w:t>
      </w:r>
    </w:p>
    <w:p w14:paraId="1D63819F">
      <w:pPr>
        <w:tabs>
          <w:tab w:val="left" w:pos="6300"/>
        </w:tabs>
        <w:snapToGrid w:val="0"/>
        <w:spacing w:line="400" w:lineRule="exact"/>
        <w:ind w:firstLine="440" w:firstLineChars="200"/>
        <w:jc w:val="left"/>
        <w:rPr>
          <w:rFonts w:ascii="方正仿宋_GBK" w:hAnsi="方正仿宋_GBK" w:eastAsia="方正仿宋_GBK" w:cs="方正仿宋_GBK"/>
          <w:color w:val="auto"/>
          <w:kern w:val="0"/>
          <w:sz w:val="22"/>
          <w:szCs w:val="22"/>
          <w:highlight w:val="none"/>
        </w:rPr>
      </w:pPr>
      <w:r>
        <w:rPr>
          <w:rFonts w:hint="eastAsia" w:ascii="方正仿宋_GBK" w:hAnsi="方正仿宋_GBK" w:eastAsia="方正仿宋_GBK" w:cs="方正仿宋_GBK"/>
          <w:color w:val="auto"/>
          <w:kern w:val="0"/>
          <w:sz w:val="22"/>
          <w:szCs w:val="22"/>
          <w:highlight w:val="none"/>
        </w:rPr>
        <w:t>2.中小企业应当按照《中小企业划型标准规定》（工信部联企业〔2011〕300号），如实填写并提交《中小企业声明函》。</w:t>
      </w:r>
    </w:p>
    <w:p w14:paraId="6417CE05">
      <w:pPr>
        <w:tabs>
          <w:tab w:val="left" w:pos="6300"/>
        </w:tabs>
        <w:snapToGrid w:val="0"/>
        <w:spacing w:line="400" w:lineRule="exact"/>
        <w:ind w:firstLine="440" w:firstLineChars="200"/>
        <w:jc w:val="left"/>
        <w:rPr>
          <w:rFonts w:ascii="方正仿宋_GBK" w:hAnsi="方正仿宋_GBK" w:eastAsia="方正仿宋_GBK" w:cs="方正仿宋_GBK"/>
          <w:color w:val="auto"/>
          <w:kern w:val="0"/>
          <w:sz w:val="22"/>
          <w:szCs w:val="22"/>
          <w:highlight w:val="none"/>
        </w:rPr>
      </w:pPr>
      <w:r>
        <w:rPr>
          <w:rFonts w:hint="eastAsia" w:ascii="方正仿宋_GBK" w:hAnsi="方正仿宋_GBK" w:eastAsia="方正仿宋_GBK" w:cs="方正仿宋_GBK"/>
          <w:color w:val="auto"/>
          <w:kern w:val="0"/>
          <w:sz w:val="22"/>
          <w:szCs w:val="22"/>
          <w:highlight w:val="none"/>
        </w:rPr>
        <w:t>3.投标人填写《中小企业声明函》中所属行业时，应与采购文件第一篇“采购标的对应的中小企业划分标准所属行业”中填写的所属行业一致。</w:t>
      </w:r>
    </w:p>
    <w:p w14:paraId="03CEA1FA">
      <w:pPr>
        <w:tabs>
          <w:tab w:val="left" w:pos="6300"/>
        </w:tabs>
        <w:snapToGrid w:val="0"/>
        <w:spacing w:line="400" w:lineRule="exact"/>
        <w:ind w:firstLine="442" w:firstLineChars="200"/>
        <w:jc w:val="left"/>
        <w:rPr>
          <w:rFonts w:ascii="方正仿宋_GBK" w:hAnsi="方正仿宋_GBK" w:eastAsia="方正仿宋_GBK" w:cs="方正仿宋_GBK"/>
          <w:b/>
          <w:color w:val="auto"/>
          <w:kern w:val="0"/>
          <w:sz w:val="22"/>
          <w:szCs w:val="22"/>
          <w:highlight w:val="none"/>
        </w:rPr>
      </w:pPr>
      <w:r>
        <w:rPr>
          <w:rFonts w:hint="eastAsia" w:ascii="方正仿宋_GBK" w:hAnsi="方正仿宋_GBK" w:eastAsia="方正仿宋_GBK" w:cs="方正仿宋_GBK"/>
          <w:b/>
          <w:color w:val="auto"/>
          <w:kern w:val="0"/>
          <w:sz w:val="22"/>
          <w:szCs w:val="22"/>
          <w:highlight w:val="none"/>
        </w:rPr>
        <w:t>4.本声明函“企业名称（盖章）”处为投标人盖章。</w:t>
      </w:r>
    </w:p>
    <w:p w14:paraId="4B77D946">
      <w:pPr>
        <w:tabs>
          <w:tab w:val="left" w:pos="6300"/>
        </w:tabs>
        <w:snapToGrid w:val="0"/>
        <w:spacing w:line="500" w:lineRule="exact"/>
        <w:rPr>
          <w:rFonts w:ascii="方正仿宋_GBK" w:hAnsi="仿宋" w:eastAsia="方正仿宋_GBK"/>
          <w:color w:val="auto"/>
          <w:sz w:val="21"/>
          <w:szCs w:val="21"/>
          <w:highlight w:val="none"/>
        </w:rPr>
      </w:pPr>
      <w:r>
        <w:rPr>
          <w:rFonts w:ascii="方正仿宋_GBK" w:hAnsi="仿宋" w:eastAsia="方正仿宋_GBK"/>
          <w:color w:val="auto"/>
          <w:sz w:val="24"/>
          <w:szCs w:val="28"/>
          <w:highlight w:val="none"/>
        </w:rPr>
        <w:br w:type="page"/>
      </w:r>
      <w:r>
        <w:rPr>
          <w:rFonts w:hint="eastAsia" w:ascii="方正仿宋_GBK" w:hAnsi="仿宋" w:eastAsia="方正仿宋_GBK"/>
          <w:color w:val="auto"/>
          <w:sz w:val="21"/>
          <w:szCs w:val="21"/>
          <w:highlight w:val="none"/>
        </w:rPr>
        <w:t>注：各行业划型标准：</w:t>
      </w:r>
    </w:p>
    <w:p w14:paraId="45647441">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（一）农、林、牧、渔业。营业收入</w:t>
      </w:r>
      <w:r>
        <w:rPr>
          <w:rFonts w:ascii="方正仿宋_GBK" w:hAnsi="仿宋" w:eastAsia="方正仿宋_GBK"/>
          <w:color w:val="auto"/>
          <w:sz w:val="21"/>
          <w:szCs w:val="21"/>
          <w:highlight w:val="none"/>
        </w:rPr>
        <w:t>20000万元以下的为中小微型企业。其中，营业收入500万元及以上的为中型企业，营业收入50万元及以上的为小型企业，营业收入50万元以下的为微型企业。</w:t>
      </w:r>
    </w:p>
    <w:p w14:paraId="77260067">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（二）工业。从业人员</w:t>
      </w:r>
      <w:r>
        <w:rPr>
          <w:rFonts w:ascii="方正仿宋_GBK" w:hAnsi="仿宋" w:eastAsia="方正仿宋_GBK"/>
          <w:color w:val="auto"/>
          <w:sz w:val="21"/>
          <w:szCs w:val="21"/>
          <w:highlight w:val="none"/>
        </w:rPr>
        <w:t>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A995C21">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（三）建筑业。营业收入</w:t>
      </w:r>
      <w:r>
        <w:rPr>
          <w:rFonts w:ascii="方正仿宋_GBK" w:hAnsi="仿宋" w:eastAsia="方正仿宋_GBK"/>
          <w:color w:val="auto"/>
          <w:sz w:val="21"/>
          <w:szCs w:val="21"/>
          <w:highlight w:val="none"/>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6F8E81D">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（四）批发业。从业人员</w:t>
      </w:r>
      <w:r>
        <w:rPr>
          <w:rFonts w:ascii="方正仿宋_GBK" w:hAnsi="仿宋" w:eastAsia="方正仿宋_GBK"/>
          <w:color w:val="auto"/>
          <w:sz w:val="21"/>
          <w:szCs w:val="21"/>
          <w:highlight w:val="none"/>
        </w:rPr>
        <w:t>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22D5C38">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（五）零售业。从业人员</w:t>
      </w:r>
      <w:r>
        <w:rPr>
          <w:rFonts w:ascii="方正仿宋_GBK" w:hAnsi="仿宋" w:eastAsia="方正仿宋_GBK"/>
          <w:color w:val="auto"/>
          <w:sz w:val="21"/>
          <w:szCs w:val="21"/>
          <w:highlight w:val="none"/>
        </w:rPr>
        <w:t>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3B65747">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（六）交通运输业。从业人员</w:t>
      </w:r>
      <w:r>
        <w:rPr>
          <w:rFonts w:ascii="方正仿宋_GBK" w:hAnsi="仿宋" w:eastAsia="方正仿宋_GBK"/>
          <w:color w:val="auto"/>
          <w:sz w:val="21"/>
          <w:szCs w:val="21"/>
          <w:highlight w:val="none"/>
        </w:rPr>
        <w:t>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F52B1CC">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（七）仓储业。从业人员</w:t>
      </w:r>
      <w:r>
        <w:rPr>
          <w:rFonts w:ascii="方正仿宋_GBK" w:hAnsi="仿宋" w:eastAsia="方正仿宋_GBK"/>
          <w:color w:val="auto"/>
          <w:sz w:val="21"/>
          <w:szCs w:val="21"/>
          <w:highlight w:val="none"/>
        </w:rPr>
        <w:t>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8A8EACD">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（八）邮政业。从业人员</w:t>
      </w:r>
      <w:r>
        <w:rPr>
          <w:rFonts w:ascii="方正仿宋_GBK" w:hAnsi="仿宋" w:eastAsia="方正仿宋_GBK"/>
          <w:color w:val="auto"/>
          <w:sz w:val="21"/>
          <w:szCs w:val="21"/>
          <w:highlight w:val="none"/>
        </w:rPr>
        <w:t>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8E7B686">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（九）住宿业。从业人员</w:t>
      </w:r>
      <w:r>
        <w:rPr>
          <w:rFonts w:ascii="方正仿宋_GBK" w:hAnsi="仿宋" w:eastAsia="方正仿宋_GBK"/>
          <w:color w:val="auto"/>
          <w:sz w:val="21"/>
          <w:szCs w:val="21"/>
          <w:highlight w:val="none"/>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5C3691C">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（十）餐饮业。从业人员</w:t>
      </w:r>
      <w:r>
        <w:rPr>
          <w:rFonts w:ascii="方正仿宋_GBK" w:hAnsi="仿宋" w:eastAsia="方正仿宋_GBK"/>
          <w:color w:val="auto"/>
          <w:sz w:val="21"/>
          <w:szCs w:val="21"/>
          <w:highlight w:val="none"/>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7C0E97A">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（十一）信息传输业。从业人员</w:t>
      </w:r>
      <w:r>
        <w:rPr>
          <w:rFonts w:ascii="方正仿宋_GBK" w:hAnsi="仿宋" w:eastAsia="方正仿宋_GBK"/>
          <w:color w:val="auto"/>
          <w:sz w:val="21"/>
          <w:szCs w:val="21"/>
          <w:highlight w:val="none"/>
        </w:rPr>
        <w:t>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0526E00">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（十二）软件和信息技术服务业。从业人员</w:t>
      </w:r>
      <w:r>
        <w:rPr>
          <w:rFonts w:ascii="方正仿宋_GBK" w:hAnsi="仿宋" w:eastAsia="方正仿宋_GBK"/>
          <w:color w:val="auto"/>
          <w:sz w:val="21"/>
          <w:szCs w:val="21"/>
          <w:highlight w:val="none"/>
        </w:rPr>
        <w:t>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85E238A">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（十三）房地产开发经营。营业收入</w:t>
      </w:r>
      <w:r>
        <w:rPr>
          <w:rFonts w:ascii="方正仿宋_GBK" w:hAnsi="仿宋" w:eastAsia="方正仿宋_GBK"/>
          <w:color w:val="auto"/>
          <w:sz w:val="21"/>
          <w:szCs w:val="21"/>
          <w:highlight w:val="none"/>
        </w:rPr>
        <w:t>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CDBF48B">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（十四）物业管理。从业人员</w:t>
      </w:r>
      <w:r>
        <w:rPr>
          <w:rFonts w:ascii="方正仿宋_GBK" w:hAnsi="仿宋" w:eastAsia="方正仿宋_GBK"/>
          <w:color w:val="auto"/>
          <w:sz w:val="21"/>
          <w:szCs w:val="21"/>
          <w:highlight w:val="none"/>
        </w:rPr>
        <w:t>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04541F5">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（十五）租赁和商务服务业。从业人员</w:t>
      </w:r>
      <w:r>
        <w:rPr>
          <w:rFonts w:ascii="方正仿宋_GBK" w:hAnsi="仿宋" w:eastAsia="方正仿宋_GBK"/>
          <w:color w:val="auto"/>
          <w:sz w:val="21"/>
          <w:szCs w:val="21"/>
          <w:highlight w:val="none"/>
        </w:rPr>
        <w:t>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E086CE5">
      <w:pPr>
        <w:tabs>
          <w:tab w:val="left" w:pos="6300"/>
        </w:tabs>
        <w:snapToGrid w:val="0"/>
        <w:spacing w:line="400" w:lineRule="exact"/>
        <w:ind w:firstLine="420" w:firstLineChars="200"/>
        <w:jc w:val="left"/>
        <w:rPr>
          <w:rFonts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（十六）其他未列明行业。从业人员</w:t>
      </w:r>
      <w:r>
        <w:rPr>
          <w:rFonts w:ascii="方正仿宋_GBK" w:hAnsi="仿宋" w:eastAsia="方正仿宋_GBK"/>
          <w:color w:val="auto"/>
          <w:sz w:val="21"/>
          <w:szCs w:val="21"/>
          <w:highlight w:val="none"/>
        </w:rPr>
        <w:t>300人以下的为中小微型企业。其中，从业人员100人及以上的为中型企业；从业人员10人及以上的为小型企业；从业人员10人以下的为微型企业。</w:t>
      </w:r>
    </w:p>
    <w:p w14:paraId="6C536B90">
      <w:pPr>
        <w:tabs>
          <w:tab w:val="left" w:pos="6300"/>
        </w:tabs>
        <w:snapToGrid w:val="0"/>
        <w:spacing w:before="120" w:beforeLines="50" w:after="120" w:afterLines="50" w:line="500" w:lineRule="exact"/>
        <w:ind w:firstLine="561"/>
        <w:jc w:val="center"/>
        <w:rPr>
          <w:rFonts w:ascii="方正仿宋_GBK" w:hAnsi="仿宋" w:eastAsia="方正仿宋_GBK"/>
          <w:color w:val="auto"/>
          <w:szCs w:val="28"/>
          <w:highlight w:val="none"/>
        </w:rPr>
      </w:pPr>
      <w:r>
        <w:rPr>
          <w:rFonts w:ascii="方正仿宋_GBK" w:hAnsi="仿宋" w:eastAsia="方正仿宋_GBK"/>
          <w:color w:val="auto"/>
          <w:highlight w:val="none"/>
        </w:rPr>
        <w:br w:type="page"/>
      </w:r>
      <w:r>
        <w:rPr>
          <w:rFonts w:hint="eastAsia" w:ascii="方正仿宋_GBK" w:hAnsi="仿宋" w:eastAsia="方正仿宋_GBK"/>
          <w:b/>
          <w:bCs/>
          <w:color w:val="auto"/>
          <w:szCs w:val="28"/>
          <w:highlight w:val="none"/>
        </w:rPr>
        <w:t>监狱企业证明文件</w:t>
      </w:r>
    </w:p>
    <w:p w14:paraId="789000DF">
      <w:pPr>
        <w:tabs>
          <w:tab w:val="left" w:pos="6300"/>
        </w:tabs>
        <w:snapToGrid w:val="0"/>
        <w:spacing w:line="400" w:lineRule="exact"/>
        <w:ind w:firstLine="561"/>
        <w:jc w:val="left"/>
        <w:rPr>
          <w:rFonts w:ascii="方正仿宋_GBK" w:hAnsi="仿宋" w:eastAsia="方正仿宋_GBK"/>
          <w:color w:val="auto"/>
          <w:sz w:val="24"/>
          <w:szCs w:val="24"/>
          <w:highlight w:val="none"/>
        </w:rPr>
      </w:pPr>
      <w:r>
        <w:rPr>
          <w:rFonts w:hint="eastAsia" w:ascii="方正仿宋_GBK" w:hAnsi="仿宋" w:eastAsia="方正仿宋_GBK"/>
          <w:color w:val="auto"/>
          <w:sz w:val="24"/>
          <w:szCs w:val="24"/>
          <w:highlight w:val="none"/>
        </w:rPr>
        <w:t>【以省级以上监狱管理局、戒毒管理局（含新疆生产建设兵团）出具的属于监狱企业的证明文件为准】</w:t>
      </w:r>
    </w:p>
    <w:p w14:paraId="0CCDD867">
      <w:pPr>
        <w:pStyle w:val="38"/>
        <w:ind w:firstLine="0" w:firstLineChars="0"/>
        <w:rPr>
          <w:rFonts w:ascii="方正仿宋_GBK" w:hAnsi="仿宋" w:eastAsia="方正仿宋_GBK"/>
          <w:color w:val="auto"/>
          <w:sz w:val="24"/>
          <w:szCs w:val="24"/>
          <w:highlight w:val="none"/>
        </w:rPr>
      </w:pPr>
    </w:p>
    <w:p w14:paraId="581A516F">
      <w:pPr>
        <w:rPr>
          <w:rFonts w:ascii="方正仿宋_GBK" w:hAnsi="仿宋" w:eastAsia="方正仿宋_GBK"/>
          <w:color w:val="auto"/>
          <w:sz w:val="24"/>
          <w:szCs w:val="24"/>
          <w:highlight w:val="none"/>
        </w:rPr>
      </w:pPr>
    </w:p>
    <w:p w14:paraId="7BA345DC">
      <w:pPr>
        <w:pStyle w:val="38"/>
        <w:ind w:firstLine="0" w:firstLineChars="0"/>
        <w:rPr>
          <w:rFonts w:ascii="方正仿宋_GBK" w:hAnsi="仿宋" w:eastAsia="方正仿宋_GBK"/>
          <w:color w:val="auto"/>
          <w:sz w:val="24"/>
          <w:szCs w:val="24"/>
          <w:highlight w:val="none"/>
        </w:rPr>
      </w:pPr>
    </w:p>
    <w:p w14:paraId="211A0A2B">
      <w:pPr>
        <w:rPr>
          <w:rFonts w:ascii="方正仿宋_GBK" w:hAnsi="仿宋" w:eastAsia="方正仿宋_GBK"/>
          <w:color w:val="auto"/>
          <w:sz w:val="24"/>
          <w:szCs w:val="24"/>
          <w:highlight w:val="none"/>
        </w:rPr>
      </w:pPr>
    </w:p>
    <w:p w14:paraId="2BFA628E">
      <w:pPr>
        <w:pStyle w:val="38"/>
        <w:ind w:firstLine="0" w:firstLineChars="0"/>
        <w:rPr>
          <w:rFonts w:ascii="方正仿宋_GBK" w:hAnsi="仿宋" w:eastAsia="方正仿宋_GBK"/>
          <w:color w:val="auto"/>
          <w:sz w:val="24"/>
          <w:szCs w:val="24"/>
          <w:highlight w:val="none"/>
        </w:rPr>
      </w:pPr>
    </w:p>
    <w:p w14:paraId="2AADA844">
      <w:pPr>
        <w:rPr>
          <w:rFonts w:ascii="方正仿宋_GBK" w:hAnsi="仿宋" w:eastAsia="方正仿宋_GBK"/>
          <w:color w:val="auto"/>
          <w:sz w:val="24"/>
          <w:szCs w:val="24"/>
          <w:highlight w:val="none"/>
        </w:rPr>
      </w:pPr>
    </w:p>
    <w:p w14:paraId="2C6E4F3D">
      <w:pPr>
        <w:pStyle w:val="38"/>
        <w:ind w:firstLine="0" w:firstLineChars="0"/>
        <w:rPr>
          <w:rFonts w:ascii="方正仿宋_GBK" w:hAnsi="仿宋" w:eastAsia="方正仿宋_GBK"/>
          <w:color w:val="auto"/>
          <w:sz w:val="24"/>
          <w:szCs w:val="24"/>
          <w:highlight w:val="none"/>
        </w:rPr>
      </w:pPr>
    </w:p>
    <w:p w14:paraId="4DEF1E34">
      <w:pPr>
        <w:rPr>
          <w:rFonts w:ascii="方正仿宋_GBK" w:hAnsi="仿宋" w:eastAsia="方正仿宋_GBK"/>
          <w:color w:val="auto"/>
          <w:sz w:val="24"/>
          <w:szCs w:val="24"/>
          <w:highlight w:val="none"/>
        </w:rPr>
      </w:pPr>
    </w:p>
    <w:p w14:paraId="3D280E88">
      <w:pPr>
        <w:pStyle w:val="38"/>
        <w:ind w:firstLine="0" w:firstLineChars="0"/>
        <w:rPr>
          <w:rFonts w:ascii="方正仿宋_GBK" w:hAnsi="仿宋" w:eastAsia="方正仿宋_GBK"/>
          <w:color w:val="auto"/>
          <w:sz w:val="24"/>
          <w:szCs w:val="24"/>
          <w:highlight w:val="none"/>
        </w:rPr>
      </w:pPr>
    </w:p>
    <w:p w14:paraId="621F2C57">
      <w:pPr>
        <w:rPr>
          <w:rFonts w:ascii="方正仿宋_GBK" w:hAnsi="仿宋" w:eastAsia="方正仿宋_GBK"/>
          <w:color w:val="auto"/>
          <w:sz w:val="24"/>
          <w:szCs w:val="24"/>
          <w:highlight w:val="none"/>
        </w:rPr>
      </w:pPr>
    </w:p>
    <w:p w14:paraId="3E50262E">
      <w:pPr>
        <w:pStyle w:val="38"/>
        <w:ind w:firstLine="0" w:firstLineChars="0"/>
        <w:rPr>
          <w:rFonts w:ascii="方正仿宋_GBK" w:hAnsi="仿宋" w:eastAsia="方正仿宋_GBK"/>
          <w:color w:val="auto"/>
          <w:sz w:val="24"/>
          <w:szCs w:val="24"/>
          <w:highlight w:val="none"/>
        </w:rPr>
      </w:pPr>
    </w:p>
    <w:p w14:paraId="7835C761">
      <w:pPr>
        <w:rPr>
          <w:rFonts w:ascii="方正仿宋_GBK" w:hAnsi="仿宋" w:eastAsia="方正仿宋_GBK"/>
          <w:color w:val="auto"/>
          <w:sz w:val="24"/>
          <w:szCs w:val="24"/>
          <w:highlight w:val="none"/>
        </w:rPr>
      </w:pPr>
    </w:p>
    <w:p w14:paraId="169238C2">
      <w:pPr>
        <w:pStyle w:val="38"/>
        <w:ind w:firstLine="0" w:firstLineChars="0"/>
        <w:rPr>
          <w:rFonts w:ascii="方正仿宋_GBK" w:hAnsi="仿宋" w:eastAsia="方正仿宋_GBK"/>
          <w:color w:val="auto"/>
          <w:sz w:val="24"/>
          <w:szCs w:val="24"/>
          <w:highlight w:val="none"/>
        </w:rPr>
      </w:pPr>
    </w:p>
    <w:p w14:paraId="6FD3C556">
      <w:pPr>
        <w:rPr>
          <w:rFonts w:ascii="方正仿宋_GBK" w:hAnsi="仿宋" w:eastAsia="方正仿宋_GBK"/>
          <w:color w:val="auto"/>
          <w:sz w:val="24"/>
          <w:szCs w:val="24"/>
          <w:highlight w:val="none"/>
        </w:rPr>
      </w:pPr>
    </w:p>
    <w:p w14:paraId="5CC5E710">
      <w:pPr>
        <w:pStyle w:val="38"/>
        <w:ind w:firstLine="0" w:firstLineChars="0"/>
        <w:rPr>
          <w:rFonts w:ascii="方正仿宋_GBK" w:hAnsi="仿宋" w:eastAsia="方正仿宋_GBK"/>
          <w:color w:val="auto"/>
          <w:sz w:val="24"/>
          <w:szCs w:val="24"/>
          <w:highlight w:val="none"/>
        </w:rPr>
      </w:pPr>
    </w:p>
    <w:p w14:paraId="47FE151E">
      <w:pPr>
        <w:rPr>
          <w:rFonts w:ascii="方正仿宋_GBK" w:hAnsi="仿宋" w:eastAsia="方正仿宋_GBK"/>
          <w:color w:val="auto"/>
          <w:sz w:val="24"/>
          <w:szCs w:val="24"/>
          <w:highlight w:val="none"/>
        </w:rPr>
      </w:pPr>
    </w:p>
    <w:p w14:paraId="44537CB5">
      <w:pPr>
        <w:pStyle w:val="38"/>
        <w:ind w:firstLine="0" w:firstLineChars="0"/>
        <w:rPr>
          <w:rFonts w:ascii="方正仿宋_GBK" w:hAnsi="仿宋" w:eastAsia="方正仿宋_GBK"/>
          <w:color w:val="auto"/>
          <w:sz w:val="24"/>
          <w:szCs w:val="24"/>
          <w:highlight w:val="none"/>
        </w:rPr>
      </w:pPr>
    </w:p>
    <w:p w14:paraId="79C79134">
      <w:pPr>
        <w:rPr>
          <w:rFonts w:ascii="方正仿宋_GBK" w:hAnsi="仿宋" w:eastAsia="方正仿宋_GBK"/>
          <w:color w:val="auto"/>
          <w:sz w:val="24"/>
          <w:szCs w:val="24"/>
          <w:highlight w:val="none"/>
        </w:rPr>
      </w:pPr>
    </w:p>
    <w:p w14:paraId="50A3BE3F">
      <w:pPr>
        <w:pStyle w:val="38"/>
        <w:ind w:firstLine="0" w:firstLineChars="0"/>
        <w:rPr>
          <w:rFonts w:ascii="方正仿宋_GBK" w:hAnsi="仿宋" w:eastAsia="方正仿宋_GBK"/>
          <w:color w:val="auto"/>
          <w:sz w:val="24"/>
          <w:szCs w:val="24"/>
          <w:highlight w:val="none"/>
        </w:rPr>
      </w:pPr>
    </w:p>
    <w:p w14:paraId="39369DC3">
      <w:pPr>
        <w:rPr>
          <w:rFonts w:ascii="方正仿宋_GBK" w:hAnsi="仿宋" w:eastAsia="方正仿宋_GBK"/>
          <w:color w:val="auto"/>
          <w:sz w:val="24"/>
          <w:szCs w:val="24"/>
          <w:highlight w:val="none"/>
        </w:rPr>
      </w:pPr>
    </w:p>
    <w:p w14:paraId="278A8847">
      <w:pPr>
        <w:pStyle w:val="38"/>
        <w:ind w:firstLine="0" w:firstLineChars="0"/>
        <w:rPr>
          <w:rFonts w:ascii="方正仿宋_GBK" w:hAnsi="仿宋" w:eastAsia="方正仿宋_GBK"/>
          <w:color w:val="auto"/>
          <w:sz w:val="24"/>
          <w:szCs w:val="24"/>
          <w:highlight w:val="none"/>
        </w:rPr>
      </w:pPr>
    </w:p>
    <w:p w14:paraId="1FDC2AFD">
      <w:pPr>
        <w:rPr>
          <w:rFonts w:ascii="方正仿宋_GBK" w:hAnsi="仿宋" w:eastAsia="方正仿宋_GBK"/>
          <w:color w:val="auto"/>
          <w:sz w:val="24"/>
          <w:szCs w:val="24"/>
          <w:highlight w:val="none"/>
        </w:rPr>
      </w:pPr>
    </w:p>
    <w:p w14:paraId="7B0A0A51">
      <w:pPr>
        <w:pStyle w:val="38"/>
        <w:ind w:firstLine="0" w:firstLineChars="0"/>
        <w:rPr>
          <w:rFonts w:ascii="方正仿宋_GBK" w:hAnsi="仿宋" w:eastAsia="方正仿宋_GBK"/>
          <w:color w:val="auto"/>
          <w:sz w:val="24"/>
          <w:szCs w:val="24"/>
          <w:highlight w:val="none"/>
        </w:rPr>
      </w:pPr>
    </w:p>
    <w:p w14:paraId="6163EDFA">
      <w:pPr>
        <w:rPr>
          <w:rFonts w:ascii="方正仿宋_GBK" w:hAnsi="仿宋" w:eastAsia="方正仿宋_GBK"/>
          <w:color w:val="auto"/>
          <w:sz w:val="24"/>
          <w:szCs w:val="24"/>
          <w:highlight w:val="none"/>
        </w:rPr>
      </w:pPr>
    </w:p>
    <w:p w14:paraId="747C41B9">
      <w:pPr>
        <w:pStyle w:val="38"/>
        <w:ind w:firstLine="0" w:firstLineChars="0"/>
        <w:rPr>
          <w:rFonts w:ascii="方正仿宋_GBK" w:hAnsi="仿宋" w:eastAsia="方正仿宋_GBK"/>
          <w:color w:val="auto"/>
          <w:sz w:val="24"/>
          <w:szCs w:val="24"/>
          <w:highlight w:val="none"/>
        </w:rPr>
      </w:pPr>
    </w:p>
    <w:p w14:paraId="5FEB1726">
      <w:pPr>
        <w:rPr>
          <w:rFonts w:ascii="方正仿宋_GBK" w:hAnsi="仿宋" w:eastAsia="方正仿宋_GBK"/>
          <w:color w:val="auto"/>
          <w:sz w:val="24"/>
          <w:szCs w:val="24"/>
          <w:highlight w:val="none"/>
        </w:rPr>
      </w:pPr>
    </w:p>
    <w:p w14:paraId="6C6E6414">
      <w:pPr>
        <w:pStyle w:val="38"/>
        <w:ind w:firstLine="0" w:firstLineChars="0"/>
        <w:rPr>
          <w:rFonts w:ascii="方正仿宋_GBK" w:hAnsi="仿宋" w:eastAsia="方正仿宋_GBK"/>
          <w:color w:val="auto"/>
          <w:sz w:val="24"/>
          <w:szCs w:val="24"/>
          <w:highlight w:val="none"/>
        </w:rPr>
      </w:pPr>
    </w:p>
    <w:p w14:paraId="66E30150">
      <w:pPr>
        <w:rPr>
          <w:rFonts w:ascii="方正仿宋_GBK" w:hAnsi="仿宋" w:eastAsia="方正仿宋_GBK"/>
          <w:color w:val="auto"/>
          <w:sz w:val="24"/>
          <w:szCs w:val="24"/>
          <w:highlight w:val="none"/>
        </w:rPr>
      </w:pPr>
    </w:p>
    <w:p w14:paraId="26C9B0C2">
      <w:pPr>
        <w:pStyle w:val="38"/>
        <w:ind w:firstLine="0" w:firstLineChars="0"/>
        <w:rPr>
          <w:rFonts w:ascii="方正仿宋_GBK" w:hAnsi="仿宋" w:eastAsia="方正仿宋_GBK"/>
          <w:color w:val="auto"/>
          <w:sz w:val="24"/>
          <w:szCs w:val="24"/>
          <w:highlight w:val="none"/>
        </w:rPr>
      </w:pPr>
    </w:p>
    <w:p w14:paraId="3F2C65E2">
      <w:pPr>
        <w:rPr>
          <w:rFonts w:ascii="方正仿宋_GBK" w:hAnsi="仿宋" w:eastAsia="方正仿宋_GBK"/>
          <w:color w:val="auto"/>
          <w:sz w:val="24"/>
          <w:szCs w:val="24"/>
          <w:highlight w:val="none"/>
        </w:rPr>
      </w:pPr>
    </w:p>
    <w:p w14:paraId="1E4E3DDF">
      <w:pPr>
        <w:pStyle w:val="38"/>
        <w:ind w:firstLine="0" w:firstLineChars="0"/>
        <w:rPr>
          <w:rFonts w:ascii="方正仿宋_GBK" w:hAnsi="方正仿宋_GBK" w:eastAsia="方正仿宋_GBK" w:cs="方正仿宋_GBK"/>
          <w:color w:val="auto"/>
          <w:sz w:val="24"/>
          <w:szCs w:val="24"/>
          <w:highlight w:val="none"/>
        </w:rPr>
      </w:pPr>
    </w:p>
    <w:p w14:paraId="77F03D38">
      <w:pPr>
        <w:pStyle w:val="38"/>
        <w:ind w:firstLine="241"/>
        <w:rPr>
          <w:rFonts w:ascii="方正仿宋_GBK" w:hAnsi="方正仿宋_GBK" w:eastAsia="方正仿宋_GBK" w:cs="方正仿宋_GBK"/>
          <w:color w:val="auto"/>
          <w:sz w:val="24"/>
          <w:szCs w:val="18"/>
          <w:highlight w:val="none"/>
        </w:rPr>
      </w:pPr>
      <w:r>
        <w:rPr>
          <w:rFonts w:hint="eastAsia" w:ascii="方正仿宋_GBK" w:hAnsi="方正仿宋_GBK" w:eastAsia="方正仿宋_GBK" w:cs="方正仿宋_GBK"/>
          <w:color w:val="auto"/>
          <w:sz w:val="24"/>
          <w:szCs w:val="18"/>
          <w:highlight w:val="none"/>
        </w:rPr>
        <w:t>注：若不属于监狱企业可不填或不提供。</w:t>
      </w:r>
    </w:p>
    <w:p w14:paraId="60F36B66">
      <w:pPr>
        <w:tabs>
          <w:tab w:val="left" w:pos="6300"/>
        </w:tabs>
        <w:snapToGrid w:val="0"/>
        <w:spacing w:before="120" w:beforeLines="50" w:after="120" w:afterLines="50" w:line="400" w:lineRule="exact"/>
        <w:jc w:val="center"/>
        <w:rPr>
          <w:rFonts w:ascii="方正仿宋_GBK" w:hAnsi="仿宋" w:eastAsia="方正仿宋_GBK"/>
          <w:b/>
          <w:bCs/>
          <w:color w:val="auto"/>
          <w:szCs w:val="28"/>
          <w:highlight w:val="none"/>
        </w:rPr>
      </w:pPr>
      <w:r>
        <w:rPr>
          <w:rFonts w:ascii="方正仿宋_GBK" w:hAnsi="仿宋" w:eastAsia="方正仿宋_GBK"/>
          <w:color w:val="auto"/>
          <w:szCs w:val="28"/>
          <w:highlight w:val="none"/>
        </w:rPr>
        <w:br w:type="page"/>
      </w:r>
      <w:r>
        <w:rPr>
          <w:rFonts w:hint="eastAsia" w:ascii="方正仿宋_GBK" w:hAnsi="仿宋" w:eastAsia="方正仿宋_GBK"/>
          <w:b/>
          <w:bCs/>
          <w:color w:val="auto"/>
          <w:szCs w:val="28"/>
          <w:highlight w:val="none"/>
        </w:rPr>
        <w:t>残疾人福利性单位声明函</w:t>
      </w:r>
    </w:p>
    <w:p w14:paraId="5FD782CC">
      <w:pPr>
        <w:tabs>
          <w:tab w:val="left" w:pos="6300"/>
        </w:tabs>
        <w:snapToGrid w:val="0"/>
        <w:spacing w:line="500" w:lineRule="exact"/>
        <w:ind w:firstLine="480" w:firstLineChars="20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本单位郑重声明，根据《财政部</w:t>
      </w:r>
      <w:r>
        <w:rPr>
          <w:rFonts w:ascii="方正仿宋_GBK" w:hAnsi="仿宋" w:eastAsia="方正仿宋_GBK"/>
          <w:color w:val="auto"/>
          <w:sz w:val="24"/>
          <w:highlight w:val="none"/>
        </w:rPr>
        <w:t xml:space="preserve"> </w:t>
      </w:r>
      <w:r>
        <w:rPr>
          <w:rFonts w:hint="eastAsia" w:ascii="方正仿宋_GBK" w:hAnsi="仿宋" w:eastAsia="方正仿宋_GBK"/>
          <w:color w:val="auto"/>
          <w:sz w:val="24"/>
          <w:highlight w:val="none"/>
        </w:rPr>
        <w:t>民政部</w:t>
      </w:r>
      <w:r>
        <w:rPr>
          <w:rFonts w:ascii="方正仿宋_GBK" w:hAnsi="仿宋" w:eastAsia="方正仿宋_GBK"/>
          <w:color w:val="auto"/>
          <w:sz w:val="24"/>
          <w:highlight w:val="none"/>
        </w:rPr>
        <w:t xml:space="preserve"> </w:t>
      </w:r>
      <w:r>
        <w:rPr>
          <w:rFonts w:hint="eastAsia" w:ascii="方正仿宋_GBK" w:hAnsi="仿宋" w:eastAsia="方正仿宋_GBK"/>
          <w:color w:val="auto"/>
          <w:sz w:val="24"/>
          <w:highlight w:val="none"/>
        </w:rPr>
        <w:t>中国残疾人联合会关于促进残疾人就业政府采购政策的通知》（财库〔</w:t>
      </w:r>
      <w:r>
        <w:rPr>
          <w:rFonts w:ascii="方正仿宋_GBK" w:hAnsi="仿宋" w:eastAsia="方正仿宋_GBK"/>
          <w:color w:val="auto"/>
          <w:sz w:val="24"/>
          <w:highlight w:val="none"/>
        </w:rPr>
        <w:t>2017〕 141号）的规定，本单位为符合条件的残疾人福利性单位，且本单位参加</w:t>
      </w:r>
      <w:r>
        <w:rPr>
          <w:rFonts w:hint="eastAsia" w:ascii="方正仿宋_GBK" w:hAnsi="仿宋" w:eastAsia="方正仿宋_GBK"/>
          <w:color w:val="auto"/>
          <w:sz w:val="24"/>
          <w:highlight w:val="none"/>
          <w:u w:val="single"/>
        </w:rPr>
        <w:t>重庆市应急管理局</w:t>
      </w:r>
      <w:r>
        <w:rPr>
          <w:rFonts w:ascii="方正仿宋_GBK" w:hAnsi="仿宋" w:eastAsia="方正仿宋_GBK"/>
          <w:color w:val="auto"/>
          <w:sz w:val="24"/>
          <w:highlight w:val="none"/>
        </w:rPr>
        <w:t>单位的</w:t>
      </w:r>
      <w:r>
        <w:rPr>
          <w:rFonts w:hint="eastAsia" w:ascii="方正仿宋_GBK" w:hAnsi="仿宋" w:eastAsia="方正仿宋_GBK"/>
          <w:color w:val="auto"/>
          <w:sz w:val="24"/>
          <w:szCs w:val="28"/>
          <w:highlight w:val="none"/>
          <w:u w:val="single"/>
          <w:lang w:eastAsia="zh-CN"/>
        </w:rPr>
        <w:t>洪涝及地质灾害抢险救援应急感知设备采购项目</w:t>
      </w:r>
      <w:r>
        <w:rPr>
          <w:rFonts w:ascii="方正仿宋_GBK" w:hAnsi="仿宋" w:eastAsia="方正仿宋_GBK"/>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53166F4D">
      <w:pPr>
        <w:tabs>
          <w:tab w:val="left" w:pos="6300"/>
        </w:tabs>
        <w:snapToGrid w:val="0"/>
        <w:spacing w:line="500" w:lineRule="exact"/>
        <w:ind w:firstLine="480" w:firstLineChars="20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本单位对上述声明的真实性负责。如有虚假，将依法承担相应责任。</w:t>
      </w:r>
    </w:p>
    <w:p w14:paraId="47AC6B81">
      <w:pPr>
        <w:tabs>
          <w:tab w:val="left" w:pos="6300"/>
        </w:tabs>
        <w:snapToGrid w:val="0"/>
        <w:spacing w:line="500" w:lineRule="exact"/>
        <w:ind w:firstLine="480" w:firstLineChars="200"/>
        <w:rPr>
          <w:rFonts w:ascii="方正仿宋_GBK" w:hAnsi="仿宋" w:eastAsia="方正仿宋_GBK"/>
          <w:color w:val="auto"/>
          <w:sz w:val="24"/>
          <w:highlight w:val="none"/>
        </w:rPr>
      </w:pPr>
    </w:p>
    <w:p w14:paraId="666C5117">
      <w:pPr>
        <w:tabs>
          <w:tab w:val="left" w:pos="6300"/>
        </w:tabs>
        <w:snapToGrid w:val="0"/>
        <w:spacing w:line="500" w:lineRule="exact"/>
        <w:ind w:firstLine="480" w:firstLineChars="200"/>
        <w:rPr>
          <w:rFonts w:ascii="方正仿宋_GBK" w:hAnsi="仿宋" w:eastAsia="方正仿宋_GBK"/>
          <w:color w:val="auto"/>
          <w:sz w:val="24"/>
          <w:highlight w:val="none"/>
        </w:rPr>
      </w:pPr>
    </w:p>
    <w:p w14:paraId="569C4668">
      <w:pPr>
        <w:tabs>
          <w:tab w:val="left" w:pos="6300"/>
        </w:tabs>
        <w:snapToGrid w:val="0"/>
        <w:spacing w:line="500" w:lineRule="exact"/>
        <w:ind w:firstLine="480" w:firstLineChars="200"/>
        <w:rPr>
          <w:rFonts w:ascii="方正仿宋_GBK" w:hAnsi="仿宋" w:eastAsia="方正仿宋_GBK"/>
          <w:color w:val="auto"/>
          <w:sz w:val="24"/>
          <w:highlight w:val="none"/>
        </w:rPr>
      </w:pPr>
      <w:r>
        <w:rPr>
          <w:rFonts w:ascii="方正仿宋_GBK" w:hAnsi="仿宋" w:eastAsia="方正仿宋_GBK"/>
          <w:color w:val="auto"/>
          <w:sz w:val="24"/>
          <w:highlight w:val="none"/>
        </w:rPr>
        <w:t xml:space="preserve">                                                 投标人名称（盖章）：</w:t>
      </w:r>
    </w:p>
    <w:p w14:paraId="33940239">
      <w:pPr>
        <w:tabs>
          <w:tab w:val="left" w:pos="6300"/>
        </w:tabs>
        <w:snapToGrid w:val="0"/>
        <w:spacing w:line="500" w:lineRule="exact"/>
        <w:ind w:firstLine="570"/>
        <w:jc w:val="left"/>
        <w:rPr>
          <w:rFonts w:ascii="方正仿宋_GBK" w:hAnsi="仿宋" w:eastAsia="方正仿宋_GBK"/>
          <w:color w:val="auto"/>
          <w:sz w:val="24"/>
          <w:highlight w:val="none"/>
        </w:rPr>
      </w:pPr>
      <w:r>
        <w:rPr>
          <w:rFonts w:ascii="方正仿宋_GBK" w:hAnsi="仿宋" w:eastAsia="方正仿宋_GBK"/>
          <w:color w:val="auto"/>
          <w:sz w:val="24"/>
          <w:highlight w:val="none"/>
        </w:rPr>
        <w:t xml:space="preserve">                                                日   期：</w:t>
      </w:r>
    </w:p>
    <w:p w14:paraId="35312281">
      <w:pPr>
        <w:tabs>
          <w:tab w:val="left" w:pos="6300"/>
        </w:tabs>
        <w:snapToGrid w:val="0"/>
        <w:spacing w:line="500" w:lineRule="exact"/>
        <w:ind w:firstLine="570"/>
        <w:jc w:val="left"/>
        <w:rPr>
          <w:rFonts w:ascii="方正仿宋_GBK" w:hAnsi="仿宋" w:eastAsia="方正仿宋_GBK"/>
          <w:color w:val="auto"/>
          <w:sz w:val="24"/>
          <w:highlight w:val="none"/>
        </w:rPr>
      </w:pPr>
    </w:p>
    <w:p w14:paraId="7CAA4303">
      <w:pPr>
        <w:tabs>
          <w:tab w:val="left" w:pos="6300"/>
        </w:tabs>
        <w:snapToGrid w:val="0"/>
        <w:spacing w:line="500" w:lineRule="exact"/>
        <w:ind w:firstLine="570"/>
        <w:jc w:val="left"/>
        <w:rPr>
          <w:rFonts w:ascii="方正仿宋_GBK" w:hAnsi="仿宋" w:eastAsia="方正仿宋_GBK"/>
          <w:color w:val="auto"/>
          <w:sz w:val="24"/>
          <w:highlight w:val="none"/>
        </w:rPr>
      </w:pPr>
    </w:p>
    <w:p w14:paraId="4175B1CD">
      <w:pPr>
        <w:tabs>
          <w:tab w:val="left" w:pos="6300"/>
        </w:tabs>
        <w:snapToGrid w:val="0"/>
        <w:spacing w:line="500" w:lineRule="exact"/>
        <w:ind w:firstLine="570"/>
        <w:jc w:val="left"/>
        <w:rPr>
          <w:rFonts w:ascii="方正仿宋_GBK" w:hAnsi="仿宋" w:eastAsia="方正仿宋_GBK"/>
          <w:color w:val="auto"/>
          <w:sz w:val="24"/>
          <w:highlight w:val="none"/>
        </w:rPr>
      </w:pPr>
    </w:p>
    <w:p w14:paraId="3C1FF8B8">
      <w:pPr>
        <w:tabs>
          <w:tab w:val="left" w:pos="6300"/>
        </w:tabs>
        <w:snapToGrid w:val="0"/>
        <w:spacing w:line="500" w:lineRule="exact"/>
        <w:ind w:firstLine="570"/>
        <w:jc w:val="left"/>
        <w:rPr>
          <w:rFonts w:ascii="方正仿宋_GBK" w:hAnsi="仿宋" w:eastAsia="方正仿宋_GBK"/>
          <w:color w:val="auto"/>
          <w:sz w:val="24"/>
          <w:highlight w:val="none"/>
        </w:rPr>
      </w:pPr>
    </w:p>
    <w:p w14:paraId="35F02B69">
      <w:pPr>
        <w:tabs>
          <w:tab w:val="left" w:pos="6300"/>
        </w:tabs>
        <w:snapToGrid w:val="0"/>
        <w:spacing w:line="500" w:lineRule="exact"/>
        <w:ind w:firstLine="570"/>
        <w:jc w:val="left"/>
        <w:rPr>
          <w:rFonts w:ascii="方正仿宋_GBK" w:hAnsi="仿宋" w:eastAsia="方正仿宋_GBK"/>
          <w:color w:val="auto"/>
          <w:sz w:val="24"/>
          <w:highlight w:val="none"/>
        </w:rPr>
      </w:pPr>
    </w:p>
    <w:p w14:paraId="4348E5D8">
      <w:pPr>
        <w:tabs>
          <w:tab w:val="left" w:pos="6300"/>
        </w:tabs>
        <w:snapToGrid w:val="0"/>
        <w:spacing w:line="500" w:lineRule="exact"/>
        <w:ind w:firstLine="570"/>
        <w:jc w:val="left"/>
        <w:rPr>
          <w:rFonts w:ascii="方正仿宋_GBK" w:hAnsi="仿宋" w:eastAsia="方正仿宋_GBK"/>
          <w:color w:val="auto"/>
          <w:sz w:val="24"/>
          <w:highlight w:val="none"/>
        </w:rPr>
      </w:pPr>
    </w:p>
    <w:p w14:paraId="7045F9CA">
      <w:pPr>
        <w:tabs>
          <w:tab w:val="left" w:pos="6300"/>
        </w:tabs>
        <w:snapToGrid w:val="0"/>
        <w:spacing w:line="500" w:lineRule="exact"/>
        <w:ind w:firstLine="570"/>
        <w:jc w:val="left"/>
        <w:rPr>
          <w:rFonts w:ascii="方正仿宋_GBK" w:hAnsi="仿宋" w:eastAsia="方正仿宋_GBK"/>
          <w:color w:val="auto"/>
          <w:sz w:val="24"/>
          <w:highlight w:val="none"/>
        </w:rPr>
      </w:pPr>
    </w:p>
    <w:p w14:paraId="10E1CB33">
      <w:pPr>
        <w:tabs>
          <w:tab w:val="left" w:pos="6300"/>
        </w:tabs>
        <w:snapToGrid w:val="0"/>
        <w:spacing w:line="500" w:lineRule="exact"/>
        <w:ind w:firstLine="570"/>
        <w:jc w:val="left"/>
        <w:rPr>
          <w:rFonts w:ascii="方正仿宋_GBK" w:hAnsi="仿宋" w:eastAsia="方正仿宋_GBK"/>
          <w:color w:val="auto"/>
          <w:sz w:val="24"/>
          <w:highlight w:val="none"/>
        </w:rPr>
      </w:pPr>
    </w:p>
    <w:p w14:paraId="34FF50FF">
      <w:pPr>
        <w:tabs>
          <w:tab w:val="left" w:pos="6300"/>
        </w:tabs>
        <w:snapToGrid w:val="0"/>
        <w:spacing w:line="500" w:lineRule="exact"/>
        <w:ind w:firstLine="570"/>
        <w:jc w:val="left"/>
        <w:rPr>
          <w:rFonts w:ascii="方正仿宋_GBK" w:hAnsi="仿宋" w:eastAsia="方正仿宋_GBK"/>
          <w:color w:val="auto"/>
          <w:sz w:val="24"/>
          <w:highlight w:val="none"/>
        </w:rPr>
      </w:pPr>
    </w:p>
    <w:p w14:paraId="466C0139">
      <w:pPr>
        <w:tabs>
          <w:tab w:val="left" w:pos="6300"/>
        </w:tabs>
        <w:snapToGrid w:val="0"/>
        <w:spacing w:line="500" w:lineRule="exact"/>
        <w:ind w:firstLine="570"/>
        <w:jc w:val="left"/>
        <w:rPr>
          <w:rFonts w:ascii="方正仿宋_GBK" w:hAnsi="仿宋" w:eastAsia="方正仿宋_GBK"/>
          <w:color w:val="auto"/>
          <w:sz w:val="24"/>
          <w:highlight w:val="none"/>
        </w:rPr>
      </w:pPr>
    </w:p>
    <w:p w14:paraId="14F7405C">
      <w:pPr>
        <w:pStyle w:val="38"/>
        <w:spacing w:line="400" w:lineRule="exact"/>
        <w:ind w:firstLine="241"/>
        <w:rPr>
          <w:rFonts w:ascii="方正仿宋_GBK" w:hAnsi="方正仿宋_GBK" w:eastAsia="方正仿宋_GBK" w:cs="方正仿宋_GBK"/>
          <w:color w:val="auto"/>
          <w:sz w:val="24"/>
          <w:szCs w:val="18"/>
          <w:highlight w:val="none"/>
        </w:rPr>
      </w:pPr>
      <w:r>
        <w:rPr>
          <w:rFonts w:hint="eastAsia" w:ascii="方正仿宋_GBK" w:hAnsi="方正仿宋_GBK" w:eastAsia="方正仿宋_GBK" w:cs="方正仿宋_GBK"/>
          <w:color w:val="auto"/>
          <w:sz w:val="24"/>
          <w:szCs w:val="18"/>
          <w:highlight w:val="none"/>
        </w:rPr>
        <w:t>1.若中标人为残疾人福利性单位的，将在结果公告时公告其《残疾人福利性单位声明函》。</w:t>
      </w:r>
    </w:p>
    <w:p w14:paraId="7FF77BFF">
      <w:pPr>
        <w:pStyle w:val="38"/>
        <w:spacing w:line="400" w:lineRule="exact"/>
        <w:ind w:firstLine="241"/>
        <w:rPr>
          <w:rFonts w:ascii="方正仿宋_GBK" w:hAnsi="方正仿宋_GBK" w:eastAsia="方正仿宋_GBK" w:cs="方正仿宋_GBK"/>
          <w:color w:val="auto"/>
          <w:sz w:val="24"/>
          <w:szCs w:val="18"/>
          <w:highlight w:val="none"/>
        </w:rPr>
      </w:pPr>
      <w:r>
        <w:rPr>
          <w:rFonts w:hint="eastAsia" w:ascii="方正仿宋_GBK" w:hAnsi="方正仿宋_GBK" w:eastAsia="方正仿宋_GBK" w:cs="方正仿宋_GBK"/>
          <w:color w:val="auto"/>
          <w:sz w:val="24"/>
          <w:szCs w:val="18"/>
          <w:highlight w:val="none"/>
        </w:rPr>
        <w:t>2.若不属于残疾人福利性单位可不填或不提供。</w:t>
      </w:r>
    </w:p>
    <w:p w14:paraId="7B079E68">
      <w:pPr>
        <w:spacing w:before="120" w:beforeLines="50" w:after="120" w:afterLines="50" w:line="400" w:lineRule="exact"/>
        <w:ind w:firstLine="560" w:firstLineChars="200"/>
        <w:outlineLvl w:val="2"/>
        <w:rPr>
          <w:rFonts w:hint="eastAsia" w:ascii="方正仿宋_GBK" w:hAnsi="宋体" w:eastAsia="方正仿宋_GBK"/>
          <w:b/>
          <w:bCs/>
          <w:color w:val="auto"/>
          <w:szCs w:val="28"/>
          <w:highlight w:val="none"/>
        </w:rPr>
      </w:pPr>
      <w:r>
        <w:rPr>
          <w:rFonts w:ascii="方正仿宋_GBK" w:hAnsi="仿宋" w:eastAsia="方正仿宋_GBK"/>
          <w:color w:val="auto"/>
          <w:highlight w:val="none"/>
        </w:rPr>
        <w:br w:type="page"/>
      </w:r>
      <w:r>
        <w:rPr>
          <w:rFonts w:hint="eastAsia" w:ascii="方正仿宋_GBK" w:hAnsi="宋体" w:eastAsia="方正仿宋_GBK"/>
          <w:b/>
          <w:bCs/>
          <w:color w:val="auto"/>
          <w:szCs w:val="28"/>
          <w:highlight w:val="none"/>
        </w:rPr>
        <w:t>（二）其他与项目有关的资料（自附）</w:t>
      </w:r>
    </w:p>
    <w:p w14:paraId="0618D26C">
      <w:pPr>
        <w:spacing w:before="120" w:beforeLines="50" w:after="120" w:afterLines="50" w:line="400" w:lineRule="exact"/>
        <w:ind w:firstLine="562" w:firstLineChars="200"/>
        <w:outlineLvl w:val="9"/>
        <w:rPr>
          <w:rFonts w:hint="eastAsia" w:ascii="方正仿宋_GBK" w:hAnsi="宋体" w:eastAsia="方正仿宋_GBK"/>
          <w:b/>
          <w:bCs/>
          <w:color w:val="auto"/>
          <w:szCs w:val="28"/>
          <w:highlight w:val="none"/>
        </w:rPr>
      </w:pPr>
    </w:p>
    <w:p w14:paraId="5E0218F9">
      <w:pPr>
        <w:spacing w:before="120" w:beforeLines="50" w:after="120" w:afterLines="50" w:line="400" w:lineRule="exact"/>
        <w:ind w:firstLine="562" w:firstLineChars="200"/>
        <w:outlineLvl w:val="9"/>
        <w:rPr>
          <w:rFonts w:hint="eastAsia" w:ascii="方正仿宋_GBK" w:hAnsi="宋体" w:eastAsia="方正仿宋_GBK"/>
          <w:b/>
          <w:bCs/>
          <w:color w:val="auto"/>
          <w:szCs w:val="28"/>
          <w:highlight w:val="none"/>
        </w:rPr>
      </w:pPr>
    </w:p>
    <w:p w14:paraId="62D3B940">
      <w:pPr>
        <w:rPr>
          <w:rFonts w:hint="eastAsia"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br w:type="page"/>
      </w:r>
    </w:p>
    <w:p w14:paraId="0F92BDB2">
      <w:pPr>
        <w:pStyle w:val="5"/>
        <w:pageBreakBefore/>
        <w:spacing w:before="120" w:beforeLines="50" w:after="120" w:afterLines="50" w:line="500" w:lineRule="exact"/>
        <w:ind w:firstLine="562" w:firstLineChars="200"/>
        <w:rPr>
          <w:rFonts w:ascii="方正仿宋_GBK" w:hAnsi="仿宋" w:eastAsia="方正仿宋_GBK"/>
          <w:b/>
          <w:color w:val="auto"/>
          <w:szCs w:val="28"/>
          <w:highlight w:val="none"/>
        </w:rPr>
      </w:pPr>
      <w:bookmarkStart w:id="598" w:name="_Toc30988"/>
      <w:bookmarkStart w:id="599" w:name="_Toc16577"/>
      <w:bookmarkStart w:id="600" w:name="_Toc75793544"/>
      <w:bookmarkStart w:id="601" w:name="_Toc26381"/>
      <w:bookmarkStart w:id="602" w:name="_Toc11324"/>
      <w:bookmarkStart w:id="603" w:name="_Toc13249"/>
      <w:bookmarkStart w:id="604" w:name="_Toc17848"/>
      <w:bookmarkStart w:id="605" w:name="_Toc492721038"/>
      <w:bookmarkStart w:id="606" w:name="_Toc30818"/>
      <w:bookmarkStart w:id="607" w:name="_Toc21121"/>
      <w:bookmarkStart w:id="608" w:name="_Toc23187"/>
      <w:bookmarkStart w:id="609" w:name="_Toc17829"/>
      <w:bookmarkStart w:id="610" w:name="_Toc4000"/>
      <w:bookmarkStart w:id="611" w:name="_Toc6108"/>
      <w:bookmarkStart w:id="612" w:name="_Toc28432"/>
      <w:bookmarkStart w:id="613" w:name="_Toc493178793"/>
      <w:bookmarkStart w:id="614" w:name="_Toc12509"/>
      <w:bookmarkStart w:id="615" w:name="_Toc24054"/>
      <w:r>
        <w:rPr>
          <w:rFonts w:hint="eastAsia" w:ascii="方正仿宋_GBK" w:hAnsi="仿宋" w:eastAsia="方正仿宋_GBK"/>
          <w:b/>
          <w:color w:val="auto"/>
          <w:szCs w:val="28"/>
          <w:highlight w:val="none"/>
        </w:rPr>
        <w:t>五、资格文件</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67ADA429">
      <w:pPr>
        <w:snapToGrid w:val="0"/>
        <w:spacing w:before="120" w:beforeLines="50" w:after="120" w:afterLines="50"/>
        <w:jc w:val="left"/>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（一）法人营业执照（副本）或事业单位法人证书（副本）或个体工商户营业执照或有效的自然人身份证明或社会团体法人登记证书复印件</w:t>
      </w:r>
    </w:p>
    <w:p w14:paraId="3C662792">
      <w:pPr>
        <w:tabs>
          <w:tab w:val="left" w:pos="6300"/>
        </w:tabs>
        <w:snapToGrid w:val="0"/>
        <w:spacing w:line="500" w:lineRule="exact"/>
        <w:ind w:firstLine="570"/>
        <w:rPr>
          <w:rFonts w:ascii="方正仿宋_GBK" w:hAnsi="仿宋" w:eastAsia="方正仿宋_GBK"/>
          <w:color w:val="auto"/>
          <w:highlight w:val="none"/>
        </w:rPr>
      </w:pPr>
    </w:p>
    <w:p w14:paraId="2118B2F7">
      <w:pPr>
        <w:tabs>
          <w:tab w:val="left" w:pos="6300"/>
        </w:tabs>
        <w:snapToGrid w:val="0"/>
        <w:spacing w:line="500" w:lineRule="exact"/>
        <w:ind w:firstLine="570"/>
        <w:rPr>
          <w:rFonts w:ascii="方正仿宋_GBK" w:hAnsi="仿宋" w:eastAsia="方正仿宋_GBK"/>
          <w:color w:val="auto"/>
          <w:highlight w:val="none"/>
        </w:rPr>
      </w:pPr>
    </w:p>
    <w:p w14:paraId="520578DE">
      <w:pPr>
        <w:tabs>
          <w:tab w:val="left" w:pos="6300"/>
        </w:tabs>
        <w:snapToGrid w:val="0"/>
        <w:spacing w:line="500" w:lineRule="exact"/>
        <w:ind w:firstLine="570"/>
        <w:rPr>
          <w:rFonts w:ascii="方正仿宋_GBK" w:hAnsi="仿宋" w:eastAsia="方正仿宋_GBK"/>
          <w:color w:val="auto"/>
          <w:highlight w:val="none"/>
        </w:rPr>
      </w:pPr>
    </w:p>
    <w:p w14:paraId="225F8308">
      <w:pPr>
        <w:tabs>
          <w:tab w:val="left" w:pos="6300"/>
        </w:tabs>
        <w:snapToGrid w:val="0"/>
        <w:spacing w:line="500" w:lineRule="exact"/>
        <w:ind w:firstLine="570"/>
        <w:rPr>
          <w:rFonts w:ascii="方正仿宋_GBK" w:hAnsi="仿宋" w:eastAsia="方正仿宋_GBK"/>
          <w:color w:val="auto"/>
          <w:highlight w:val="none"/>
        </w:rPr>
      </w:pPr>
    </w:p>
    <w:p w14:paraId="6D89DCE7">
      <w:pPr>
        <w:tabs>
          <w:tab w:val="left" w:pos="6300"/>
        </w:tabs>
        <w:snapToGrid w:val="0"/>
        <w:spacing w:line="500" w:lineRule="exact"/>
        <w:ind w:firstLine="570"/>
        <w:rPr>
          <w:rFonts w:ascii="方正仿宋_GBK" w:hAnsi="仿宋" w:eastAsia="方正仿宋_GBK"/>
          <w:color w:val="auto"/>
          <w:highlight w:val="none"/>
        </w:rPr>
      </w:pPr>
    </w:p>
    <w:p w14:paraId="308008F4">
      <w:pPr>
        <w:pStyle w:val="38"/>
        <w:ind w:firstLine="281"/>
        <w:rPr>
          <w:rFonts w:ascii="方正仿宋_GBK" w:hAnsi="仿宋" w:eastAsia="方正仿宋_GBK"/>
          <w:color w:val="auto"/>
          <w:highlight w:val="none"/>
        </w:rPr>
      </w:pPr>
    </w:p>
    <w:p w14:paraId="30F78882">
      <w:pPr>
        <w:rPr>
          <w:color w:val="auto"/>
          <w:highlight w:val="none"/>
        </w:rPr>
      </w:pPr>
    </w:p>
    <w:p w14:paraId="4FE79487">
      <w:pPr>
        <w:spacing w:before="120" w:beforeLines="50" w:after="120" w:afterLines="50" w:line="400" w:lineRule="exact"/>
        <w:jc w:val="center"/>
        <w:outlineLvl w:val="2"/>
        <w:rPr>
          <w:rFonts w:ascii="方正仿宋_GBK" w:hAnsi="宋体" w:eastAsia="方正仿宋_GBK"/>
          <w:color w:val="auto"/>
          <w:sz w:val="24"/>
          <w:szCs w:val="28"/>
          <w:highlight w:val="none"/>
        </w:rPr>
      </w:pPr>
      <w:r>
        <w:rPr>
          <w:rFonts w:ascii="方正仿宋_GBK" w:hAnsi="仿宋" w:eastAsia="方正仿宋_GBK"/>
          <w:color w:val="auto"/>
          <w:highlight w:val="none"/>
        </w:rPr>
        <w:br w:type="page"/>
      </w:r>
      <w:r>
        <w:rPr>
          <w:rFonts w:hint="eastAsia" w:ascii="方正仿宋_GBK" w:hAnsi="宋体" w:eastAsia="方正仿宋_GBK"/>
          <w:b/>
          <w:bCs/>
          <w:color w:val="auto"/>
          <w:szCs w:val="28"/>
          <w:highlight w:val="none"/>
        </w:rPr>
        <w:t>（二）法定代表人身份证明书（格式）</w:t>
      </w:r>
    </w:p>
    <w:p w14:paraId="07D0AA9F">
      <w:pPr>
        <w:tabs>
          <w:tab w:val="left" w:pos="6300"/>
        </w:tabs>
        <w:snapToGrid w:val="0"/>
        <w:spacing w:line="500" w:lineRule="exact"/>
        <w:ind w:firstLine="570"/>
        <w:rPr>
          <w:rFonts w:ascii="方正仿宋_GBK" w:hAnsi="仿宋" w:eastAsia="方正仿宋_GBK"/>
          <w:color w:val="auto"/>
          <w:sz w:val="24"/>
          <w:highlight w:val="none"/>
        </w:rPr>
      </w:pPr>
    </w:p>
    <w:p w14:paraId="0D863628">
      <w:pPr>
        <w:tabs>
          <w:tab w:val="left" w:pos="6300"/>
        </w:tabs>
        <w:snapToGrid w:val="0"/>
        <w:spacing w:line="500" w:lineRule="exact"/>
        <w:ind w:firstLine="57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招标项目名称：</w:t>
      </w:r>
      <w:r>
        <w:rPr>
          <w:rFonts w:ascii="方正仿宋_GBK" w:hAnsi="仿宋" w:eastAsia="方正仿宋_GBK"/>
          <w:color w:val="auto"/>
          <w:sz w:val="24"/>
          <w:highlight w:val="none"/>
          <w:u w:val="single"/>
        </w:rPr>
        <w:t xml:space="preserve">                                                </w:t>
      </w:r>
    </w:p>
    <w:p w14:paraId="37CDBD14">
      <w:pPr>
        <w:tabs>
          <w:tab w:val="left" w:pos="6300"/>
        </w:tabs>
        <w:snapToGrid w:val="0"/>
        <w:spacing w:line="500" w:lineRule="exact"/>
        <w:ind w:firstLine="570"/>
        <w:rPr>
          <w:rFonts w:ascii="方正仿宋_GBK" w:hAnsi="仿宋" w:eastAsia="方正仿宋_GBK"/>
          <w:color w:val="auto"/>
          <w:sz w:val="24"/>
          <w:highlight w:val="none"/>
        </w:rPr>
      </w:pPr>
    </w:p>
    <w:p w14:paraId="687E2AB0">
      <w:pPr>
        <w:tabs>
          <w:tab w:val="left" w:pos="6300"/>
        </w:tabs>
        <w:snapToGrid w:val="0"/>
        <w:spacing w:line="500" w:lineRule="exact"/>
        <w:rPr>
          <w:rFonts w:ascii="方正仿宋_GBK" w:hAnsi="仿宋" w:eastAsia="方正仿宋_GBK"/>
          <w:color w:val="auto"/>
          <w:sz w:val="24"/>
          <w:highlight w:val="none"/>
        </w:rPr>
      </w:pPr>
      <w:r>
        <w:rPr>
          <w:rFonts w:hint="eastAsia" w:ascii="方正仿宋_GBK" w:hAnsi="仿宋" w:eastAsia="方正仿宋_GBK"/>
          <w:color w:val="auto"/>
          <w:sz w:val="24"/>
          <w:highlight w:val="none"/>
        </w:rPr>
        <w:t>致：</w:t>
      </w: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（采购代理机构名称）：</w:t>
      </w:r>
    </w:p>
    <w:p w14:paraId="3EC2AD2F">
      <w:pPr>
        <w:tabs>
          <w:tab w:val="left" w:pos="6300"/>
        </w:tabs>
        <w:snapToGrid w:val="0"/>
        <w:spacing w:line="500" w:lineRule="exact"/>
        <w:ind w:firstLine="570"/>
        <w:rPr>
          <w:rFonts w:ascii="方正仿宋_GBK" w:hAnsi="仿宋" w:eastAsia="方正仿宋_GBK"/>
          <w:color w:val="auto"/>
          <w:sz w:val="24"/>
          <w:highlight w:val="none"/>
        </w:rPr>
      </w:pP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（法定代表人姓名）</w:t>
      </w: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（性别）在</w:t>
      </w: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（投标人名称）任</w:t>
      </w: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（职务名称）职务，是（投标人名称）</w:t>
      </w: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的法定代表人。</w:t>
      </w:r>
    </w:p>
    <w:p w14:paraId="058FA149">
      <w:pPr>
        <w:tabs>
          <w:tab w:val="left" w:pos="6300"/>
        </w:tabs>
        <w:snapToGrid w:val="0"/>
        <w:spacing w:line="500" w:lineRule="exact"/>
        <w:ind w:firstLine="570"/>
        <w:rPr>
          <w:rFonts w:ascii="方正仿宋_GBK" w:hAnsi="仿宋" w:eastAsia="方正仿宋_GBK"/>
          <w:color w:val="auto"/>
          <w:sz w:val="24"/>
          <w:highlight w:val="none"/>
        </w:rPr>
      </w:pPr>
    </w:p>
    <w:p w14:paraId="563834AC">
      <w:pPr>
        <w:tabs>
          <w:tab w:val="left" w:pos="6300"/>
        </w:tabs>
        <w:snapToGrid w:val="0"/>
        <w:spacing w:line="500" w:lineRule="exact"/>
        <w:ind w:firstLine="57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特此证明。</w:t>
      </w:r>
    </w:p>
    <w:p w14:paraId="14448D21">
      <w:pPr>
        <w:tabs>
          <w:tab w:val="left" w:pos="6300"/>
        </w:tabs>
        <w:snapToGrid w:val="0"/>
        <w:spacing w:line="500" w:lineRule="exact"/>
        <w:ind w:firstLine="570"/>
        <w:rPr>
          <w:rFonts w:ascii="方正仿宋_GBK" w:hAnsi="仿宋" w:eastAsia="方正仿宋_GBK"/>
          <w:color w:val="auto"/>
          <w:sz w:val="24"/>
          <w:highlight w:val="none"/>
        </w:rPr>
      </w:pPr>
    </w:p>
    <w:p w14:paraId="73C46394">
      <w:pPr>
        <w:tabs>
          <w:tab w:val="left" w:pos="6300"/>
        </w:tabs>
        <w:snapToGrid w:val="0"/>
        <w:spacing w:line="500" w:lineRule="exact"/>
        <w:ind w:firstLine="570"/>
        <w:rPr>
          <w:rFonts w:ascii="方正仿宋_GBK" w:hAnsi="仿宋" w:eastAsia="方正仿宋_GBK"/>
          <w:color w:val="auto"/>
          <w:sz w:val="24"/>
          <w:highlight w:val="none"/>
        </w:rPr>
      </w:pPr>
    </w:p>
    <w:p w14:paraId="1C6A1C3D">
      <w:pPr>
        <w:tabs>
          <w:tab w:val="left" w:pos="6300"/>
        </w:tabs>
        <w:snapToGrid w:val="0"/>
        <w:spacing w:line="500" w:lineRule="exact"/>
        <w:ind w:firstLine="570"/>
        <w:rPr>
          <w:rFonts w:ascii="方正仿宋_GBK" w:hAnsi="仿宋" w:eastAsia="方正仿宋_GBK"/>
          <w:color w:val="auto"/>
          <w:sz w:val="24"/>
          <w:highlight w:val="none"/>
        </w:rPr>
      </w:pPr>
      <w:r>
        <w:rPr>
          <w:rFonts w:ascii="方正仿宋_GBK" w:hAnsi="仿宋" w:eastAsia="方正仿宋_GBK"/>
          <w:color w:val="auto"/>
          <w:sz w:val="24"/>
          <w:highlight w:val="none"/>
        </w:rPr>
        <w:t xml:space="preserve">                                             投标人：</w:t>
      </w:r>
    </w:p>
    <w:p w14:paraId="1F893E03">
      <w:pPr>
        <w:tabs>
          <w:tab w:val="left" w:pos="6300"/>
        </w:tabs>
        <w:snapToGrid w:val="0"/>
        <w:spacing w:line="500" w:lineRule="exact"/>
        <w:ind w:firstLine="5848" w:firstLineChars="2437"/>
        <w:rPr>
          <w:rFonts w:ascii="方正仿宋_GBK" w:hAnsi="仿宋" w:eastAsia="方正仿宋_GBK"/>
          <w:color w:val="auto"/>
          <w:sz w:val="24"/>
          <w:highlight w:val="none"/>
        </w:rPr>
      </w:pPr>
      <w:r>
        <w:rPr>
          <w:rFonts w:hint="eastAsia" w:ascii="方正仿宋_GBK" w:hAnsi="仿宋" w:eastAsia="方正仿宋_GBK"/>
          <w:color w:val="auto"/>
          <w:sz w:val="24"/>
          <w:highlight w:val="none"/>
        </w:rPr>
        <w:t>（投标人公章）</w:t>
      </w:r>
    </w:p>
    <w:p w14:paraId="700C659C">
      <w:pPr>
        <w:tabs>
          <w:tab w:val="left" w:pos="6300"/>
        </w:tabs>
        <w:snapToGrid w:val="0"/>
        <w:spacing w:line="500" w:lineRule="exact"/>
        <w:ind w:firstLine="570"/>
        <w:rPr>
          <w:rFonts w:ascii="方正仿宋_GBK" w:hAnsi="仿宋" w:eastAsia="方正仿宋_GBK"/>
          <w:color w:val="auto"/>
          <w:sz w:val="24"/>
          <w:highlight w:val="none"/>
        </w:rPr>
      </w:pPr>
    </w:p>
    <w:p w14:paraId="62918763">
      <w:pPr>
        <w:tabs>
          <w:tab w:val="left" w:pos="6300"/>
        </w:tabs>
        <w:snapToGrid w:val="0"/>
        <w:spacing w:line="500" w:lineRule="exact"/>
        <w:ind w:firstLine="570"/>
        <w:rPr>
          <w:rFonts w:ascii="方正仿宋_GBK" w:hAnsi="仿宋" w:eastAsia="方正仿宋_GBK"/>
          <w:color w:val="auto"/>
          <w:sz w:val="24"/>
          <w:highlight w:val="none"/>
        </w:rPr>
      </w:pPr>
      <w:r>
        <w:rPr>
          <w:rFonts w:ascii="方正仿宋_GBK" w:hAnsi="仿宋" w:eastAsia="方正仿宋_GBK"/>
          <w:color w:val="auto"/>
          <w:sz w:val="24"/>
          <w:highlight w:val="none"/>
        </w:rPr>
        <w:t xml:space="preserve">                                             年   月   日</w:t>
      </w:r>
    </w:p>
    <w:p w14:paraId="21B50F71">
      <w:pPr>
        <w:tabs>
          <w:tab w:val="left" w:pos="6300"/>
        </w:tabs>
        <w:snapToGrid w:val="0"/>
        <w:spacing w:line="500" w:lineRule="exact"/>
        <w:ind w:firstLine="57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法定代表人电话：</w:t>
      </w:r>
      <w:r>
        <w:rPr>
          <w:rFonts w:ascii="方正仿宋_GBK" w:hAnsi="仿宋" w:eastAsia="方正仿宋_GBK"/>
          <w:color w:val="auto"/>
          <w:sz w:val="24"/>
          <w:highlight w:val="none"/>
        </w:rPr>
        <w:t xml:space="preserve">XXXXXXX      </w:t>
      </w:r>
      <w:r>
        <w:rPr>
          <w:rFonts w:hint="eastAsia" w:ascii="方正仿宋_GBK" w:hAnsi="仿宋" w:eastAsia="方正仿宋_GBK"/>
          <w:color w:val="auto"/>
          <w:sz w:val="24"/>
          <w:highlight w:val="none"/>
        </w:rPr>
        <w:t>电子邮箱：</w:t>
      </w:r>
      <w:r>
        <w:rPr>
          <w:rFonts w:ascii="方正仿宋_GBK" w:hAnsi="仿宋" w:eastAsia="方正仿宋_GBK"/>
          <w:color w:val="auto"/>
          <w:sz w:val="24"/>
          <w:highlight w:val="none"/>
        </w:rPr>
        <w:t>XXXXXX@XXXXX（若授权他人办理并签署投标文件的可不填写）</w:t>
      </w:r>
    </w:p>
    <w:p w14:paraId="53E9682B">
      <w:pPr>
        <w:tabs>
          <w:tab w:val="left" w:pos="6300"/>
        </w:tabs>
        <w:snapToGrid w:val="0"/>
        <w:spacing w:line="500" w:lineRule="exact"/>
        <w:ind w:firstLine="57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（附：法定代表人身份证正反面复印件）</w:t>
      </w:r>
    </w:p>
    <w:p w14:paraId="4F183E30">
      <w:pPr>
        <w:tabs>
          <w:tab w:val="left" w:pos="6300"/>
        </w:tabs>
        <w:snapToGrid w:val="0"/>
        <w:spacing w:line="500" w:lineRule="exact"/>
        <w:ind w:firstLine="570"/>
        <w:rPr>
          <w:rFonts w:ascii="方正仿宋_GBK" w:hAnsi="仿宋" w:eastAsia="方正仿宋_GBK"/>
          <w:color w:val="auto"/>
          <w:sz w:val="24"/>
          <w:highlight w:val="none"/>
        </w:rPr>
      </w:pPr>
    </w:p>
    <w:p w14:paraId="3195D0BE">
      <w:pPr>
        <w:tabs>
          <w:tab w:val="left" w:pos="6300"/>
        </w:tabs>
        <w:snapToGrid w:val="0"/>
        <w:spacing w:line="500" w:lineRule="exact"/>
        <w:ind w:firstLine="570"/>
        <w:rPr>
          <w:rFonts w:ascii="方正仿宋_GBK" w:hAnsi="仿宋" w:eastAsia="方正仿宋_GBK"/>
          <w:color w:val="auto"/>
          <w:sz w:val="24"/>
          <w:highlight w:val="none"/>
        </w:rPr>
      </w:pPr>
    </w:p>
    <w:p w14:paraId="7070006D">
      <w:pPr>
        <w:tabs>
          <w:tab w:val="left" w:pos="6300"/>
        </w:tabs>
        <w:snapToGrid w:val="0"/>
        <w:spacing w:line="500" w:lineRule="exact"/>
        <w:ind w:firstLine="570"/>
        <w:rPr>
          <w:rFonts w:ascii="方正仿宋_GBK" w:hAnsi="仿宋" w:eastAsia="方正仿宋_GBK"/>
          <w:color w:val="auto"/>
          <w:sz w:val="24"/>
          <w:highlight w:val="none"/>
        </w:rPr>
      </w:pPr>
    </w:p>
    <w:p w14:paraId="510FE652">
      <w:pPr>
        <w:tabs>
          <w:tab w:val="left" w:pos="6300"/>
        </w:tabs>
        <w:snapToGrid w:val="0"/>
        <w:spacing w:line="500" w:lineRule="exact"/>
        <w:ind w:firstLine="570"/>
        <w:rPr>
          <w:rFonts w:ascii="方正仿宋_GBK" w:hAnsi="仿宋" w:eastAsia="方正仿宋_GBK"/>
          <w:color w:val="auto"/>
          <w:sz w:val="24"/>
          <w:highlight w:val="none"/>
        </w:rPr>
      </w:pPr>
    </w:p>
    <w:p w14:paraId="017E781A">
      <w:pPr>
        <w:tabs>
          <w:tab w:val="left" w:pos="6300"/>
        </w:tabs>
        <w:snapToGrid w:val="0"/>
        <w:spacing w:line="500" w:lineRule="exact"/>
        <w:ind w:firstLine="570"/>
        <w:rPr>
          <w:rFonts w:ascii="方正仿宋_GBK" w:hAnsi="仿宋" w:eastAsia="方正仿宋_GBK"/>
          <w:color w:val="auto"/>
          <w:sz w:val="24"/>
          <w:highlight w:val="none"/>
        </w:rPr>
      </w:pPr>
    </w:p>
    <w:p w14:paraId="78887D5E">
      <w:pPr>
        <w:spacing w:before="120" w:beforeLines="50" w:after="120" w:afterLines="50" w:line="400" w:lineRule="exact"/>
        <w:jc w:val="center"/>
        <w:outlineLvl w:val="2"/>
        <w:rPr>
          <w:rFonts w:ascii="方正仿宋_GBK" w:hAnsi="宋体" w:eastAsia="方正仿宋_GBK"/>
          <w:color w:val="auto"/>
          <w:sz w:val="24"/>
          <w:szCs w:val="28"/>
          <w:highlight w:val="none"/>
        </w:rPr>
      </w:pPr>
      <w:r>
        <w:rPr>
          <w:rFonts w:ascii="方正仿宋_GBK" w:hAnsi="仿宋" w:eastAsia="方正仿宋_GBK"/>
          <w:color w:val="auto"/>
          <w:highlight w:val="none"/>
        </w:rPr>
        <w:br w:type="column"/>
      </w:r>
      <w:r>
        <w:rPr>
          <w:rFonts w:hint="eastAsia" w:ascii="方正仿宋_GBK" w:hAnsi="宋体" w:eastAsia="方正仿宋_GBK"/>
          <w:b/>
          <w:bCs/>
          <w:color w:val="auto"/>
          <w:szCs w:val="28"/>
          <w:highlight w:val="none"/>
        </w:rPr>
        <w:t>（三）法定代表人授权委托书（格式）</w:t>
      </w:r>
    </w:p>
    <w:p w14:paraId="28B0893B">
      <w:pPr>
        <w:tabs>
          <w:tab w:val="left" w:pos="6300"/>
        </w:tabs>
        <w:snapToGrid w:val="0"/>
        <w:spacing w:line="500" w:lineRule="exact"/>
        <w:ind w:firstLine="570"/>
        <w:rPr>
          <w:rFonts w:ascii="方正仿宋_GBK" w:hAnsi="仿宋" w:eastAsia="方正仿宋_GBK"/>
          <w:color w:val="auto"/>
          <w:sz w:val="24"/>
          <w:highlight w:val="none"/>
        </w:rPr>
      </w:pPr>
      <w:r>
        <w:rPr>
          <w:rFonts w:ascii="方正仿宋_GBK" w:hAnsi="仿宋" w:eastAsia="方正仿宋_GBK"/>
          <w:color w:val="auto"/>
          <w:sz w:val="24"/>
          <w:highlight w:val="none"/>
        </w:rPr>
        <w:t xml:space="preserve">    </w:t>
      </w:r>
    </w:p>
    <w:p w14:paraId="5CCA9243">
      <w:pPr>
        <w:tabs>
          <w:tab w:val="left" w:pos="6300"/>
        </w:tabs>
        <w:snapToGrid w:val="0"/>
        <w:spacing w:line="500" w:lineRule="exact"/>
        <w:ind w:firstLine="480" w:firstLineChars="200"/>
        <w:rPr>
          <w:rFonts w:ascii="方正仿宋_GBK" w:hAnsi="仿宋" w:eastAsia="方正仿宋_GBK"/>
          <w:color w:val="auto"/>
          <w:sz w:val="24"/>
          <w:highlight w:val="none"/>
        </w:rPr>
      </w:pPr>
      <w:r>
        <w:rPr>
          <w:rFonts w:hint="eastAsia" w:ascii="方正仿宋_GBK" w:hAnsi="仿宋" w:eastAsia="方正仿宋_GBK"/>
          <w:color w:val="auto"/>
          <w:sz w:val="24"/>
          <w:szCs w:val="28"/>
          <w:highlight w:val="none"/>
        </w:rPr>
        <w:t>招标项目名称</w:t>
      </w:r>
      <w:r>
        <w:rPr>
          <w:rFonts w:hint="eastAsia" w:ascii="方正仿宋_GBK" w:hAnsi="仿宋" w:eastAsia="方正仿宋_GBK"/>
          <w:color w:val="auto"/>
          <w:sz w:val="24"/>
          <w:highlight w:val="none"/>
        </w:rPr>
        <w:t>：</w:t>
      </w:r>
      <w:r>
        <w:rPr>
          <w:rFonts w:ascii="方正仿宋_GBK" w:hAnsi="仿宋" w:eastAsia="方正仿宋_GBK"/>
          <w:color w:val="auto"/>
          <w:sz w:val="24"/>
          <w:highlight w:val="none"/>
          <w:u w:val="single"/>
        </w:rPr>
        <w:t xml:space="preserve">                                                </w:t>
      </w:r>
    </w:p>
    <w:p w14:paraId="6FC6F7DA">
      <w:pPr>
        <w:tabs>
          <w:tab w:val="left" w:pos="6300"/>
        </w:tabs>
        <w:snapToGrid w:val="0"/>
        <w:spacing w:line="500" w:lineRule="exact"/>
        <w:ind w:firstLine="570"/>
        <w:rPr>
          <w:rFonts w:ascii="方正仿宋_GBK" w:hAnsi="仿宋" w:eastAsia="方正仿宋_GBK"/>
          <w:color w:val="auto"/>
          <w:sz w:val="24"/>
          <w:highlight w:val="none"/>
        </w:rPr>
      </w:pPr>
    </w:p>
    <w:p w14:paraId="3F9553BB">
      <w:pPr>
        <w:tabs>
          <w:tab w:val="left" w:pos="6300"/>
        </w:tabs>
        <w:snapToGrid w:val="0"/>
        <w:spacing w:line="500" w:lineRule="exact"/>
        <w:rPr>
          <w:rFonts w:ascii="方正仿宋_GBK" w:hAnsi="仿宋" w:eastAsia="方正仿宋_GBK"/>
          <w:color w:val="auto"/>
          <w:sz w:val="24"/>
          <w:highlight w:val="none"/>
        </w:rPr>
      </w:pPr>
      <w:r>
        <w:rPr>
          <w:rFonts w:hint="eastAsia" w:ascii="方正仿宋_GBK" w:hAnsi="仿宋" w:eastAsia="方正仿宋_GBK"/>
          <w:color w:val="auto"/>
          <w:sz w:val="24"/>
          <w:highlight w:val="none"/>
        </w:rPr>
        <w:t>致：</w:t>
      </w: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（采购代理机构名称）：</w:t>
      </w:r>
    </w:p>
    <w:p w14:paraId="0183B653">
      <w:pPr>
        <w:tabs>
          <w:tab w:val="left" w:pos="6300"/>
        </w:tabs>
        <w:snapToGrid w:val="0"/>
        <w:spacing w:line="500" w:lineRule="exact"/>
        <w:ind w:firstLine="480" w:firstLineChars="200"/>
        <w:rPr>
          <w:rFonts w:ascii="方正仿宋_GBK" w:hAnsi="仿宋" w:eastAsia="方正仿宋_GBK"/>
          <w:color w:val="auto"/>
          <w:sz w:val="24"/>
          <w:highlight w:val="none"/>
        </w:rPr>
      </w:pP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（投标人法定代表人名称）是</w:t>
      </w: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（投标人名称）的法定代表人，特授权</w:t>
      </w:r>
      <w:r>
        <w:rPr>
          <w:rFonts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（被授权人姓名及身份证代码）代表我单位全权办理上述项目的投标、谈判、签约等具体工作，并签署全部有关文件、协议及合同。</w:t>
      </w:r>
    </w:p>
    <w:p w14:paraId="046F5CFC">
      <w:pPr>
        <w:tabs>
          <w:tab w:val="left" w:pos="6300"/>
        </w:tabs>
        <w:snapToGrid w:val="0"/>
        <w:spacing w:line="500" w:lineRule="exact"/>
        <w:ind w:firstLine="480" w:firstLineChars="20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我单位对被授权人的签署负全部责任。</w:t>
      </w:r>
    </w:p>
    <w:p w14:paraId="01F18596">
      <w:pPr>
        <w:tabs>
          <w:tab w:val="left" w:pos="6300"/>
        </w:tabs>
        <w:snapToGrid w:val="0"/>
        <w:spacing w:line="500" w:lineRule="exact"/>
        <w:ind w:firstLine="480" w:firstLineChars="20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在撤消授权的书面通知以前，本授权书一直有效。被授权人在授权书有效期内签署的所有文件不因授权的撤消而失效。</w:t>
      </w:r>
    </w:p>
    <w:p w14:paraId="53C54B51">
      <w:pPr>
        <w:tabs>
          <w:tab w:val="left" w:pos="6300"/>
        </w:tabs>
        <w:snapToGrid w:val="0"/>
        <w:spacing w:line="500" w:lineRule="exact"/>
        <w:ind w:firstLine="570"/>
        <w:rPr>
          <w:rFonts w:ascii="方正仿宋_GBK" w:hAnsi="仿宋" w:eastAsia="方正仿宋_GBK"/>
          <w:color w:val="auto"/>
          <w:sz w:val="24"/>
          <w:highlight w:val="none"/>
        </w:rPr>
      </w:pPr>
    </w:p>
    <w:p w14:paraId="069B832D">
      <w:pPr>
        <w:tabs>
          <w:tab w:val="left" w:pos="6300"/>
        </w:tabs>
        <w:snapToGrid w:val="0"/>
        <w:spacing w:line="500" w:lineRule="exact"/>
        <w:ind w:firstLine="57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被授权人：</w:t>
      </w:r>
      <w:r>
        <w:rPr>
          <w:rFonts w:ascii="方正仿宋_GBK" w:hAnsi="仿宋" w:eastAsia="方正仿宋_GBK"/>
          <w:color w:val="auto"/>
          <w:sz w:val="24"/>
          <w:highlight w:val="none"/>
        </w:rPr>
        <w:t xml:space="preserve">                                 </w:t>
      </w:r>
      <w:r>
        <w:rPr>
          <w:rFonts w:hint="eastAsia" w:ascii="方正仿宋_GBK" w:hAnsi="仿宋" w:eastAsia="方正仿宋_GBK"/>
          <w:color w:val="auto"/>
          <w:sz w:val="24"/>
          <w:highlight w:val="none"/>
        </w:rPr>
        <w:t>投标人法定代表人：</w:t>
      </w:r>
    </w:p>
    <w:p w14:paraId="6E1716BE">
      <w:pPr>
        <w:tabs>
          <w:tab w:val="left" w:pos="6300"/>
        </w:tabs>
        <w:snapToGrid w:val="0"/>
        <w:spacing w:line="500" w:lineRule="exact"/>
        <w:ind w:firstLine="570"/>
        <w:rPr>
          <w:rFonts w:ascii="方正仿宋_GBK" w:hAnsi="仿宋" w:eastAsia="方正仿宋_GBK"/>
          <w:color w:val="auto"/>
          <w:sz w:val="24"/>
          <w:szCs w:val="28"/>
          <w:highlight w:val="none"/>
        </w:rPr>
      </w:pPr>
      <w:r>
        <w:rPr>
          <w:rFonts w:hint="eastAsia" w:ascii="方正仿宋_GBK" w:hAnsi="仿宋" w:eastAsia="方正仿宋_GBK"/>
          <w:color w:val="auto"/>
          <w:sz w:val="24"/>
          <w:szCs w:val="28"/>
          <w:highlight w:val="none"/>
        </w:rPr>
        <w:t>（签署或盖章）</w:t>
      </w:r>
      <w:r>
        <w:rPr>
          <w:rFonts w:ascii="方正仿宋_GBK" w:hAnsi="仿宋" w:eastAsia="方正仿宋_GBK"/>
          <w:color w:val="auto"/>
          <w:sz w:val="24"/>
          <w:szCs w:val="28"/>
          <w:highlight w:val="none"/>
        </w:rPr>
        <w:t xml:space="preserve">                                </w:t>
      </w:r>
      <w:r>
        <w:rPr>
          <w:rFonts w:hint="eastAsia" w:ascii="方正仿宋_GBK" w:hAnsi="仿宋" w:eastAsia="方正仿宋_GBK"/>
          <w:color w:val="auto"/>
          <w:sz w:val="24"/>
          <w:szCs w:val="28"/>
          <w:highlight w:val="none"/>
        </w:rPr>
        <w:t>（签署或盖章）</w:t>
      </w:r>
    </w:p>
    <w:p w14:paraId="505777AB">
      <w:pPr>
        <w:tabs>
          <w:tab w:val="left" w:pos="6300"/>
        </w:tabs>
        <w:snapToGrid w:val="0"/>
        <w:spacing w:line="500" w:lineRule="exact"/>
        <w:ind w:firstLine="570"/>
        <w:rPr>
          <w:rFonts w:ascii="方正仿宋_GBK" w:hAnsi="仿宋" w:eastAsia="方正仿宋_GBK"/>
          <w:color w:val="auto"/>
          <w:sz w:val="24"/>
          <w:szCs w:val="28"/>
          <w:highlight w:val="none"/>
        </w:rPr>
      </w:pPr>
    </w:p>
    <w:p w14:paraId="74F285C9">
      <w:pPr>
        <w:tabs>
          <w:tab w:val="left" w:pos="6300"/>
        </w:tabs>
        <w:snapToGrid w:val="0"/>
        <w:spacing w:line="500" w:lineRule="exact"/>
        <w:ind w:firstLine="570"/>
        <w:rPr>
          <w:rFonts w:ascii="方正仿宋_GBK" w:hAnsi="仿宋" w:eastAsia="方正仿宋_GBK"/>
          <w:color w:val="auto"/>
          <w:sz w:val="24"/>
          <w:highlight w:val="none"/>
        </w:rPr>
      </w:pPr>
      <w:r>
        <w:rPr>
          <w:rFonts w:hint="eastAsia" w:ascii="方正仿宋_GBK" w:hAnsi="仿宋" w:eastAsia="方正仿宋_GBK"/>
          <w:color w:val="auto"/>
          <w:sz w:val="24"/>
          <w:highlight w:val="none"/>
        </w:rPr>
        <w:t>（附：被授权人身份证正反面复印件）</w:t>
      </w:r>
    </w:p>
    <w:p w14:paraId="3CF7D7A6">
      <w:pPr>
        <w:tabs>
          <w:tab w:val="left" w:pos="6300"/>
        </w:tabs>
        <w:snapToGrid w:val="0"/>
        <w:spacing w:line="500" w:lineRule="exact"/>
        <w:ind w:firstLine="570"/>
        <w:rPr>
          <w:rFonts w:ascii="方正仿宋_GBK" w:hAnsi="仿宋" w:eastAsia="方正仿宋_GBK"/>
          <w:color w:val="auto"/>
          <w:sz w:val="24"/>
          <w:highlight w:val="none"/>
        </w:rPr>
      </w:pPr>
      <w:r>
        <w:rPr>
          <w:rFonts w:ascii="方正仿宋_GBK" w:hAnsi="仿宋" w:eastAsia="方正仿宋_GBK"/>
          <w:color w:val="auto"/>
          <w:sz w:val="24"/>
          <w:highlight w:val="none"/>
        </w:rPr>
        <w:t xml:space="preserve">                                          </w:t>
      </w:r>
    </w:p>
    <w:p w14:paraId="763C3091">
      <w:pPr>
        <w:tabs>
          <w:tab w:val="left" w:pos="6300"/>
        </w:tabs>
        <w:snapToGrid w:val="0"/>
        <w:spacing w:line="500" w:lineRule="exact"/>
        <w:ind w:firstLine="570"/>
        <w:rPr>
          <w:rFonts w:ascii="方正仿宋_GBK" w:hAnsi="仿宋" w:eastAsia="方正仿宋_GBK"/>
          <w:color w:val="auto"/>
          <w:sz w:val="24"/>
          <w:highlight w:val="none"/>
        </w:rPr>
      </w:pPr>
    </w:p>
    <w:p w14:paraId="1924A3A7">
      <w:pPr>
        <w:tabs>
          <w:tab w:val="left" w:pos="6300"/>
        </w:tabs>
        <w:snapToGrid w:val="0"/>
        <w:spacing w:line="500" w:lineRule="exact"/>
        <w:ind w:right="480" w:firstLine="570"/>
        <w:jc w:val="right"/>
        <w:rPr>
          <w:rFonts w:ascii="方正仿宋_GBK" w:hAnsi="仿宋" w:eastAsia="方正仿宋_GBK"/>
          <w:color w:val="auto"/>
          <w:sz w:val="24"/>
          <w:highlight w:val="none"/>
        </w:rPr>
      </w:pPr>
      <w:r>
        <w:rPr>
          <w:rFonts w:hint="eastAsia" w:ascii="方正仿宋_GBK" w:hAnsi="仿宋" w:eastAsia="方正仿宋_GBK"/>
          <w:color w:val="auto"/>
          <w:sz w:val="24"/>
          <w:highlight w:val="none"/>
        </w:rPr>
        <w:t>（投标人公章）</w:t>
      </w:r>
    </w:p>
    <w:p w14:paraId="1E17D487">
      <w:pPr>
        <w:tabs>
          <w:tab w:val="left" w:pos="6300"/>
        </w:tabs>
        <w:snapToGrid w:val="0"/>
        <w:spacing w:line="500" w:lineRule="exact"/>
        <w:ind w:right="480" w:firstLine="570"/>
        <w:jc w:val="right"/>
        <w:rPr>
          <w:rFonts w:ascii="方正仿宋_GBK" w:hAnsi="仿宋" w:eastAsia="方正仿宋_GBK"/>
          <w:color w:val="auto"/>
          <w:sz w:val="24"/>
          <w:highlight w:val="none"/>
        </w:rPr>
      </w:pPr>
      <w:r>
        <w:rPr>
          <w:rFonts w:hint="eastAsia" w:ascii="方正仿宋_GBK" w:hAnsi="仿宋" w:eastAsia="方正仿宋_GBK"/>
          <w:color w:val="auto"/>
          <w:sz w:val="24"/>
          <w:highlight w:val="none"/>
        </w:rPr>
        <w:t>年</w:t>
      </w:r>
      <w:r>
        <w:rPr>
          <w:rFonts w:ascii="方正仿宋_GBK" w:hAnsi="仿宋" w:eastAsia="方正仿宋_GBK"/>
          <w:color w:val="auto"/>
          <w:sz w:val="24"/>
          <w:highlight w:val="none"/>
        </w:rPr>
        <w:t xml:space="preserve">   </w:t>
      </w:r>
      <w:r>
        <w:rPr>
          <w:rFonts w:hint="eastAsia" w:ascii="方正仿宋_GBK" w:hAnsi="仿宋" w:eastAsia="方正仿宋_GBK"/>
          <w:color w:val="auto"/>
          <w:sz w:val="24"/>
          <w:highlight w:val="none"/>
        </w:rPr>
        <w:t>月</w:t>
      </w:r>
      <w:r>
        <w:rPr>
          <w:rFonts w:ascii="方正仿宋_GBK" w:hAnsi="仿宋" w:eastAsia="方正仿宋_GBK"/>
          <w:color w:val="auto"/>
          <w:sz w:val="24"/>
          <w:highlight w:val="none"/>
        </w:rPr>
        <w:t xml:space="preserve">   </w:t>
      </w:r>
      <w:r>
        <w:rPr>
          <w:rFonts w:hint="eastAsia" w:ascii="方正仿宋_GBK" w:hAnsi="仿宋" w:eastAsia="方正仿宋_GBK"/>
          <w:color w:val="auto"/>
          <w:sz w:val="24"/>
          <w:highlight w:val="none"/>
        </w:rPr>
        <w:t>日</w:t>
      </w:r>
    </w:p>
    <w:p w14:paraId="054FD989">
      <w:pPr>
        <w:tabs>
          <w:tab w:val="left" w:pos="6300"/>
        </w:tabs>
        <w:snapToGrid w:val="0"/>
        <w:spacing w:line="500" w:lineRule="exact"/>
        <w:ind w:right="720" w:firstLine="570"/>
        <w:jc w:val="right"/>
        <w:rPr>
          <w:rFonts w:ascii="方正仿宋_GBK" w:hAnsi="仿宋" w:eastAsia="方正仿宋_GBK"/>
          <w:color w:val="auto"/>
          <w:sz w:val="24"/>
          <w:highlight w:val="none"/>
        </w:rPr>
      </w:pPr>
    </w:p>
    <w:p w14:paraId="618DB47D">
      <w:pPr>
        <w:tabs>
          <w:tab w:val="left" w:pos="6300"/>
        </w:tabs>
        <w:snapToGrid w:val="0"/>
        <w:spacing w:line="500" w:lineRule="exact"/>
        <w:ind w:right="480" w:firstLine="570"/>
        <w:jc w:val="left"/>
        <w:rPr>
          <w:rFonts w:ascii="方正仿宋_GBK" w:hAnsi="仿宋" w:eastAsia="方正仿宋_GBK"/>
          <w:color w:val="auto"/>
          <w:sz w:val="24"/>
          <w:highlight w:val="none"/>
        </w:rPr>
      </w:pPr>
      <w:r>
        <w:rPr>
          <w:rFonts w:hint="eastAsia" w:ascii="方正仿宋_GBK" w:hAnsi="仿宋" w:eastAsia="方正仿宋_GBK"/>
          <w:color w:val="auto"/>
          <w:sz w:val="24"/>
          <w:highlight w:val="none"/>
        </w:rPr>
        <w:t>被授权人电话：</w:t>
      </w:r>
      <w:r>
        <w:rPr>
          <w:rFonts w:ascii="方正仿宋_GBK" w:hAnsi="仿宋" w:eastAsia="方正仿宋_GBK"/>
          <w:color w:val="auto"/>
          <w:sz w:val="24"/>
          <w:highlight w:val="none"/>
        </w:rPr>
        <w:t xml:space="preserve">XXXXXXX     </w:t>
      </w:r>
      <w:r>
        <w:rPr>
          <w:rFonts w:hint="eastAsia" w:ascii="方正仿宋_GBK" w:hAnsi="仿宋" w:eastAsia="方正仿宋_GBK"/>
          <w:color w:val="auto"/>
          <w:sz w:val="24"/>
          <w:highlight w:val="none"/>
        </w:rPr>
        <w:t>电子邮箱：</w:t>
      </w:r>
      <w:r>
        <w:rPr>
          <w:rFonts w:ascii="方正仿宋_GBK" w:hAnsi="仿宋" w:eastAsia="方正仿宋_GBK"/>
          <w:color w:val="auto"/>
          <w:sz w:val="24"/>
          <w:highlight w:val="none"/>
        </w:rPr>
        <w:t>XXXXXX@XXXXX（若法定代表人办理并签署投标文件的可不填写）</w:t>
      </w:r>
    </w:p>
    <w:p w14:paraId="408B75E4">
      <w:pPr>
        <w:tabs>
          <w:tab w:val="left" w:pos="6300"/>
        </w:tabs>
        <w:snapToGrid w:val="0"/>
        <w:spacing w:line="500" w:lineRule="exact"/>
        <w:ind w:right="480" w:firstLine="570"/>
        <w:jc w:val="left"/>
        <w:rPr>
          <w:rFonts w:ascii="方正仿宋_GBK" w:hAnsi="仿宋" w:eastAsia="方正仿宋_GBK"/>
          <w:color w:val="auto"/>
          <w:sz w:val="24"/>
          <w:highlight w:val="none"/>
        </w:rPr>
      </w:pPr>
      <w:r>
        <w:rPr>
          <w:rFonts w:hint="eastAsia" w:ascii="方正仿宋_GBK" w:hAnsi="仿宋" w:eastAsia="方正仿宋_GBK"/>
          <w:color w:val="auto"/>
          <w:sz w:val="24"/>
          <w:highlight w:val="none"/>
        </w:rPr>
        <w:t>注：</w:t>
      </w:r>
    </w:p>
    <w:p w14:paraId="2677C6C0">
      <w:pPr>
        <w:tabs>
          <w:tab w:val="left" w:pos="6300"/>
        </w:tabs>
        <w:snapToGrid w:val="0"/>
        <w:spacing w:line="500" w:lineRule="exact"/>
        <w:ind w:right="480" w:firstLine="570"/>
        <w:jc w:val="left"/>
        <w:rPr>
          <w:rFonts w:ascii="方正仿宋_GBK" w:hAnsi="仿宋" w:eastAsia="方正仿宋_GBK"/>
          <w:color w:val="auto"/>
          <w:sz w:val="24"/>
          <w:highlight w:val="none"/>
        </w:rPr>
      </w:pPr>
      <w:r>
        <w:rPr>
          <w:rFonts w:ascii="方正仿宋_GBK" w:hAnsi="仿宋" w:eastAsia="方正仿宋_GBK"/>
          <w:color w:val="auto"/>
          <w:sz w:val="24"/>
          <w:highlight w:val="none"/>
        </w:rPr>
        <w:t>1.若为法定代表人办理并签署投标文件的，不提供此文件。</w:t>
      </w:r>
    </w:p>
    <w:p w14:paraId="319CC0A4">
      <w:pPr>
        <w:tabs>
          <w:tab w:val="left" w:pos="6300"/>
        </w:tabs>
        <w:snapToGrid w:val="0"/>
        <w:spacing w:line="500" w:lineRule="exact"/>
        <w:ind w:right="480" w:firstLine="570"/>
        <w:jc w:val="left"/>
        <w:rPr>
          <w:rFonts w:ascii="方正仿宋_GBK" w:hAnsi="仿宋" w:eastAsia="方正仿宋_GBK"/>
          <w:color w:val="auto"/>
          <w:sz w:val="24"/>
          <w:highlight w:val="none"/>
        </w:rPr>
      </w:pPr>
      <w:r>
        <w:rPr>
          <w:rFonts w:ascii="方正仿宋_GBK" w:hAnsi="仿宋" w:eastAsia="方正仿宋_GBK"/>
          <w:color w:val="auto"/>
          <w:sz w:val="24"/>
          <w:highlight w:val="none"/>
        </w:rPr>
        <w:t>2.若为联合体投标的，法定代表人授权委托书由联合体主办方</w:t>
      </w:r>
      <w:r>
        <w:rPr>
          <w:rFonts w:hint="eastAsia" w:ascii="方正仿宋_GBK" w:hAnsi="仿宋" w:eastAsia="方正仿宋_GBK" w:cs="宋体"/>
          <w:color w:val="auto"/>
          <w:kern w:val="0"/>
          <w:sz w:val="24"/>
          <w:szCs w:val="24"/>
          <w:highlight w:val="none"/>
        </w:rPr>
        <w:t>（主体）</w:t>
      </w:r>
      <w:r>
        <w:rPr>
          <w:rFonts w:hint="eastAsia" w:ascii="方正仿宋_GBK" w:hAnsi="仿宋" w:eastAsia="方正仿宋_GBK"/>
          <w:color w:val="auto"/>
          <w:sz w:val="24"/>
          <w:highlight w:val="none"/>
        </w:rPr>
        <w:t>出具。</w:t>
      </w:r>
    </w:p>
    <w:p w14:paraId="6819F62D">
      <w:pPr>
        <w:spacing w:before="120" w:beforeLines="50" w:after="120" w:afterLines="50" w:line="400" w:lineRule="exact"/>
        <w:ind w:firstLine="560" w:firstLineChars="200"/>
        <w:jc w:val="left"/>
        <w:outlineLvl w:val="2"/>
        <w:rPr>
          <w:rFonts w:ascii="方正仿宋_GBK" w:hAnsi="仿宋" w:eastAsia="方正仿宋_GBK"/>
          <w:color w:val="auto"/>
          <w:sz w:val="24"/>
          <w:szCs w:val="24"/>
          <w:highlight w:val="none"/>
        </w:rPr>
      </w:pPr>
      <w:r>
        <w:rPr>
          <w:rFonts w:ascii="方正仿宋_GBK" w:hAnsi="仿宋" w:eastAsia="方正仿宋_GBK"/>
          <w:color w:val="auto"/>
          <w:highlight w:val="none"/>
        </w:rPr>
        <w:br w:type="column"/>
      </w:r>
      <w:r>
        <w:rPr>
          <w:rFonts w:hint="eastAsia" w:ascii="方正仿宋_GBK" w:hAnsi="宋体" w:eastAsia="方正仿宋_GBK"/>
          <w:b/>
          <w:bCs/>
          <w:color w:val="auto"/>
          <w:szCs w:val="28"/>
          <w:highlight w:val="none"/>
        </w:rPr>
        <w:t>（四）基本资格条件承诺函</w:t>
      </w:r>
    </w:p>
    <w:p w14:paraId="53DC4F16">
      <w:pPr>
        <w:tabs>
          <w:tab w:val="left" w:pos="6300"/>
        </w:tabs>
        <w:snapToGrid w:val="0"/>
        <w:spacing w:before="120" w:beforeLines="50" w:after="120" w:afterLines="50" w:line="500" w:lineRule="exact"/>
        <w:ind w:firstLine="643" w:firstLineChars="200"/>
        <w:jc w:val="center"/>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基本资格条件承诺函</w:t>
      </w:r>
    </w:p>
    <w:p w14:paraId="395515DE">
      <w:pPr>
        <w:tabs>
          <w:tab w:val="left" w:pos="6300"/>
        </w:tabs>
        <w:snapToGrid w:val="0"/>
        <w:spacing w:line="530" w:lineRule="exact"/>
        <w:rPr>
          <w:rFonts w:ascii="方正仿宋_GBK" w:hAnsi="方正仿宋_GBK" w:eastAsia="方正仿宋_GBK" w:cs="方正仿宋_GBK"/>
          <w:color w:val="auto"/>
          <w:sz w:val="24"/>
          <w:highlight w:val="none"/>
        </w:rPr>
      </w:pPr>
    </w:p>
    <w:p w14:paraId="3BE45493">
      <w:pPr>
        <w:tabs>
          <w:tab w:val="left" w:pos="6300"/>
        </w:tabs>
        <w:snapToGrid w:val="0"/>
        <w:spacing w:line="500" w:lineRule="exact"/>
        <w:ind w:firstLine="480" w:firstLineChars="200"/>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致</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（采购代理机构名称）：</w:t>
      </w:r>
    </w:p>
    <w:p w14:paraId="565A0AA4">
      <w:pPr>
        <w:tabs>
          <w:tab w:val="left" w:pos="6300"/>
        </w:tabs>
        <w:snapToGrid w:val="0"/>
        <w:spacing w:line="500" w:lineRule="exact"/>
        <w:ind w:firstLine="480" w:firstLineChars="200"/>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    </w:t>
      </w:r>
      <w:r>
        <w:rPr>
          <w:rFonts w:hint="eastAsia" w:ascii="方正仿宋_GBK" w:hAnsi="方正仿宋_GBK" w:eastAsia="方正仿宋_GBK" w:cs="方正仿宋_GBK"/>
          <w:color w:val="auto"/>
          <w:sz w:val="24"/>
          <w:highlight w:val="none"/>
          <w:u w:val="single"/>
        </w:rPr>
        <w:t xml:space="preserve">              </w:t>
      </w:r>
      <w:r>
        <w:rPr>
          <w:rFonts w:hint="eastAsia" w:ascii="方正仿宋_GBK" w:hAnsi="方正仿宋_GBK" w:eastAsia="方正仿宋_GBK" w:cs="方正仿宋_GBK"/>
          <w:color w:val="auto"/>
          <w:sz w:val="24"/>
          <w:highlight w:val="none"/>
        </w:rPr>
        <w:t>（投标人名称）郑重承诺：</w:t>
      </w:r>
    </w:p>
    <w:p w14:paraId="2FC6C0F4">
      <w:pPr>
        <w:tabs>
          <w:tab w:val="left" w:pos="6300"/>
        </w:tabs>
        <w:snapToGrid w:val="0"/>
        <w:spacing w:line="500" w:lineRule="exact"/>
        <w:ind w:firstLine="480" w:firstLineChars="200"/>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1.我方具有良好的商业信誉和健全的财务会计制度，具有履行合同所必需的设备和专业技术能力，具</w:t>
      </w:r>
      <w:r>
        <w:rPr>
          <w:rFonts w:hint="eastAsia" w:ascii="方正仿宋_GBK" w:hAnsi="方正仿宋_GBK" w:eastAsia="方正仿宋_GBK" w:cs="方正仿宋_GBK"/>
          <w:color w:val="auto"/>
          <w:sz w:val="24"/>
          <w:highlight w:val="none"/>
          <w:lang w:val="zh-CN"/>
        </w:rPr>
        <w:t>有依法缴纳税收和社会保障金的良好记录</w:t>
      </w:r>
      <w:r>
        <w:rPr>
          <w:rFonts w:hint="eastAsia" w:ascii="方正仿宋_GBK" w:hAnsi="方正仿宋_GBK" w:eastAsia="方正仿宋_GBK" w:cs="方正仿宋_GBK"/>
          <w:color w:val="auto"/>
          <w:sz w:val="24"/>
          <w:highlight w:val="none"/>
        </w:rPr>
        <w:t>，参加本项目采购活动前三年内无重大违法活动记录。</w:t>
      </w:r>
    </w:p>
    <w:p w14:paraId="76122D9A">
      <w:pPr>
        <w:tabs>
          <w:tab w:val="left" w:pos="6300"/>
        </w:tabs>
        <w:snapToGrid w:val="0"/>
        <w:spacing w:line="500" w:lineRule="exact"/>
        <w:ind w:firstLine="480" w:firstLineChars="200"/>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2.我方未列入在信用中国网站（www.creditchina.gov.cn）“失信被执行人”、“重大税收违法案件当事人名单”中，也未列入中国政府采购网（www.ccgp.gov.cn）“政府采购严重违法失信行为记录名单”中。</w:t>
      </w:r>
    </w:p>
    <w:p w14:paraId="5EC3D5C7">
      <w:pPr>
        <w:tabs>
          <w:tab w:val="left" w:pos="6300"/>
        </w:tabs>
        <w:snapToGrid w:val="0"/>
        <w:spacing w:line="500" w:lineRule="exact"/>
        <w:ind w:firstLine="480" w:firstLineChars="200"/>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3.我方在采购项目评审（评标）环节结束后，随时接受采购人、采购代理机构的检查验证，配合提供相关证明材料，证明符合《中华人民共和国政府采购法》规定的投标人基本资格条件。</w:t>
      </w:r>
    </w:p>
    <w:p w14:paraId="633F7DF6">
      <w:pPr>
        <w:tabs>
          <w:tab w:val="left" w:pos="6300"/>
        </w:tabs>
        <w:snapToGrid w:val="0"/>
        <w:spacing w:line="500" w:lineRule="exact"/>
        <w:ind w:firstLine="480" w:firstLineChars="200"/>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我方对以上承诺负全部法律责任。</w:t>
      </w:r>
    </w:p>
    <w:p w14:paraId="358E58A7">
      <w:pPr>
        <w:tabs>
          <w:tab w:val="left" w:pos="6300"/>
        </w:tabs>
        <w:snapToGrid w:val="0"/>
        <w:spacing w:line="500" w:lineRule="exact"/>
        <w:ind w:firstLine="480" w:firstLineChars="200"/>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特此承诺。</w:t>
      </w:r>
    </w:p>
    <w:p w14:paraId="71E614F3">
      <w:pPr>
        <w:tabs>
          <w:tab w:val="left" w:pos="6300"/>
        </w:tabs>
        <w:snapToGrid w:val="0"/>
        <w:spacing w:line="500" w:lineRule="exact"/>
        <w:ind w:firstLine="480" w:firstLineChars="200"/>
        <w:rPr>
          <w:rFonts w:ascii="方正仿宋_GBK" w:hAnsi="方正仿宋_GBK" w:eastAsia="方正仿宋_GBK" w:cs="方正仿宋_GBK"/>
          <w:color w:val="auto"/>
          <w:sz w:val="24"/>
          <w:highlight w:val="none"/>
        </w:rPr>
      </w:pPr>
    </w:p>
    <w:p w14:paraId="0C90DF92">
      <w:pPr>
        <w:tabs>
          <w:tab w:val="left" w:pos="6300"/>
        </w:tabs>
        <w:snapToGrid w:val="0"/>
        <w:spacing w:line="500" w:lineRule="exact"/>
        <w:ind w:firstLine="480" w:firstLineChars="200"/>
        <w:jc w:val="righ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（投标人公章）</w:t>
      </w:r>
    </w:p>
    <w:p w14:paraId="6AF05896">
      <w:pPr>
        <w:tabs>
          <w:tab w:val="left" w:pos="6300"/>
        </w:tabs>
        <w:snapToGrid w:val="0"/>
        <w:spacing w:line="500" w:lineRule="exact"/>
        <w:ind w:firstLine="480" w:firstLineChars="200"/>
        <w:jc w:val="right"/>
        <w:rPr>
          <w:rFonts w:ascii="方正仿宋_GBK" w:hAnsi="仿宋" w:eastAsia="方正仿宋_GBK"/>
          <w:color w:val="auto"/>
          <w:sz w:val="24"/>
          <w:highlight w:val="none"/>
        </w:rPr>
      </w:pPr>
      <w:r>
        <w:rPr>
          <w:rFonts w:hint="eastAsia" w:ascii="方正仿宋_GBK" w:hAnsi="方正仿宋_GBK" w:eastAsia="方正仿宋_GBK" w:cs="方正仿宋_GBK"/>
          <w:color w:val="auto"/>
          <w:sz w:val="24"/>
          <w:highlight w:val="none"/>
        </w:rPr>
        <w:t>年   月   日</w:t>
      </w:r>
    </w:p>
    <w:p w14:paraId="231C9416">
      <w:pPr>
        <w:snapToGrid w:val="0"/>
        <w:spacing w:line="440" w:lineRule="exact"/>
        <w:ind w:firstLine="480" w:firstLineChars="200"/>
        <w:rPr>
          <w:rFonts w:ascii="方正仿宋_GBK" w:hAnsi="仿宋" w:eastAsia="方正仿宋_GBK"/>
          <w:color w:val="auto"/>
          <w:sz w:val="24"/>
          <w:szCs w:val="24"/>
          <w:highlight w:val="none"/>
        </w:rPr>
      </w:pPr>
    </w:p>
    <w:p w14:paraId="014FDF9B">
      <w:pPr>
        <w:rPr>
          <w:rFonts w:ascii="方正仿宋_GBK" w:hAnsi="仿宋" w:eastAsia="方正仿宋_GBK"/>
          <w:color w:val="auto"/>
          <w:highlight w:val="none"/>
        </w:rPr>
      </w:pPr>
      <w:r>
        <w:rPr>
          <w:rFonts w:ascii="方正仿宋_GBK" w:hAnsi="仿宋" w:eastAsia="方正仿宋_GBK"/>
          <w:color w:val="auto"/>
          <w:highlight w:val="none"/>
        </w:rPr>
        <w:br w:type="page"/>
      </w:r>
    </w:p>
    <w:p w14:paraId="1DD6BB15">
      <w:pPr>
        <w:pStyle w:val="38"/>
        <w:ind w:firstLine="281"/>
        <w:rPr>
          <w:color w:val="auto"/>
          <w:highlight w:val="none"/>
        </w:rPr>
      </w:pPr>
    </w:p>
    <w:p w14:paraId="4DBEA72F">
      <w:pPr>
        <w:spacing w:before="120" w:beforeLines="50" w:after="120" w:afterLines="50" w:line="400" w:lineRule="exact"/>
        <w:ind w:firstLine="562" w:firstLineChars="200"/>
        <w:jc w:val="left"/>
        <w:outlineLvl w:val="2"/>
        <w:rPr>
          <w:rFonts w:ascii="方正仿宋_GBK" w:hAnsi="宋体" w:eastAsia="方正仿宋_GBK"/>
          <w:b/>
          <w:bCs/>
          <w:color w:val="auto"/>
          <w:szCs w:val="28"/>
          <w:highlight w:val="none"/>
        </w:rPr>
      </w:pPr>
      <w:r>
        <w:rPr>
          <w:rFonts w:hint="eastAsia" w:ascii="方正仿宋_GBK" w:hAnsi="宋体" w:eastAsia="方正仿宋_GBK"/>
          <w:b/>
          <w:bCs/>
          <w:color w:val="auto"/>
          <w:szCs w:val="28"/>
          <w:highlight w:val="none"/>
        </w:rPr>
        <w:t>（五）特定资格条件证书或证明文件（如有）</w:t>
      </w:r>
    </w:p>
    <w:p w14:paraId="15FA4C63">
      <w:pPr>
        <w:rPr>
          <w:color w:val="auto"/>
          <w:highlight w:val="none"/>
        </w:rPr>
      </w:pPr>
    </w:p>
    <w:p w14:paraId="6990DA33">
      <w:pPr>
        <w:pStyle w:val="38"/>
        <w:ind w:firstLine="281"/>
        <w:rPr>
          <w:color w:val="auto"/>
          <w:highlight w:val="none"/>
        </w:rPr>
      </w:pPr>
    </w:p>
    <w:p w14:paraId="3079D1BF">
      <w:pPr>
        <w:rPr>
          <w:color w:val="auto"/>
          <w:highlight w:val="none"/>
        </w:rPr>
      </w:pPr>
    </w:p>
    <w:p w14:paraId="7DC0ABA4">
      <w:pPr>
        <w:pStyle w:val="38"/>
        <w:ind w:firstLine="281"/>
        <w:rPr>
          <w:color w:val="auto"/>
          <w:highlight w:val="none"/>
        </w:rPr>
      </w:pPr>
    </w:p>
    <w:p w14:paraId="443CA793">
      <w:pPr>
        <w:rPr>
          <w:color w:val="auto"/>
          <w:highlight w:val="none"/>
        </w:rPr>
      </w:pPr>
    </w:p>
    <w:p w14:paraId="51337B8E">
      <w:pPr>
        <w:pStyle w:val="38"/>
        <w:ind w:firstLine="281"/>
        <w:rPr>
          <w:color w:val="auto"/>
          <w:highlight w:val="none"/>
        </w:rPr>
      </w:pPr>
    </w:p>
    <w:p w14:paraId="5C4EEBE7">
      <w:pPr>
        <w:rPr>
          <w:color w:val="auto"/>
          <w:highlight w:val="none"/>
        </w:rPr>
      </w:pPr>
    </w:p>
    <w:p w14:paraId="2318775F">
      <w:pPr>
        <w:spacing w:line="400" w:lineRule="exact"/>
        <w:rPr>
          <w:rFonts w:ascii="方正仿宋_GBK" w:hAnsi="仿宋" w:eastAsia="方正仿宋_GBK"/>
          <w:color w:val="auto"/>
          <w:highlight w:val="none"/>
        </w:rPr>
      </w:pPr>
    </w:p>
    <w:p w14:paraId="537233A5">
      <w:pPr>
        <w:spacing w:line="400" w:lineRule="exact"/>
        <w:rPr>
          <w:rFonts w:ascii="方正仿宋_GBK" w:hAnsi="仿宋" w:eastAsia="方正仿宋_GBK"/>
          <w:color w:val="auto"/>
          <w:highlight w:val="none"/>
        </w:rPr>
      </w:pPr>
    </w:p>
    <w:p w14:paraId="4FFFC4EE">
      <w:pPr>
        <w:spacing w:line="400" w:lineRule="exact"/>
        <w:rPr>
          <w:rFonts w:ascii="方正仿宋_GBK" w:hAnsi="仿宋" w:eastAsia="方正仿宋_GBK"/>
          <w:color w:val="auto"/>
          <w:highlight w:val="none"/>
        </w:rPr>
      </w:pPr>
    </w:p>
    <w:p w14:paraId="5F5646E4">
      <w:pPr>
        <w:spacing w:line="400" w:lineRule="exact"/>
        <w:rPr>
          <w:rFonts w:ascii="方正仿宋_GBK" w:hAnsi="仿宋" w:eastAsia="方正仿宋_GBK"/>
          <w:color w:val="auto"/>
          <w:highlight w:val="none"/>
        </w:rPr>
      </w:pPr>
    </w:p>
    <w:p w14:paraId="5891543F">
      <w:pPr>
        <w:spacing w:line="400" w:lineRule="exact"/>
        <w:rPr>
          <w:rFonts w:ascii="方正仿宋_GBK" w:hAnsi="仿宋" w:eastAsia="方正仿宋_GBK"/>
          <w:color w:val="auto"/>
          <w:highlight w:val="none"/>
        </w:rPr>
      </w:pPr>
    </w:p>
    <w:p w14:paraId="5E3C47F4">
      <w:pPr>
        <w:spacing w:line="400" w:lineRule="exact"/>
        <w:rPr>
          <w:rFonts w:ascii="方正仿宋_GBK" w:hAnsi="仿宋" w:eastAsia="方正仿宋_GBK"/>
          <w:color w:val="auto"/>
          <w:highlight w:val="none"/>
        </w:rPr>
      </w:pPr>
    </w:p>
    <w:p w14:paraId="57A8A88C">
      <w:pPr>
        <w:spacing w:line="400" w:lineRule="exact"/>
        <w:rPr>
          <w:rFonts w:ascii="方正仿宋_GBK" w:hAnsi="仿宋" w:eastAsia="方正仿宋_GBK"/>
          <w:color w:val="auto"/>
          <w:highlight w:val="none"/>
        </w:rPr>
      </w:pPr>
    </w:p>
    <w:p w14:paraId="31EA8224">
      <w:pPr>
        <w:spacing w:line="400" w:lineRule="exact"/>
        <w:rPr>
          <w:rFonts w:ascii="方正仿宋_GBK" w:hAnsi="仿宋" w:eastAsia="方正仿宋_GBK"/>
          <w:color w:val="auto"/>
          <w:highlight w:val="none"/>
        </w:rPr>
      </w:pPr>
    </w:p>
    <w:p w14:paraId="59901466">
      <w:pPr>
        <w:spacing w:line="400" w:lineRule="exact"/>
        <w:rPr>
          <w:rFonts w:ascii="方正仿宋_GBK" w:hAnsi="仿宋" w:eastAsia="方正仿宋_GBK"/>
          <w:color w:val="auto"/>
          <w:highlight w:val="none"/>
        </w:rPr>
      </w:pPr>
    </w:p>
    <w:p w14:paraId="21590245">
      <w:pPr>
        <w:spacing w:line="400" w:lineRule="exact"/>
        <w:rPr>
          <w:rFonts w:ascii="方正仿宋_GBK" w:hAnsi="仿宋" w:eastAsia="方正仿宋_GBK"/>
          <w:color w:val="auto"/>
          <w:highlight w:val="none"/>
        </w:rPr>
      </w:pPr>
    </w:p>
    <w:p w14:paraId="015B56BB">
      <w:pPr>
        <w:tabs>
          <w:tab w:val="left" w:pos="6300"/>
        </w:tabs>
        <w:snapToGrid w:val="0"/>
        <w:spacing w:line="500" w:lineRule="exact"/>
        <w:ind w:firstLine="0" w:firstLineChars="0"/>
        <w:jc w:val="center"/>
        <w:rPr>
          <w:rFonts w:ascii="方正仿宋_GBK" w:hAnsi="仿宋" w:eastAsia="方正仿宋_GBK"/>
          <w:color w:val="auto"/>
          <w:sz w:val="24"/>
          <w:highlight w:val="none"/>
        </w:rPr>
      </w:pPr>
      <w:r>
        <w:rPr>
          <w:rFonts w:hint="eastAsia" w:ascii="方正仿宋_GBK" w:hAnsi="仿宋" w:eastAsia="方正仿宋_GBK"/>
          <w:color w:val="auto"/>
          <w:sz w:val="24"/>
          <w:highlight w:val="none"/>
        </w:rPr>
        <w:t>（结束）</w:t>
      </w:r>
    </w:p>
    <w:p w14:paraId="089BD852">
      <w:pPr>
        <w:rPr>
          <w:color w:val="auto"/>
          <w:highlight w:val="none"/>
        </w:rPr>
      </w:pPr>
    </w:p>
    <w:p w14:paraId="23E24612">
      <w:pPr>
        <w:rPr>
          <w:color w:val="auto"/>
          <w:highlight w:val="none"/>
        </w:rPr>
      </w:pPr>
    </w:p>
    <w:p w14:paraId="7511F294">
      <w:pPr>
        <w:rPr>
          <w:color w:val="auto"/>
          <w:highlight w:val="none"/>
        </w:rPr>
      </w:pPr>
    </w:p>
    <w:p w14:paraId="7121FA8B">
      <w:pPr>
        <w:rPr>
          <w:color w:val="auto"/>
          <w:highlight w:val="none"/>
        </w:rPr>
      </w:pPr>
    </w:p>
    <w:sectPr>
      <w:footerReference r:id="rId6" w:type="default"/>
      <w:pgSz w:w="11907" w:h="16840"/>
      <w:pgMar w:top="1134" w:right="1191" w:bottom="1134" w:left="1304" w:header="964" w:footer="794" w:gutter="0"/>
      <w:pgNumType w:start="1"/>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CB4340A-90EC-4679-93AC-4B38957EEE0A}"/>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79C45E6-AC05-4D34-BE5C-4540C0002A7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B4874214-C3FC-4C0B-8DA2-4BBDB0F0BD3E}"/>
  </w:font>
  <w:font w:name="Helvetica">
    <w:altName w:val="Arial"/>
    <w:panose1 w:val="020B0604020202020204"/>
    <w:charset w:val="00"/>
    <w:family w:val="swiss"/>
    <w:pitch w:val="default"/>
    <w:sig w:usb0="00000000" w:usb1="00000000" w:usb2="00000009" w:usb3="00000000" w:csb0="000001FF" w:csb1="00000000"/>
  </w:font>
  <w:font w:name="PMingLiU">
    <w:panose1 w:val="02020500000000000000"/>
    <w:charset w:val="88"/>
    <w:family w:val="roman"/>
    <w:pitch w:val="default"/>
    <w:sig w:usb0="A00002FF" w:usb1="28CFFCFA" w:usb2="00000016" w:usb3="00000000" w:csb0="00100001" w:csb1="00000000"/>
  </w:font>
  <w:font w:name="Arial Unicode MS">
    <w:altName w:val="宋体"/>
    <w:panose1 w:val="020B0604020202020204"/>
    <w:charset w:val="86"/>
    <w:family w:val="swiss"/>
    <w:pitch w:val="default"/>
    <w:sig w:usb0="00000000" w:usb1="00000000" w:usb2="0000003F" w:usb3="00000000" w:csb0="603F01FF" w:csb1="FFFF0000"/>
  </w:font>
  <w:font w:name="_x000B__x000C_">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4" w:fontKey="{474E47F5-A01D-4AEC-B330-DDEEDD0B5AC3}"/>
  </w:font>
  <w:font w:name="华文楷体">
    <w:altName w:val="宋体"/>
    <w:panose1 w:val="02010600040101010101"/>
    <w:charset w:val="86"/>
    <w:family w:val="auto"/>
    <w:pitch w:val="default"/>
    <w:sig w:usb0="00000000" w:usb1="00000000" w:usb2="00000000" w:usb3="00000000" w:csb0="0004009F" w:csb1="DFD70000"/>
  </w:font>
  <w:font w:name="方正仿宋_GBK">
    <w:panose1 w:val="02000000000000000000"/>
    <w:charset w:val="86"/>
    <w:family w:val="script"/>
    <w:pitch w:val="default"/>
    <w:sig w:usb0="A00002BF" w:usb1="38CF7CFA" w:usb2="00082016" w:usb3="00000000" w:csb0="00040001" w:csb1="00000000"/>
    <w:embedRegular r:id="rId5" w:fontKey="{0EA9638C-A051-442D-8AF6-55EF59B15918}"/>
  </w:font>
  <w:font w:name="方正黑体_GBK">
    <w:panose1 w:val="02010600010101010101"/>
    <w:charset w:val="86"/>
    <w:family w:val="script"/>
    <w:pitch w:val="default"/>
    <w:sig w:usb0="00000001" w:usb1="080E0000" w:usb2="00000000" w:usb3="00000000" w:csb0="00040000" w:csb1="00000000"/>
    <w:embedRegular r:id="rId6" w:fontKey="{EA7F8361-40FB-4495-9CEE-EB0B8B06E2FE}"/>
  </w:font>
  <w:font w:name="方正小标宋_GBK">
    <w:panose1 w:val="03000509000000000000"/>
    <w:charset w:val="86"/>
    <w:family w:val="script"/>
    <w:pitch w:val="default"/>
    <w:sig w:usb0="00000001" w:usb1="080E0000" w:usb2="00000000" w:usb3="00000000" w:csb0="00040000" w:csb1="00000000"/>
    <w:embedRegular r:id="rId7" w:fontKey="{B9A0BD44-AB3A-493E-B4CC-8CB4FF22828B}"/>
  </w:font>
  <w:font w:name="WPSEMBED2">
    <w:panose1 w:val="03000509000000000000"/>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1E4F5">
    <w:pPr>
      <w:pStyle w:val="36"/>
      <w:framePr w:wrap="around" w:vAnchor="text" w:hAnchor="margin" w:xAlign="center" w:y="1"/>
      <w:rPr>
        <w:rStyle w:val="62"/>
      </w:rPr>
    </w:pPr>
    <w:r>
      <w:fldChar w:fldCharType="begin"/>
    </w:r>
    <w:r>
      <w:rPr>
        <w:rStyle w:val="62"/>
      </w:rPr>
      <w:instrText xml:space="preserve">PAGE  </w:instrText>
    </w:r>
    <w:r>
      <w:fldChar w:fldCharType="end"/>
    </w:r>
  </w:p>
  <w:p w14:paraId="633988AE">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D393E">
    <w:pPr>
      <w:jc w:val="center"/>
      <w:rPr>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FEB98B">
                          <w:pPr>
                            <w:pStyle w:val="36"/>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w:t>
                          </w:r>
                          <w:r>
                            <w:rPr>
                              <w:sz w:val="21"/>
                              <w:szCs w:val="21"/>
                            </w:rPr>
                            <w:fldChar w:fldCharType="end"/>
                          </w:r>
                          <w:r>
                            <w:rPr>
                              <w:sz w:val="21"/>
                              <w:szCs w:val="21"/>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1FEB98B">
                    <w:pPr>
                      <w:pStyle w:val="36"/>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3</w:t>
                    </w:r>
                    <w:r>
                      <w:rPr>
                        <w:sz w:val="21"/>
                        <w:szCs w:val="21"/>
                      </w:rPr>
                      <w:fldChar w:fldCharType="end"/>
                    </w:r>
                    <w:r>
                      <w:rPr>
                        <w:sz w:val="21"/>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31996">
    <w:pPr>
      <w:pStyle w:val="37"/>
      <w:pBdr>
        <w:bottom w:val="single" w:color="auto" w:sz="4" w:space="1"/>
      </w:pBdr>
      <w:jc w:val="left"/>
      <w:rPr>
        <w:rFonts w:ascii="方正仿宋_GBK" w:eastAsia="方正仿宋_GBK"/>
        <w:sz w:val="21"/>
        <w:szCs w:val="24"/>
      </w:rPr>
    </w:pPr>
    <w:r>
      <w:rPr>
        <w:rFonts w:hint="eastAsia" w:ascii="方正仿宋_GBK" w:eastAsia="方正仿宋_GBK"/>
        <w:sz w:val="21"/>
        <w:szCs w:val="24"/>
        <w:lang w:eastAsia="zh-CN"/>
      </w:rPr>
      <w:t>洪涝及地质灾害抢险救援应急感知设备采购项目</w:t>
    </w:r>
    <w:r>
      <w:rPr>
        <w:rFonts w:hint="eastAsia" w:ascii="方正仿宋_GBK" w:eastAsia="方正仿宋_GBK"/>
        <w:sz w:val="21"/>
        <w:szCs w:val="24"/>
      </w:rPr>
      <w:t xml:space="preserve">               </w:t>
    </w:r>
    <w:r>
      <w:rPr>
        <w:rFonts w:hint="eastAsia" w:ascii="方正仿宋_GBK" w:eastAsia="方正仿宋_GBK"/>
        <w:sz w:val="21"/>
        <w:szCs w:val="24"/>
        <w:lang w:val="en-US" w:eastAsia="zh-CN"/>
      </w:rPr>
      <w:t xml:space="preserve">                     </w:t>
    </w:r>
    <w:r>
      <w:rPr>
        <w:rFonts w:hint="eastAsia" w:ascii="方正仿宋_GBK" w:eastAsia="方正仿宋_GBK"/>
        <w:sz w:val="21"/>
        <w:szCs w:val="24"/>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B3569">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47EF11"/>
    <w:multiLevelType w:val="singleLevel"/>
    <w:tmpl w:val="A647EF11"/>
    <w:lvl w:ilvl="0" w:tentative="0">
      <w:start w:val="2"/>
      <w:numFmt w:val="chineseCounting"/>
      <w:suff w:val="nothing"/>
      <w:lvlText w:val="（%1）"/>
      <w:lvlJc w:val="left"/>
      <w:rPr>
        <w:rFonts w:hint="eastAsia"/>
      </w:rPr>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6AB96BF"/>
    <w:multiLevelType w:val="singleLevel"/>
    <w:tmpl w:val="F6AB96BF"/>
    <w:lvl w:ilvl="0" w:tentative="0">
      <w:start w:val="4"/>
      <w:numFmt w:val="chineseCounting"/>
      <w:suff w:val="nothing"/>
      <w:lvlText w:val="%1、"/>
      <w:lvlJc w:val="left"/>
      <w:rPr>
        <w:rFonts w:hint="eastAsia"/>
      </w:rPr>
    </w:lvl>
  </w:abstractNum>
  <w:abstractNum w:abstractNumId="6">
    <w:nsid w:val="00000003"/>
    <w:multiLevelType w:val="singleLevel"/>
    <w:tmpl w:val="00000003"/>
    <w:lvl w:ilvl="0" w:tentative="0">
      <w:start w:val="1"/>
      <w:numFmt w:val="decimal"/>
      <w:pStyle w:val="15"/>
      <w:lvlText w:val="%1."/>
      <w:lvlJc w:val="left"/>
      <w:pPr>
        <w:tabs>
          <w:tab w:val="left" w:pos="780"/>
        </w:tabs>
        <w:ind w:left="780" w:hanging="360"/>
      </w:pPr>
    </w:lvl>
  </w:abstractNum>
  <w:abstractNum w:abstractNumId="7">
    <w:nsid w:val="00000005"/>
    <w:multiLevelType w:val="multilevel"/>
    <w:tmpl w:val="00000005"/>
    <w:lvl w:ilvl="0" w:tentative="0">
      <w:start w:val="1"/>
      <w:numFmt w:val="bullet"/>
      <w:pStyle w:val="126"/>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8">
    <w:nsid w:val="00000006"/>
    <w:multiLevelType w:val="singleLevel"/>
    <w:tmpl w:val="00000006"/>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9">
    <w:nsid w:val="00000007"/>
    <w:multiLevelType w:val="multilevel"/>
    <w:tmpl w:val="00000007"/>
    <w:lvl w:ilvl="0" w:tentative="0">
      <w:start w:val="1"/>
      <w:numFmt w:val="bullet"/>
      <w:pStyle w:val="135"/>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08"/>
    <w:multiLevelType w:val="multilevel"/>
    <w:tmpl w:val="00000008"/>
    <w:lvl w:ilvl="0" w:tentative="0">
      <w:start w:val="1"/>
      <w:numFmt w:val="chineseCountingThousand"/>
      <w:pStyle w:val="7"/>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09"/>
    <w:multiLevelType w:val="multilevel"/>
    <w:tmpl w:val="00000009"/>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83"/>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0000000A"/>
    <w:multiLevelType w:val="multilevel"/>
    <w:tmpl w:val="0000000A"/>
    <w:lvl w:ilvl="0" w:tentative="0">
      <w:start w:val="8"/>
      <w:numFmt w:val="decimal"/>
      <w:pStyle w:val="182"/>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pStyle w:val="113"/>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00000012"/>
    <w:multiLevelType w:val="singleLevel"/>
    <w:tmpl w:val="00000012"/>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4">
    <w:nsid w:val="00000013"/>
    <w:multiLevelType w:val="multilevel"/>
    <w:tmpl w:val="00000013"/>
    <w:lvl w:ilvl="0" w:tentative="0">
      <w:start w:val="1"/>
      <w:numFmt w:val="bullet"/>
      <w:pStyle w:val="103"/>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5">
    <w:nsid w:val="00000015"/>
    <w:multiLevelType w:val="multilevel"/>
    <w:tmpl w:val="00000015"/>
    <w:lvl w:ilvl="0" w:tentative="0">
      <w:start w:val="1"/>
      <w:numFmt w:val="decimal"/>
      <w:pStyle w:val="197"/>
      <w:lvlText w:val="(%1)"/>
      <w:lvlJc w:val="left"/>
      <w:pPr>
        <w:tabs>
          <w:tab w:val="left" w:pos="397"/>
        </w:tabs>
        <w:ind w:left="397" w:hanging="397"/>
      </w:pPr>
      <w:rPr>
        <w:rFonts w:hint="default" w:ascii="Arial" w:hAnsi="Arial"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00000016"/>
    <w:multiLevelType w:val="singleLevel"/>
    <w:tmpl w:val="00000016"/>
    <w:lvl w:ilvl="0" w:tentative="0">
      <w:start w:val="1"/>
      <w:numFmt w:val="bullet"/>
      <w:pStyle w:val="121"/>
      <w:lvlText w:val=""/>
      <w:lvlJc w:val="left"/>
      <w:pPr>
        <w:tabs>
          <w:tab w:val="left" w:pos="360"/>
        </w:tabs>
        <w:ind w:left="360" w:hanging="360"/>
      </w:pPr>
      <w:rPr>
        <w:rFonts w:hint="default" w:ascii="Wingdings" w:hAnsi="Wingdings"/>
      </w:rPr>
    </w:lvl>
  </w:abstractNum>
  <w:abstractNum w:abstractNumId="17">
    <w:nsid w:val="00000017"/>
    <w:multiLevelType w:val="singleLevel"/>
    <w:tmpl w:val="00000017"/>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18">
    <w:nsid w:val="00000019"/>
    <w:multiLevelType w:val="singleLevel"/>
    <w:tmpl w:val="00000019"/>
    <w:lvl w:ilvl="0" w:tentative="0">
      <w:start w:val="1"/>
      <w:numFmt w:val="decimal"/>
      <w:pStyle w:val="98"/>
      <w:lvlText w:val="%1)"/>
      <w:lvlJc w:val="left"/>
      <w:pPr>
        <w:tabs>
          <w:tab w:val="left" w:pos="425"/>
        </w:tabs>
        <w:ind w:left="425" w:hanging="425"/>
      </w:pPr>
      <w:rPr>
        <w:rFonts w:hint="eastAsia"/>
      </w:rPr>
    </w:lvl>
  </w:abstractNum>
  <w:abstractNum w:abstractNumId="19">
    <w:nsid w:val="0000001A"/>
    <w:multiLevelType w:val="multilevel"/>
    <w:tmpl w:val="0000001A"/>
    <w:lvl w:ilvl="0" w:tentative="0">
      <w:start w:val="1"/>
      <w:numFmt w:val="decimal"/>
      <w:pStyle w:val="151"/>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0000001D"/>
    <w:multiLevelType w:val="multilevel"/>
    <w:tmpl w:val="0000001D"/>
    <w:lvl w:ilvl="0" w:tentative="0">
      <w:start w:val="1"/>
      <w:numFmt w:val="chineseCountingThousand"/>
      <w:pStyle w:val="156"/>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364D893E"/>
    <w:multiLevelType w:val="singleLevel"/>
    <w:tmpl w:val="364D893E"/>
    <w:lvl w:ilvl="0" w:tentative="0">
      <w:start w:val="16"/>
      <w:numFmt w:val="decimal"/>
      <w:suff w:val="space"/>
      <w:lvlText w:val="%1."/>
      <w:lvlJc w:val="left"/>
    </w:lvl>
  </w:abstractNum>
  <w:abstractNum w:abstractNumId="22">
    <w:nsid w:val="7A0F6431"/>
    <w:multiLevelType w:val="singleLevel"/>
    <w:tmpl w:val="7A0F6431"/>
    <w:lvl w:ilvl="0" w:tentative="0">
      <w:start w:val="1"/>
      <w:numFmt w:val="decimal"/>
      <w:suff w:val="space"/>
      <w:lvlText w:val="%1."/>
      <w:lvlJc w:val="left"/>
    </w:lvl>
  </w:abstractNum>
  <w:num w:numId="1">
    <w:abstractNumId w:val="10"/>
  </w:num>
  <w:num w:numId="2">
    <w:abstractNumId w:val="6"/>
  </w:num>
  <w:num w:numId="3">
    <w:abstractNumId w:val="8"/>
  </w:num>
  <w:num w:numId="4">
    <w:abstractNumId w:val="17"/>
  </w:num>
  <w:num w:numId="5">
    <w:abstractNumId w:val="13"/>
  </w:num>
  <w:num w:numId="6">
    <w:abstractNumId w:val="18"/>
  </w:num>
  <w:num w:numId="7">
    <w:abstractNumId w:val="14"/>
  </w:num>
  <w:num w:numId="8">
    <w:abstractNumId w:val="12"/>
  </w:num>
  <w:num w:numId="9">
    <w:abstractNumId w:val="16"/>
  </w:num>
  <w:num w:numId="10">
    <w:abstractNumId w:val="7"/>
  </w:num>
  <w:num w:numId="11">
    <w:abstractNumId w:val="9"/>
  </w:num>
  <w:num w:numId="12">
    <w:abstractNumId w:val="19"/>
  </w:num>
  <w:num w:numId="13">
    <w:abstractNumId w:val="20"/>
  </w:num>
  <w:num w:numId="14">
    <w:abstractNumId w:val="11"/>
  </w:num>
  <w:num w:numId="15">
    <w:abstractNumId w:val="15"/>
  </w:num>
  <w:num w:numId="16">
    <w:abstractNumId w:val="0"/>
  </w:num>
  <w:num w:numId="17">
    <w:abstractNumId w:val="22"/>
  </w:num>
  <w:num w:numId="18">
    <w:abstractNumId w:val="1"/>
  </w:num>
  <w:num w:numId="19">
    <w:abstractNumId w:val="3"/>
  </w:num>
  <w:num w:numId="20">
    <w:abstractNumId w:val="2"/>
  </w:num>
  <w:num w:numId="21">
    <w:abstractNumId w:val="21"/>
  </w:num>
  <w:num w:numId="22">
    <w:abstractNumId w:val="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80"/>
  <w:drawingGridHorizontalSpacing w:val="140"/>
  <w:drawingGridVerticalSpacing w:val="38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YTczZGJiOTA4OTIyZTJmYmU4M2I0NmQ1OGM0ZGIifQ=="/>
  </w:docVars>
  <w:rsids>
    <w:rsidRoot w:val="00172A27"/>
    <w:rsid w:val="000009FD"/>
    <w:rsid w:val="00000ED2"/>
    <w:rsid w:val="00003684"/>
    <w:rsid w:val="000037E2"/>
    <w:rsid w:val="000072F0"/>
    <w:rsid w:val="00010A9A"/>
    <w:rsid w:val="000110F0"/>
    <w:rsid w:val="00011AF1"/>
    <w:rsid w:val="00012203"/>
    <w:rsid w:val="00012ACA"/>
    <w:rsid w:val="00021946"/>
    <w:rsid w:val="0002252D"/>
    <w:rsid w:val="000266A1"/>
    <w:rsid w:val="0003075E"/>
    <w:rsid w:val="00030782"/>
    <w:rsid w:val="0003282A"/>
    <w:rsid w:val="00034A67"/>
    <w:rsid w:val="0003767C"/>
    <w:rsid w:val="000376BA"/>
    <w:rsid w:val="00037FAD"/>
    <w:rsid w:val="000408C5"/>
    <w:rsid w:val="000420C0"/>
    <w:rsid w:val="00042250"/>
    <w:rsid w:val="00043311"/>
    <w:rsid w:val="00047144"/>
    <w:rsid w:val="0005078E"/>
    <w:rsid w:val="00056058"/>
    <w:rsid w:val="00057565"/>
    <w:rsid w:val="00060807"/>
    <w:rsid w:val="00060F9F"/>
    <w:rsid w:val="00062A85"/>
    <w:rsid w:val="00064EA7"/>
    <w:rsid w:val="0006572E"/>
    <w:rsid w:val="00075252"/>
    <w:rsid w:val="00075520"/>
    <w:rsid w:val="00075BA6"/>
    <w:rsid w:val="00082AC9"/>
    <w:rsid w:val="000857DB"/>
    <w:rsid w:val="000879D1"/>
    <w:rsid w:val="00087E2A"/>
    <w:rsid w:val="000908E7"/>
    <w:rsid w:val="0009136B"/>
    <w:rsid w:val="000946BD"/>
    <w:rsid w:val="00094D91"/>
    <w:rsid w:val="00094FBF"/>
    <w:rsid w:val="000A2FB3"/>
    <w:rsid w:val="000A3ABD"/>
    <w:rsid w:val="000A4BD7"/>
    <w:rsid w:val="000A5589"/>
    <w:rsid w:val="000A5751"/>
    <w:rsid w:val="000A7D62"/>
    <w:rsid w:val="000B2716"/>
    <w:rsid w:val="000B7271"/>
    <w:rsid w:val="000B7BBF"/>
    <w:rsid w:val="000C06D1"/>
    <w:rsid w:val="000C0F7C"/>
    <w:rsid w:val="000C2017"/>
    <w:rsid w:val="000C211D"/>
    <w:rsid w:val="000C2606"/>
    <w:rsid w:val="000C2A90"/>
    <w:rsid w:val="000C345B"/>
    <w:rsid w:val="000C47BC"/>
    <w:rsid w:val="000C59C5"/>
    <w:rsid w:val="000C6075"/>
    <w:rsid w:val="000C6371"/>
    <w:rsid w:val="000C7F1A"/>
    <w:rsid w:val="000D18DC"/>
    <w:rsid w:val="000D568F"/>
    <w:rsid w:val="000D7645"/>
    <w:rsid w:val="000E1B32"/>
    <w:rsid w:val="000E32C9"/>
    <w:rsid w:val="000E43DC"/>
    <w:rsid w:val="000E491B"/>
    <w:rsid w:val="000E4AA8"/>
    <w:rsid w:val="000E52BD"/>
    <w:rsid w:val="000E6091"/>
    <w:rsid w:val="000E6096"/>
    <w:rsid w:val="000E6331"/>
    <w:rsid w:val="000F16AA"/>
    <w:rsid w:val="000F176A"/>
    <w:rsid w:val="000F1CC9"/>
    <w:rsid w:val="000F2213"/>
    <w:rsid w:val="000F30CC"/>
    <w:rsid w:val="000F391C"/>
    <w:rsid w:val="000F482B"/>
    <w:rsid w:val="000F4BEC"/>
    <w:rsid w:val="000F593E"/>
    <w:rsid w:val="000F5FF0"/>
    <w:rsid w:val="001001A5"/>
    <w:rsid w:val="001035DF"/>
    <w:rsid w:val="00104A22"/>
    <w:rsid w:val="00104C5C"/>
    <w:rsid w:val="001066F1"/>
    <w:rsid w:val="00107F21"/>
    <w:rsid w:val="001103D7"/>
    <w:rsid w:val="00110AA3"/>
    <w:rsid w:val="00111819"/>
    <w:rsid w:val="0011194D"/>
    <w:rsid w:val="00112524"/>
    <w:rsid w:val="001125BF"/>
    <w:rsid w:val="00112BB6"/>
    <w:rsid w:val="00113FC9"/>
    <w:rsid w:val="00121660"/>
    <w:rsid w:val="0012297F"/>
    <w:rsid w:val="00122FAE"/>
    <w:rsid w:val="00124B08"/>
    <w:rsid w:val="00124E2D"/>
    <w:rsid w:val="001250D0"/>
    <w:rsid w:val="001254D3"/>
    <w:rsid w:val="00125E3E"/>
    <w:rsid w:val="001329C4"/>
    <w:rsid w:val="00132AB5"/>
    <w:rsid w:val="00135250"/>
    <w:rsid w:val="00136ABD"/>
    <w:rsid w:val="0014045A"/>
    <w:rsid w:val="001407F6"/>
    <w:rsid w:val="00143D04"/>
    <w:rsid w:val="00143E2B"/>
    <w:rsid w:val="0015271E"/>
    <w:rsid w:val="001528E5"/>
    <w:rsid w:val="001554C7"/>
    <w:rsid w:val="001578C2"/>
    <w:rsid w:val="00157C05"/>
    <w:rsid w:val="00161645"/>
    <w:rsid w:val="0016239E"/>
    <w:rsid w:val="00163AC1"/>
    <w:rsid w:val="00164405"/>
    <w:rsid w:val="00165AD0"/>
    <w:rsid w:val="00170376"/>
    <w:rsid w:val="001719EC"/>
    <w:rsid w:val="0017268B"/>
    <w:rsid w:val="00172A27"/>
    <w:rsid w:val="00173AC9"/>
    <w:rsid w:val="00174F15"/>
    <w:rsid w:val="00176391"/>
    <w:rsid w:val="001767A8"/>
    <w:rsid w:val="00176960"/>
    <w:rsid w:val="0018194D"/>
    <w:rsid w:val="00183E69"/>
    <w:rsid w:val="00183EEB"/>
    <w:rsid w:val="00184210"/>
    <w:rsid w:val="00184710"/>
    <w:rsid w:val="001864B0"/>
    <w:rsid w:val="00186A28"/>
    <w:rsid w:val="00187F68"/>
    <w:rsid w:val="00191EDB"/>
    <w:rsid w:val="00192A3E"/>
    <w:rsid w:val="00194E17"/>
    <w:rsid w:val="001960BE"/>
    <w:rsid w:val="001961B5"/>
    <w:rsid w:val="00197352"/>
    <w:rsid w:val="00197B98"/>
    <w:rsid w:val="001A0940"/>
    <w:rsid w:val="001A126D"/>
    <w:rsid w:val="001A4716"/>
    <w:rsid w:val="001A4F8F"/>
    <w:rsid w:val="001A648A"/>
    <w:rsid w:val="001A7846"/>
    <w:rsid w:val="001B0FEE"/>
    <w:rsid w:val="001B4A20"/>
    <w:rsid w:val="001B539D"/>
    <w:rsid w:val="001B53C1"/>
    <w:rsid w:val="001C08B0"/>
    <w:rsid w:val="001C2080"/>
    <w:rsid w:val="001C3A07"/>
    <w:rsid w:val="001C54FE"/>
    <w:rsid w:val="001C6A1E"/>
    <w:rsid w:val="001D06C5"/>
    <w:rsid w:val="001D1258"/>
    <w:rsid w:val="001D1F52"/>
    <w:rsid w:val="001D3224"/>
    <w:rsid w:val="001D365F"/>
    <w:rsid w:val="001D3B7E"/>
    <w:rsid w:val="001D5461"/>
    <w:rsid w:val="001D7E51"/>
    <w:rsid w:val="001E2993"/>
    <w:rsid w:val="001E2F12"/>
    <w:rsid w:val="001E4F32"/>
    <w:rsid w:val="001E6382"/>
    <w:rsid w:val="001E6909"/>
    <w:rsid w:val="001F07F7"/>
    <w:rsid w:val="001F2CAB"/>
    <w:rsid w:val="001F381D"/>
    <w:rsid w:val="001F4FBB"/>
    <w:rsid w:val="001F6C1F"/>
    <w:rsid w:val="001F707E"/>
    <w:rsid w:val="0020293C"/>
    <w:rsid w:val="002037CF"/>
    <w:rsid w:val="002101B3"/>
    <w:rsid w:val="002129E3"/>
    <w:rsid w:val="00213D21"/>
    <w:rsid w:val="00216844"/>
    <w:rsid w:val="00217474"/>
    <w:rsid w:val="00217C0F"/>
    <w:rsid w:val="00220225"/>
    <w:rsid w:val="002208C1"/>
    <w:rsid w:val="002213BF"/>
    <w:rsid w:val="0022374A"/>
    <w:rsid w:val="00223B03"/>
    <w:rsid w:val="00225E41"/>
    <w:rsid w:val="0022640C"/>
    <w:rsid w:val="0022711C"/>
    <w:rsid w:val="00227651"/>
    <w:rsid w:val="00230173"/>
    <w:rsid w:val="00230CE6"/>
    <w:rsid w:val="00233395"/>
    <w:rsid w:val="00233AFE"/>
    <w:rsid w:val="0023537E"/>
    <w:rsid w:val="00236969"/>
    <w:rsid w:val="00236E09"/>
    <w:rsid w:val="00237468"/>
    <w:rsid w:val="00237C42"/>
    <w:rsid w:val="002435D0"/>
    <w:rsid w:val="00243F8F"/>
    <w:rsid w:val="00245D2A"/>
    <w:rsid w:val="00246B99"/>
    <w:rsid w:val="00247343"/>
    <w:rsid w:val="002474A9"/>
    <w:rsid w:val="00251AB6"/>
    <w:rsid w:val="00251E45"/>
    <w:rsid w:val="00252167"/>
    <w:rsid w:val="00252999"/>
    <w:rsid w:val="0025308A"/>
    <w:rsid w:val="0025459E"/>
    <w:rsid w:val="00255D5D"/>
    <w:rsid w:val="0025601D"/>
    <w:rsid w:val="00257FF1"/>
    <w:rsid w:val="00261D69"/>
    <w:rsid w:val="00262267"/>
    <w:rsid w:val="00262F6F"/>
    <w:rsid w:val="002630BB"/>
    <w:rsid w:val="00263F00"/>
    <w:rsid w:val="002648D2"/>
    <w:rsid w:val="00264A68"/>
    <w:rsid w:val="00265244"/>
    <w:rsid w:val="00265E5D"/>
    <w:rsid w:val="002665F5"/>
    <w:rsid w:val="00266BCA"/>
    <w:rsid w:val="002709B3"/>
    <w:rsid w:val="00270B2B"/>
    <w:rsid w:val="002755FA"/>
    <w:rsid w:val="0027580D"/>
    <w:rsid w:val="00275F04"/>
    <w:rsid w:val="0028066C"/>
    <w:rsid w:val="00282E57"/>
    <w:rsid w:val="002833CF"/>
    <w:rsid w:val="00283675"/>
    <w:rsid w:val="00286D19"/>
    <w:rsid w:val="0029020D"/>
    <w:rsid w:val="0029022C"/>
    <w:rsid w:val="002911BF"/>
    <w:rsid w:val="002919F0"/>
    <w:rsid w:val="00293471"/>
    <w:rsid w:val="00294C77"/>
    <w:rsid w:val="00297B69"/>
    <w:rsid w:val="002A0397"/>
    <w:rsid w:val="002A0576"/>
    <w:rsid w:val="002A5490"/>
    <w:rsid w:val="002B02CF"/>
    <w:rsid w:val="002B26F0"/>
    <w:rsid w:val="002B31D4"/>
    <w:rsid w:val="002B370E"/>
    <w:rsid w:val="002B375E"/>
    <w:rsid w:val="002B5876"/>
    <w:rsid w:val="002B65F8"/>
    <w:rsid w:val="002B6923"/>
    <w:rsid w:val="002C0316"/>
    <w:rsid w:val="002C1045"/>
    <w:rsid w:val="002C10FD"/>
    <w:rsid w:val="002C1B7A"/>
    <w:rsid w:val="002C4449"/>
    <w:rsid w:val="002C5B74"/>
    <w:rsid w:val="002C6836"/>
    <w:rsid w:val="002C7F2B"/>
    <w:rsid w:val="002D2F75"/>
    <w:rsid w:val="002D5FAF"/>
    <w:rsid w:val="002D65B4"/>
    <w:rsid w:val="002E0FB6"/>
    <w:rsid w:val="002E1597"/>
    <w:rsid w:val="002E2816"/>
    <w:rsid w:val="002E3949"/>
    <w:rsid w:val="002E41DF"/>
    <w:rsid w:val="002E53CD"/>
    <w:rsid w:val="002E6DFA"/>
    <w:rsid w:val="002F1086"/>
    <w:rsid w:val="002F1557"/>
    <w:rsid w:val="002F3586"/>
    <w:rsid w:val="002F4D62"/>
    <w:rsid w:val="002F5093"/>
    <w:rsid w:val="002F5812"/>
    <w:rsid w:val="002F5EEF"/>
    <w:rsid w:val="002F62E5"/>
    <w:rsid w:val="003017D2"/>
    <w:rsid w:val="003055FB"/>
    <w:rsid w:val="00305F51"/>
    <w:rsid w:val="00306F4B"/>
    <w:rsid w:val="003075D9"/>
    <w:rsid w:val="003078AE"/>
    <w:rsid w:val="003131E0"/>
    <w:rsid w:val="00313530"/>
    <w:rsid w:val="00314EC1"/>
    <w:rsid w:val="00316847"/>
    <w:rsid w:val="00316C9A"/>
    <w:rsid w:val="003177D5"/>
    <w:rsid w:val="00317BBE"/>
    <w:rsid w:val="00321104"/>
    <w:rsid w:val="003220FF"/>
    <w:rsid w:val="003231A8"/>
    <w:rsid w:val="00325F74"/>
    <w:rsid w:val="00326131"/>
    <w:rsid w:val="00331597"/>
    <w:rsid w:val="00331AC1"/>
    <w:rsid w:val="00333506"/>
    <w:rsid w:val="00333E00"/>
    <w:rsid w:val="003340BB"/>
    <w:rsid w:val="00336B9E"/>
    <w:rsid w:val="00341803"/>
    <w:rsid w:val="00341CD5"/>
    <w:rsid w:val="003431D8"/>
    <w:rsid w:val="00343E1C"/>
    <w:rsid w:val="00344FF3"/>
    <w:rsid w:val="003454D6"/>
    <w:rsid w:val="0034652F"/>
    <w:rsid w:val="00347CE1"/>
    <w:rsid w:val="00350F6A"/>
    <w:rsid w:val="0035195C"/>
    <w:rsid w:val="00351A45"/>
    <w:rsid w:val="003540FC"/>
    <w:rsid w:val="00356617"/>
    <w:rsid w:val="0035698B"/>
    <w:rsid w:val="00357783"/>
    <w:rsid w:val="00357E3E"/>
    <w:rsid w:val="003607B2"/>
    <w:rsid w:val="003624B7"/>
    <w:rsid w:val="00362CFA"/>
    <w:rsid w:val="003657B2"/>
    <w:rsid w:val="00370451"/>
    <w:rsid w:val="00370BF4"/>
    <w:rsid w:val="0037133A"/>
    <w:rsid w:val="0037169E"/>
    <w:rsid w:val="00372DC7"/>
    <w:rsid w:val="0037313A"/>
    <w:rsid w:val="003754CD"/>
    <w:rsid w:val="00375B89"/>
    <w:rsid w:val="00375E24"/>
    <w:rsid w:val="00381F76"/>
    <w:rsid w:val="00383C9F"/>
    <w:rsid w:val="003846F7"/>
    <w:rsid w:val="00385D17"/>
    <w:rsid w:val="0038635F"/>
    <w:rsid w:val="00387CE1"/>
    <w:rsid w:val="003902F6"/>
    <w:rsid w:val="0039107A"/>
    <w:rsid w:val="003968A8"/>
    <w:rsid w:val="003A3CD7"/>
    <w:rsid w:val="003A4636"/>
    <w:rsid w:val="003A6A32"/>
    <w:rsid w:val="003A7D0A"/>
    <w:rsid w:val="003A7E30"/>
    <w:rsid w:val="003B01D1"/>
    <w:rsid w:val="003B2994"/>
    <w:rsid w:val="003B35D0"/>
    <w:rsid w:val="003B3C4B"/>
    <w:rsid w:val="003B6297"/>
    <w:rsid w:val="003C21D1"/>
    <w:rsid w:val="003C3995"/>
    <w:rsid w:val="003D00D2"/>
    <w:rsid w:val="003D0992"/>
    <w:rsid w:val="003D1370"/>
    <w:rsid w:val="003D1857"/>
    <w:rsid w:val="003D1F45"/>
    <w:rsid w:val="003D6FF0"/>
    <w:rsid w:val="003D7BDE"/>
    <w:rsid w:val="003E39B8"/>
    <w:rsid w:val="003E4DEA"/>
    <w:rsid w:val="003E5E95"/>
    <w:rsid w:val="003E61EF"/>
    <w:rsid w:val="003E699F"/>
    <w:rsid w:val="003E7F7A"/>
    <w:rsid w:val="003F2CFF"/>
    <w:rsid w:val="003F5BC7"/>
    <w:rsid w:val="003F6979"/>
    <w:rsid w:val="003F6A6B"/>
    <w:rsid w:val="003F71C9"/>
    <w:rsid w:val="003F7807"/>
    <w:rsid w:val="004010F1"/>
    <w:rsid w:val="0040154D"/>
    <w:rsid w:val="00402B2B"/>
    <w:rsid w:val="00404747"/>
    <w:rsid w:val="004071BD"/>
    <w:rsid w:val="0040799A"/>
    <w:rsid w:val="00410665"/>
    <w:rsid w:val="00410D92"/>
    <w:rsid w:val="00411390"/>
    <w:rsid w:val="00411C41"/>
    <w:rsid w:val="00412646"/>
    <w:rsid w:val="004157DD"/>
    <w:rsid w:val="00415899"/>
    <w:rsid w:val="004203D9"/>
    <w:rsid w:val="00420FC9"/>
    <w:rsid w:val="00421FE4"/>
    <w:rsid w:val="00422693"/>
    <w:rsid w:val="00422860"/>
    <w:rsid w:val="004250FD"/>
    <w:rsid w:val="00425882"/>
    <w:rsid w:val="00425B08"/>
    <w:rsid w:val="00430330"/>
    <w:rsid w:val="004303EC"/>
    <w:rsid w:val="004308A2"/>
    <w:rsid w:val="0043144E"/>
    <w:rsid w:val="0043336B"/>
    <w:rsid w:val="0043419B"/>
    <w:rsid w:val="004344E7"/>
    <w:rsid w:val="004408D3"/>
    <w:rsid w:val="00440A9C"/>
    <w:rsid w:val="0044180D"/>
    <w:rsid w:val="00442474"/>
    <w:rsid w:val="0044361E"/>
    <w:rsid w:val="00444A06"/>
    <w:rsid w:val="00445158"/>
    <w:rsid w:val="00446B28"/>
    <w:rsid w:val="004473FB"/>
    <w:rsid w:val="004517B3"/>
    <w:rsid w:val="0045181E"/>
    <w:rsid w:val="00454511"/>
    <w:rsid w:val="004558F5"/>
    <w:rsid w:val="0045590E"/>
    <w:rsid w:val="0045600B"/>
    <w:rsid w:val="00462D63"/>
    <w:rsid w:val="004668A0"/>
    <w:rsid w:val="00466D5A"/>
    <w:rsid w:val="004717A8"/>
    <w:rsid w:val="00475385"/>
    <w:rsid w:val="00475457"/>
    <w:rsid w:val="0047562B"/>
    <w:rsid w:val="00477B69"/>
    <w:rsid w:val="00480379"/>
    <w:rsid w:val="00480D77"/>
    <w:rsid w:val="0048396B"/>
    <w:rsid w:val="00484E7B"/>
    <w:rsid w:val="00485174"/>
    <w:rsid w:val="00485F8F"/>
    <w:rsid w:val="004867C3"/>
    <w:rsid w:val="00486EC6"/>
    <w:rsid w:val="00487CDA"/>
    <w:rsid w:val="004915E3"/>
    <w:rsid w:val="00491AED"/>
    <w:rsid w:val="00492B45"/>
    <w:rsid w:val="004933EB"/>
    <w:rsid w:val="004971EC"/>
    <w:rsid w:val="004978F0"/>
    <w:rsid w:val="00497DFC"/>
    <w:rsid w:val="004A0052"/>
    <w:rsid w:val="004A2306"/>
    <w:rsid w:val="004A263F"/>
    <w:rsid w:val="004A5230"/>
    <w:rsid w:val="004A7303"/>
    <w:rsid w:val="004B1497"/>
    <w:rsid w:val="004B159F"/>
    <w:rsid w:val="004B2831"/>
    <w:rsid w:val="004B4916"/>
    <w:rsid w:val="004B537E"/>
    <w:rsid w:val="004B6210"/>
    <w:rsid w:val="004B69BC"/>
    <w:rsid w:val="004B6CA6"/>
    <w:rsid w:val="004B7FE0"/>
    <w:rsid w:val="004C1305"/>
    <w:rsid w:val="004C133A"/>
    <w:rsid w:val="004C1FC5"/>
    <w:rsid w:val="004C2A6E"/>
    <w:rsid w:val="004C39A0"/>
    <w:rsid w:val="004C4F96"/>
    <w:rsid w:val="004D009E"/>
    <w:rsid w:val="004D154F"/>
    <w:rsid w:val="004D2588"/>
    <w:rsid w:val="004D32AF"/>
    <w:rsid w:val="004D433B"/>
    <w:rsid w:val="004D5994"/>
    <w:rsid w:val="004E0781"/>
    <w:rsid w:val="004E15C8"/>
    <w:rsid w:val="004E257E"/>
    <w:rsid w:val="004E32CB"/>
    <w:rsid w:val="004E3BD5"/>
    <w:rsid w:val="004E5C25"/>
    <w:rsid w:val="004F2721"/>
    <w:rsid w:val="004F2BA7"/>
    <w:rsid w:val="004F434B"/>
    <w:rsid w:val="00500E9B"/>
    <w:rsid w:val="005016D9"/>
    <w:rsid w:val="00501938"/>
    <w:rsid w:val="00501BE2"/>
    <w:rsid w:val="0050253D"/>
    <w:rsid w:val="00502629"/>
    <w:rsid w:val="00503149"/>
    <w:rsid w:val="0050344A"/>
    <w:rsid w:val="00505C2A"/>
    <w:rsid w:val="0051021B"/>
    <w:rsid w:val="005102E2"/>
    <w:rsid w:val="00512491"/>
    <w:rsid w:val="00512C2F"/>
    <w:rsid w:val="00513CBD"/>
    <w:rsid w:val="005148B8"/>
    <w:rsid w:val="00514B93"/>
    <w:rsid w:val="00515415"/>
    <w:rsid w:val="005168BD"/>
    <w:rsid w:val="00516C3E"/>
    <w:rsid w:val="00516FFD"/>
    <w:rsid w:val="00521137"/>
    <w:rsid w:val="00521C37"/>
    <w:rsid w:val="00521ED6"/>
    <w:rsid w:val="00524547"/>
    <w:rsid w:val="00525E4A"/>
    <w:rsid w:val="00526C0A"/>
    <w:rsid w:val="00527955"/>
    <w:rsid w:val="005310E4"/>
    <w:rsid w:val="00531EB9"/>
    <w:rsid w:val="0053343F"/>
    <w:rsid w:val="00533F51"/>
    <w:rsid w:val="00536251"/>
    <w:rsid w:val="005375CE"/>
    <w:rsid w:val="005378DE"/>
    <w:rsid w:val="00537C42"/>
    <w:rsid w:val="00537C5E"/>
    <w:rsid w:val="005406AC"/>
    <w:rsid w:val="00541231"/>
    <w:rsid w:val="00541D29"/>
    <w:rsid w:val="005429C0"/>
    <w:rsid w:val="00542E0D"/>
    <w:rsid w:val="0054483D"/>
    <w:rsid w:val="00546C36"/>
    <w:rsid w:val="00550DF3"/>
    <w:rsid w:val="0055311C"/>
    <w:rsid w:val="00553823"/>
    <w:rsid w:val="00557AA1"/>
    <w:rsid w:val="005645D3"/>
    <w:rsid w:val="005663BA"/>
    <w:rsid w:val="00566CBB"/>
    <w:rsid w:val="00570504"/>
    <w:rsid w:val="00571348"/>
    <w:rsid w:val="005731EA"/>
    <w:rsid w:val="00580C31"/>
    <w:rsid w:val="00583A49"/>
    <w:rsid w:val="00586652"/>
    <w:rsid w:val="00586F11"/>
    <w:rsid w:val="005870EE"/>
    <w:rsid w:val="00587496"/>
    <w:rsid w:val="005908C3"/>
    <w:rsid w:val="005943B0"/>
    <w:rsid w:val="005963E8"/>
    <w:rsid w:val="005A18A4"/>
    <w:rsid w:val="005A4766"/>
    <w:rsid w:val="005A5A61"/>
    <w:rsid w:val="005A6846"/>
    <w:rsid w:val="005A6D8B"/>
    <w:rsid w:val="005A7181"/>
    <w:rsid w:val="005A76E5"/>
    <w:rsid w:val="005A7E4B"/>
    <w:rsid w:val="005B0FA4"/>
    <w:rsid w:val="005B1105"/>
    <w:rsid w:val="005B1829"/>
    <w:rsid w:val="005B5D00"/>
    <w:rsid w:val="005C00AC"/>
    <w:rsid w:val="005C057B"/>
    <w:rsid w:val="005C215F"/>
    <w:rsid w:val="005C42CA"/>
    <w:rsid w:val="005C4345"/>
    <w:rsid w:val="005C43DA"/>
    <w:rsid w:val="005C466D"/>
    <w:rsid w:val="005C7869"/>
    <w:rsid w:val="005C789B"/>
    <w:rsid w:val="005D135A"/>
    <w:rsid w:val="005D2F52"/>
    <w:rsid w:val="005D46F6"/>
    <w:rsid w:val="005D4E6B"/>
    <w:rsid w:val="005E117E"/>
    <w:rsid w:val="005E12B4"/>
    <w:rsid w:val="005E150E"/>
    <w:rsid w:val="005E3225"/>
    <w:rsid w:val="005E7B12"/>
    <w:rsid w:val="005F0E8B"/>
    <w:rsid w:val="005F3BA0"/>
    <w:rsid w:val="005F5262"/>
    <w:rsid w:val="005F65A7"/>
    <w:rsid w:val="00600DF2"/>
    <w:rsid w:val="00601283"/>
    <w:rsid w:val="006016E0"/>
    <w:rsid w:val="006041BB"/>
    <w:rsid w:val="0060469C"/>
    <w:rsid w:val="00605AAE"/>
    <w:rsid w:val="00606612"/>
    <w:rsid w:val="006069DE"/>
    <w:rsid w:val="00607BFD"/>
    <w:rsid w:val="00612D7E"/>
    <w:rsid w:val="00613137"/>
    <w:rsid w:val="006140F3"/>
    <w:rsid w:val="00616EC6"/>
    <w:rsid w:val="00622BA2"/>
    <w:rsid w:val="00623C53"/>
    <w:rsid w:val="00632592"/>
    <w:rsid w:val="00633632"/>
    <w:rsid w:val="006341BD"/>
    <w:rsid w:val="00634482"/>
    <w:rsid w:val="006347BE"/>
    <w:rsid w:val="006356C4"/>
    <w:rsid w:val="00636A59"/>
    <w:rsid w:val="00636C1F"/>
    <w:rsid w:val="00641FD5"/>
    <w:rsid w:val="0064263E"/>
    <w:rsid w:val="0064298F"/>
    <w:rsid w:val="006452D5"/>
    <w:rsid w:val="006456C7"/>
    <w:rsid w:val="0064587D"/>
    <w:rsid w:val="0064701C"/>
    <w:rsid w:val="00650E10"/>
    <w:rsid w:val="006523A9"/>
    <w:rsid w:val="00653FC4"/>
    <w:rsid w:val="00655645"/>
    <w:rsid w:val="006558D7"/>
    <w:rsid w:val="00655CB3"/>
    <w:rsid w:val="006570F0"/>
    <w:rsid w:val="00662357"/>
    <w:rsid w:val="00664D6E"/>
    <w:rsid w:val="006661A4"/>
    <w:rsid w:val="0066764A"/>
    <w:rsid w:val="00675735"/>
    <w:rsid w:val="00675E52"/>
    <w:rsid w:val="00680072"/>
    <w:rsid w:val="006800A2"/>
    <w:rsid w:val="00680CC4"/>
    <w:rsid w:val="00680EEC"/>
    <w:rsid w:val="0068128E"/>
    <w:rsid w:val="00682704"/>
    <w:rsid w:val="0068367F"/>
    <w:rsid w:val="00683887"/>
    <w:rsid w:val="00683DDF"/>
    <w:rsid w:val="00687999"/>
    <w:rsid w:val="00687CA2"/>
    <w:rsid w:val="00692203"/>
    <w:rsid w:val="00692295"/>
    <w:rsid w:val="006963BB"/>
    <w:rsid w:val="00696EEA"/>
    <w:rsid w:val="00696FEF"/>
    <w:rsid w:val="006A0741"/>
    <w:rsid w:val="006A0B45"/>
    <w:rsid w:val="006A2E67"/>
    <w:rsid w:val="006A3DC1"/>
    <w:rsid w:val="006A5644"/>
    <w:rsid w:val="006A71EB"/>
    <w:rsid w:val="006B5846"/>
    <w:rsid w:val="006B5B45"/>
    <w:rsid w:val="006C00E7"/>
    <w:rsid w:val="006C1EAB"/>
    <w:rsid w:val="006C302B"/>
    <w:rsid w:val="006C32BC"/>
    <w:rsid w:val="006C4663"/>
    <w:rsid w:val="006C4830"/>
    <w:rsid w:val="006C4988"/>
    <w:rsid w:val="006C4D2A"/>
    <w:rsid w:val="006C6F73"/>
    <w:rsid w:val="006C790A"/>
    <w:rsid w:val="006C7F40"/>
    <w:rsid w:val="006D2A8C"/>
    <w:rsid w:val="006D31D8"/>
    <w:rsid w:val="006D3608"/>
    <w:rsid w:val="006D560A"/>
    <w:rsid w:val="006D5E9A"/>
    <w:rsid w:val="006D7125"/>
    <w:rsid w:val="006D7B83"/>
    <w:rsid w:val="006E016E"/>
    <w:rsid w:val="006E0460"/>
    <w:rsid w:val="006E1173"/>
    <w:rsid w:val="006E1550"/>
    <w:rsid w:val="006E2F2B"/>
    <w:rsid w:val="006E4563"/>
    <w:rsid w:val="006E5465"/>
    <w:rsid w:val="006E79D8"/>
    <w:rsid w:val="006F0BA8"/>
    <w:rsid w:val="006F1A60"/>
    <w:rsid w:val="006F24AE"/>
    <w:rsid w:val="006F2F80"/>
    <w:rsid w:val="006F7B0F"/>
    <w:rsid w:val="007003EF"/>
    <w:rsid w:val="007016FA"/>
    <w:rsid w:val="00701C96"/>
    <w:rsid w:val="00701E8B"/>
    <w:rsid w:val="007070E3"/>
    <w:rsid w:val="00707567"/>
    <w:rsid w:val="00707D15"/>
    <w:rsid w:val="007101F0"/>
    <w:rsid w:val="00711349"/>
    <w:rsid w:val="007125F7"/>
    <w:rsid w:val="00712A8E"/>
    <w:rsid w:val="007142FE"/>
    <w:rsid w:val="007201FE"/>
    <w:rsid w:val="00721A8E"/>
    <w:rsid w:val="00722FDD"/>
    <w:rsid w:val="00726CCC"/>
    <w:rsid w:val="00727554"/>
    <w:rsid w:val="00727725"/>
    <w:rsid w:val="00730AB1"/>
    <w:rsid w:val="00731E6E"/>
    <w:rsid w:val="0073357F"/>
    <w:rsid w:val="00733B6B"/>
    <w:rsid w:val="00735BA5"/>
    <w:rsid w:val="007430D5"/>
    <w:rsid w:val="007440E6"/>
    <w:rsid w:val="007445DB"/>
    <w:rsid w:val="00746361"/>
    <w:rsid w:val="00751B58"/>
    <w:rsid w:val="007570BB"/>
    <w:rsid w:val="00757139"/>
    <w:rsid w:val="00757B02"/>
    <w:rsid w:val="00757D5E"/>
    <w:rsid w:val="007613AA"/>
    <w:rsid w:val="0076140A"/>
    <w:rsid w:val="007615A8"/>
    <w:rsid w:val="00761E7F"/>
    <w:rsid w:val="007629D1"/>
    <w:rsid w:val="00762A6E"/>
    <w:rsid w:val="00762B56"/>
    <w:rsid w:val="0076380F"/>
    <w:rsid w:val="007641FC"/>
    <w:rsid w:val="00772A80"/>
    <w:rsid w:val="00772B2F"/>
    <w:rsid w:val="0077586D"/>
    <w:rsid w:val="007762EB"/>
    <w:rsid w:val="0077631B"/>
    <w:rsid w:val="00776339"/>
    <w:rsid w:val="007766FA"/>
    <w:rsid w:val="00776803"/>
    <w:rsid w:val="00780465"/>
    <w:rsid w:val="00781400"/>
    <w:rsid w:val="00781E90"/>
    <w:rsid w:val="007843B7"/>
    <w:rsid w:val="007849C7"/>
    <w:rsid w:val="007853B4"/>
    <w:rsid w:val="007856C6"/>
    <w:rsid w:val="007859FF"/>
    <w:rsid w:val="007879CE"/>
    <w:rsid w:val="0079150F"/>
    <w:rsid w:val="00792A70"/>
    <w:rsid w:val="00793B9D"/>
    <w:rsid w:val="007953B5"/>
    <w:rsid w:val="007955C2"/>
    <w:rsid w:val="00795641"/>
    <w:rsid w:val="00795A90"/>
    <w:rsid w:val="00796EBA"/>
    <w:rsid w:val="007977A7"/>
    <w:rsid w:val="007A1658"/>
    <w:rsid w:val="007A1958"/>
    <w:rsid w:val="007A1D16"/>
    <w:rsid w:val="007A3596"/>
    <w:rsid w:val="007A4884"/>
    <w:rsid w:val="007A4D8F"/>
    <w:rsid w:val="007A6D2B"/>
    <w:rsid w:val="007A7855"/>
    <w:rsid w:val="007B08DC"/>
    <w:rsid w:val="007B12C5"/>
    <w:rsid w:val="007B1BA5"/>
    <w:rsid w:val="007B2AB1"/>
    <w:rsid w:val="007B346A"/>
    <w:rsid w:val="007B35CD"/>
    <w:rsid w:val="007B5F41"/>
    <w:rsid w:val="007B6CDF"/>
    <w:rsid w:val="007C0815"/>
    <w:rsid w:val="007C65DA"/>
    <w:rsid w:val="007C7FA8"/>
    <w:rsid w:val="007D0A31"/>
    <w:rsid w:val="007D24C3"/>
    <w:rsid w:val="007D37E0"/>
    <w:rsid w:val="007D4361"/>
    <w:rsid w:val="007D5328"/>
    <w:rsid w:val="007D7A74"/>
    <w:rsid w:val="007E0353"/>
    <w:rsid w:val="007E0429"/>
    <w:rsid w:val="007E0FF7"/>
    <w:rsid w:val="007E2F17"/>
    <w:rsid w:val="007E3F23"/>
    <w:rsid w:val="007E5B91"/>
    <w:rsid w:val="007E5CB9"/>
    <w:rsid w:val="007E7604"/>
    <w:rsid w:val="007F13DC"/>
    <w:rsid w:val="007F2B6C"/>
    <w:rsid w:val="007F31E8"/>
    <w:rsid w:val="007F396F"/>
    <w:rsid w:val="007F3ED7"/>
    <w:rsid w:val="007F4318"/>
    <w:rsid w:val="007F6762"/>
    <w:rsid w:val="007F6E1F"/>
    <w:rsid w:val="00800A7E"/>
    <w:rsid w:val="00805E84"/>
    <w:rsid w:val="00805F43"/>
    <w:rsid w:val="00806E8B"/>
    <w:rsid w:val="00807D52"/>
    <w:rsid w:val="00810596"/>
    <w:rsid w:val="00810FFE"/>
    <w:rsid w:val="008124F0"/>
    <w:rsid w:val="00813DB9"/>
    <w:rsid w:val="00813DCB"/>
    <w:rsid w:val="00816185"/>
    <w:rsid w:val="0082125B"/>
    <w:rsid w:val="00822DF5"/>
    <w:rsid w:val="00823323"/>
    <w:rsid w:val="0082401D"/>
    <w:rsid w:val="008243F8"/>
    <w:rsid w:val="00825E3B"/>
    <w:rsid w:val="0082654D"/>
    <w:rsid w:val="008266E0"/>
    <w:rsid w:val="00830EE4"/>
    <w:rsid w:val="00831DEF"/>
    <w:rsid w:val="0083589C"/>
    <w:rsid w:val="00836907"/>
    <w:rsid w:val="00841A10"/>
    <w:rsid w:val="0084235F"/>
    <w:rsid w:val="00843954"/>
    <w:rsid w:val="008467BB"/>
    <w:rsid w:val="00846FC1"/>
    <w:rsid w:val="00847436"/>
    <w:rsid w:val="00850495"/>
    <w:rsid w:val="00851796"/>
    <w:rsid w:val="00852CCF"/>
    <w:rsid w:val="008558B2"/>
    <w:rsid w:val="008565D1"/>
    <w:rsid w:val="0086075E"/>
    <w:rsid w:val="0086079C"/>
    <w:rsid w:val="00860B96"/>
    <w:rsid w:val="00860FA0"/>
    <w:rsid w:val="00872CE0"/>
    <w:rsid w:val="00873855"/>
    <w:rsid w:val="00873C76"/>
    <w:rsid w:val="00875591"/>
    <w:rsid w:val="00877B25"/>
    <w:rsid w:val="008805E7"/>
    <w:rsid w:val="00881ED8"/>
    <w:rsid w:val="00882D14"/>
    <w:rsid w:val="0088422D"/>
    <w:rsid w:val="008852B8"/>
    <w:rsid w:val="00885CBF"/>
    <w:rsid w:val="0088661C"/>
    <w:rsid w:val="0088675E"/>
    <w:rsid w:val="00886B1B"/>
    <w:rsid w:val="00887F44"/>
    <w:rsid w:val="00890DD2"/>
    <w:rsid w:val="008922A1"/>
    <w:rsid w:val="00895A14"/>
    <w:rsid w:val="0089703C"/>
    <w:rsid w:val="008A056B"/>
    <w:rsid w:val="008A08B7"/>
    <w:rsid w:val="008A0CD5"/>
    <w:rsid w:val="008A0CEB"/>
    <w:rsid w:val="008A1349"/>
    <w:rsid w:val="008A3D3C"/>
    <w:rsid w:val="008A680F"/>
    <w:rsid w:val="008A6DB1"/>
    <w:rsid w:val="008B0560"/>
    <w:rsid w:val="008B347B"/>
    <w:rsid w:val="008B3CF6"/>
    <w:rsid w:val="008B73D9"/>
    <w:rsid w:val="008C0317"/>
    <w:rsid w:val="008C1A74"/>
    <w:rsid w:val="008C2124"/>
    <w:rsid w:val="008C4238"/>
    <w:rsid w:val="008C54D0"/>
    <w:rsid w:val="008C5917"/>
    <w:rsid w:val="008C6391"/>
    <w:rsid w:val="008D26E4"/>
    <w:rsid w:val="008D29B0"/>
    <w:rsid w:val="008D2CD8"/>
    <w:rsid w:val="008D2FB6"/>
    <w:rsid w:val="008D31FB"/>
    <w:rsid w:val="008D35A7"/>
    <w:rsid w:val="008D4BC1"/>
    <w:rsid w:val="008D5D99"/>
    <w:rsid w:val="008D6FBF"/>
    <w:rsid w:val="008D7515"/>
    <w:rsid w:val="008E19F1"/>
    <w:rsid w:val="008E4A4A"/>
    <w:rsid w:val="008E6337"/>
    <w:rsid w:val="008F04E8"/>
    <w:rsid w:val="008F0CB3"/>
    <w:rsid w:val="008F1AA0"/>
    <w:rsid w:val="008F3BCA"/>
    <w:rsid w:val="008F5420"/>
    <w:rsid w:val="008F6B0B"/>
    <w:rsid w:val="008F7FC7"/>
    <w:rsid w:val="00900712"/>
    <w:rsid w:val="00902445"/>
    <w:rsid w:val="00902DB9"/>
    <w:rsid w:val="0090359C"/>
    <w:rsid w:val="00905B73"/>
    <w:rsid w:val="009060B1"/>
    <w:rsid w:val="00906A06"/>
    <w:rsid w:val="00906CF9"/>
    <w:rsid w:val="009075E7"/>
    <w:rsid w:val="00907D95"/>
    <w:rsid w:val="009111F7"/>
    <w:rsid w:val="009115A3"/>
    <w:rsid w:val="00914050"/>
    <w:rsid w:val="00917164"/>
    <w:rsid w:val="0091768E"/>
    <w:rsid w:val="00917A39"/>
    <w:rsid w:val="00920905"/>
    <w:rsid w:val="0092098F"/>
    <w:rsid w:val="00923C4C"/>
    <w:rsid w:val="0092759C"/>
    <w:rsid w:val="00927881"/>
    <w:rsid w:val="00930024"/>
    <w:rsid w:val="00932194"/>
    <w:rsid w:val="00932299"/>
    <w:rsid w:val="00935773"/>
    <w:rsid w:val="0093628C"/>
    <w:rsid w:val="00936515"/>
    <w:rsid w:val="00936BAD"/>
    <w:rsid w:val="0093772E"/>
    <w:rsid w:val="00937DE9"/>
    <w:rsid w:val="00940E4C"/>
    <w:rsid w:val="009431CE"/>
    <w:rsid w:val="00944EDB"/>
    <w:rsid w:val="00946ECC"/>
    <w:rsid w:val="00947D6F"/>
    <w:rsid w:val="009510D2"/>
    <w:rsid w:val="00951A22"/>
    <w:rsid w:val="00952A37"/>
    <w:rsid w:val="0095360A"/>
    <w:rsid w:val="00953E22"/>
    <w:rsid w:val="00954432"/>
    <w:rsid w:val="00954627"/>
    <w:rsid w:val="00955FF1"/>
    <w:rsid w:val="009604A2"/>
    <w:rsid w:val="0096296D"/>
    <w:rsid w:val="00963A1D"/>
    <w:rsid w:val="00964F91"/>
    <w:rsid w:val="00965D3C"/>
    <w:rsid w:val="009704E8"/>
    <w:rsid w:val="00970DDF"/>
    <w:rsid w:val="00970F1E"/>
    <w:rsid w:val="00972165"/>
    <w:rsid w:val="0097237A"/>
    <w:rsid w:val="00974407"/>
    <w:rsid w:val="00976C9F"/>
    <w:rsid w:val="00977EA2"/>
    <w:rsid w:val="00981174"/>
    <w:rsid w:val="009815D1"/>
    <w:rsid w:val="009847F2"/>
    <w:rsid w:val="009858E4"/>
    <w:rsid w:val="00986FC8"/>
    <w:rsid w:val="0099205D"/>
    <w:rsid w:val="009925D3"/>
    <w:rsid w:val="009931BD"/>
    <w:rsid w:val="0099391B"/>
    <w:rsid w:val="00993E75"/>
    <w:rsid w:val="009961AF"/>
    <w:rsid w:val="0099730B"/>
    <w:rsid w:val="00997ED7"/>
    <w:rsid w:val="009A1782"/>
    <w:rsid w:val="009A19B4"/>
    <w:rsid w:val="009A2F0C"/>
    <w:rsid w:val="009A559F"/>
    <w:rsid w:val="009A7CB1"/>
    <w:rsid w:val="009B01ED"/>
    <w:rsid w:val="009B45E1"/>
    <w:rsid w:val="009B6FBD"/>
    <w:rsid w:val="009B7144"/>
    <w:rsid w:val="009C33FD"/>
    <w:rsid w:val="009C6566"/>
    <w:rsid w:val="009C7E5E"/>
    <w:rsid w:val="009D2DB8"/>
    <w:rsid w:val="009D3468"/>
    <w:rsid w:val="009D3B7C"/>
    <w:rsid w:val="009D3E23"/>
    <w:rsid w:val="009E310B"/>
    <w:rsid w:val="009E4142"/>
    <w:rsid w:val="009E57FA"/>
    <w:rsid w:val="009E6755"/>
    <w:rsid w:val="009E7274"/>
    <w:rsid w:val="009F0877"/>
    <w:rsid w:val="009F0EF5"/>
    <w:rsid w:val="009F2E9F"/>
    <w:rsid w:val="009F3F85"/>
    <w:rsid w:val="009F481A"/>
    <w:rsid w:val="009F54AB"/>
    <w:rsid w:val="00A00F85"/>
    <w:rsid w:val="00A019F9"/>
    <w:rsid w:val="00A02D05"/>
    <w:rsid w:val="00A05776"/>
    <w:rsid w:val="00A07FD5"/>
    <w:rsid w:val="00A13A4E"/>
    <w:rsid w:val="00A1508E"/>
    <w:rsid w:val="00A173AB"/>
    <w:rsid w:val="00A216BD"/>
    <w:rsid w:val="00A22FA7"/>
    <w:rsid w:val="00A25999"/>
    <w:rsid w:val="00A2600F"/>
    <w:rsid w:val="00A26A5F"/>
    <w:rsid w:val="00A26C9F"/>
    <w:rsid w:val="00A27800"/>
    <w:rsid w:val="00A31F76"/>
    <w:rsid w:val="00A320B9"/>
    <w:rsid w:val="00A331D1"/>
    <w:rsid w:val="00A33344"/>
    <w:rsid w:val="00A336ED"/>
    <w:rsid w:val="00A33DAC"/>
    <w:rsid w:val="00A348D5"/>
    <w:rsid w:val="00A34F48"/>
    <w:rsid w:val="00A36EAF"/>
    <w:rsid w:val="00A40483"/>
    <w:rsid w:val="00A42D9F"/>
    <w:rsid w:val="00A43B02"/>
    <w:rsid w:val="00A43BFA"/>
    <w:rsid w:val="00A44428"/>
    <w:rsid w:val="00A44532"/>
    <w:rsid w:val="00A44F37"/>
    <w:rsid w:val="00A52466"/>
    <w:rsid w:val="00A52485"/>
    <w:rsid w:val="00A52858"/>
    <w:rsid w:val="00A54176"/>
    <w:rsid w:val="00A60309"/>
    <w:rsid w:val="00A6188F"/>
    <w:rsid w:val="00A646A6"/>
    <w:rsid w:val="00A64C89"/>
    <w:rsid w:val="00A66086"/>
    <w:rsid w:val="00A70CFF"/>
    <w:rsid w:val="00A70ECB"/>
    <w:rsid w:val="00A715A9"/>
    <w:rsid w:val="00A7491D"/>
    <w:rsid w:val="00A7593E"/>
    <w:rsid w:val="00A76E93"/>
    <w:rsid w:val="00A770E3"/>
    <w:rsid w:val="00A80C44"/>
    <w:rsid w:val="00A80F41"/>
    <w:rsid w:val="00A84CC4"/>
    <w:rsid w:val="00A85534"/>
    <w:rsid w:val="00A85AFE"/>
    <w:rsid w:val="00A87965"/>
    <w:rsid w:val="00A926AD"/>
    <w:rsid w:val="00A9327B"/>
    <w:rsid w:val="00A96FAC"/>
    <w:rsid w:val="00A97379"/>
    <w:rsid w:val="00AA135C"/>
    <w:rsid w:val="00AA1511"/>
    <w:rsid w:val="00AA178F"/>
    <w:rsid w:val="00AA29D5"/>
    <w:rsid w:val="00AA3559"/>
    <w:rsid w:val="00AA3A39"/>
    <w:rsid w:val="00AA3DB5"/>
    <w:rsid w:val="00AA3EA9"/>
    <w:rsid w:val="00AA5FAE"/>
    <w:rsid w:val="00AA695F"/>
    <w:rsid w:val="00AA7A5C"/>
    <w:rsid w:val="00AB14D0"/>
    <w:rsid w:val="00AB2CBD"/>
    <w:rsid w:val="00AB3539"/>
    <w:rsid w:val="00AB35C0"/>
    <w:rsid w:val="00AB3AD7"/>
    <w:rsid w:val="00AB3FB5"/>
    <w:rsid w:val="00AB43B6"/>
    <w:rsid w:val="00AB49FE"/>
    <w:rsid w:val="00AB5BF1"/>
    <w:rsid w:val="00AB65A4"/>
    <w:rsid w:val="00AB6BE9"/>
    <w:rsid w:val="00AC0D4B"/>
    <w:rsid w:val="00AC34CB"/>
    <w:rsid w:val="00AC4D6E"/>
    <w:rsid w:val="00AC5DAD"/>
    <w:rsid w:val="00AC76E8"/>
    <w:rsid w:val="00AC7E13"/>
    <w:rsid w:val="00AD13BD"/>
    <w:rsid w:val="00AD2BD6"/>
    <w:rsid w:val="00AD5E85"/>
    <w:rsid w:val="00AE009D"/>
    <w:rsid w:val="00AE242B"/>
    <w:rsid w:val="00AE317A"/>
    <w:rsid w:val="00AE3828"/>
    <w:rsid w:val="00AE4552"/>
    <w:rsid w:val="00AE5610"/>
    <w:rsid w:val="00AE6D6B"/>
    <w:rsid w:val="00AE7E8A"/>
    <w:rsid w:val="00AF0EB0"/>
    <w:rsid w:val="00AF34DE"/>
    <w:rsid w:val="00AF54C3"/>
    <w:rsid w:val="00AF6446"/>
    <w:rsid w:val="00AF6737"/>
    <w:rsid w:val="00AF6910"/>
    <w:rsid w:val="00AF7733"/>
    <w:rsid w:val="00B0025D"/>
    <w:rsid w:val="00B002A3"/>
    <w:rsid w:val="00B00575"/>
    <w:rsid w:val="00B00DDD"/>
    <w:rsid w:val="00B01DC4"/>
    <w:rsid w:val="00B03427"/>
    <w:rsid w:val="00B0596B"/>
    <w:rsid w:val="00B07024"/>
    <w:rsid w:val="00B10447"/>
    <w:rsid w:val="00B1258F"/>
    <w:rsid w:val="00B15773"/>
    <w:rsid w:val="00B17150"/>
    <w:rsid w:val="00B20D2D"/>
    <w:rsid w:val="00B20DE3"/>
    <w:rsid w:val="00B22041"/>
    <w:rsid w:val="00B24A51"/>
    <w:rsid w:val="00B31094"/>
    <w:rsid w:val="00B332F8"/>
    <w:rsid w:val="00B40E48"/>
    <w:rsid w:val="00B42056"/>
    <w:rsid w:val="00B44B63"/>
    <w:rsid w:val="00B4651A"/>
    <w:rsid w:val="00B46AE5"/>
    <w:rsid w:val="00B47211"/>
    <w:rsid w:val="00B477F3"/>
    <w:rsid w:val="00B479A2"/>
    <w:rsid w:val="00B47EE6"/>
    <w:rsid w:val="00B50086"/>
    <w:rsid w:val="00B50125"/>
    <w:rsid w:val="00B50C51"/>
    <w:rsid w:val="00B52479"/>
    <w:rsid w:val="00B54805"/>
    <w:rsid w:val="00B54C95"/>
    <w:rsid w:val="00B55FC2"/>
    <w:rsid w:val="00B57186"/>
    <w:rsid w:val="00B57EE1"/>
    <w:rsid w:val="00B60C55"/>
    <w:rsid w:val="00B60E89"/>
    <w:rsid w:val="00B61D5E"/>
    <w:rsid w:val="00B6252D"/>
    <w:rsid w:val="00B66F07"/>
    <w:rsid w:val="00B70BAA"/>
    <w:rsid w:val="00B718DB"/>
    <w:rsid w:val="00B72FFB"/>
    <w:rsid w:val="00B7368D"/>
    <w:rsid w:val="00B744BA"/>
    <w:rsid w:val="00B74E30"/>
    <w:rsid w:val="00B75329"/>
    <w:rsid w:val="00B80901"/>
    <w:rsid w:val="00B82429"/>
    <w:rsid w:val="00B82C14"/>
    <w:rsid w:val="00B83E7A"/>
    <w:rsid w:val="00B86553"/>
    <w:rsid w:val="00B92BBF"/>
    <w:rsid w:val="00B92E0E"/>
    <w:rsid w:val="00B931E9"/>
    <w:rsid w:val="00B9347F"/>
    <w:rsid w:val="00B94513"/>
    <w:rsid w:val="00B94DDB"/>
    <w:rsid w:val="00B95730"/>
    <w:rsid w:val="00B95CBD"/>
    <w:rsid w:val="00B964E1"/>
    <w:rsid w:val="00B966B5"/>
    <w:rsid w:val="00B972D6"/>
    <w:rsid w:val="00BA0493"/>
    <w:rsid w:val="00BA1648"/>
    <w:rsid w:val="00BA22E6"/>
    <w:rsid w:val="00BA2364"/>
    <w:rsid w:val="00BA23A2"/>
    <w:rsid w:val="00BA33A9"/>
    <w:rsid w:val="00BA4C26"/>
    <w:rsid w:val="00BA4E65"/>
    <w:rsid w:val="00BA6068"/>
    <w:rsid w:val="00BB33E0"/>
    <w:rsid w:val="00BB7EE0"/>
    <w:rsid w:val="00BC1092"/>
    <w:rsid w:val="00BC1F99"/>
    <w:rsid w:val="00BC2045"/>
    <w:rsid w:val="00BC2624"/>
    <w:rsid w:val="00BC4871"/>
    <w:rsid w:val="00BC4D5D"/>
    <w:rsid w:val="00BC7CD5"/>
    <w:rsid w:val="00BD1012"/>
    <w:rsid w:val="00BD2884"/>
    <w:rsid w:val="00BD39A0"/>
    <w:rsid w:val="00BD4366"/>
    <w:rsid w:val="00BD4933"/>
    <w:rsid w:val="00BD4EB2"/>
    <w:rsid w:val="00BD5097"/>
    <w:rsid w:val="00BD5761"/>
    <w:rsid w:val="00BD6D76"/>
    <w:rsid w:val="00BD7D77"/>
    <w:rsid w:val="00BE1321"/>
    <w:rsid w:val="00BE1950"/>
    <w:rsid w:val="00BE1DD6"/>
    <w:rsid w:val="00BE200A"/>
    <w:rsid w:val="00BE3C20"/>
    <w:rsid w:val="00BE4B8F"/>
    <w:rsid w:val="00BE7B06"/>
    <w:rsid w:val="00BF155C"/>
    <w:rsid w:val="00BF17DF"/>
    <w:rsid w:val="00BF312A"/>
    <w:rsid w:val="00BF4212"/>
    <w:rsid w:val="00C0541C"/>
    <w:rsid w:val="00C06066"/>
    <w:rsid w:val="00C067F0"/>
    <w:rsid w:val="00C10672"/>
    <w:rsid w:val="00C11047"/>
    <w:rsid w:val="00C11DF3"/>
    <w:rsid w:val="00C11EC1"/>
    <w:rsid w:val="00C12450"/>
    <w:rsid w:val="00C12B2C"/>
    <w:rsid w:val="00C143C7"/>
    <w:rsid w:val="00C15C6F"/>
    <w:rsid w:val="00C165A1"/>
    <w:rsid w:val="00C22FB5"/>
    <w:rsid w:val="00C23C59"/>
    <w:rsid w:val="00C2583F"/>
    <w:rsid w:val="00C31834"/>
    <w:rsid w:val="00C33173"/>
    <w:rsid w:val="00C33D5D"/>
    <w:rsid w:val="00C35F43"/>
    <w:rsid w:val="00C36A5C"/>
    <w:rsid w:val="00C36D39"/>
    <w:rsid w:val="00C423BA"/>
    <w:rsid w:val="00C435FE"/>
    <w:rsid w:val="00C45ACD"/>
    <w:rsid w:val="00C46ED6"/>
    <w:rsid w:val="00C50D1D"/>
    <w:rsid w:val="00C52FE4"/>
    <w:rsid w:val="00C53C69"/>
    <w:rsid w:val="00C53DF9"/>
    <w:rsid w:val="00C54522"/>
    <w:rsid w:val="00C55164"/>
    <w:rsid w:val="00C558E6"/>
    <w:rsid w:val="00C56A16"/>
    <w:rsid w:val="00C56F90"/>
    <w:rsid w:val="00C62071"/>
    <w:rsid w:val="00C62A1C"/>
    <w:rsid w:val="00C63015"/>
    <w:rsid w:val="00C6671D"/>
    <w:rsid w:val="00C66820"/>
    <w:rsid w:val="00C706DF"/>
    <w:rsid w:val="00C7104E"/>
    <w:rsid w:val="00C71166"/>
    <w:rsid w:val="00C71788"/>
    <w:rsid w:val="00C73510"/>
    <w:rsid w:val="00C74BE1"/>
    <w:rsid w:val="00C74BE4"/>
    <w:rsid w:val="00C76777"/>
    <w:rsid w:val="00C76DE6"/>
    <w:rsid w:val="00C778A3"/>
    <w:rsid w:val="00C7796A"/>
    <w:rsid w:val="00C815BF"/>
    <w:rsid w:val="00C826B3"/>
    <w:rsid w:val="00C82BDF"/>
    <w:rsid w:val="00C82C04"/>
    <w:rsid w:val="00C8342E"/>
    <w:rsid w:val="00C83DBD"/>
    <w:rsid w:val="00C85D31"/>
    <w:rsid w:val="00C870F5"/>
    <w:rsid w:val="00C91C98"/>
    <w:rsid w:val="00C92399"/>
    <w:rsid w:val="00C92F37"/>
    <w:rsid w:val="00C95622"/>
    <w:rsid w:val="00C96695"/>
    <w:rsid w:val="00C96B99"/>
    <w:rsid w:val="00C975D7"/>
    <w:rsid w:val="00CA1AF1"/>
    <w:rsid w:val="00CA1E5E"/>
    <w:rsid w:val="00CA35F2"/>
    <w:rsid w:val="00CA4768"/>
    <w:rsid w:val="00CA5C13"/>
    <w:rsid w:val="00CA6632"/>
    <w:rsid w:val="00CA67AC"/>
    <w:rsid w:val="00CB0593"/>
    <w:rsid w:val="00CB06D1"/>
    <w:rsid w:val="00CB1039"/>
    <w:rsid w:val="00CB1550"/>
    <w:rsid w:val="00CB1B17"/>
    <w:rsid w:val="00CB2295"/>
    <w:rsid w:val="00CB3AC8"/>
    <w:rsid w:val="00CB6218"/>
    <w:rsid w:val="00CB77BE"/>
    <w:rsid w:val="00CC416B"/>
    <w:rsid w:val="00CC658E"/>
    <w:rsid w:val="00CD07B0"/>
    <w:rsid w:val="00CD0F11"/>
    <w:rsid w:val="00CD27D6"/>
    <w:rsid w:val="00CD4831"/>
    <w:rsid w:val="00CD5E38"/>
    <w:rsid w:val="00CE0795"/>
    <w:rsid w:val="00CE4627"/>
    <w:rsid w:val="00CE5393"/>
    <w:rsid w:val="00CE69EB"/>
    <w:rsid w:val="00CE6A29"/>
    <w:rsid w:val="00CE7EBD"/>
    <w:rsid w:val="00CF77A4"/>
    <w:rsid w:val="00CF7D09"/>
    <w:rsid w:val="00D00074"/>
    <w:rsid w:val="00D004DE"/>
    <w:rsid w:val="00D00769"/>
    <w:rsid w:val="00D0392A"/>
    <w:rsid w:val="00D0447F"/>
    <w:rsid w:val="00D054B6"/>
    <w:rsid w:val="00D104E4"/>
    <w:rsid w:val="00D15D92"/>
    <w:rsid w:val="00D175E6"/>
    <w:rsid w:val="00D20D73"/>
    <w:rsid w:val="00D21407"/>
    <w:rsid w:val="00D23720"/>
    <w:rsid w:val="00D2387A"/>
    <w:rsid w:val="00D24053"/>
    <w:rsid w:val="00D24863"/>
    <w:rsid w:val="00D25D38"/>
    <w:rsid w:val="00D267F7"/>
    <w:rsid w:val="00D27B9A"/>
    <w:rsid w:val="00D32E09"/>
    <w:rsid w:val="00D33903"/>
    <w:rsid w:val="00D33981"/>
    <w:rsid w:val="00D408A2"/>
    <w:rsid w:val="00D40C2F"/>
    <w:rsid w:val="00D40ED4"/>
    <w:rsid w:val="00D46AA8"/>
    <w:rsid w:val="00D521D5"/>
    <w:rsid w:val="00D52469"/>
    <w:rsid w:val="00D5598F"/>
    <w:rsid w:val="00D56691"/>
    <w:rsid w:val="00D57697"/>
    <w:rsid w:val="00D57A8C"/>
    <w:rsid w:val="00D603B7"/>
    <w:rsid w:val="00D61D7B"/>
    <w:rsid w:val="00D6264F"/>
    <w:rsid w:val="00D629C4"/>
    <w:rsid w:val="00D655D1"/>
    <w:rsid w:val="00D6744A"/>
    <w:rsid w:val="00D70362"/>
    <w:rsid w:val="00D70C99"/>
    <w:rsid w:val="00D72022"/>
    <w:rsid w:val="00D725D5"/>
    <w:rsid w:val="00D72A76"/>
    <w:rsid w:val="00D75720"/>
    <w:rsid w:val="00D761A4"/>
    <w:rsid w:val="00D771DD"/>
    <w:rsid w:val="00D772BE"/>
    <w:rsid w:val="00D805F6"/>
    <w:rsid w:val="00D81485"/>
    <w:rsid w:val="00D84383"/>
    <w:rsid w:val="00D937BB"/>
    <w:rsid w:val="00D93E8A"/>
    <w:rsid w:val="00D95EF5"/>
    <w:rsid w:val="00D96D4D"/>
    <w:rsid w:val="00D9797E"/>
    <w:rsid w:val="00DA1045"/>
    <w:rsid w:val="00DA23F0"/>
    <w:rsid w:val="00DA255D"/>
    <w:rsid w:val="00DA4329"/>
    <w:rsid w:val="00DA46EA"/>
    <w:rsid w:val="00DA473D"/>
    <w:rsid w:val="00DA5311"/>
    <w:rsid w:val="00DA5EE0"/>
    <w:rsid w:val="00DA65D9"/>
    <w:rsid w:val="00DB120C"/>
    <w:rsid w:val="00DB142F"/>
    <w:rsid w:val="00DB1DD6"/>
    <w:rsid w:val="00DB361F"/>
    <w:rsid w:val="00DB367D"/>
    <w:rsid w:val="00DB4665"/>
    <w:rsid w:val="00DB5171"/>
    <w:rsid w:val="00DB54D4"/>
    <w:rsid w:val="00DB5600"/>
    <w:rsid w:val="00DB7523"/>
    <w:rsid w:val="00DB7DF8"/>
    <w:rsid w:val="00DC16CA"/>
    <w:rsid w:val="00DC2DE1"/>
    <w:rsid w:val="00DC3C2D"/>
    <w:rsid w:val="00DC663A"/>
    <w:rsid w:val="00DC6E9C"/>
    <w:rsid w:val="00DC6F45"/>
    <w:rsid w:val="00DD0496"/>
    <w:rsid w:val="00DD0884"/>
    <w:rsid w:val="00DD10E8"/>
    <w:rsid w:val="00DD16EF"/>
    <w:rsid w:val="00DD3DE2"/>
    <w:rsid w:val="00DE13C5"/>
    <w:rsid w:val="00DE2684"/>
    <w:rsid w:val="00DE4196"/>
    <w:rsid w:val="00DE4E0A"/>
    <w:rsid w:val="00DE63D8"/>
    <w:rsid w:val="00DE699A"/>
    <w:rsid w:val="00DF1F97"/>
    <w:rsid w:val="00DF45FA"/>
    <w:rsid w:val="00DF461B"/>
    <w:rsid w:val="00E00689"/>
    <w:rsid w:val="00E0288B"/>
    <w:rsid w:val="00E03578"/>
    <w:rsid w:val="00E0374D"/>
    <w:rsid w:val="00E03A0F"/>
    <w:rsid w:val="00E059BE"/>
    <w:rsid w:val="00E070B4"/>
    <w:rsid w:val="00E1047D"/>
    <w:rsid w:val="00E12C8D"/>
    <w:rsid w:val="00E15AE5"/>
    <w:rsid w:val="00E209E7"/>
    <w:rsid w:val="00E20B5E"/>
    <w:rsid w:val="00E271CA"/>
    <w:rsid w:val="00E306E5"/>
    <w:rsid w:val="00E30B66"/>
    <w:rsid w:val="00E32354"/>
    <w:rsid w:val="00E3738C"/>
    <w:rsid w:val="00E3776E"/>
    <w:rsid w:val="00E37AF0"/>
    <w:rsid w:val="00E411B5"/>
    <w:rsid w:val="00E45EEC"/>
    <w:rsid w:val="00E4796E"/>
    <w:rsid w:val="00E54008"/>
    <w:rsid w:val="00E60816"/>
    <w:rsid w:val="00E60B6E"/>
    <w:rsid w:val="00E61E33"/>
    <w:rsid w:val="00E626F9"/>
    <w:rsid w:val="00E63F89"/>
    <w:rsid w:val="00E647D4"/>
    <w:rsid w:val="00E665AA"/>
    <w:rsid w:val="00E70EA9"/>
    <w:rsid w:val="00E72280"/>
    <w:rsid w:val="00E74456"/>
    <w:rsid w:val="00E74C4D"/>
    <w:rsid w:val="00E74E38"/>
    <w:rsid w:val="00E8293A"/>
    <w:rsid w:val="00E82AAD"/>
    <w:rsid w:val="00E84777"/>
    <w:rsid w:val="00E91361"/>
    <w:rsid w:val="00E92712"/>
    <w:rsid w:val="00E934D8"/>
    <w:rsid w:val="00E93790"/>
    <w:rsid w:val="00E93FA2"/>
    <w:rsid w:val="00E948F6"/>
    <w:rsid w:val="00E94985"/>
    <w:rsid w:val="00E952C0"/>
    <w:rsid w:val="00E9551F"/>
    <w:rsid w:val="00E95955"/>
    <w:rsid w:val="00EA09A7"/>
    <w:rsid w:val="00EA0CA8"/>
    <w:rsid w:val="00EA229F"/>
    <w:rsid w:val="00EA5253"/>
    <w:rsid w:val="00EA6C9A"/>
    <w:rsid w:val="00EB0239"/>
    <w:rsid w:val="00EB06E3"/>
    <w:rsid w:val="00EB0DCB"/>
    <w:rsid w:val="00EB2832"/>
    <w:rsid w:val="00EB5698"/>
    <w:rsid w:val="00EB60B2"/>
    <w:rsid w:val="00EB640D"/>
    <w:rsid w:val="00EC272E"/>
    <w:rsid w:val="00EC4FAB"/>
    <w:rsid w:val="00EC531F"/>
    <w:rsid w:val="00EC53CC"/>
    <w:rsid w:val="00EC667E"/>
    <w:rsid w:val="00EC6822"/>
    <w:rsid w:val="00ED17A2"/>
    <w:rsid w:val="00ED27C8"/>
    <w:rsid w:val="00ED4DE3"/>
    <w:rsid w:val="00ED51FD"/>
    <w:rsid w:val="00ED53B5"/>
    <w:rsid w:val="00EE3A96"/>
    <w:rsid w:val="00EE4B26"/>
    <w:rsid w:val="00EE50D3"/>
    <w:rsid w:val="00EE6FB0"/>
    <w:rsid w:val="00EE719A"/>
    <w:rsid w:val="00EF0CCD"/>
    <w:rsid w:val="00EF16FF"/>
    <w:rsid w:val="00EF1A3D"/>
    <w:rsid w:val="00EF1FD9"/>
    <w:rsid w:val="00EF28AC"/>
    <w:rsid w:val="00EF316B"/>
    <w:rsid w:val="00EF7D65"/>
    <w:rsid w:val="00F002F3"/>
    <w:rsid w:val="00F028F2"/>
    <w:rsid w:val="00F03B5D"/>
    <w:rsid w:val="00F0490F"/>
    <w:rsid w:val="00F06FCC"/>
    <w:rsid w:val="00F07437"/>
    <w:rsid w:val="00F07AB9"/>
    <w:rsid w:val="00F11682"/>
    <w:rsid w:val="00F15861"/>
    <w:rsid w:val="00F15A69"/>
    <w:rsid w:val="00F15DD7"/>
    <w:rsid w:val="00F170A4"/>
    <w:rsid w:val="00F2124F"/>
    <w:rsid w:val="00F25115"/>
    <w:rsid w:val="00F277B7"/>
    <w:rsid w:val="00F30399"/>
    <w:rsid w:val="00F30D73"/>
    <w:rsid w:val="00F311D0"/>
    <w:rsid w:val="00F32025"/>
    <w:rsid w:val="00F32D08"/>
    <w:rsid w:val="00F32D45"/>
    <w:rsid w:val="00F40CE1"/>
    <w:rsid w:val="00F419E7"/>
    <w:rsid w:val="00F428FB"/>
    <w:rsid w:val="00F44B47"/>
    <w:rsid w:val="00F47D12"/>
    <w:rsid w:val="00F5023C"/>
    <w:rsid w:val="00F5045C"/>
    <w:rsid w:val="00F5092F"/>
    <w:rsid w:val="00F50EB8"/>
    <w:rsid w:val="00F51255"/>
    <w:rsid w:val="00F52093"/>
    <w:rsid w:val="00F53286"/>
    <w:rsid w:val="00F5378F"/>
    <w:rsid w:val="00F54177"/>
    <w:rsid w:val="00F556EF"/>
    <w:rsid w:val="00F5685E"/>
    <w:rsid w:val="00F60E28"/>
    <w:rsid w:val="00F626E3"/>
    <w:rsid w:val="00F65063"/>
    <w:rsid w:val="00F65F16"/>
    <w:rsid w:val="00F7103B"/>
    <w:rsid w:val="00F73901"/>
    <w:rsid w:val="00F753A8"/>
    <w:rsid w:val="00F76805"/>
    <w:rsid w:val="00F76CFF"/>
    <w:rsid w:val="00F76D1C"/>
    <w:rsid w:val="00F7735B"/>
    <w:rsid w:val="00F805EB"/>
    <w:rsid w:val="00F830A4"/>
    <w:rsid w:val="00F83430"/>
    <w:rsid w:val="00F86164"/>
    <w:rsid w:val="00F8738A"/>
    <w:rsid w:val="00F908B9"/>
    <w:rsid w:val="00F91743"/>
    <w:rsid w:val="00F91748"/>
    <w:rsid w:val="00F923B8"/>
    <w:rsid w:val="00F92421"/>
    <w:rsid w:val="00F94DDA"/>
    <w:rsid w:val="00F967AF"/>
    <w:rsid w:val="00F96C03"/>
    <w:rsid w:val="00F97F8F"/>
    <w:rsid w:val="00FA2BEF"/>
    <w:rsid w:val="00FA3477"/>
    <w:rsid w:val="00FA422E"/>
    <w:rsid w:val="00FA4DAF"/>
    <w:rsid w:val="00FA53AB"/>
    <w:rsid w:val="00FA5A32"/>
    <w:rsid w:val="00FA65AC"/>
    <w:rsid w:val="00FA72B1"/>
    <w:rsid w:val="00FA78AB"/>
    <w:rsid w:val="00FB26B3"/>
    <w:rsid w:val="00FB501D"/>
    <w:rsid w:val="00FB62F5"/>
    <w:rsid w:val="00FB74BD"/>
    <w:rsid w:val="00FB7965"/>
    <w:rsid w:val="00FC00B9"/>
    <w:rsid w:val="00FC059C"/>
    <w:rsid w:val="00FC10F7"/>
    <w:rsid w:val="00FC21FA"/>
    <w:rsid w:val="00FC25CF"/>
    <w:rsid w:val="00FC35DC"/>
    <w:rsid w:val="00FC44EC"/>
    <w:rsid w:val="00FC6A7B"/>
    <w:rsid w:val="00FD07BB"/>
    <w:rsid w:val="00FD3C88"/>
    <w:rsid w:val="00FD4E11"/>
    <w:rsid w:val="00FD5C43"/>
    <w:rsid w:val="00FD5F25"/>
    <w:rsid w:val="00FD6C3E"/>
    <w:rsid w:val="00FE21C0"/>
    <w:rsid w:val="00FE5B17"/>
    <w:rsid w:val="00FE6920"/>
    <w:rsid w:val="00FE76ED"/>
    <w:rsid w:val="00FF0245"/>
    <w:rsid w:val="00FF0FD8"/>
    <w:rsid w:val="00FF19E5"/>
    <w:rsid w:val="00FF2D68"/>
    <w:rsid w:val="00FF4EB9"/>
    <w:rsid w:val="00FF6A3A"/>
    <w:rsid w:val="00FF7EB1"/>
    <w:rsid w:val="00FF7ECD"/>
    <w:rsid w:val="011949CD"/>
    <w:rsid w:val="01227D26"/>
    <w:rsid w:val="01264629"/>
    <w:rsid w:val="0143318C"/>
    <w:rsid w:val="01483505"/>
    <w:rsid w:val="0152533E"/>
    <w:rsid w:val="01586992"/>
    <w:rsid w:val="015A3576"/>
    <w:rsid w:val="016027D5"/>
    <w:rsid w:val="016043AA"/>
    <w:rsid w:val="01892B16"/>
    <w:rsid w:val="01B80436"/>
    <w:rsid w:val="01B829BF"/>
    <w:rsid w:val="01CA1B5B"/>
    <w:rsid w:val="01D17056"/>
    <w:rsid w:val="01D34B7C"/>
    <w:rsid w:val="01DB1EFD"/>
    <w:rsid w:val="01F0126E"/>
    <w:rsid w:val="01F019B2"/>
    <w:rsid w:val="01FB5754"/>
    <w:rsid w:val="01FB726B"/>
    <w:rsid w:val="01FF4D18"/>
    <w:rsid w:val="0216732F"/>
    <w:rsid w:val="022C0730"/>
    <w:rsid w:val="02300221"/>
    <w:rsid w:val="023D293E"/>
    <w:rsid w:val="0240022B"/>
    <w:rsid w:val="02455005"/>
    <w:rsid w:val="024737BC"/>
    <w:rsid w:val="024C3264"/>
    <w:rsid w:val="024C4D2E"/>
    <w:rsid w:val="025F28B4"/>
    <w:rsid w:val="025F567B"/>
    <w:rsid w:val="02717A25"/>
    <w:rsid w:val="027416DD"/>
    <w:rsid w:val="028B18FB"/>
    <w:rsid w:val="029137FA"/>
    <w:rsid w:val="02914A12"/>
    <w:rsid w:val="02A134C8"/>
    <w:rsid w:val="02B04EBD"/>
    <w:rsid w:val="02B12C74"/>
    <w:rsid w:val="02D23086"/>
    <w:rsid w:val="02D660E8"/>
    <w:rsid w:val="02F57CEF"/>
    <w:rsid w:val="02FC7879"/>
    <w:rsid w:val="02FF2E24"/>
    <w:rsid w:val="030A6CC4"/>
    <w:rsid w:val="030D2038"/>
    <w:rsid w:val="030E4F89"/>
    <w:rsid w:val="031A67DB"/>
    <w:rsid w:val="03215DBB"/>
    <w:rsid w:val="03381BD5"/>
    <w:rsid w:val="036A3DC1"/>
    <w:rsid w:val="03710AF1"/>
    <w:rsid w:val="03774592"/>
    <w:rsid w:val="0385634A"/>
    <w:rsid w:val="038C575E"/>
    <w:rsid w:val="039700C5"/>
    <w:rsid w:val="039B791C"/>
    <w:rsid w:val="03B44E81"/>
    <w:rsid w:val="03C10F15"/>
    <w:rsid w:val="03C36E72"/>
    <w:rsid w:val="03D44143"/>
    <w:rsid w:val="03DC02F6"/>
    <w:rsid w:val="03E05C76"/>
    <w:rsid w:val="03E10D79"/>
    <w:rsid w:val="03E63D5B"/>
    <w:rsid w:val="03E74D12"/>
    <w:rsid w:val="0404664D"/>
    <w:rsid w:val="040F1954"/>
    <w:rsid w:val="04161698"/>
    <w:rsid w:val="04387860"/>
    <w:rsid w:val="046402BE"/>
    <w:rsid w:val="047B14FB"/>
    <w:rsid w:val="04823F01"/>
    <w:rsid w:val="04835B2D"/>
    <w:rsid w:val="049130BD"/>
    <w:rsid w:val="04A72785"/>
    <w:rsid w:val="04A74110"/>
    <w:rsid w:val="04A96068"/>
    <w:rsid w:val="04AE367F"/>
    <w:rsid w:val="04B844FD"/>
    <w:rsid w:val="04BF379F"/>
    <w:rsid w:val="04C75F79"/>
    <w:rsid w:val="04DF5F2E"/>
    <w:rsid w:val="04FF212C"/>
    <w:rsid w:val="05066DF9"/>
    <w:rsid w:val="0533072D"/>
    <w:rsid w:val="053C0C8A"/>
    <w:rsid w:val="05413229"/>
    <w:rsid w:val="056341F0"/>
    <w:rsid w:val="05873495"/>
    <w:rsid w:val="058C0305"/>
    <w:rsid w:val="059B00A7"/>
    <w:rsid w:val="059B5F9F"/>
    <w:rsid w:val="05A84572"/>
    <w:rsid w:val="05C80770"/>
    <w:rsid w:val="05ED5BB5"/>
    <w:rsid w:val="05F30B80"/>
    <w:rsid w:val="05F82630"/>
    <w:rsid w:val="060A00C1"/>
    <w:rsid w:val="060C7EB6"/>
    <w:rsid w:val="064737C1"/>
    <w:rsid w:val="064A5629"/>
    <w:rsid w:val="06514B7E"/>
    <w:rsid w:val="065241A0"/>
    <w:rsid w:val="065D35AE"/>
    <w:rsid w:val="0664493D"/>
    <w:rsid w:val="066528BB"/>
    <w:rsid w:val="066E57BB"/>
    <w:rsid w:val="0671705A"/>
    <w:rsid w:val="067873CB"/>
    <w:rsid w:val="067A7CBC"/>
    <w:rsid w:val="067D155B"/>
    <w:rsid w:val="06897EFF"/>
    <w:rsid w:val="068A2870"/>
    <w:rsid w:val="068E38F3"/>
    <w:rsid w:val="069845E6"/>
    <w:rsid w:val="06AE7966"/>
    <w:rsid w:val="06BA1548"/>
    <w:rsid w:val="06C158EB"/>
    <w:rsid w:val="06C90C44"/>
    <w:rsid w:val="06DB08F8"/>
    <w:rsid w:val="06DF2215"/>
    <w:rsid w:val="06E068D7"/>
    <w:rsid w:val="06E31D05"/>
    <w:rsid w:val="06E359FB"/>
    <w:rsid w:val="070B4DB8"/>
    <w:rsid w:val="070F6035"/>
    <w:rsid w:val="07140111"/>
    <w:rsid w:val="07195727"/>
    <w:rsid w:val="071E2D3E"/>
    <w:rsid w:val="07247C28"/>
    <w:rsid w:val="07330146"/>
    <w:rsid w:val="07397B77"/>
    <w:rsid w:val="07443CAB"/>
    <w:rsid w:val="074672DA"/>
    <w:rsid w:val="07474800"/>
    <w:rsid w:val="075B3443"/>
    <w:rsid w:val="076B5857"/>
    <w:rsid w:val="076D15CF"/>
    <w:rsid w:val="07782386"/>
    <w:rsid w:val="077F1D55"/>
    <w:rsid w:val="07837C3C"/>
    <w:rsid w:val="07927288"/>
    <w:rsid w:val="079528D4"/>
    <w:rsid w:val="07AA22DB"/>
    <w:rsid w:val="07AA2823"/>
    <w:rsid w:val="07AD2313"/>
    <w:rsid w:val="07B8355F"/>
    <w:rsid w:val="07BC60B3"/>
    <w:rsid w:val="07C05808"/>
    <w:rsid w:val="07C5758F"/>
    <w:rsid w:val="07CA2010"/>
    <w:rsid w:val="07D412F2"/>
    <w:rsid w:val="07F25F78"/>
    <w:rsid w:val="07F33D53"/>
    <w:rsid w:val="081A3210"/>
    <w:rsid w:val="081F7833"/>
    <w:rsid w:val="08326375"/>
    <w:rsid w:val="083269CE"/>
    <w:rsid w:val="08365E65"/>
    <w:rsid w:val="0837398B"/>
    <w:rsid w:val="083E5E44"/>
    <w:rsid w:val="08406CE4"/>
    <w:rsid w:val="084542FA"/>
    <w:rsid w:val="0858402D"/>
    <w:rsid w:val="086329D2"/>
    <w:rsid w:val="086956BA"/>
    <w:rsid w:val="086C5D2B"/>
    <w:rsid w:val="08750CCC"/>
    <w:rsid w:val="087846CF"/>
    <w:rsid w:val="089808CE"/>
    <w:rsid w:val="08AC25CB"/>
    <w:rsid w:val="08AC6127"/>
    <w:rsid w:val="08AE00F1"/>
    <w:rsid w:val="08BA4CE8"/>
    <w:rsid w:val="08BF5E5A"/>
    <w:rsid w:val="08C96827"/>
    <w:rsid w:val="08CC0577"/>
    <w:rsid w:val="08F23F7E"/>
    <w:rsid w:val="08FD35AE"/>
    <w:rsid w:val="0906267C"/>
    <w:rsid w:val="090D306A"/>
    <w:rsid w:val="091048A6"/>
    <w:rsid w:val="091A6AE6"/>
    <w:rsid w:val="095742E5"/>
    <w:rsid w:val="095F2090"/>
    <w:rsid w:val="096D0EEF"/>
    <w:rsid w:val="097117ED"/>
    <w:rsid w:val="09734E97"/>
    <w:rsid w:val="097F1B57"/>
    <w:rsid w:val="097F7444"/>
    <w:rsid w:val="098175B4"/>
    <w:rsid w:val="09862E1C"/>
    <w:rsid w:val="09864BCA"/>
    <w:rsid w:val="09865E2F"/>
    <w:rsid w:val="099459DB"/>
    <w:rsid w:val="099A447E"/>
    <w:rsid w:val="09A3577C"/>
    <w:rsid w:val="09AF4121"/>
    <w:rsid w:val="09B71227"/>
    <w:rsid w:val="09DE4A06"/>
    <w:rsid w:val="09DE7F72"/>
    <w:rsid w:val="09F60DB9"/>
    <w:rsid w:val="09F90A4D"/>
    <w:rsid w:val="09FD54AA"/>
    <w:rsid w:val="0A006467"/>
    <w:rsid w:val="0A075D0B"/>
    <w:rsid w:val="0A092AB3"/>
    <w:rsid w:val="0A171D1F"/>
    <w:rsid w:val="0A1D08EE"/>
    <w:rsid w:val="0A2B7368"/>
    <w:rsid w:val="0A395ED4"/>
    <w:rsid w:val="0A4860CC"/>
    <w:rsid w:val="0A535B50"/>
    <w:rsid w:val="0A544CC8"/>
    <w:rsid w:val="0A5B3BE7"/>
    <w:rsid w:val="0A6767AA"/>
    <w:rsid w:val="0A6C3E18"/>
    <w:rsid w:val="0A7B2255"/>
    <w:rsid w:val="0A7E76D6"/>
    <w:rsid w:val="0A886720"/>
    <w:rsid w:val="0A8A39F3"/>
    <w:rsid w:val="0A8C0583"/>
    <w:rsid w:val="0A9B6453"/>
    <w:rsid w:val="0A9F4195"/>
    <w:rsid w:val="0AA068F7"/>
    <w:rsid w:val="0AA30220"/>
    <w:rsid w:val="0AAA48E8"/>
    <w:rsid w:val="0AB10FCD"/>
    <w:rsid w:val="0AB80983"/>
    <w:rsid w:val="0ABD286D"/>
    <w:rsid w:val="0ABD461B"/>
    <w:rsid w:val="0AC534D0"/>
    <w:rsid w:val="0AC75E98"/>
    <w:rsid w:val="0AD328E0"/>
    <w:rsid w:val="0AD33E75"/>
    <w:rsid w:val="0AE222D4"/>
    <w:rsid w:val="0AF52007"/>
    <w:rsid w:val="0B073AE9"/>
    <w:rsid w:val="0B0E716C"/>
    <w:rsid w:val="0B1070B9"/>
    <w:rsid w:val="0B256AE8"/>
    <w:rsid w:val="0B260413"/>
    <w:rsid w:val="0B295CD5"/>
    <w:rsid w:val="0B2B5A29"/>
    <w:rsid w:val="0B3F6D6F"/>
    <w:rsid w:val="0B6906C2"/>
    <w:rsid w:val="0B7C0033"/>
    <w:rsid w:val="0B815649"/>
    <w:rsid w:val="0B8415DD"/>
    <w:rsid w:val="0BA00E5D"/>
    <w:rsid w:val="0BA61553"/>
    <w:rsid w:val="0BAC2AF2"/>
    <w:rsid w:val="0BB06BD5"/>
    <w:rsid w:val="0BB974D9"/>
    <w:rsid w:val="0BC1638D"/>
    <w:rsid w:val="0BCF5F38"/>
    <w:rsid w:val="0BE107DE"/>
    <w:rsid w:val="0BED5858"/>
    <w:rsid w:val="0BF71DAF"/>
    <w:rsid w:val="0BFC73C5"/>
    <w:rsid w:val="0C051683"/>
    <w:rsid w:val="0C0831C9"/>
    <w:rsid w:val="0C1224C8"/>
    <w:rsid w:val="0C1464BD"/>
    <w:rsid w:val="0C463BAC"/>
    <w:rsid w:val="0C547201"/>
    <w:rsid w:val="0C671759"/>
    <w:rsid w:val="0C676F35"/>
    <w:rsid w:val="0C6E02C3"/>
    <w:rsid w:val="0C7A30DA"/>
    <w:rsid w:val="0C943AA2"/>
    <w:rsid w:val="0CCA3020"/>
    <w:rsid w:val="0CD67C16"/>
    <w:rsid w:val="0CE00A95"/>
    <w:rsid w:val="0D046532"/>
    <w:rsid w:val="0D10137A"/>
    <w:rsid w:val="0D181FDD"/>
    <w:rsid w:val="0D222E5C"/>
    <w:rsid w:val="0D27282F"/>
    <w:rsid w:val="0D2844DD"/>
    <w:rsid w:val="0D366907"/>
    <w:rsid w:val="0D3F3A0E"/>
    <w:rsid w:val="0D505C1B"/>
    <w:rsid w:val="0D613984"/>
    <w:rsid w:val="0D66221B"/>
    <w:rsid w:val="0D735465"/>
    <w:rsid w:val="0D755681"/>
    <w:rsid w:val="0D81192E"/>
    <w:rsid w:val="0D8542FE"/>
    <w:rsid w:val="0DA27AF9"/>
    <w:rsid w:val="0DC43F13"/>
    <w:rsid w:val="0DD979BE"/>
    <w:rsid w:val="0DDE3227"/>
    <w:rsid w:val="0DE47784"/>
    <w:rsid w:val="0DE87C01"/>
    <w:rsid w:val="0DE95727"/>
    <w:rsid w:val="0DE971F4"/>
    <w:rsid w:val="0E2F5830"/>
    <w:rsid w:val="0E3C04AA"/>
    <w:rsid w:val="0E4806A0"/>
    <w:rsid w:val="0E5E6115"/>
    <w:rsid w:val="0E67019E"/>
    <w:rsid w:val="0E6F362B"/>
    <w:rsid w:val="0E7E7133"/>
    <w:rsid w:val="0E894D27"/>
    <w:rsid w:val="0E97177E"/>
    <w:rsid w:val="0E9C1110"/>
    <w:rsid w:val="0EB83A78"/>
    <w:rsid w:val="0EC20452"/>
    <w:rsid w:val="0ED1409C"/>
    <w:rsid w:val="0EDB29F5"/>
    <w:rsid w:val="0EE505E5"/>
    <w:rsid w:val="0EF10D38"/>
    <w:rsid w:val="0EF820C6"/>
    <w:rsid w:val="0EFD5E21"/>
    <w:rsid w:val="0F1D7DC2"/>
    <w:rsid w:val="0F32284A"/>
    <w:rsid w:val="0F3626C8"/>
    <w:rsid w:val="0F544B86"/>
    <w:rsid w:val="0F632BEB"/>
    <w:rsid w:val="0F711651"/>
    <w:rsid w:val="0F751969"/>
    <w:rsid w:val="0F756DBD"/>
    <w:rsid w:val="0F811701"/>
    <w:rsid w:val="0F865924"/>
    <w:rsid w:val="0FAA3873"/>
    <w:rsid w:val="0FB657FD"/>
    <w:rsid w:val="0FC843CA"/>
    <w:rsid w:val="0FC85F3C"/>
    <w:rsid w:val="0FDB7FAB"/>
    <w:rsid w:val="0FDD25DF"/>
    <w:rsid w:val="0FDE750E"/>
    <w:rsid w:val="0FDF047D"/>
    <w:rsid w:val="0FE4264A"/>
    <w:rsid w:val="0FED7751"/>
    <w:rsid w:val="0FF12752"/>
    <w:rsid w:val="0FF52AA9"/>
    <w:rsid w:val="0FFD54BA"/>
    <w:rsid w:val="10014FAA"/>
    <w:rsid w:val="1010343F"/>
    <w:rsid w:val="10152804"/>
    <w:rsid w:val="10196798"/>
    <w:rsid w:val="10466E61"/>
    <w:rsid w:val="104B58B5"/>
    <w:rsid w:val="106157B4"/>
    <w:rsid w:val="106D346F"/>
    <w:rsid w:val="108E5A53"/>
    <w:rsid w:val="108F277D"/>
    <w:rsid w:val="10937656"/>
    <w:rsid w:val="109C4CD3"/>
    <w:rsid w:val="10B85FB1"/>
    <w:rsid w:val="10BC7123"/>
    <w:rsid w:val="10C048BF"/>
    <w:rsid w:val="10C304B2"/>
    <w:rsid w:val="10CF50A9"/>
    <w:rsid w:val="10F07048"/>
    <w:rsid w:val="10F171B9"/>
    <w:rsid w:val="10F4550D"/>
    <w:rsid w:val="11001706"/>
    <w:rsid w:val="110F5D25"/>
    <w:rsid w:val="11131439"/>
    <w:rsid w:val="112530B7"/>
    <w:rsid w:val="112E2143"/>
    <w:rsid w:val="113413B0"/>
    <w:rsid w:val="113D2012"/>
    <w:rsid w:val="11553800"/>
    <w:rsid w:val="11581A54"/>
    <w:rsid w:val="115B2DE0"/>
    <w:rsid w:val="115E7CF3"/>
    <w:rsid w:val="116F23E8"/>
    <w:rsid w:val="1185411D"/>
    <w:rsid w:val="11902A8A"/>
    <w:rsid w:val="11B82820"/>
    <w:rsid w:val="11BA7B07"/>
    <w:rsid w:val="11BD0279"/>
    <w:rsid w:val="11C63EE6"/>
    <w:rsid w:val="11C93C42"/>
    <w:rsid w:val="11E56987"/>
    <w:rsid w:val="11E84674"/>
    <w:rsid w:val="11ED4931"/>
    <w:rsid w:val="11F8418B"/>
    <w:rsid w:val="11FA2C92"/>
    <w:rsid w:val="11FE3E97"/>
    <w:rsid w:val="12046FD4"/>
    <w:rsid w:val="120622C2"/>
    <w:rsid w:val="1214532F"/>
    <w:rsid w:val="121B1E0A"/>
    <w:rsid w:val="121C6166"/>
    <w:rsid w:val="12227E74"/>
    <w:rsid w:val="122F22A3"/>
    <w:rsid w:val="123C676E"/>
    <w:rsid w:val="123E24E6"/>
    <w:rsid w:val="12541629"/>
    <w:rsid w:val="12633CFA"/>
    <w:rsid w:val="12665599"/>
    <w:rsid w:val="12695089"/>
    <w:rsid w:val="126F4193"/>
    <w:rsid w:val="127203E1"/>
    <w:rsid w:val="127F7101"/>
    <w:rsid w:val="12891287"/>
    <w:rsid w:val="12986F2D"/>
    <w:rsid w:val="12A82014"/>
    <w:rsid w:val="12AD6D05"/>
    <w:rsid w:val="12BE53D5"/>
    <w:rsid w:val="12BF3CEC"/>
    <w:rsid w:val="12C31FBF"/>
    <w:rsid w:val="12CC371E"/>
    <w:rsid w:val="12D25159"/>
    <w:rsid w:val="12DC585B"/>
    <w:rsid w:val="12DE7825"/>
    <w:rsid w:val="13124940"/>
    <w:rsid w:val="13280AA0"/>
    <w:rsid w:val="13484F1B"/>
    <w:rsid w:val="13491142"/>
    <w:rsid w:val="135071C3"/>
    <w:rsid w:val="13516249"/>
    <w:rsid w:val="136A34EC"/>
    <w:rsid w:val="1380402C"/>
    <w:rsid w:val="13976CC2"/>
    <w:rsid w:val="139D148E"/>
    <w:rsid w:val="13A53994"/>
    <w:rsid w:val="13A75E69"/>
    <w:rsid w:val="13AE369B"/>
    <w:rsid w:val="13B80076"/>
    <w:rsid w:val="13C0517C"/>
    <w:rsid w:val="13CC3B21"/>
    <w:rsid w:val="13CC58CF"/>
    <w:rsid w:val="13E8275E"/>
    <w:rsid w:val="13F84916"/>
    <w:rsid w:val="14171240"/>
    <w:rsid w:val="141A6099"/>
    <w:rsid w:val="141C0605"/>
    <w:rsid w:val="14224FEB"/>
    <w:rsid w:val="143C2FB7"/>
    <w:rsid w:val="14594548"/>
    <w:rsid w:val="145A737F"/>
    <w:rsid w:val="145B12A4"/>
    <w:rsid w:val="146A2525"/>
    <w:rsid w:val="146C028E"/>
    <w:rsid w:val="146D0B1E"/>
    <w:rsid w:val="146F2E2A"/>
    <w:rsid w:val="147541B9"/>
    <w:rsid w:val="147D52DF"/>
    <w:rsid w:val="1481490C"/>
    <w:rsid w:val="14856472"/>
    <w:rsid w:val="14867011"/>
    <w:rsid w:val="148730F9"/>
    <w:rsid w:val="1490670C"/>
    <w:rsid w:val="14A12BD5"/>
    <w:rsid w:val="14A31207"/>
    <w:rsid w:val="14B86C03"/>
    <w:rsid w:val="14C26D19"/>
    <w:rsid w:val="14C30A80"/>
    <w:rsid w:val="14FB5517"/>
    <w:rsid w:val="14FE5856"/>
    <w:rsid w:val="14FE762F"/>
    <w:rsid w:val="151039B6"/>
    <w:rsid w:val="154020D1"/>
    <w:rsid w:val="155658F3"/>
    <w:rsid w:val="15567B46"/>
    <w:rsid w:val="156009C5"/>
    <w:rsid w:val="15856809"/>
    <w:rsid w:val="158A262E"/>
    <w:rsid w:val="158F054F"/>
    <w:rsid w:val="159A517C"/>
    <w:rsid w:val="15AD347F"/>
    <w:rsid w:val="15C471A6"/>
    <w:rsid w:val="15D32F45"/>
    <w:rsid w:val="15E11B06"/>
    <w:rsid w:val="15E2587E"/>
    <w:rsid w:val="15E263B9"/>
    <w:rsid w:val="15E92769"/>
    <w:rsid w:val="15FF54BC"/>
    <w:rsid w:val="162347B7"/>
    <w:rsid w:val="16526560"/>
    <w:rsid w:val="167D503A"/>
    <w:rsid w:val="1697360A"/>
    <w:rsid w:val="16C3745D"/>
    <w:rsid w:val="16E42F30"/>
    <w:rsid w:val="16E86EC4"/>
    <w:rsid w:val="16EF2001"/>
    <w:rsid w:val="16FD406E"/>
    <w:rsid w:val="170A6E3A"/>
    <w:rsid w:val="17173BA8"/>
    <w:rsid w:val="17184FA8"/>
    <w:rsid w:val="1720040C"/>
    <w:rsid w:val="172C5003"/>
    <w:rsid w:val="172F064F"/>
    <w:rsid w:val="173062EF"/>
    <w:rsid w:val="174A726C"/>
    <w:rsid w:val="174D4F1E"/>
    <w:rsid w:val="1752258F"/>
    <w:rsid w:val="17641283"/>
    <w:rsid w:val="1767603B"/>
    <w:rsid w:val="176FBECB"/>
    <w:rsid w:val="178936BE"/>
    <w:rsid w:val="17AD77C6"/>
    <w:rsid w:val="17B148E8"/>
    <w:rsid w:val="17D36E8D"/>
    <w:rsid w:val="17D64FD3"/>
    <w:rsid w:val="17F65611"/>
    <w:rsid w:val="17F732F8"/>
    <w:rsid w:val="17FB49D5"/>
    <w:rsid w:val="17FB6C45"/>
    <w:rsid w:val="17FC7CAA"/>
    <w:rsid w:val="18025D64"/>
    <w:rsid w:val="18075128"/>
    <w:rsid w:val="180A5FEA"/>
    <w:rsid w:val="18184D87"/>
    <w:rsid w:val="181B1DAD"/>
    <w:rsid w:val="181D459F"/>
    <w:rsid w:val="181F2013"/>
    <w:rsid w:val="18251A52"/>
    <w:rsid w:val="182C2E31"/>
    <w:rsid w:val="1852245C"/>
    <w:rsid w:val="18593462"/>
    <w:rsid w:val="18661D44"/>
    <w:rsid w:val="186802BC"/>
    <w:rsid w:val="186F504C"/>
    <w:rsid w:val="189664AC"/>
    <w:rsid w:val="18A46E1B"/>
    <w:rsid w:val="18B84BA5"/>
    <w:rsid w:val="18BF29A5"/>
    <w:rsid w:val="18C474BD"/>
    <w:rsid w:val="18DC65B5"/>
    <w:rsid w:val="18E92B27"/>
    <w:rsid w:val="18F97167"/>
    <w:rsid w:val="18FF4051"/>
    <w:rsid w:val="1901426D"/>
    <w:rsid w:val="191775ED"/>
    <w:rsid w:val="19194749"/>
    <w:rsid w:val="191E6BCD"/>
    <w:rsid w:val="192F0DDA"/>
    <w:rsid w:val="193C094E"/>
    <w:rsid w:val="193C7F4E"/>
    <w:rsid w:val="193D73B7"/>
    <w:rsid w:val="194D300E"/>
    <w:rsid w:val="195645B9"/>
    <w:rsid w:val="19570331"/>
    <w:rsid w:val="196F11D7"/>
    <w:rsid w:val="19704F4F"/>
    <w:rsid w:val="19870553"/>
    <w:rsid w:val="19B44871"/>
    <w:rsid w:val="19B66E06"/>
    <w:rsid w:val="19C77265"/>
    <w:rsid w:val="19E27BFB"/>
    <w:rsid w:val="19EF056A"/>
    <w:rsid w:val="1A0062D3"/>
    <w:rsid w:val="1A037DB2"/>
    <w:rsid w:val="1A07140F"/>
    <w:rsid w:val="1A186CCD"/>
    <w:rsid w:val="1A197394"/>
    <w:rsid w:val="1A1B7D39"/>
    <w:rsid w:val="1A2322CE"/>
    <w:rsid w:val="1A3D3D9B"/>
    <w:rsid w:val="1A3E0EA0"/>
    <w:rsid w:val="1A43009A"/>
    <w:rsid w:val="1A552D92"/>
    <w:rsid w:val="1A55661F"/>
    <w:rsid w:val="1A685E54"/>
    <w:rsid w:val="1A6B7C27"/>
    <w:rsid w:val="1A6D5B83"/>
    <w:rsid w:val="1A852302"/>
    <w:rsid w:val="1A883034"/>
    <w:rsid w:val="1A89276C"/>
    <w:rsid w:val="1A91517D"/>
    <w:rsid w:val="1A9802E9"/>
    <w:rsid w:val="1ABF08C1"/>
    <w:rsid w:val="1AC150BD"/>
    <w:rsid w:val="1ACB4B33"/>
    <w:rsid w:val="1AD82DAC"/>
    <w:rsid w:val="1AE1489F"/>
    <w:rsid w:val="1AE4349A"/>
    <w:rsid w:val="1AE50086"/>
    <w:rsid w:val="1AEA5A52"/>
    <w:rsid w:val="1AEE3118"/>
    <w:rsid w:val="1AF000F5"/>
    <w:rsid w:val="1AF3E99A"/>
    <w:rsid w:val="1AF874C6"/>
    <w:rsid w:val="1AFF1D07"/>
    <w:rsid w:val="1B1738D4"/>
    <w:rsid w:val="1B182E37"/>
    <w:rsid w:val="1B1E1342"/>
    <w:rsid w:val="1B216501"/>
    <w:rsid w:val="1B397CEE"/>
    <w:rsid w:val="1B5F4BBD"/>
    <w:rsid w:val="1B706113"/>
    <w:rsid w:val="1B762CF0"/>
    <w:rsid w:val="1B7A7BF2"/>
    <w:rsid w:val="1B8365D7"/>
    <w:rsid w:val="1B9F2741"/>
    <w:rsid w:val="1BAB04C0"/>
    <w:rsid w:val="1BB06255"/>
    <w:rsid w:val="1BC02864"/>
    <w:rsid w:val="1BC33A5C"/>
    <w:rsid w:val="1BE13EE2"/>
    <w:rsid w:val="1BE340FE"/>
    <w:rsid w:val="1BFD6F6E"/>
    <w:rsid w:val="1C006A5E"/>
    <w:rsid w:val="1C0C71B1"/>
    <w:rsid w:val="1C112A19"/>
    <w:rsid w:val="1C19367C"/>
    <w:rsid w:val="1C220782"/>
    <w:rsid w:val="1C47643B"/>
    <w:rsid w:val="1C4E5A01"/>
    <w:rsid w:val="1C6C5EA1"/>
    <w:rsid w:val="1C6D6D29"/>
    <w:rsid w:val="1C6E1C1A"/>
    <w:rsid w:val="1C6E7E6B"/>
    <w:rsid w:val="1C7FE21E"/>
    <w:rsid w:val="1C8054A9"/>
    <w:rsid w:val="1C856DC9"/>
    <w:rsid w:val="1C8A3FE5"/>
    <w:rsid w:val="1C964CCC"/>
    <w:rsid w:val="1CA06A08"/>
    <w:rsid w:val="1CAF497B"/>
    <w:rsid w:val="1CCB0259"/>
    <w:rsid w:val="1CCE090A"/>
    <w:rsid w:val="1CD52B68"/>
    <w:rsid w:val="1CED60A0"/>
    <w:rsid w:val="1CEE6A7A"/>
    <w:rsid w:val="1D1A6765"/>
    <w:rsid w:val="1D316DCE"/>
    <w:rsid w:val="1D44436D"/>
    <w:rsid w:val="1D4F1A4B"/>
    <w:rsid w:val="1D644543"/>
    <w:rsid w:val="1D76522A"/>
    <w:rsid w:val="1D795028"/>
    <w:rsid w:val="1D7F39B2"/>
    <w:rsid w:val="1D864D41"/>
    <w:rsid w:val="1D882867"/>
    <w:rsid w:val="1D8E08AF"/>
    <w:rsid w:val="1D8E3BF5"/>
    <w:rsid w:val="1D9008E6"/>
    <w:rsid w:val="1D9C6312"/>
    <w:rsid w:val="1D9E3026"/>
    <w:rsid w:val="1DA17DCD"/>
    <w:rsid w:val="1DD15853"/>
    <w:rsid w:val="1DDB4E04"/>
    <w:rsid w:val="1DE657E0"/>
    <w:rsid w:val="1DE81558"/>
    <w:rsid w:val="1DFC5003"/>
    <w:rsid w:val="1DFEFCAF"/>
    <w:rsid w:val="1DFF7896"/>
    <w:rsid w:val="1E0448D1"/>
    <w:rsid w:val="1E064063"/>
    <w:rsid w:val="1E095937"/>
    <w:rsid w:val="1E1E766F"/>
    <w:rsid w:val="1E3C0098"/>
    <w:rsid w:val="1E58492F"/>
    <w:rsid w:val="1E7660A3"/>
    <w:rsid w:val="1E93476F"/>
    <w:rsid w:val="1EA779EE"/>
    <w:rsid w:val="1EBD4792"/>
    <w:rsid w:val="1ED50531"/>
    <w:rsid w:val="1EFB5DCF"/>
    <w:rsid w:val="1F0665C8"/>
    <w:rsid w:val="1F093E7B"/>
    <w:rsid w:val="1F101AB6"/>
    <w:rsid w:val="1F101F8D"/>
    <w:rsid w:val="1F135C75"/>
    <w:rsid w:val="1F214112"/>
    <w:rsid w:val="1F2533E2"/>
    <w:rsid w:val="1F262338"/>
    <w:rsid w:val="1F474301"/>
    <w:rsid w:val="1F4B6242"/>
    <w:rsid w:val="1F511151"/>
    <w:rsid w:val="1F5D4DAE"/>
    <w:rsid w:val="1F642E60"/>
    <w:rsid w:val="1F647304"/>
    <w:rsid w:val="1F7532BF"/>
    <w:rsid w:val="1F78690B"/>
    <w:rsid w:val="1F8C3E0D"/>
    <w:rsid w:val="1F923E71"/>
    <w:rsid w:val="1F9F033C"/>
    <w:rsid w:val="1FC009DE"/>
    <w:rsid w:val="1FC102B2"/>
    <w:rsid w:val="1FF57F5C"/>
    <w:rsid w:val="1FFC753C"/>
    <w:rsid w:val="20025217"/>
    <w:rsid w:val="200F101E"/>
    <w:rsid w:val="201A2F66"/>
    <w:rsid w:val="202251F5"/>
    <w:rsid w:val="202B167B"/>
    <w:rsid w:val="20370574"/>
    <w:rsid w:val="203B1E13"/>
    <w:rsid w:val="20484530"/>
    <w:rsid w:val="205E3D53"/>
    <w:rsid w:val="2062004E"/>
    <w:rsid w:val="2069659D"/>
    <w:rsid w:val="206A6B9C"/>
    <w:rsid w:val="20803CC9"/>
    <w:rsid w:val="20880DD0"/>
    <w:rsid w:val="208A444E"/>
    <w:rsid w:val="20976A86"/>
    <w:rsid w:val="20A53730"/>
    <w:rsid w:val="20A774A8"/>
    <w:rsid w:val="20AA51EA"/>
    <w:rsid w:val="20B147CB"/>
    <w:rsid w:val="20B46EA9"/>
    <w:rsid w:val="20B56069"/>
    <w:rsid w:val="20B9796F"/>
    <w:rsid w:val="20C8677A"/>
    <w:rsid w:val="20CF69FF"/>
    <w:rsid w:val="20DB53FF"/>
    <w:rsid w:val="20DD736E"/>
    <w:rsid w:val="20E95D13"/>
    <w:rsid w:val="20F36B91"/>
    <w:rsid w:val="21030653"/>
    <w:rsid w:val="210F3C9D"/>
    <w:rsid w:val="212154AC"/>
    <w:rsid w:val="21260D15"/>
    <w:rsid w:val="21374CD0"/>
    <w:rsid w:val="21380A48"/>
    <w:rsid w:val="214D7E86"/>
    <w:rsid w:val="216135BF"/>
    <w:rsid w:val="21621621"/>
    <w:rsid w:val="216830DB"/>
    <w:rsid w:val="217750CC"/>
    <w:rsid w:val="21843C8D"/>
    <w:rsid w:val="21871088"/>
    <w:rsid w:val="21887424"/>
    <w:rsid w:val="21A25092"/>
    <w:rsid w:val="21B207FA"/>
    <w:rsid w:val="21C078FF"/>
    <w:rsid w:val="21C6656C"/>
    <w:rsid w:val="21C87751"/>
    <w:rsid w:val="21C916A0"/>
    <w:rsid w:val="21D81D1E"/>
    <w:rsid w:val="21DF0EC4"/>
    <w:rsid w:val="21E5472C"/>
    <w:rsid w:val="2201708C"/>
    <w:rsid w:val="220300C0"/>
    <w:rsid w:val="22146DBF"/>
    <w:rsid w:val="222679C2"/>
    <w:rsid w:val="222C36A0"/>
    <w:rsid w:val="222F2F3D"/>
    <w:rsid w:val="22401962"/>
    <w:rsid w:val="22461303"/>
    <w:rsid w:val="224C47AB"/>
    <w:rsid w:val="224D0523"/>
    <w:rsid w:val="225D1396"/>
    <w:rsid w:val="226A3AEE"/>
    <w:rsid w:val="227072AF"/>
    <w:rsid w:val="22717D6E"/>
    <w:rsid w:val="22813DB4"/>
    <w:rsid w:val="228D6B72"/>
    <w:rsid w:val="2298377C"/>
    <w:rsid w:val="229E3F63"/>
    <w:rsid w:val="22A719E1"/>
    <w:rsid w:val="22C00FC4"/>
    <w:rsid w:val="22C0505B"/>
    <w:rsid w:val="22C50669"/>
    <w:rsid w:val="22CC31F6"/>
    <w:rsid w:val="22E9542B"/>
    <w:rsid w:val="22EE5862"/>
    <w:rsid w:val="22F23E66"/>
    <w:rsid w:val="232079E6"/>
    <w:rsid w:val="23530719"/>
    <w:rsid w:val="236744E5"/>
    <w:rsid w:val="236B2A0F"/>
    <w:rsid w:val="23723FB5"/>
    <w:rsid w:val="2374352E"/>
    <w:rsid w:val="23775858"/>
    <w:rsid w:val="2378512C"/>
    <w:rsid w:val="237D2742"/>
    <w:rsid w:val="23812740"/>
    <w:rsid w:val="238E494F"/>
    <w:rsid w:val="23A94C82"/>
    <w:rsid w:val="23AA3203"/>
    <w:rsid w:val="23BC326A"/>
    <w:rsid w:val="23E427C1"/>
    <w:rsid w:val="23E822B1"/>
    <w:rsid w:val="23EB3B50"/>
    <w:rsid w:val="23F549CE"/>
    <w:rsid w:val="23F907D0"/>
    <w:rsid w:val="23FA1FE5"/>
    <w:rsid w:val="23FE3883"/>
    <w:rsid w:val="24056520"/>
    <w:rsid w:val="24066BDB"/>
    <w:rsid w:val="244947F8"/>
    <w:rsid w:val="24545B99"/>
    <w:rsid w:val="24613E12"/>
    <w:rsid w:val="2463402E"/>
    <w:rsid w:val="24637B8A"/>
    <w:rsid w:val="24714124"/>
    <w:rsid w:val="248D10AB"/>
    <w:rsid w:val="24B108F5"/>
    <w:rsid w:val="24B146FC"/>
    <w:rsid w:val="24B5788B"/>
    <w:rsid w:val="24BB1774"/>
    <w:rsid w:val="24D12502"/>
    <w:rsid w:val="24D60EB7"/>
    <w:rsid w:val="24EC4023"/>
    <w:rsid w:val="24F039A5"/>
    <w:rsid w:val="24F15196"/>
    <w:rsid w:val="25037C54"/>
    <w:rsid w:val="250A26FB"/>
    <w:rsid w:val="251B0794"/>
    <w:rsid w:val="2524184E"/>
    <w:rsid w:val="25302686"/>
    <w:rsid w:val="253A7792"/>
    <w:rsid w:val="253B4663"/>
    <w:rsid w:val="25553977"/>
    <w:rsid w:val="256966EC"/>
    <w:rsid w:val="2572156F"/>
    <w:rsid w:val="25AC080E"/>
    <w:rsid w:val="25AD1C42"/>
    <w:rsid w:val="25B032A3"/>
    <w:rsid w:val="25EE7927"/>
    <w:rsid w:val="25F56F08"/>
    <w:rsid w:val="260B04D9"/>
    <w:rsid w:val="260F621B"/>
    <w:rsid w:val="2615594F"/>
    <w:rsid w:val="26171264"/>
    <w:rsid w:val="26296BB1"/>
    <w:rsid w:val="26487037"/>
    <w:rsid w:val="264D464E"/>
    <w:rsid w:val="265669CE"/>
    <w:rsid w:val="265A0668"/>
    <w:rsid w:val="265A6564"/>
    <w:rsid w:val="265C39C6"/>
    <w:rsid w:val="26681F55"/>
    <w:rsid w:val="269B7AAF"/>
    <w:rsid w:val="269E30FB"/>
    <w:rsid w:val="26A12BEB"/>
    <w:rsid w:val="26A76454"/>
    <w:rsid w:val="26B84D6F"/>
    <w:rsid w:val="26C80178"/>
    <w:rsid w:val="26DB434F"/>
    <w:rsid w:val="26DC3C24"/>
    <w:rsid w:val="26F96584"/>
    <w:rsid w:val="26FA6A97"/>
    <w:rsid w:val="270618B7"/>
    <w:rsid w:val="270642B1"/>
    <w:rsid w:val="27214DB6"/>
    <w:rsid w:val="274A236F"/>
    <w:rsid w:val="274C2B57"/>
    <w:rsid w:val="276500BD"/>
    <w:rsid w:val="27734588"/>
    <w:rsid w:val="278A3680"/>
    <w:rsid w:val="279369D8"/>
    <w:rsid w:val="27952750"/>
    <w:rsid w:val="27B150B0"/>
    <w:rsid w:val="27BC417B"/>
    <w:rsid w:val="27C430AB"/>
    <w:rsid w:val="27CF81E4"/>
    <w:rsid w:val="27D23622"/>
    <w:rsid w:val="27D63F98"/>
    <w:rsid w:val="280B656E"/>
    <w:rsid w:val="280E42B1"/>
    <w:rsid w:val="28137B19"/>
    <w:rsid w:val="28250763"/>
    <w:rsid w:val="282E40BB"/>
    <w:rsid w:val="28315F3F"/>
    <w:rsid w:val="283554B7"/>
    <w:rsid w:val="284044FF"/>
    <w:rsid w:val="28412892"/>
    <w:rsid w:val="284952E9"/>
    <w:rsid w:val="284D4DD9"/>
    <w:rsid w:val="28506F1C"/>
    <w:rsid w:val="2858552C"/>
    <w:rsid w:val="285C326E"/>
    <w:rsid w:val="285C6DCA"/>
    <w:rsid w:val="28681B30"/>
    <w:rsid w:val="286B2FBB"/>
    <w:rsid w:val="28780283"/>
    <w:rsid w:val="28A30B3A"/>
    <w:rsid w:val="28AA3FD9"/>
    <w:rsid w:val="28B2048C"/>
    <w:rsid w:val="28C0157D"/>
    <w:rsid w:val="28E77014"/>
    <w:rsid w:val="28F60FCD"/>
    <w:rsid w:val="28F931A5"/>
    <w:rsid w:val="28FC235B"/>
    <w:rsid w:val="28FC6344"/>
    <w:rsid w:val="28FE2577"/>
    <w:rsid w:val="29001E4B"/>
    <w:rsid w:val="29052F68"/>
    <w:rsid w:val="29074A96"/>
    <w:rsid w:val="291E7D21"/>
    <w:rsid w:val="29423FA6"/>
    <w:rsid w:val="29534671"/>
    <w:rsid w:val="295F6AE4"/>
    <w:rsid w:val="296436C9"/>
    <w:rsid w:val="29746395"/>
    <w:rsid w:val="29812FA2"/>
    <w:rsid w:val="29817476"/>
    <w:rsid w:val="29890747"/>
    <w:rsid w:val="2990012A"/>
    <w:rsid w:val="29952E89"/>
    <w:rsid w:val="29A94291"/>
    <w:rsid w:val="29A94D9A"/>
    <w:rsid w:val="29B13146"/>
    <w:rsid w:val="29BB3C63"/>
    <w:rsid w:val="29D82DC8"/>
    <w:rsid w:val="29FA0F90"/>
    <w:rsid w:val="2A063491"/>
    <w:rsid w:val="2A0F455E"/>
    <w:rsid w:val="2A165ACF"/>
    <w:rsid w:val="2A2878AC"/>
    <w:rsid w:val="2A2C0A1E"/>
    <w:rsid w:val="2A30050E"/>
    <w:rsid w:val="2A342FBE"/>
    <w:rsid w:val="2A3873C3"/>
    <w:rsid w:val="2A4A56FF"/>
    <w:rsid w:val="2A7A3E7F"/>
    <w:rsid w:val="2A81520E"/>
    <w:rsid w:val="2A8E16D9"/>
    <w:rsid w:val="2A8F7DC6"/>
    <w:rsid w:val="2A9071FF"/>
    <w:rsid w:val="2AA30295"/>
    <w:rsid w:val="2AA64C74"/>
    <w:rsid w:val="2AB033FD"/>
    <w:rsid w:val="2ABB0720"/>
    <w:rsid w:val="2ABD0558"/>
    <w:rsid w:val="2ADC41F2"/>
    <w:rsid w:val="2ADF3CE2"/>
    <w:rsid w:val="2AE93CBC"/>
    <w:rsid w:val="2AF401F0"/>
    <w:rsid w:val="2AFB5C85"/>
    <w:rsid w:val="2AFE5A6B"/>
    <w:rsid w:val="2B044D71"/>
    <w:rsid w:val="2B05199B"/>
    <w:rsid w:val="2B053749"/>
    <w:rsid w:val="2B0821C8"/>
    <w:rsid w:val="2B1C6CE5"/>
    <w:rsid w:val="2B296A51"/>
    <w:rsid w:val="2B4A7790"/>
    <w:rsid w:val="2B555AFE"/>
    <w:rsid w:val="2B5621F6"/>
    <w:rsid w:val="2B574B77"/>
    <w:rsid w:val="2B5B3A94"/>
    <w:rsid w:val="2B634913"/>
    <w:rsid w:val="2B674404"/>
    <w:rsid w:val="2B6E5BDC"/>
    <w:rsid w:val="2B747DC7"/>
    <w:rsid w:val="2B8F5385"/>
    <w:rsid w:val="2B91392E"/>
    <w:rsid w:val="2BA271EA"/>
    <w:rsid w:val="2BA47406"/>
    <w:rsid w:val="2BB84C5F"/>
    <w:rsid w:val="2BC36512"/>
    <w:rsid w:val="2BC37160"/>
    <w:rsid w:val="2BCF3D57"/>
    <w:rsid w:val="2BD837C1"/>
    <w:rsid w:val="2BE2574F"/>
    <w:rsid w:val="2BEC4909"/>
    <w:rsid w:val="2BEE68D3"/>
    <w:rsid w:val="2BFF522B"/>
    <w:rsid w:val="2C0E2AD1"/>
    <w:rsid w:val="2C190392"/>
    <w:rsid w:val="2C25151B"/>
    <w:rsid w:val="2C265B59"/>
    <w:rsid w:val="2C2A5C3C"/>
    <w:rsid w:val="2C301DCD"/>
    <w:rsid w:val="2C3167C0"/>
    <w:rsid w:val="2C3E56C4"/>
    <w:rsid w:val="2C3F1331"/>
    <w:rsid w:val="2C414C55"/>
    <w:rsid w:val="2C4464F3"/>
    <w:rsid w:val="2C523826"/>
    <w:rsid w:val="2C7E3771"/>
    <w:rsid w:val="2C8614AF"/>
    <w:rsid w:val="2C8D7E9A"/>
    <w:rsid w:val="2C932FD6"/>
    <w:rsid w:val="2CA64AB8"/>
    <w:rsid w:val="2CB25B52"/>
    <w:rsid w:val="2CB43483"/>
    <w:rsid w:val="2CD30D2B"/>
    <w:rsid w:val="2CE656DA"/>
    <w:rsid w:val="2CF55A3F"/>
    <w:rsid w:val="2CF83863"/>
    <w:rsid w:val="2CFC0B7C"/>
    <w:rsid w:val="2CFF066C"/>
    <w:rsid w:val="2D022756"/>
    <w:rsid w:val="2D184B6E"/>
    <w:rsid w:val="2D1F400C"/>
    <w:rsid w:val="2D2E4048"/>
    <w:rsid w:val="2D412A32"/>
    <w:rsid w:val="2D454379"/>
    <w:rsid w:val="2D542766"/>
    <w:rsid w:val="2D656721"/>
    <w:rsid w:val="2D7574BA"/>
    <w:rsid w:val="2D7C3A6A"/>
    <w:rsid w:val="2D7C419E"/>
    <w:rsid w:val="2D8021B5"/>
    <w:rsid w:val="2D825525"/>
    <w:rsid w:val="2D854503"/>
    <w:rsid w:val="2D872B3B"/>
    <w:rsid w:val="2D917516"/>
    <w:rsid w:val="2D9313C9"/>
    <w:rsid w:val="2D940755"/>
    <w:rsid w:val="2D99286E"/>
    <w:rsid w:val="2D9E2727"/>
    <w:rsid w:val="2DA454DE"/>
    <w:rsid w:val="2DAE631A"/>
    <w:rsid w:val="2DB11304"/>
    <w:rsid w:val="2DBD0F99"/>
    <w:rsid w:val="2DC23B73"/>
    <w:rsid w:val="2DCA0C7A"/>
    <w:rsid w:val="2DD35D80"/>
    <w:rsid w:val="2DDC3B25"/>
    <w:rsid w:val="2DF16206"/>
    <w:rsid w:val="2E0E0B66"/>
    <w:rsid w:val="2E151E27"/>
    <w:rsid w:val="2E1A75FA"/>
    <w:rsid w:val="2E1C6DC4"/>
    <w:rsid w:val="2E334350"/>
    <w:rsid w:val="2E383E35"/>
    <w:rsid w:val="2E3E5BC2"/>
    <w:rsid w:val="2E556BB4"/>
    <w:rsid w:val="2E6115DE"/>
    <w:rsid w:val="2E8F577D"/>
    <w:rsid w:val="2EA10F48"/>
    <w:rsid w:val="2EA6182F"/>
    <w:rsid w:val="2EA96C03"/>
    <w:rsid w:val="2EC21951"/>
    <w:rsid w:val="2ECC182D"/>
    <w:rsid w:val="2ECE153E"/>
    <w:rsid w:val="2EEC2C83"/>
    <w:rsid w:val="2EF97A69"/>
    <w:rsid w:val="2EFD5783"/>
    <w:rsid w:val="2F080443"/>
    <w:rsid w:val="2F0E596C"/>
    <w:rsid w:val="2F1C7979"/>
    <w:rsid w:val="2F300FB0"/>
    <w:rsid w:val="2F340AA1"/>
    <w:rsid w:val="2F462582"/>
    <w:rsid w:val="2F4823DA"/>
    <w:rsid w:val="2F4B4BBE"/>
    <w:rsid w:val="2F4F0A88"/>
    <w:rsid w:val="2F683468"/>
    <w:rsid w:val="2F7B1B19"/>
    <w:rsid w:val="2F8F75B0"/>
    <w:rsid w:val="2F990FB7"/>
    <w:rsid w:val="2F9B467C"/>
    <w:rsid w:val="2FA24FB1"/>
    <w:rsid w:val="2FAA48BF"/>
    <w:rsid w:val="2FAA522D"/>
    <w:rsid w:val="2FB7133D"/>
    <w:rsid w:val="2FB76FDC"/>
    <w:rsid w:val="2FBE3FC5"/>
    <w:rsid w:val="2FBF7622"/>
    <w:rsid w:val="2FC17E5A"/>
    <w:rsid w:val="2FFB344A"/>
    <w:rsid w:val="301663F8"/>
    <w:rsid w:val="30175D96"/>
    <w:rsid w:val="301B5D4A"/>
    <w:rsid w:val="30282A22"/>
    <w:rsid w:val="3038011D"/>
    <w:rsid w:val="30420F9B"/>
    <w:rsid w:val="304D0EBF"/>
    <w:rsid w:val="30590093"/>
    <w:rsid w:val="307C64EE"/>
    <w:rsid w:val="308C2216"/>
    <w:rsid w:val="308E6971"/>
    <w:rsid w:val="30A262C5"/>
    <w:rsid w:val="30C61BCC"/>
    <w:rsid w:val="30E519E4"/>
    <w:rsid w:val="30E53F9E"/>
    <w:rsid w:val="30FF0C3A"/>
    <w:rsid w:val="3112096E"/>
    <w:rsid w:val="311346E6"/>
    <w:rsid w:val="311A1F18"/>
    <w:rsid w:val="31322DBE"/>
    <w:rsid w:val="31330173"/>
    <w:rsid w:val="31331A1C"/>
    <w:rsid w:val="313A1896"/>
    <w:rsid w:val="314E6E6F"/>
    <w:rsid w:val="315B7464"/>
    <w:rsid w:val="316B1CB8"/>
    <w:rsid w:val="3170301A"/>
    <w:rsid w:val="317B5234"/>
    <w:rsid w:val="317E24A7"/>
    <w:rsid w:val="317F2F29"/>
    <w:rsid w:val="31830C1E"/>
    <w:rsid w:val="3184468C"/>
    <w:rsid w:val="319811F6"/>
    <w:rsid w:val="31BC6E71"/>
    <w:rsid w:val="31D16A7B"/>
    <w:rsid w:val="31E35A37"/>
    <w:rsid w:val="31E760F3"/>
    <w:rsid w:val="31F532C8"/>
    <w:rsid w:val="31F75DB5"/>
    <w:rsid w:val="31FA4BDD"/>
    <w:rsid w:val="31FC5E7B"/>
    <w:rsid w:val="32053B90"/>
    <w:rsid w:val="3208035E"/>
    <w:rsid w:val="320A5AE9"/>
    <w:rsid w:val="321750D5"/>
    <w:rsid w:val="321F6F3E"/>
    <w:rsid w:val="3220355E"/>
    <w:rsid w:val="322F53BA"/>
    <w:rsid w:val="32384404"/>
    <w:rsid w:val="324F174E"/>
    <w:rsid w:val="325356E2"/>
    <w:rsid w:val="325C59AA"/>
    <w:rsid w:val="325F0ADE"/>
    <w:rsid w:val="32603A51"/>
    <w:rsid w:val="3261134B"/>
    <w:rsid w:val="32621481"/>
    <w:rsid w:val="326630C3"/>
    <w:rsid w:val="32674CE9"/>
    <w:rsid w:val="32715B68"/>
    <w:rsid w:val="32786F1B"/>
    <w:rsid w:val="32814FDD"/>
    <w:rsid w:val="328A6C2A"/>
    <w:rsid w:val="3297143E"/>
    <w:rsid w:val="329B1F9A"/>
    <w:rsid w:val="32A06A27"/>
    <w:rsid w:val="32A65A13"/>
    <w:rsid w:val="32A6623F"/>
    <w:rsid w:val="32BD6FFF"/>
    <w:rsid w:val="32C5056A"/>
    <w:rsid w:val="32D63C1D"/>
    <w:rsid w:val="32DF6F75"/>
    <w:rsid w:val="32E20814"/>
    <w:rsid w:val="32E2209E"/>
    <w:rsid w:val="32E60304"/>
    <w:rsid w:val="33010C9A"/>
    <w:rsid w:val="330D3AE3"/>
    <w:rsid w:val="33150BE9"/>
    <w:rsid w:val="33252886"/>
    <w:rsid w:val="332D7CE1"/>
    <w:rsid w:val="33380434"/>
    <w:rsid w:val="33445F0D"/>
    <w:rsid w:val="33484B1B"/>
    <w:rsid w:val="335039CF"/>
    <w:rsid w:val="33552964"/>
    <w:rsid w:val="33552D94"/>
    <w:rsid w:val="336851BD"/>
    <w:rsid w:val="337B48B4"/>
    <w:rsid w:val="338143E2"/>
    <w:rsid w:val="338F305A"/>
    <w:rsid w:val="339264A6"/>
    <w:rsid w:val="339E0BDF"/>
    <w:rsid w:val="33A61841"/>
    <w:rsid w:val="33BA709B"/>
    <w:rsid w:val="33C30645"/>
    <w:rsid w:val="33D61C65"/>
    <w:rsid w:val="33D7637B"/>
    <w:rsid w:val="33F822F0"/>
    <w:rsid w:val="33FE0505"/>
    <w:rsid w:val="34000F51"/>
    <w:rsid w:val="340D7B12"/>
    <w:rsid w:val="3429576C"/>
    <w:rsid w:val="342C2C63"/>
    <w:rsid w:val="342D5ABF"/>
    <w:rsid w:val="34460FA6"/>
    <w:rsid w:val="34494D56"/>
    <w:rsid w:val="34533777"/>
    <w:rsid w:val="34622638"/>
    <w:rsid w:val="346516FC"/>
    <w:rsid w:val="346E6EB5"/>
    <w:rsid w:val="347B2CCE"/>
    <w:rsid w:val="349B3370"/>
    <w:rsid w:val="34A95AEC"/>
    <w:rsid w:val="34BA22CF"/>
    <w:rsid w:val="34C91C8B"/>
    <w:rsid w:val="34CC78DE"/>
    <w:rsid w:val="34CD0057"/>
    <w:rsid w:val="34CF3EC0"/>
    <w:rsid w:val="34DD43B0"/>
    <w:rsid w:val="34E44283"/>
    <w:rsid w:val="34EA50C0"/>
    <w:rsid w:val="34EE34A0"/>
    <w:rsid w:val="34F33242"/>
    <w:rsid w:val="35196976"/>
    <w:rsid w:val="35523A2F"/>
    <w:rsid w:val="355C48AD"/>
    <w:rsid w:val="355F0320"/>
    <w:rsid w:val="356252CE"/>
    <w:rsid w:val="356E2833"/>
    <w:rsid w:val="357610E1"/>
    <w:rsid w:val="3586715F"/>
    <w:rsid w:val="35914C1C"/>
    <w:rsid w:val="35AB313F"/>
    <w:rsid w:val="35AD7627"/>
    <w:rsid w:val="35AE2C2F"/>
    <w:rsid w:val="35B00755"/>
    <w:rsid w:val="35B446E9"/>
    <w:rsid w:val="35B74AD7"/>
    <w:rsid w:val="35C249F4"/>
    <w:rsid w:val="35C661CB"/>
    <w:rsid w:val="35C85FE3"/>
    <w:rsid w:val="35DD0AFE"/>
    <w:rsid w:val="35E67FCE"/>
    <w:rsid w:val="35F61BC2"/>
    <w:rsid w:val="360206A2"/>
    <w:rsid w:val="36070CBD"/>
    <w:rsid w:val="36374158"/>
    <w:rsid w:val="363A0738"/>
    <w:rsid w:val="363E6B4A"/>
    <w:rsid w:val="36483EA2"/>
    <w:rsid w:val="36525CB0"/>
    <w:rsid w:val="36547242"/>
    <w:rsid w:val="36554449"/>
    <w:rsid w:val="36590DED"/>
    <w:rsid w:val="36633A19"/>
    <w:rsid w:val="366D2511"/>
    <w:rsid w:val="366D6646"/>
    <w:rsid w:val="369D13B4"/>
    <w:rsid w:val="36A62454"/>
    <w:rsid w:val="36AD2EE7"/>
    <w:rsid w:val="36B13C9C"/>
    <w:rsid w:val="36B85B13"/>
    <w:rsid w:val="36BD75CE"/>
    <w:rsid w:val="36D45FEB"/>
    <w:rsid w:val="36D91A3A"/>
    <w:rsid w:val="36DC1193"/>
    <w:rsid w:val="36DF5796"/>
    <w:rsid w:val="36E7289C"/>
    <w:rsid w:val="36EC3294"/>
    <w:rsid w:val="36F33C0B"/>
    <w:rsid w:val="371A67CE"/>
    <w:rsid w:val="37227431"/>
    <w:rsid w:val="372D3F07"/>
    <w:rsid w:val="373158C6"/>
    <w:rsid w:val="37365481"/>
    <w:rsid w:val="373858A4"/>
    <w:rsid w:val="373A29CC"/>
    <w:rsid w:val="37440CAA"/>
    <w:rsid w:val="375014D6"/>
    <w:rsid w:val="375770E4"/>
    <w:rsid w:val="376A07A0"/>
    <w:rsid w:val="376C456B"/>
    <w:rsid w:val="377F628E"/>
    <w:rsid w:val="378D51F2"/>
    <w:rsid w:val="379C5435"/>
    <w:rsid w:val="37A34A15"/>
    <w:rsid w:val="37AF1EA0"/>
    <w:rsid w:val="37C00A16"/>
    <w:rsid w:val="37DE37E1"/>
    <w:rsid w:val="37F039D3"/>
    <w:rsid w:val="37F30DCD"/>
    <w:rsid w:val="38003C16"/>
    <w:rsid w:val="38080D1C"/>
    <w:rsid w:val="381C28FC"/>
    <w:rsid w:val="384358B1"/>
    <w:rsid w:val="38481310"/>
    <w:rsid w:val="384D672F"/>
    <w:rsid w:val="38514471"/>
    <w:rsid w:val="38650402"/>
    <w:rsid w:val="38675A43"/>
    <w:rsid w:val="386A108F"/>
    <w:rsid w:val="387737AC"/>
    <w:rsid w:val="387B0179"/>
    <w:rsid w:val="38A37184"/>
    <w:rsid w:val="38B11832"/>
    <w:rsid w:val="38B92017"/>
    <w:rsid w:val="38C0414F"/>
    <w:rsid w:val="38CF548D"/>
    <w:rsid w:val="38D87A7A"/>
    <w:rsid w:val="38F372D7"/>
    <w:rsid w:val="38F70502"/>
    <w:rsid w:val="390551D2"/>
    <w:rsid w:val="39186D3D"/>
    <w:rsid w:val="391B270E"/>
    <w:rsid w:val="39205D9E"/>
    <w:rsid w:val="392806B2"/>
    <w:rsid w:val="3928167E"/>
    <w:rsid w:val="39335925"/>
    <w:rsid w:val="393A20D5"/>
    <w:rsid w:val="39555099"/>
    <w:rsid w:val="39641F82"/>
    <w:rsid w:val="396957EB"/>
    <w:rsid w:val="396F1325"/>
    <w:rsid w:val="397321C6"/>
    <w:rsid w:val="39830B5F"/>
    <w:rsid w:val="398A16EA"/>
    <w:rsid w:val="398E5251"/>
    <w:rsid w:val="399A1E48"/>
    <w:rsid w:val="39A92C0E"/>
    <w:rsid w:val="39BF17EF"/>
    <w:rsid w:val="39DB2C88"/>
    <w:rsid w:val="39EB6200"/>
    <w:rsid w:val="39EE3E95"/>
    <w:rsid w:val="39F257E0"/>
    <w:rsid w:val="39F2758E"/>
    <w:rsid w:val="39F41558"/>
    <w:rsid w:val="3A022199"/>
    <w:rsid w:val="3A046503"/>
    <w:rsid w:val="3A1275CC"/>
    <w:rsid w:val="3A1C285D"/>
    <w:rsid w:val="3A2629EA"/>
    <w:rsid w:val="3A2D4229"/>
    <w:rsid w:val="3A406295"/>
    <w:rsid w:val="3A4122C4"/>
    <w:rsid w:val="3A802DEC"/>
    <w:rsid w:val="3A854144"/>
    <w:rsid w:val="3A887EF3"/>
    <w:rsid w:val="3A922C6D"/>
    <w:rsid w:val="3AC52102"/>
    <w:rsid w:val="3AC85F07"/>
    <w:rsid w:val="3AD97F75"/>
    <w:rsid w:val="3AEF7F72"/>
    <w:rsid w:val="3AF31810"/>
    <w:rsid w:val="3B1254C5"/>
    <w:rsid w:val="3B1F3B0F"/>
    <w:rsid w:val="3B365BA1"/>
    <w:rsid w:val="3B4262F3"/>
    <w:rsid w:val="3B476157"/>
    <w:rsid w:val="3B4A2D33"/>
    <w:rsid w:val="3B4D2728"/>
    <w:rsid w:val="3B500855"/>
    <w:rsid w:val="3B53033D"/>
    <w:rsid w:val="3B5A4AAB"/>
    <w:rsid w:val="3B7B1805"/>
    <w:rsid w:val="3B7D4A60"/>
    <w:rsid w:val="3B7F12F6"/>
    <w:rsid w:val="3B9C1EA7"/>
    <w:rsid w:val="3BA90120"/>
    <w:rsid w:val="3BAC788A"/>
    <w:rsid w:val="3BB429F2"/>
    <w:rsid w:val="3BB83C56"/>
    <w:rsid w:val="3BC74A4B"/>
    <w:rsid w:val="3BDC53B4"/>
    <w:rsid w:val="3BE9676F"/>
    <w:rsid w:val="3BED0DC8"/>
    <w:rsid w:val="3BF21B1D"/>
    <w:rsid w:val="3BFC2946"/>
    <w:rsid w:val="3BFC46F4"/>
    <w:rsid w:val="3C081952"/>
    <w:rsid w:val="3C0B0DDB"/>
    <w:rsid w:val="3C1327EF"/>
    <w:rsid w:val="3C141313"/>
    <w:rsid w:val="3C1A7270"/>
    <w:rsid w:val="3C2974B3"/>
    <w:rsid w:val="3C2A63A2"/>
    <w:rsid w:val="3C3F2833"/>
    <w:rsid w:val="3C410D0A"/>
    <w:rsid w:val="3C430575"/>
    <w:rsid w:val="3C681C83"/>
    <w:rsid w:val="3C812E4B"/>
    <w:rsid w:val="3C8343DC"/>
    <w:rsid w:val="3C836BC3"/>
    <w:rsid w:val="3C8B3CCA"/>
    <w:rsid w:val="3C934A32"/>
    <w:rsid w:val="3CA6504C"/>
    <w:rsid w:val="3CAB1604"/>
    <w:rsid w:val="3CAC1FDE"/>
    <w:rsid w:val="3CBA4554"/>
    <w:rsid w:val="3CBB45AF"/>
    <w:rsid w:val="3CCD6091"/>
    <w:rsid w:val="3CCD78C1"/>
    <w:rsid w:val="3CE242F0"/>
    <w:rsid w:val="3CE60F00"/>
    <w:rsid w:val="3CF359EA"/>
    <w:rsid w:val="3CF90D5D"/>
    <w:rsid w:val="3CFC3632"/>
    <w:rsid w:val="3CFE2908"/>
    <w:rsid w:val="3D000214"/>
    <w:rsid w:val="3D163594"/>
    <w:rsid w:val="3D17730C"/>
    <w:rsid w:val="3D32148F"/>
    <w:rsid w:val="3D4248B6"/>
    <w:rsid w:val="3D474095"/>
    <w:rsid w:val="3D4C08B8"/>
    <w:rsid w:val="3D536596"/>
    <w:rsid w:val="3D6270B4"/>
    <w:rsid w:val="3D6924C9"/>
    <w:rsid w:val="3D69447C"/>
    <w:rsid w:val="3D6D517E"/>
    <w:rsid w:val="3D6E1622"/>
    <w:rsid w:val="3D8140D9"/>
    <w:rsid w:val="3D8772D9"/>
    <w:rsid w:val="3D977D5D"/>
    <w:rsid w:val="3DA82F99"/>
    <w:rsid w:val="3DAB4624"/>
    <w:rsid w:val="3DB66B25"/>
    <w:rsid w:val="3DB85EFB"/>
    <w:rsid w:val="3DB92A70"/>
    <w:rsid w:val="3DBB238D"/>
    <w:rsid w:val="3DC7281A"/>
    <w:rsid w:val="3DCB6600"/>
    <w:rsid w:val="3DCF05BC"/>
    <w:rsid w:val="3DD60DAF"/>
    <w:rsid w:val="3DEB0EC4"/>
    <w:rsid w:val="3DEB332E"/>
    <w:rsid w:val="3E0755D2"/>
    <w:rsid w:val="3E0B466A"/>
    <w:rsid w:val="3E1F4BB5"/>
    <w:rsid w:val="3E261EFC"/>
    <w:rsid w:val="3E2E0DB1"/>
    <w:rsid w:val="3E4D7489"/>
    <w:rsid w:val="3E542365"/>
    <w:rsid w:val="3E6B5B61"/>
    <w:rsid w:val="3E80785E"/>
    <w:rsid w:val="3E8C6B1F"/>
    <w:rsid w:val="3E952BDE"/>
    <w:rsid w:val="3EBA1DF2"/>
    <w:rsid w:val="3EEB0A50"/>
    <w:rsid w:val="3EF02B50"/>
    <w:rsid w:val="3EF11092"/>
    <w:rsid w:val="3EF96368"/>
    <w:rsid w:val="3EFC76B1"/>
    <w:rsid w:val="3EFEE2B1"/>
    <w:rsid w:val="3F0A7128"/>
    <w:rsid w:val="3F116709"/>
    <w:rsid w:val="3F233AD2"/>
    <w:rsid w:val="3F267EF1"/>
    <w:rsid w:val="3F316DAB"/>
    <w:rsid w:val="3F344FDD"/>
    <w:rsid w:val="3F537317"/>
    <w:rsid w:val="3F5A2E5F"/>
    <w:rsid w:val="3F617A68"/>
    <w:rsid w:val="3F6C1B91"/>
    <w:rsid w:val="3F702708"/>
    <w:rsid w:val="3F7D5B4C"/>
    <w:rsid w:val="3F966C0E"/>
    <w:rsid w:val="3F99349C"/>
    <w:rsid w:val="3FA07A8C"/>
    <w:rsid w:val="3FB11C9A"/>
    <w:rsid w:val="3FB5178A"/>
    <w:rsid w:val="3FBE5CC3"/>
    <w:rsid w:val="3FC26FB4"/>
    <w:rsid w:val="3FF5AF40"/>
    <w:rsid w:val="40057CA5"/>
    <w:rsid w:val="400B75FC"/>
    <w:rsid w:val="403A3A3D"/>
    <w:rsid w:val="404218B6"/>
    <w:rsid w:val="404448BC"/>
    <w:rsid w:val="404533EE"/>
    <w:rsid w:val="40471332"/>
    <w:rsid w:val="404B79F8"/>
    <w:rsid w:val="407E7DCE"/>
    <w:rsid w:val="408353E4"/>
    <w:rsid w:val="408E7CE2"/>
    <w:rsid w:val="40983CD1"/>
    <w:rsid w:val="409969B6"/>
    <w:rsid w:val="40AF0120"/>
    <w:rsid w:val="40BD0183"/>
    <w:rsid w:val="40CB0B39"/>
    <w:rsid w:val="40DF4945"/>
    <w:rsid w:val="40E40CD2"/>
    <w:rsid w:val="40F11B6B"/>
    <w:rsid w:val="40F167F2"/>
    <w:rsid w:val="40F53889"/>
    <w:rsid w:val="40F72B9F"/>
    <w:rsid w:val="41036525"/>
    <w:rsid w:val="41140732"/>
    <w:rsid w:val="41456B3D"/>
    <w:rsid w:val="41467112"/>
    <w:rsid w:val="414F176A"/>
    <w:rsid w:val="4153125A"/>
    <w:rsid w:val="41596145"/>
    <w:rsid w:val="41604F25"/>
    <w:rsid w:val="41656898"/>
    <w:rsid w:val="41676D8C"/>
    <w:rsid w:val="4182569C"/>
    <w:rsid w:val="418E34B6"/>
    <w:rsid w:val="41935661"/>
    <w:rsid w:val="41BB6E00"/>
    <w:rsid w:val="41CE08E1"/>
    <w:rsid w:val="41D7449A"/>
    <w:rsid w:val="41FF2BA2"/>
    <w:rsid w:val="42002A64"/>
    <w:rsid w:val="421C4BE2"/>
    <w:rsid w:val="422A188F"/>
    <w:rsid w:val="422B7AE1"/>
    <w:rsid w:val="422F5AF6"/>
    <w:rsid w:val="42426BD9"/>
    <w:rsid w:val="4255177A"/>
    <w:rsid w:val="42552DB0"/>
    <w:rsid w:val="426B4382"/>
    <w:rsid w:val="427973AF"/>
    <w:rsid w:val="42862F6A"/>
    <w:rsid w:val="428A2A07"/>
    <w:rsid w:val="428C60A6"/>
    <w:rsid w:val="42A457AD"/>
    <w:rsid w:val="42AB1CB9"/>
    <w:rsid w:val="42AE5C8C"/>
    <w:rsid w:val="42AE784B"/>
    <w:rsid w:val="42B051A7"/>
    <w:rsid w:val="42CE66BF"/>
    <w:rsid w:val="42E2739A"/>
    <w:rsid w:val="42F470EE"/>
    <w:rsid w:val="42F500EF"/>
    <w:rsid w:val="42FC322C"/>
    <w:rsid w:val="433C7ACC"/>
    <w:rsid w:val="43670FED"/>
    <w:rsid w:val="43675BC8"/>
    <w:rsid w:val="43784FA8"/>
    <w:rsid w:val="43860D47"/>
    <w:rsid w:val="439873F8"/>
    <w:rsid w:val="43B260B8"/>
    <w:rsid w:val="43CC70A2"/>
    <w:rsid w:val="43D83C99"/>
    <w:rsid w:val="43E366D3"/>
    <w:rsid w:val="43EA39CC"/>
    <w:rsid w:val="43F27E60"/>
    <w:rsid w:val="43F56AA3"/>
    <w:rsid w:val="44136A7F"/>
    <w:rsid w:val="441B1F26"/>
    <w:rsid w:val="444F5DA8"/>
    <w:rsid w:val="44517FA5"/>
    <w:rsid w:val="44564BBE"/>
    <w:rsid w:val="446217B4"/>
    <w:rsid w:val="44890AEF"/>
    <w:rsid w:val="44983528"/>
    <w:rsid w:val="44AB214F"/>
    <w:rsid w:val="44C31015"/>
    <w:rsid w:val="44CB55AC"/>
    <w:rsid w:val="44D07056"/>
    <w:rsid w:val="44D25436"/>
    <w:rsid w:val="44D73812"/>
    <w:rsid w:val="44DC77F6"/>
    <w:rsid w:val="450E5498"/>
    <w:rsid w:val="45163349"/>
    <w:rsid w:val="45264590"/>
    <w:rsid w:val="45294080"/>
    <w:rsid w:val="454A2974"/>
    <w:rsid w:val="454F3AE7"/>
    <w:rsid w:val="455B2506"/>
    <w:rsid w:val="455C6708"/>
    <w:rsid w:val="45765517"/>
    <w:rsid w:val="458A2D7F"/>
    <w:rsid w:val="45927E77"/>
    <w:rsid w:val="45937CC5"/>
    <w:rsid w:val="459D5EDD"/>
    <w:rsid w:val="45B03657"/>
    <w:rsid w:val="45CC5137"/>
    <w:rsid w:val="45EC0586"/>
    <w:rsid w:val="460C55EB"/>
    <w:rsid w:val="46184820"/>
    <w:rsid w:val="4625300F"/>
    <w:rsid w:val="463A4797"/>
    <w:rsid w:val="463F1466"/>
    <w:rsid w:val="464E3D9E"/>
    <w:rsid w:val="466C0740"/>
    <w:rsid w:val="468B4FF2"/>
    <w:rsid w:val="46902609"/>
    <w:rsid w:val="469367E2"/>
    <w:rsid w:val="469D4D26"/>
    <w:rsid w:val="46A15FA0"/>
    <w:rsid w:val="46A75BA4"/>
    <w:rsid w:val="46AB7443"/>
    <w:rsid w:val="46AE54F5"/>
    <w:rsid w:val="46B536BF"/>
    <w:rsid w:val="46BD7176"/>
    <w:rsid w:val="46D00C57"/>
    <w:rsid w:val="46DF0E9A"/>
    <w:rsid w:val="46F70D4F"/>
    <w:rsid w:val="47021509"/>
    <w:rsid w:val="47070DF5"/>
    <w:rsid w:val="47131BFB"/>
    <w:rsid w:val="4718706F"/>
    <w:rsid w:val="471A4974"/>
    <w:rsid w:val="471E5E67"/>
    <w:rsid w:val="472563E4"/>
    <w:rsid w:val="473138EC"/>
    <w:rsid w:val="4734568A"/>
    <w:rsid w:val="473531B0"/>
    <w:rsid w:val="473F596F"/>
    <w:rsid w:val="474927B8"/>
    <w:rsid w:val="474D3ADF"/>
    <w:rsid w:val="474F658B"/>
    <w:rsid w:val="475C7DB9"/>
    <w:rsid w:val="475E44B5"/>
    <w:rsid w:val="47721D0E"/>
    <w:rsid w:val="477947D7"/>
    <w:rsid w:val="477D233E"/>
    <w:rsid w:val="47855EE6"/>
    <w:rsid w:val="47AE17EF"/>
    <w:rsid w:val="47C07F9C"/>
    <w:rsid w:val="47D40EB8"/>
    <w:rsid w:val="47DC362C"/>
    <w:rsid w:val="481029EC"/>
    <w:rsid w:val="4817039A"/>
    <w:rsid w:val="48343468"/>
    <w:rsid w:val="48384D06"/>
    <w:rsid w:val="484336AB"/>
    <w:rsid w:val="484A4A39"/>
    <w:rsid w:val="48566CF1"/>
    <w:rsid w:val="485E3EC5"/>
    <w:rsid w:val="487815A6"/>
    <w:rsid w:val="489932CB"/>
    <w:rsid w:val="48C20A74"/>
    <w:rsid w:val="48D03190"/>
    <w:rsid w:val="48DA400F"/>
    <w:rsid w:val="48DA58D3"/>
    <w:rsid w:val="48E21116"/>
    <w:rsid w:val="48E64762"/>
    <w:rsid w:val="48E704DA"/>
    <w:rsid w:val="49157F45"/>
    <w:rsid w:val="49170DBF"/>
    <w:rsid w:val="491D3EFC"/>
    <w:rsid w:val="491F7C74"/>
    <w:rsid w:val="49282FCC"/>
    <w:rsid w:val="492928A1"/>
    <w:rsid w:val="493C2BF3"/>
    <w:rsid w:val="494D6479"/>
    <w:rsid w:val="49643C2B"/>
    <w:rsid w:val="496B2EB9"/>
    <w:rsid w:val="497C0C22"/>
    <w:rsid w:val="49816239"/>
    <w:rsid w:val="498568CD"/>
    <w:rsid w:val="498E4941"/>
    <w:rsid w:val="499E6DEB"/>
    <w:rsid w:val="49AF724A"/>
    <w:rsid w:val="49B77EAC"/>
    <w:rsid w:val="49C557A0"/>
    <w:rsid w:val="49E7655E"/>
    <w:rsid w:val="49EF7646"/>
    <w:rsid w:val="49FC1D63"/>
    <w:rsid w:val="4A007AA5"/>
    <w:rsid w:val="4A0330F2"/>
    <w:rsid w:val="4A037596"/>
    <w:rsid w:val="4A0A0924"/>
    <w:rsid w:val="4A11593B"/>
    <w:rsid w:val="4A2614A0"/>
    <w:rsid w:val="4A2B01BD"/>
    <w:rsid w:val="4A354F7F"/>
    <w:rsid w:val="4A361F60"/>
    <w:rsid w:val="4A372D9B"/>
    <w:rsid w:val="4A39192A"/>
    <w:rsid w:val="4A404346"/>
    <w:rsid w:val="4A4B7F5D"/>
    <w:rsid w:val="4A4C08BA"/>
    <w:rsid w:val="4A78588E"/>
    <w:rsid w:val="4A834C0C"/>
    <w:rsid w:val="4A88259C"/>
    <w:rsid w:val="4A9F0A04"/>
    <w:rsid w:val="4ABA40F8"/>
    <w:rsid w:val="4ABF170F"/>
    <w:rsid w:val="4AC37A66"/>
    <w:rsid w:val="4ACE1952"/>
    <w:rsid w:val="4ACE3700"/>
    <w:rsid w:val="4AD056CA"/>
    <w:rsid w:val="4AD54A8E"/>
    <w:rsid w:val="4AE922E8"/>
    <w:rsid w:val="4AF26853"/>
    <w:rsid w:val="4AF91B85"/>
    <w:rsid w:val="4AFB201B"/>
    <w:rsid w:val="4B007631"/>
    <w:rsid w:val="4B0542B3"/>
    <w:rsid w:val="4B07525A"/>
    <w:rsid w:val="4B1F5D09"/>
    <w:rsid w:val="4B342080"/>
    <w:rsid w:val="4B383CDF"/>
    <w:rsid w:val="4B41360A"/>
    <w:rsid w:val="4B571947"/>
    <w:rsid w:val="4B5C748F"/>
    <w:rsid w:val="4B6422B6"/>
    <w:rsid w:val="4B6747B3"/>
    <w:rsid w:val="4B753505"/>
    <w:rsid w:val="4B797B0F"/>
    <w:rsid w:val="4B8B0355"/>
    <w:rsid w:val="4B9C55AC"/>
    <w:rsid w:val="4BAC4C18"/>
    <w:rsid w:val="4BB943B0"/>
    <w:rsid w:val="4BC94D4F"/>
    <w:rsid w:val="4BCA3284"/>
    <w:rsid w:val="4BCF5981"/>
    <w:rsid w:val="4BD37E23"/>
    <w:rsid w:val="4BD44D46"/>
    <w:rsid w:val="4BD5286C"/>
    <w:rsid w:val="4BDF193C"/>
    <w:rsid w:val="4C066EC9"/>
    <w:rsid w:val="4C0D64AA"/>
    <w:rsid w:val="4C0F2222"/>
    <w:rsid w:val="4C237A7B"/>
    <w:rsid w:val="4C2B5C56"/>
    <w:rsid w:val="4C321485"/>
    <w:rsid w:val="4C380C10"/>
    <w:rsid w:val="4C404189"/>
    <w:rsid w:val="4C4730D6"/>
    <w:rsid w:val="4C5B5467"/>
    <w:rsid w:val="4C683B50"/>
    <w:rsid w:val="4C714C8A"/>
    <w:rsid w:val="4C8A3367"/>
    <w:rsid w:val="4C96649F"/>
    <w:rsid w:val="4C99542A"/>
    <w:rsid w:val="4C9A736B"/>
    <w:rsid w:val="4CA0731E"/>
    <w:rsid w:val="4CCC46D0"/>
    <w:rsid w:val="4CD46FC7"/>
    <w:rsid w:val="4CDB65A8"/>
    <w:rsid w:val="4CE76589"/>
    <w:rsid w:val="4CE94821"/>
    <w:rsid w:val="4D043409"/>
    <w:rsid w:val="4D060AE9"/>
    <w:rsid w:val="4D161EE5"/>
    <w:rsid w:val="4D1C46A8"/>
    <w:rsid w:val="4D387F54"/>
    <w:rsid w:val="4D4C5F59"/>
    <w:rsid w:val="4D53613A"/>
    <w:rsid w:val="4D5F0F87"/>
    <w:rsid w:val="4D6345A6"/>
    <w:rsid w:val="4D684BD7"/>
    <w:rsid w:val="4D73058E"/>
    <w:rsid w:val="4D7560B4"/>
    <w:rsid w:val="4D7A191D"/>
    <w:rsid w:val="4D7C5695"/>
    <w:rsid w:val="4DA370C6"/>
    <w:rsid w:val="4DA70238"/>
    <w:rsid w:val="4DAB7CE8"/>
    <w:rsid w:val="4DB85A95"/>
    <w:rsid w:val="4DBF37D4"/>
    <w:rsid w:val="4DCB03CA"/>
    <w:rsid w:val="4DD1148A"/>
    <w:rsid w:val="4DD27E8F"/>
    <w:rsid w:val="4DD5395F"/>
    <w:rsid w:val="4DD83605"/>
    <w:rsid w:val="4DF41442"/>
    <w:rsid w:val="4E020392"/>
    <w:rsid w:val="4E0D250D"/>
    <w:rsid w:val="4E12067E"/>
    <w:rsid w:val="4E1E674C"/>
    <w:rsid w:val="4E241889"/>
    <w:rsid w:val="4E2E34D1"/>
    <w:rsid w:val="4E2F50C7"/>
    <w:rsid w:val="4E30647F"/>
    <w:rsid w:val="4E395334"/>
    <w:rsid w:val="4E4242CC"/>
    <w:rsid w:val="4E6E6A74"/>
    <w:rsid w:val="4E7B78F8"/>
    <w:rsid w:val="4E7C6042"/>
    <w:rsid w:val="4E8A67B0"/>
    <w:rsid w:val="4E8F13F8"/>
    <w:rsid w:val="4EAD0D9D"/>
    <w:rsid w:val="4ECA68D4"/>
    <w:rsid w:val="4ECB6FBB"/>
    <w:rsid w:val="4EDD20B9"/>
    <w:rsid w:val="4EEA2AD2"/>
    <w:rsid w:val="4F093CD2"/>
    <w:rsid w:val="4F0F2539"/>
    <w:rsid w:val="4F161AFE"/>
    <w:rsid w:val="4F32316B"/>
    <w:rsid w:val="4F506DD9"/>
    <w:rsid w:val="4F583EE0"/>
    <w:rsid w:val="4F586BA2"/>
    <w:rsid w:val="4F664DD7"/>
    <w:rsid w:val="4F7725B8"/>
    <w:rsid w:val="4F7C5E20"/>
    <w:rsid w:val="4F814167"/>
    <w:rsid w:val="4F894099"/>
    <w:rsid w:val="4F96749E"/>
    <w:rsid w:val="4F9B475C"/>
    <w:rsid w:val="4F9D18F3"/>
    <w:rsid w:val="4F9F70CF"/>
    <w:rsid w:val="4FA504AE"/>
    <w:rsid w:val="4FB03596"/>
    <w:rsid w:val="4FB05ACA"/>
    <w:rsid w:val="4FC6709B"/>
    <w:rsid w:val="4FD54C84"/>
    <w:rsid w:val="4FD83FAD"/>
    <w:rsid w:val="4FF21C3E"/>
    <w:rsid w:val="4FF4200C"/>
    <w:rsid w:val="4FF43C08"/>
    <w:rsid w:val="4FFF1F95"/>
    <w:rsid w:val="501871CB"/>
    <w:rsid w:val="501C6CBB"/>
    <w:rsid w:val="502344EE"/>
    <w:rsid w:val="502A587C"/>
    <w:rsid w:val="503A2A72"/>
    <w:rsid w:val="504D0C5A"/>
    <w:rsid w:val="5061362D"/>
    <w:rsid w:val="5066262C"/>
    <w:rsid w:val="50666188"/>
    <w:rsid w:val="507B7E86"/>
    <w:rsid w:val="508A00C9"/>
    <w:rsid w:val="5099655E"/>
    <w:rsid w:val="50A53155"/>
    <w:rsid w:val="50BB4726"/>
    <w:rsid w:val="50DB3A1B"/>
    <w:rsid w:val="51121E6C"/>
    <w:rsid w:val="51143E36"/>
    <w:rsid w:val="51183927"/>
    <w:rsid w:val="512F2A1E"/>
    <w:rsid w:val="514C5362"/>
    <w:rsid w:val="514C537E"/>
    <w:rsid w:val="51543E3D"/>
    <w:rsid w:val="515D5691"/>
    <w:rsid w:val="5180327A"/>
    <w:rsid w:val="518A0D40"/>
    <w:rsid w:val="51A72EFC"/>
    <w:rsid w:val="51B62952"/>
    <w:rsid w:val="51C567E4"/>
    <w:rsid w:val="51C9372A"/>
    <w:rsid w:val="51C969CF"/>
    <w:rsid w:val="51D04F1B"/>
    <w:rsid w:val="51DA6E2E"/>
    <w:rsid w:val="51DC4954"/>
    <w:rsid w:val="51F07213"/>
    <w:rsid w:val="51F167D1"/>
    <w:rsid w:val="51F24178"/>
    <w:rsid w:val="51F31C9E"/>
    <w:rsid w:val="52001C3C"/>
    <w:rsid w:val="520B6FE7"/>
    <w:rsid w:val="522C6B5D"/>
    <w:rsid w:val="524376FA"/>
    <w:rsid w:val="52633AE4"/>
    <w:rsid w:val="52662470"/>
    <w:rsid w:val="526B217C"/>
    <w:rsid w:val="527E0DBE"/>
    <w:rsid w:val="527F3531"/>
    <w:rsid w:val="52A66DEF"/>
    <w:rsid w:val="52A80CDA"/>
    <w:rsid w:val="52AB4326"/>
    <w:rsid w:val="52AD62F0"/>
    <w:rsid w:val="52B02227"/>
    <w:rsid w:val="52B757EA"/>
    <w:rsid w:val="52D27B05"/>
    <w:rsid w:val="52D90E94"/>
    <w:rsid w:val="52DE64AA"/>
    <w:rsid w:val="52EA4E4F"/>
    <w:rsid w:val="52FC7C56"/>
    <w:rsid w:val="530E2D51"/>
    <w:rsid w:val="53226D66"/>
    <w:rsid w:val="53234805"/>
    <w:rsid w:val="53255E75"/>
    <w:rsid w:val="532F5603"/>
    <w:rsid w:val="53312A7E"/>
    <w:rsid w:val="533254A4"/>
    <w:rsid w:val="53360094"/>
    <w:rsid w:val="53373E0C"/>
    <w:rsid w:val="533E3AC7"/>
    <w:rsid w:val="53511372"/>
    <w:rsid w:val="53517B4F"/>
    <w:rsid w:val="53551AEE"/>
    <w:rsid w:val="536225EC"/>
    <w:rsid w:val="53634C01"/>
    <w:rsid w:val="53784B50"/>
    <w:rsid w:val="537F081D"/>
    <w:rsid w:val="53815038"/>
    <w:rsid w:val="5385101B"/>
    <w:rsid w:val="539D3711"/>
    <w:rsid w:val="53A94D0A"/>
    <w:rsid w:val="53AE2320"/>
    <w:rsid w:val="53B10F44"/>
    <w:rsid w:val="53C5766A"/>
    <w:rsid w:val="53D14261"/>
    <w:rsid w:val="53E04DBD"/>
    <w:rsid w:val="53E140C5"/>
    <w:rsid w:val="53E735B3"/>
    <w:rsid w:val="53E977FC"/>
    <w:rsid w:val="53EE4E13"/>
    <w:rsid w:val="53F57F4F"/>
    <w:rsid w:val="53FD5799"/>
    <w:rsid w:val="53FD6E04"/>
    <w:rsid w:val="53FF3D0D"/>
    <w:rsid w:val="54041F40"/>
    <w:rsid w:val="540C072B"/>
    <w:rsid w:val="54102FDB"/>
    <w:rsid w:val="54146254"/>
    <w:rsid w:val="5420418E"/>
    <w:rsid w:val="54270F5B"/>
    <w:rsid w:val="543640C4"/>
    <w:rsid w:val="54387E3C"/>
    <w:rsid w:val="54532EC8"/>
    <w:rsid w:val="54690DE6"/>
    <w:rsid w:val="54AE53F1"/>
    <w:rsid w:val="54B27BEE"/>
    <w:rsid w:val="54BE4639"/>
    <w:rsid w:val="54BE48C0"/>
    <w:rsid w:val="54D3693E"/>
    <w:rsid w:val="54F2448F"/>
    <w:rsid w:val="54FE4BE1"/>
    <w:rsid w:val="54FF095A"/>
    <w:rsid w:val="55050666"/>
    <w:rsid w:val="55110DB9"/>
    <w:rsid w:val="551663CF"/>
    <w:rsid w:val="55302711"/>
    <w:rsid w:val="55344AA7"/>
    <w:rsid w:val="553914A7"/>
    <w:rsid w:val="553D1BAE"/>
    <w:rsid w:val="5540344C"/>
    <w:rsid w:val="554D7917"/>
    <w:rsid w:val="55524F2D"/>
    <w:rsid w:val="55630EE8"/>
    <w:rsid w:val="556C4241"/>
    <w:rsid w:val="557C1FAA"/>
    <w:rsid w:val="55805F3E"/>
    <w:rsid w:val="55895B79"/>
    <w:rsid w:val="55983288"/>
    <w:rsid w:val="559B2D78"/>
    <w:rsid w:val="55C139AB"/>
    <w:rsid w:val="55C71303"/>
    <w:rsid w:val="55CA4659"/>
    <w:rsid w:val="55CA71B9"/>
    <w:rsid w:val="55D3230A"/>
    <w:rsid w:val="55F19B59"/>
    <w:rsid w:val="55FA39F7"/>
    <w:rsid w:val="55FD2CF5"/>
    <w:rsid w:val="56045BA7"/>
    <w:rsid w:val="560C77D2"/>
    <w:rsid w:val="561E1D7E"/>
    <w:rsid w:val="5634678F"/>
    <w:rsid w:val="563B5030"/>
    <w:rsid w:val="564E14EB"/>
    <w:rsid w:val="564E1B99"/>
    <w:rsid w:val="56650035"/>
    <w:rsid w:val="566F703B"/>
    <w:rsid w:val="567747E3"/>
    <w:rsid w:val="56796D11"/>
    <w:rsid w:val="567C04B4"/>
    <w:rsid w:val="569972B8"/>
    <w:rsid w:val="569A6B8C"/>
    <w:rsid w:val="569E667C"/>
    <w:rsid w:val="56A9070B"/>
    <w:rsid w:val="56B365F2"/>
    <w:rsid w:val="56C80241"/>
    <w:rsid w:val="570D7C54"/>
    <w:rsid w:val="57120E18"/>
    <w:rsid w:val="571C1C97"/>
    <w:rsid w:val="572172AD"/>
    <w:rsid w:val="572D17AE"/>
    <w:rsid w:val="57396B47"/>
    <w:rsid w:val="573C68CE"/>
    <w:rsid w:val="57454278"/>
    <w:rsid w:val="574D1E50"/>
    <w:rsid w:val="575907F5"/>
    <w:rsid w:val="575E68C3"/>
    <w:rsid w:val="576363ED"/>
    <w:rsid w:val="5767730B"/>
    <w:rsid w:val="57711FE2"/>
    <w:rsid w:val="577CA7EF"/>
    <w:rsid w:val="57827D4C"/>
    <w:rsid w:val="578C5AE2"/>
    <w:rsid w:val="578C64D5"/>
    <w:rsid w:val="579637F7"/>
    <w:rsid w:val="57A75A04"/>
    <w:rsid w:val="57A777B2"/>
    <w:rsid w:val="57B07F1C"/>
    <w:rsid w:val="57BB500C"/>
    <w:rsid w:val="57C52116"/>
    <w:rsid w:val="57C55E8A"/>
    <w:rsid w:val="57C57C38"/>
    <w:rsid w:val="57DA75C4"/>
    <w:rsid w:val="57DF2F5B"/>
    <w:rsid w:val="57EF4CB5"/>
    <w:rsid w:val="57F81DBC"/>
    <w:rsid w:val="580E6CD3"/>
    <w:rsid w:val="581205FF"/>
    <w:rsid w:val="58535244"/>
    <w:rsid w:val="58642B02"/>
    <w:rsid w:val="586438F5"/>
    <w:rsid w:val="58733B38"/>
    <w:rsid w:val="5875340D"/>
    <w:rsid w:val="58777726"/>
    <w:rsid w:val="58A071F5"/>
    <w:rsid w:val="58A43CF2"/>
    <w:rsid w:val="58B06B3A"/>
    <w:rsid w:val="58C85C32"/>
    <w:rsid w:val="58FB7309"/>
    <w:rsid w:val="59282B75"/>
    <w:rsid w:val="592D1F39"/>
    <w:rsid w:val="59555D62"/>
    <w:rsid w:val="59581171"/>
    <w:rsid w:val="59640C08"/>
    <w:rsid w:val="596D2D7B"/>
    <w:rsid w:val="5987789B"/>
    <w:rsid w:val="59946F61"/>
    <w:rsid w:val="59AF0BA0"/>
    <w:rsid w:val="59B47F65"/>
    <w:rsid w:val="59CC1752"/>
    <w:rsid w:val="59D70C4B"/>
    <w:rsid w:val="59DA331B"/>
    <w:rsid w:val="59EE2FE3"/>
    <w:rsid w:val="59F34F31"/>
    <w:rsid w:val="59F5C1DC"/>
    <w:rsid w:val="59FF7D1E"/>
    <w:rsid w:val="5A183C84"/>
    <w:rsid w:val="5A1F5D26"/>
    <w:rsid w:val="5A2971D5"/>
    <w:rsid w:val="5A2E41BB"/>
    <w:rsid w:val="5A3A2B60"/>
    <w:rsid w:val="5A4128BF"/>
    <w:rsid w:val="5A461504"/>
    <w:rsid w:val="5A603305"/>
    <w:rsid w:val="5A6C17A9"/>
    <w:rsid w:val="5A783688"/>
    <w:rsid w:val="5A940B30"/>
    <w:rsid w:val="5AB10BA9"/>
    <w:rsid w:val="5AB87F28"/>
    <w:rsid w:val="5AC63346"/>
    <w:rsid w:val="5AC71F19"/>
    <w:rsid w:val="5AC93EE4"/>
    <w:rsid w:val="5ACF4540"/>
    <w:rsid w:val="5AD92379"/>
    <w:rsid w:val="5AE605F2"/>
    <w:rsid w:val="5AE66844"/>
    <w:rsid w:val="5AF26A14"/>
    <w:rsid w:val="5AF26F96"/>
    <w:rsid w:val="5B0243FB"/>
    <w:rsid w:val="5B155A7C"/>
    <w:rsid w:val="5B3A4219"/>
    <w:rsid w:val="5B48305A"/>
    <w:rsid w:val="5B4D241F"/>
    <w:rsid w:val="5B6A2FD1"/>
    <w:rsid w:val="5B7E6A7C"/>
    <w:rsid w:val="5B9368D8"/>
    <w:rsid w:val="5BA939FE"/>
    <w:rsid w:val="5BAB831A"/>
    <w:rsid w:val="5BB75007"/>
    <w:rsid w:val="5BB823D4"/>
    <w:rsid w:val="5BBC0EAA"/>
    <w:rsid w:val="5BBD4B0E"/>
    <w:rsid w:val="5BBFBBB4"/>
    <w:rsid w:val="5BCF4554"/>
    <w:rsid w:val="5BD232C3"/>
    <w:rsid w:val="5BF75F2D"/>
    <w:rsid w:val="5BF7600E"/>
    <w:rsid w:val="5BFB00CD"/>
    <w:rsid w:val="5BFC3612"/>
    <w:rsid w:val="5BFD2097"/>
    <w:rsid w:val="5C090A3C"/>
    <w:rsid w:val="5C1D6295"/>
    <w:rsid w:val="5C2869E8"/>
    <w:rsid w:val="5C361105"/>
    <w:rsid w:val="5C3A6111"/>
    <w:rsid w:val="5C441A74"/>
    <w:rsid w:val="5C563555"/>
    <w:rsid w:val="5C761E49"/>
    <w:rsid w:val="5C806824"/>
    <w:rsid w:val="5C841E70"/>
    <w:rsid w:val="5C8C2A52"/>
    <w:rsid w:val="5C8F46CE"/>
    <w:rsid w:val="5C922CA1"/>
    <w:rsid w:val="5C9F4EFC"/>
    <w:rsid w:val="5CA24537"/>
    <w:rsid w:val="5CA408A7"/>
    <w:rsid w:val="5CA9108F"/>
    <w:rsid w:val="5CB87D6C"/>
    <w:rsid w:val="5CD70D35"/>
    <w:rsid w:val="5CF3349A"/>
    <w:rsid w:val="5CF72C09"/>
    <w:rsid w:val="5D017965"/>
    <w:rsid w:val="5D186A5C"/>
    <w:rsid w:val="5D235B2D"/>
    <w:rsid w:val="5D2F6ACB"/>
    <w:rsid w:val="5D301FF8"/>
    <w:rsid w:val="5D4B0BE0"/>
    <w:rsid w:val="5D5F4FC6"/>
    <w:rsid w:val="5D681792"/>
    <w:rsid w:val="5D6E5F95"/>
    <w:rsid w:val="5D6F2B20"/>
    <w:rsid w:val="5D777C27"/>
    <w:rsid w:val="5D7E0FB5"/>
    <w:rsid w:val="5D8440F2"/>
    <w:rsid w:val="5D8F4F70"/>
    <w:rsid w:val="5DA52461"/>
    <w:rsid w:val="5DCFF3D9"/>
    <w:rsid w:val="5DD37DCB"/>
    <w:rsid w:val="5DD76207"/>
    <w:rsid w:val="5DEF0ED7"/>
    <w:rsid w:val="5DF9063C"/>
    <w:rsid w:val="5E23390B"/>
    <w:rsid w:val="5E477B72"/>
    <w:rsid w:val="5E766130"/>
    <w:rsid w:val="5E835C83"/>
    <w:rsid w:val="5E8375F9"/>
    <w:rsid w:val="5E88297C"/>
    <w:rsid w:val="5E8C25E3"/>
    <w:rsid w:val="5E941E7D"/>
    <w:rsid w:val="5EA143E7"/>
    <w:rsid w:val="5EA66A16"/>
    <w:rsid w:val="5EC7698C"/>
    <w:rsid w:val="5ED85791"/>
    <w:rsid w:val="5EE94B54"/>
    <w:rsid w:val="5F07325A"/>
    <w:rsid w:val="5F0B5294"/>
    <w:rsid w:val="5F125E59"/>
    <w:rsid w:val="5F1A3D6B"/>
    <w:rsid w:val="5F335DCF"/>
    <w:rsid w:val="5F4456F4"/>
    <w:rsid w:val="5F463F63"/>
    <w:rsid w:val="5F57430A"/>
    <w:rsid w:val="5F5E0AA9"/>
    <w:rsid w:val="5F671A2F"/>
    <w:rsid w:val="5F824661"/>
    <w:rsid w:val="5F8A1E93"/>
    <w:rsid w:val="5F8D54E0"/>
    <w:rsid w:val="5FC66C44"/>
    <w:rsid w:val="5FDA449D"/>
    <w:rsid w:val="5FE8727E"/>
    <w:rsid w:val="5FEFFB31"/>
    <w:rsid w:val="5FFE018B"/>
    <w:rsid w:val="5FFEE7B9"/>
    <w:rsid w:val="601479AF"/>
    <w:rsid w:val="60531554"/>
    <w:rsid w:val="60561D75"/>
    <w:rsid w:val="60596034"/>
    <w:rsid w:val="60687D77"/>
    <w:rsid w:val="606E3563"/>
    <w:rsid w:val="60780305"/>
    <w:rsid w:val="60793CB6"/>
    <w:rsid w:val="60BC38AA"/>
    <w:rsid w:val="60F35816"/>
    <w:rsid w:val="60F656A1"/>
    <w:rsid w:val="61161505"/>
    <w:rsid w:val="611D490F"/>
    <w:rsid w:val="612C2AD6"/>
    <w:rsid w:val="61365B9E"/>
    <w:rsid w:val="61412A26"/>
    <w:rsid w:val="6151253D"/>
    <w:rsid w:val="615446EC"/>
    <w:rsid w:val="615C160D"/>
    <w:rsid w:val="617C580C"/>
    <w:rsid w:val="61826B9A"/>
    <w:rsid w:val="619A2136"/>
    <w:rsid w:val="619C7C9A"/>
    <w:rsid w:val="619D3087"/>
    <w:rsid w:val="61A22D98"/>
    <w:rsid w:val="61AC6F2C"/>
    <w:rsid w:val="61B4215F"/>
    <w:rsid w:val="61B975C5"/>
    <w:rsid w:val="61D94A0C"/>
    <w:rsid w:val="61DA4AD9"/>
    <w:rsid w:val="61FF4871"/>
    <w:rsid w:val="620C2843"/>
    <w:rsid w:val="6212256C"/>
    <w:rsid w:val="621A5941"/>
    <w:rsid w:val="621C6FEF"/>
    <w:rsid w:val="62210161"/>
    <w:rsid w:val="62261C1B"/>
    <w:rsid w:val="62344338"/>
    <w:rsid w:val="62361E5F"/>
    <w:rsid w:val="623840FB"/>
    <w:rsid w:val="623F6839"/>
    <w:rsid w:val="624419EC"/>
    <w:rsid w:val="624A56FD"/>
    <w:rsid w:val="624C60E5"/>
    <w:rsid w:val="624D0F56"/>
    <w:rsid w:val="628D57F7"/>
    <w:rsid w:val="62966DA1"/>
    <w:rsid w:val="629923ED"/>
    <w:rsid w:val="62A21FF1"/>
    <w:rsid w:val="62AE626D"/>
    <w:rsid w:val="62B17737"/>
    <w:rsid w:val="62B45479"/>
    <w:rsid w:val="62DB0C58"/>
    <w:rsid w:val="62DF24F6"/>
    <w:rsid w:val="62E418BB"/>
    <w:rsid w:val="62E95063"/>
    <w:rsid w:val="62F13FD7"/>
    <w:rsid w:val="62FD472A"/>
    <w:rsid w:val="6305308B"/>
    <w:rsid w:val="630B0298"/>
    <w:rsid w:val="63273E9D"/>
    <w:rsid w:val="6335559D"/>
    <w:rsid w:val="63367C3C"/>
    <w:rsid w:val="63413086"/>
    <w:rsid w:val="63471E49"/>
    <w:rsid w:val="634B7B8C"/>
    <w:rsid w:val="635C53DE"/>
    <w:rsid w:val="63670BE6"/>
    <w:rsid w:val="636D5D54"/>
    <w:rsid w:val="637F1B3E"/>
    <w:rsid w:val="63861248"/>
    <w:rsid w:val="639808F7"/>
    <w:rsid w:val="63A72974"/>
    <w:rsid w:val="63D57416"/>
    <w:rsid w:val="63D731CD"/>
    <w:rsid w:val="63D86F45"/>
    <w:rsid w:val="63E24502"/>
    <w:rsid w:val="63E816CF"/>
    <w:rsid w:val="63EB0A27"/>
    <w:rsid w:val="63EC7817"/>
    <w:rsid w:val="63F43D7F"/>
    <w:rsid w:val="63F73098"/>
    <w:rsid w:val="640359B6"/>
    <w:rsid w:val="6416019A"/>
    <w:rsid w:val="6417181C"/>
    <w:rsid w:val="642A721B"/>
    <w:rsid w:val="64406FC4"/>
    <w:rsid w:val="645D3D5F"/>
    <w:rsid w:val="645E38EF"/>
    <w:rsid w:val="64680404"/>
    <w:rsid w:val="646D3B32"/>
    <w:rsid w:val="647A1EF2"/>
    <w:rsid w:val="64874BF3"/>
    <w:rsid w:val="64A27E5C"/>
    <w:rsid w:val="64A82DBC"/>
    <w:rsid w:val="64B17250"/>
    <w:rsid w:val="64B74DAD"/>
    <w:rsid w:val="64BE25DF"/>
    <w:rsid w:val="64D07188"/>
    <w:rsid w:val="64D60B3D"/>
    <w:rsid w:val="64DA0E25"/>
    <w:rsid w:val="64DB0A9B"/>
    <w:rsid w:val="64E31858"/>
    <w:rsid w:val="64E35BA2"/>
    <w:rsid w:val="64F102BF"/>
    <w:rsid w:val="64F658D5"/>
    <w:rsid w:val="652A1A23"/>
    <w:rsid w:val="653D1756"/>
    <w:rsid w:val="653E0E59"/>
    <w:rsid w:val="6545060B"/>
    <w:rsid w:val="65493C57"/>
    <w:rsid w:val="654A79CF"/>
    <w:rsid w:val="65540041"/>
    <w:rsid w:val="655A40B6"/>
    <w:rsid w:val="656D20C5"/>
    <w:rsid w:val="658904F7"/>
    <w:rsid w:val="658A426F"/>
    <w:rsid w:val="659155FE"/>
    <w:rsid w:val="65A24239"/>
    <w:rsid w:val="65AEEB52"/>
    <w:rsid w:val="65B05059"/>
    <w:rsid w:val="65C510A6"/>
    <w:rsid w:val="65C77BFA"/>
    <w:rsid w:val="65D04378"/>
    <w:rsid w:val="65D26342"/>
    <w:rsid w:val="65E676F8"/>
    <w:rsid w:val="65F55B8D"/>
    <w:rsid w:val="65F8526B"/>
    <w:rsid w:val="65FF07B9"/>
    <w:rsid w:val="66067D9A"/>
    <w:rsid w:val="66081B5A"/>
    <w:rsid w:val="660D2ED6"/>
    <w:rsid w:val="66123E64"/>
    <w:rsid w:val="663E3FB6"/>
    <w:rsid w:val="664545A7"/>
    <w:rsid w:val="665925BF"/>
    <w:rsid w:val="665F74AA"/>
    <w:rsid w:val="66613222"/>
    <w:rsid w:val="666B5480"/>
    <w:rsid w:val="667E2026"/>
    <w:rsid w:val="668806F3"/>
    <w:rsid w:val="668C3D21"/>
    <w:rsid w:val="668D04BB"/>
    <w:rsid w:val="668F071B"/>
    <w:rsid w:val="668F26CF"/>
    <w:rsid w:val="66BC1CB0"/>
    <w:rsid w:val="66C421B2"/>
    <w:rsid w:val="66C50757"/>
    <w:rsid w:val="66C51A03"/>
    <w:rsid w:val="66DB4D83"/>
    <w:rsid w:val="66DF198B"/>
    <w:rsid w:val="66DF32CF"/>
    <w:rsid w:val="66ED4AB6"/>
    <w:rsid w:val="66F25116"/>
    <w:rsid w:val="67032F29"/>
    <w:rsid w:val="670D5158"/>
    <w:rsid w:val="67111974"/>
    <w:rsid w:val="671309C0"/>
    <w:rsid w:val="67161A0C"/>
    <w:rsid w:val="67212E7F"/>
    <w:rsid w:val="672302EE"/>
    <w:rsid w:val="672B422E"/>
    <w:rsid w:val="672E75A8"/>
    <w:rsid w:val="67386679"/>
    <w:rsid w:val="6759039D"/>
    <w:rsid w:val="675E2FED"/>
    <w:rsid w:val="676F344A"/>
    <w:rsid w:val="67732A1B"/>
    <w:rsid w:val="67796562"/>
    <w:rsid w:val="67801483"/>
    <w:rsid w:val="67841F6B"/>
    <w:rsid w:val="67966EFB"/>
    <w:rsid w:val="679E38AB"/>
    <w:rsid w:val="67A94E81"/>
    <w:rsid w:val="67B35CFF"/>
    <w:rsid w:val="67B41AFD"/>
    <w:rsid w:val="67BA0E3C"/>
    <w:rsid w:val="67CD5013"/>
    <w:rsid w:val="67CE2B39"/>
    <w:rsid w:val="67D16185"/>
    <w:rsid w:val="67D551B1"/>
    <w:rsid w:val="67EA067D"/>
    <w:rsid w:val="67F73C8E"/>
    <w:rsid w:val="67F963C4"/>
    <w:rsid w:val="67FC1489"/>
    <w:rsid w:val="67FF7197"/>
    <w:rsid w:val="68030A35"/>
    <w:rsid w:val="680447AD"/>
    <w:rsid w:val="6808604B"/>
    <w:rsid w:val="680D18B3"/>
    <w:rsid w:val="681C5653"/>
    <w:rsid w:val="68232E85"/>
    <w:rsid w:val="68273FF7"/>
    <w:rsid w:val="68294213"/>
    <w:rsid w:val="682A548E"/>
    <w:rsid w:val="682F22B6"/>
    <w:rsid w:val="683A378D"/>
    <w:rsid w:val="68484FCF"/>
    <w:rsid w:val="684B418A"/>
    <w:rsid w:val="685D468A"/>
    <w:rsid w:val="686953AB"/>
    <w:rsid w:val="688A27A5"/>
    <w:rsid w:val="689F4E3F"/>
    <w:rsid w:val="68A45648"/>
    <w:rsid w:val="68AE0457"/>
    <w:rsid w:val="68AF4719"/>
    <w:rsid w:val="68B7181F"/>
    <w:rsid w:val="68BA0E02"/>
    <w:rsid w:val="68BC3A48"/>
    <w:rsid w:val="68C83273"/>
    <w:rsid w:val="68E048D2"/>
    <w:rsid w:val="68ED6FEF"/>
    <w:rsid w:val="68EE53C3"/>
    <w:rsid w:val="69197DE4"/>
    <w:rsid w:val="691C0536"/>
    <w:rsid w:val="69201173"/>
    <w:rsid w:val="692E36B1"/>
    <w:rsid w:val="693A0F28"/>
    <w:rsid w:val="693D7F76"/>
    <w:rsid w:val="694C1F68"/>
    <w:rsid w:val="69602299"/>
    <w:rsid w:val="696372B1"/>
    <w:rsid w:val="697D4CFC"/>
    <w:rsid w:val="699F3292"/>
    <w:rsid w:val="69A05F97"/>
    <w:rsid w:val="69BB70ED"/>
    <w:rsid w:val="69BB7EF2"/>
    <w:rsid w:val="69C45C7F"/>
    <w:rsid w:val="69CF0F5B"/>
    <w:rsid w:val="69D16911"/>
    <w:rsid w:val="69DF2DDC"/>
    <w:rsid w:val="69E21111"/>
    <w:rsid w:val="69E623BC"/>
    <w:rsid w:val="69E76134"/>
    <w:rsid w:val="69EB78C7"/>
    <w:rsid w:val="69F745C9"/>
    <w:rsid w:val="6A022F6E"/>
    <w:rsid w:val="6A050368"/>
    <w:rsid w:val="6A06506B"/>
    <w:rsid w:val="6A0A4598"/>
    <w:rsid w:val="6A0D7D09"/>
    <w:rsid w:val="6A2B2C4A"/>
    <w:rsid w:val="6A303637"/>
    <w:rsid w:val="6A327F2E"/>
    <w:rsid w:val="6A4175F2"/>
    <w:rsid w:val="6A466EF7"/>
    <w:rsid w:val="6A8500A5"/>
    <w:rsid w:val="6A8B4D12"/>
    <w:rsid w:val="6A8C6D73"/>
    <w:rsid w:val="6A992608"/>
    <w:rsid w:val="6AAE7E6F"/>
    <w:rsid w:val="6AB302C8"/>
    <w:rsid w:val="6AB75B07"/>
    <w:rsid w:val="6ABC311F"/>
    <w:rsid w:val="6AC67AF8"/>
    <w:rsid w:val="6AC87D14"/>
    <w:rsid w:val="6ADC5F6B"/>
    <w:rsid w:val="6AE14931"/>
    <w:rsid w:val="6AE84910"/>
    <w:rsid w:val="6AEF6692"/>
    <w:rsid w:val="6B150BE5"/>
    <w:rsid w:val="6B196D3A"/>
    <w:rsid w:val="6B2334C7"/>
    <w:rsid w:val="6B235D55"/>
    <w:rsid w:val="6B2D5DC9"/>
    <w:rsid w:val="6B325601"/>
    <w:rsid w:val="6B39476E"/>
    <w:rsid w:val="6B394E64"/>
    <w:rsid w:val="6B3E7FD6"/>
    <w:rsid w:val="6B5C59EC"/>
    <w:rsid w:val="6B621F16"/>
    <w:rsid w:val="6B6473E8"/>
    <w:rsid w:val="6B706B8A"/>
    <w:rsid w:val="6B715CB5"/>
    <w:rsid w:val="6B820C47"/>
    <w:rsid w:val="6B8D01DA"/>
    <w:rsid w:val="6B8F4200"/>
    <w:rsid w:val="6B985938"/>
    <w:rsid w:val="6B9D1C9D"/>
    <w:rsid w:val="6B9E0A74"/>
    <w:rsid w:val="6BA84BC5"/>
    <w:rsid w:val="6BAE1909"/>
    <w:rsid w:val="6BBF1117"/>
    <w:rsid w:val="6BBF2EC5"/>
    <w:rsid w:val="6BC30A2F"/>
    <w:rsid w:val="6BCA74C2"/>
    <w:rsid w:val="6BDA789D"/>
    <w:rsid w:val="6BDF3567"/>
    <w:rsid w:val="6BE272A9"/>
    <w:rsid w:val="6BE6925C"/>
    <w:rsid w:val="6BF568E6"/>
    <w:rsid w:val="6BF95CAB"/>
    <w:rsid w:val="6BFF59B7"/>
    <w:rsid w:val="6C060AF4"/>
    <w:rsid w:val="6C081060"/>
    <w:rsid w:val="6C1947B2"/>
    <w:rsid w:val="6C234004"/>
    <w:rsid w:val="6C2E1DF8"/>
    <w:rsid w:val="6C363067"/>
    <w:rsid w:val="6C3F109E"/>
    <w:rsid w:val="6C3F7B5C"/>
    <w:rsid w:val="6C44786E"/>
    <w:rsid w:val="6C530233"/>
    <w:rsid w:val="6C557385"/>
    <w:rsid w:val="6C5C4BB7"/>
    <w:rsid w:val="6C5C7932"/>
    <w:rsid w:val="6C5D1BA3"/>
    <w:rsid w:val="6C7F08A6"/>
    <w:rsid w:val="6C873BFD"/>
    <w:rsid w:val="6C8B724B"/>
    <w:rsid w:val="6C8D4D71"/>
    <w:rsid w:val="6C8F2625"/>
    <w:rsid w:val="6C944351"/>
    <w:rsid w:val="6CA410BF"/>
    <w:rsid w:val="6CB528A3"/>
    <w:rsid w:val="6CD738FF"/>
    <w:rsid w:val="6CDF30F3"/>
    <w:rsid w:val="6CF176B2"/>
    <w:rsid w:val="6CFA5DAD"/>
    <w:rsid w:val="6D001BFD"/>
    <w:rsid w:val="6D0D7C60"/>
    <w:rsid w:val="6D125276"/>
    <w:rsid w:val="6D1D0BC7"/>
    <w:rsid w:val="6D3474F9"/>
    <w:rsid w:val="6D386AD1"/>
    <w:rsid w:val="6D544AB7"/>
    <w:rsid w:val="6D5533B5"/>
    <w:rsid w:val="6D6476CF"/>
    <w:rsid w:val="6D660E87"/>
    <w:rsid w:val="6D723F67"/>
    <w:rsid w:val="6D730F03"/>
    <w:rsid w:val="6D8A0F12"/>
    <w:rsid w:val="6DAD4F9F"/>
    <w:rsid w:val="6DB01DB6"/>
    <w:rsid w:val="6DB97DE8"/>
    <w:rsid w:val="6DBD7663"/>
    <w:rsid w:val="6DC8623D"/>
    <w:rsid w:val="6DC871B3"/>
    <w:rsid w:val="6DD27771"/>
    <w:rsid w:val="6DD358C1"/>
    <w:rsid w:val="6DF71089"/>
    <w:rsid w:val="6DFB5D0A"/>
    <w:rsid w:val="6E0A1A33"/>
    <w:rsid w:val="6E301E58"/>
    <w:rsid w:val="6E396833"/>
    <w:rsid w:val="6E412BFE"/>
    <w:rsid w:val="6E492F1A"/>
    <w:rsid w:val="6E4958F2"/>
    <w:rsid w:val="6E533687"/>
    <w:rsid w:val="6E565636"/>
    <w:rsid w:val="6E570DB9"/>
    <w:rsid w:val="6E600263"/>
    <w:rsid w:val="6E641B01"/>
    <w:rsid w:val="6E7A7577"/>
    <w:rsid w:val="6E8B2C58"/>
    <w:rsid w:val="6E8C1058"/>
    <w:rsid w:val="6E9216A3"/>
    <w:rsid w:val="6E9758D2"/>
    <w:rsid w:val="6E9817AB"/>
    <w:rsid w:val="6EA12D56"/>
    <w:rsid w:val="6EAC5256"/>
    <w:rsid w:val="6EAE7189"/>
    <w:rsid w:val="6EC143B3"/>
    <w:rsid w:val="6EC151A6"/>
    <w:rsid w:val="6EDA0016"/>
    <w:rsid w:val="6EDF8BCD"/>
    <w:rsid w:val="6EF03395"/>
    <w:rsid w:val="6EF54E4F"/>
    <w:rsid w:val="6EF56BFD"/>
    <w:rsid w:val="6EFC4430"/>
    <w:rsid w:val="6EFF182A"/>
    <w:rsid w:val="6F0A08FB"/>
    <w:rsid w:val="6F18337F"/>
    <w:rsid w:val="6F4153E0"/>
    <w:rsid w:val="6F4162E7"/>
    <w:rsid w:val="6F4365F0"/>
    <w:rsid w:val="6F45570E"/>
    <w:rsid w:val="6F462C83"/>
    <w:rsid w:val="6F4A55E5"/>
    <w:rsid w:val="6F4B25B3"/>
    <w:rsid w:val="6F583EC5"/>
    <w:rsid w:val="6F6224EC"/>
    <w:rsid w:val="6F75477E"/>
    <w:rsid w:val="6F8B78DC"/>
    <w:rsid w:val="6F906926"/>
    <w:rsid w:val="6F925F92"/>
    <w:rsid w:val="6F975F07"/>
    <w:rsid w:val="6FB24AEE"/>
    <w:rsid w:val="6FB72105"/>
    <w:rsid w:val="6FBE624E"/>
    <w:rsid w:val="6FC0720B"/>
    <w:rsid w:val="6FC50CC6"/>
    <w:rsid w:val="6FD66A2F"/>
    <w:rsid w:val="6FD72874"/>
    <w:rsid w:val="6FD84D69"/>
    <w:rsid w:val="6FFA2FF7"/>
    <w:rsid w:val="6FFD155E"/>
    <w:rsid w:val="6FFE0C6E"/>
    <w:rsid w:val="6FFE3B22"/>
    <w:rsid w:val="700C7562"/>
    <w:rsid w:val="700E77D2"/>
    <w:rsid w:val="701D1F8B"/>
    <w:rsid w:val="701E2184"/>
    <w:rsid w:val="702326CF"/>
    <w:rsid w:val="702A6D7B"/>
    <w:rsid w:val="702F2E1B"/>
    <w:rsid w:val="70357BF9"/>
    <w:rsid w:val="705738A4"/>
    <w:rsid w:val="705A7660"/>
    <w:rsid w:val="7065300C"/>
    <w:rsid w:val="70721B70"/>
    <w:rsid w:val="707B1384"/>
    <w:rsid w:val="70802A43"/>
    <w:rsid w:val="709B40BA"/>
    <w:rsid w:val="70C0427D"/>
    <w:rsid w:val="70C77093"/>
    <w:rsid w:val="70E47042"/>
    <w:rsid w:val="70E60E46"/>
    <w:rsid w:val="70E64A50"/>
    <w:rsid w:val="70F250FA"/>
    <w:rsid w:val="70F751F6"/>
    <w:rsid w:val="70FC67DE"/>
    <w:rsid w:val="713E2ADE"/>
    <w:rsid w:val="71573B9F"/>
    <w:rsid w:val="716E2288"/>
    <w:rsid w:val="717464FF"/>
    <w:rsid w:val="71813AE6"/>
    <w:rsid w:val="71814C97"/>
    <w:rsid w:val="718764F1"/>
    <w:rsid w:val="718F6E95"/>
    <w:rsid w:val="719170B1"/>
    <w:rsid w:val="71993B7A"/>
    <w:rsid w:val="71A62431"/>
    <w:rsid w:val="71A84D65"/>
    <w:rsid w:val="71A861A9"/>
    <w:rsid w:val="71AC3EEB"/>
    <w:rsid w:val="71B903B6"/>
    <w:rsid w:val="71BC3A02"/>
    <w:rsid w:val="71D074AE"/>
    <w:rsid w:val="71DB657E"/>
    <w:rsid w:val="71F907B3"/>
    <w:rsid w:val="71FB5E33"/>
    <w:rsid w:val="71FD671C"/>
    <w:rsid w:val="72001B41"/>
    <w:rsid w:val="722D1919"/>
    <w:rsid w:val="722E2B52"/>
    <w:rsid w:val="72347A3D"/>
    <w:rsid w:val="7240799A"/>
    <w:rsid w:val="724203AC"/>
    <w:rsid w:val="7243433A"/>
    <w:rsid w:val="72451A13"/>
    <w:rsid w:val="72493BB5"/>
    <w:rsid w:val="727147ED"/>
    <w:rsid w:val="72734A09"/>
    <w:rsid w:val="727C3822"/>
    <w:rsid w:val="727C69F4"/>
    <w:rsid w:val="72807126"/>
    <w:rsid w:val="72AB5C24"/>
    <w:rsid w:val="72AF5315"/>
    <w:rsid w:val="72B55050"/>
    <w:rsid w:val="72BB1F0C"/>
    <w:rsid w:val="72BD3ED6"/>
    <w:rsid w:val="72E9207B"/>
    <w:rsid w:val="72F82B70"/>
    <w:rsid w:val="72F84242"/>
    <w:rsid w:val="72FD110E"/>
    <w:rsid w:val="73030DE6"/>
    <w:rsid w:val="73075045"/>
    <w:rsid w:val="730A6B78"/>
    <w:rsid w:val="73117D7E"/>
    <w:rsid w:val="733A5527"/>
    <w:rsid w:val="73584FE4"/>
    <w:rsid w:val="7367245C"/>
    <w:rsid w:val="736727FA"/>
    <w:rsid w:val="73691968"/>
    <w:rsid w:val="73711A9F"/>
    <w:rsid w:val="73734595"/>
    <w:rsid w:val="737C5B3F"/>
    <w:rsid w:val="738A200A"/>
    <w:rsid w:val="73B06532"/>
    <w:rsid w:val="73B344DE"/>
    <w:rsid w:val="73C117A4"/>
    <w:rsid w:val="73DC65DE"/>
    <w:rsid w:val="73DE4104"/>
    <w:rsid w:val="73E45CD0"/>
    <w:rsid w:val="73E831D5"/>
    <w:rsid w:val="73EB10C8"/>
    <w:rsid w:val="73F90F3E"/>
    <w:rsid w:val="74000C22"/>
    <w:rsid w:val="74055FF4"/>
    <w:rsid w:val="7407412D"/>
    <w:rsid w:val="740C453F"/>
    <w:rsid w:val="74130252"/>
    <w:rsid w:val="74153F59"/>
    <w:rsid w:val="74177616"/>
    <w:rsid w:val="74177EF7"/>
    <w:rsid w:val="741D2628"/>
    <w:rsid w:val="743106D8"/>
    <w:rsid w:val="7440091B"/>
    <w:rsid w:val="74410A17"/>
    <w:rsid w:val="745C6091"/>
    <w:rsid w:val="747608C2"/>
    <w:rsid w:val="747B287D"/>
    <w:rsid w:val="74850975"/>
    <w:rsid w:val="748A3931"/>
    <w:rsid w:val="748C7BA9"/>
    <w:rsid w:val="7492426B"/>
    <w:rsid w:val="74962C31"/>
    <w:rsid w:val="74A702BB"/>
    <w:rsid w:val="74BB2B3A"/>
    <w:rsid w:val="74C652C4"/>
    <w:rsid w:val="74C72EEB"/>
    <w:rsid w:val="74D55E5B"/>
    <w:rsid w:val="74DF33F1"/>
    <w:rsid w:val="74E918DF"/>
    <w:rsid w:val="74EE9506"/>
    <w:rsid w:val="74F040EF"/>
    <w:rsid w:val="75071439"/>
    <w:rsid w:val="750E0A19"/>
    <w:rsid w:val="750E5104"/>
    <w:rsid w:val="75132384"/>
    <w:rsid w:val="751A43AB"/>
    <w:rsid w:val="75202846"/>
    <w:rsid w:val="752D5343"/>
    <w:rsid w:val="7542792A"/>
    <w:rsid w:val="754C7058"/>
    <w:rsid w:val="75581C94"/>
    <w:rsid w:val="755E374E"/>
    <w:rsid w:val="75647289"/>
    <w:rsid w:val="756923C9"/>
    <w:rsid w:val="7573B74B"/>
    <w:rsid w:val="757765BE"/>
    <w:rsid w:val="75866801"/>
    <w:rsid w:val="7589009F"/>
    <w:rsid w:val="75893925"/>
    <w:rsid w:val="759929D8"/>
    <w:rsid w:val="759C7DD3"/>
    <w:rsid w:val="75AF3742"/>
    <w:rsid w:val="75B415C0"/>
    <w:rsid w:val="75BD4B90"/>
    <w:rsid w:val="75CF01A8"/>
    <w:rsid w:val="75D61C39"/>
    <w:rsid w:val="75FA3497"/>
    <w:rsid w:val="75FC34BD"/>
    <w:rsid w:val="75FC4D15"/>
    <w:rsid w:val="75FC6AC3"/>
    <w:rsid w:val="76191423"/>
    <w:rsid w:val="761C6258"/>
    <w:rsid w:val="762B249E"/>
    <w:rsid w:val="763075C7"/>
    <w:rsid w:val="763E70DC"/>
    <w:rsid w:val="76524935"/>
    <w:rsid w:val="765852C0"/>
    <w:rsid w:val="765B4A61"/>
    <w:rsid w:val="765C68D8"/>
    <w:rsid w:val="766905FD"/>
    <w:rsid w:val="76690C71"/>
    <w:rsid w:val="766C1E9B"/>
    <w:rsid w:val="76816FC9"/>
    <w:rsid w:val="768C7E47"/>
    <w:rsid w:val="769538EB"/>
    <w:rsid w:val="769B008A"/>
    <w:rsid w:val="76AC04E9"/>
    <w:rsid w:val="76DC5C43"/>
    <w:rsid w:val="76E475BE"/>
    <w:rsid w:val="76E926FE"/>
    <w:rsid w:val="7701609E"/>
    <w:rsid w:val="77080BAD"/>
    <w:rsid w:val="77200C8C"/>
    <w:rsid w:val="773439AB"/>
    <w:rsid w:val="773A3D47"/>
    <w:rsid w:val="773D55E5"/>
    <w:rsid w:val="77437273"/>
    <w:rsid w:val="774C75D7"/>
    <w:rsid w:val="77521091"/>
    <w:rsid w:val="776F60C9"/>
    <w:rsid w:val="777059BB"/>
    <w:rsid w:val="77707769"/>
    <w:rsid w:val="77731007"/>
    <w:rsid w:val="77875414"/>
    <w:rsid w:val="7795DAE5"/>
    <w:rsid w:val="77A45620"/>
    <w:rsid w:val="77A613DD"/>
    <w:rsid w:val="77BA09E4"/>
    <w:rsid w:val="77D01FB6"/>
    <w:rsid w:val="77D663DF"/>
    <w:rsid w:val="77DE0B76"/>
    <w:rsid w:val="77E2133C"/>
    <w:rsid w:val="77F75794"/>
    <w:rsid w:val="77FE6B23"/>
    <w:rsid w:val="77FF80B7"/>
    <w:rsid w:val="78000AED"/>
    <w:rsid w:val="78083D54"/>
    <w:rsid w:val="78085BF3"/>
    <w:rsid w:val="780928AB"/>
    <w:rsid w:val="780A371A"/>
    <w:rsid w:val="780D6766"/>
    <w:rsid w:val="78146346"/>
    <w:rsid w:val="7815546F"/>
    <w:rsid w:val="781A1483"/>
    <w:rsid w:val="78267E28"/>
    <w:rsid w:val="783469E8"/>
    <w:rsid w:val="78370BE8"/>
    <w:rsid w:val="78397B5B"/>
    <w:rsid w:val="785B4834"/>
    <w:rsid w:val="786C7F30"/>
    <w:rsid w:val="78760DAF"/>
    <w:rsid w:val="78792006"/>
    <w:rsid w:val="78852DA0"/>
    <w:rsid w:val="78876232"/>
    <w:rsid w:val="788D434B"/>
    <w:rsid w:val="78922EF8"/>
    <w:rsid w:val="78A321D2"/>
    <w:rsid w:val="78AA6DDB"/>
    <w:rsid w:val="78B74F24"/>
    <w:rsid w:val="78C0202A"/>
    <w:rsid w:val="78DD3171"/>
    <w:rsid w:val="78E201F2"/>
    <w:rsid w:val="78FA7A29"/>
    <w:rsid w:val="790743AF"/>
    <w:rsid w:val="79075EAB"/>
    <w:rsid w:val="79091C23"/>
    <w:rsid w:val="790F6B0E"/>
    <w:rsid w:val="79257959"/>
    <w:rsid w:val="793537F2"/>
    <w:rsid w:val="793C575C"/>
    <w:rsid w:val="79472AB4"/>
    <w:rsid w:val="794C7D62"/>
    <w:rsid w:val="795727C3"/>
    <w:rsid w:val="795A23A7"/>
    <w:rsid w:val="795D2923"/>
    <w:rsid w:val="795F1843"/>
    <w:rsid w:val="795F3FCB"/>
    <w:rsid w:val="798219D5"/>
    <w:rsid w:val="79890A04"/>
    <w:rsid w:val="79895510"/>
    <w:rsid w:val="799B21A8"/>
    <w:rsid w:val="79B53B59"/>
    <w:rsid w:val="79C8563A"/>
    <w:rsid w:val="79D20267"/>
    <w:rsid w:val="79D7A980"/>
    <w:rsid w:val="79FEF885"/>
    <w:rsid w:val="7A012FE1"/>
    <w:rsid w:val="7A0B5527"/>
    <w:rsid w:val="7A1E4355"/>
    <w:rsid w:val="7A5A200A"/>
    <w:rsid w:val="7A9B4AFD"/>
    <w:rsid w:val="7AA629BA"/>
    <w:rsid w:val="7AA80FC8"/>
    <w:rsid w:val="7AAD4AD1"/>
    <w:rsid w:val="7ABE4C8F"/>
    <w:rsid w:val="7AD324E9"/>
    <w:rsid w:val="7ADA7CBB"/>
    <w:rsid w:val="7ADD79A1"/>
    <w:rsid w:val="7AEF4E49"/>
    <w:rsid w:val="7B05466C"/>
    <w:rsid w:val="7B152FD4"/>
    <w:rsid w:val="7B2C3184"/>
    <w:rsid w:val="7B393EA2"/>
    <w:rsid w:val="7B4E6013"/>
    <w:rsid w:val="7B56651E"/>
    <w:rsid w:val="7B6E0463"/>
    <w:rsid w:val="7B863D0D"/>
    <w:rsid w:val="7B8F030B"/>
    <w:rsid w:val="7BA3B204"/>
    <w:rsid w:val="7BB340C8"/>
    <w:rsid w:val="7BBF6770"/>
    <w:rsid w:val="7BC1532A"/>
    <w:rsid w:val="7BC938EC"/>
    <w:rsid w:val="7BD302C6"/>
    <w:rsid w:val="7BF00E78"/>
    <w:rsid w:val="7BF02FF3"/>
    <w:rsid w:val="7BFDD529"/>
    <w:rsid w:val="7C091F3A"/>
    <w:rsid w:val="7C0C50D5"/>
    <w:rsid w:val="7C1128B7"/>
    <w:rsid w:val="7C324FED"/>
    <w:rsid w:val="7C345424"/>
    <w:rsid w:val="7C4E5B9F"/>
    <w:rsid w:val="7C510CBF"/>
    <w:rsid w:val="7C52743D"/>
    <w:rsid w:val="7C555A3C"/>
    <w:rsid w:val="7C5B064D"/>
    <w:rsid w:val="7C66113B"/>
    <w:rsid w:val="7C68003A"/>
    <w:rsid w:val="7C6FD3B3"/>
    <w:rsid w:val="7C727ADF"/>
    <w:rsid w:val="7C8021FC"/>
    <w:rsid w:val="7CA73807"/>
    <w:rsid w:val="7CA739ED"/>
    <w:rsid w:val="7CCE3BE3"/>
    <w:rsid w:val="7CDC31AB"/>
    <w:rsid w:val="7CE3278B"/>
    <w:rsid w:val="7CE85FF3"/>
    <w:rsid w:val="7CF95B0B"/>
    <w:rsid w:val="7D020E63"/>
    <w:rsid w:val="7D1B5BB9"/>
    <w:rsid w:val="7D1E775E"/>
    <w:rsid w:val="7D2139A0"/>
    <w:rsid w:val="7D242F72"/>
    <w:rsid w:val="7D2E7EAA"/>
    <w:rsid w:val="7D3140B5"/>
    <w:rsid w:val="7D355CEC"/>
    <w:rsid w:val="7D44147C"/>
    <w:rsid w:val="7D6513F2"/>
    <w:rsid w:val="7D683556"/>
    <w:rsid w:val="7D697134"/>
    <w:rsid w:val="7D7D498E"/>
    <w:rsid w:val="7D845D1C"/>
    <w:rsid w:val="7D871351"/>
    <w:rsid w:val="7D9579BA"/>
    <w:rsid w:val="7D9B2441"/>
    <w:rsid w:val="7DA94A74"/>
    <w:rsid w:val="7DBF384A"/>
    <w:rsid w:val="7DE06CCB"/>
    <w:rsid w:val="7DE61BF9"/>
    <w:rsid w:val="7E0806FB"/>
    <w:rsid w:val="7E085165"/>
    <w:rsid w:val="7E0C599F"/>
    <w:rsid w:val="7E171997"/>
    <w:rsid w:val="7E2272E3"/>
    <w:rsid w:val="7E2766A8"/>
    <w:rsid w:val="7E332273"/>
    <w:rsid w:val="7E3E4021"/>
    <w:rsid w:val="7E3F1C43"/>
    <w:rsid w:val="7E437985"/>
    <w:rsid w:val="7E4B4A8C"/>
    <w:rsid w:val="7E5A6A7D"/>
    <w:rsid w:val="7E6100FB"/>
    <w:rsid w:val="7E6B2A38"/>
    <w:rsid w:val="7E721C30"/>
    <w:rsid w:val="7E725B75"/>
    <w:rsid w:val="7E786F03"/>
    <w:rsid w:val="7E845165"/>
    <w:rsid w:val="7E971A7F"/>
    <w:rsid w:val="7EA61CC2"/>
    <w:rsid w:val="7EA67F14"/>
    <w:rsid w:val="7EBD792C"/>
    <w:rsid w:val="7EC90C5E"/>
    <w:rsid w:val="7ED56104"/>
    <w:rsid w:val="7ED62522"/>
    <w:rsid w:val="7EDC7492"/>
    <w:rsid w:val="7EDF8F80"/>
    <w:rsid w:val="7EEC191C"/>
    <w:rsid w:val="7EED0947"/>
    <w:rsid w:val="7EF0504B"/>
    <w:rsid w:val="7EFB200E"/>
    <w:rsid w:val="7F1C66EB"/>
    <w:rsid w:val="7F1E7AAB"/>
    <w:rsid w:val="7F211349"/>
    <w:rsid w:val="7F275E1B"/>
    <w:rsid w:val="7F2953B6"/>
    <w:rsid w:val="7F2B5772"/>
    <w:rsid w:val="7F3B68AE"/>
    <w:rsid w:val="7F4D1133"/>
    <w:rsid w:val="7F567244"/>
    <w:rsid w:val="7F7722CD"/>
    <w:rsid w:val="7F7E49ED"/>
    <w:rsid w:val="7F8B61BA"/>
    <w:rsid w:val="7F951C36"/>
    <w:rsid w:val="7F997556"/>
    <w:rsid w:val="7F9B734D"/>
    <w:rsid w:val="7F9D30C5"/>
    <w:rsid w:val="7FA30658"/>
    <w:rsid w:val="7FAC4C99"/>
    <w:rsid w:val="7FC56553"/>
    <w:rsid w:val="7FEE3921"/>
    <w:rsid w:val="7FF30F37"/>
    <w:rsid w:val="7FF54CAF"/>
    <w:rsid w:val="7FFA4074"/>
    <w:rsid w:val="7FFA7166"/>
    <w:rsid w:val="7FFC704C"/>
    <w:rsid w:val="97D74C8F"/>
    <w:rsid w:val="9EFF3AF3"/>
    <w:rsid w:val="9FFF7321"/>
    <w:rsid w:val="AF7DD4BF"/>
    <w:rsid w:val="AFDE1DEC"/>
    <w:rsid w:val="B3BDE7E8"/>
    <w:rsid w:val="B3FBFC2D"/>
    <w:rsid w:val="B57817CF"/>
    <w:rsid w:val="B82FE543"/>
    <w:rsid w:val="B87BA196"/>
    <w:rsid w:val="B9BCA6EA"/>
    <w:rsid w:val="B9F378BF"/>
    <w:rsid w:val="BECFDCDD"/>
    <w:rsid w:val="BFF5B76F"/>
    <w:rsid w:val="BFFE4BBD"/>
    <w:rsid w:val="C7EFF845"/>
    <w:rsid w:val="CDBDB477"/>
    <w:rsid w:val="DBFEB924"/>
    <w:rsid w:val="DDD66229"/>
    <w:rsid w:val="DEEF8762"/>
    <w:rsid w:val="DF7B1510"/>
    <w:rsid w:val="DFF23424"/>
    <w:rsid w:val="E76B4ED5"/>
    <w:rsid w:val="EB27D393"/>
    <w:rsid w:val="EBBB46EC"/>
    <w:rsid w:val="ED5D38DE"/>
    <w:rsid w:val="EDD139D0"/>
    <w:rsid w:val="EF733347"/>
    <w:rsid w:val="F3EF16B3"/>
    <w:rsid w:val="F47E7D9C"/>
    <w:rsid w:val="F5FBB872"/>
    <w:rsid w:val="F5FFABCC"/>
    <w:rsid w:val="F7DF9CBF"/>
    <w:rsid w:val="FADF05ED"/>
    <w:rsid w:val="FB677D86"/>
    <w:rsid w:val="FB91AD39"/>
    <w:rsid w:val="FBA3E222"/>
    <w:rsid w:val="FCE3E1E6"/>
    <w:rsid w:val="FDF6F87F"/>
    <w:rsid w:val="FE7FD029"/>
    <w:rsid w:val="FE9DA958"/>
    <w:rsid w:val="FEFE7063"/>
    <w:rsid w:val="FF2DAF80"/>
    <w:rsid w:val="FF61BA65"/>
    <w:rsid w:val="FF6F9180"/>
    <w:rsid w:val="FF9F6E56"/>
    <w:rsid w:val="FFEE3CE1"/>
    <w:rsid w:val="FFEFBD47"/>
    <w:rsid w:val="FFFD74D0"/>
    <w:rsid w:val="FFFF0426"/>
    <w:rsid w:val="FFFF8B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tabs>
        <w:tab w:val="left" w:pos="3360"/>
      </w:tabs>
      <w:snapToGrid w:val="0"/>
      <w:spacing w:before="312" w:beforeLines="100" w:after="156" w:afterLines="50" w:line="800" w:lineRule="atLeast"/>
      <w:jc w:val="center"/>
      <w:outlineLvl w:val="0"/>
    </w:pPr>
    <w:rPr>
      <w:rFonts w:eastAsia="黑体"/>
      <w:sz w:val="44"/>
    </w:rPr>
  </w:style>
  <w:style w:type="paragraph" w:styleId="5">
    <w:name w:val="heading 2"/>
    <w:basedOn w:val="1"/>
    <w:next w:val="1"/>
    <w:link w:val="68"/>
    <w:qFormat/>
    <w:uiPriority w:val="0"/>
    <w:pPr>
      <w:keepNext/>
      <w:keepLines/>
      <w:adjustRightInd w:val="0"/>
      <w:snapToGrid w:val="0"/>
      <w:spacing w:line="360" w:lineRule="auto"/>
      <w:outlineLvl w:val="1"/>
    </w:pPr>
    <w:rPr>
      <w:rFonts w:ascii="宋体" w:hAnsi="宋体"/>
    </w:rPr>
  </w:style>
  <w:style w:type="paragraph" w:styleId="6">
    <w:name w:val="heading 3"/>
    <w:basedOn w:val="1"/>
    <w:next w:val="1"/>
    <w:qFormat/>
    <w:uiPriority w:val="0"/>
    <w:pPr>
      <w:keepNext/>
      <w:keepLines/>
      <w:spacing w:before="260" w:after="260" w:line="413" w:lineRule="auto"/>
      <w:jc w:val="center"/>
      <w:outlineLvl w:val="2"/>
    </w:pPr>
    <w:rPr>
      <w:b/>
      <w:sz w:val="44"/>
    </w:rPr>
  </w:style>
  <w:style w:type="paragraph" w:styleId="7">
    <w:name w:val="heading 4"/>
    <w:basedOn w:val="1"/>
    <w:next w:val="1"/>
    <w:qFormat/>
    <w:uiPriority w:val="0"/>
    <w:pPr>
      <w:keepNext/>
      <w:keepLines/>
      <w:numPr>
        <w:ilvl w:val="0"/>
        <w:numId w:val="1"/>
      </w:numPr>
      <w:spacing w:before="560" w:after="290" w:line="377"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仿宋_GB2312" w:eastAsia="仿宋_GB2312"/>
      <w:sz w:val="32"/>
    </w:rPr>
  </w:style>
  <w:style w:type="paragraph" w:customStyle="1" w:styleId="3">
    <w:name w:val="默认"/>
    <w:qFormat/>
    <w:uiPriority w:val="0"/>
    <w:rPr>
      <w:rFonts w:ascii="Helvetica" w:hAnsi="Helvetica" w:eastAsia="Helvetica" w:cs="Helvetica"/>
      <w:color w:val="000000"/>
      <w:sz w:val="22"/>
      <w:szCs w:val="22"/>
      <w:lang w:val="en-US" w:eastAsia="zh-CN" w:bidi="ar-SA"/>
    </w:rPr>
  </w:style>
  <w:style w:type="paragraph" w:styleId="13">
    <w:name w:val="List 3"/>
    <w:basedOn w:val="1"/>
    <w:next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2"/>
      </w:numPr>
      <w:spacing w:line="360" w:lineRule="auto"/>
    </w:pPr>
    <w:rPr>
      <w:sz w:val="24"/>
    </w:rPr>
  </w:style>
  <w:style w:type="paragraph" w:styleId="16">
    <w:name w:val="List Bullet 4"/>
    <w:basedOn w:val="1"/>
    <w:qFormat/>
    <w:uiPriority w:val="0"/>
    <w:pPr>
      <w:widowControl/>
      <w:numPr>
        <w:ilvl w:val="0"/>
        <w:numId w:val="3"/>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7">
    <w:name w:val="Normal Indent"/>
    <w:basedOn w:val="1"/>
    <w:next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pPr>
    <w:rPr>
      <w:rFonts w:ascii="Arial" w:hAnsi="Arial"/>
      <w:sz w:val="24"/>
    </w:rPr>
  </w:style>
  <w:style w:type="paragraph" w:styleId="21">
    <w:name w:val="annotation text"/>
    <w:basedOn w:val="1"/>
    <w:link w:val="69"/>
    <w:qFormat/>
    <w:uiPriority w:val="0"/>
    <w:pPr>
      <w:widowControl/>
      <w:tabs>
        <w:tab w:val="left" w:pos="1134"/>
      </w:tabs>
      <w:adjustRightInd w:val="0"/>
      <w:snapToGrid w:val="0"/>
      <w:spacing w:line="280" w:lineRule="atLeast"/>
      <w:jc w:val="left"/>
    </w:pPr>
    <w:rPr>
      <w:rFonts w:eastAsia="PMingLiU"/>
      <w:kern w:val="0"/>
      <w:sz w:val="24"/>
      <w:lang w:eastAsia="zh-TW"/>
    </w:rPr>
  </w:style>
  <w:style w:type="paragraph" w:styleId="22">
    <w:name w:val="Body Text 3"/>
    <w:basedOn w:val="1"/>
    <w:qFormat/>
    <w:uiPriority w:val="0"/>
    <w:pPr>
      <w:adjustRightInd w:val="0"/>
      <w:snapToGrid w:val="0"/>
      <w:spacing w:after="120" w:line="360" w:lineRule="auto"/>
    </w:pPr>
    <w:rPr>
      <w:sz w:val="16"/>
    </w:rPr>
  </w:style>
  <w:style w:type="paragraph" w:styleId="23">
    <w:name w:val="List Bullet 3"/>
    <w:basedOn w:val="1"/>
    <w:qFormat/>
    <w:uiPriority w:val="0"/>
    <w:pPr>
      <w:numPr>
        <w:ilvl w:val="0"/>
        <w:numId w:val="4"/>
      </w:numPr>
      <w:adjustRightInd w:val="0"/>
      <w:snapToGrid w:val="0"/>
      <w:spacing w:line="360" w:lineRule="auto"/>
    </w:pPr>
    <w:rPr>
      <w:sz w:val="24"/>
    </w:rPr>
  </w:style>
  <w:style w:type="paragraph" w:styleId="24">
    <w:name w:val="Body Text Indent"/>
    <w:basedOn w:val="1"/>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5"/>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0"/>
    <w:pPr>
      <w:ind w:left="840" w:leftChars="400"/>
    </w:pPr>
  </w:style>
  <w:style w:type="paragraph" w:styleId="31">
    <w:name w:val="Plain Text"/>
    <w:basedOn w:val="1"/>
    <w:qFormat/>
    <w:uiPriority w:val="0"/>
    <w:pPr>
      <w:adjustRightInd w:val="0"/>
      <w:snapToGrid w:val="0"/>
      <w:spacing w:line="360" w:lineRule="auto"/>
    </w:pPr>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0"/>
    <w:qFormat/>
    <w:uiPriority w:val="0"/>
  </w:style>
  <w:style w:type="paragraph" w:styleId="34">
    <w:name w:val="Body Text Indent 2"/>
    <w:basedOn w:val="1"/>
    <w:qFormat/>
    <w:uiPriority w:val="0"/>
    <w:pPr>
      <w:snapToGrid w:val="0"/>
      <w:spacing w:line="440" w:lineRule="atLeast"/>
      <w:ind w:firstLine="570"/>
    </w:pPr>
    <w:rPr>
      <w:rFonts w:ascii="宋体"/>
    </w:r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39"/>
    <w:pPr>
      <w:tabs>
        <w:tab w:val="left" w:pos="1260"/>
        <w:tab w:val="left" w:pos="1685"/>
        <w:tab w:val="right" w:leader="dot" w:pos="8400"/>
      </w:tabs>
      <w:spacing w:line="320" w:lineRule="exact"/>
      <w:ind w:firstLine="280" w:firstLineChars="100"/>
    </w:pPr>
    <w:rPr>
      <w:b/>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tabs>
        <w:tab w:val="right" w:leader="dot" w:pos="8400"/>
      </w:tabs>
      <w:spacing w:line="440" w:lineRule="exact"/>
      <w:ind w:left="280" w:leftChars="100" w:right="-91" w:rightChars="-91"/>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1"/>
    <w:next w:val="21"/>
    <w:qFormat/>
    <w:uiPriority w:val="0"/>
    <w:pPr>
      <w:widowControl w:val="0"/>
      <w:tabs>
        <w:tab w:val="clear" w:pos="1134"/>
      </w:tabs>
      <w:adjustRightInd/>
      <w:snapToGrid/>
      <w:spacing w:line="240" w:lineRule="auto"/>
    </w:pPr>
    <w:rPr>
      <w:rFonts w:eastAsia="宋体"/>
      <w:b/>
      <w:kern w:val="2"/>
      <w:sz w:val="21"/>
      <w:lang w:eastAsia="zh-CN"/>
    </w:rPr>
  </w:style>
  <w:style w:type="paragraph" w:styleId="56">
    <w:name w:val="Body Text First Indent"/>
    <w:basedOn w:val="2"/>
    <w:next w:val="13"/>
    <w:qFormat/>
    <w:uiPriority w:val="0"/>
    <w:pPr>
      <w:spacing w:line="360" w:lineRule="auto"/>
      <w:ind w:firstLine="420"/>
    </w:pPr>
    <w:rPr>
      <w:rFonts w:ascii="宋体" w:hAnsi="宋体"/>
      <w:sz w:val="24"/>
    </w:rPr>
  </w:style>
  <w:style w:type="paragraph" w:styleId="57">
    <w:name w:val="Body Text First Indent 2"/>
    <w:basedOn w:val="24"/>
    <w:qFormat/>
    <w:uiPriority w:val="0"/>
    <w:pPr>
      <w:spacing w:after="120" w:line="240" w:lineRule="auto"/>
      <w:ind w:left="420" w:leftChars="200" w:firstLine="420" w:firstLineChars="200"/>
    </w:pPr>
    <w:rPr>
      <w:sz w:val="21"/>
    </w:rPr>
  </w:style>
  <w:style w:type="table" w:styleId="59">
    <w:name w:val="Table Grid"/>
    <w:basedOn w:val="5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1">
    <w:name w:val="Strong"/>
    <w:qFormat/>
    <w:uiPriority w:val="0"/>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rPr>
  </w:style>
  <w:style w:type="character" w:styleId="67">
    <w:name w:val="footnote reference"/>
    <w:qFormat/>
    <w:uiPriority w:val="0"/>
    <w:rPr>
      <w:position w:val="6"/>
      <w:sz w:val="14"/>
      <w:vertAlign w:val="superscript"/>
    </w:rPr>
  </w:style>
  <w:style w:type="character" w:customStyle="1" w:styleId="68">
    <w:name w:val="标题 2 Char"/>
    <w:link w:val="5"/>
    <w:qFormat/>
    <w:uiPriority w:val="0"/>
    <w:rPr>
      <w:rFonts w:ascii="宋体" w:hAnsi="宋体"/>
      <w:kern w:val="2"/>
      <w:sz w:val="28"/>
    </w:rPr>
  </w:style>
  <w:style w:type="character" w:customStyle="1" w:styleId="69">
    <w:name w:val="批注文字 Char"/>
    <w:link w:val="21"/>
    <w:qFormat/>
    <w:uiPriority w:val="0"/>
    <w:rPr>
      <w:rFonts w:eastAsia="PMingLiU"/>
      <w:sz w:val="24"/>
      <w:lang w:eastAsia="zh-TW"/>
    </w:rPr>
  </w:style>
  <w:style w:type="character" w:customStyle="1" w:styleId="70">
    <w:name w:val="日期 Char"/>
    <w:link w:val="33"/>
    <w:qFormat/>
    <w:uiPriority w:val="0"/>
    <w:rPr>
      <w:kern w:val="2"/>
      <w:sz w:val="28"/>
    </w:rPr>
  </w:style>
  <w:style w:type="character" w:customStyle="1" w:styleId="71">
    <w:name w:val="正文 + 三号 Char"/>
    <w:qFormat/>
    <w:uiPriority w:val="0"/>
    <w:rPr>
      <w:rFonts w:eastAsia="宋体"/>
      <w:kern w:val="2"/>
      <w:sz w:val="21"/>
      <w:lang w:val="en-US" w:eastAsia="zh-CN"/>
    </w:rPr>
  </w:style>
  <w:style w:type="character" w:customStyle="1" w:styleId="72">
    <w:name w:val="content-white1"/>
    <w:qFormat/>
    <w:uiPriority w:val="0"/>
    <w:rPr>
      <w:rFonts w:ascii="_x000B__x000C_" w:hAnsi="_x000B__x000C_"/>
      <w:color w:val="auto"/>
      <w:sz w:val="18"/>
      <w:u w:val="none"/>
    </w:rPr>
  </w:style>
  <w:style w:type="character" w:customStyle="1" w:styleId="73">
    <w:name w:val="Char Char"/>
    <w:qFormat/>
    <w:uiPriority w:val="0"/>
    <w:rPr>
      <w:rFonts w:ascii="宋体" w:hAnsi="宋体" w:eastAsia="宋体"/>
      <w:kern w:val="2"/>
      <w:sz w:val="24"/>
      <w:lang w:val="en-US" w:eastAsia="zh-CN" w:bidi="ar-SA"/>
    </w:rPr>
  </w:style>
  <w:style w:type="character" w:customStyle="1" w:styleId="74">
    <w:name w:val="Char Char5"/>
    <w:qFormat/>
    <w:uiPriority w:val="0"/>
    <w:rPr>
      <w:rFonts w:ascii="Arial" w:hAnsi="Arial" w:eastAsia="宋体"/>
      <w:b/>
      <w:smallCaps/>
      <w:kern w:val="28"/>
      <w:sz w:val="36"/>
      <w:lang w:val="en-US" w:eastAsia="en-US"/>
    </w:rPr>
  </w:style>
  <w:style w:type="character" w:customStyle="1" w:styleId="75">
    <w:name w:val="Char Char4"/>
    <w:qFormat/>
    <w:uiPriority w:val="0"/>
    <w:rPr>
      <w:rFonts w:eastAsia="宋体"/>
      <w:b/>
      <w:kern w:val="2"/>
      <w:sz w:val="21"/>
      <w:lang w:val="en-US" w:eastAsia="zh-CN"/>
    </w:rPr>
  </w:style>
  <w:style w:type="character" w:customStyle="1" w:styleId="76">
    <w:name w:val="样式 宋体"/>
    <w:qFormat/>
    <w:uiPriority w:val="0"/>
    <w:rPr>
      <w:rFonts w:ascii="宋体" w:hAnsi="宋体" w:eastAsia="宋体"/>
      <w:sz w:val="28"/>
    </w:rPr>
  </w:style>
  <w:style w:type="character" w:customStyle="1" w:styleId="77">
    <w:name w:val="Char Char7"/>
    <w:qFormat/>
    <w:uiPriority w:val="0"/>
    <w:rPr>
      <w:rFonts w:ascii="宋体" w:hAnsi="宋体" w:eastAsia="宋体"/>
      <w:kern w:val="2"/>
      <w:sz w:val="28"/>
    </w:rPr>
  </w:style>
  <w:style w:type="character" w:customStyle="1" w:styleId="78">
    <w:name w:val="Char Char6"/>
    <w:qFormat/>
    <w:uiPriority w:val="0"/>
    <w:rPr>
      <w:rFonts w:ascii="仿宋_GB2312" w:eastAsia="仿宋_GB2312"/>
      <w:kern w:val="2"/>
      <w:sz w:val="32"/>
    </w:rPr>
  </w:style>
  <w:style w:type="character" w:customStyle="1" w:styleId="79">
    <w:name w:val="Char Char2"/>
    <w:qFormat/>
    <w:uiPriority w:val="0"/>
    <w:rPr>
      <w:rFonts w:eastAsia="宋体"/>
      <w:kern w:val="2"/>
      <w:sz w:val="18"/>
      <w:lang w:val="en-US" w:eastAsia="zh-CN"/>
    </w:rPr>
  </w:style>
  <w:style w:type="character" w:customStyle="1" w:styleId="80">
    <w:name w:val="font1"/>
    <w:qFormat/>
    <w:uiPriority w:val="0"/>
    <w:rPr>
      <w:color w:val="000000"/>
      <w:sz w:val="1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v151"/>
    <w:qFormat/>
    <w:uiPriority w:val="0"/>
    <w:rPr>
      <w:sz w:val="18"/>
    </w:rPr>
  </w:style>
  <w:style w:type="character" w:customStyle="1" w:styleId="83">
    <w:name w:val="Table Text Char Char Char Char"/>
    <w:qFormat/>
    <w:uiPriority w:val="0"/>
    <w:rPr>
      <w:rFonts w:ascii="Arial" w:hAnsi="Arial"/>
      <w:kern w:val="2"/>
      <w:sz w:val="18"/>
      <w:lang w:val="en-US" w:eastAsia="zh-CN" w:bidi="ar-SA"/>
    </w:rPr>
  </w:style>
  <w:style w:type="character" w:customStyle="1" w:styleId="84">
    <w:name w:val="Table Text Char1 Char"/>
    <w:qFormat/>
    <w:uiPriority w:val="0"/>
    <w:rPr>
      <w:rFonts w:ascii="Arial" w:hAnsi="Arial"/>
      <w:kern w:val="2"/>
      <w:sz w:val="18"/>
      <w:lang w:val="en-US" w:eastAsia="zh-CN" w:bidi="ar-SA"/>
    </w:rPr>
  </w:style>
  <w:style w:type="character" w:customStyle="1" w:styleId="85">
    <w:name w:val="Table Text Char"/>
    <w:qFormat/>
    <w:uiPriority w:val="0"/>
    <w:rPr>
      <w:rFonts w:ascii="Arial" w:hAnsi="Arial"/>
      <w:kern w:val="2"/>
      <w:sz w:val="18"/>
      <w:lang w:val="en-US" w:eastAsia="zh-CN" w:bidi="ar-SA"/>
    </w:rPr>
  </w:style>
  <w:style w:type="character" w:customStyle="1" w:styleId="86">
    <w:name w:val="文字 Char"/>
    <w:link w:val="87"/>
    <w:qFormat/>
    <w:uiPriority w:val="0"/>
    <w:rPr>
      <w:rFonts w:ascii="宋体" w:eastAsia="宋体"/>
      <w:kern w:val="2"/>
      <w:sz w:val="28"/>
      <w:lang w:val="en-US" w:eastAsia="zh-CN" w:bidi="ar-SA"/>
    </w:rPr>
  </w:style>
  <w:style w:type="paragraph" w:customStyle="1" w:styleId="87">
    <w:name w:val="文字"/>
    <w:basedOn w:val="1"/>
    <w:link w:val="86"/>
    <w:qFormat/>
    <w:uiPriority w:val="0"/>
    <w:pPr>
      <w:tabs>
        <w:tab w:val="left" w:pos="8520"/>
      </w:tabs>
      <w:spacing w:line="312" w:lineRule="auto"/>
      <w:ind w:right="-210" w:firstLine="556"/>
    </w:pPr>
    <w:rPr>
      <w:rFonts w:ascii="宋体"/>
    </w:rPr>
  </w:style>
  <w:style w:type="character" w:customStyle="1" w:styleId="88">
    <w:name w:val="标书正文:  0.74 厘米 Char1"/>
    <w:qFormat/>
    <w:uiPriority w:val="0"/>
    <w:rPr>
      <w:rFonts w:eastAsia="宋体"/>
      <w:kern w:val="2"/>
      <w:sz w:val="24"/>
      <w:lang w:val="en-US" w:eastAsia="zh-CN"/>
    </w:rPr>
  </w:style>
  <w:style w:type="character" w:customStyle="1" w:styleId="89">
    <w:name w:val="crowed11"/>
    <w:qFormat/>
    <w:uiPriority w:val="0"/>
    <w:rPr>
      <w:rFonts w:hint="default" w:ascii="_x000B__x000C_" w:hAnsi="_x000B__x000C_"/>
      <w:sz w:val="24"/>
    </w:rPr>
  </w:style>
  <w:style w:type="character" w:customStyle="1" w:styleId="90">
    <w:name w:val="Table Heading Char Char"/>
    <w:qFormat/>
    <w:uiPriority w:val="0"/>
    <w:rPr>
      <w:rFonts w:ascii="Arial" w:hAnsi="Arial" w:eastAsia="黑体"/>
      <w:kern w:val="2"/>
      <w:sz w:val="18"/>
      <w:lang w:val="en-US" w:eastAsia="zh-CN"/>
    </w:rPr>
  </w:style>
  <w:style w:type="character" w:customStyle="1" w:styleId="91">
    <w:name w:val="未命名11"/>
    <w:qFormat/>
    <w:uiPriority w:val="0"/>
    <w:rPr>
      <w:color w:val="77FFFF"/>
      <w:sz w:val="24"/>
    </w:rPr>
  </w:style>
  <w:style w:type="character" w:customStyle="1" w:styleId="92">
    <w:name w:val="Char Char3"/>
    <w:qFormat/>
    <w:uiPriority w:val="0"/>
    <w:rPr>
      <w:rFonts w:eastAsia="宋体"/>
      <w:kern w:val="2"/>
      <w:sz w:val="18"/>
      <w:lang w:val="en-US" w:eastAsia="zh-CN"/>
    </w:rPr>
  </w:style>
  <w:style w:type="character" w:customStyle="1" w:styleId="93">
    <w:name w:val="top-det1"/>
    <w:qFormat/>
    <w:uiPriority w:val="0"/>
    <w:rPr>
      <w:b/>
      <w:color w:val="000000"/>
    </w:rPr>
  </w:style>
  <w:style w:type="paragraph" w:customStyle="1" w:styleId="9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95">
    <w:name w:val="样式 标题 1章标题Heading 0Section HeadPIM 1H1h11st levell11H1..."/>
    <w:basedOn w:val="4"/>
    <w:qFormat/>
    <w:uiPriority w:val="0"/>
    <w:pPr>
      <w:keepLines/>
      <w:pageBreakBefore/>
      <w:tabs>
        <w:tab w:val="left" w:pos="432"/>
        <w:tab w:val="clear" w:pos="3360"/>
      </w:tabs>
      <w:autoSpaceDE w:val="0"/>
      <w:autoSpaceDN w:val="0"/>
      <w:adjustRightInd w:val="0"/>
      <w:spacing w:before="340" w:beforeLines="0" w:after="330" w:afterLines="0" w:line="578" w:lineRule="atLeast"/>
      <w:jc w:val="both"/>
      <w:textAlignment w:val="bottom"/>
    </w:pPr>
    <w:rPr>
      <w:rFonts w:ascii="宋体" w:hAnsi="宋体"/>
      <w:b/>
      <w:kern w:val="44"/>
      <w:sz w:val="36"/>
    </w:rPr>
  </w:style>
  <w:style w:type="paragraph" w:customStyle="1" w:styleId="96">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9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98">
    <w:name w:val="操作步骤"/>
    <w:basedOn w:val="1"/>
    <w:qFormat/>
    <w:uiPriority w:val="0"/>
    <w:pPr>
      <w:numPr>
        <w:ilvl w:val="0"/>
        <w:numId w:val="6"/>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99">
    <w:name w:val="标题3——2"/>
    <w:basedOn w:val="6"/>
    <w:next w:val="56"/>
    <w:qFormat/>
    <w:uiPriority w:val="0"/>
    <w:pPr>
      <w:tabs>
        <w:tab w:val="left" w:pos="1280"/>
        <w:tab w:val="right" w:leader="dot" w:pos="8777"/>
      </w:tabs>
      <w:spacing w:before="312" w:beforeLines="100" w:after="0" w:line="240" w:lineRule="auto"/>
      <w:ind w:left="851" w:hanging="851"/>
      <w:jc w:val="both"/>
      <w:outlineLvl w:val="9"/>
    </w:pPr>
    <w:rPr>
      <w:rFonts w:ascii="黑体" w:hAnsi="宋体" w:eastAsia="黑体"/>
      <w:sz w:val="30"/>
    </w:rPr>
  </w:style>
  <w:style w:type="paragraph" w:customStyle="1" w:styleId="100">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01">
    <w:name w:val="正文（首行不缩进）"/>
    <w:basedOn w:val="1"/>
    <w:qFormat/>
    <w:uiPriority w:val="0"/>
    <w:pPr>
      <w:autoSpaceDE w:val="0"/>
      <w:autoSpaceDN w:val="0"/>
      <w:adjustRightInd w:val="0"/>
      <w:spacing w:line="360" w:lineRule="auto"/>
      <w:jc w:val="left"/>
    </w:pPr>
    <w:rPr>
      <w:kern w:val="0"/>
      <w:sz w:val="21"/>
    </w:rPr>
  </w:style>
  <w:style w:type="paragraph" w:customStyle="1" w:styleId="102">
    <w:name w:val="1.正文"/>
    <w:basedOn w:val="1"/>
    <w:qFormat/>
    <w:uiPriority w:val="0"/>
    <w:pPr>
      <w:spacing w:line="360" w:lineRule="auto"/>
      <w:ind w:left="540" w:leftChars="225" w:firstLine="540" w:firstLineChars="225"/>
    </w:pPr>
    <w:rPr>
      <w:sz w:val="24"/>
    </w:rPr>
  </w:style>
  <w:style w:type="paragraph" w:customStyle="1" w:styleId="103">
    <w:name w:val="Item List"/>
    <w:qFormat/>
    <w:uiPriority w:val="0"/>
    <w:pPr>
      <w:numPr>
        <w:ilvl w:val="0"/>
        <w:numId w:val="7"/>
      </w:numPr>
      <w:spacing w:line="300" w:lineRule="auto"/>
      <w:jc w:val="both"/>
    </w:pPr>
    <w:rPr>
      <w:rFonts w:ascii="Arial" w:hAnsi="Arial" w:eastAsia="宋体" w:cs="Times New Roman"/>
      <w:sz w:val="21"/>
      <w:lang w:val="en-US" w:eastAsia="zh-CN" w:bidi="ar-SA"/>
    </w:rPr>
  </w:style>
  <w:style w:type="paragraph" w:customStyle="1" w:styleId="10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05">
    <w:name w:val="Title - Revision"/>
    <w:basedOn w:val="54"/>
    <w:qFormat/>
    <w:uiPriority w:val="0"/>
    <w:pPr>
      <w:spacing w:before="720"/>
    </w:pPr>
  </w:style>
  <w:style w:type="paragraph" w:customStyle="1" w:styleId="106">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07">
    <w:name w:val="图片文字"/>
    <w:basedOn w:val="1"/>
    <w:qFormat/>
    <w:uiPriority w:val="0"/>
    <w:pPr>
      <w:spacing w:line="240" w:lineRule="atLeast"/>
      <w:jc w:val="center"/>
    </w:pPr>
    <w:rPr>
      <w:sz w:val="21"/>
    </w:rPr>
  </w:style>
  <w:style w:type="paragraph" w:customStyle="1" w:styleId="108">
    <w:name w:val="Table Contents"/>
    <w:basedOn w:val="2"/>
    <w:qFormat/>
    <w:uiPriority w:val="0"/>
    <w:pPr>
      <w:suppressAutoHyphens/>
      <w:jc w:val="left"/>
    </w:pPr>
    <w:rPr>
      <w:rFonts w:ascii="Times New Roman" w:eastAsia="Times New Roman"/>
      <w:kern w:val="0"/>
      <w:sz w:val="24"/>
    </w:rPr>
  </w:style>
  <w:style w:type="paragraph" w:customStyle="1" w:styleId="109">
    <w:name w:val="表格文本"/>
    <w:qFormat/>
    <w:uiPriority w:val="0"/>
    <w:pPr>
      <w:tabs>
        <w:tab w:val="decimal" w:pos="0"/>
      </w:tabs>
    </w:pPr>
    <w:rPr>
      <w:rFonts w:ascii="Arial" w:hAnsi="Arial" w:eastAsia="宋体" w:cs="Times New Roman"/>
      <w:sz w:val="21"/>
      <w:lang w:val="en-US" w:eastAsia="zh-CN" w:bidi="ar-SA"/>
    </w:rPr>
  </w:style>
  <w:style w:type="paragraph" w:customStyle="1" w:styleId="110">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11">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12">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13">
    <w:name w:val="Style Heading 3h3Heading 3 - oldLevel 3 HeadH3level_3PIM 3se..."/>
    <w:basedOn w:val="6"/>
    <w:qFormat/>
    <w:uiPriority w:val="0"/>
    <w:pPr>
      <w:numPr>
        <w:ilvl w:val="2"/>
        <w:numId w:val="8"/>
      </w:numPr>
      <w:jc w:val="both"/>
    </w:pPr>
    <w:rPr>
      <w:sz w:val="32"/>
    </w:rPr>
  </w:style>
  <w:style w:type="paragraph" w:customStyle="1" w:styleId="114">
    <w:name w:val="样式3"/>
    <w:basedOn w:val="4"/>
    <w:next w:val="4"/>
    <w:qFormat/>
    <w:uiPriority w:val="0"/>
    <w:pPr>
      <w:keepLines/>
      <w:tabs>
        <w:tab w:val="clear" w:pos="3360"/>
      </w:tabs>
      <w:adjustRightInd w:val="0"/>
      <w:spacing w:before="340" w:beforeLines="0" w:after="330" w:afterLines="0" w:line="576" w:lineRule="auto"/>
      <w:jc w:val="both"/>
    </w:pPr>
    <w:rPr>
      <w:b/>
      <w:kern w:val="44"/>
    </w:rPr>
  </w:style>
  <w:style w:type="paragraph" w:customStyle="1" w:styleId="115">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16">
    <w:name w:val="标题2"/>
    <w:basedOn w:val="5"/>
    <w:qFormat/>
    <w:uiPriority w:val="0"/>
    <w:pPr>
      <w:keepNext w:val="0"/>
      <w:keepLines w:val="0"/>
      <w:ind w:firstLine="574" w:firstLineChars="196"/>
      <w:outlineLvl w:val="9"/>
    </w:pPr>
    <w:rPr>
      <w:b/>
      <w:spacing w:val="6"/>
      <w:u w:val="single"/>
    </w:rPr>
  </w:style>
  <w:style w:type="paragraph" w:customStyle="1" w:styleId="117">
    <w:name w:val="首行缩进"/>
    <w:basedOn w:val="1"/>
    <w:qFormat/>
    <w:uiPriority w:val="0"/>
    <w:pPr>
      <w:spacing w:line="360" w:lineRule="auto"/>
      <w:ind w:firstLine="420" w:firstLineChars="200"/>
    </w:pPr>
    <w:rPr>
      <w:sz w:val="21"/>
    </w:rPr>
  </w:style>
  <w:style w:type="paragraph" w:customStyle="1" w:styleId="118">
    <w:name w:val="标准正文"/>
    <w:basedOn w:val="24"/>
    <w:qFormat/>
    <w:uiPriority w:val="0"/>
    <w:pPr>
      <w:spacing w:before="60" w:after="60" w:line="360" w:lineRule="auto"/>
      <w:ind w:left="0" w:firstLine="482"/>
    </w:pPr>
    <w:rPr>
      <w:rFonts w:ascii="Arial" w:hAnsi="Arial"/>
      <w:sz w:val="24"/>
    </w:rPr>
  </w:style>
  <w:style w:type="paragraph" w:customStyle="1" w:styleId="119">
    <w:name w:val="表格内文字"/>
    <w:basedOn w:val="31"/>
    <w:qFormat/>
    <w:uiPriority w:val="0"/>
    <w:pPr>
      <w:snapToGrid/>
      <w:spacing w:line="240" w:lineRule="auto"/>
    </w:pPr>
    <w:rPr>
      <w:color w:val="000000"/>
      <w:lang w:val="en-GB"/>
    </w:rPr>
  </w:style>
  <w:style w:type="paragraph" w:customStyle="1" w:styleId="120">
    <w:name w:val="标书正文:  0.74 厘米"/>
    <w:basedOn w:val="1"/>
    <w:qFormat/>
    <w:uiPriority w:val="0"/>
    <w:pPr>
      <w:snapToGrid w:val="0"/>
      <w:spacing w:line="360" w:lineRule="auto"/>
      <w:ind w:firstLine="420"/>
    </w:pPr>
    <w:rPr>
      <w:sz w:val="24"/>
    </w:rPr>
  </w:style>
  <w:style w:type="paragraph" w:customStyle="1" w:styleId="121">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22">
    <w:name w:val="样式 标题 6第五层条 + 三号 段前: 0.5 行"/>
    <w:basedOn w:val="9"/>
    <w:qFormat/>
    <w:uiPriority w:val="0"/>
    <w:pPr>
      <w:widowControl/>
      <w:adjustRightInd/>
      <w:snapToGrid/>
      <w:spacing w:before="156" w:beforeLines="50"/>
      <w:jc w:val="left"/>
    </w:pPr>
    <w:rPr>
      <w:snapToGrid w:val="0"/>
      <w:kern w:val="24"/>
      <w:sz w:val="28"/>
    </w:rPr>
  </w:style>
  <w:style w:type="paragraph" w:customStyle="1" w:styleId="123">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25">
    <w:name w:val="关键词"/>
    <w:basedOn w:val="1"/>
    <w:next w:val="1"/>
    <w:qFormat/>
    <w:uiPriority w:val="0"/>
    <w:pPr>
      <w:spacing w:line="360" w:lineRule="auto"/>
    </w:pPr>
    <w:rPr>
      <w:rFonts w:eastAsia="黑体"/>
      <w:sz w:val="20"/>
    </w:rPr>
  </w:style>
  <w:style w:type="paragraph" w:customStyle="1" w:styleId="126">
    <w:name w:val="列表项目"/>
    <w:basedOn w:val="1"/>
    <w:qFormat/>
    <w:uiPriority w:val="0"/>
    <w:pPr>
      <w:numPr>
        <w:ilvl w:val="0"/>
        <w:numId w:val="10"/>
      </w:numPr>
      <w:tabs>
        <w:tab w:val="left" w:pos="420"/>
        <w:tab w:val="clear" w:pos="980"/>
      </w:tabs>
      <w:spacing w:line="288" w:lineRule="auto"/>
      <w:ind w:left="840" w:leftChars="200" w:hanging="420" w:hangingChars="200"/>
    </w:pPr>
    <w:rPr>
      <w:sz w:val="21"/>
    </w:rPr>
  </w:style>
  <w:style w:type="paragraph" w:customStyle="1" w:styleId="127">
    <w:name w:val="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8">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29">
    <w:name w:val="00"/>
    <w:basedOn w:val="1"/>
    <w:qFormat/>
    <w:uiPriority w:val="0"/>
    <w:pPr>
      <w:autoSpaceDE w:val="0"/>
      <w:autoSpaceDN w:val="0"/>
      <w:adjustRightInd w:val="0"/>
      <w:jc w:val="left"/>
    </w:pPr>
    <w:rPr>
      <w:rFonts w:ascii="黑体" w:eastAsia="黑体"/>
      <w:b/>
      <w:kern w:val="0"/>
      <w:sz w:val="20"/>
    </w:rPr>
  </w:style>
  <w:style w:type="paragraph" w:customStyle="1" w:styleId="130">
    <w:name w:val="正文字缩2字"/>
    <w:basedOn w:val="1"/>
    <w:qFormat/>
    <w:uiPriority w:val="0"/>
    <w:pPr>
      <w:spacing w:before="60" w:after="60" w:line="360" w:lineRule="auto"/>
      <w:ind w:left="200" w:leftChars="200" w:firstLine="200" w:firstLineChars="200"/>
    </w:pPr>
    <w:rPr>
      <w:sz w:val="24"/>
    </w:rPr>
  </w:style>
  <w:style w:type="paragraph" w:customStyle="1" w:styleId="131">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132">
    <w:name w:val="正文1"/>
    <w:basedOn w:val="17"/>
    <w:qFormat/>
    <w:uiPriority w:val="0"/>
    <w:pPr>
      <w:spacing w:line="300" w:lineRule="auto"/>
      <w:ind w:firstLine="200" w:firstLineChars="200"/>
    </w:pPr>
  </w:style>
  <w:style w:type="paragraph" w:customStyle="1" w:styleId="133">
    <w:name w:val="标题无"/>
    <w:basedOn w:val="1"/>
    <w:qFormat/>
    <w:uiPriority w:val="0"/>
    <w:pPr>
      <w:spacing w:line="360" w:lineRule="auto"/>
    </w:pPr>
    <w:rPr>
      <w:sz w:val="24"/>
    </w:rPr>
  </w:style>
  <w:style w:type="paragraph" w:customStyle="1" w:styleId="134">
    <w:name w:val="正文4"/>
    <w:basedOn w:val="1"/>
    <w:qFormat/>
    <w:uiPriority w:val="0"/>
    <w:pPr>
      <w:tabs>
        <w:tab w:val="left" w:pos="1275"/>
      </w:tabs>
      <w:spacing w:before="60" w:after="60" w:line="360" w:lineRule="auto"/>
      <w:ind w:left="820" w:leftChars="400" w:hanging="705"/>
    </w:pPr>
    <w:rPr>
      <w:sz w:val="24"/>
    </w:rPr>
  </w:style>
  <w:style w:type="paragraph" w:customStyle="1" w:styleId="135">
    <w:name w:val="样式 正文首行缩进 2 + 首行缩进:  2 字符"/>
    <w:basedOn w:val="1"/>
    <w:qFormat/>
    <w:uiPriority w:val="0"/>
    <w:pPr>
      <w:numPr>
        <w:ilvl w:val="0"/>
        <w:numId w:val="11"/>
      </w:numPr>
      <w:adjustRightInd w:val="0"/>
      <w:snapToGrid w:val="0"/>
      <w:spacing w:line="360" w:lineRule="auto"/>
    </w:pPr>
    <w:rPr>
      <w:rFonts w:ascii="Arial" w:hAnsi="Arial"/>
      <w:b/>
      <w:sz w:val="24"/>
    </w:rPr>
  </w:style>
  <w:style w:type="paragraph" w:customStyle="1" w:styleId="136">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37">
    <w:name w:val="正文文本 21"/>
    <w:basedOn w:val="1"/>
    <w:qFormat/>
    <w:uiPriority w:val="0"/>
    <w:pPr>
      <w:adjustRightInd w:val="0"/>
      <w:spacing w:before="120" w:line="360" w:lineRule="auto"/>
      <w:ind w:firstLine="480"/>
      <w:textAlignment w:val="baseline"/>
    </w:pPr>
    <w:rPr>
      <w:sz w:val="24"/>
    </w:rPr>
  </w:style>
  <w:style w:type="paragraph" w:customStyle="1" w:styleId="138">
    <w:name w:val="Char"/>
    <w:basedOn w:val="1"/>
    <w:qFormat/>
    <w:uiPriority w:val="0"/>
    <w:pPr>
      <w:spacing w:line="240" w:lineRule="atLeast"/>
      <w:ind w:left="420" w:firstLine="420"/>
    </w:pPr>
    <w:rPr>
      <w:kern w:val="0"/>
      <w:sz w:val="21"/>
    </w:rPr>
  </w:style>
  <w:style w:type="paragraph" w:customStyle="1" w:styleId="139">
    <w:name w:val="_Style 137"/>
    <w:qFormat/>
    <w:uiPriority w:val="0"/>
    <w:rPr>
      <w:rFonts w:ascii="Times New Roman" w:hAnsi="Times New Roman" w:eastAsia="宋体" w:cs="Times New Roman"/>
      <w:kern w:val="2"/>
      <w:sz w:val="21"/>
      <w:lang w:val="en-US" w:eastAsia="zh-CN" w:bidi="ar-SA"/>
    </w:rPr>
  </w:style>
  <w:style w:type="paragraph" w:customStyle="1" w:styleId="140">
    <w:name w:val="文章正文"/>
    <w:basedOn w:val="1"/>
    <w:qFormat/>
    <w:uiPriority w:val="0"/>
    <w:pPr>
      <w:ind w:firstLine="560" w:firstLineChars="200"/>
    </w:pPr>
    <w:rPr>
      <w:rFonts w:ascii="仿宋_GB2312" w:hAnsi="宋体" w:eastAsia="仿宋_GB2312"/>
      <w:color w:val="000000"/>
    </w:rPr>
  </w:style>
  <w:style w:type="paragraph" w:customStyle="1" w:styleId="14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2">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43">
    <w:name w:val="编号正文"/>
    <w:basedOn w:val="144"/>
    <w:qFormat/>
    <w:uiPriority w:val="0"/>
    <w:pPr>
      <w:snapToGrid/>
      <w:spacing w:line="360" w:lineRule="auto"/>
      <w:ind w:left="1407" w:hanging="1047"/>
      <w:jc w:val="left"/>
    </w:pPr>
    <w:rPr>
      <w:rFonts w:eastAsia="仿宋_GB2312"/>
    </w:rPr>
  </w:style>
  <w:style w:type="paragraph" w:customStyle="1" w:styleId="144">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45">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46">
    <w:name w:val="样式 首行缩进:  0.74 厘米"/>
    <w:basedOn w:val="1"/>
    <w:qFormat/>
    <w:uiPriority w:val="0"/>
    <w:pPr>
      <w:spacing w:line="360" w:lineRule="auto"/>
      <w:ind w:firstLine="420"/>
    </w:pPr>
    <w:rPr>
      <w:sz w:val="24"/>
    </w:rPr>
  </w:style>
  <w:style w:type="paragraph" w:customStyle="1" w:styleId="147">
    <w:name w:val="摘要"/>
    <w:basedOn w:val="1"/>
    <w:next w:val="5"/>
    <w:qFormat/>
    <w:uiPriority w:val="0"/>
    <w:pPr>
      <w:spacing w:line="360" w:lineRule="auto"/>
    </w:pPr>
    <w:rPr>
      <w:rFonts w:eastAsia="黑体"/>
      <w:sz w:val="20"/>
    </w:rPr>
  </w:style>
  <w:style w:type="paragraph" w:customStyle="1" w:styleId="148">
    <w:name w:val="样式 宋体 五号 行距: 单倍行距"/>
    <w:basedOn w:val="1"/>
    <w:qFormat/>
    <w:uiPriority w:val="0"/>
    <w:pPr>
      <w:adjustRightInd w:val="0"/>
      <w:jc w:val="left"/>
    </w:pPr>
    <w:rPr>
      <w:rFonts w:ascii="宋体" w:hAnsi="宋体"/>
      <w:kern w:val="0"/>
      <w:sz w:val="21"/>
    </w:rPr>
  </w:style>
  <w:style w:type="paragraph" w:customStyle="1" w:styleId="149">
    <w:name w:val="样式 行距: 1.5 倍行距1"/>
    <w:basedOn w:val="1"/>
    <w:qFormat/>
    <w:uiPriority w:val="0"/>
    <w:pPr>
      <w:snapToGrid w:val="0"/>
    </w:pPr>
    <w:rPr>
      <w:sz w:val="21"/>
    </w:rPr>
  </w:style>
  <w:style w:type="paragraph" w:customStyle="1" w:styleId="150">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51">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152">
    <w:name w:val="样式 正文缩进正文（首行缩进两字）表正文正文非缩进特点标题4段1 + 首行缩进:  2 字符"/>
    <w:basedOn w:val="17"/>
    <w:qFormat/>
    <w:uiPriority w:val="0"/>
    <w:pPr>
      <w:ind w:firstLine="480" w:firstLineChars="200"/>
    </w:pPr>
  </w:style>
  <w:style w:type="paragraph" w:customStyle="1" w:styleId="153">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54">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55">
    <w:name w:val="Char Char Char"/>
    <w:basedOn w:val="1"/>
    <w:qFormat/>
    <w:uiPriority w:val="0"/>
    <w:rPr>
      <w:rFonts w:ascii="Tahoma" w:hAnsi="Tahoma"/>
      <w:sz w:val="24"/>
    </w:rPr>
  </w:style>
  <w:style w:type="paragraph" w:customStyle="1" w:styleId="156">
    <w:name w:val="样式2"/>
    <w:basedOn w:val="7"/>
    <w:qFormat/>
    <w:uiPriority w:val="0"/>
    <w:pPr>
      <w:numPr>
        <w:ilvl w:val="0"/>
        <w:numId w:val="13"/>
      </w:numPr>
      <w:spacing w:line="400" w:lineRule="exact"/>
      <w:jc w:val="center"/>
      <w:outlineLvl w:val="0"/>
    </w:pPr>
    <w:rPr>
      <w:b w:val="0"/>
      <w:sz w:val="44"/>
    </w:rPr>
  </w:style>
  <w:style w:type="paragraph" w:customStyle="1" w:styleId="157">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8">
    <w:name w:val="Char Char 字元 字元 字元 Char Char Char Char"/>
    <w:basedOn w:val="1"/>
    <w:qFormat/>
    <w:uiPriority w:val="0"/>
    <w:pPr>
      <w:adjustRightInd w:val="0"/>
      <w:spacing w:line="360" w:lineRule="auto"/>
    </w:pPr>
    <w:rPr>
      <w:kern w:val="0"/>
      <w:sz w:val="24"/>
    </w:rPr>
  </w:style>
  <w:style w:type="paragraph" w:customStyle="1" w:styleId="159">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6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61">
    <w:name w:val="Char1"/>
    <w:basedOn w:val="1"/>
    <w:qFormat/>
    <w:uiPriority w:val="0"/>
    <w:rPr>
      <w:sz w:val="21"/>
    </w:rPr>
  </w:style>
  <w:style w:type="paragraph" w:customStyle="1" w:styleId="162">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3">
    <w:name w:val="表头文本"/>
    <w:qFormat/>
    <w:uiPriority w:val="0"/>
    <w:pPr>
      <w:jc w:val="center"/>
    </w:pPr>
    <w:rPr>
      <w:rFonts w:ascii="Arial" w:hAnsi="Arial" w:eastAsia="宋体" w:cs="Times New Roman"/>
      <w:b/>
      <w:sz w:val="21"/>
      <w:lang w:val="en-US" w:eastAsia="zh-CN" w:bidi="ar-SA"/>
    </w:rPr>
  </w:style>
  <w:style w:type="paragraph" w:customStyle="1" w:styleId="164">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65">
    <w:name w:val="内容标题"/>
    <w:basedOn w:val="19"/>
    <w:qFormat/>
    <w:uiPriority w:val="0"/>
    <w:rPr>
      <w:rFonts w:ascii="Tahoma" w:hAnsi="Tahoma"/>
      <w:sz w:val="24"/>
    </w:rPr>
  </w:style>
  <w:style w:type="paragraph" w:customStyle="1" w:styleId="166">
    <w:name w:val="表头样式"/>
    <w:basedOn w:val="1"/>
    <w:qFormat/>
    <w:uiPriority w:val="0"/>
    <w:pPr>
      <w:autoSpaceDE w:val="0"/>
      <w:autoSpaceDN w:val="0"/>
      <w:adjustRightInd w:val="0"/>
      <w:spacing w:line="360" w:lineRule="auto"/>
      <w:jc w:val="left"/>
    </w:pPr>
    <w:rPr>
      <w:b/>
      <w:kern w:val="0"/>
      <w:sz w:val="21"/>
    </w:rPr>
  </w:style>
  <w:style w:type="paragraph" w:customStyle="1" w:styleId="167">
    <w:name w:val="1"/>
    <w:basedOn w:val="1"/>
    <w:qFormat/>
    <w:uiPriority w:val="0"/>
    <w:rPr>
      <w:rFonts w:ascii="Tahoma" w:hAnsi="Tahoma"/>
      <w:sz w:val="24"/>
    </w:rPr>
  </w:style>
  <w:style w:type="paragraph" w:customStyle="1" w:styleId="168">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69">
    <w:name w:val="简单回函地址"/>
    <w:basedOn w:val="1"/>
    <w:qFormat/>
    <w:uiPriority w:val="0"/>
    <w:pPr>
      <w:adjustRightInd w:val="0"/>
      <w:snapToGrid w:val="0"/>
      <w:spacing w:line="360" w:lineRule="auto"/>
    </w:pPr>
    <w:rPr>
      <w:sz w:val="24"/>
    </w:rPr>
  </w:style>
  <w:style w:type="paragraph" w:customStyle="1" w:styleId="170">
    <w:name w:val="正文 + 三号"/>
    <w:basedOn w:val="1"/>
    <w:qFormat/>
    <w:uiPriority w:val="0"/>
    <w:rPr>
      <w:sz w:val="21"/>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73">
    <w:name w:val="默认段落字体 Para Char Char Char Char Char Char Char"/>
    <w:basedOn w:val="1"/>
    <w:qFormat/>
    <w:uiPriority w:val="0"/>
    <w:rPr>
      <w:rFonts w:ascii="Tahoma" w:hAnsi="Tahoma"/>
      <w:sz w:val="24"/>
    </w:rPr>
  </w:style>
  <w:style w:type="paragraph" w:customStyle="1" w:styleId="174">
    <w:name w:val="正文表格"/>
    <w:basedOn w:val="1"/>
    <w:qFormat/>
    <w:uiPriority w:val="0"/>
    <w:pPr>
      <w:adjustRightInd w:val="0"/>
      <w:spacing w:before="40" w:after="40"/>
    </w:pPr>
    <w:rPr>
      <w:sz w:val="24"/>
    </w:rPr>
  </w:style>
  <w:style w:type="paragraph" w:customStyle="1" w:styleId="175">
    <w:name w:val="附录3"/>
    <w:basedOn w:val="1"/>
    <w:next w:val="1"/>
    <w:qFormat/>
    <w:uiPriority w:val="0"/>
    <w:pPr>
      <w:tabs>
        <w:tab w:val="left" w:pos="851"/>
      </w:tabs>
      <w:ind w:left="425" w:hanging="425"/>
      <w:outlineLvl w:val="2"/>
    </w:pPr>
    <w:rPr>
      <w:rFonts w:eastAsia="黑体"/>
      <w:b/>
      <w:sz w:val="32"/>
    </w:rPr>
  </w:style>
  <w:style w:type="paragraph" w:customStyle="1" w:styleId="176">
    <w:name w:val="图例"/>
    <w:basedOn w:val="1"/>
    <w:qFormat/>
    <w:uiPriority w:val="0"/>
    <w:pPr>
      <w:spacing w:before="120" w:after="120" w:line="360" w:lineRule="auto"/>
      <w:jc w:val="center"/>
    </w:pPr>
    <w:rPr>
      <w:rFonts w:eastAsia="仿宋_GB2312"/>
      <w:b/>
      <w:sz w:val="24"/>
    </w:rPr>
  </w:style>
  <w:style w:type="paragraph" w:customStyle="1" w:styleId="177">
    <w:name w:val="Title - Date"/>
    <w:basedOn w:val="54"/>
    <w:next w:val="1"/>
    <w:qFormat/>
    <w:uiPriority w:val="0"/>
    <w:pPr>
      <w:spacing w:before="240" w:after="720"/>
    </w:pPr>
    <w:rPr>
      <w:sz w:val="28"/>
    </w:rPr>
  </w:style>
  <w:style w:type="paragraph" w:customStyle="1" w:styleId="178">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79">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80">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81">
    <w:name w:val="_"/>
    <w:basedOn w:val="1"/>
    <w:qFormat/>
    <w:uiPriority w:val="0"/>
    <w:pPr>
      <w:adjustRightInd w:val="0"/>
      <w:spacing w:line="360" w:lineRule="auto"/>
      <w:ind w:left="480" w:firstLine="200" w:firstLineChars="200"/>
      <w:textAlignment w:val="baseline"/>
    </w:pPr>
    <w:rPr>
      <w:kern w:val="0"/>
      <w:sz w:val="24"/>
    </w:rPr>
  </w:style>
  <w:style w:type="paragraph" w:customStyle="1" w:styleId="182">
    <w:name w:val="Char Char Char Char Char"/>
    <w:basedOn w:val="1"/>
    <w:qFormat/>
    <w:uiPriority w:val="0"/>
    <w:pPr>
      <w:numPr>
        <w:ilvl w:val="0"/>
        <w:numId w:val="8"/>
      </w:numPr>
    </w:pPr>
    <w:rPr>
      <w:rFonts w:ascii="Tahoma" w:hAnsi="Tahoma"/>
      <w:sz w:val="24"/>
    </w:rPr>
  </w:style>
  <w:style w:type="paragraph" w:customStyle="1" w:styleId="183">
    <w:name w:val="章标题"/>
    <w:next w:val="1"/>
    <w:qFormat/>
    <w:uiPriority w:val="0"/>
    <w:pPr>
      <w:numPr>
        <w:ilvl w:val="1"/>
        <w:numId w:val="14"/>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84">
    <w:name w:val="Char1 Char Char Char"/>
    <w:basedOn w:val="1"/>
    <w:qFormat/>
    <w:uiPriority w:val="0"/>
    <w:rPr>
      <w:rFonts w:ascii="Tahoma" w:hAnsi="Tahoma"/>
      <w:sz w:val="24"/>
    </w:rPr>
  </w:style>
  <w:style w:type="paragraph" w:customStyle="1" w:styleId="185">
    <w:name w:val="样式 标题 1 + 居中 段前: 6 磅 段后: 6 磅 行距: 1.5 倍行距"/>
    <w:basedOn w:val="4"/>
    <w:qFormat/>
    <w:uiPriority w:val="0"/>
    <w:pPr>
      <w:keepLines/>
      <w:tabs>
        <w:tab w:val="clear" w:pos="3360"/>
      </w:tabs>
      <w:adjustRightInd w:val="0"/>
      <w:spacing w:before="120" w:beforeLines="0" w:line="360" w:lineRule="auto"/>
    </w:pPr>
    <w:rPr>
      <w:rFonts w:eastAsia="宋体"/>
      <w:b/>
      <w:kern w:val="44"/>
      <w:sz w:val="32"/>
    </w:rPr>
  </w:style>
  <w:style w:type="paragraph" w:customStyle="1" w:styleId="186">
    <w:name w:val="样式4"/>
    <w:basedOn w:val="7"/>
    <w:qFormat/>
    <w:uiPriority w:val="0"/>
    <w:pPr>
      <w:numPr>
        <w:numId w:val="0"/>
      </w:numPr>
      <w:adjustRightInd w:val="0"/>
      <w:snapToGrid w:val="0"/>
      <w:spacing w:before="280" w:line="372" w:lineRule="auto"/>
    </w:pPr>
  </w:style>
  <w:style w:type="paragraph" w:customStyle="1" w:styleId="1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89">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0">
    <w:name w:val="段落正文"/>
    <w:basedOn w:val="1"/>
    <w:qFormat/>
    <w:uiPriority w:val="0"/>
    <w:pPr>
      <w:spacing w:before="156" w:beforeLines="50" w:line="360" w:lineRule="auto"/>
      <w:ind w:firstLine="200" w:firstLineChars="200"/>
    </w:pPr>
    <w:rPr>
      <w:spacing w:val="2"/>
      <w:sz w:val="24"/>
    </w:rPr>
  </w:style>
  <w:style w:type="paragraph" w:customStyle="1" w:styleId="191">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92">
    <w:name w:val="Char2"/>
    <w:basedOn w:val="1"/>
    <w:qFormat/>
    <w:uiPriority w:val="0"/>
    <w:pPr>
      <w:widowControl/>
      <w:spacing w:line="400" w:lineRule="exact"/>
      <w:jc w:val="center"/>
    </w:pPr>
    <w:rPr>
      <w:sz w:val="24"/>
    </w:rPr>
  </w:style>
  <w:style w:type="paragraph" w:customStyle="1" w:styleId="193">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94">
    <w:name w:val="正文文本缩进 21"/>
    <w:basedOn w:val="1"/>
    <w:qFormat/>
    <w:uiPriority w:val="0"/>
    <w:pPr>
      <w:adjustRightInd w:val="0"/>
      <w:spacing w:before="120"/>
      <w:ind w:firstLine="420"/>
      <w:textAlignment w:val="baseline"/>
    </w:pPr>
    <w:rPr>
      <w:sz w:val="24"/>
    </w:rPr>
  </w:style>
  <w:style w:type="paragraph" w:customStyle="1" w:styleId="195">
    <w:name w:val="没有缩进（为图形使用）"/>
    <w:basedOn w:val="1"/>
    <w:qFormat/>
    <w:uiPriority w:val="0"/>
    <w:pPr>
      <w:spacing w:before="120" w:after="120" w:line="360" w:lineRule="auto"/>
    </w:pPr>
    <w:rPr>
      <w:sz w:val="24"/>
    </w:rPr>
  </w:style>
  <w:style w:type="paragraph" w:customStyle="1" w:styleId="196">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97">
    <w:name w:val="Item Step in Table"/>
    <w:qFormat/>
    <w:uiPriority w:val="0"/>
    <w:pPr>
      <w:numPr>
        <w:ilvl w:val="0"/>
        <w:numId w:val="15"/>
      </w:numPr>
      <w:spacing w:before="40" w:after="40"/>
      <w:jc w:val="both"/>
    </w:pPr>
    <w:rPr>
      <w:rFonts w:ascii="Arial" w:hAnsi="Arial" w:eastAsia="宋体" w:cs="Times New Roman"/>
      <w:sz w:val="18"/>
      <w:lang w:val="en-US" w:eastAsia="zh-CN" w:bidi="ar-SA"/>
    </w:rPr>
  </w:style>
  <w:style w:type="paragraph" w:customStyle="1" w:styleId="198">
    <w:name w:val="Char1 Char Char Char1"/>
    <w:basedOn w:val="1"/>
    <w:qFormat/>
    <w:uiPriority w:val="0"/>
    <w:rPr>
      <w:rFonts w:ascii="Tahoma" w:hAnsi="Tahoma"/>
      <w:sz w:val="21"/>
    </w:rPr>
  </w:style>
  <w:style w:type="paragraph" w:customStyle="1" w:styleId="199">
    <w:name w:val="Char Char Char Char Char Char Char1"/>
    <w:basedOn w:val="19"/>
    <w:qFormat/>
    <w:uiPriority w:val="0"/>
    <w:rPr>
      <w:rFonts w:ascii="宋体" w:hAnsi="Tahoma"/>
    </w:rPr>
  </w:style>
  <w:style w:type="paragraph" w:customStyle="1" w:styleId="20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1">
    <w:name w:val="样式1"/>
    <w:basedOn w:val="7"/>
    <w:qFormat/>
    <w:uiPriority w:val="0"/>
    <w:pPr>
      <w:spacing w:before="500" w:after="260" w:line="560" w:lineRule="atLeast"/>
    </w:pPr>
  </w:style>
  <w:style w:type="paragraph" w:customStyle="1" w:styleId="202">
    <w:name w:val="二级列表"/>
    <w:basedOn w:val="190"/>
    <w:next w:val="190"/>
    <w:qFormat/>
    <w:uiPriority w:val="0"/>
    <w:pPr>
      <w:tabs>
        <w:tab w:val="left" w:pos="2120"/>
      </w:tabs>
      <w:ind w:firstLine="0" w:firstLineChars="0"/>
    </w:pPr>
    <w:rPr>
      <w:b/>
    </w:rPr>
  </w:style>
  <w:style w:type="paragraph" w:customStyle="1" w:styleId="203">
    <w:name w:val="可研正文"/>
    <w:basedOn w:val="2"/>
    <w:qFormat/>
    <w:uiPriority w:val="0"/>
    <w:pPr>
      <w:adjustRightInd w:val="0"/>
      <w:snapToGrid w:val="0"/>
      <w:spacing w:line="440" w:lineRule="exact"/>
      <w:ind w:firstLine="567"/>
    </w:pPr>
    <w:rPr>
      <w:sz w:val="28"/>
    </w:rPr>
  </w:style>
  <w:style w:type="paragraph" w:customStyle="1" w:styleId="204">
    <w:name w:val="默认段落字体 Para Char Char Char Char Char Char Char Char Char1 Char Char Char Char"/>
    <w:basedOn w:val="1"/>
    <w:qFormat/>
    <w:uiPriority w:val="0"/>
    <w:rPr>
      <w:rFonts w:ascii="Tahoma" w:hAnsi="Tahoma"/>
      <w:sz w:val="24"/>
    </w:rPr>
  </w:style>
  <w:style w:type="paragraph" w:customStyle="1" w:styleId="205">
    <w:name w:val="Char Char1 Char"/>
    <w:basedOn w:val="1"/>
    <w:qFormat/>
    <w:uiPriority w:val="0"/>
    <w:rPr>
      <w:rFonts w:ascii="Tahoma" w:hAnsi="Tahoma"/>
      <w:sz w:val="24"/>
      <w:szCs w:val="24"/>
    </w:rPr>
  </w:style>
  <w:style w:type="paragraph" w:customStyle="1" w:styleId="206">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7">
    <w:name w:val="Note"/>
    <w:basedOn w:val="1"/>
    <w:qFormat/>
    <w:uiPriority w:val="0"/>
    <w:pPr>
      <w:pBdr>
        <w:top w:val="single" w:color="auto" w:sz="12" w:space="3"/>
        <w:bottom w:val="single" w:color="auto" w:sz="12" w:space="3"/>
      </w:pBdr>
      <w:spacing w:line="360" w:lineRule="auto"/>
    </w:pPr>
    <w:rPr>
      <w:sz w:val="24"/>
    </w:rPr>
  </w:style>
  <w:style w:type="paragraph" w:customStyle="1" w:styleId="208">
    <w:name w:val="文本1"/>
    <w:basedOn w:val="1"/>
    <w:qFormat/>
    <w:uiPriority w:val="0"/>
    <w:pPr>
      <w:adjustRightInd w:val="0"/>
      <w:spacing w:line="312" w:lineRule="atLeast"/>
      <w:jc w:val="center"/>
      <w:textAlignment w:val="baseline"/>
    </w:pPr>
    <w:rPr>
      <w:kern w:val="0"/>
      <w:sz w:val="18"/>
    </w:rPr>
  </w:style>
  <w:style w:type="paragraph" w:customStyle="1" w:styleId="209">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210">
    <w:name w:val="文本框样式1"/>
    <w:basedOn w:val="1"/>
    <w:qFormat/>
    <w:uiPriority w:val="0"/>
    <w:pPr>
      <w:adjustRightInd w:val="0"/>
      <w:snapToGrid w:val="0"/>
      <w:spacing w:before="60" w:line="180" w:lineRule="exact"/>
      <w:jc w:val="center"/>
    </w:pPr>
    <w:rPr>
      <w:sz w:val="21"/>
    </w:rPr>
  </w:style>
  <w:style w:type="paragraph" w:customStyle="1" w:styleId="211">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212">
    <w:name w:val="样式1xz"/>
    <w:basedOn w:val="1"/>
    <w:qFormat/>
    <w:uiPriority w:val="0"/>
    <w:pPr>
      <w:tabs>
        <w:tab w:val="left" w:pos="1050"/>
        <w:tab w:val="right" w:leader="dot" w:pos="8296"/>
      </w:tabs>
    </w:pPr>
    <w:rPr>
      <w:caps/>
      <w:spacing w:val="20"/>
      <w:sz w:val="24"/>
    </w:rPr>
  </w:style>
  <w:style w:type="paragraph" w:customStyle="1" w:styleId="213">
    <w:name w:val="IN Feature"/>
    <w:next w:val="168"/>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14">
    <w:name w:val="首行缩进 1"/>
    <w:basedOn w:val="1"/>
    <w:qFormat/>
    <w:uiPriority w:val="0"/>
    <w:pPr>
      <w:spacing w:after="120" w:line="360" w:lineRule="auto"/>
      <w:ind w:firstLine="200" w:firstLineChars="200"/>
    </w:pPr>
    <w:rPr>
      <w:sz w:val="24"/>
    </w:rPr>
  </w:style>
  <w:style w:type="paragraph" w:customStyle="1" w:styleId="215">
    <w:name w:val="表文字"/>
    <w:qFormat/>
    <w:uiPriority w:val="0"/>
    <w:rPr>
      <w:rFonts w:ascii="宋体" w:hAnsi="Times New Roman" w:eastAsia="宋体" w:cs="Times New Roman"/>
      <w:kern w:val="2"/>
      <w:lang w:val="en-US" w:eastAsia="zh-CN" w:bidi="ar-SA"/>
    </w:rPr>
  </w:style>
  <w:style w:type="character" w:customStyle="1" w:styleId="216">
    <w:name w:val="批注文字 Char1"/>
    <w:qFormat/>
    <w:uiPriority w:val="0"/>
    <w:rPr>
      <w:rFonts w:eastAsia="PMingLiU"/>
      <w:sz w:val="24"/>
      <w:lang w:eastAsia="zh-TW"/>
    </w:rPr>
  </w:style>
  <w:style w:type="paragraph" w:customStyle="1" w:styleId="217">
    <w:name w:val="zjb正文"/>
    <w:basedOn w:val="1"/>
    <w:qFormat/>
    <w:uiPriority w:val="0"/>
    <w:pPr>
      <w:spacing w:line="360" w:lineRule="auto"/>
      <w:ind w:firstLine="200" w:firstLineChars="200"/>
    </w:pPr>
    <w:rPr>
      <w:rFonts w:ascii="仿宋_GB2312" w:hAnsi="仿宋" w:eastAsia="仿宋_GB2312"/>
      <w:sz w:val="30"/>
      <w:szCs w:val="30"/>
    </w:rPr>
  </w:style>
  <w:style w:type="paragraph" w:customStyle="1" w:styleId="21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19">
    <w:name w:val="列出段落1"/>
    <w:basedOn w:val="1"/>
    <w:qFormat/>
    <w:uiPriority w:val="0"/>
    <w:pPr>
      <w:ind w:firstLine="420" w:firstLineChars="200"/>
    </w:pPr>
    <w:rPr>
      <w:sz w:val="21"/>
      <w:szCs w:val="21"/>
    </w:rPr>
  </w:style>
  <w:style w:type="paragraph" w:customStyle="1" w:styleId="220">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221">
    <w:name w:val="font91"/>
    <w:basedOn w:val="60"/>
    <w:qFormat/>
    <w:uiPriority w:val="0"/>
    <w:rPr>
      <w:rFonts w:hint="eastAsia" w:ascii="方正仿宋_GBK" w:hAnsi="方正仿宋_GBK" w:eastAsia="方正仿宋_GBK" w:cs="方正仿宋_GBK"/>
      <w:color w:val="FF0000"/>
      <w:sz w:val="24"/>
      <w:szCs w:val="24"/>
      <w:u w:val="none"/>
    </w:rPr>
  </w:style>
  <w:style w:type="character" w:customStyle="1" w:styleId="222">
    <w:name w:val="trnone1"/>
    <w:basedOn w:val="60"/>
    <w:qFormat/>
    <w:uiPriority w:val="0"/>
  </w:style>
  <w:style w:type="character" w:customStyle="1" w:styleId="223">
    <w:name w:val="font11"/>
    <w:basedOn w:val="60"/>
    <w:qFormat/>
    <w:uiPriority w:val="0"/>
    <w:rPr>
      <w:rFonts w:hint="default" w:ascii="Times New Roman" w:hAnsi="Times New Roman" w:cs="Times New Roman"/>
      <w:color w:val="000000"/>
      <w:sz w:val="24"/>
      <w:szCs w:val="24"/>
      <w:u w:val="none"/>
    </w:rPr>
  </w:style>
  <w:style w:type="character" w:customStyle="1" w:styleId="224">
    <w:name w:val="font31"/>
    <w:basedOn w:val="60"/>
    <w:qFormat/>
    <w:uiPriority w:val="0"/>
    <w:rPr>
      <w:rFonts w:hint="eastAsia" w:ascii="方正仿宋_GBK" w:hAnsi="方正仿宋_GBK" w:eastAsia="方正仿宋_GBK" w:cs="方正仿宋_GBK"/>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75</Pages>
  <Words>3884</Words>
  <Characters>4240</Characters>
  <Lines>327</Lines>
  <Paragraphs>92</Paragraphs>
  <TotalTime>8</TotalTime>
  <ScaleCrop>false</ScaleCrop>
  <LinksUpToDate>false</LinksUpToDate>
  <CharactersWithSpaces>4353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2025-02-08T10:05:00Z</dcterms:created>
  <dc:creator>admin</dc:creator>
  <cp:lastModifiedBy>王文</cp:lastModifiedBy>
  <cp:lastPrinted>2024-06-28T19:45:00Z</cp:lastPrinted>
  <dcterms:modified xsi:type="dcterms:W3CDTF">2025-09-11T04:29:26Z</dcterms:modified>
  <dc:title>货物</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76B2298CF43B4707BE50BC88AEB5DBDB_13</vt:lpwstr>
  </property>
  <property fmtid="{D5CDD505-2E9C-101B-9397-08002B2CF9AE}" pid="4" name="KSOTemplateDocerSaveRecord">
    <vt:lpwstr>eyJoZGlkIjoiYTg5ZWQ4NmZhZThmODc0NzlmZGZkZGJlM2Q0NzE0MzAiLCJ1c2VySWQiOiI1MjAzMDk1NDAifQ==</vt:lpwstr>
  </property>
</Properties>
</file>