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版本号：N513436202600001720260408002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美姑县垃圾填埋场及渗滤液运维服务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N5134362026000017</w:t>
      </w:r>
    </w:p>
    <w:p>
      <w:pPr>
        <w:pStyle w:val="null3"/>
        <w:jc w:val="left"/>
        <w:outlineLvl w:val="2"/>
      </w:pPr>
      <w:r>
        <w:rPr>
          <w:rFonts w:ascii="仿宋_GB2312" w:hAnsi="仿宋_GB2312" w:cs="仿宋_GB2312" w:eastAsia="仿宋_GB2312"/>
          <w:sz w:val="28"/>
          <w:b/>
        </w:rPr>
        <w:t>美姑县住房和城乡建设局</w:t>
      </w:r>
    </w:p>
    <w:p>
      <w:pPr>
        <w:pStyle w:val="null3"/>
        <w:jc w:val="center"/>
        <w:outlineLvl w:val="2"/>
      </w:pPr>
      <w:r>
        <w:rPr>
          <w:rFonts w:ascii="仿宋_GB2312" w:hAnsi="仿宋_GB2312" w:cs="仿宋_GB2312" w:eastAsia="仿宋_GB2312"/>
          <w:sz w:val="28"/>
          <w:b/>
        </w:rPr>
        <w:t>凉山文杰工程项目管理有限公司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凉山文杰工程项目管理有限公司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美姑县住房和城乡建设局</w:t>
      </w:r>
      <w:r>
        <w:rPr>
          <w:rFonts w:ascii="仿宋_GB2312" w:hAnsi="仿宋_GB2312" w:cs="仿宋_GB2312" w:eastAsia="仿宋_GB2312"/>
        </w:rPr>
        <w:t xml:space="preserve"> 委托，拟对 </w:t>
      </w:r>
      <w:r>
        <w:rPr>
          <w:rFonts w:ascii="仿宋_GB2312" w:hAnsi="仿宋_GB2312" w:cs="仿宋_GB2312" w:eastAsia="仿宋_GB2312"/>
        </w:rPr>
        <w:t>美姑县垃圾填埋场及渗滤液运维服务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凉山彝族自治州美姑县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N5134362026000017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美姑县垃圾填埋场及渗滤液运维服务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美姑县垃圾填埋场及渗滤液运维服务，旨在通过引入专业化、规范化的运营服务商，确保填埋场在服务期内安全、稳定、环保运行。服务期为三年。投标人在服务期内，需严格按照国家及行业相关标准规范、招标文件及合同约定，全面负责美姑县垃圾填埋场及渗滤液运维服务项目。核心要求包括确保渗滤液经处理后，水质指标稳定达到《生活垃圾填埋场污染控制标准》（GB16889-2024）表2规定的标准限值。 鉴于现有50m³/d渗滤液处理设备处理能力不足，无法满足当前及未来一段时间的渗滤液处理需求，投标人需负责将原有设备升级改造为处理能力达到100m³/d的一体化渗滤液处理设备。改造后的设备应具备高效、稳定、低耗的特点，其处理工艺、技术参数、自动化控制水平等均需符合国家及行业最新标准，并能确保长期稳定运行，出水水质持续达标。 为进一步提升填埋场的环境保护水平，满足环保管理要求，投标人需负责完善以下环保措施，包括环评验收、完善现有设施设备环境影响评价、排污口论证，在线自动监测设备升级更换与服务，需在填埋场关键点位升级更换2台在线自动监测设备，具体监测因子应至少包括但不限于COD、氨氮等关键水污染物指标（或根据环评及环保部门要求确定具体监测因子）。同时，投标人需负责提供为期三年的在线自动监测设备运行维护服务，确保监测设备持续稳定运行，数据准确、实时、有效上传至环保监管平台，满足环保部门的在线监控要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美姑县住房和城乡建设局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四川省美姑县巴普镇美西路50号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616450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0834-8242363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凉山文杰工程项目管理有限公司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四川省凉山彝族自治州西昌市四川省凉山彝族自治州西昌市三岔口南路267号2楼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0834-2222779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采购包1：11,832,000.00元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代理服务费按照成本加合理利润的原则定额计取，代理服务为1.5%，由中标供应商领取中标通知书前向采购代理机构缴纳。注：参照国家关于进一步放开建设项目专业服务价格的通知（发改价格〔2015〕299号）文件精神收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美姑县住房和城乡建设局</w:t>
      </w:r>
      <w:r>
        <w:rPr>
          <w:rFonts w:ascii="仿宋_GB2312" w:hAnsi="仿宋_GB2312" w:cs="仿宋_GB2312" w:eastAsia="仿宋_GB2312"/>
        </w:rPr>
        <w:t xml:space="preserve"> 和 </w:t>
      </w:r>
      <w:r>
        <w:rPr>
          <w:rFonts w:ascii="仿宋_GB2312" w:hAnsi="仿宋_GB2312" w:cs="仿宋_GB2312" w:eastAsia="仿宋_GB2312"/>
        </w:rPr>
        <w:t>凉山文杰工程项目管理有限公司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美姑县住房和城乡建设局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凉山文杰工程项目管理有限公司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由采购人组织相关专业人员进行验收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本项目验收由采购人组织有关专业人员按招标文件所列的各项要求、竞标人响应文件内容及承诺，签订的合同及验收所必须具备的其他材料进行验收。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本项目验收由采购人组织有关专业人员按招标文件所列的各项要求、竞标人响应文件内容及承诺，签订的合同及验收所必须具备的其他材料进行验收。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本项目验收由采购人组织有关专业人员按招标文件所列的各项要求、竞标人响应文件内容及承诺，签订的合同及验收所必须具备的其他材料进行验收。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采购人将严格按照政府采购相关法律法规以及《财政部关于进一步加强政府采购需求和履约验收管理的指导意见》（财库〔2016〕205号）文件要求、磋商文件规定的要求和响应文件及合同承诺的内容进行验收。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美姑县住房和城乡建设局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凉山文杰工程项目管理有限公司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凉山文杰工程项目管理有限公司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联系电话：0834-8242363</w:t>
      </w:r>
    </w:p>
    <w:p>
      <w:pPr>
        <w:pStyle w:val="null3"/>
        <w:jc w:val="left"/>
      </w:pPr>
      <w:r>
        <w:rPr>
          <w:rFonts w:ascii="仿宋_GB2312" w:hAnsi="仿宋_GB2312" w:cs="仿宋_GB2312" w:eastAsia="仿宋_GB2312"/>
        </w:rPr>
        <w:t>地址： 四川省美姑县巴普镇美西路50号</w:t>
      </w:r>
    </w:p>
    <w:p>
      <w:pPr>
        <w:pStyle w:val="null3"/>
        <w:jc w:val="left"/>
      </w:pPr>
      <w:r>
        <w:rPr>
          <w:rFonts w:ascii="仿宋_GB2312" w:hAnsi="仿宋_GB2312" w:cs="仿宋_GB2312" w:eastAsia="仿宋_GB2312"/>
        </w:rPr>
        <w:t>邮编：616450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联系人：邓先生</w:t>
      </w:r>
    </w:p>
    <w:p>
      <w:pPr>
        <w:pStyle w:val="null3"/>
        <w:jc w:val="left"/>
      </w:pPr>
      <w:r>
        <w:rPr>
          <w:rFonts w:ascii="仿宋_GB2312" w:hAnsi="仿宋_GB2312" w:cs="仿宋_GB2312" w:eastAsia="仿宋_GB2312"/>
        </w:rPr>
        <w:t>联系电话：0834-2222779</w:t>
      </w:r>
    </w:p>
    <w:p>
      <w:pPr>
        <w:pStyle w:val="null3"/>
        <w:jc w:val="left"/>
      </w:pPr>
      <w:r>
        <w:rPr>
          <w:rFonts w:ascii="仿宋_GB2312" w:hAnsi="仿宋_GB2312" w:cs="仿宋_GB2312" w:eastAsia="仿宋_GB2312"/>
        </w:rPr>
        <w:t>地址：四川省凉山彝族自治州西昌市三岔口南路267号2楼</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11,832,000.00</w:t>
      </w:r>
    </w:p>
    <w:p>
      <w:pPr>
        <w:pStyle w:val="null3"/>
        <w:jc w:val="left"/>
      </w:pPr>
      <w:r>
        <w:rPr>
          <w:rFonts w:ascii="仿宋_GB2312" w:hAnsi="仿宋_GB2312" w:cs="仿宋_GB2312" w:eastAsia="仿宋_GB2312"/>
        </w:rPr>
        <w:t>采购包最高限价（元）: 11,832,000.00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美姑县垃圾填埋场及渗滤液运维服务</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11,832,000.00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美姑县垃圾填埋场及渗滤液运维服务</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11,832,000.00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标的名称：美姑县垃圾填埋场及渗滤液运维服务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color w:val="000000"/>
              </w:rPr>
              <w:t>1.1美姑县垃圾填埋场及渗滤液运维服务</w:t>
            </w:r>
          </w:p>
          <w:p>
            <w:pPr>
              <w:pStyle w:val="null3"/>
              <w:jc w:val="both"/>
            </w:pPr>
            <w:r>
              <w:rPr>
                <w:rFonts w:ascii="仿宋_GB2312" w:hAnsi="仿宋_GB2312" w:cs="仿宋_GB2312" w:eastAsia="仿宋_GB2312"/>
                <w:sz w:val="24"/>
                <w:color w:val="000000"/>
              </w:rPr>
              <w:t>1.1.1处理工艺要求：</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1）垃圾处理工艺：卫生填埋；</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2）污水处理工艺：两级DTRO；</w:t>
            </w:r>
          </w:p>
          <w:p>
            <w:pPr>
              <w:pStyle w:val="null3"/>
              <w:jc w:val="both"/>
            </w:pPr>
            <w:r>
              <w:rPr>
                <w:rFonts w:ascii="仿宋_GB2312" w:hAnsi="仿宋_GB2312" w:cs="仿宋_GB2312" w:eastAsia="仿宋_GB2312"/>
                <w:sz w:val="24"/>
                <w:color w:val="000000"/>
              </w:rPr>
              <w:t>1.1.2、处理规模（吨/天）：填埋量≥80t/d，渗滤液处理量≥100m³/d；</w:t>
            </w:r>
          </w:p>
          <w:p>
            <w:pPr>
              <w:pStyle w:val="null3"/>
              <w:jc w:val="both"/>
            </w:pPr>
            <w:r>
              <w:rPr>
                <w:rFonts w:ascii="仿宋_GB2312" w:hAnsi="仿宋_GB2312" w:cs="仿宋_GB2312" w:eastAsia="仿宋_GB2312"/>
                <w:sz w:val="24"/>
                <w:color w:val="000000"/>
              </w:rPr>
              <w:t>1.1.3、执行标准：</w:t>
            </w:r>
          </w:p>
          <w:p>
            <w:pPr>
              <w:pStyle w:val="null3"/>
              <w:jc w:val="both"/>
            </w:pPr>
            <w:r>
              <w:rPr>
                <w:rFonts w:ascii="仿宋_GB2312" w:hAnsi="仿宋_GB2312" w:cs="仿宋_GB2312" w:eastAsia="仿宋_GB2312"/>
                <w:sz w:val="24"/>
                <w:color w:val="000000"/>
              </w:rPr>
              <w:t>1.2.渗滤液处理标准：《生活垃圾填埋场污染控制标准》（</w:t>
            </w:r>
            <w:r>
              <w:rPr>
                <w:rFonts w:ascii="仿宋_GB2312" w:hAnsi="仿宋_GB2312" w:cs="仿宋_GB2312" w:eastAsia="仿宋_GB2312"/>
                <w:sz w:val="24"/>
                <w:color w:val="000000"/>
              </w:rPr>
              <w:t>GB16889-2024）表2。1.2美姑县垃圾填埋场一体化渗滤液设备升级改造</w:t>
            </w:r>
          </w:p>
          <w:p>
            <w:pPr>
              <w:pStyle w:val="null3"/>
              <w:spacing w:after="120"/>
              <w:jc w:val="both"/>
            </w:pPr>
            <w:r>
              <w:rPr>
                <w:rFonts w:ascii="仿宋_GB2312" w:hAnsi="仿宋_GB2312" w:cs="仿宋_GB2312" w:eastAsia="仿宋_GB2312"/>
                <w:sz w:val="24"/>
                <w:color w:val="000000"/>
              </w:rPr>
              <w:t>1.2.1、处理工艺：与原有工艺匹配。</w:t>
            </w:r>
          </w:p>
          <w:p>
            <w:pPr>
              <w:pStyle w:val="null3"/>
              <w:spacing w:after="120"/>
              <w:jc w:val="both"/>
            </w:pPr>
            <w:r>
              <w:rPr>
                <w:rFonts w:ascii="仿宋_GB2312" w:hAnsi="仿宋_GB2312" w:cs="仿宋_GB2312" w:eastAsia="仿宋_GB2312"/>
                <w:sz w:val="24"/>
                <w:color w:val="000000"/>
              </w:rPr>
              <w:t>1.2.2、现有处理规模:（吨/天）：≥50；</w:t>
            </w:r>
          </w:p>
          <w:p>
            <w:pPr>
              <w:pStyle w:val="null3"/>
              <w:jc w:val="both"/>
            </w:pPr>
            <w:r>
              <w:rPr>
                <w:rFonts w:ascii="仿宋_GB2312" w:hAnsi="仿宋_GB2312" w:cs="仿宋_GB2312" w:eastAsia="仿宋_GB2312"/>
                <w:sz w:val="24"/>
                <w:color w:val="000000"/>
              </w:rPr>
              <w:t>1.2.3、改造服务是由每天50</w:t>
            </w:r>
            <w:r>
              <w:rPr>
                <w:rFonts w:ascii="仿宋_GB2312" w:hAnsi="仿宋_GB2312" w:cs="仿宋_GB2312" w:eastAsia="仿宋_GB2312"/>
                <w:sz w:val="24"/>
                <w:color w:val="000000"/>
              </w:rPr>
              <w:t>m³</w:t>
            </w:r>
            <w:r>
              <w:rPr>
                <w:rFonts w:ascii="仿宋_GB2312" w:hAnsi="仿宋_GB2312" w:cs="仿宋_GB2312" w:eastAsia="仿宋_GB2312"/>
                <w:sz w:val="24"/>
                <w:color w:val="000000"/>
              </w:rPr>
              <w:t>提升到每天</w:t>
            </w:r>
            <w:r>
              <w:rPr>
                <w:rFonts w:ascii="仿宋_GB2312" w:hAnsi="仿宋_GB2312" w:cs="仿宋_GB2312" w:eastAsia="仿宋_GB2312"/>
                <w:sz w:val="24"/>
                <w:color w:val="000000"/>
              </w:rPr>
              <w:t>100</w:t>
            </w:r>
            <w:r>
              <w:rPr>
                <w:rFonts w:ascii="仿宋_GB2312" w:hAnsi="仿宋_GB2312" w:cs="仿宋_GB2312" w:eastAsia="仿宋_GB2312"/>
                <w:sz w:val="24"/>
                <w:color w:val="000000"/>
              </w:rPr>
              <w:t>m³，</w:t>
            </w:r>
            <w:r>
              <w:rPr>
                <w:rFonts w:ascii="仿宋_GB2312" w:hAnsi="仿宋_GB2312" w:cs="仿宋_GB2312" w:eastAsia="仿宋_GB2312"/>
                <w:sz w:val="24"/>
                <w:color w:val="000000"/>
              </w:rPr>
              <w:t>所需要的改造费用和办理手续产生的费用由中标人支付。</w:t>
            </w:r>
          </w:p>
          <w:p>
            <w:pPr>
              <w:pStyle w:val="null3"/>
              <w:spacing w:after="120"/>
              <w:jc w:val="both"/>
            </w:pPr>
            <w:r>
              <w:rPr>
                <w:rFonts w:ascii="仿宋_GB2312" w:hAnsi="仿宋_GB2312" w:cs="仿宋_GB2312" w:eastAsia="仿宋_GB2312"/>
                <w:sz w:val="24"/>
                <w:color w:val="000000"/>
              </w:rPr>
              <w:t>1.2.4、执行标准: 《生活垃圾填埋场污染控制标准》（GB16889-2024）表2；</w:t>
            </w:r>
          </w:p>
          <w:p>
            <w:pPr>
              <w:pStyle w:val="null3"/>
              <w:jc w:val="both"/>
            </w:pPr>
            <w:r>
              <w:rPr>
                <w:rFonts w:ascii="仿宋_GB2312" w:hAnsi="仿宋_GB2312" w:cs="仿宋_GB2312" w:eastAsia="仿宋_GB2312"/>
                <w:sz w:val="24"/>
                <w:color w:val="000000"/>
              </w:rPr>
              <w:t>1.3、在运维过程中，中标人须按照生态环境部门和其他职能部门的要求，完善各项手续（包括但不限于①环评验收：严格按照《建设项目竣工环境保护验收技术指南 污染影响类》编制验收报告，详细说明工程实际建设内容与环评批复的符合性，分析环保设施处理效率（如渗滤液处理系统COD去除率需达到95%以上）、污染物排放达标情况（废气排放满足《生活垃圾填埋场污染控制标准》GB16889-2024表2要求）。针对施工期遗留的临时占地植被恢复、施工废料处置等问题，制定整改方案并明确完成时限。组织行业专家、环评单位、设计单位及运维单位召开验收评审会，对验收报告及整改方案进行技术论证。公开验收信息并征求公众意见，验收合格后按规定向生态环境部门备案，同步建立验收资料档案管理制度。</w:t>
            </w:r>
            <w:r>
              <w:rPr>
                <w:rFonts w:ascii="仿宋_GB2312" w:hAnsi="仿宋_GB2312" w:cs="仿宋_GB2312" w:eastAsia="仿宋_GB2312"/>
                <w:sz w:val="24"/>
                <w:color w:val="000000"/>
              </w:rPr>
              <w:t>②完善现有设施设备环境影响评价：依据《建设项目环境影响评价分类管理名录》确定环评文件类型（报告书/报告表/登记表），重点阐述设施设备的生产工艺、污染物产生环节及排放量核算（如填埋气产生量按填埋量、有机物含量及产气率模型计算）。针对存在的环境问题，提出整改措施参照《建设项目环境影响评价分类管理名录》，确定环评文件类型（报告书/报告表）。在现状调查基础上，预测现有设施在正常运行及非正常工况下的环境影响，重点论证污染物排放总量是否符合区域环境承载能力。按要求将环评文件报送有审批权的生态环境主管部门，配合开展技术评估与审查工作，及时回应审批部门提出的修改意见。在环评文件获批后，严格按照批复要求组织设施整改，确保整改内容与环评文件及批复意见一致，并将整改完成情况作为后续环保验收的重要依据。</w:t>
            </w:r>
            <w:r>
              <w:rPr>
                <w:rFonts w:ascii="仿宋_GB2312" w:hAnsi="仿宋_GB2312" w:cs="仿宋_GB2312" w:eastAsia="仿宋_GB2312"/>
                <w:sz w:val="24"/>
                <w:color w:val="000000"/>
              </w:rPr>
              <w:t>③排污口论证：论证报告需包括排污口选址合理性分析（避开饮用水源保护区、水产养殖区等敏感区域）、排放去向可行性论证（如排入市政污水处理厂需提供接纳证明及管网衔接方案）、污染物排放量预测（按设计处理规模及排放标准计算年排放量）。针对多排污口整合需求，提出优化方案，如将分散的初期雨水排放口合并为统一收集处理系统。组织水利、环保等领域专家对排污口设置方案进行技术评审，重点论证对受纳水体（如河流、污水处理厂）的影响。根据评审意见修改完善后，报生态环境部门审批，取得排污口设置同意文件。按要求规范设置排污口标识牌，标明污染物种类、排放标准、监测频次及责任单位联系方式。④在线自动监测设备升级更换与服务：对现有在线监测系统（COD、氨氮、pH、流量计等）进行性能评估，检测设备精度、数据传输稳定性及与环保部门监控平台的联网情况。根据最新《生活垃圾填埋场污染控制标准》及《污染源自动监控管理办法》，制定升级更换清单：如将传统COD分析仪更换为高精度紫外分光光度法分析仪，新增填埋气中甲烷浓度在线监测设备，升级数据采集传输仪至符合HJ212-2025标准。⑤签订运维合同明确责任：每日远程巡检设备运行状态，每周现场维护（清洁采样头、校准标准曲线），每月进行一次全项标定（使用标准样品验证准确度）。建立设备故障应急响应机制，承诺2小时内到达现场，24小时内恢复正常运行。每季度生成运维报告，包括监测数据统计、超标情况分析及设备维护记录，确保数据连续、准确、有效上传至环保部门监控平台。），费用自理。如因中标人原因造成的各类行政处罚，由中标人支付。</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规范运行管理服务要求</w:t>
            </w:r>
          </w:p>
        </w:tc>
        <w:tc>
          <w:tcPr>
            <w:tcW w:type="dxa" w:w="5814"/>
          </w:tcPr>
          <w:p>
            <w:pPr>
              <w:pStyle w:val="null3"/>
              <w:jc w:val="both"/>
            </w:pPr>
            <w:r>
              <w:rPr>
                <w:rFonts w:ascii="仿宋_GB2312" w:hAnsi="仿宋_GB2312" w:cs="仿宋_GB2312" w:eastAsia="仿宋_GB2312"/>
                <w:sz w:val="24"/>
                <w:color w:val="000000"/>
              </w:rPr>
              <w:t>1、规范运行管理项目服务期内，运营服务方应根据合同约定，承担运行维护费用（包括人工、电费、油费、药剂、耗材、设备维修、检测、管理及税费等），负责管理、运行和维护污水处理设施。运营服务方应确保在整个运营服务期内垃圾和污水处理项目设施始终处于良好运行状态，机械设备正常维修和保养，能够安全稳定地运行，各项污染物排放指标达到国家标准要求。</w:t>
            </w:r>
          </w:p>
          <w:p>
            <w:pPr>
              <w:pStyle w:val="null3"/>
              <w:jc w:val="both"/>
            </w:pPr>
            <w:r>
              <w:rPr>
                <w:rFonts w:ascii="仿宋_GB2312" w:hAnsi="仿宋_GB2312" w:cs="仿宋_GB2312" w:eastAsia="仿宋_GB2312"/>
                <w:sz w:val="24"/>
                <w:color w:val="000000"/>
              </w:rPr>
              <w:t>2、保障垃圾、渗滤液、污水处理后排放的各类污染物排放浓度达到（GB16889-2024）表2规定的标准限值。</w:t>
            </w:r>
          </w:p>
          <w:p>
            <w:pPr>
              <w:pStyle w:val="null3"/>
              <w:jc w:val="both"/>
            </w:pPr>
            <w:r>
              <w:rPr>
                <w:rFonts w:ascii="仿宋_GB2312" w:hAnsi="仿宋_GB2312" w:cs="仿宋_GB2312" w:eastAsia="仿宋_GB2312"/>
                <w:sz w:val="24"/>
                <w:color w:val="000000"/>
              </w:rPr>
              <w:t>3、在委托运营期限内，运营服务方自行承担各项费用、风险和所有责任，包括安全责任和环保责任。负责项目所有设备设施的运营维护，垃圾填埋场及污水处理站的诸如：垃圾卫生填埋、污水站处理设备设施、制度、职责、流程、标示、卫生等均由运营方全权负责，并保证污水处理24小时达标排放。</w:t>
            </w:r>
          </w:p>
          <w:p>
            <w:pPr>
              <w:pStyle w:val="null3"/>
              <w:jc w:val="both"/>
            </w:pPr>
            <w:r>
              <w:rPr>
                <w:rFonts w:ascii="仿宋_GB2312" w:hAnsi="仿宋_GB2312" w:cs="仿宋_GB2312" w:eastAsia="仿宋_GB2312"/>
                <w:sz w:val="24"/>
                <w:color w:val="000000"/>
              </w:rPr>
              <w:t>4、运营服务方负责处理垃圾填埋场及污水处理站运维，并严格按照标准的操作规程操作，认真做好运行记录、存档、备查等工作，接受各级部门检查监督。</w:t>
            </w:r>
          </w:p>
          <w:p>
            <w:pPr>
              <w:pStyle w:val="null3"/>
              <w:jc w:val="both"/>
            </w:pPr>
            <w:r>
              <w:rPr>
                <w:rFonts w:ascii="仿宋_GB2312" w:hAnsi="仿宋_GB2312" w:cs="仿宋_GB2312" w:eastAsia="仿宋_GB2312"/>
                <w:sz w:val="24"/>
                <w:color w:val="000000"/>
              </w:rPr>
              <w:t>5、合同期间，如环保及有关部门监测或检查不达标以及有违规违法行为，其一切责任由运维单位负责并承担一切后果。</w:t>
            </w:r>
          </w:p>
          <w:p>
            <w:pPr>
              <w:pStyle w:val="null3"/>
              <w:jc w:val="both"/>
            </w:pPr>
            <w:r>
              <w:rPr>
                <w:rFonts w:ascii="仿宋_GB2312" w:hAnsi="仿宋_GB2312" w:cs="仿宋_GB2312" w:eastAsia="仿宋_GB2312"/>
                <w:sz w:val="24"/>
                <w:color w:val="000000"/>
              </w:rPr>
              <w:t>6、合同期间，随时配合各级相关部门的监督检查。</w:t>
            </w:r>
          </w:p>
          <w:p>
            <w:pPr>
              <w:pStyle w:val="null3"/>
              <w:jc w:val="both"/>
            </w:pPr>
            <w:r>
              <w:rPr>
                <w:rFonts w:ascii="仿宋_GB2312" w:hAnsi="仿宋_GB2312" w:cs="仿宋_GB2312" w:eastAsia="仿宋_GB2312"/>
                <w:sz w:val="24"/>
                <w:color w:val="000000"/>
              </w:rPr>
              <w:t>7、运营期间，运营服务方按照排污许可证要求向业主方和环保部门提供第三方水质检测报告，费用由运营服务方承担。</w:t>
            </w:r>
          </w:p>
          <w:p>
            <w:pPr>
              <w:pStyle w:val="null3"/>
              <w:jc w:val="both"/>
            </w:pPr>
            <w:r>
              <w:rPr>
                <w:rFonts w:ascii="仿宋_GB2312" w:hAnsi="仿宋_GB2312" w:cs="仿宋_GB2312" w:eastAsia="仿宋_GB2312"/>
                <w:sz w:val="24"/>
                <w:color w:val="000000"/>
              </w:rPr>
              <w:t>8、运行期间，需按照国家、省、州、县各级部门要求，严格执行，操作规范，人员需持证上岗。</w:t>
            </w:r>
          </w:p>
          <w:p>
            <w:pPr>
              <w:pStyle w:val="null3"/>
              <w:jc w:val="both"/>
            </w:pPr>
            <w:r>
              <w:rPr>
                <w:rFonts w:ascii="仿宋_GB2312" w:hAnsi="仿宋_GB2312" w:cs="仿宋_GB2312" w:eastAsia="仿宋_GB2312"/>
                <w:sz w:val="24"/>
                <w:color w:val="000000"/>
              </w:rPr>
              <w:t>9、运营服务方应熟悉省、州、县环保部门垃圾、污水处理相关法律、行业规定及流程，并遵照执行。</w:t>
            </w:r>
          </w:p>
          <w:p>
            <w:pPr>
              <w:pStyle w:val="null3"/>
              <w:jc w:val="both"/>
            </w:pPr>
            <w:r>
              <w:rPr>
                <w:rFonts w:ascii="仿宋_GB2312" w:hAnsi="仿宋_GB2312" w:cs="仿宋_GB2312" w:eastAsia="仿宋_GB2312"/>
                <w:sz w:val="24"/>
                <w:color w:val="000000"/>
              </w:rPr>
              <w:t>10、运营服务方在项目地有专门的日常维修工作人员和日常维修部件库房，如突发设备设施故障应立即上报业主单位存在的问题及情况，并及时采取相应的应急措施。</w:t>
            </w:r>
          </w:p>
          <w:p>
            <w:pPr>
              <w:pStyle w:val="null3"/>
              <w:jc w:val="both"/>
            </w:pPr>
            <w:r>
              <w:rPr>
                <w:rFonts w:ascii="仿宋_GB2312" w:hAnsi="仿宋_GB2312" w:cs="仿宋_GB2312" w:eastAsia="仿宋_GB2312"/>
                <w:sz w:val="24"/>
                <w:color w:val="000000"/>
              </w:rPr>
              <w:t>11、运营服务方应结合垃圾填埋场及污水处理站实际制定相关规章制度（人员管理、卫生、工作、消防等），并根据相关规范做好日常检查表、登记表、外来人员登记表等登记工作，备查。</w:t>
            </w:r>
          </w:p>
          <w:p>
            <w:pPr>
              <w:pStyle w:val="null3"/>
              <w:jc w:val="both"/>
            </w:pPr>
            <w:r>
              <w:rPr>
                <w:rFonts w:ascii="仿宋_GB2312" w:hAnsi="仿宋_GB2312" w:cs="仿宋_GB2312" w:eastAsia="仿宋_GB2312"/>
                <w:sz w:val="24"/>
                <w:color w:val="000000"/>
              </w:rPr>
              <w:t>12、运营服务方每年制定好维护保养计划，每季度对垃圾填埋场、污水处理站所有设备设施进行日常维护维保，并做好维护保养登记。</w:t>
            </w:r>
          </w:p>
          <w:p>
            <w:pPr>
              <w:pStyle w:val="null3"/>
              <w:jc w:val="both"/>
            </w:pPr>
            <w:r>
              <w:rPr>
                <w:rFonts w:ascii="仿宋_GB2312" w:hAnsi="仿宋_GB2312" w:cs="仿宋_GB2312" w:eastAsia="仿宋_GB2312"/>
                <w:sz w:val="24"/>
                <w:color w:val="000000"/>
              </w:rPr>
              <w:t>13、质量要求：垃圾处理及污水排放达到国家现行标准及相关规范要求，保障垃圾填埋及渗滤液处理后连续达标排放。</w:t>
            </w:r>
          </w:p>
          <w:p>
            <w:pPr>
              <w:pStyle w:val="null3"/>
              <w:jc w:val="both"/>
            </w:pPr>
            <w:r>
              <w:rPr>
                <w:rFonts w:ascii="仿宋_GB2312" w:hAnsi="仿宋_GB2312" w:cs="仿宋_GB2312" w:eastAsia="仿宋_GB2312"/>
                <w:sz w:val="24"/>
                <w:color w:val="000000"/>
              </w:rPr>
              <w:t>14、运营服务方应保证严格按照《劳动合同法》及其有关规定聘用人员，保障劳动员工的合法权益。</w:t>
            </w:r>
          </w:p>
          <w:p>
            <w:pPr>
              <w:pStyle w:val="null3"/>
              <w:jc w:val="both"/>
            </w:pPr>
            <w:r>
              <w:rPr>
                <w:rFonts w:ascii="仿宋_GB2312" w:hAnsi="仿宋_GB2312" w:cs="仿宋_GB2312" w:eastAsia="仿宋_GB2312"/>
                <w:sz w:val="24"/>
                <w:color w:val="000000"/>
              </w:rPr>
              <w:t>15、本项目美姑县生活垃圾填埋场一体化渗滤液设备升级改造、完善各项手续（包括但不限于环评验收、完善现有设施设备环境影响评价、排污口论证、排污许可证、在线自动监测设备增设与服务）、垃圾填埋场及渗滤液运维服务期为三年，一次性签订。</w:t>
            </w:r>
          </w:p>
          <w:p>
            <w:pPr>
              <w:pStyle w:val="null3"/>
              <w:jc w:val="both"/>
            </w:pPr>
            <w:r>
              <w:rPr>
                <w:rFonts w:ascii="仿宋_GB2312" w:hAnsi="仿宋_GB2312" w:cs="仿宋_GB2312" w:eastAsia="仿宋_GB2312"/>
                <w:sz w:val="24"/>
                <w:color w:val="000000"/>
              </w:rPr>
              <w:t>16、本项目运营设备日常维修系指设备正常运转运行所需要的日常保护、保养、保障性维修，包括运营设备日常维修所需要的人工、配件、零件、保养保障耗材等。若单台设备经多次（一个月内超过三次）维修仍不能保障正常运行使用，设备制造商或业主单位认为需要更换新设备的，设备购置费用由业主负责。</w:t>
            </w:r>
          </w:p>
          <w:p>
            <w:pPr>
              <w:pStyle w:val="null3"/>
              <w:jc w:val="both"/>
            </w:pPr>
            <w:r>
              <w:rPr>
                <w:rFonts w:ascii="仿宋_GB2312" w:hAnsi="仿宋_GB2312" w:cs="仿宋_GB2312" w:eastAsia="仿宋_GB2312"/>
                <w:sz w:val="24"/>
                <w:color w:val="000000"/>
              </w:rPr>
              <w:t>17、运营期间，运营服务方所必须的办公设施、设备、耗材及防火、防盗安全防范保障措施等由运营服务方自行负责购买。</w:t>
            </w:r>
          </w:p>
          <w:p>
            <w:pPr>
              <w:pStyle w:val="null3"/>
              <w:jc w:val="both"/>
            </w:pPr>
            <w:r>
              <w:rPr>
                <w:rFonts w:ascii="仿宋_GB2312" w:hAnsi="仿宋_GB2312" w:cs="仿宋_GB2312" w:eastAsia="仿宋_GB2312"/>
                <w:sz w:val="24"/>
                <w:color w:val="000000"/>
              </w:rPr>
              <w:t>18、三年运行服务期满，或者服务期内出现不再续签合同的，运营服务方须按接收项目时的移交清单（包括如有必须增加或更换的设施、设备）完整如数交还业主单位，并保障交还的设施、设备能正常运行使用。</w:t>
            </w:r>
          </w:p>
          <w:p>
            <w:pPr>
              <w:pStyle w:val="null3"/>
              <w:jc w:val="both"/>
            </w:pPr>
            <w:r>
              <w:rPr>
                <w:rFonts w:ascii="仿宋_GB2312" w:hAnsi="仿宋_GB2312" w:cs="仿宋_GB2312" w:eastAsia="仿宋_GB2312"/>
                <w:sz w:val="24"/>
                <w:color w:val="000000"/>
              </w:rPr>
              <w:t>19、在线自动监测设备升级更换：</w:t>
            </w:r>
          </w:p>
          <w:p>
            <w:pPr>
              <w:pStyle w:val="null3"/>
              <w:jc w:val="both"/>
            </w:pPr>
            <w:r>
              <w:rPr>
                <w:rFonts w:ascii="仿宋_GB2312" w:hAnsi="仿宋_GB2312" w:cs="仿宋_GB2312" w:eastAsia="仿宋_GB2312"/>
                <w:sz w:val="24"/>
                <w:color w:val="000000"/>
              </w:rPr>
              <w:t>设备选型应满足以下技术要求：</w:t>
            </w:r>
          </w:p>
          <w:p>
            <w:pPr>
              <w:pStyle w:val="null3"/>
              <w:jc w:val="both"/>
            </w:pPr>
            <w:r>
              <w:rPr>
                <w:rFonts w:ascii="仿宋_GB2312" w:hAnsi="仿宋_GB2312" w:cs="仿宋_GB2312" w:eastAsia="仿宋_GB2312"/>
                <w:sz w:val="24"/>
                <w:color w:val="000000"/>
              </w:rPr>
              <w:t>测量范围：能够覆盖污染物排放浓度的正常波动范围及可能出现的超标情况。</w:t>
            </w:r>
          </w:p>
          <w:p>
            <w:pPr>
              <w:pStyle w:val="null3"/>
              <w:jc w:val="both"/>
            </w:pPr>
            <w:r>
              <w:rPr>
                <w:rFonts w:ascii="仿宋_GB2312" w:hAnsi="仿宋_GB2312" w:cs="仿宋_GB2312" w:eastAsia="仿宋_GB2312"/>
                <w:sz w:val="24"/>
                <w:color w:val="000000"/>
              </w:rPr>
              <w:t>测量精度：符合相关技术规范对监测因子的精度要求，如示值误差、重复性、零点漂移、量程漂移等指标达标。</w:t>
            </w:r>
          </w:p>
          <w:p>
            <w:pPr>
              <w:pStyle w:val="null3"/>
              <w:jc w:val="both"/>
            </w:pPr>
            <w:r>
              <w:rPr>
                <w:rFonts w:ascii="仿宋_GB2312" w:hAnsi="仿宋_GB2312" w:cs="仿宋_GB2312" w:eastAsia="仿宋_GB2312"/>
                <w:sz w:val="24"/>
                <w:color w:val="000000"/>
              </w:rPr>
              <w:t>响应时间：能够快速响应污染物浓度的变化，满足实时监测要求。</w:t>
            </w:r>
          </w:p>
          <w:p>
            <w:pPr>
              <w:pStyle w:val="null3"/>
              <w:jc w:val="both"/>
            </w:pPr>
            <w:r>
              <w:rPr>
                <w:rFonts w:ascii="仿宋_GB2312" w:hAnsi="仿宋_GB2312" w:cs="仿宋_GB2312" w:eastAsia="仿宋_GB2312"/>
                <w:sz w:val="24"/>
                <w:color w:val="000000"/>
              </w:rPr>
              <w:t>数据采集与传输：具备自动采集、存储监测数据的功能，数据格式符合环保部门的数据传输标准，能够稳定、准确地将监测数据实时上传至指定的环境监控平台。</w:t>
            </w:r>
          </w:p>
          <w:p>
            <w:pPr>
              <w:pStyle w:val="null3"/>
              <w:jc w:val="both"/>
            </w:pPr>
            <w:r>
              <w:rPr>
                <w:rFonts w:ascii="仿宋_GB2312" w:hAnsi="仿宋_GB2312" w:cs="仿宋_GB2312" w:eastAsia="仿宋_GB2312"/>
                <w:sz w:val="24"/>
                <w:color w:val="000000"/>
              </w:rPr>
              <w:t>抗干扰能力：具备较强的抗干扰能力，能够适应填埋场复杂的现场环境（如高温、高湿、粉尘、腐蚀性气体等）。</w:t>
            </w:r>
          </w:p>
          <w:p>
            <w:pPr>
              <w:pStyle w:val="null3"/>
              <w:jc w:val="both"/>
            </w:pPr>
            <w:r>
              <w:rPr>
                <w:rFonts w:ascii="仿宋_GB2312" w:hAnsi="仿宋_GB2312" w:cs="仿宋_GB2312" w:eastAsia="仿宋_GB2312"/>
                <w:sz w:val="24"/>
                <w:color w:val="000000"/>
              </w:rPr>
              <w:t>运行可靠性：设备平均无故障运行时间（</w:t>
            </w:r>
            <w:r>
              <w:rPr>
                <w:rFonts w:ascii="仿宋_GB2312" w:hAnsi="仿宋_GB2312" w:cs="仿宋_GB2312" w:eastAsia="仿宋_GB2312"/>
                <w:sz w:val="24"/>
                <w:color w:val="000000"/>
              </w:rPr>
              <w:t>MTBF）应达到相关标准要求，降低故障率，保证长期稳定运行。</w:t>
            </w:r>
          </w:p>
          <w:p>
            <w:pPr>
              <w:pStyle w:val="null3"/>
              <w:jc w:val="both"/>
            </w:pPr>
            <w:r>
              <w:rPr>
                <w:rFonts w:ascii="仿宋_GB2312" w:hAnsi="仿宋_GB2312" w:cs="仿宋_GB2312" w:eastAsia="仿宋_GB2312"/>
                <w:sz w:val="24"/>
                <w:color w:val="000000"/>
              </w:rPr>
              <w:t>兼容性与扩展性：设备应具备与现有数据采集传输仪或新建数据平台的兼容性，同时考虑未来新增监测因子的扩展性。</w:t>
            </w:r>
          </w:p>
          <w:p>
            <w:pPr>
              <w:pStyle w:val="null3"/>
              <w:jc w:val="both"/>
            </w:pPr>
            <w:r>
              <w:rPr>
                <w:rFonts w:ascii="仿宋_GB2312" w:hAnsi="仿宋_GB2312" w:cs="仿宋_GB2312" w:eastAsia="仿宋_GB2312"/>
                <w:sz w:val="24"/>
                <w:color w:val="000000"/>
              </w:rPr>
              <w:t>提供完善的售后服务，包括设备保修期（一般不少于</w:t>
            </w:r>
            <w:r>
              <w:rPr>
                <w:rFonts w:ascii="仿宋_GB2312" w:hAnsi="仿宋_GB2312" w:cs="仿宋_GB2312" w:eastAsia="仿宋_GB2312"/>
                <w:sz w:val="24"/>
                <w:color w:val="000000"/>
              </w:rPr>
              <w:t>1年）、保修期内免费上门维修、更换故障部件、定期巡检（如每月或每季度）、技术支持（电话、邮件、现场等）等。同时，应提供设备运行所需的标准物质、耗材等供应保障，确保在线监测设备长期、稳定、可靠运行，监测数据准确有效。</w:t>
            </w:r>
          </w:p>
          <w:p>
            <w:pPr>
              <w:pStyle w:val="null3"/>
              <w:jc w:val="both"/>
            </w:pPr>
            <w:r>
              <w:rPr>
                <w:rFonts w:ascii="仿宋_GB2312" w:hAnsi="仿宋_GB2312" w:cs="仿宋_GB2312" w:eastAsia="仿宋_GB2312"/>
                <w:sz w:val="24"/>
                <w:color w:val="000000"/>
              </w:rPr>
              <w:t>垃圾填埋场包含</w:t>
            </w:r>
            <w:r>
              <w:rPr>
                <w:rFonts w:ascii="仿宋_GB2312" w:hAnsi="仿宋_GB2312" w:cs="仿宋_GB2312" w:eastAsia="仿宋_GB2312"/>
                <w:sz w:val="24"/>
                <w:color w:val="000000"/>
              </w:rPr>
              <w:t>(COD 1 台、氨氮 1 台) ，其余数采仪、明渠流量计等在线监测设备均包括在运维服务范围。</w:t>
            </w:r>
          </w:p>
          <w:p>
            <w:pPr>
              <w:pStyle w:val="null3"/>
              <w:jc w:val="both"/>
            </w:pPr>
            <w:r>
              <w:rPr>
                <w:rFonts w:ascii="仿宋_GB2312" w:hAnsi="仿宋_GB2312" w:cs="仿宋_GB2312" w:eastAsia="仿宋_GB2312"/>
                <w:sz w:val="24"/>
                <w:color w:val="000000"/>
              </w:rPr>
              <w:t>20.执行标准</w:t>
            </w:r>
          </w:p>
          <w:p>
            <w:pPr>
              <w:pStyle w:val="null3"/>
              <w:jc w:val="both"/>
            </w:pPr>
            <w:r>
              <w:rPr>
                <w:rFonts w:ascii="仿宋_GB2312" w:hAnsi="仿宋_GB2312" w:cs="仿宋_GB2312" w:eastAsia="仿宋_GB2312"/>
                <w:sz w:val="24"/>
                <w:color w:val="000000"/>
              </w:rPr>
              <w:t>20.1</w:t>
            </w:r>
            <w:r>
              <w:rPr>
                <w:rFonts w:ascii="仿宋_GB2312" w:hAnsi="仿宋_GB2312" w:cs="仿宋_GB2312" w:eastAsia="仿宋_GB2312"/>
              </w:rPr>
              <w:t xml:space="preserve"> </w:t>
            </w:r>
            <w:r>
              <w:rPr>
                <w:rFonts w:ascii="仿宋_GB2312" w:hAnsi="仿宋_GB2312" w:cs="仿宋_GB2312" w:eastAsia="仿宋_GB2312"/>
                <w:sz w:val="24"/>
                <w:color w:val="000000"/>
              </w:rPr>
              <w:t>HJ 355-2019《水污染源在线监测系统（CODCr、NH3-N等）运行技术规范》；</w:t>
            </w:r>
          </w:p>
          <w:p>
            <w:pPr>
              <w:pStyle w:val="null3"/>
              <w:spacing w:before="105" w:after="105"/>
              <w:jc w:val="both"/>
            </w:pPr>
            <w:r>
              <w:rPr>
                <w:rFonts w:ascii="仿宋_GB2312" w:hAnsi="仿宋_GB2312" w:cs="仿宋_GB2312" w:eastAsia="仿宋_GB2312"/>
                <w:sz w:val="24"/>
                <w:color w:val="000000"/>
              </w:rPr>
              <w:t>20.2 HJ 377-2019《化学需氧量（CODCr）水质在线自动监测仪技术要求及检测方法》；</w:t>
            </w:r>
          </w:p>
          <w:p>
            <w:pPr>
              <w:pStyle w:val="null3"/>
              <w:spacing w:before="105" w:after="105"/>
              <w:jc w:val="both"/>
            </w:pPr>
            <w:r>
              <w:rPr>
                <w:rFonts w:ascii="仿宋_GB2312" w:hAnsi="仿宋_GB2312" w:cs="仿宋_GB2312" w:eastAsia="仿宋_GB2312"/>
                <w:sz w:val="24"/>
                <w:color w:val="000000"/>
              </w:rPr>
              <w:t>20.3</w:t>
            </w:r>
            <w:r>
              <w:rPr>
                <w:rFonts w:ascii="仿宋_GB2312" w:hAnsi="仿宋_GB2312" w:cs="仿宋_GB2312" w:eastAsia="仿宋_GB2312"/>
                <w:sz w:val="24"/>
              </w:rPr>
              <w:t xml:space="preserve"> </w:t>
            </w:r>
            <w:r>
              <w:rPr>
                <w:rFonts w:ascii="仿宋_GB2312" w:hAnsi="仿宋_GB2312" w:cs="仿宋_GB2312" w:eastAsia="仿宋_GB2312"/>
                <w:sz w:val="24"/>
                <w:color w:val="000000"/>
              </w:rPr>
              <w:t>HJ 101-2019《氨氮水质在线自动监测仪技术要求及检测方法》；</w:t>
            </w:r>
          </w:p>
          <w:p>
            <w:pPr>
              <w:pStyle w:val="null3"/>
              <w:spacing w:before="105" w:after="105"/>
              <w:jc w:val="both"/>
            </w:pPr>
            <w:r>
              <w:rPr>
                <w:rFonts w:ascii="仿宋_GB2312" w:hAnsi="仿宋_GB2312" w:cs="仿宋_GB2312" w:eastAsia="仿宋_GB2312"/>
                <w:sz w:val="24"/>
                <w:color w:val="000000"/>
              </w:rPr>
              <w:t>20.4</w:t>
            </w:r>
            <w:r>
              <w:rPr>
                <w:rFonts w:ascii="仿宋_GB2312" w:hAnsi="仿宋_GB2312" w:cs="仿宋_GB2312" w:eastAsia="仿宋_GB2312"/>
                <w:sz w:val="24"/>
              </w:rPr>
              <w:t xml:space="preserve"> </w:t>
            </w:r>
            <w:r>
              <w:rPr>
                <w:rFonts w:ascii="仿宋_GB2312" w:hAnsi="仿宋_GB2312" w:cs="仿宋_GB2312" w:eastAsia="仿宋_GB2312"/>
                <w:sz w:val="24"/>
                <w:color w:val="000000"/>
              </w:rPr>
              <w:t>HJ 212-2025《污染物自动监测监控系统数据传输技术要求》；</w:t>
            </w:r>
          </w:p>
          <w:p>
            <w:pPr>
              <w:pStyle w:val="null3"/>
              <w:spacing w:before="105" w:after="105"/>
              <w:jc w:val="both"/>
            </w:pPr>
            <w:r>
              <w:rPr>
                <w:rFonts w:ascii="仿宋_GB2312" w:hAnsi="仿宋_GB2312" w:cs="仿宋_GB2312" w:eastAsia="仿宋_GB2312"/>
                <w:sz w:val="24"/>
                <w:color w:val="000000"/>
              </w:rPr>
              <w:t>20.5 HJ 356-2019《水污染源在线监测系统（CODCr、NH3-N等）数据有效性判别技术规范》；</w:t>
            </w:r>
          </w:p>
          <w:p>
            <w:pPr>
              <w:pStyle w:val="null3"/>
              <w:jc w:val="left"/>
            </w:pPr>
            <w:r>
              <w:rPr>
                <w:rFonts w:ascii="仿宋_GB2312" w:hAnsi="仿宋_GB2312" w:cs="仿宋_GB2312" w:eastAsia="仿宋_GB2312"/>
                <w:sz w:val="24"/>
                <w:color w:val="000000"/>
              </w:rPr>
              <w:t>20.6在招标过程当中或合同执行期内如有环保部门出台的新的运营规范要求需按照新的要求执行。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1095</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美姑县（采购人指定地点）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采购人将严格按照政府采购相关法律法规以及《财政部关于进一步加强政府采购需求和履约验收管理的指导意见》（财库〔2016〕205号）文件要求、磋商文件规定的要求和响应文件及合同承诺的内容进行验收。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每个季度服务完成时，达到付款条件起7日内，据实结算说明为经采购人验收合格后，每季度按照运营标准考核表(详见附件）据实结算，由供应商于每季度按照季度总价合法有效完整的增值税发票及凭证资料，同时应提供所有相应的证明记录和资料（包括合同、发票、）以便委托方能够核实上述计算，采购人接到供应商通知与票据凭证资料后及时向乙方支付价款。</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合同约定</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须根据综合评分表中的评分因素及评审标准，提供相应证明材料及相应的方案内容。2、投标人提供的项目实施方案至少包含：①项目背景分析；②垃圾填埋场运营方案；③渗滤液处理运营方案；④两级DTRO设备升级改造方案；⑤完善相关环保手续方案；⑥运营水质保证方案；⑦运营管理制度；⑧项目设备设施维护保养方案；⑨项目运行安全保障方案；⑩项目管理机构；⑪环境保护方案；应急管理方案至少包含：①应急组织机构及响应时间；②风险源来源分析及应急处理措施；③应急保障措施等内容；拟投入项目人员至少包含：①项目负责人；②项目技术负责人；③运维服务人员；3、中标供应商应配合相关职能部门完成各类检查及资料填报，所涉及费用由中标供应商承担。★4、安全要求：在本项目实施过程中发生的人身安全、财产安全、环境安全等所有安全责任事故均由成交供应商自行承担。如项目实施期间发生任何意外或造成人员伤亡，承诺完全由成交供应商负责，与采购人无关。须提供针对本项目的安全承诺书（承诺函格式自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①供应商若为企业法人：提供“统一社会信用代码营业执照”及法人身份证复印件；未换证的提供“营业执照、税务登记证、组织机构代码证或三证合一的营业执照”及法人身份证复印件；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也可提供具有健全的财务会计制度的承诺函原件（承诺函格式自拟）。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技术要求、服务要求和商务要求响应</w:t>
            </w:r>
          </w:p>
        </w:tc>
        <w:tc>
          <w:tcPr>
            <w:tcW w:type="dxa" w:w="3322"/>
          </w:tcPr>
          <w:p>
            <w:pPr>
              <w:pStyle w:val="null3"/>
              <w:jc w:val="left"/>
            </w:pPr>
            <w:r>
              <w:rPr>
                <w:rFonts w:ascii="仿宋_GB2312" w:hAnsi="仿宋_GB2312" w:cs="仿宋_GB2312" w:eastAsia="仿宋_GB2312"/>
              </w:rPr>
              <w:t>根据招标文件中技术要求、服务要求和商务要求进行响应</w:t>
            </w:r>
          </w:p>
        </w:tc>
        <w:tc>
          <w:tcPr>
            <w:tcW w:type="dxa" w:w="1661"/>
          </w:tcPr>
          <w:p>
            <w:pPr>
              <w:pStyle w:val="null3"/>
              <w:jc w:val="left"/>
            </w:pPr>
            <w:r>
              <w:rPr>
                <w:rFonts w:ascii="仿宋_GB2312" w:hAnsi="仿宋_GB2312" w:cs="仿宋_GB2312" w:eastAsia="仿宋_GB2312"/>
              </w:rPr>
              <w:t>投标人应提交的相关证明材料,服务应答表,投标（响应）函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投标人承诺严格遵守并执行的相关实质性要求。</w:t>
            </w:r>
          </w:p>
        </w:tc>
        <w:tc>
          <w:tcPr>
            <w:tcW w:type="dxa" w:w="1661"/>
          </w:tcPr>
          <w:p>
            <w:pPr>
              <w:pStyle w:val="null3"/>
              <w:jc w:val="left"/>
            </w:pPr>
            <w:r>
              <w:rPr>
                <w:rFonts w:ascii="仿宋_GB2312" w:hAnsi="仿宋_GB2312" w:cs="仿宋_GB2312" w:eastAsia="仿宋_GB2312"/>
              </w:rPr>
              <w:t>投标人应提交的相关证明材料,服务应答表,投标（响应）函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拟投入项目人员</w:t>
            </w:r>
          </w:p>
        </w:tc>
        <w:tc>
          <w:tcPr>
            <w:tcW w:type="dxa" w:w="2575"/>
          </w:tcPr>
          <w:p>
            <w:pPr>
              <w:pStyle w:val="null3"/>
              <w:jc w:val="left"/>
            </w:pPr>
            <w:r>
              <w:rPr>
                <w:rFonts w:ascii="仿宋_GB2312" w:hAnsi="仿宋_GB2312" w:cs="仿宋_GB2312" w:eastAsia="仿宋_GB2312"/>
              </w:rPr>
              <w:t>1、项目负责人（1人）：具有环境类高级工程师职称证的得4分，具有环境类中级工程师职称证的得2分，本项最高得4分，没有或不相符的不得分； 2.项目技术负责人（1人）：具有环境类高级工程师及以上职称得2分，具有环境类中级工程师职称证得1分，本项最高得2分，没有或不相符的不得分； 3、配备运维服务人员：（1）每1人具有低压电工作业证书得1分，最高得2分；（2）配备机械操作人员，每有1人具有挖掘机操作证书或推土机操作证书或装载机操作证书证书的得1分，最高得2分；（3）每1人具有机电工程中级及以上职称的得1分，最高得1分；（4）每1人具有检验工或化验工相关证书的得1分，最高得1分。本项最高得6分。未提供或不相符的不得分； （注：1、请列表说明，以上人员不得重复，相同人员不重复得分；2、以上人员应提供人员身份证、证书证件复印件、在职证明等材料）</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提供的方案进行评审，方案包含但不限于：①项目背景分析；②垃圾填埋场运营方案；③渗滤液处理运营方案；④两级DTRO设备升级改造方案；⑤完善相关环保手续方案；⑥运营水质保证方案；⑦运营管理制度；⑧项目设备设施维护保养方案；⑨项目运行安全保障方案；⑩项目管理机构；⑪环境保护方案；以上每个方面内容完善方案、合理可行，且符合本项目实施需求的得55分，方案中每缺少其中一项内容扣5分，每有一项内容中存在“不切实可行、内容不合理、内容不能满足本项目实际需要、存在逻辑漏洞或错误、套用其他方案、凭空编造以及不可能实现的夸大”任一情形的扣2.5分，扣完为止。</w:t>
            </w:r>
          </w:p>
        </w:tc>
        <w:tc>
          <w:tcPr>
            <w:tcW w:type="dxa" w:w="831"/>
          </w:tcPr>
          <w:p>
            <w:pPr>
              <w:pStyle w:val="null3"/>
              <w:jc w:val="center"/>
            </w:pPr>
            <w:r>
              <w:rPr>
                <w:rFonts w:ascii="仿宋_GB2312" w:hAnsi="仿宋_GB2312" w:cs="仿宋_GB2312" w:eastAsia="仿宋_GB2312"/>
              </w:rPr>
              <w:t>55.0000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应急管理方案</w:t>
            </w:r>
          </w:p>
        </w:tc>
        <w:tc>
          <w:tcPr>
            <w:tcW w:type="dxa" w:w="2575"/>
          </w:tcPr>
          <w:p>
            <w:pPr>
              <w:pStyle w:val="null3"/>
              <w:jc w:val="left"/>
            </w:pPr>
            <w:r>
              <w:rPr>
                <w:rFonts w:ascii="仿宋_GB2312" w:hAnsi="仿宋_GB2312" w:cs="仿宋_GB2312" w:eastAsia="仿宋_GB2312"/>
              </w:rPr>
              <w:t>①应急组织机构及响应时间；②风险源来源分析及应急处理措施；③应急保障措施等内容；以上每个方面内容完善方案、合理可行，且符合本项目实施需求的得12分，方案中每缺少其中一项内容扣4分，每有一项内容中存在“不切实可行、内容不合理、内容不能满足本项目实际需要、存在逻辑漏洞或错误、套用其他方案、凭空编造以及不可能实现的夸大”任一情形的扣2分，扣完为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类似业绩：投标人具有自2022年1月1日以来生活污水处理或生活垃圾处理或垃圾渗滤液处理运营服务类似项目（包含正在运营项目），一个得3分，本项最高得6分。（提供类似业绩中标通知书或合同，时间以合同签订时间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